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1F6C9D" w14:textId="77777777" w:rsidR="00703F10" w:rsidRPr="001300A9" w:rsidRDefault="00703F10" w:rsidP="00703F10">
      <w:pPr>
        <w:spacing w:after="0" w:line="240" w:lineRule="auto"/>
        <w:jc w:val="center"/>
        <w:rPr>
          <w:rFonts w:ascii="Times New Roman" w:hAnsi="Times New Roman"/>
          <w:b/>
          <w:caps/>
          <w:spacing w:val="20"/>
          <w:sz w:val="24"/>
          <w:szCs w:val="24"/>
          <w:lang w:eastAsia="sk-SK"/>
        </w:rPr>
      </w:pPr>
      <w:r w:rsidRPr="001300A9">
        <w:rPr>
          <w:rFonts w:ascii="Times New Roman" w:hAnsi="Times New Roman"/>
          <w:b/>
          <w:caps/>
          <w:spacing w:val="20"/>
          <w:sz w:val="24"/>
          <w:szCs w:val="24"/>
          <w:lang w:eastAsia="sk-SK"/>
        </w:rPr>
        <w:t>Tabuľka zhody</w:t>
      </w:r>
    </w:p>
    <w:p w14:paraId="7996A167" w14:textId="77777777" w:rsidR="00703F10" w:rsidRPr="001300A9" w:rsidRDefault="00703F10" w:rsidP="00703F10">
      <w:pPr>
        <w:spacing w:after="0" w:line="240" w:lineRule="auto"/>
        <w:jc w:val="center"/>
        <w:rPr>
          <w:rFonts w:ascii="Times New Roman" w:hAnsi="Times New Roman"/>
          <w:b/>
          <w:caps/>
          <w:spacing w:val="20"/>
          <w:sz w:val="24"/>
          <w:szCs w:val="24"/>
          <w:lang w:eastAsia="sk-SK"/>
        </w:rPr>
      </w:pPr>
      <w:r w:rsidRPr="001300A9">
        <w:rPr>
          <w:rFonts w:ascii="Times New Roman" w:hAnsi="Times New Roman"/>
          <w:b/>
          <w:caps/>
          <w:spacing w:val="20"/>
          <w:sz w:val="24"/>
          <w:szCs w:val="24"/>
          <w:lang w:eastAsia="sk-SK"/>
        </w:rPr>
        <w:t>právneho predpisu</w:t>
      </w:r>
    </w:p>
    <w:p w14:paraId="22BAF730" w14:textId="77777777" w:rsidR="00703F10" w:rsidRPr="001300A9" w:rsidRDefault="00703F10" w:rsidP="00703F10">
      <w:pPr>
        <w:spacing w:after="0" w:line="240" w:lineRule="auto"/>
        <w:jc w:val="center"/>
        <w:rPr>
          <w:rFonts w:ascii="Times New Roman" w:hAnsi="Times New Roman"/>
          <w:b/>
          <w:caps/>
          <w:spacing w:val="20"/>
          <w:sz w:val="24"/>
          <w:szCs w:val="24"/>
          <w:lang w:eastAsia="sk-SK"/>
        </w:rPr>
      </w:pPr>
      <w:r w:rsidRPr="001300A9">
        <w:rPr>
          <w:rFonts w:ascii="Times New Roman" w:hAnsi="Times New Roman"/>
          <w:b/>
          <w:caps/>
          <w:spacing w:val="20"/>
          <w:sz w:val="24"/>
          <w:szCs w:val="24"/>
          <w:lang w:eastAsia="sk-SK"/>
        </w:rPr>
        <w:t>s  právom Európskej únie</w:t>
      </w:r>
    </w:p>
    <w:p w14:paraId="79A9AF32" w14:textId="77777777" w:rsidR="00703F10" w:rsidRPr="001300A9" w:rsidRDefault="00703F10" w:rsidP="00A60EE4">
      <w:pPr>
        <w:spacing w:after="0" w:line="240" w:lineRule="auto"/>
        <w:rPr>
          <w:rFonts w:ascii="Times New Roman" w:hAnsi="Times New Roman"/>
          <w:b/>
          <w:caps/>
          <w:spacing w:val="20"/>
          <w:sz w:val="24"/>
          <w:szCs w:val="24"/>
          <w:lang w:eastAsia="sk-SK"/>
        </w:rPr>
      </w:pPr>
    </w:p>
    <w:tbl>
      <w:tblPr>
        <w:tblStyle w:val="Mriekatabuky"/>
        <w:tblW w:w="0" w:type="auto"/>
        <w:tblLayout w:type="fixed"/>
        <w:tblLook w:val="04A0" w:firstRow="1" w:lastRow="0" w:firstColumn="1" w:lastColumn="0" w:noHBand="0" w:noVBand="1"/>
      </w:tblPr>
      <w:tblGrid>
        <w:gridCol w:w="562"/>
        <w:gridCol w:w="4820"/>
        <w:gridCol w:w="567"/>
        <w:gridCol w:w="283"/>
        <w:gridCol w:w="567"/>
        <w:gridCol w:w="4253"/>
        <w:gridCol w:w="567"/>
        <w:gridCol w:w="1276"/>
        <w:gridCol w:w="850"/>
        <w:gridCol w:w="815"/>
      </w:tblGrid>
      <w:tr w:rsidR="00357CEC" w:rsidRPr="001300A9" w14:paraId="221FD45A" w14:textId="77777777" w:rsidTr="360410BC">
        <w:tc>
          <w:tcPr>
            <w:tcW w:w="5949" w:type="dxa"/>
            <w:gridSpan w:val="3"/>
          </w:tcPr>
          <w:p w14:paraId="7DB30B4B" w14:textId="179F630D" w:rsidR="00357CEC" w:rsidRPr="001300A9" w:rsidRDefault="00357CEC" w:rsidP="00C56D0A">
            <w:pPr>
              <w:pStyle w:val="Default"/>
              <w:rPr>
                <w:sz w:val="22"/>
                <w:szCs w:val="22"/>
              </w:rPr>
            </w:pPr>
            <w:r w:rsidRPr="001300A9">
              <w:rPr>
                <w:sz w:val="22"/>
                <w:szCs w:val="22"/>
              </w:rPr>
              <w:t>Smernica Európskeho parlamentu a Rady (EÚ) 2023/959 z 10. mája 2023, ktorou sa mení smernica 2003/87/ES o vytvorení systému obchodovania s emisnými kvótami skleníkových plynov v Únii a rozhodnutie (EÚ) 2015/1814 o zriadení a prevádzke trhovej stabilizačnej rezervy systému obchodovania s emisnými kvótami skleníkových plynov v</w:t>
            </w:r>
            <w:r w:rsidR="00CD24A0">
              <w:rPr>
                <w:sz w:val="22"/>
                <w:szCs w:val="22"/>
              </w:rPr>
              <w:t> </w:t>
            </w:r>
            <w:r w:rsidRPr="001300A9">
              <w:rPr>
                <w:sz w:val="22"/>
                <w:szCs w:val="22"/>
              </w:rPr>
              <w:t>Únii</w:t>
            </w:r>
            <w:r w:rsidR="00CD24A0">
              <w:rPr>
                <w:sz w:val="22"/>
                <w:szCs w:val="22"/>
              </w:rPr>
              <w:t xml:space="preserve"> (Ú. v. EÚ L 130, 16.5.2023).</w:t>
            </w:r>
          </w:p>
        </w:tc>
        <w:tc>
          <w:tcPr>
            <w:tcW w:w="8611" w:type="dxa"/>
            <w:gridSpan w:val="7"/>
          </w:tcPr>
          <w:p w14:paraId="080AA559" w14:textId="5D28ADAB" w:rsidR="00357CEC" w:rsidRDefault="00037D2F" w:rsidP="005900E4">
            <w:pPr>
              <w:pStyle w:val="Default"/>
              <w:rPr>
                <w:sz w:val="22"/>
                <w:szCs w:val="22"/>
              </w:rPr>
            </w:pPr>
            <w:r w:rsidRPr="006537AB">
              <w:t xml:space="preserve">Návrh zákona, </w:t>
            </w:r>
            <w:r w:rsidRPr="003D5ECF">
              <w:t>ktorým sa mení a dopĺňa zákon č. 414/2012 Z. z. o obchodovaní s emisnými kvótami a o zmene a doplnení niektorých zákonov v znení neskorších predpisov a ktorým sa menia a dopĺňajú niektoré zákony</w:t>
            </w:r>
            <w:r>
              <w:rPr>
                <w:sz w:val="22"/>
                <w:szCs w:val="22"/>
              </w:rPr>
              <w:t xml:space="preserve"> </w:t>
            </w:r>
            <w:bookmarkStart w:id="0" w:name="_GoBack"/>
            <w:bookmarkEnd w:id="0"/>
            <w:r w:rsidR="002C79F4">
              <w:rPr>
                <w:sz w:val="22"/>
                <w:szCs w:val="22"/>
              </w:rPr>
              <w:t>(ďalej len „NZ</w:t>
            </w:r>
            <w:r w:rsidR="00CA5E3D">
              <w:rPr>
                <w:sz w:val="22"/>
                <w:szCs w:val="22"/>
              </w:rPr>
              <w:t>“)</w:t>
            </w:r>
          </w:p>
          <w:p w14:paraId="58C53F72" w14:textId="5AD85946" w:rsidR="00CA5E3D" w:rsidRPr="001300A9" w:rsidRDefault="00CA5E3D" w:rsidP="00CA5E3D">
            <w:pPr>
              <w:pStyle w:val="Default"/>
              <w:rPr>
                <w:sz w:val="22"/>
                <w:szCs w:val="22"/>
              </w:rPr>
            </w:pPr>
            <w:r>
              <w:rPr>
                <w:sz w:val="22"/>
                <w:szCs w:val="22"/>
              </w:rPr>
              <w:t>Z</w:t>
            </w:r>
            <w:r w:rsidRPr="001300A9">
              <w:rPr>
                <w:sz w:val="22"/>
                <w:szCs w:val="22"/>
              </w:rPr>
              <w:t>ákon č. 414/2012 Z. z. o obchodovaní s emisnými kvótam</w:t>
            </w:r>
            <w:r>
              <w:rPr>
                <w:sz w:val="22"/>
                <w:szCs w:val="22"/>
              </w:rPr>
              <w:t xml:space="preserve">i </w:t>
            </w:r>
            <w:r w:rsidRPr="001300A9">
              <w:rPr>
                <w:sz w:val="22"/>
                <w:szCs w:val="22"/>
              </w:rPr>
              <w:t>v znení neskorších predpisov</w:t>
            </w:r>
            <w:r>
              <w:rPr>
                <w:sz w:val="22"/>
                <w:szCs w:val="22"/>
              </w:rPr>
              <w:t xml:space="preserve"> (ďalej len „414/2012“)</w:t>
            </w:r>
          </w:p>
        </w:tc>
      </w:tr>
      <w:tr w:rsidR="00DD6EDC" w:rsidRPr="001300A9" w14:paraId="0CF8DEA2" w14:textId="77777777" w:rsidTr="360410BC">
        <w:tc>
          <w:tcPr>
            <w:tcW w:w="562" w:type="dxa"/>
          </w:tcPr>
          <w:p w14:paraId="3A2255AA" w14:textId="77777777" w:rsidR="00357CEC" w:rsidRPr="001300A9" w:rsidRDefault="00357CEC" w:rsidP="00B97553">
            <w:pPr>
              <w:spacing w:after="0" w:line="240" w:lineRule="auto"/>
              <w:rPr>
                <w:rFonts w:ascii="Times New Roman" w:hAnsi="Times New Roman" w:cs="Times New Roman"/>
                <w:caps/>
                <w:spacing w:val="20"/>
                <w:lang w:eastAsia="sk-SK"/>
              </w:rPr>
            </w:pPr>
            <w:r w:rsidRPr="001300A9">
              <w:rPr>
                <w:rFonts w:ascii="Times New Roman" w:hAnsi="Times New Roman" w:cs="Times New Roman"/>
                <w:caps/>
                <w:spacing w:val="20"/>
                <w:lang w:eastAsia="sk-SK"/>
              </w:rPr>
              <w:t>1</w:t>
            </w:r>
          </w:p>
        </w:tc>
        <w:tc>
          <w:tcPr>
            <w:tcW w:w="4820" w:type="dxa"/>
          </w:tcPr>
          <w:p w14:paraId="523D33D9" w14:textId="77777777" w:rsidR="00357CEC" w:rsidRPr="001300A9" w:rsidRDefault="00357CEC" w:rsidP="00B97553">
            <w:pPr>
              <w:spacing w:after="0" w:line="240" w:lineRule="auto"/>
              <w:rPr>
                <w:rFonts w:ascii="Times New Roman" w:hAnsi="Times New Roman" w:cs="Times New Roman"/>
                <w:caps/>
                <w:spacing w:val="20"/>
                <w:lang w:eastAsia="sk-SK"/>
              </w:rPr>
            </w:pPr>
            <w:r w:rsidRPr="001300A9">
              <w:rPr>
                <w:rFonts w:ascii="Times New Roman" w:hAnsi="Times New Roman" w:cs="Times New Roman"/>
                <w:caps/>
                <w:spacing w:val="20"/>
                <w:lang w:eastAsia="sk-SK"/>
              </w:rPr>
              <w:t>2</w:t>
            </w:r>
          </w:p>
        </w:tc>
        <w:tc>
          <w:tcPr>
            <w:tcW w:w="567" w:type="dxa"/>
          </w:tcPr>
          <w:p w14:paraId="10FAE48D" w14:textId="77777777" w:rsidR="00357CEC" w:rsidRPr="001300A9" w:rsidRDefault="00357CEC" w:rsidP="00B97553">
            <w:pPr>
              <w:spacing w:after="0" w:line="240" w:lineRule="auto"/>
              <w:rPr>
                <w:rFonts w:ascii="Times New Roman" w:hAnsi="Times New Roman" w:cs="Times New Roman"/>
                <w:caps/>
                <w:spacing w:val="20"/>
                <w:lang w:eastAsia="sk-SK"/>
              </w:rPr>
            </w:pPr>
            <w:r w:rsidRPr="001300A9">
              <w:rPr>
                <w:rFonts w:ascii="Times New Roman" w:hAnsi="Times New Roman" w:cs="Times New Roman"/>
                <w:caps/>
                <w:spacing w:val="20"/>
                <w:lang w:eastAsia="sk-SK"/>
              </w:rPr>
              <w:t>3</w:t>
            </w:r>
          </w:p>
        </w:tc>
        <w:tc>
          <w:tcPr>
            <w:tcW w:w="283" w:type="dxa"/>
          </w:tcPr>
          <w:p w14:paraId="041EAB1A" w14:textId="77777777" w:rsidR="00357CEC" w:rsidRPr="001300A9" w:rsidRDefault="00357CEC" w:rsidP="00B97553">
            <w:pPr>
              <w:spacing w:after="0" w:line="240" w:lineRule="auto"/>
              <w:rPr>
                <w:rFonts w:ascii="Times New Roman" w:hAnsi="Times New Roman" w:cs="Times New Roman"/>
                <w:caps/>
                <w:spacing w:val="20"/>
                <w:lang w:eastAsia="sk-SK"/>
              </w:rPr>
            </w:pPr>
            <w:r w:rsidRPr="001300A9">
              <w:rPr>
                <w:rFonts w:ascii="Times New Roman" w:hAnsi="Times New Roman" w:cs="Times New Roman"/>
                <w:caps/>
                <w:spacing w:val="20"/>
                <w:lang w:eastAsia="sk-SK"/>
              </w:rPr>
              <w:t>4</w:t>
            </w:r>
          </w:p>
        </w:tc>
        <w:tc>
          <w:tcPr>
            <w:tcW w:w="567" w:type="dxa"/>
          </w:tcPr>
          <w:p w14:paraId="2796A890" w14:textId="77777777" w:rsidR="00357CEC" w:rsidRPr="001300A9" w:rsidRDefault="00357CEC" w:rsidP="00B97553">
            <w:pPr>
              <w:spacing w:after="0" w:line="240" w:lineRule="auto"/>
              <w:rPr>
                <w:rFonts w:ascii="Times New Roman" w:hAnsi="Times New Roman" w:cs="Times New Roman"/>
                <w:caps/>
                <w:spacing w:val="20"/>
                <w:lang w:eastAsia="sk-SK"/>
              </w:rPr>
            </w:pPr>
            <w:r w:rsidRPr="001300A9">
              <w:rPr>
                <w:rFonts w:ascii="Times New Roman" w:hAnsi="Times New Roman" w:cs="Times New Roman"/>
                <w:caps/>
                <w:spacing w:val="20"/>
                <w:lang w:eastAsia="sk-SK"/>
              </w:rPr>
              <w:t>5</w:t>
            </w:r>
          </w:p>
        </w:tc>
        <w:tc>
          <w:tcPr>
            <w:tcW w:w="4253" w:type="dxa"/>
          </w:tcPr>
          <w:p w14:paraId="59CD64EB" w14:textId="77777777" w:rsidR="00357CEC" w:rsidRPr="001300A9" w:rsidRDefault="00357CEC" w:rsidP="00B97553">
            <w:pPr>
              <w:spacing w:after="0" w:line="240" w:lineRule="auto"/>
              <w:rPr>
                <w:rFonts w:ascii="Times New Roman" w:hAnsi="Times New Roman" w:cs="Times New Roman"/>
                <w:caps/>
                <w:spacing w:val="20"/>
                <w:lang w:eastAsia="sk-SK"/>
              </w:rPr>
            </w:pPr>
            <w:r w:rsidRPr="001300A9">
              <w:rPr>
                <w:rFonts w:ascii="Times New Roman" w:hAnsi="Times New Roman" w:cs="Times New Roman"/>
                <w:caps/>
                <w:spacing w:val="20"/>
                <w:lang w:eastAsia="sk-SK"/>
              </w:rPr>
              <w:t>6</w:t>
            </w:r>
          </w:p>
        </w:tc>
        <w:tc>
          <w:tcPr>
            <w:tcW w:w="567" w:type="dxa"/>
          </w:tcPr>
          <w:p w14:paraId="37A56596" w14:textId="77777777" w:rsidR="00357CEC" w:rsidRPr="001300A9" w:rsidRDefault="00357CEC" w:rsidP="00B97553">
            <w:pPr>
              <w:spacing w:after="0" w:line="240" w:lineRule="auto"/>
              <w:rPr>
                <w:rFonts w:ascii="Times New Roman" w:hAnsi="Times New Roman" w:cs="Times New Roman"/>
                <w:caps/>
                <w:spacing w:val="20"/>
                <w:lang w:eastAsia="sk-SK"/>
              </w:rPr>
            </w:pPr>
            <w:r w:rsidRPr="001300A9">
              <w:rPr>
                <w:rFonts w:ascii="Times New Roman" w:hAnsi="Times New Roman" w:cs="Times New Roman"/>
                <w:caps/>
                <w:spacing w:val="20"/>
                <w:lang w:eastAsia="sk-SK"/>
              </w:rPr>
              <w:t>7</w:t>
            </w:r>
          </w:p>
        </w:tc>
        <w:tc>
          <w:tcPr>
            <w:tcW w:w="1276" w:type="dxa"/>
          </w:tcPr>
          <w:p w14:paraId="5F36F9A4" w14:textId="77777777" w:rsidR="00357CEC" w:rsidRPr="001300A9" w:rsidRDefault="00357CEC" w:rsidP="00B97553">
            <w:pPr>
              <w:spacing w:after="0" w:line="240" w:lineRule="auto"/>
              <w:rPr>
                <w:rFonts w:ascii="Times New Roman" w:hAnsi="Times New Roman" w:cs="Times New Roman"/>
                <w:caps/>
                <w:spacing w:val="20"/>
                <w:lang w:eastAsia="sk-SK"/>
              </w:rPr>
            </w:pPr>
            <w:r w:rsidRPr="001300A9">
              <w:rPr>
                <w:rFonts w:ascii="Times New Roman" w:hAnsi="Times New Roman" w:cs="Times New Roman"/>
                <w:caps/>
                <w:spacing w:val="20"/>
                <w:lang w:eastAsia="sk-SK"/>
              </w:rPr>
              <w:t>8</w:t>
            </w:r>
          </w:p>
        </w:tc>
        <w:tc>
          <w:tcPr>
            <w:tcW w:w="850" w:type="dxa"/>
          </w:tcPr>
          <w:p w14:paraId="5B13F3B9" w14:textId="77777777" w:rsidR="00357CEC" w:rsidRPr="001300A9" w:rsidRDefault="00357CEC" w:rsidP="00B97553">
            <w:pPr>
              <w:spacing w:after="0" w:line="240" w:lineRule="auto"/>
              <w:rPr>
                <w:rFonts w:ascii="Times New Roman" w:hAnsi="Times New Roman" w:cs="Times New Roman"/>
                <w:caps/>
                <w:spacing w:val="20"/>
                <w:lang w:eastAsia="sk-SK"/>
              </w:rPr>
            </w:pPr>
            <w:r w:rsidRPr="001300A9">
              <w:rPr>
                <w:rFonts w:ascii="Times New Roman" w:hAnsi="Times New Roman" w:cs="Times New Roman"/>
                <w:caps/>
                <w:spacing w:val="20"/>
                <w:lang w:eastAsia="sk-SK"/>
              </w:rPr>
              <w:t>9</w:t>
            </w:r>
          </w:p>
        </w:tc>
        <w:tc>
          <w:tcPr>
            <w:tcW w:w="815" w:type="dxa"/>
          </w:tcPr>
          <w:p w14:paraId="2779F6AC" w14:textId="77777777" w:rsidR="00357CEC" w:rsidRPr="001300A9" w:rsidRDefault="00357CEC" w:rsidP="00B97553">
            <w:pPr>
              <w:spacing w:after="0" w:line="240" w:lineRule="auto"/>
              <w:rPr>
                <w:rFonts w:ascii="Times New Roman" w:hAnsi="Times New Roman" w:cs="Times New Roman"/>
                <w:caps/>
                <w:spacing w:val="20"/>
                <w:lang w:eastAsia="sk-SK"/>
              </w:rPr>
            </w:pPr>
            <w:r w:rsidRPr="001300A9">
              <w:rPr>
                <w:rFonts w:ascii="Times New Roman" w:hAnsi="Times New Roman" w:cs="Times New Roman"/>
                <w:caps/>
                <w:spacing w:val="20"/>
                <w:lang w:eastAsia="sk-SK"/>
              </w:rPr>
              <w:t>10</w:t>
            </w:r>
          </w:p>
        </w:tc>
      </w:tr>
      <w:tr w:rsidR="00DD6EDC" w:rsidRPr="001300A9" w14:paraId="1913B0CB" w14:textId="77777777" w:rsidTr="360410BC">
        <w:tc>
          <w:tcPr>
            <w:tcW w:w="562" w:type="dxa"/>
          </w:tcPr>
          <w:p w14:paraId="42819E87" w14:textId="77777777" w:rsidR="00357CEC" w:rsidRPr="001300A9" w:rsidRDefault="00357CEC" w:rsidP="00357CEC">
            <w:pPr>
              <w:pStyle w:val="Default"/>
              <w:rPr>
                <w:sz w:val="22"/>
                <w:szCs w:val="22"/>
              </w:rPr>
            </w:pPr>
            <w:r w:rsidRPr="001300A9">
              <w:rPr>
                <w:sz w:val="22"/>
                <w:szCs w:val="22"/>
              </w:rPr>
              <w:t xml:space="preserve">Článok </w:t>
            </w:r>
          </w:p>
          <w:p w14:paraId="01AB8B4C" w14:textId="77777777" w:rsidR="00357CEC" w:rsidRPr="001300A9" w:rsidRDefault="00357CEC" w:rsidP="00357CEC">
            <w:pPr>
              <w:pStyle w:val="Default"/>
              <w:rPr>
                <w:sz w:val="22"/>
                <w:szCs w:val="22"/>
              </w:rPr>
            </w:pPr>
            <w:r w:rsidRPr="001300A9">
              <w:rPr>
                <w:sz w:val="22"/>
                <w:szCs w:val="22"/>
              </w:rPr>
              <w:t xml:space="preserve">(Č, O, </w:t>
            </w:r>
          </w:p>
          <w:p w14:paraId="2D0B8574" w14:textId="77777777" w:rsidR="00357CEC" w:rsidRPr="001300A9" w:rsidRDefault="00357CEC" w:rsidP="00357CEC">
            <w:pPr>
              <w:spacing w:after="0" w:line="240" w:lineRule="auto"/>
              <w:rPr>
                <w:rFonts w:ascii="Times New Roman" w:hAnsi="Times New Roman" w:cs="Times New Roman"/>
                <w:caps/>
                <w:spacing w:val="20"/>
                <w:lang w:eastAsia="sk-SK"/>
              </w:rPr>
            </w:pPr>
            <w:r w:rsidRPr="001300A9">
              <w:rPr>
                <w:rFonts w:ascii="Times New Roman" w:hAnsi="Times New Roman" w:cs="Times New Roman"/>
              </w:rPr>
              <w:t xml:space="preserve">V, P) </w:t>
            </w:r>
          </w:p>
        </w:tc>
        <w:tc>
          <w:tcPr>
            <w:tcW w:w="4820" w:type="dxa"/>
          </w:tcPr>
          <w:p w14:paraId="2E0B7861" w14:textId="77777777" w:rsidR="00357CEC" w:rsidRPr="001300A9" w:rsidRDefault="00357CEC" w:rsidP="00357CEC">
            <w:pPr>
              <w:pStyle w:val="Default"/>
              <w:rPr>
                <w:sz w:val="22"/>
                <w:szCs w:val="22"/>
              </w:rPr>
            </w:pPr>
            <w:r w:rsidRPr="001300A9">
              <w:rPr>
                <w:sz w:val="22"/>
                <w:szCs w:val="22"/>
              </w:rPr>
              <w:t xml:space="preserve">Text </w:t>
            </w:r>
          </w:p>
          <w:p w14:paraId="0915E56D" w14:textId="77777777" w:rsidR="00357CEC" w:rsidRPr="001300A9" w:rsidRDefault="00357CEC" w:rsidP="00357CEC">
            <w:pPr>
              <w:spacing w:after="0" w:line="240" w:lineRule="auto"/>
              <w:rPr>
                <w:rFonts w:ascii="Times New Roman" w:hAnsi="Times New Roman" w:cs="Times New Roman"/>
                <w:caps/>
                <w:spacing w:val="20"/>
                <w:lang w:eastAsia="sk-SK"/>
              </w:rPr>
            </w:pPr>
          </w:p>
        </w:tc>
        <w:tc>
          <w:tcPr>
            <w:tcW w:w="567" w:type="dxa"/>
          </w:tcPr>
          <w:p w14:paraId="280F4550" w14:textId="77777777" w:rsidR="00357CEC" w:rsidRPr="001300A9" w:rsidRDefault="00357CEC" w:rsidP="00357CEC">
            <w:pPr>
              <w:pStyle w:val="Default"/>
              <w:rPr>
                <w:sz w:val="22"/>
                <w:szCs w:val="22"/>
              </w:rPr>
            </w:pPr>
            <w:r w:rsidRPr="001300A9">
              <w:rPr>
                <w:sz w:val="22"/>
                <w:szCs w:val="22"/>
              </w:rPr>
              <w:t xml:space="preserve">Spôsob transpozície </w:t>
            </w:r>
          </w:p>
          <w:p w14:paraId="6CE2E92C" w14:textId="77777777" w:rsidR="00357CEC" w:rsidRPr="001300A9" w:rsidRDefault="00357CEC" w:rsidP="00357CEC">
            <w:pPr>
              <w:spacing w:after="0" w:line="240" w:lineRule="auto"/>
              <w:rPr>
                <w:rFonts w:ascii="Times New Roman" w:hAnsi="Times New Roman" w:cs="Times New Roman"/>
                <w:caps/>
                <w:spacing w:val="20"/>
                <w:lang w:eastAsia="sk-SK"/>
              </w:rPr>
            </w:pPr>
          </w:p>
        </w:tc>
        <w:tc>
          <w:tcPr>
            <w:tcW w:w="283" w:type="dxa"/>
          </w:tcPr>
          <w:p w14:paraId="58183864" w14:textId="77777777" w:rsidR="00357CEC" w:rsidRPr="001300A9" w:rsidRDefault="00357CEC" w:rsidP="00357CEC">
            <w:pPr>
              <w:pStyle w:val="Default"/>
              <w:rPr>
                <w:sz w:val="22"/>
                <w:szCs w:val="22"/>
              </w:rPr>
            </w:pPr>
            <w:r w:rsidRPr="001300A9">
              <w:rPr>
                <w:sz w:val="22"/>
                <w:szCs w:val="22"/>
              </w:rPr>
              <w:t>Číslo</w:t>
            </w:r>
          </w:p>
        </w:tc>
        <w:tc>
          <w:tcPr>
            <w:tcW w:w="567" w:type="dxa"/>
          </w:tcPr>
          <w:p w14:paraId="34383476" w14:textId="77777777" w:rsidR="00357CEC" w:rsidRPr="001300A9" w:rsidRDefault="00357CEC" w:rsidP="00357CEC">
            <w:pPr>
              <w:pStyle w:val="Default"/>
              <w:rPr>
                <w:sz w:val="22"/>
                <w:szCs w:val="22"/>
              </w:rPr>
            </w:pPr>
            <w:r w:rsidRPr="001300A9">
              <w:rPr>
                <w:sz w:val="22"/>
                <w:szCs w:val="22"/>
              </w:rPr>
              <w:t>Článok</w:t>
            </w:r>
            <w:r w:rsidR="00DD6EDC" w:rsidRPr="001300A9">
              <w:rPr>
                <w:sz w:val="22"/>
                <w:szCs w:val="22"/>
              </w:rPr>
              <w:t xml:space="preserve"> (Č, §, O, V, P)</w:t>
            </w:r>
          </w:p>
        </w:tc>
        <w:tc>
          <w:tcPr>
            <w:tcW w:w="4253" w:type="dxa"/>
          </w:tcPr>
          <w:p w14:paraId="6B416E6D" w14:textId="77777777" w:rsidR="00357CEC" w:rsidRPr="001300A9" w:rsidRDefault="00357CEC" w:rsidP="00357CEC">
            <w:pPr>
              <w:pStyle w:val="Default"/>
              <w:rPr>
                <w:sz w:val="22"/>
                <w:szCs w:val="22"/>
              </w:rPr>
            </w:pPr>
            <w:r w:rsidRPr="001300A9">
              <w:rPr>
                <w:sz w:val="22"/>
                <w:szCs w:val="22"/>
              </w:rPr>
              <w:t>Text</w:t>
            </w:r>
          </w:p>
        </w:tc>
        <w:tc>
          <w:tcPr>
            <w:tcW w:w="567" w:type="dxa"/>
          </w:tcPr>
          <w:p w14:paraId="48364A73" w14:textId="77777777" w:rsidR="00357CEC" w:rsidRPr="001300A9" w:rsidRDefault="00357CEC" w:rsidP="00357CEC">
            <w:pPr>
              <w:pStyle w:val="Default"/>
              <w:rPr>
                <w:sz w:val="22"/>
                <w:szCs w:val="22"/>
              </w:rPr>
            </w:pPr>
            <w:r w:rsidRPr="001300A9">
              <w:rPr>
                <w:sz w:val="22"/>
                <w:szCs w:val="22"/>
              </w:rPr>
              <w:t>Zhoda</w:t>
            </w:r>
          </w:p>
        </w:tc>
        <w:tc>
          <w:tcPr>
            <w:tcW w:w="1276" w:type="dxa"/>
          </w:tcPr>
          <w:p w14:paraId="65D30B8C" w14:textId="77777777" w:rsidR="00357CEC" w:rsidRPr="001300A9" w:rsidRDefault="00357CEC" w:rsidP="00357CEC">
            <w:pPr>
              <w:pStyle w:val="Default"/>
              <w:rPr>
                <w:sz w:val="22"/>
                <w:szCs w:val="22"/>
              </w:rPr>
            </w:pPr>
            <w:r w:rsidRPr="001300A9">
              <w:rPr>
                <w:sz w:val="22"/>
                <w:szCs w:val="22"/>
              </w:rPr>
              <w:t>Poznámky</w:t>
            </w:r>
          </w:p>
        </w:tc>
        <w:tc>
          <w:tcPr>
            <w:tcW w:w="850" w:type="dxa"/>
          </w:tcPr>
          <w:p w14:paraId="6C6ED7AB" w14:textId="77777777" w:rsidR="00357CEC" w:rsidRPr="001300A9" w:rsidRDefault="00357CEC" w:rsidP="00357CEC">
            <w:pPr>
              <w:pStyle w:val="Default"/>
              <w:rPr>
                <w:sz w:val="22"/>
                <w:szCs w:val="22"/>
              </w:rPr>
            </w:pPr>
            <w:r w:rsidRPr="001300A9">
              <w:rPr>
                <w:sz w:val="22"/>
                <w:szCs w:val="22"/>
              </w:rPr>
              <w:t xml:space="preserve">Identifikácia </w:t>
            </w:r>
            <w:proofErr w:type="spellStart"/>
            <w:r w:rsidRPr="001300A9">
              <w:rPr>
                <w:sz w:val="22"/>
                <w:szCs w:val="22"/>
              </w:rPr>
              <w:t>goldplatingu</w:t>
            </w:r>
            <w:proofErr w:type="spellEnd"/>
          </w:p>
        </w:tc>
        <w:tc>
          <w:tcPr>
            <w:tcW w:w="815" w:type="dxa"/>
          </w:tcPr>
          <w:p w14:paraId="7354A4D8" w14:textId="77777777" w:rsidR="00357CEC" w:rsidRPr="001300A9" w:rsidRDefault="00357CEC" w:rsidP="00357CEC">
            <w:pPr>
              <w:pStyle w:val="Default"/>
              <w:rPr>
                <w:sz w:val="22"/>
                <w:szCs w:val="22"/>
              </w:rPr>
            </w:pPr>
            <w:r w:rsidRPr="001300A9">
              <w:rPr>
                <w:sz w:val="22"/>
                <w:szCs w:val="22"/>
              </w:rPr>
              <w:t xml:space="preserve">Identifikácia oblasti </w:t>
            </w:r>
            <w:proofErr w:type="spellStart"/>
            <w:r w:rsidRPr="001300A9">
              <w:rPr>
                <w:sz w:val="22"/>
                <w:szCs w:val="22"/>
              </w:rPr>
              <w:t>gold</w:t>
            </w:r>
            <w:proofErr w:type="spellEnd"/>
            <w:r w:rsidRPr="001300A9">
              <w:rPr>
                <w:sz w:val="22"/>
                <w:szCs w:val="22"/>
              </w:rPr>
              <w:t xml:space="preserve">- </w:t>
            </w:r>
            <w:proofErr w:type="spellStart"/>
            <w:r w:rsidRPr="001300A9">
              <w:rPr>
                <w:sz w:val="22"/>
                <w:szCs w:val="22"/>
              </w:rPr>
              <w:t>platingu</w:t>
            </w:r>
            <w:proofErr w:type="spellEnd"/>
            <w:r w:rsidRPr="001300A9">
              <w:rPr>
                <w:sz w:val="22"/>
                <w:szCs w:val="22"/>
              </w:rPr>
              <w:t xml:space="preserve"> a vyjadrenie k </w:t>
            </w:r>
          </w:p>
          <w:p w14:paraId="1144D7B3" w14:textId="77777777" w:rsidR="00357CEC" w:rsidRPr="001300A9" w:rsidRDefault="00357CEC" w:rsidP="00357CEC">
            <w:pPr>
              <w:pStyle w:val="Default"/>
              <w:rPr>
                <w:sz w:val="22"/>
                <w:szCs w:val="22"/>
              </w:rPr>
            </w:pPr>
            <w:r w:rsidRPr="001300A9">
              <w:rPr>
                <w:sz w:val="22"/>
                <w:szCs w:val="22"/>
              </w:rPr>
              <w:t xml:space="preserve">opodstatnenosti </w:t>
            </w:r>
            <w:proofErr w:type="spellStart"/>
            <w:r w:rsidRPr="001300A9">
              <w:rPr>
                <w:sz w:val="22"/>
                <w:szCs w:val="22"/>
              </w:rPr>
              <w:t>goldplatingu</w:t>
            </w:r>
            <w:proofErr w:type="spellEnd"/>
            <w:r w:rsidRPr="001300A9">
              <w:rPr>
                <w:sz w:val="22"/>
                <w:szCs w:val="22"/>
              </w:rPr>
              <w:t xml:space="preserve">* </w:t>
            </w:r>
          </w:p>
        </w:tc>
      </w:tr>
      <w:tr w:rsidR="00DD6EDC" w:rsidRPr="001300A9" w14:paraId="59F78B36" w14:textId="77777777" w:rsidTr="360410BC">
        <w:tc>
          <w:tcPr>
            <w:tcW w:w="562" w:type="dxa"/>
          </w:tcPr>
          <w:p w14:paraId="23720928" w14:textId="77777777" w:rsidR="00357CEC" w:rsidRPr="001300A9" w:rsidRDefault="00357CEC" w:rsidP="00357CEC">
            <w:pPr>
              <w:pStyle w:val="Default"/>
              <w:rPr>
                <w:sz w:val="22"/>
                <w:szCs w:val="22"/>
              </w:rPr>
            </w:pPr>
            <w:r w:rsidRPr="001300A9">
              <w:rPr>
                <w:sz w:val="22"/>
                <w:szCs w:val="22"/>
              </w:rPr>
              <w:t>Č: 1</w:t>
            </w:r>
          </w:p>
          <w:p w14:paraId="68D5F9DA" w14:textId="77777777" w:rsidR="00357CEC" w:rsidRPr="001300A9" w:rsidRDefault="00357CEC" w:rsidP="00357CEC">
            <w:pPr>
              <w:pStyle w:val="Default"/>
              <w:rPr>
                <w:sz w:val="22"/>
                <w:szCs w:val="22"/>
              </w:rPr>
            </w:pPr>
            <w:r w:rsidRPr="001300A9">
              <w:rPr>
                <w:sz w:val="22"/>
                <w:szCs w:val="22"/>
              </w:rPr>
              <w:t>O: 1</w:t>
            </w:r>
          </w:p>
        </w:tc>
        <w:tc>
          <w:tcPr>
            <w:tcW w:w="4820" w:type="dxa"/>
          </w:tcPr>
          <w:p w14:paraId="73DF147B" w14:textId="77777777" w:rsidR="00357CEC" w:rsidRPr="001300A9" w:rsidRDefault="00357CEC" w:rsidP="00357CEC">
            <w:pPr>
              <w:pStyle w:val="Default"/>
              <w:rPr>
                <w:sz w:val="22"/>
                <w:szCs w:val="22"/>
              </w:rPr>
            </w:pPr>
            <w:r w:rsidRPr="001300A9">
              <w:rPr>
                <w:sz w:val="22"/>
                <w:szCs w:val="22"/>
              </w:rPr>
              <w:t xml:space="preserve">Táto smernica zároveň stanovuje väčšie zníženie emisií skleníkových plynov s cieľom prispieť k takým úrovniam zníženia, ktoré sa z vedeckého hľadiska považujú za nevyhnutné na zabránenie nebezpečnej zmeny klímy. Prispieva k plneniu zámeru Únie dosiahnuť klimatickú neutralitu a jej klimatických cieľov stanovených v nariadení Európskeho </w:t>
            </w:r>
            <w:r w:rsidRPr="001300A9">
              <w:rPr>
                <w:sz w:val="22"/>
                <w:szCs w:val="22"/>
              </w:rPr>
              <w:lastRenderedPageBreak/>
              <w:t>parlamentu a Rady (EÚ) 2021/1119*, a tým aj k dosiahnutiu cieľov Parížskej dohody**</w:t>
            </w:r>
          </w:p>
          <w:p w14:paraId="5021AF4A" w14:textId="77777777" w:rsidR="00357CEC" w:rsidRPr="001300A9" w:rsidRDefault="00357CEC" w:rsidP="00357CEC">
            <w:pPr>
              <w:pStyle w:val="Default"/>
              <w:rPr>
                <w:sz w:val="22"/>
                <w:szCs w:val="22"/>
              </w:rPr>
            </w:pPr>
          </w:p>
          <w:p w14:paraId="374E866C" w14:textId="77777777" w:rsidR="00357CEC" w:rsidRPr="001300A9" w:rsidRDefault="00357CEC" w:rsidP="00357CEC">
            <w:pPr>
              <w:pStyle w:val="Default"/>
              <w:rPr>
                <w:sz w:val="22"/>
                <w:szCs w:val="22"/>
              </w:rPr>
            </w:pPr>
            <w:r w:rsidRPr="001300A9">
              <w:rPr>
                <w:sz w:val="22"/>
                <w:szCs w:val="22"/>
              </w:rPr>
              <w:t>* Nariadenie Európskeho parlamentu a Rady (EÚ) 2021/1119 z 30. júna 2021, ktorým sa stanovuje rámec na dosiahnutie klimatickej neutrality a menia nariadenia (ES) č. 401/2009 a (EÚ) 2018/1999 (európsky právny predpis v oblasti klímy) (Ú. v. EÚ L 243, 9.7.2021, s. 1).</w:t>
            </w:r>
          </w:p>
          <w:p w14:paraId="5A879D39" w14:textId="77777777" w:rsidR="00357CEC" w:rsidRPr="001300A9" w:rsidRDefault="00357CEC" w:rsidP="00357CEC">
            <w:pPr>
              <w:pStyle w:val="Default"/>
              <w:rPr>
                <w:sz w:val="22"/>
                <w:szCs w:val="22"/>
              </w:rPr>
            </w:pPr>
            <w:r w:rsidRPr="001300A9">
              <w:rPr>
                <w:sz w:val="22"/>
                <w:szCs w:val="22"/>
              </w:rPr>
              <w:t>** Ú. v. EÚ L 282, 19.10.2016, s. 4</w:t>
            </w:r>
          </w:p>
        </w:tc>
        <w:tc>
          <w:tcPr>
            <w:tcW w:w="567" w:type="dxa"/>
          </w:tcPr>
          <w:p w14:paraId="1FA77232" w14:textId="77777777" w:rsidR="00357CEC" w:rsidRPr="001300A9" w:rsidRDefault="00357CEC" w:rsidP="00357CEC">
            <w:pPr>
              <w:pStyle w:val="Default"/>
              <w:rPr>
                <w:sz w:val="22"/>
                <w:szCs w:val="22"/>
              </w:rPr>
            </w:pPr>
            <w:proofErr w:type="spellStart"/>
            <w:r w:rsidRPr="001300A9">
              <w:rPr>
                <w:sz w:val="22"/>
                <w:szCs w:val="22"/>
              </w:rPr>
              <w:lastRenderedPageBreak/>
              <w:t>n.a</w:t>
            </w:r>
            <w:proofErr w:type="spellEnd"/>
            <w:r w:rsidRPr="001300A9">
              <w:rPr>
                <w:sz w:val="22"/>
                <w:szCs w:val="22"/>
              </w:rPr>
              <w:t>.</w:t>
            </w:r>
          </w:p>
        </w:tc>
        <w:tc>
          <w:tcPr>
            <w:tcW w:w="283" w:type="dxa"/>
          </w:tcPr>
          <w:p w14:paraId="75D49D83" w14:textId="77777777" w:rsidR="00357CEC" w:rsidRPr="001300A9" w:rsidRDefault="00357CEC" w:rsidP="00357CEC">
            <w:pPr>
              <w:pStyle w:val="Default"/>
              <w:rPr>
                <w:sz w:val="22"/>
                <w:szCs w:val="22"/>
              </w:rPr>
            </w:pPr>
          </w:p>
        </w:tc>
        <w:tc>
          <w:tcPr>
            <w:tcW w:w="567" w:type="dxa"/>
          </w:tcPr>
          <w:p w14:paraId="78AB9104" w14:textId="77777777" w:rsidR="00357CEC" w:rsidRPr="001300A9" w:rsidRDefault="00357CEC" w:rsidP="00357CEC">
            <w:pPr>
              <w:pStyle w:val="Default"/>
              <w:rPr>
                <w:sz w:val="22"/>
                <w:szCs w:val="22"/>
              </w:rPr>
            </w:pPr>
          </w:p>
        </w:tc>
        <w:tc>
          <w:tcPr>
            <w:tcW w:w="4253" w:type="dxa"/>
          </w:tcPr>
          <w:p w14:paraId="68E72BFB" w14:textId="77777777" w:rsidR="00357CEC" w:rsidRPr="001300A9" w:rsidRDefault="00357CEC" w:rsidP="00357CEC">
            <w:pPr>
              <w:pStyle w:val="Default"/>
              <w:rPr>
                <w:sz w:val="22"/>
                <w:szCs w:val="22"/>
              </w:rPr>
            </w:pPr>
          </w:p>
        </w:tc>
        <w:tc>
          <w:tcPr>
            <w:tcW w:w="567" w:type="dxa"/>
          </w:tcPr>
          <w:p w14:paraId="078F1AD2" w14:textId="77777777" w:rsidR="00357CEC" w:rsidRPr="001300A9" w:rsidRDefault="00357CEC" w:rsidP="00357CEC">
            <w:pPr>
              <w:pStyle w:val="Default"/>
              <w:rPr>
                <w:sz w:val="22"/>
                <w:szCs w:val="22"/>
              </w:rPr>
            </w:pPr>
          </w:p>
        </w:tc>
        <w:tc>
          <w:tcPr>
            <w:tcW w:w="1276" w:type="dxa"/>
          </w:tcPr>
          <w:p w14:paraId="1804AD94" w14:textId="77777777" w:rsidR="00357CEC" w:rsidRPr="001300A9" w:rsidRDefault="00357CEC" w:rsidP="00357CEC">
            <w:pPr>
              <w:pStyle w:val="Default"/>
              <w:rPr>
                <w:sz w:val="22"/>
                <w:szCs w:val="22"/>
              </w:rPr>
            </w:pPr>
          </w:p>
        </w:tc>
        <w:tc>
          <w:tcPr>
            <w:tcW w:w="850" w:type="dxa"/>
          </w:tcPr>
          <w:p w14:paraId="0683BE97" w14:textId="77777777" w:rsidR="00357CEC" w:rsidRPr="001300A9" w:rsidRDefault="00357CEC" w:rsidP="00357CEC">
            <w:pPr>
              <w:pStyle w:val="Default"/>
              <w:rPr>
                <w:sz w:val="22"/>
                <w:szCs w:val="22"/>
              </w:rPr>
            </w:pPr>
          </w:p>
        </w:tc>
        <w:tc>
          <w:tcPr>
            <w:tcW w:w="815" w:type="dxa"/>
          </w:tcPr>
          <w:p w14:paraId="073366B3" w14:textId="77777777" w:rsidR="00357CEC" w:rsidRPr="001300A9" w:rsidRDefault="00357CEC" w:rsidP="00357CEC">
            <w:pPr>
              <w:pStyle w:val="Default"/>
              <w:rPr>
                <w:sz w:val="22"/>
                <w:szCs w:val="22"/>
              </w:rPr>
            </w:pPr>
          </w:p>
        </w:tc>
      </w:tr>
      <w:tr w:rsidR="00DD6EDC" w:rsidRPr="001300A9" w14:paraId="7843140E" w14:textId="77777777" w:rsidTr="360410BC">
        <w:tc>
          <w:tcPr>
            <w:tcW w:w="562" w:type="dxa"/>
          </w:tcPr>
          <w:p w14:paraId="08A47A93" w14:textId="77777777" w:rsidR="00357CEC" w:rsidRPr="001300A9" w:rsidRDefault="00357CEC" w:rsidP="00357CEC">
            <w:pPr>
              <w:pStyle w:val="Default"/>
              <w:rPr>
                <w:sz w:val="22"/>
                <w:szCs w:val="22"/>
              </w:rPr>
            </w:pPr>
            <w:r w:rsidRPr="001300A9">
              <w:rPr>
                <w:sz w:val="22"/>
                <w:szCs w:val="22"/>
              </w:rPr>
              <w:t>Č: 1</w:t>
            </w:r>
          </w:p>
          <w:p w14:paraId="28FF18B8" w14:textId="77777777" w:rsidR="00357CEC" w:rsidRPr="001300A9" w:rsidRDefault="00357CEC" w:rsidP="00357CEC">
            <w:pPr>
              <w:pStyle w:val="Default"/>
              <w:rPr>
                <w:sz w:val="22"/>
                <w:szCs w:val="22"/>
              </w:rPr>
            </w:pPr>
            <w:r w:rsidRPr="001300A9">
              <w:rPr>
                <w:sz w:val="22"/>
                <w:szCs w:val="22"/>
              </w:rPr>
              <w:t>O: 2</w:t>
            </w:r>
          </w:p>
        </w:tc>
        <w:tc>
          <w:tcPr>
            <w:tcW w:w="4820" w:type="dxa"/>
          </w:tcPr>
          <w:p w14:paraId="5D6410FA" w14:textId="77777777" w:rsidR="00357CEC" w:rsidRPr="001300A9" w:rsidRDefault="00357CEC" w:rsidP="00357CEC">
            <w:pPr>
              <w:pStyle w:val="Default"/>
              <w:rPr>
                <w:sz w:val="22"/>
                <w:szCs w:val="22"/>
              </w:rPr>
            </w:pPr>
            <w:r w:rsidRPr="001300A9">
              <w:rPr>
                <w:sz w:val="22"/>
                <w:szCs w:val="22"/>
              </w:rPr>
              <w:t xml:space="preserve">1. Táto smernica sa vzťahuje na činnosti uvedené v prílohách I a III a na skleníkové plyny uvedené v prílohe II. Ak zariadenie, ktoré je zahrnuté do rozsahu pôsobnosti systému EU ETS z dôvodu prevádzky spaľovacích jednotiek s celkovým menovitým tepelným príkonom vyšším ako 20 MW, zmení svoje výrobné procesy s cieľom znížiť svoje emisie skleníkových plynov a už nespĺňa uvedenú prahovú hodnotu, členský štát, v ktorom sa uvedené zariadenie nachádza, poskytne prevádzkovateľovi možnosti, aby po zmene svojich výrobných procesov zostal v rozsahu pôsobnosti systému EU ETS do konca súčasného a nasledujúceho päťročného obdobia uvedeného v článku 11 ods. 1 druhom </w:t>
            </w:r>
            <w:proofErr w:type="spellStart"/>
            <w:r w:rsidRPr="001300A9">
              <w:rPr>
                <w:sz w:val="22"/>
                <w:szCs w:val="22"/>
              </w:rPr>
              <w:t>pododseku</w:t>
            </w:r>
            <w:proofErr w:type="spellEnd"/>
            <w:r w:rsidRPr="001300A9">
              <w:rPr>
                <w:sz w:val="22"/>
                <w:szCs w:val="22"/>
              </w:rPr>
              <w:t>. Prevádzkovateľ tohto zariadenia môže rozhodnúť, že zariadenie zostane v rozsahu pôsobnosti systému EU ETS len do konca súčasného päťročného obdobia alebo aj nasledujúceho päťročného obdobia, a to po zmene jeho výrobných procesov. Dotknutý členský štát oznámi Komisii zmeny v porovnaní so zoznamom predloženým Komisii podľa článku 11 ods. 1.</w:t>
            </w:r>
          </w:p>
          <w:p w14:paraId="62EC2142" w14:textId="77777777" w:rsidR="00357CEC" w:rsidRPr="001300A9" w:rsidRDefault="00357CEC" w:rsidP="00357CEC">
            <w:pPr>
              <w:pStyle w:val="Default"/>
              <w:rPr>
                <w:sz w:val="22"/>
                <w:szCs w:val="22"/>
              </w:rPr>
            </w:pPr>
          </w:p>
          <w:p w14:paraId="3D5AC009" w14:textId="7352367D" w:rsidR="4792BE4F" w:rsidRDefault="4792BE4F" w:rsidP="4792BE4F">
            <w:pPr>
              <w:pStyle w:val="Default"/>
              <w:rPr>
                <w:sz w:val="22"/>
                <w:szCs w:val="22"/>
              </w:rPr>
            </w:pPr>
          </w:p>
          <w:p w14:paraId="7D518A8F" w14:textId="63D5EA75" w:rsidR="4792BE4F" w:rsidRDefault="4792BE4F" w:rsidP="4792BE4F">
            <w:pPr>
              <w:pStyle w:val="Default"/>
              <w:rPr>
                <w:sz w:val="22"/>
                <w:szCs w:val="22"/>
              </w:rPr>
            </w:pPr>
          </w:p>
          <w:p w14:paraId="40EE2EAC" w14:textId="2AD5B537" w:rsidR="4792BE4F" w:rsidRDefault="4792BE4F" w:rsidP="4792BE4F">
            <w:pPr>
              <w:pStyle w:val="Default"/>
              <w:rPr>
                <w:sz w:val="22"/>
                <w:szCs w:val="22"/>
              </w:rPr>
            </w:pPr>
          </w:p>
          <w:p w14:paraId="52267AC3" w14:textId="5C2B340B" w:rsidR="4792BE4F" w:rsidRDefault="4792BE4F" w:rsidP="4792BE4F">
            <w:pPr>
              <w:pStyle w:val="Default"/>
              <w:rPr>
                <w:sz w:val="22"/>
                <w:szCs w:val="22"/>
              </w:rPr>
            </w:pPr>
          </w:p>
          <w:p w14:paraId="561FCC48" w14:textId="79E68373" w:rsidR="4792BE4F" w:rsidRDefault="4792BE4F" w:rsidP="4792BE4F">
            <w:pPr>
              <w:pStyle w:val="Default"/>
              <w:rPr>
                <w:sz w:val="22"/>
                <w:szCs w:val="22"/>
              </w:rPr>
            </w:pPr>
          </w:p>
          <w:p w14:paraId="76E8E6F5" w14:textId="7935811E" w:rsidR="4792BE4F" w:rsidRDefault="4792BE4F" w:rsidP="4792BE4F">
            <w:pPr>
              <w:pStyle w:val="Default"/>
              <w:rPr>
                <w:sz w:val="22"/>
                <w:szCs w:val="22"/>
              </w:rPr>
            </w:pPr>
          </w:p>
          <w:p w14:paraId="72232078" w14:textId="74F4C442" w:rsidR="4792BE4F" w:rsidRDefault="4792BE4F" w:rsidP="4792BE4F">
            <w:pPr>
              <w:pStyle w:val="Default"/>
              <w:rPr>
                <w:sz w:val="22"/>
                <w:szCs w:val="22"/>
              </w:rPr>
            </w:pPr>
          </w:p>
          <w:p w14:paraId="178A3F4E" w14:textId="41761B8A" w:rsidR="4792BE4F" w:rsidRDefault="4792BE4F" w:rsidP="4792BE4F">
            <w:pPr>
              <w:pStyle w:val="Default"/>
              <w:rPr>
                <w:sz w:val="22"/>
                <w:szCs w:val="22"/>
              </w:rPr>
            </w:pPr>
          </w:p>
          <w:p w14:paraId="703DA2DF" w14:textId="112FB4BE" w:rsidR="4792BE4F" w:rsidRDefault="4792BE4F" w:rsidP="4792BE4F">
            <w:pPr>
              <w:pStyle w:val="Default"/>
              <w:rPr>
                <w:sz w:val="22"/>
                <w:szCs w:val="22"/>
              </w:rPr>
            </w:pPr>
          </w:p>
          <w:p w14:paraId="17C4C409" w14:textId="77777777" w:rsidR="00357CEC" w:rsidRPr="001300A9" w:rsidRDefault="00357CEC" w:rsidP="00357CEC">
            <w:pPr>
              <w:pStyle w:val="Default"/>
              <w:rPr>
                <w:sz w:val="22"/>
                <w:szCs w:val="22"/>
              </w:rPr>
            </w:pPr>
            <w:r w:rsidRPr="001300A9">
              <w:rPr>
                <w:sz w:val="22"/>
                <w:szCs w:val="22"/>
              </w:rPr>
              <w:t>2. Táto smernica sa uplatňuje bez toho, aby boli dotknuté akékoľvek požiadavky podľa smernice Európskeho parlamentu a Rady 2010/75/EÚ*.</w:t>
            </w:r>
          </w:p>
          <w:p w14:paraId="72A145B0" w14:textId="77777777" w:rsidR="00357CEC" w:rsidRPr="001300A9" w:rsidRDefault="00357CEC" w:rsidP="00357CEC">
            <w:pPr>
              <w:pStyle w:val="Default"/>
              <w:rPr>
                <w:sz w:val="22"/>
                <w:szCs w:val="22"/>
              </w:rPr>
            </w:pPr>
          </w:p>
          <w:p w14:paraId="2FFB6886" w14:textId="77777777" w:rsidR="00357CEC" w:rsidRPr="001300A9" w:rsidRDefault="00357CEC" w:rsidP="00357CEC">
            <w:pPr>
              <w:pStyle w:val="Default"/>
              <w:rPr>
                <w:sz w:val="22"/>
                <w:szCs w:val="22"/>
              </w:rPr>
            </w:pPr>
            <w:r w:rsidRPr="001300A9">
              <w:rPr>
                <w:sz w:val="22"/>
                <w:szCs w:val="22"/>
              </w:rPr>
              <w:t>* Smernica Európskeho parlamentu a Rady 2010/75/EÚ z 24. novembra 2010 o priemyselných emisiách (integrovaná prevencia a kontrola znečisťovania životného prostredia) (Ú. v. EÚ L 334, 17.12.2010, s. 17)</w:t>
            </w:r>
          </w:p>
        </w:tc>
        <w:tc>
          <w:tcPr>
            <w:tcW w:w="567" w:type="dxa"/>
          </w:tcPr>
          <w:p w14:paraId="5AE5B29F" w14:textId="77777777" w:rsidR="00357CEC" w:rsidRPr="001300A9" w:rsidRDefault="00357CEC" w:rsidP="00357CEC">
            <w:pPr>
              <w:pStyle w:val="Default"/>
              <w:rPr>
                <w:sz w:val="22"/>
                <w:szCs w:val="22"/>
              </w:rPr>
            </w:pPr>
            <w:r w:rsidRPr="001300A9">
              <w:rPr>
                <w:sz w:val="22"/>
                <w:szCs w:val="22"/>
              </w:rPr>
              <w:lastRenderedPageBreak/>
              <w:t xml:space="preserve">N </w:t>
            </w:r>
          </w:p>
          <w:p w14:paraId="390264B7" w14:textId="77777777" w:rsidR="00357CEC" w:rsidRPr="001300A9" w:rsidRDefault="00357CEC" w:rsidP="00357CEC">
            <w:pPr>
              <w:pStyle w:val="Default"/>
              <w:rPr>
                <w:sz w:val="22"/>
                <w:szCs w:val="22"/>
              </w:rPr>
            </w:pPr>
          </w:p>
          <w:p w14:paraId="2BDE89FD" w14:textId="77777777" w:rsidR="00357CEC" w:rsidRPr="001300A9" w:rsidRDefault="00357CEC" w:rsidP="00357CEC">
            <w:pPr>
              <w:pStyle w:val="Default"/>
              <w:rPr>
                <w:sz w:val="22"/>
                <w:szCs w:val="22"/>
              </w:rPr>
            </w:pPr>
          </w:p>
          <w:p w14:paraId="136069A8" w14:textId="77777777" w:rsidR="00357CEC" w:rsidRPr="001300A9" w:rsidRDefault="00357CEC" w:rsidP="00357CEC">
            <w:pPr>
              <w:pStyle w:val="Default"/>
              <w:rPr>
                <w:sz w:val="22"/>
                <w:szCs w:val="22"/>
              </w:rPr>
            </w:pPr>
          </w:p>
          <w:p w14:paraId="74C21517" w14:textId="77777777" w:rsidR="00357CEC" w:rsidRPr="001300A9" w:rsidRDefault="00357CEC" w:rsidP="00357CEC">
            <w:pPr>
              <w:pStyle w:val="Default"/>
              <w:rPr>
                <w:sz w:val="22"/>
                <w:szCs w:val="22"/>
              </w:rPr>
            </w:pPr>
          </w:p>
          <w:p w14:paraId="54B002FF" w14:textId="77777777" w:rsidR="00357CEC" w:rsidRPr="001300A9" w:rsidRDefault="00357CEC" w:rsidP="00357CEC">
            <w:pPr>
              <w:pStyle w:val="Default"/>
              <w:rPr>
                <w:sz w:val="22"/>
                <w:szCs w:val="22"/>
              </w:rPr>
            </w:pPr>
          </w:p>
          <w:p w14:paraId="7F6FE359" w14:textId="77777777" w:rsidR="00357CEC" w:rsidRPr="001300A9" w:rsidRDefault="00357CEC" w:rsidP="00357CEC">
            <w:pPr>
              <w:pStyle w:val="Default"/>
              <w:rPr>
                <w:sz w:val="22"/>
                <w:szCs w:val="22"/>
              </w:rPr>
            </w:pPr>
          </w:p>
          <w:p w14:paraId="0271D10F" w14:textId="77777777" w:rsidR="00357CEC" w:rsidRPr="001300A9" w:rsidRDefault="00357CEC" w:rsidP="00357CEC">
            <w:pPr>
              <w:pStyle w:val="Default"/>
              <w:rPr>
                <w:sz w:val="22"/>
                <w:szCs w:val="22"/>
              </w:rPr>
            </w:pPr>
          </w:p>
          <w:p w14:paraId="636DEC83" w14:textId="77777777" w:rsidR="007349E0" w:rsidRPr="001300A9" w:rsidRDefault="007349E0" w:rsidP="00357CEC">
            <w:pPr>
              <w:pStyle w:val="Default"/>
              <w:rPr>
                <w:sz w:val="22"/>
                <w:szCs w:val="22"/>
              </w:rPr>
            </w:pPr>
          </w:p>
          <w:p w14:paraId="0B17430C" w14:textId="77777777" w:rsidR="007349E0" w:rsidRPr="001300A9" w:rsidRDefault="007349E0" w:rsidP="00357CEC">
            <w:pPr>
              <w:pStyle w:val="Default"/>
              <w:rPr>
                <w:sz w:val="22"/>
                <w:szCs w:val="22"/>
              </w:rPr>
            </w:pPr>
          </w:p>
          <w:p w14:paraId="1673EB98" w14:textId="77777777" w:rsidR="007349E0" w:rsidRPr="001300A9" w:rsidRDefault="007349E0" w:rsidP="00357CEC">
            <w:pPr>
              <w:pStyle w:val="Default"/>
              <w:rPr>
                <w:sz w:val="22"/>
                <w:szCs w:val="22"/>
              </w:rPr>
            </w:pPr>
          </w:p>
          <w:p w14:paraId="7821DD96" w14:textId="77777777" w:rsidR="007349E0" w:rsidRPr="001300A9" w:rsidRDefault="007349E0" w:rsidP="00357CEC">
            <w:pPr>
              <w:pStyle w:val="Default"/>
              <w:rPr>
                <w:sz w:val="22"/>
                <w:szCs w:val="22"/>
              </w:rPr>
            </w:pPr>
          </w:p>
          <w:p w14:paraId="463ECC9C" w14:textId="77777777" w:rsidR="007349E0" w:rsidRPr="001300A9" w:rsidRDefault="007349E0" w:rsidP="00357CEC">
            <w:pPr>
              <w:pStyle w:val="Default"/>
              <w:rPr>
                <w:sz w:val="22"/>
                <w:szCs w:val="22"/>
              </w:rPr>
            </w:pPr>
          </w:p>
          <w:p w14:paraId="723C6618" w14:textId="77777777" w:rsidR="007349E0" w:rsidRPr="001300A9" w:rsidRDefault="007349E0" w:rsidP="00357CEC">
            <w:pPr>
              <w:pStyle w:val="Default"/>
              <w:rPr>
                <w:sz w:val="22"/>
                <w:szCs w:val="22"/>
              </w:rPr>
            </w:pPr>
          </w:p>
          <w:p w14:paraId="1225965D" w14:textId="77777777" w:rsidR="007349E0" w:rsidRPr="001300A9" w:rsidRDefault="007349E0" w:rsidP="00357CEC">
            <w:pPr>
              <w:pStyle w:val="Default"/>
              <w:rPr>
                <w:sz w:val="22"/>
                <w:szCs w:val="22"/>
              </w:rPr>
            </w:pPr>
          </w:p>
          <w:p w14:paraId="47063A23" w14:textId="77777777" w:rsidR="007349E0" w:rsidRPr="001300A9" w:rsidRDefault="007349E0" w:rsidP="00357CEC">
            <w:pPr>
              <w:pStyle w:val="Default"/>
              <w:rPr>
                <w:sz w:val="22"/>
                <w:szCs w:val="22"/>
              </w:rPr>
            </w:pPr>
          </w:p>
          <w:p w14:paraId="54F12E13" w14:textId="77777777" w:rsidR="007349E0" w:rsidRPr="001300A9" w:rsidRDefault="007349E0" w:rsidP="00357CEC">
            <w:pPr>
              <w:pStyle w:val="Default"/>
              <w:rPr>
                <w:sz w:val="22"/>
                <w:szCs w:val="22"/>
              </w:rPr>
            </w:pPr>
          </w:p>
          <w:p w14:paraId="4381752E" w14:textId="77777777" w:rsidR="007349E0" w:rsidRPr="001300A9" w:rsidRDefault="007349E0" w:rsidP="00357CEC">
            <w:pPr>
              <w:pStyle w:val="Default"/>
              <w:rPr>
                <w:sz w:val="22"/>
                <w:szCs w:val="22"/>
              </w:rPr>
            </w:pPr>
          </w:p>
          <w:p w14:paraId="58793D3A" w14:textId="77777777" w:rsidR="007349E0" w:rsidRPr="001300A9" w:rsidRDefault="007349E0" w:rsidP="00357CEC">
            <w:pPr>
              <w:pStyle w:val="Default"/>
              <w:rPr>
                <w:sz w:val="22"/>
                <w:szCs w:val="22"/>
              </w:rPr>
            </w:pPr>
          </w:p>
          <w:p w14:paraId="0C1B300A" w14:textId="06BC9207" w:rsidR="21A61628" w:rsidRDefault="21A61628" w:rsidP="21A61628">
            <w:pPr>
              <w:pStyle w:val="Default"/>
              <w:rPr>
                <w:sz w:val="22"/>
                <w:szCs w:val="22"/>
              </w:rPr>
            </w:pPr>
          </w:p>
          <w:p w14:paraId="3E2EB9E7" w14:textId="2F05AF52" w:rsidR="007349E0" w:rsidRPr="001300A9" w:rsidRDefault="00155942" w:rsidP="00357CEC">
            <w:pPr>
              <w:pStyle w:val="Default"/>
              <w:rPr>
                <w:sz w:val="22"/>
                <w:szCs w:val="22"/>
              </w:rPr>
            </w:pPr>
            <w:r>
              <w:rPr>
                <w:sz w:val="22"/>
                <w:szCs w:val="22"/>
              </w:rPr>
              <w:t>N</w:t>
            </w:r>
          </w:p>
          <w:p w14:paraId="219EB8F9" w14:textId="77777777" w:rsidR="007349E0" w:rsidRPr="001300A9" w:rsidRDefault="007349E0" w:rsidP="00357CEC">
            <w:pPr>
              <w:pStyle w:val="Default"/>
              <w:rPr>
                <w:sz w:val="22"/>
                <w:szCs w:val="22"/>
              </w:rPr>
            </w:pPr>
          </w:p>
          <w:p w14:paraId="612AEB11" w14:textId="77777777" w:rsidR="007349E0" w:rsidRPr="001300A9" w:rsidRDefault="007349E0" w:rsidP="00357CEC">
            <w:pPr>
              <w:pStyle w:val="Default"/>
              <w:rPr>
                <w:sz w:val="22"/>
                <w:szCs w:val="22"/>
              </w:rPr>
            </w:pPr>
          </w:p>
          <w:p w14:paraId="561D6FC9" w14:textId="619F5EA8" w:rsidR="000B0A6E" w:rsidRDefault="000B0A6E" w:rsidP="00357CEC">
            <w:pPr>
              <w:pStyle w:val="Default"/>
              <w:rPr>
                <w:sz w:val="22"/>
                <w:szCs w:val="22"/>
              </w:rPr>
            </w:pPr>
          </w:p>
          <w:p w14:paraId="37AEBDD0" w14:textId="3FDEAC62" w:rsidR="4792BE4F" w:rsidRDefault="4792BE4F" w:rsidP="4792BE4F">
            <w:pPr>
              <w:pStyle w:val="Default"/>
              <w:rPr>
                <w:sz w:val="22"/>
                <w:szCs w:val="22"/>
              </w:rPr>
            </w:pPr>
          </w:p>
          <w:p w14:paraId="23ACF743" w14:textId="23642282" w:rsidR="4792BE4F" w:rsidRDefault="4792BE4F" w:rsidP="4792BE4F">
            <w:pPr>
              <w:pStyle w:val="Default"/>
              <w:rPr>
                <w:sz w:val="22"/>
                <w:szCs w:val="22"/>
              </w:rPr>
            </w:pPr>
          </w:p>
          <w:p w14:paraId="5E9645A9" w14:textId="7630295B" w:rsidR="4792BE4F" w:rsidRDefault="4792BE4F" w:rsidP="4792BE4F">
            <w:pPr>
              <w:pStyle w:val="Default"/>
              <w:rPr>
                <w:sz w:val="22"/>
                <w:szCs w:val="22"/>
              </w:rPr>
            </w:pPr>
          </w:p>
          <w:p w14:paraId="6316EE9E" w14:textId="6CEB3123" w:rsidR="4792BE4F" w:rsidRDefault="4792BE4F" w:rsidP="4792BE4F">
            <w:pPr>
              <w:pStyle w:val="Default"/>
              <w:rPr>
                <w:sz w:val="22"/>
                <w:szCs w:val="22"/>
              </w:rPr>
            </w:pPr>
          </w:p>
          <w:p w14:paraId="5FE98622" w14:textId="5D4F2951" w:rsidR="4792BE4F" w:rsidRDefault="4792BE4F" w:rsidP="4792BE4F">
            <w:pPr>
              <w:pStyle w:val="Default"/>
              <w:rPr>
                <w:sz w:val="22"/>
                <w:szCs w:val="22"/>
              </w:rPr>
            </w:pPr>
          </w:p>
          <w:p w14:paraId="75CB86C7" w14:textId="1953253D" w:rsidR="4792BE4F" w:rsidRDefault="4792BE4F" w:rsidP="4792BE4F">
            <w:pPr>
              <w:pStyle w:val="Default"/>
              <w:rPr>
                <w:sz w:val="22"/>
                <w:szCs w:val="22"/>
              </w:rPr>
            </w:pPr>
          </w:p>
          <w:p w14:paraId="61ED363C" w14:textId="00FAAFE9" w:rsidR="4792BE4F" w:rsidRDefault="4792BE4F" w:rsidP="4792BE4F">
            <w:pPr>
              <w:pStyle w:val="Default"/>
              <w:rPr>
                <w:sz w:val="22"/>
                <w:szCs w:val="22"/>
              </w:rPr>
            </w:pPr>
          </w:p>
          <w:p w14:paraId="6BDB596F" w14:textId="3278E6EE" w:rsidR="4792BE4F" w:rsidRDefault="4792BE4F" w:rsidP="4792BE4F">
            <w:pPr>
              <w:pStyle w:val="Default"/>
              <w:rPr>
                <w:sz w:val="22"/>
                <w:szCs w:val="22"/>
              </w:rPr>
            </w:pPr>
          </w:p>
          <w:p w14:paraId="07A6777E" w14:textId="41ABF66F" w:rsidR="4792BE4F" w:rsidRDefault="4792BE4F" w:rsidP="4792BE4F">
            <w:pPr>
              <w:pStyle w:val="Default"/>
              <w:rPr>
                <w:sz w:val="22"/>
                <w:szCs w:val="22"/>
              </w:rPr>
            </w:pPr>
          </w:p>
          <w:p w14:paraId="0ABB3C72" w14:textId="58BB9819" w:rsidR="00357CEC" w:rsidRPr="001300A9" w:rsidRDefault="00357CEC" w:rsidP="00357CEC">
            <w:pPr>
              <w:pStyle w:val="Default"/>
              <w:rPr>
                <w:sz w:val="22"/>
                <w:szCs w:val="22"/>
              </w:rPr>
            </w:pPr>
            <w:proofErr w:type="spellStart"/>
            <w:r w:rsidRPr="001300A9">
              <w:rPr>
                <w:sz w:val="22"/>
                <w:szCs w:val="22"/>
              </w:rPr>
              <w:t>n.a</w:t>
            </w:r>
            <w:proofErr w:type="spellEnd"/>
            <w:r w:rsidRPr="001300A9">
              <w:rPr>
                <w:sz w:val="22"/>
                <w:szCs w:val="22"/>
              </w:rPr>
              <w:t>.</w:t>
            </w:r>
          </w:p>
        </w:tc>
        <w:tc>
          <w:tcPr>
            <w:tcW w:w="283" w:type="dxa"/>
          </w:tcPr>
          <w:p w14:paraId="4C0A883A" w14:textId="6C9A600C" w:rsidR="00357CEC" w:rsidRPr="001300A9" w:rsidRDefault="002C79F4" w:rsidP="00357CEC">
            <w:pPr>
              <w:pStyle w:val="Default"/>
              <w:rPr>
                <w:sz w:val="22"/>
                <w:szCs w:val="22"/>
              </w:rPr>
            </w:pPr>
            <w:r>
              <w:rPr>
                <w:sz w:val="22"/>
                <w:szCs w:val="22"/>
              </w:rPr>
              <w:lastRenderedPageBreak/>
              <w:t>NZ</w:t>
            </w:r>
          </w:p>
        </w:tc>
        <w:tc>
          <w:tcPr>
            <w:tcW w:w="567" w:type="dxa"/>
          </w:tcPr>
          <w:p w14:paraId="4B18F65B" w14:textId="5AC62ED9" w:rsidR="007349E0" w:rsidRPr="001300A9" w:rsidRDefault="00436704" w:rsidP="007349E0">
            <w:pPr>
              <w:pStyle w:val="Default"/>
              <w:rPr>
                <w:sz w:val="22"/>
                <w:szCs w:val="22"/>
              </w:rPr>
            </w:pPr>
            <w:r w:rsidRPr="4792BE4F">
              <w:rPr>
                <w:sz w:val="22"/>
                <w:szCs w:val="22"/>
              </w:rPr>
              <w:t>Č:I§:</w:t>
            </w:r>
            <w:r w:rsidR="000A2210" w:rsidRPr="4792BE4F">
              <w:rPr>
                <w:sz w:val="22"/>
                <w:szCs w:val="22"/>
              </w:rPr>
              <w:t>5</w:t>
            </w:r>
            <w:r w:rsidRPr="4792BE4F">
              <w:rPr>
                <w:sz w:val="22"/>
                <w:szCs w:val="22"/>
              </w:rPr>
              <w:t xml:space="preserve"> O:</w:t>
            </w:r>
            <w:r w:rsidR="007349E0" w:rsidRPr="4792BE4F">
              <w:rPr>
                <w:sz w:val="22"/>
                <w:szCs w:val="22"/>
              </w:rPr>
              <w:t>3</w:t>
            </w:r>
          </w:p>
          <w:p w14:paraId="3F067D91" w14:textId="77777777" w:rsidR="00155942" w:rsidRDefault="00155942" w:rsidP="00357CEC">
            <w:pPr>
              <w:pStyle w:val="Default"/>
              <w:rPr>
                <w:sz w:val="22"/>
                <w:szCs w:val="22"/>
              </w:rPr>
            </w:pPr>
          </w:p>
          <w:p w14:paraId="1F859F99" w14:textId="77777777" w:rsidR="00155942" w:rsidRDefault="00155942" w:rsidP="00357CEC">
            <w:pPr>
              <w:pStyle w:val="Default"/>
              <w:rPr>
                <w:sz w:val="22"/>
                <w:szCs w:val="22"/>
              </w:rPr>
            </w:pPr>
          </w:p>
          <w:p w14:paraId="4883E180" w14:textId="77777777" w:rsidR="00155942" w:rsidRDefault="00155942" w:rsidP="00357CEC">
            <w:pPr>
              <w:pStyle w:val="Default"/>
              <w:rPr>
                <w:sz w:val="22"/>
                <w:szCs w:val="22"/>
              </w:rPr>
            </w:pPr>
          </w:p>
          <w:p w14:paraId="6278AD92" w14:textId="77777777" w:rsidR="00155942" w:rsidRDefault="00155942" w:rsidP="00357CEC">
            <w:pPr>
              <w:pStyle w:val="Default"/>
              <w:rPr>
                <w:sz w:val="22"/>
                <w:szCs w:val="22"/>
              </w:rPr>
            </w:pPr>
          </w:p>
          <w:p w14:paraId="1A3CEC46" w14:textId="77777777" w:rsidR="00155942" w:rsidRDefault="00155942" w:rsidP="00357CEC">
            <w:pPr>
              <w:pStyle w:val="Default"/>
              <w:rPr>
                <w:sz w:val="22"/>
                <w:szCs w:val="22"/>
              </w:rPr>
            </w:pPr>
          </w:p>
          <w:p w14:paraId="0EF7ED7D" w14:textId="77777777" w:rsidR="00155942" w:rsidRDefault="00155942" w:rsidP="00357CEC">
            <w:pPr>
              <w:pStyle w:val="Default"/>
              <w:rPr>
                <w:sz w:val="22"/>
                <w:szCs w:val="22"/>
              </w:rPr>
            </w:pPr>
          </w:p>
          <w:p w14:paraId="3BCF7550" w14:textId="77777777" w:rsidR="00155942" w:rsidRDefault="00155942" w:rsidP="00357CEC">
            <w:pPr>
              <w:pStyle w:val="Default"/>
              <w:rPr>
                <w:sz w:val="22"/>
                <w:szCs w:val="22"/>
              </w:rPr>
            </w:pPr>
          </w:p>
          <w:p w14:paraId="0BC75B68" w14:textId="77777777" w:rsidR="00155942" w:rsidRDefault="00155942" w:rsidP="00357CEC">
            <w:pPr>
              <w:pStyle w:val="Default"/>
              <w:rPr>
                <w:sz w:val="22"/>
                <w:szCs w:val="22"/>
              </w:rPr>
            </w:pPr>
          </w:p>
          <w:p w14:paraId="79A3B0C0" w14:textId="77777777" w:rsidR="00155942" w:rsidRDefault="00155942" w:rsidP="00357CEC">
            <w:pPr>
              <w:pStyle w:val="Default"/>
              <w:rPr>
                <w:sz w:val="22"/>
                <w:szCs w:val="22"/>
              </w:rPr>
            </w:pPr>
          </w:p>
          <w:p w14:paraId="5498BFD7" w14:textId="77777777" w:rsidR="00155942" w:rsidRDefault="00155942" w:rsidP="00357CEC">
            <w:pPr>
              <w:pStyle w:val="Default"/>
              <w:rPr>
                <w:sz w:val="22"/>
                <w:szCs w:val="22"/>
              </w:rPr>
            </w:pPr>
          </w:p>
          <w:p w14:paraId="5BE4E6A5" w14:textId="77777777" w:rsidR="00155942" w:rsidRDefault="00155942" w:rsidP="00357CEC">
            <w:pPr>
              <w:pStyle w:val="Default"/>
              <w:rPr>
                <w:sz w:val="22"/>
                <w:szCs w:val="22"/>
              </w:rPr>
            </w:pPr>
          </w:p>
          <w:p w14:paraId="4EFB06DA" w14:textId="77777777" w:rsidR="00155942" w:rsidRDefault="00155942" w:rsidP="00357CEC">
            <w:pPr>
              <w:pStyle w:val="Default"/>
              <w:rPr>
                <w:sz w:val="22"/>
                <w:szCs w:val="22"/>
              </w:rPr>
            </w:pPr>
          </w:p>
          <w:p w14:paraId="0AF847AC" w14:textId="77777777" w:rsidR="00155942" w:rsidRDefault="00155942" w:rsidP="00357CEC">
            <w:pPr>
              <w:pStyle w:val="Default"/>
              <w:rPr>
                <w:sz w:val="22"/>
                <w:szCs w:val="22"/>
              </w:rPr>
            </w:pPr>
          </w:p>
          <w:p w14:paraId="62DF2923" w14:textId="678D763B" w:rsidR="00155942" w:rsidRDefault="00155942" w:rsidP="00357CEC">
            <w:pPr>
              <w:pStyle w:val="Default"/>
              <w:rPr>
                <w:sz w:val="22"/>
                <w:szCs w:val="22"/>
              </w:rPr>
            </w:pPr>
          </w:p>
          <w:p w14:paraId="69468A14" w14:textId="144592FA" w:rsidR="21A61628" w:rsidRDefault="21A61628" w:rsidP="21A61628">
            <w:pPr>
              <w:pStyle w:val="Default"/>
              <w:rPr>
                <w:sz w:val="22"/>
                <w:szCs w:val="22"/>
              </w:rPr>
            </w:pPr>
          </w:p>
          <w:p w14:paraId="14ED49F1" w14:textId="77777777" w:rsidR="000B0A6E" w:rsidRDefault="000B0A6E" w:rsidP="21A61628">
            <w:pPr>
              <w:pStyle w:val="Default"/>
              <w:rPr>
                <w:sz w:val="22"/>
                <w:szCs w:val="22"/>
              </w:rPr>
            </w:pPr>
          </w:p>
          <w:p w14:paraId="648CB07A" w14:textId="4F43955B" w:rsidR="00357CEC" w:rsidRDefault="00436704" w:rsidP="00357CEC">
            <w:pPr>
              <w:pStyle w:val="Default"/>
              <w:rPr>
                <w:sz w:val="22"/>
                <w:szCs w:val="22"/>
              </w:rPr>
            </w:pPr>
            <w:r w:rsidRPr="4792BE4F">
              <w:rPr>
                <w:sz w:val="22"/>
                <w:szCs w:val="22"/>
              </w:rPr>
              <w:t>Č:I</w:t>
            </w:r>
            <w:r w:rsidR="00155942" w:rsidRPr="4792BE4F">
              <w:rPr>
                <w:sz w:val="22"/>
                <w:szCs w:val="22"/>
              </w:rPr>
              <w:t>§</w:t>
            </w:r>
            <w:r w:rsidRPr="4792BE4F">
              <w:rPr>
                <w:sz w:val="22"/>
                <w:szCs w:val="22"/>
              </w:rPr>
              <w:t>:</w:t>
            </w:r>
            <w:r w:rsidR="2AF108E0" w:rsidRPr="4792BE4F">
              <w:rPr>
                <w:sz w:val="22"/>
                <w:szCs w:val="22"/>
              </w:rPr>
              <w:t>9</w:t>
            </w:r>
            <w:r w:rsidRPr="4792BE4F">
              <w:rPr>
                <w:sz w:val="22"/>
                <w:szCs w:val="22"/>
              </w:rPr>
              <w:t>O:</w:t>
            </w:r>
            <w:r w:rsidR="00155942" w:rsidRPr="4792BE4F">
              <w:rPr>
                <w:sz w:val="22"/>
                <w:szCs w:val="22"/>
              </w:rPr>
              <w:t>1</w:t>
            </w:r>
          </w:p>
          <w:p w14:paraId="6FB33376" w14:textId="41B00F39" w:rsidR="4792BE4F" w:rsidRDefault="4792BE4F" w:rsidP="4792BE4F">
            <w:pPr>
              <w:pStyle w:val="Default"/>
              <w:rPr>
                <w:sz w:val="22"/>
                <w:szCs w:val="22"/>
              </w:rPr>
            </w:pPr>
          </w:p>
          <w:p w14:paraId="328526D2" w14:textId="0DCC608F" w:rsidR="00436704" w:rsidRPr="00097813" w:rsidRDefault="00436704" w:rsidP="00357CEC">
            <w:pPr>
              <w:pStyle w:val="Default"/>
              <w:rPr>
                <w:sz w:val="22"/>
                <w:szCs w:val="22"/>
              </w:rPr>
            </w:pPr>
            <w:r w:rsidRPr="4792BE4F">
              <w:rPr>
                <w:sz w:val="22"/>
                <w:szCs w:val="22"/>
              </w:rPr>
              <w:lastRenderedPageBreak/>
              <w:t>Č:I§:26</w:t>
            </w:r>
          </w:p>
          <w:p w14:paraId="17AFE05F" w14:textId="400356E3" w:rsidR="0032032E" w:rsidRPr="001300A9" w:rsidRDefault="00436704" w:rsidP="00C938BA">
            <w:pPr>
              <w:pStyle w:val="Default"/>
              <w:rPr>
                <w:sz w:val="22"/>
                <w:szCs w:val="22"/>
              </w:rPr>
            </w:pPr>
            <w:r w:rsidRPr="00097813">
              <w:rPr>
                <w:sz w:val="22"/>
                <w:szCs w:val="22"/>
              </w:rPr>
              <w:t>O:1 P:</w:t>
            </w:r>
            <w:r w:rsidR="00954A7C" w:rsidRPr="00097813">
              <w:rPr>
                <w:sz w:val="22"/>
                <w:szCs w:val="22"/>
              </w:rPr>
              <w:t>w</w:t>
            </w:r>
          </w:p>
        </w:tc>
        <w:tc>
          <w:tcPr>
            <w:tcW w:w="4253" w:type="dxa"/>
          </w:tcPr>
          <w:p w14:paraId="7CD93BC1" w14:textId="6BFA99DF" w:rsidR="00155942" w:rsidRPr="00954A7C" w:rsidRDefault="00BB33D9" w:rsidP="00155942">
            <w:pPr>
              <w:pStyle w:val="Default"/>
              <w:rPr>
                <w:sz w:val="20"/>
                <w:szCs w:val="20"/>
              </w:rPr>
            </w:pPr>
            <w:r>
              <w:rPr>
                <w:sz w:val="22"/>
                <w:szCs w:val="22"/>
              </w:rPr>
              <w:lastRenderedPageBreak/>
              <w:t xml:space="preserve">(3) </w:t>
            </w:r>
            <w:r w:rsidR="00954A7C" w:rsidRPr="169B2D24">
              <w:rPr>
                <w:rStyle w:val="normaltextrun"/>
                <w:sz w:val="22"/>
                <w:szCs w:val="22"/>
                <w:shd w:val="clear" w:color="auto" w:fill="FFFFFF"/>
              </w:rPr>
              <w:t>Ak prevádzkovateľ, ktorý je zahrnutý do rozsahu systému obchodovania z dôvodu spaľovania palív v zariadeniach s celkovým menovitým tepelným príkonom väčším ako 20 MW, zmení svoje výrobné procesy s cieľom znížiť svoje emisie skleníkových plynov a už nespĺňa uvedenú prahovú hodnotu, oznámi okresnému úradu rozhodnutie, či zostane v rozsahu pôsobnosti systému obchodovania do</w:t>
            </w:r>
            <w:r w:rsidR="41A562C3" w:rsidRPr="169B2D24">
              <w:rPr>
                <w:rStyle w:val="normaltextrun"/>
                <w:sz w:val="22"/>
                <w:szCs w:val="22"/>
                <w:shd w:val="clear" w:color="auto" w:fill="FFFFFF"/>
              </w:rPr>
              <w:t xml:space="preserve"> 31. decembra 2025</w:t>
            </w:r>
            <w:r w:rsidR="00954A7C" w:rsidRPr="169B2D24">
              <w:rPr>
                <w:rStyle w:val="normaltextrun"/>
                <w:sz w:val="22"/>
                <w:szCs w:val="22"/>
                <w:shd w:val="clear" w:color="auto" w:fill="FFFFFF"/>
              </w:rPr>
              <w:t xml:space="preserve"> a </w:t>
            </w:r>
            <w:r w:rsidR="3DFCD440" w:rsidRPr="169B2D24">
              <w:rPr>
                <w:rStyle w:val="normaltextrun"/>
                <w:sz w:val="22"/>
                <w:szCs w:val="22"/>
                <w:shd w:val="clear" w:color="auto" w:fill="FFFFFF"/>
              </w:rPr>
              <w:t xml:space="preserve">31. decembra 2030 podľa </w:t>
            </w:r>
            <w:r w:rsidR="00954A7C" w:rsidRPr="169B2D24">
              <w:rPr>
                <w:rStyle w:val="normaltextrun"/>
                <w:sz w:val="22"/>
                <w:szCs w:val="22"/>
                <w:shd w:val="clear" w:color="auto" w:fill="FFFFFF"/>
              </w:rPr>
              <w:t>§ 9 ods. 1, a to po zmene jeho výrobných procesov.</w:t>
            </w:r>
            <w:r w:rsidR="00954A7C" w:rsidRPr="169B2D24">
              <w:rPr>
                <w:rStyle w:val="eop"/>
                <w:sz w:val="22"/>
                <w:szCs w:val="22"/>
                <w:shd w:val="clear" w:color="auto" w:fill="FFFFFF"/>
              </w:rPr>
              <w:t> </w:t>
            </w:r>
          </w:p>
          <w:p w14:paraId="39C54D71" w14:textId="77777777" w:rsidR="00155942" w:rsidRDefault="00155942" w:rsidP="00155942">
            <w:pPr>
              <w:pStyle w:val="Default"/>
              <w:rPr>
                <w:sz w:val="22"/>
                <w:szCs w:val="22"/>
              </w:rPr>
            </w:pPr>
          </w:p>
          <w:p w14:paraId="56F22D57" w14:textId="77777777" w:rsidR="00155942" w:rsidRDefault="00155942" w:rsidP="00155942">
            <w:pPr>
              <w:pStyle w:val="Default"/>
              <w:rPr>
                <w:sz w:val="22"/>
                <w:szCs w:val="22"/>
              </w:rPr>
            </w:pPr>
          </w:p>
          <w:p w14:paraId="71A64444" w14:textId="77777777" w:rsidR="00155942" w:rsidRDefault="00155942" w:rsidP="00155942">
            <w:pPr>
              <w:pStyle w:val="Default"/>
              <w:rPr>
                <w:sz w:val="22"/>
                <w:szCs w:val="22"/>
              </w:rPr>
            </w:pPr>
          </w:p>
          <w:p w14:paraId="1C10E34E" w14:textId="77777777" w:rsidR="00155942" w:rsidRDefault="00155942" w:rsidP="00155942">
            <w:pPr>
              <w:pStyle w:val="Default"/>
              <w:rPr>
                <w:sz w:val="22"/>
                <w:szCs w:val="22"/>
              </w:rPr>
            </w:pPr>
          </w:p>
          <w:p w14:paraId="72EEA890" w14:textId="77777777" w:rsidR="00155942" w:rsidRDefault="00155942" w:rsidP="00155942">
            <w:pPr>
              <w:pStyle w:val="Default"/>
              <w:rPr>
                <w:sz w:val="22"/>
                <w:szCs w:val="22"/>
              </w:rPr>
            </w:pPr>
          </w:p>
          <w:p w14:paraId="5B53B03E" w14:textId="43E33EA6" w:rsidR="21A61628" w:rsidRDefault="21A61628" w:rsidP="21A61628">
            <w:pPr>
              <w:pStyle w:val="Default"/>
              <w:rPr>
                <w:sz w:val="22"/>
                <w:szCs w:val="22"/>
              </w:rPr>
            </w:pPr>
          </w:p>
          <w:p w14:paraId="7FAA7C3D" w14:textId="77777777" w:rsidR="000B0A6E" w:rsidRDefault="000B0A6E" w:rsidP="21A61628">
            <w:pPr>
              <w:pStyle w:val="Default"/>
              <w:rPr>
                <w:sz w:val="22"/>
                <w:szCs w:val="22"/>
              </w:rPr>
            </w:pPr>
          </w:p>
          <w:p w14:paraId="5F51AE4A" w14:textId="501BB80B" w:rsidR="00155942" w:rsidRDefault="7BBF0B28" w:rsidP="00155942">
            <w:pPr>
              <w:pStyle w:val="Default"/>
              <w:rPr>
                <w:sz w:val="22"/>
                <w:szCs w:val="22"/>
              </w:rPr>
            </w:pPr>
            <w:r w:rsidRPr="21A61628">
              <w:rPr>
                <w:sz w:val="22"/>
                <w:szCs w:val="22"/>
              </w:rPr>
              <w:t>§ 9 Predloženie zoznamu prevádzok</w:t>
            </w:r>
          </w:p>
          <w:p w14:paraId="0D13A766" w14:textId="58AC997B" w:rsidR="00097813" w:rsidRDefault="00AF7521" w:rsidP="00155942">
            <w:pPr>
              <w:pStyle w:val="Default"/>
              <w:rPr>
                <w:sz w:val="22"/>
                <w:szCs w:val="22"/>
              </w:rPr>
            </w:pPr>
            <w:r>
              <w:rPr>
                <w:sz w:val="22"/>
                <w:szCs w:val="22"/>
              </w:rPr>
              <w:t xml:space="preserve"> </w:t>
            </w:r>
            <w:r w:rsidR="00097813" w:rsidRPr="00097813">
              <w:rPr>
                <w:sz w:val="22"/>
                <w:szCs w:val="22"/>
              </w:rPr>
              <w:t xml:space="preserve">V § 9 ods. 1 prvej vete sa slová „tabuľkách A </w:t>
            </w:r>
            <w:proofErr w:type="spellStart"/>
            <w:r w:rsidR="00097813" w:rsidRPr="00097813">
              <w:rPr>
                <w:sz w:val="22"/>
                <w:szCs w:val="22"/>
              </w:rPr>
              <w:t>a</w:t>
            </w:r>
            <w:proofErr w:type="spellEnd"/>
            <w:r w:rsidR="00097813" w:rsidRPr="00097813">
              <w:rPr>
                <w:sz w:val="22"/>
                <w:szCs w:val="22"/>
              </w:rPr>
              <w:t xml:space="preserve"> B“ nahrádzajú slovami „tabuľke A“ a v poslednej vete sa za slovom “zoznam” vkladajú slová “a jeho zmeny”.</w:t>
            </w:r>
          </w:p>
          <w:p w14:paraId="7E0256A3" w14:textId="1444F642" w:rsidR="00097813" w:rsidRDefault="00097813" w:rsidP="00155942">
            <w:pPr>
              <w:pStyle w:val="Default"/>
              <w:rPr>
                <w:sz w:val="22"/>
                <w:szCs w:val="22"/>
              </w:rPr>
            </w:pPr>
          </w:p>
          <w:p w14:paraId="2151393F" w14:textId="65553429" w:rsidR="0032032E" w:rsidRDefault="00AF7521" w:rsidP="00155942">
            <w:pPr>
              <w:pStyle w:val="Default"/>
              <w:rPr>
                <w:sz w:val="22"/>
                <w:szCs w:val="22"/>
              </w:rPr>
            </w:pPr>
            <w:r>
              <w:rPr>
                <w:sz w:val="22"/>
                <w:szCs w:val="22"/>
              </w:rPr>
              <w:lastRenderedPageBreak/>
              <w:t>(1) Ministerstvo</w:t>
            </w:r>
          </w:p>
          <w:p w14:paraId="4D04164B" w14:textId="5FD5D666" w:rsidR="0032032E" w:rsidRDefault="00954A7C" w:rsidP="0032032E">
            <w:pPr>
              <w:pStyle w:val="Default"/>
              <w:rPr>
                <w:sz w:val="22"/>
                <w:szCs w:val="22"/>
              </w:rPr>
            </w:pPr>
            <w:r>
              <w:rPr>
                <w:sz w:val="22"/>
                <w:szCs w:val="22"/>
              </w:rPr>
              <w:t>w</w:t>
            </w:r>
            <w:r w:rsidR="0032032E">
              <w:rPr>
                <w:sz w:val="22"/>
                <w:szCs w:val="22"/>
              </w:rPr>
              <w:t xml:space="preserve">) </w:t>
            </w:r>
            <w:r w:rsidR="0032032E" w:rsidRPr="0032032E">
              <w:rPr>
                <w:sz w:val="22"/>
                <w:szCs w:val="22"/>
              </w:rPr>
              <w:t xml:space="preserve">oznamuje Komisii zoznam a jeho zmeny </w:t>
            </w:r>
            <w:r w:rsidR="0032032E">
              <w:rPr>
                <w:sz w:val="22"/>
                <w:szCs w:val="22"/>
              </w:rPr>
              <w:t>predložený</w:t>
            </w:r>
            <w:r w:rsidR="0032032E" w:rsidRPr="0032032E">
              <w:rPr>
                <w:sz w:val="22"/>
                <w:szCs w:val="22"/>
              </w:rPr>
              <w:t xml:space="preserve"> podľa § 9 ods. 1,</w:t>
            </w:r>
          </w:p>
          <w:p w14:paraId="513F51C9" w14:textId="069AA7E0" w:rsidR="0032032E" w:rsidRPr="001300A9" w:rsidRDefault="0032032E" w:rsidP="0032032E">
            <w:pPr>
              <w:pStyle w:val="Default"/>
              <w:rPr>
                <w:sz w:val="22"/>
                <w:szCs w:val="22"/>
              </w:rPr>
            </w:pPr>
          </w:p>
        </w:tc>
        <w:tc>
          <w:tcPr>
            <w:tcW w:w="567" w:type="dxa"/>
          </w:tcPr>
          <w:p w14:paraId="4E33487A" w14:textId="77777777" w:rsidR="00357CEC" w:rsidRDefault="007349E0" w:rsidP="00357CEC">
            <w:pPr>
              <w:pStyle w:val="Default"/>
              <w:rPr>
                <w:sz w:val="22"/>
                <w:szCs w:val="22"/>
              </w:rPr>
            </w:pPr>
            <w:r w:rsidRPr="001300A9">
              <w:rPr>
                <w:sz w:val="22"/>
                <w:szCs w:val="22"/>
              </w:rPr>
              <w:lastRenderedPageBreak/>
              <w:t>Ú</w:t>
            </w:r>
          </w:p>
          <w:p w14:paraId="0E589564" w14:textId="77777777" w:rsidR="00155942" w:rsidRDefault="00155942" w:rsidP="00357CEC">
            <w:pPr>
              <w:pStyle w:val="Default"/>
              <w:rPr>
                <w:sz w:val="22"/>
                <w:szCs w:val="22"/>
              </w:rPr>
            </w:pPr>
          </w:p>
          <w:p w14:paraId="682099B5" w14:textId="77777777" w:rsidR="00155942" w:rsidRDefault="00155942" w:rsidP="00357CEC">
            <w:pPr>
              <w:pStyle w:val="Default"/>
              <w:rPr>
                <w:sz w:val="22"/>
                <w:szCs w:val="22"/>
              </w:rPr>
            </w:pPr>
          </w:p>
          <w:p w14:paraId="6592FC31" w14:textId="77777777" w:rsidR="00155942" w:rsidRDefault="00155942" w:rsidP="00357CEC">
            <w:pPr>
              <w:pStyle w:val="Default"/>
              <w:rPr>
                <w:sz w:val="22"/>
                <w:szCs w:val="22"/>
              </w:rPr>
            </w:pPr>
          </w:p>
          <w:p w14:paraId="3E42940E" w14:textId="77777777" w:rsidR="00155942" w:rsidRDefault="00155942" w:rsidP="00357CEC">
            <w:pPr>
              <w:pStyle w:val="Default"/>
              <w:rPr>
                <w:sz w:val="22"/>
                <w:szCs w:val="22"/>
              </w:rPr>
            </w:pPr>
          </w:p>
          <w:p w14:paraId="1B0F0B0D" w14:textId="77777777" w:rsidR="00155942" w:rsidRDefault="00155942" w:rsidP="00357CEC">
            <w:pPr>
              <w:pStyle w:val="Default"/>
              <w:rPr>
                <w:sz w:val="22"/>
                <w:szCs w:val="22"/>
              </w:rPr>
            </w:pPr>
          </w:p>
          <w:p w14:paraId="2CD691BC" w14:textId="77777777" w:rsidR="00155942" w:rsidRDefault="00155942" w:rsidP="00357CEC">
            <w:pPr>
              <w:pStyle w:val="Default"/>
              <w:rPr>
                <w:sz w:val="22"/>
                <w:szCs w:val="22"/>
              </w:rPr>
            </w:pPr>
          </w:p>
          <w:p w14:paraId="57884F41" w14:textId="77777777" w:rsidR="00155942" w:rsidRDefault="00155942" w:rsidP="00357CEC">
            <w:pPr>
              <w:pStyle w:val="Default"/>
              <w:rPr>
                <w:sz w:val="22"/>
                <w:szCs w:val="22"/>
              </w:rPr>
            </w:pPr>
          </w:p>
          <w:p w14:paraId="1C5ABBB1" w14:textId="77777777" w:rsidR="00155942" w:rsidRDefault="00155942" w:rsidP="00357CEC">
            <w:pPr>
              <w:pStyle w:val="Default"/>
              <w:rPr>
                <w:sz w:val="22"/>
                <w:szCs w:val="22"/>
              </w:rPr>
            </w:pPr>
          </w:p>
          <w:p w14:paraId="10D598D4" w14:textId="77777777" w:rsidR="00155942" w:rsidRDefault="00155942" w:rsidP="00357CEC">
            <w:pPr>
              <w:pStyle w:val="Default"/>
              <w:rPr>
                <w:sz w:val="22"/>
                <w:szCs w:val="22"/>
              </w:rPr>
            </w:pPr>
          </w:p>
          <w:p w14:paraId="6587DD7F" w14:textId="77777777" w:rsidR="00155942" w:rsidRDefault="00155942" w:rsidP="00357CEC">
            <w:pPr>
              <w:pStyle w:val="Default"/>
              <w:rPr>
                <w:sz w:val="22"/>
                <w:szCs w:val="22"/>
              </w:rPr>
            </w:pPr>
          </w:p>
          <w:p w14:paraId="1A478764" w14:textId="77777777" w:rsidR="00155942" w:rsidRDefault="00155942" w:rsidP="00357CEC">
            <w:pPr>
              <w:pStyle w:val="Default"/>
              <w:rPr>
                <w:sz w:val="22"/>
                <w:szCs w:val="22"/>
              </w:rPr>
            </w:pPr>
          </w:p>
          <w:p w14:paraId="3C63E75A" w14:textId="77777777" w:rsidR="00155942" w:rsidRDefault="00155942" w:rsidP="00357CEC">
            <w:pPr>
              <w:pStyle w:val="Default"/>
              <w:rPr>
                <w:sz w:val="22"/>
                <w:szCs w:val="22"/>
              </w:rPr>
            </w:pPr>
          </w:p>
          <w:p w14:paraId="5E2A9C34" w14:textId="77777777" w:rsidR="00155942" w:rsidRDefault="00155942" w:rsidP="00357CEC">
            <w:pPr>
              <w:pStyle w:val="Default"/>
              <w:rPr>
                <w:sz w:val="22"/>
                <w:szCs w:val="22"/>
              </w:rPr>
            </w:pPr>
          </w:p>
          <w:p w14:paraId="4CAC1011" w14:textId="77777777" w:rsidR="00155942" w:rsidRDefault="00155942" w:rsidP="00357CEC">
            <w:pPr>
              <w:pStyle w:val="Default"/>
              <w:rPr>
                <w:sz w:val="22"/>
                <w:szCs w:val="22"/>
              </w:rPr>
            </w:pPr>
          </w:p>
          <w:p w14:paraId="6635EC27" w14:textId="77777777" w:rsidR="00155942" w:rsidRDefault="00155942" w:rsidP="00357CEC">
            <w:pPr>
              <w:pStyle w:val="Default"/>
              <w:rPr>
                <w:sz w:val="22"/>
                <w:szCs w:val="22"/>
              </w:rPr>
            </w:pPr>
          </w:p>
          <w:p w14:paraId="602E56D6" w14:textId="77777777" w:rsidR="00155942" w:rsidRDefault="00155942" w:rsidP="00357CEC">
            <w:pPr>
              <w:pStyle w:val="Default"/>
              <w:rPr>
                <w:sz w:val="22"/>
                <w:szCs w:val="22"/>
              </w:rPr>
            </w:pPr>
          </w:p>
          <w:p w14:paraId="0E211229" w14:textId="77777777" w:rsidR="00155942" w:rsidRDefault="00155942" w:rsidP="00357CEC">
            <w:pPr>
              <w:pStyle w:val="Default"/>
              <w:rPr>
                <w:sz w:val="22"/>
                <w:szCs w:val="22"/>
              </w:rPr>
            </w:pPr>
          </w:p>
          <w:p w14:paraId="2CE8AC53" w14:textId="77777777" w:rsidR="00155942" w:rsidRDefault="00155942" w:rsidP="00357CEC">
            <w:pPr>
              <w:pStyle w:val="Default"/>
              <w:rPr>
                <w:sz w:val="22"/>
                <w:szCs w:val="22"/>
              </w:rPr>
            </w:pPr>
          </w:p>
          <w:p w14:paraId="15C6B92F" w14:textId="58FDF83D" w:rsidR="21A61628" w:rsidRDefault="21A61628" w:rsidP="21A61628">
            <w:pPr>
              <w:pStyle w:val="Default"/>
              <w:rPr>
                <w:sz w:val="22"/>
                <w:szCs w:val="22"/>
              </w:rPr>
            </w:pPr>
          </w:p>
          <w:p w14:paraId="07F031FF" w14:textId="77777777" w:rsidR="00155942" w:rsidRDefault="00155942" w:rsidP="00357CEC">
            <w:pPr>
              <w:pStyle w:val="Default"/>
              <w:rPr>
                <w:sz w:val="22"/>
                <w:szCs w:val="22"/>
              </w:rPr>
            </w:pPr>
            <w:r>
              <w:rPr>
                <w:sz w:val="22"/>
                <w:szCs w:val="22"/>
              </w:rPr>
              <w:t>Ú</w:t>
            </w:r>
          </w:p>
          <w:p w14:paraId="2A0FA535" w14:textId="77777777" w:rsidR="0032032E" w:rsidRDefault="0032032E" w:rsidP="00357CEC">
            <w:pPr>
              <w:pStyle w:val="Default"/>
              <w:rPr>
                <w:sz w:val="22"/>
                <w:szCs w:val="22"/>
              </w:rPr>
            </w:pPr>
          </w:p>
          <w:p w14:paraId="35C8772B" w14:textId="77777777" w:rsidR="0032032E" w:rsidRDefault="0032032E" w:rsidP="00357CEC">
            <w:pPr>
              <w:pStyle w:val="Default"/>
              <w:rPr>
                <w:sz w:val="22"/>
                <w:szCs w:val="22"/>
              </w:rPr>
            </w:pPr>
          </w:p>
          <w:p w14:paraId="4F66C6DA" w14:textId="77777777" w:rsidR="0032032E" w:rsidRDefault="0032032E" w:rsidP="00357CEC">
            <w:pPr>
              <w:pStyle w:val="Default"/>
              <w:rPr>
                <w:sz w:val="22"/>
                <w:szCs w:val="22"/>
              </w:rPr>
            </w:pPr>
          </w:p>
          <w:p w14:paraId="39CD597E" w14:textId="5D794078" w:rsidR="0032032E" w:rsidRDefault="0032032E" w:rsidP="00357CEC">
            <w:pPr>
              <w:pStyle w:val="Default"/>
              <w:rPr>
                <w:sz w:val="22"/>
                <w:szCs w:val="22"/>
              </w:rPr>
            </w:pPr>
          </w:p>
          <w:p w14:paraId="5EF72A6B" w14:textId="4BEFB101" w:rsidR="4792BE4F" w:rsidRDefault="4792BE4F" w:rsidP="4792BE4F">
            <w:pPr>
              <w:pStyle w:val="Default"/>
              <w:rPr>
                <w:sz w:val="22"/>
                <w:szCs w:val="22"/>
              </w:rPr>
            </w:pPr>
          </w:p>
          <w:p w14:paraId="05316B7B" w14:textId="15EF04B4" w:rsidR="0032032E" w:rsidRPr="001300A9" w:rsidRDefault="0032032E" w:rsidP="00357CEC">
            <w:pPr>
              <w:pStyle w:val="Default"/>
              <w:rPr>
                <w:sz w:val="22"/>
                <w:szCs w:val="22"/>
              </w:rPr>
            </w:pPr>
            <w:r>
              <w:rPr>
                <w:sz w:val="22"/>
                <w:szCs w:val="22"/>
              </w:rPr>
              <w:t>Ú</w:t>
            </w:r>
          </w:p>
        </w:tc>
        <w:tc>
          <w:tcPr>
            <w:tcW w:w="1276" w:type="dxa"/>
          </w:tcPr>
          <w:p w14:paraId="53F510E5" w14:textId="77777777" w:rsidR="00357CEC" w:rsidRPr="001300A9" w:rsidRDefault="00357CEC" w:rsidP="00357CEC">
            <w:pPr>
              <w:pStyle w:val="Default"/>
              <w:rPr>
                <w:sz w:val="22"/>
                <w:szCs w:val="22"/>
              </w:rPr>
            </w:pPr>
          </w:p>
        </w:tc>
        <w:tc>
          <w:tcPr>
            <w:tcW w:w="850" w:type="dxa"/>
          </w:tcPr>
          <w:p w14:paraId="4E2CB182" w14:textId="6F75A14B" w:rsidR="00155942" w:rsidRDefault="00155942" w:rsidP="00357CEC">
            <w:pPr>
              <w:pStyle w:val="Default"/>
              <w:rPr>
                <w:sz w:val="22"/>
                <w:szCs w:val="22"/>
              </w:rPr>
            </w:pPr>
            <w:r>
              <w:rPr>
                <w:sz w:val="22"/>
                <w:szCs w:val="22"/>
              </w:rPr>
              <w:t>GP - N</w:t>
            </w:r>
          </w:p>
          <w:p w14:paraId="0EB9AACB" w14:textId="77777777" w:rsidR="00155942" w:rsidRDefault="00155942" w:rsidP="00357CEC">
            <w:pPr>
              <w:pStyle w:val="Default"/>
              <w:rPr>
                <w:sz w:val="22"/>
                <w:szCs w:val="22"/>
              </w:rPr>
            </w:pPr>
          </w:p>
          <w:p w14:paraId="310239EB" w14:textId="77777777" w:rsidR="00155942" w:rsidRDefault="00155942" w:rsidP="00357CEC">
            <w:pPr>
              <w:pStyle w:val="Default"/>
              <w:rPr>
                <w:sz w:val="22"/>
                <w:szCs w:val="22"/>
              </w:rPr>
            </w:pPr>
          </w:p>
          <w:p w14:paraId="4235AAB0" w14:textId="77777777" w:rsidR="00155942" w:rsidRDefault="00155942" w:rsidP="00357CEC">
            <w:pPr>
              <w:pStyle w:val="Default"/>
              <w:rPr>
                <w:sz w:val="22"/>
                <w:szCs w:val="22"/>
              </w:rPr>
            </w:pPr>
          </w:p>
          <w:p w14:paraId="3C1A4C3E" w14:textId="77777777" w:rsidR="00155942" w:rsidRDefault="00155942" w:rsidP="00357CEC">
            <w:pPr>
              <w:pStyle w:val="Default"/>
              <w:rPr>
                <w:sz w:val="22"/>
                <w:szCs w:val="22"/>
              </w:rPr>
            </w:pPr>
          </w:p>
          <w:p w14:paraId="06CFE909" w14:textId="77777777" w:rsidR="00155942" w:rsidRDefault="00155942" w:rsidP="00357CEC">
            <w:pPr>
              <w:pStyle w:val="Default"/>
              <w:rPr>
                <w:sz w:val="22"/>
                <w:szCs w:val="22"/>
              </w:rPr>
            </w:pPr>
          </w:p>
          <w:p w14:paraId="337FC75F" w14:textId="77777777" w:rsidR="00155942" w:rsidRDefault="00155942" w:rsidP="00357CEC">
            <w:pPr>
              <w:pStyle w:val="Default"/>
              <w:rPr>
                <w:sz w:val="22"/>
                <w:szCs w:val="22"/>
              </w:rPr>
            </w:pPr>
          </w:p>
          <w:p w14:paraId="35E11D79" w14:textId="77777777" w:rsidR="00155942" w:rsidRDefault="00155942" w:rsidP="00357CEC">
            <w:pPr>
              <w:pStyle w:val="Default"/>
              <w:rPr>
                <w:sz w:val="22"/>
                <w:szCs w:val="22"/>
              </w:rPr>
            </w:pPr>
          </w:p>
          <w:p w14:paraId="31FF95F9" w14:textId="77777777" w:rsidR="00155942" w:rsidRDefault="00155942" w:rsidP="00357CEC">
            <w:pPr>
              <w:pStyle w:val="Default"/>
              <w:rPr>
                <w:sz w:val="22"/>
                <w:szCs w:val="22"/>
              </w:rPr>
            </w:pPr>
          </w:p>
          <w:p w14:paraId="0943966D" w14:textId="77777777" w:rsidR="00155942" w:rsidRDefault="00155942" w:rsidP="00357CEC">
            <w:pPr>
              <w:pStyle w:val="Default"/>
              <w:rPr>
                <w:sz w:val="22"/>
                <w:szCs w:val="22"/>
              </w:rPr>
            </w:pPr>
          </w:p>
          <w:p w14:paraId="5BC05E8E" w14:textId="77777777" w:rsidR="00155942" w:rsidRDefault="00155942" w:rsidP="00357CEC">
            <w:pPr>
              <w:pStyle w:val="Default"/>
              <w:rPr>
                <w:sz w:val="22"/>
                <w:szCs w:val="22"/>
              </w:rPr>
            </w:pPr>
          </w:p>
          <w:p w14:paraId="38158687" w14:textId="77777777" w:rsidR="00155942" w:rsidRDefault="00155942" w:rsidP="00357CEC">
            <w:pPr>
              <w:pStyle w:val="Default"/>
              <w:rPr>
                <w:sz w:val="22"/>
                <w:szCs w:val="22"/>
              </w:rPr>
            </w:pPr>
          </w:p>
          <w:p w14:paraId="467DA415" w14:textId="77777777" w:rsidR="00155942" w:rsidRDefault="00155942" w:rsidP="00357CEC">
            <w:pPr>
              <w:pStyle w:val="Default"/>
              <w:rPr>
                <w:sz w:val="22"/>
                <w:szCs w:val="22"/>
              </w:rPr>
            </w:pPr>
          </w:p>
          <w:p w14:paraId="480362F0" w14:textId="77777777" w:rsidR="00155942" w:rsidRDefault="00155942" w:rsidP="00357CEC">
            <w:pPr>
              <w:pStyle w:val="Default"/>
              <w:rPr>
                <w:sz w:val="22"/>
                <w:szCs w:val="22"/>
              </w:rPr>
            </w:pPr>
          </w:p>
          <w:p w14:paraId="607BD81D" w14:textId="77777777" w:rsidR="00155942" w:rsidRDefault="00155942" w:rsidP="00357CEC">
            <w:pPr>
              <w:pStyle w:val="Default"/>
              <w:rPr>
                <w:sz w:val="22"/>
                <w:szCs w:val="22"/>
              </w:rPr>
            </w:pPr>
          </w:p>
          <w:p w14:paraId="5763A08F" w14:textId="77777777" w:rsidR="00155942" w:rsidRDefault="00155942" w:rsidP="00357CEC">
            <w:pPr>
              <w:pStyle w:val="Default"/>
              <w:rPr>
                <w:sz w:val="22"/>
                <w:szCs w:val="22"/>
              </w:rPr>
            </w:pPr>
          </w:p>
          <w:p w14:paraId="1BAED1F3" w14:textId="77777777" w:rsidR="00155942" w:rsidRDefault="00155942" w:rsidP="00357CEC">
            <w:pPr>
              <w:pStyle w:val="Default"/>
              <w:rPr>
                <w:sz w:val="22"/>
                <w:szCs w:val="22"/>
              </w:rPr>
            </w:pPr>
          </w:p>
          <w:p w14:paraId="0D709C37" w14:textId="354DF3CF" w:rsidR="00155942" w:rsidRDefault="00155942" w:rsidP="00357CEC">
            <w:pPr>
              <w:pStyle w:val="Default"/>
              <w:rPr>
                <w:sz w:val="22"/>
                <w:szCs w:val="22"/>
              </w:rPr>
            </w:pPr>
          </w:p>
          <w:p w14:paraId="3BF1F5AD" w14:textId="30263A66" w:rsidR="21A61628" w:rsidRDefault="21A61628" w:rsidP="21A61628">
            <w:pPr>
              <w:pStyle w:val="Default"/>
              <w:rPr>
                <w:sz w:val="22"/>
                <w:szCs w:val="22"/>
              </w:rPr>
            </w:pPr>
          </w:p>
          <w:p w14:paraId="27E37406" w14:textId="757518A8" w:rsidR="0032032E" w:rsidRDefault="0032032E" w:rsidP="00357CEC">
            <w:pPr>
              <w:pStyle w:val="Default"/>
              <w:rPr>
                <w:sz w:val="22"/>
                <w:szCs w:val="22"/>
              </w:rPr>
            </w:pPr>
            <w:r>
              <w:rPr>
                <w:sz w:val="22"/>
                <w:szCs w:val="22"/>
              </w:rPr>
              <w:t>GP - N</w:t>
            </w:r>
            <w:r w:rsidDel="0032032E">
              <w:rPr>
                <w:sz w:val="22"/>
                <w:szCs w:val="22"/>
              </w:rPr>
              <w:t xml:space="preserve"> </w:t>
            </w:r>
          </w:p>
          <w:p w14:paraId="3FA49515" w14:textId="77777777" w:rsidR="0032032E" w:rsidRDefault="0032032E" w:rsidP="00357CEC">
            <w:pPr>
              <w:pStyle w:val="Default"/>
              <w:rPr>
                <w:sz w:val="22"/>
                <w:szCs w:val="22"/>
              </w:rPr>
            </w:pPr>
          </w:p>
          <w:p w14:paraId="723F4D14" w14:textId="77777777" w:rsidR="0032032E" w:rsidRDefault="0032032E" w:rsidP="00357CEC">
            <w:pPr>
              <w:pStyle w:val="Default"/>
              <w:rPr>
                <w:sz w:val="22"/>
                <w:szCs w:val="22"/>
              </w:rPr>
            </w:pPr>
          </w:p>
          <w:p w14:paraId="2EF68C24" w14:textId="77777777" w:rsidR="0032032E" w:rsidRDefault="0032032E" w:rsidP="00357CEC">
            <w:pPr>
              <w:pStyle w:val="Default"/>
              <w:rPr>
                <w:sz w:val="22"/>
                <w:szCs w:val="22"/>
              </w:rPr>
            </w:pPr>
          </w:p>
          <w:p w14:paraId="7B7C4E81" w14:textId="77777777" w:rsidR="0032032E" w:rsidRDefault="0032032E" w:rsidP="00357CEC">
            <w:pPr>
              <w:pStyle w:val="Default"/>
              <w:rPr>
                <w:sz w:val="22"/>
                <w:szCs w:val="22"/>
              </w:rPr>
            </w:pPr>
          </w:p>
          <w:p w14:paraId="7B95F868" w14:textId="6A386084" w:rsidR="0032032E" w:rsidRPr="001300A9" w:rsidRDefault="0032032E" w:rsidP="00357CEC">
            <w:pPr>
              <w:pStyle w:val="Default"/>
              <w:rPr>
                <w:sz w:val="22"/>
                <w:szCs w:val="22"/>
              </w:rPr>
            </w:pPr>
            <w:r w:rsidRPr="4792BE4F">
              <w:rPr>
                <w:sz w:val="22"/>
                <w:szCs w:val="22"/>
              </w:rPr>
              <w:t>GP - N</w:t>
            </w:r>
          </w:p>
        </w:tc>
        <w:tc>
          <w:tcPr>
            <w:tcW w:w="815" w:type="dxa"/>
          </w:tcPr>
          <w:p w14:paraId="4367981B" w14:textId="77777777" w:rsidR="00357CEC" w:rsidRPr="001300A9" w:rsidRDefault="00357CEC" w:rsidP="00357CEC">
            <w:pPr>
              <w:pStyle w:val="Default"/>
              <w:rPr>
                <w:sz w:val="22"/>
                <w:szCs w:val="22"/>
              </w:rPr>
            </w:pPr>
          </w:p>
        </w:tc>
      </w:tr>
      <w:tr w:rsidR="00DD6EDC" w:rsidRPr="001300A9" w14:paraId="2A6DF2D2" w14:textId="77777777" w:rsidTr="360410BC">
        <w:tc>
          <w:tcPr>
            <w:tcW w:w="562" w:type="dxa"/>
          </w:tcPr>
          <w:p w14:paraId="40654B88" w14:textId="77777777" w:rsidR="00357CEC" w:rsidRPr="001300A9" w:rsidRDefault="00357CEC" w:rsidP="00357CEC">
            <w:pPr>
              <w:pStyle w:val="Default"/>
              <w:rPr>
                <w:sz w:val="22"/>
                <w:szCs w:val="22"/>
              </w:rPr>
            </w:pPr>
            <w:r w:rsidRPr="001300A9">
              <w:rPr>
                <w:sz w:val="22"/>
                <w:szCs w:val="22"/>
              </w:rPr>
              <w:t>Č: 1</w:t>
            </w:r>
          </w:p>
          <w:p w14:paraId="090F705C" w14:textId="77777777" w:rsidR="00357CEC" w:rsidRPr="001300A9" w:rsidRDefault="00357CEC" w:rsidP="00357CEC">
            <w:pPr>
              <w:pStyle w:val="Default"/>
              <w:rPr>
                <w:sz w:val="22"/>
                <w:szCs w:val="22"/>
              </w:rPr>
            </w:pPr>
            <w:r w:rsidRPr="001300A9">
              <w:rPr>
                <w:sz w:val="22"/>
                <w:szCs w:val="22"/>
              </w:rPr>
              <w:t>O: 3</w:t>
            </w:r>
          </w:p>
          <w:p w14:paraId="305625A1" w14:textId="77777777" w:rsidR="00357CEC" w:rsidRPr="001300A9" w:rsidRDefault="00357CEC" w:rsidP="00357CEC">
            <w:pPr>
              <w:pStyle w:val="Default"/>
              <w:rPr>
                <w:sz w:val="22"/>
                <w:szCs w:val="22"/>
              </w:rPr>
            </w:pPr>
            <w:r w:rsidRPr="001300A9">
              <w:rPr>
                <w:sz w:val="22"/>
                <w:szCs w:val="22"/>
              </w:rPr>
              <w:t>P: a)</w:t>
            </w:r>
          </w:p>
        </w:tc>
        <w:tc>
          <w:tcPr>
            <w:tcW w:w="4820" w:type="dxa"/>
          </w:tcPr>
          <w:p w14:paraId="73EE71C5" w14:textId="77777777" w:rsidR="00357CEC" w:rsidRPr="001300A9" w:rsidRDefault="00357CEC" w:rsidP="00357CEC">
            <w:pPr>
              <w:pStyle w:val="Default"/>
              <w:rPr>
                <w:sz w:val="22"/>
                <w:szCs w:val="22"/>
              </w:rPr>
            </w:pPr>
            <w:r w:rsidRPr="001300A9">
              <w:rPr>
                <w:sz w:val="22"/>
                <w:szCs w:val="22"/>
              </w:rPr>
              <w:t>b) „emisie“ je uvoľňovanie skleníkových plynov zo zdrojov v zariadení alebo uvoľňovanie plynov z lietadla vykonávajúceho leteckú činnosť uvedenú v prílohe I alebo z lodí vykonávajúcich činnosť námornej dopravy uvedenú v prílohe I, pričom ide o plyny špecifikované v súvislosti s danou činnosťou, alebo uvoľňovanie skleníkových plynov zodpovedajúcich činnosti uvedenej v prílohe III;</w:t>
            </w:r>
          </w:p>
        </w:tc>
        <w:tc>
          <w:tcPr>
            <w:tcW w:w="567" w:type="dxa"/>
          </w:tcPr>
          <w:p w14:paraId="1D8F7C11" w14:textId="77777777" w:rsidR="00357CEC" w:rsidRPr="001300A9" w:rsidRDefault="00357CEC" w:rsidP="00357CEC">
            <w:pPr>
              <w:pStyle w:val="Default"/>
              <w:rPr>
                <w:sz w:val="22"/>
                <w:szCs w:val="22"/>
              </w:rPr>
            </w:pPr>
            <w:r w:rsidRPr="001300A9">
              <w:rPr>
                <w:sz w:val="22"/>
                <w:szCs w:val="22"/>
              </w:rPr>
              <w:t>N</w:t>
            </w:r>
          </w:p>
          <w:p w14:paraId="2497686D" w14:textId="77777777" w:rsidR="00357CEC" w:rsidRPr="001300A9" w:rsidRDefault="00357CEC" w:rsidP="00357CEC">
            <w:pPr>
              <w:pStyle w:val="Default"/>
              <w:rPr>
                <w:sz w:val="22"/>
                <w:szCs w:val="22"/>
              </w:rPr>
            </w:pPr>
          </w:p>
        </w:tc>
        <w:tc>
          <w:tcPr>
            <w:tcW w:w="283" w:type="dxa"/>
          </w:tcPr>
          <w:p w14:paraId="5F8DE5AD" w14:textId="7F028C17" w:rsidR="00357CEC" w:rsidRPr="001300A9" w:rsidRDefault="002C79F4" w:rsidP="00357CEC">
            <w:pPr>
              <w:pStyle w:val="Default"/>
              <w:rPr>
                <w:sz w:val="22"/>
                <w:szCs w:val="22"/>
              </w:rPr>
            </w:pPr>
            <w:r>
              <w:rPr>
                <w:sz w:val="22"/>
                <w:szCs w:val="22"/>
              </w:rPr>
              <w:t>NZ</w:t>
            </w:r>
          </w:p>
        </w:tc>
        <w:tc>
          <w:tcPr>
            <w:tcW w:w="567" w:type="dxa"/>
          </w:tcPr>
          <w:p w14:paraId="61B11402" w14:textId="5DB4BDDB" w:rsidR="00357CEC" w:rsidRPr="001300A9" w:rsidRDefault="00436704" w:rsidP="00357CEC">
            <w:pPr>
              <w:pStyle w:val="Default"/>
              <w:rPr>
                <w:sz w:val="22"/>
                <w:szCs w:val="22"/>
              </w:rPr>
            </w:pPr>
            <w:r w:rsidRPr="00A17585">
              <w:rPr>
                <w:sz w:val="22"/>
                <w:szCs w:val="22"/>
              </w:rPr>
              <w:t>Č:I§:2 P:c</w:t>
            </w:r>
          </w:p>
        </w:tc>
        <w:tc>
          <w:tcPr>
            <w:tcW w:w="4253" w:type="dxa"/>
          </w:tcPr>
          <w:p w14:paraId="077D076B" w14:textId="4D577EBD" w:rsidR="00AF7521" w:rsidRDefault="00AF7521" w:rsidP="00357CEC">
            <w:pPr>
              <w:pStyle w:val="Default"/>
              <w:rPr>
                <w:sz w:val="22"/>
                <w:szCs w:val="22"/>
              </w:rPr>
            </w:pPr>
            <w:r>
              <w:rPr>
                <w:sz w:val="22"/>
                <w:szCs w:val="22"/>
              </w:rPr>
              <w:t>Na účely tohto zákona sa rozumie</w:t>
            </w:r>
          </w:p>
          <w:p w14:paraId="61597BB9" w14:textId="21C04C98" w:rsidR="00357CEC" w:rsidRPr="001300A9" w:rsidRDefault="000A2210" w:rsidP="00357CEC">
            <w:pPr>
              <w:pStyle w:val="Default"/>
              <w:rPr>
                <w:sz w:val="22"/>
                <w:szCs w:val="22"/>
              </w:rPr>
            </w:pPr>
            <w:r w:rsidRPr="001300A9">
              <w:rPr>
                <w:sz w:val="22"/>
                <w:szCs w:val="22"/>
              </w:rPr>
              <w:t>c</w:t>
            </w:r>
            <w:r w:rsidRPr="00954A7C">
              <w:rPr>
                <w:sz w:val="22"/>
                <w:szCs w:val="22"/>
              </w:rPr>
              <w:t xml:space="preserve">) </w:t>
            </w:r>
            <w:r w:rsidR="00954A7C">
              <w:rPr>
                <w:sz w:val="22"/>
                <w:szCs w:val="22"/>
              </w:rPr>
              <w:t>e</w:t>
            </w:r>
            <w:r w:rsidR="00954A7C" w:rsidRPr="00954A7C">
              <w:rPr>
                <w:rStyle w:val="normaltextrun"/>
                <w:sz w:val="22"/>
                <w:szCs w:val="22"/>
                <w:shd w:val="clear" w:color="auto" w:fill="FFFFFF"/>
              </w:rPr>
              <w:t>misiou uvoľňovanie skleníkových plynov zo zdrojov v prevádzke alebo uvoľňovanie plynov z lietadla vykonávajúceho leteckú činnosť uvedenú v prílohe č. 1 tabuľke D alebo z lode vykonávajúcej činnosť námornej dopravy uvedenú v prílohe č. 1 tabuľke C, pričom ide o plyny špecifikované v súvislosti s danou činnosťou, alebo uvoľňovanie skleníkových plynov zodpovedajúcich činnosti uvedenej v prílohe č. 1 tabuľke B</w:t>
            </w:r>
          </w:p>
        </w:tc>
        <w:tc>
          <w:tcPr>
            <w:tcW w:w="567" w:type="dxa"/>
          </w:tcPr>
          <w:p w14:paraId="40EC50BB" w14:textId="77777777" w:rsidR="00357CEC" w:rsidRPr="001300A9" w:rsidRDefault="007349E0" w:rsidP="00357CEC">
            <w:pPr>
              <w:pStyle w:val="Default"/>
              <w:rPr>
                <w:sz w:val="22"/>
                <w:szCs w:val="22"/>
              </w:rPr>
            </w:pPr>
            <w:r w:rsidRPr="001300A9">
              <w:rPr>
                <w:sz w:val="22"/>
                <w:szCs w:val="22"/>
              </w:rPr>
              <w:t>Ú</w:t>
            </w:r>
          </w:p>
        </w:tc>
        <w:tc>
          <w:tcPr>
            <w:tcW w:w="1276" w:type="dxa"/>
          </w:tcPr>
          <w:p w14:paraId="44E1FEAF" w14:textId="77777777" w:rsidR="00357CEC" w:rsidRPr="001300A9" w:rsidRDefault="00357CEC" w:rsidP="00357CEC">
            <w:pPr>
              <w:pStyle w:val="Default"/>
              <w:rPr>
                <w:sz w:val="22"/>
                <w:szCs w:val="22"/>
              </w:rPr>
            </w:pPr>
          </w:p>
        </w:tc>
        <w:tc>
          <w:tcPr>
            <w:tcW w:w="850" w:type="dxa"/>
          </w:tcPr>
          <w:p w14:paraId="2CF456DE" w14:textId="77777777" w:rsidR="00357CEC" w:rsidRPr="001300A9" w:rsidRDefault="007349E0" w:rsidP="00357CEC">
            <w:pPr>
              <w:pStyle w:val="Default"/>
              <w:rPr>
                <w:sz w:val="22"/>
                <w:szCs w:val="22"/>
              </w:rPr>
            </w:pPr>
            <w:r w:rsidRPr="001300A9">
              <w:rPr>
                <w:sz w:val="22"/>
                <w:szCs w:val="22"/>
              </w:rPr>
              <w:t>GP - N</w:t>
            </w:r>
          </w:p>
        </w:tc>
        <w:tc>
          <w:tcPr>
            <w:tcW w:w="815" w:type="dxa"/>
          </w:tcPr>
          <w:p w14:paraId="34B54D94" w14:textId="77777777" w:rsidR="00357CEC" w:rsidRPr="001300A9" w:rsidRDefault="00357CEC" w:rsidP="00357CEC">
            <w:pPr>
              <w:pStyle w:val="Default"/>
              <w:rPr>
                <w:sz w:val="22"/>
                <w:szCs w:val="22"/>
              </w:rPr>
            </w:pPr>
          </w:p>
        </w:tc>
      </w:tr>
      <w:tr w:rsidR="00DD6EDC" w:rsidRPr="001300A9" w14:paraId="415BA0BD" w14:textId="77777777" w:rsidTr="360410BC">
        <w:tc>
          <w:tcPr>
            <w:tcW w:w="562" w:type="dxa"/>
          </w:tcPr>
          <w:p w14:paraId="570923C6" w14:textId="77777777" w:rsidR="00357CEC" w:rsidRPr="001300A9" w:rsidRDefault="00357CEC" w:rsidP="00357CEC">
            <w:pPr>
              <w:pStyle w:val="Default"/>
              <w:rPr>
                <w:sz w:val="22"/>
                <w:szCs w:val="22"/>
              </w:rPr>
            </w:pPr>
            <w:r w:rsidRPr="001300A9">
              <w:rPr>
                <w:sz w:val="22"/>
                <w:szCs w:val="22"/>
              </w:rPr>
              <w:t>Č: 1</w:t>
            </w:r>
          </w:p>
          <w:p w14:paraId="14AE59B2" w14:textId="77777777" w:rsidR="00357CEC" w:rsidRPr="001300A9" w:rsidRDefault="00357CEC" w:rsidP="00357CEC">
            <w:pPr>
              <w:pStyle w:val="Default"/>
              <w:rPr>
                <w:sz w:val="22"/>
                <w:szCs w:val="22"/>
              </w:rPr>
            </w:pPr>
            <w:r w:rsidRPr="001300A9">
              <w:rPr>
                <w:sz w:val="22"/>
                <w:szCs w:val="22"/>
              </w:rPr>
              <w:t>O: 3</w:t>
            </w:r>
          </w:p>
          <w:p w14:paraId="7FB3B151" w14:textId="77777777" w:rsidR="00357CEC" w:rsidRPr="001300A9" w:rsidRDefault="00357CEC" w:rsidP="00357CEC">
            <w:pPr>
              <w:pStyle w:val="Default"/>
              <w:rPr>
                <w:sz w:val="22"/>
                <w:szCs w:val="22"/>
              </w:rPr>
            </w:pPr>
            <w:r w:rsidRPr="001300A9">
              <w:rPr>
                <w:sz w:val="22"/>
                <w:szCs w:val="22"/>
              </w:rPr>
              <w:t>P: b)</w:t>
            </w:r>
          </w:p>
        </w:tc>
        <w:tc>
          <w:tcPr>
            <w:tcW w:w="4820" w:type="dxa"/>
          </w:tcPr>
          <w:p w14:paraId="2BA65E59" w14:textId="77777777" w:rsidR="00357CEC" w:rsidRPr="001300A9" w:rsidRDefault="00357CEC" w:rsidP="00357CEC">
            <w:pPr>
              <w:pStyle w:val="Default"/>
              <w:rPr>
                <w:sz w:val="22"/>
                <w:szCs w:val="22"/>
              </w:rPr>
            </w:pPr>
            <w:r w:rsidRPr="001300A9">
              <w:rPr>
                <w:sz w:val="22"/>
                <w:szCs w:val="22"/>
              </w:rPr>
              <w:t>d) „povolenie na emisie skleníkových plynov“ je povolenie vydané v súlade s článkami 5, 6 a 30b;</w:t>
            </w:r>
          </w:p>
        </w:tc>
        <w:tc>
          <w:tcPr>
            <w:tcW w:w="567" w:type="dxa"/>
          </w:tcPr>
          <w:p w14:paraId="287E41CB" w14:textId="77777777" w:rsidR="00357CEC" w:rsidRPr="001300A9" w:rsidRDefault="00357CEC" w:rsidP="00357CEC">
            <w:pPr>
              <w:pStyle w:val="Default"/>
              <w:rPr>
                <w:sz w:val="22"/>
                <w:szCs w:val="22"/>
              </w:rPr>
            </w:pPr>
            <w:r w:rsidRPr="001300A9">
              <w:rPr>
                <w:sz w:val="22"/>
                <w:szCs w:val="22"/>
              </w:rPr>
              <w:t>N</w:t>
            </w:r>
          </w:p>
        </w:tc>
        <w:tc>
          <w:tcPr>
            <w:tcW w:w="283" w:type="dxa"/>
          </w:tcPr>
          <w:p w14:paraId="0EAECAD6" w14:textId="6D3BAE86" w:rsidR="00357CEC" w:rsidRPr="001300A9" w:rsidRDefault="002C79F4" w:rsidP="00357CEC">
            <w:pPr>
              <w:pStyle w:val="Default"/>
              <w:rPr>
                <w:sz w:val="22"/>
                <w:szCs w:val="22"/>
              </w:rPr>
            </w:pPr>
            <w:r>
              <w:rPr>
                <w:sz w:val="22"/>
                <w:szCs w:val="22"/>
              </w:rPr>
              <w:t>NZ</w:t>
            </w:r>
          </w:p>
        </w:tc>
        <w:tc>
          <w:tcPr>
            <w:tcW w:w="567" w:type="dxa"/>
          </w:tcPr>
          <w:p w14:paraId="62A82F29" w14:textId="50B670A3" w:rsidR="00357CEC" w:rsidRPr="001300A9" w:rsidRDefault="00436704" w:rsidP="00357CEC">
            <w:pPr>
              <w:pStyle w:val="Default"/>
              <w:rPr>
                <w:sz w:val="22"/>
                <w:szCs w:val="22"/>
              </w:rPr>
            </w:pPr>
            <w:r w:rsidRPr="00A17585">
              <w:rPr>
                <w:sz w:val="22"/>
                <w:szCs w:val="22"/>
              </w:rPr>
              <w:t>Č:I§:</w:t>
            </w:r>
            <w:r w:rsidR="000A2210" w:rsidRPr="00A17585">
              <w:rPr>
                <w:sz w:val="22"/>
                <w:szCs w:val="22"/>
              </w:rPr>
              <w:t>6 až 6b</w:t>
            </w:r>
          </w:p>
        </w:tc>
        <w:tc>
          <w:tcPr>
            <w:tcW w:w="4253" w:type="dxa"/>
          </w:tcPr>
          <w:p w14:paraId="15D7B1C1" w14:textId="70F5FC78" w:rsidR="000A2210" w:rsidRPr="001300A9" w:rsidRDefault="000A2210" w:rsidP="000A2210">
            <w:pPr>
              <w:pStyle w:val="Default"/>
              <w:rPr>
                <w:sz w:val="22"/>
                <w:szCs w:val="22"/>
              </w:rPr>
            </w:pPr>
            <w:r w:rsidRPr="4792BE4F">
              <w:rPr>
                <w:sz w:val="22"/>
                <w:szCs w:val="22"/>
              </w:rPr>
              <w:t>§ 6 Povolenie na emisie skleníkových plynov pre regulované subjekty</w:t>
            </w:r>
          </w:p>
          <w:p w14:paraId="0ECB022C" w14:textId="1DCEFE3B" w:rsidR="000A2210" w:rsidRPr="001300A9" w:rsidRDefault="000A2210" w:rsidP="000A2210">
            <w:pPr>
              <w:pStyle w:val="Default"/>
              <w:rPr>
                <w:sz w:val="22"/>
                <w:szCs w:val="22"/>
              </w:rPr>
            </w:pPr>
            <w:r w:rsidRPr="001300A9">
              <w:rPr>
                <w:sz w:val="22"/>
                <w:szCs w:val="22"/>
              </w:rPr>
              <w:t xml:space="preserve">(1) </w:t>
            </w:r>
            <w:r w:rsidR="00113B54" w:rsidRPr="00113B54">
              <w:rPr>
                <w:sz w:val="22"/>
                <w:szCs w:val="22"/>
              </w:rPr>
              <w:t>Na vykonávanie činnosti uvedenej v prílohe č. 1 tabuľke B sa vyžaduje povolenie na emisie skleníkových plynov pre regulované subjekty vydané okresným úradom v sídle kraja podľa § 6a na základe žiadosti podľa odseku 2.</w:t>
            </w:r>
          </w:p>
          <w:p w14:paraId="1491FA60" w14:textId="62F53989" w:rsidR="00BB33D9" w:rsidRPr="00BB33D9" w:rsidRDefault="000A2210" w:rsidP="00BB33D9">
            <w:pPr>
              <w:pStyle w:val="Default"/>
              <w:rPr>
                <w:sz w:val="22"/>
                <w:szCs w:val="22"/>
              </w:rPr>
            </w:pPr>
            <w:r w:rsidRPr="001300A9">
              <w:rPr>
                <w:sz w:val="22"/>
                <w:szCs w:val="22"/>
              </w:rPr>
              <w:lastRenderedPageBreak/>
              <w:t xml:space="preserve">(2) </w:t>
            </w:r>
            <w:r w:rsidR="00BB33D9" w:rsidRPr="00BB33D9">
              <w:rPr>
                <w:sz w:val="22"/>
                <w:szCs w:val="22"/>
              </w:rPr>
              <w:t>Žiadosť o povolenie na emisie skleníkových plynov pre regulované subjekty obsahuje</w:t>
            </w:r>
          </w:p>
          <w:p w14:paraId="4A1BACFD" w14:textId="77777777" w:rsidR="00BB33D9" w:rsidRPr="00BB33D9" w:rsidRDefault="00BB33D9" w:rsidP="00BB33D9">
            <w:pPr>
              <w:pStyle w:val="Odsekzoznamu"/>
              <w:numPr>
                <w:ilvl w:val="0"/>
                <w:numId w:val="18"/>
              </w:numPr>
              <w:tabs>
                <w:tab w:val="left" w:pos="567"/>
              </w:tabs>
              <w:spacing w:after="0" w:line="240" w:lineRule="auto"/>
              <w:ind w:left="426" w:hanging="426"/>
              <w:jc w:val="both"/>
              <w:rPr>
                <w:rFonts w:ascii="Times New Roman" w:hAnsi="Times New Roman" w:cs="Times New Roman"/>
              </w:rPr>
            </w:pPr>
            <w:r w:rsidRPr="00BB33D9">
              <w:rPr>
                <w:rFonts w:ascii="Times New Roman" w:hAnsi="Times New Roman" w:cs="Times New Roman"/>
              </w:rPr>
              <w:t>identifikačné údaje regulovaného subjektu,</w:t>
            </w:r>
          </w:p>
          <w:p w14:paraId="22C849DE" w14:textId="65229838" w:rsidR="00BB33D9" w:rsidRPr="00BB33D9" w:rsidRDefault="00BB33D9" w:rsidP="00BB33D9">
            <w:pPr>
              <w:pStyle w:val="Odsekzoznamu"/>
              <w:numPr>
                <w:ilvl w:val="0"/>
                <w:numId w:val="18"/>
              </w:numPr>
              <w:tabs>
                <w:tab w:val="left" w:pos="567"/>
              </w:tabs>
              <w:spacing w:after="0" w:line="240" w:lineRule="auto"/>
              <w:ind w:left="426" w:hanging="426"/>
              <w:jc w:val="both"/>
              <w:rPr>
                <w:rFonts w:ascii="Times New Roman" w:hAnsi="Times New Roman" w:cs="Times New Roman"/>
              </w:rPr>
            </w:pPr>
            <w:r w:rsidRPr="00BB33D9">
              <w:rPr>
                <w:rFonts w:ascii="Times New Roman" w:hAnsi="Times New Roman" w:cs="Times New Roman"/>
              </w:rPr>
              <w:t>opis druhov palív (kód kombinovanej nomenklatúry), ktoré daný subjekt uvádza</w:t>
            </w:r>
            <w:r w:rsidR="00113B54">
              <w:rPr>
                <w:rFonts w:ascii="Times New Roman" w:hAnsi="Times New Roman" w:cs="Times New Roman"/>
              </w:rPr>
              <w:t xml:space="preserve"> na trh</w:t>
            </w:r>
            <w:r w:rsidRPr="00BB33D9">
              <w:rPr>
                <w:rFonts w:ascii="Times New Roman" w:hAnsi="Times New Roman" w:cs="Times New Roman"/>
              </w:rPr>
              <w:t xml:space="preserve">, a ktoré sa využívajú na účely spaľovania v odvetviach uvedených v prílohe č. 1 tabuľke B, ako aj opis prostriedkov, ktoré tento subjekt využíva pri uvádzaní daných palív </w:t>
            </w:r>
            <w:r w:rsidR="00113B54">
              <w:rPr>
                <w:rFonts w:ascii="Times New Roman" w:hAnsi="Times New Roman" w:cs="Times New Roman"/>
              </w:rPr>
              <w:t>na trh</w:t>
            </w:r>
            <w:r w:rsidRPr="00BB33D9">
              <w:rPr>
                <w:rFonts w:ascii="Times New Roman" w:hAnsi="Times New Roman" w:cs="Times New Roman"/>
              </w:rPr>
              <w:t>,</w:t>
            </w:r>
          </w:p>
          <w:p w14:paraId="78C688F6" w14:textId="73BD5BF3" w:rsidR="00BB33D9" w:rsidRPr="00BB33D9" w:rsidRDefault="00BB33D9" w:rsidP="00BB33D9">
            <w:pPr>
              <w:pStyle w:val="Odsekzoznamu"/>
              <w:numPr>
                <w:ilvl w:val="0"/>
                <w:numId w:val="18"/>
              </w:numPr>
              <w:tabs>
                <w:tab w:val="left" w:pos="567"/>
              </w:tabs>
              <w:spacing w:after="0" w:line="240" w:lineRule="auto"/>
              <w:ind w:left="426" w:hanging="426"/>
              <w:jc w:val="both"/>
              <w:rPr>
                <w:rFonts w:ascii="Times New Roman" w:hAnsi="Times New Roman" w:cs="Times New Roman"/>
              </w:rPr>
            </w:pPr>
            <w:r w:rsidRPr="00BB33D9">
              <w:rPr>
                <w:rFonts w:ascii="Times New Roman" w:hAnsi="Times New Roman" w:cs="Times New Roman"/>
              </w:rPr>
              <w:t xml:space="preserve">opis konečného použitia alebo konečných použití palív uvedených </w:t>
            </w:r>
            <w:r w:rsidR="00113B54">
              <w:rPr>
                <w:rFonts w:ascii="Times New Roman" w:hAnsi="Times New Roman" w:cs="Times New Roman"/>
              </w:rPr>
              <w:t>na trh</w:t>
            </w:r>
            <w:r w:rsidRPr="00BB33D9">
              <w:rPr>
                <w:rFonts w:ascii="Times New Roman" w:hAnsi="Times New Roman" w:cs="Times New Roman"/>
              </w:rPr>
              <w:t xml:space="preserve"> v prípade činnosti uvedenej v prílohe č. 1 tabuľke B,</w:t>
            </w:r>
          </w:p>
          <w:p w14:paraId="738131DC" w14:textId="77777777" w:rsidR="00BB33D9" w:rsidRPr="00BB33D9" w:rsidRDefault="00BB33D9" w:rsidP="00BB33D9">
            <w:pPr>
              <w:pStyle w:val="Odsekzoznamu"/>
              <w:numPr>
                <w:ilvl w:val="0"/>
                <w:numId w:val="18"/>
              </w:numPr>
              <w:tabs>
                <w:tab w:val="left" w:pos="567"/>
              </w:tabs>
              <w:spacing w:after="0" w:line="240" w:lineRule="auto"/>
              <w:ind w:left="426" w:hanging="426"/>
              <w:jc w:val="both"/>
              <w:rPr>
                <w:rFonts w:ascii="Times New Roman" w:hAnsi="Times New Roman" w:cs="Times New Roman"/>
              </w:rPr>
            </w:pPr>
            <w:r w:rsidRPr="00BB33D9">
              <w:rPr>
                <w:rFonts w:ascii="Times New Roman" w:hAnsi="Times New Roman" w:cs="Times New Roman"/>
              </w:rPr>
              <w:t>monitorovací plán, ktorý obsahuje návrh postupu alebo schválený postup zisťovania a vykazovania množstva emisií skleníkových plynov podľa osobitného predpisu</w:t>
            </w:r>
            <w:r w:rsidRPr="00BB33D9">
              <w:rPr>
                <w:rFonts w:ascii="Times New Roman" w:hAnsi="Times New Roman" w:cs="Times New Roman"/>
                <w:vertAlign w:val="superscript"/>
              </w:rPr>
              <w:t>1a</w:t>
            </w:r>
            <w:r w:rsidRPr="00BB33D9">
              <w:rPr>
                <w:rFonts w:ascii="Times New Roman" w:hAnsi="Times New Roman" w:cs="Times New Roman"/>
              </w:rPr>
              <w:t>) a prílohy č. 3a,</w:t>
            </w:r>
          </w:p>
          <w:p w14:paraId="3840355B" w14:textId="5718CF5F" w:rsidR="00BB33D9" w:rsidRPr="00BB33D9" w:rsidRDefault="00BB33D9" w:rsidP="00BB33D9">
            <w:pPr>
              <w:pStyle w:val="Odsekzoznamu"/>
              <w:numPr>
                <w:ilvl w:val="0"/>
                <w:numId w:val="18"/>
              </w:numPr>
              <w:tabs>
                <w:tab w:val="left" w:pos="567"/>
              </w:tabs>
              <w:spacing w:after="0" w:line="240" w:lineRule="auto"/>
              <w:ind w:left="426" w:hanging="426"/>
              <w:jc w:val="both"/>
              <w:rPr>
                <w:rFonts w:ascii="Times New Roman" w:hAnsi="Times New Roman" w:cs="Times New Roman"/>
              </w:rPr>
            </w:pPr>
            <w:r w:rsidRPr="00BB33D9">
              <w:rPr>
                <w:rFonts w:ascii="Times New Roman" w:hAnsi="Times New Roman" w:cs="Times New Roman"/>
              </w:rPr>
              <w:t xml:space="preserve">netechnické zhrnutie údajov uvedených v písmenách </w:t>
            </w:r>
            <w:r w:rsidR="00113B54">
              <w:rPr>
                <w:rFonts w:ascii="Times New Roman" w:hAnsi="Times New Roman" w:cs="Times New Roman"/>
              </w:rPr>
              <w:t>a</w:t>
            </w:r>
            <w:r w:rsidRPr="00BB33D9">
              <w:rPr>
                <w:rFonts w:ascii="Times New Roman" w:hAnsi="Times New Roman" w:cs="Times New Roman"/>
              </w:rPr>
              <w:t>) až d).</w:t>
            </w:r>
          </w:p>
          <w:p w14:paraId="0A01228A" w14:textId="5DA16F17" w:rsidR="000A2210" w:rsidRPr="00BB33D9" w:rsidRDefault="000A2210" w:rsidP="00BB33D9">
            <w:pPr>
              <w:tabs>
                <w:tab w:val="left" w:pos="567"/>
              </w:tabs>
              <w:spacing w:after="0" w:line="240" w:lineRule="auto"/>
              <w:jc w:val="both"/>
              <w:rPr>
                <w:rFonts w:ascii="Times New Roman" w:hAnsi="Times New Roman" w:cs="Times New Roman"/>
              </w:rPr>
            </w:pPr>
            <w:r w:rsidRPr="00BB33D9">
              <w:rPr>
                <w:rFonts w:ascii="Times New Roman" w:hAnsi="Times New Roman" w:cs="Times New Roman"/>
              </w:rPr>
              <w:t xml:space="preserve">(3) Žiadosť podľa odseku 2 sa podáva </w:t>
            </w:r>
            <w:r w:rsidR="00113B54">
              <w:rPr>
                <w:rFonts w:ascii="Times New Roman" w:hAnsi="Times New Roman" w:cs="Times New Roman"/>
              </w:rPr>
              <w:t>okresnému úradu v sídle kraja</w:t>
            </w:r>
            <w:r w:rsidRPr="00BB33D9">
              <w:rPr>
                <w:rFonts w:ascii="Times New Roman" w:hAnsi="Times New Roman" w:cs="Times New Roman"/>
              </w:rPr>
              <w:t>.</w:t>
            </w:r>
          </w:p>
          <w:p w14:paraId="6896CD5D" w14:textId="77777777" w:rsidR="000A2210" w:rsidRPr="001300A9" w:rsidRDefault="000A2210" w:rsidP="000A2210">
            <w:pPr>
              <w:pStyle w:val="Default"/>
              <w:rPr>
                <w:sz w:val="22"/>
                <w:szCs w:val="22"/>
              </w:rPr>
            </w:pPr>
          </w:p>
          <w:p w14:paraId="65EEF908" w14:textId="16458EE6" w:rsidR="000A2210" w:rsidRPr="001300A9" w:rsidRDefault="000A2210" w:rsidP="000A2210">
            <w:pPr>
              <w:pStyle w:val="Default"/>
              <w:rPr>
                <w:sz w:val="22"/>
                <w:szCs w:val="22"/>
              </w:rPr>
            </w:pPr>
            <w:r w:rsidRPr="001300A9">
              <w:rPr>
                <w:sz w:val="22"/>
                <w:szCs w:val="22"/>
              </w:rPr>
              <w:t>§ 6a  Podmienky a náležitosti povolenia na emisie skleníkových plynov pre regulované subjekty</w:t>
            </w:r>
          </w:p>
          <w:p w14:paraId="56C0F07E" w14:textId="6D08F32C" w:rsidR="00BB33D9" w:rsidRPr="00CE64B4" w:rsidRDefault="00CE64B4" w:rsidP="00BB33D9">
            <w:pPr>
              <w:pStyle w:val="Odsekzoznamu"/>
              <w:numPr>
                <w:ilvl w:val="0"/>
                <w:numId w:val="19"/>
              </w:numPr>
              <w:tabs>
                <w:tab w:val="left" w:pos="426"/>
              </w:tabs>
              <w:spacing w:after="0" w:line="240" w:lineRule="auto"/>
              <w:ind w:left="426" w:hanging="426"/>
              <w:jc w:val="both"/>
              <w:rPr>
                <w:rFonts w:ascii="Times New Roman" w:hAnsi="Times New Roman" w:cs="Times New Roman"/>
                <w:color w:val="000000"/>
              </w:rPr>
            </w:pPr>
            <w:r w:rsidRPr="00CE64B4">
              <w:rPr>
                <w:rFonts w:ascii="Times New Roman" w:hAnsi="Times New Roman" w:cs="Times New Roman"/>
              </w:rPr>
              <w:t xml:space="preserve">Okresný úrad v sídle kraja na základe žiadosti podľa § 6 ods. 2 vydá regulovanému subjektu povolenie na emisie skleníkových plynov, ak regulovaný subjekt spĺňa požiadavky na monitorovanie emisií </w:t>
            </w:r>
            <w:r w:rsidRPr="00CE64B4">
              <w:rPr>
                <w:rFonts w:ascii="Times New Roman" w:hAnsi="Times New Roman" w:cs="Times New Roman"/>
              </w:rPr>
              <w:lastRenderedPageBreak/>
              <w:t>skleníkových plynov a na podávanie správ podľa osobitného predpisu.</w:t>
            </w:r>
            <w:r w:rsidRPr="00CE64B4">
              <w:rPr>
                <w:rFonts w:ascii="Times New Roman" w:hAnsi="Times New Roman" w:cs="Times New Roman"/>
                <w:vertAlign w:val="superscript"/>
              </w:rPr>
              <w:t>1a</w:t>
            </w:r>
            <w:r w:rsidRPr="00CE64B4">
              <w:rPr>
                <w:rFonts w:ascii="Times New Roman" w:hAnsi="Times New Roman" w:cs="Times New Roman"/>
              </w:rPr>
              <w:t>) </w:t>
            </w:r>
          </w:p>
          <w:p w14:paraId="42D70769" w14:textId="77777777" w:rsidR="00BB33D9" w:rsidRPr="00BB33D9" w:rsidRDefault="00BB33D9" w:rsidP="00BB33D9">
            <w:pPr>
              <w:pStyle w:val="Odsekzoznamu"/>
              <w:numPr>
                <w:ilvl w:val="0"/>
                <w:numId w:val="19"/>
              </w:numPr>
              <w:tabs>
                <w:tab w:val="left" w:pos="426"/>
              </w:tabs>
              <w:spacing w:after="0" w:line="240" w:lineRule="auto"/>
              <w:ind w:left="426" w:hanging="426"/>
              <w:jc w:val="both"/>
              <w:rPr>
                <w:rFonts w:ascii="Times New Roman" w:hAnsi="Times New Roman" w:cs="Times New Roman"/>
              </w:rPr>
            </w:pPr>
            <w:r w:rsidRPr="00BB33D9">
              <w:rPr>
                <w:rFonts w:ascii="Times New Roman" w:hAnsi="Times New Roman" w:cs="Times New Roman"/>
              </w:rPr>
              <w:t>Povolenie na emisie skleníkových plynov pre regulované subjekty okrem všeobecných náležitostí rozhodnutia</w:t>
            </w:r>
            <w:r w:rsidRPr="00BB33D9">
              <w:rPr>
                <w:rFonts w:ascii="Times New Roman" w:hAnsi="Times New Roman" w:cs="Times New Roman"/>
                <w:vertAlign w:val="superscript"/>
              </w:rPr>
              <w:t>3</w:t>
            </w:r>
            <w:r w:rsidRPr="00BB33D9">
              <w:rPr>
                <w:rFonts w:ascii="Times New Roman" w:hAnsi="Times New Roman" w:cs="Times New Roman"/>
              </w:rPr>
              <w:t>) obsahuje</w:t>
            </w:r>
          </w:p>
          <w:p w14:paraId="4E4427BA" w14:textId="77777777" w:rsidR="00BB33D9" w:rsidRPr="00BB33D9" w:rsidRDefault="00BB33D9" w:rsidP="00BB33D9">
            <w:pPr>
              <w:pStyle w:val="Odsekzoznamu"/>
              <w:numPr>
                <w:ilvl w:val="0"/>
                <w:numId w:val="20"/>
              </w:numPr>
              <w:tabs>
                <w:tab w:val="left" w:pos="426"/>
              </w:tabs>
              <w:spacing w:after="0" w:line="240" w:lineRule="auto"/>
              <w:ind w:left="426" w:hanging="426"/>
              <w:jc w:val="both"/>
              <w:rPr>
                <w:rFonts w:ascii="Times New Roman" w:hAnsi="Times New Roman" w:cs="Times New Roman"/>
              </w:rPr>
            </w:pPr>
            <w:r w:rsidRPr="00BB33D9">
              <w:rPr>
                <w:rFonts w:ascii="Times New Roman" w:hAnsi="Times New Roman" w:cs="Times New Roman"/>
              </w:rPr>
              <w:t>názov a adresu regulovaného subjektu,</w:t>
            </w:r>
          </w:p>
          <w:p w14:paraId="27B4E995" w14:textId="27139314" w:rsidR="00BB33D9" w:rsidRPr="00BB33D9" w:rsidRDefault="00BB33D9" w:rsidP="00BB33D9">
            <w:pPr>
              <w:pStyle w:val="Odsekzoznamu"/>
              <w:numPr>
                <w:ilvl w:val="0"/>
                <w:numId w:val="20"/>
              </w:numPr>
              <w:tabs>
                <w:tab w:val="left" w:pos="426"/>
              </w:tabs>
              <w:spacing w:after="0" w:line="240" w:lineRule="auto"/>
              <w:ind w:left="426" w:hanging="426"/>
              <w:jc w:val="both"/>
              <w:rPr>
                <w:rFonts w:ascii="Times New Roman" w:hAnsi="Times New Roman" w:cs="Times New Roman"/>
              </w:rPr>
            </w:pPr>
            <w:r w:rsidRPr="00BB33D9">
              <w:rPr>
                <w:rFonts w:ascii="Times New Roman" w:hAnsi="Times New Roman" w:cs="Times New Roman"/>
              </w:rPr>
              <w:t xml:space="preserve">opis prostriedkov, ktoré regulovaný subjekt využíva pri uvádzaní palív </w:t>
            </w:r>
            <w:r w:rsidR="00113B54">
              <w:rPr>
                <w:rFonts w:ascii="Times New Roman" w:hAnsi="Times New Roman" w:cs="Times New Roman"/>
              </w:rPr>
              <w:t>na trh</w:t>
            </w:r>
            <w:r w:rsidRPr="00BB33D9">
              <w:rPr>
                <w:rFonts w:ascii="Times New Roman" w:hAnsi="Times New Roman" w:cs="Times New Roman"/>
              </w:rPr>
              <w:t xml:space="preserve"> v odvetviach, na ktoré sa vzťahuje príloha č. 1 tabuľka B,</w:t>
            </w:r>
          </w:p>
          <w:p w14:paraId="6271B8E4" w14:textId="4B90705D" w:rsidR="00BB33D9" w:rsidRPr="00BB33D9" w:rsidRDefault="00BB33D9" w:rsidP="00BB33D9">
            <w:pPr>
              <w:pStyle w:val="Odsekzoznamu"/>
              <w:numPr>
                <w:ilvl w:val="0"/>
                <w:numId w:val="20"/>
              </w:numPr>
              <w:tabs>
                <w:tab w:val="left" w:pos="426"/>
              </w:tabs>
              <w:spacing w:after="0" w:line="240" w:lineRule="auto"/>
              <w:ind w:left="426" w:hanging="426"/>
              <w:jc w:val="both"/>
              <w:rPr>
                <w:rFonts w:ascii="Times New Roman" w:hAnsi="Times New Roman" w:cs="Times New Roman"/>
              </w:rPr>
            </w:pPr>
            <w:r w:rsidRPr="00BB33D9">
              <w:rPr>
                <w:rFonts w:ascii="Times New Roman" w:hAnsi="Times New Roman" w:cs="Times New Roman"/>
              </w:rPr>
              <w:t xml:space="preserve">zoznam palív, ktoré regulovaný subjekt uvádza </w:t>
            </w:r>
            <w:r w:rsidR="00113B54">
              <w:rPr>
                <w:rFonts w:ascii="Times New Roman" w:hAnsi="Times New Roman" w:cs="Times New Roman"/>
              </w:rPr>
              <w:t>na trh</w:t>
            </w:r>
            <w:r w:rsidRPr="00BB33D9">
              <w:rPr>
                <w:rFonts w:ascii="Times New Roman" w:hAnsi="Times New Roman" w:cs="Times New Roman"/>
              </w:rPr>
              <w:t xml:space="preserve"> v odvetviach, na ktoré sa vzťahuje príloha č. 1 tabuľka B,</w:t>
            </w:r>
          </w:p>
          <w:p w14:paraId="3FCEF2C5" w14:textId="77777777" w:rsidR="00BB33D9" w:rsidRPr="00BB33D9" w:rsidRDefault="00BB33D9" w:rsidP="00BB33D9">
            <w:pPr>
              <w:pStyle w:val="Odsekzoznamu"/>
              <w:numPr>
                <w:ilvl w:val="0"/>
                <w:numId w:val="20"/>
              </w:numPr>
              <w:tabs>
                <w:tab w:val="left" w:pos="426"/>
              </w:tabs>
              <w:spacing w:after="0" w:line="240" w:lineRule="auto"/>
              <w:ind w:left="426" w:hanging="426"/>
              <w:jc w:val="both"/>
              <w:rPr>
                <w:rFonts w:ascii="Times New Roman" w:hAnsi="Times New Roman" w:cs="Times New Roman"/>
              </w:rPr>
            </w:pPr>
            <w:r w:rsidRPr="00BB33D9">
              <w:rPr>
                <w:rFonts w:ascii="Times New Roman" w:hAnsi="Times New Roman" w:cs="Times New Roman"/>
              </w:rPr>
              <w:t>monitorovací plán, ktorý spĺňa požiadavky podľa osobitného predpisu</w:t>
            </w:r>
            <w:r w:rsidRPr="00BB33D9">
              <w:rPr>
                <w:rFonts w:ascii="Times New Roman" w:hAnsi="Times New Roman" w:cs="Times New Roman"/>
                <w:vertAlign w:val="superscript"/>
              </w:rPr>
              <w:t>1a</w:t>
            </w:r>
            <w:r w:rsidRPr="00BB33D9">
              <w:rPr>
                <w:rFonts w:ascii="Times New Roman" w:hAnsi="Times New Roman" w:cs="Times New Roman"/>
              </w:rPr>
              <w:t>) a prílohy č. 3a,</w:t>
            </w:r>
          </w:p>
          <w:p w14:paraId="014457A5" w14:textId="3E7FFBD8" w:rsidR="00BB33D9" w:rsidRPr="00BB33D9" w:rsidRDefault="00BB33D9" w:rsidP="00BB33D9">
            <w:pPr>
              <w:pStyle w:val="Odsekzoznamu"/>
              <w:numPr>
                <w:ilvl w:val="0"/>
                <w:numId w:val="20"/>
              </w:numPr>
              <w:tabs>
                <w:tab w:val="left" w:pos="426"/>
              </w:tabs>
              <w:spacing w:after="0" w:line="240" w:lineRule="auto"/>
              <w:ind w:left="426" w:hanging="426"/>
              <w:jc w:val="both"/>
              <w:rPr>
                <w:rFonts w:ascii="Times New Roman" w:hAnsi="Times New Roman" w:cs="Times New Roman"/>
              </w:rPr>
            </w:pPr>
            <w:r w:rsidRPr="00BB33D9">
              <w:rPr>
                <w:rFonts w:ascii="Times New Roman" w:hAnsi="Times New Roman" w:cs="Times New Roman"/>
              </w:rPr>
              <w:t>požiadavky na podávanie správ o emisiách skleníkových p</w:t>
            </w:r>
            <w:r w:rsidR="00113B54">
              <w:rPr>
                <w:rFonts w:ascii="Times New Roman" w:hAnsi="Times New Roman" w:cs="Times New Roman"/>
              </w:rPr>
              <w:t>lynov podľa osobitného predpisu.</w:t>
            </w:r>
            <w:r w:rsidRPr="00BB33D9">
              <w:rPr>
                <w:rFonts w:ascii="Times New Roman" w:hAnsi="Times New Roman" w:cs="Times New Roman"/>
                <w:vertAlign w:val="superscript"/>
              </w:rPr>
              <w:t>1a</w:t>
            </w:r>
            <w:r w:rsidRPr="00BB33D9">
              <w:rPr>
                <w:rFonts w:ascii="Times New Roman" w:hAnsi="Times New Roman" w:cs="Times New Roman"/>
              </w:rPr>
              <w:t>)</w:t>
            </w:r>
          </w:p>
          <w:p w14:paraId="637E8EC1" w14:textId="77777777" w:rsidR="00BB33D9" w:rsidRPr="00BB33D9" w:rsidRDefault="00BB33D9" w:rsidP="00BB33D9">
            <w:pPr>
              <w:pStyle w:val="Odsekzoznamu"/>
              <w:numPr>
                <w:ilvl w:val="0"/>
                <w:numId w:val="19"/>
              </w:numPr>
              <w:tabs>
                <w:tab w:val="left" w:pos="426"/>
              </w:tabs>
              <w:spacing w:after="0" w:line="240" w:lineRule="auto"/>
              <w:ind w:left="426" w:hanging="426"/>
              <w:jc w:val="both"/>
              <w:rPr>
                <w:rFonts w:ascii="Times New Roman" w:hAnsi="Times New Roman" w:cs="Times New Roman"/>
              </w:rPr>
            </w:pPr>
            <w:r w:rsidRPr="00BB33D9">
              <w:rPr>
                <w:rFonts w:ascii="Times New Roman" w:hAnsi="Times New Roman" w:cs="Times New Roman"/>
              </w:rPr>
              <w:t>Lehota na vydanie povolenia na emisie skleníkových plynov pre regulované subjekty je 60 dní odo dňa začatia konania.</w:t>
            </w:r>
          </w:p>
          <w:p w14:paraId="09377CA0" w14:textId="1B736B42" w:rsidR="00BB33D9" w:rsidRPr="00BB33D9" w:rsidRDefault="00113B54" w:rsidP="00BB33D9">
            <w:pPr>
              <w:pStyle w:val="Odsekzoznamu"/>
              <w:numPr>
                <w:ilvl w:val="0"/>
                <w:numId w:val="19"/>
              </w:numPr>
              <w:tabs>
                <w:tab w:val="left" w:pos="426"/>
              </w:tabs>
              <w:spacing w:after="0" w:line="240" w:lineRule="auto"/>
              <w:ind w:left="426" w:hanging="426"/>
              <w:jc w:val="both"/>
              <w:rPr>
                <w:rFonts w:ascii="Times New Roman" w:hAnsi="Times New Roman" w:cs="Times New Roman"/>
              </w:rPr>
            </w:pPr>
            <w:r>
              <w:rPr>
                <w:rFonts w:ascii="Times New Roman" w:hAnsi="Times New Roman" w:cs="Times New Roman"/>
              </w:rPr>
              <w:t>Okresný úrad v sídle kraja</w:t>
            </w:r>
            <w:r w:rsidR="00BB33D9" w:rsidRPr="00BB33D9">
              <w:rPr>
                <w:rFonts w:ascii="Times New Roman" w:hAnsi="Times New Roman" w:cs="Times New Roman"/>
              </w:rPr>
              <w:t xml:space="preserve"> do desiatich dní odo dňa nadobudnutia právoplatnosti povolenia na emisie skleníkových plynov zašle kópiu povolenia na emisie skleníkových plynov </w:t>
            </w:r>
            <w:r>
              <w:rPr>
                <w:rFonts w:ascii="Times New Roman" w:hAnsi="Times New Roman" w:cs="Times New Roman"/>
              </w:rPr>
              <w:t>ministerstvu a</w:t>
            </w:r>
            <w:r w:rsidR="00BB33D9" w:rsidRPr="00BB33D9">
              <w:rPr>
                <w:rFonts w:ascii="Times New Roman" w:hAnsi="Times New Roman" w:cs="Times New Roman"/>
              </w:rPr>
              <w:t xml:space="preserve"> vnútroštátnemu správcovi.</w:t>
            </w:r>
          </w:p>
          <w:p w14:paraId="5AFDD69D" w14:textId="77777777" w:rsidR="000A2210" w:rsidRPr="001300A9" w:rsidRDefault="000A2210" w:rsidP="000A2210">
            <w:pPr>
              <w:pStyle w:val="Default"/>
              <w:rPr>
                <w:sz w:val="22"/>
                <w:szCs w:val="22"/>
              </w:rPr>
            </w:pPr>
          </w:p>
          <w:p w14:paraId="7097F781" w14:textId="22DB82F2" w:rsidR="000A2210" w:rsidRPr="001300A9" w:rsidRDefault="000A2210" w:rsidP="000A2210">
            <w:pPr>
              <w:pStyle w:val="Default"/>
              <w:rPr>
                <w:sz w:val="22"/>
                <w:szCs w:val="22"/>
              </w:rPr>
            </w:pPr>
            <w:r w:rsidRPr="001300A9">
              <w:rPr>
                <w:sz w:val="22"/>
                <w:szCs w:val="22"/>
              </w:rPr>
              <w:t>§ 6b Zmena a zrušenie povolenia na emisie skleníkových plynov pre regulované subjekty</w:t>
            </w:r>
          </w:p>
          <w:p w14:paraId="0C401F2B" w14:textId="5345A714" w:rsidR="00BB33D9" w:rsidRPr="00CE64B4" w:rsidRDefault="00CE64B4" w:rsidP="00BB33D9">
            <w:pPr>
              <w:pStyle w:val="Odsekzoznamu"/>
              <w:numPr>
                <w:ilvl w:val="0"/>
                <w:numId w:val="21"/>
              </w:numPr>
              <w:tabs>
                <w:tab w:val="left" w:pos="567"/>
              </w:tabs>
              <w:spacing w:after="0" w:line="240" w:lineRule="auto"/>
              <w:ind w:left="426" w:hanging="426"/>
              <w:jc w:val="both"/>
              <w:rPr>
                <w:rFonts w:ascii="Times New Roman" w:hAnsi="Times New Roman" w:cs="Times New Roman"/>
              </w:rPr>
            </w:pPr>
            <w:r w:rsidRPr="00CE64B4">
              <w:rPr>
                <w:rStyle w:val="normaltextrun"/>
                <w:rFonts w:ascii="Times New Roman" w:hAnsi="Times New Roman" w:cs="Times New Roman"/>
                <w:color w:val="000000"/>
                <w:shd w:val="clear" w:color="auto" w:fill="FFFFFF"/>
              </w:rPr>
              <w:t xml:space="preserve">Regulovaný subjekt je povinný bezodkladne oznámiť okresnému úradu v sídle kraja každú plánovanú zmenu povahy </w:t>
            </w:r>
            <w:r w:rsidRPr="00CE64B4">
              <w:rPr>
                <w:rStyle w:val="normaltextrun"/>
                <w:rFonts w:ascii="Times New Roman" w:hAnsi="Times New Roman" w:cs="Times New Roman"/>
                <w:color w:val="000000"/>
                <w:shd w:val="clear" w:color="auto" w:fill="FFFFFF"/>
              </w:rPr>
              <w:lastRenderedPageBreak/>
              <w:t>svojej činnosti alebo zmenu týkajúcu sa palív uvádzaných týmto subjektom na trh, ktoré môžu byť dôvodom na zmenu povolenia na emisie skleníkových plynov</w:t>
            </w:r>
            <w:r w:rsidRPr="00CE64B4">
              <w:rPr>
                <w:rStyle w:val="normaltextrun"/>
                <w:rFonts w:ascii="Times New Roman" w:hAnsi="Times New Roman" w:cs="Times New Roman"/>
                <w:color w:val="000000"/>
                <w:shd w:val="clear" w:color="auto" w:fill="FFFFFF"/>
                <w:vertAlign w:val="superscript"/>
              </w:rPr>
              <w:t>1a</w:t>
            </w:r>
            <w:r w:rsidRPr="00CE64B4">
              <w:rPr>
                <w:rStyle w:val="normaltextrun"/>
                <w:rFonts w:ascii="Times New Roman" w:hAnsi="Times New Roman" w:cs="Times New Roman"/>
                <w:color w:val="000000"/>
                <w:shd w:val="clear" w:color="auto" w:fill="FFFFFF"/>
              </w:rPr>
              <w:t>) alebo na vyradenie zo systému obchodovania. Ak to charakter zmeny povahy činnosti regulovaného subjektu vyžaduje, okresný úrad v sídle kraja zmení povolenie na emisie skleníkových plynov alebo vydá rozhodnutie o vyradení zo systému obchodovania. Na konanie o zmene povolenia na emisie skleníkových plynov sa primerane vzťahujú § 6 ods. 3 a § 6a.</w:t>
            </w:r>
            <w:r w:rsidRPr="00CE64B4">
              <w:rPr>
                <w:rStyle w:val="eop"/>
                <w:rFonts w:ascii="Times New Roman" w:hAnsi="Times New Roman" w:cs="Times New Roman"/>
                <w:color w:val="000000"/>
                <w:shd w:val="clear" w:color="auto" w:fill="FFFFFF"/>
              </w:rPr>
              <w:t> </w:t>
            </w:r>
            <w:r w:rsidR="00BB33D9" w:rsidRPr="00CE64B4">
              <w:rPr>
                <w:rFonts w:ascii="Times New Roman" w:hAnsi="Times New Roman" w:cs="Times New Roman"/>
              </w:rPr>
              <w:t>.</w:t>
            </w:r>
          </w:p>
          <w:p w14:paraId="12F86268" w14:textId="011B8FA2" w:rsidR="00BB33D9" w:rsidRPr="00CE64B4" w:rsidRDefault="00CE64B4" w:rsidP="00BB33D9">
            <w:pPr>
              <w:pStyle w:val="Odsekzoznamu"/>
              <w:numPr>
                <w:ilvl w:val="0"/>
                <w:numId w:val="21"/>
              </w:numPr>
              <w:tabs>
                <w:tab w:val="left" w:pos="567"/>
              </w:tabs>
              <w:spacing w:after="0" w:line="240" w:lineRule="auto"/>
              <w:ind w:left="426" w:hanging="426"/>
              <w:jc w:val="both"/>
              <w:rPr>
                <w:rFonts w:ascii="Times New Roman" w:hAnsi="Times New Roman" w:cs="Times New Roman"/>
              </w:rPr>
            </w:pPr>
            <w:r w:rsidRPr="00CE64B4">
              <w:rPr>
                <w:rStyle w:val="normaltextrun"/>
                <w:rFonts w:ascii="Times New Roman" w:hAnsi="Times New Roman" w:cs="Times New Roman"/>
                <w:color w:val="000000"/>
                <w:shd w:val="clear" w:color="auto" w:fill="FFFFFF"/>
              </w:rPr>
              <w:t>Okresný úrad v sídle kraja zruší povolenie na emisie skleníkových plynov a vyradí regulovaný subjekt zo systému obchodovania, ak regulovaný subjekt ukončil svoju činnosť uvedenú v prílohe č. 1 tabuľke B</w:t>
            </w:r>
            <w:r w:rsidR="00BB33D9" w:rsidRPr="00CE64B4">
              <w:rPr>
                <w:rFonts w:ascii="Times New Roman" w:hAnsi="Times New Roman" w:cs="Times New Roman"/>
              </w:rPr>
              <w:t>.</w:t>
            </w:r>
          </w:p>
          <w:p w14:paraId="5DE3E295" w14:textId="084F00E4" w:rsidR="00BB33D9" w:rsidRPr="00CE64B4" w:rsidRDefault="00CE64B4" w:rsidP="00BB33D9">
            <w:pPr>
              <w:pStyle w:val="Odsekzoznamu"/>
              <w:numPr>
                <w:ilvl w:val="0"/>
                <w:numId w:val="21"/>
              </w:numPr>
              <w:tabs>
                <w:tab w:val="left" w:pos="567"/>
              </w:tabs>
              <w:spacing w:after="0" w:line="240" w:lineRule="auto"/>
              <w:ind w:left="426" w:hanging="426"/>
              <w:jc w:val="both"/>
              <w:rPr>
                <w:rFonts w:ascii="Times New Roman" w:hAnsi="Times New Roman" w:cs="Times New Roman"/>
              </w:rPr>
            </w:pPr>
            <w:r w:rsidRPr="00CE64B4">
              <w:rPr>
                <w:rStyle w:val="normaltextrun"/>
                <w:rFonts w:ascii="Times New Roman" w:hAnsi="Times New Roman" w:cs="Times New Roman"/>
                <w:color w:val="000000"/>
                <w:shd w:val="clear" w:color="auto" w:fill="FFFFFF"/>
              </w:rPr>
              <w:t>Okresný úrad v sídle kraja zmení povolenie na emisie skleníkových plynov, ak sa zmenili podmienky, na ktorých základe bolo vydané povolenie na emisie skleníkových plynov.</w:t>
            </w:r>
            <w:r w:rsidRPr="00CE64B4">
              <w:rPr>
                <w:rStyle w:val="normaltextrun"/>
                <w:rFonts w:ascii="Times New Roman" w:hAnsi="Times New Roman" w:cs="Times New Roman"/>
                <w:color w:val="000000"/>
                <w:shd w:val="clear" w:color="auto" w:fill="FFFFFF"/>
                <w:vertAlign w:val="superscript"/>
              </w:rPr>
              <w:t>1a</w:t>
            </w:r>
            <w:r w:rsidRPr="00CE64B4">
              <w:rPr>
                <w:rStyle w:val="normaltextrun"/>
                <w:rFonts w:ascii="Times New Roman" w:hAnsi="Times New Roman" w:cs="Times New Roman"/>
                <w:color w:val="000000"/>
                <w:shd w:val="clear" w:color="auto" w:fill="FFFFFF"/>
              </w:rPr>
              <w:t>)</w:t>
            </w:r>
          </w:p>
          <w:p w14:paraId="6926134E" w14:textId="7DA76204" w:rsidR="00BB33D9" w:rsidRPr="00CE64B4" w:rsidRDefault="4B5CD2CD" w:rsidP="5F673433">
            <w:pPr>
              <w:pStyle w:val="Odsekzoznamu"/>
              <w:numPr>
                <w:ilvl w:val="0"/>
                <w:numId w:val="21"/>
              </w:numPr>
              <w:tabs>
                <w:tab w:val="left" w:pos="567"/>
              </w:tabs>
              <w:spacing w:after="0" w:line="240" w:lineRule="auto"/>
              <w:ind w:left="426" w:hanging="426"/>
              <w:jc w:val="both"/>
              <w:rPr>
                <w:rFonts w:ascii="Times New Roman" w:hAnsi="Times New Roman" w:cs="Times New Roman"/>
              </w:rPr>
            </w:pPr>
            <w:r w:rsidRPr="00CE64B4">
              <w:rPr>
                <w:rStyle w:val="normaltextrun"/>
                <w:rFonts w:ascii="Times New Roman" w:hAnsi="Times New Roman" w:cs="Times New Roman"/>
                <w:color w:val="000000"/>
                <w:shd w:val="clear" w:color="auto" w:fill="FFFFFF"/>
              </w:rPr>
              <w:t>Práva a povinnosti regulovaného subjektu určené v povolení na emisie skleníkových plynov prechádzajú na jeho právneho nástupcu. Nový regulovaný subjekt je povinný oznámiť okresnému úradu v sídle kraja, ministerstvu a vnútroštátnemu správcovi zmenu regulovaného subjektu a svoje identifikačné údaje podľa § 6 do desiatich dní odo dňa, keď došlo k prechodu práv a povinností.</w:t>
            </w:r>
          </w:p>
        </w:tc>
        <w:tc>
          <w:tcPr>
            <w:tcW w:w="567" w:type="dxa"/>
          </w:tcPr>
          <w:p w14:paraId="74BF8840" w14:textId="28A8F8D4" w:rsidR="00357CEC" w:rsidRPr="001300A9" w:rsidRDefault="00113B54" w:rsidP="00357CEC">
            <w:pPr>
              <w:pStyle w:val="Default"/>
              <w:rPr>
                <w:sz w:val="22"/>
                <w:szCs w:val="22"/>
              </w:rPr>
            </w:pPr>
            <w:r w:rsidRPr="00A17585">
              <w:rPr>
                <w:sz w:val="22"/>
                <w:szCs w:val="22"/>
              </w:rPr>
              <w:lastRenderedPageBreak/>
              <w:t>Č</w:t>
            </w:r>
          </w:p>
        </w:tc>
        <w:tc>
          <w:tcPr>
            <w:tcW w:w="1276" w:type="dxa"/>
          </w:tcPr>
          <w:p w14:paraId="72DAF52F" w14:textId="77777777" w:rsidR="00357CEC" w:rsidRPr="001300A9" w:rsidRDefault="00357CEC" w:rsidP="00357CEC">
            <w:pPr>
              <w:pStyle w:val="Default"/>
              <w:rPr>
                <w:sz w:val="22"/>
                <w:szCs w:val="22"/>
              </w:rPr>
            </w:pPr>
          </w:p>
        </w:tc>
        <w:tc>
          <w:tcPr>
            <w:tcW w:w="850" w:type="dxa"/>
          </w:tcPr>
          <w:p w14:paraId="54FD08AE" w14:textId="0C862DE9" w:rsidR="00357CEC" w:rsidRPr="001300A9" w:rsidRDefault="000A2210" w:rsidP="00357CEC">
            <w:pPr>
              <w:pStyle w:val="Default"/>
              <w:rPr>
                <w:sz w:val="22"/>
                <w:szCs w:val="22"/>
              </w:rPr>
            </w:pPr>
            <w:r w:rsidRPr="001300A9">
              <w:rPr>
                <w:sz w:val="22"/>
                <w:szCs w:val="22"/>
              </w:rPr>
              <w:t>GP - N</w:t>
            </w:r>
          </w:p>
        </w:tc>
        <w:tc>
          <w:tcPr>
            <w:tcW w:w="815" w:type="dxa"/>
          </w:tcPr>
          <w:p w14:paraId="0A42D7C0" w14:textId="77777777" w:rsidR="00357CEC" w:rsidRPr="001300A9" w:rsidRDefault="00357CEC" w:rsidP="00357CEC">
            <w:pPr>
              <w:pStyle w:val="Default"/>
              <w:rPr>
                <w:sz w:val="22"/>
                <w:szCs w:val="22"/>
              </w:rPr>
            </w:pPr>
          </w:p>
        </w:tc>
      </w:tr>
      <w:tr w:rsidR="00DD6EDC" w:rsidRPr="001300A9" w14:paraId="41CA7703" w14:textId="77777777" w:rsidTr="360410BC">
        <w:tc>
          <w:tcPr>
            <w:tcW w:w="562" w:type="dxa"/>
          </w:tcPr>
          <w:p w14:paraId="73325124" w14:textId="77777777" w:rsidR="00357CEC" w:rsidRPr="001300A9" w:rsidRDefault="00357CEC" w:rsidP="00357CEC">
            <w:pPr>
              <w:pStyle w:val="Default"/>
              <w:rPr>
                <w:sz w:val="22"/>
                <w:szCs w:val="22"/>
              </w:rPr>
            </w:pPr>
            <w:r w:rsidRPr="001300A9">
              <w:rPr>
                <w:sz w:val="22"/>
                <w:szCs w:val="22"/>
              </w:rPr>
              <w:lastRenderedPageBreak/>
              <w:t>Č: 1</w:t>
            </w:r>
          </w:p>
          <w:p w14:paraId="6C5FD427" w14:textId="77777777" w:rsidR="00357CEC" w:rsidRPr="001300A9" w:rsidRDefault="00357CEC" w:rsidP="00357CEC">
            <w:pPr>
              <w:pStyle w:val="Default"/>
              <w:rPr>
                <w:sz w:val="22"/>
                <w:szCs w:val="22"/>
              </w:rPr>
            </w:pPr>
            <w:r w:rsidRPr="001300A9">
              <w:rPr>
                <w:sz w:val="22"/>
                <w:szCs w:val="22"/>
              </w:rPr>
              <w:t>O: 3</w:t>
            </w:r>
          </w:p>
          <w:p w14:paraId="335AC299" w14:textId="77777777" w:rsidR="00357CEC" w:rsidRPr="001300A9" w:rsidRDefault="00357CEC" w:rsidP="00357CEC">
            <w:pPr>
              <w:pStyle w:val="Default"/>
              <w:rPr>
                <w:sz w:val="22"/>
                <w:szCs w:val="22"/>
              </w:rPr>
            </w:pPr>
            <w:r w:rsidRPr="001300A9">
              <w:rPr>
                <w:sz w:val="22"/>
                <w:szCs w:val="22"/>
              </w:rPr>
              <w:t>P: c)</w:t>
            </w:r>
          </w:p>
        </w:tc>
        <w:tc>
          <w:tcPr>
            <w:tcW w:w="4820" w:type="dxa"/>
          </w:tcPr>
          <w:p w14:paraId="3BE826BF" w14:textId="68D8D034" w:rsidR="00357CEC" w:rsidRPr="001300A9" w:rsidRDefault="00357CEC" w:rsidP="000A2210">
            <w:pPr>
              <w:pStyle w:val="Default"/>
              <w:rPr>
                <w:sz w:val="22"/>
                <w:szCs w:val="22"/>
              </w:rPr>
            </w:pPr>
            <w:r w:rsidRPr="001300A9">
              <w:rPr>
                <w:sz w:val="22"/>
                <w:szCs w:val="22"/>
              </w:rPr>
              <w:t xml:space="preserve">písmeno u) sa vypúšťa </w:t>
            </w:r>
          </w:p>
        </w:tc>
        <w:tc>
          <w:tcPr>
            <w:tcW w:w="567" w:type="dxa"/>
          </w:tcPr>
          <w:p w14:paraId="54234BF2" w14:textId="77777777" w:rsidR="00357CEC" w:rsidRPr="001300A9" w:rsidRDefault="00357CEC" w:rsidP="00357CEC">
            <w:pPr>
              <w:pStyle w:val="Default"/>
              <w:rPr>
                <w:sz w:val="22"/>
                <w:szCs w:val="22"/>
              </w:rPr>
            </w:pPr>
            <w:r w:rsidRPr="001300A9">
              <w:rPr>
                <w:sz w:val="22"/>
                <w:szCs w:val="22"/>
              </w:rPr>
              <w:t>N</w:t>
            </w:r>
          </w:p>
          <w:p w14:paraId="69256598" w14:textId="77777777" w:rsidR="00357CEC" w:rsidRPr="001300A9" w:rsidRDefault="00357CEC" w:rsidP="007349E0">
            <w:pPr>
              <w:pStyle w:val="Default"/>
              <w:rPr>
                <w:sz w:val="22"/>
                <w:szCs w:val="22"/>
              </w:rPr>
            </w:pPr>
          </w:p>
        </w:tc>
        <w:tc>
          <w:tcPr>
            <w:tcW w:w="283" w:type="dxa"/>
          </w:tcPr>
          <w:p w14:paraId="5AB75A86" w14:textId="034EBF82" w:rsidR="00357CEC" w:rsidRPr="001300A9" w:rsidRDefault="002C79F4" w:rsidP="00357CEC">
            <w:pPr>
              <w:pStyle w:val="Default"/>
              <w:rPr>
                <w:sz w:val="22"/>
                <w:szCs w:val="22"/>
              </w:rPr>
            </w:pPr>
            <w:r>
              <w:rPr>
                <w:sz w:val="22"/>
                <w:szCs w:val="22"/>
              </w:rPr>
              <w:t>NZ</w:t>
            </w:r>
          </w:p>
        </w:tc>
        <w:tc>
          <w:tcPr>
            <w:tcW w:w="567" w:type="dxa"/>
          </w:tcPr>
          <w:p w14:paraId="4718AC82" w14:textId="73308392" w:rsidR="007349E0" w:rsidRPr="001300A9" w:rsidRDefault="00436704" w:rsidP="007349E0">
            <w:pPr>
              <w:pStyle w:val="Default"/>
              <w:rPr>
                <w:sz w:val="22"/>
                <w:szCs w:val="22"/>
              </w:rPr>
            </w:pPr>
            <w:r w:rsidRPr="00A17585">
              <w:rPr>
                <w:sz w:val="22"/>
                <w:szCs w:val="22"/>
              </w:rPr>
              <w:t>Č:I§:2 P:o</w:t>
            </w:r>
          </w:p>
          <w:p w14:paraId="189ECB4D" w14:textId="77777777" w:rsidR="00357CEC" w:rsidRPr="001300A9" w:rsidRDefault="00357CEC" w:rsidP="00357CEC">
            <w:pPr>
              <w:pStyle w:val="Default"/>
              <w:rPr>
                <w:sz w:val="22"/>
                <w:szCs w:val="22"/>
              </w:rPr>
            </w:pPr>
          </w:p>
        </w:tc>
        <w:tc>
          <w:tcPr>
            <w:tcW w:w="4253" w:type="dxa"/>
          </w:tcPr>
          <w:p w14:paraId="1EE9F4CF" w14:textId="77777777" w:rsidR="00357CEC" w:rsidRPr="001300A9" w:rsidRDefault="007349E0" w:rsidP="00357CEC">
            <w:pPr>
              <w:pStyle w:val="Default"/>
              <w:rPr>
                <w:sz w:val="22"/>
                <w:szCs w:val="22"/>
              </w:rPr>
            </w:pPr>
            <w:r w:rsidRPr="001300A9">
              <w:rPr>
                <w:sz w:val="22"/>
                <w:szCs w:val="22"/>
              </w:rPr>
              <w:t xml:space="preserve">V § 2 sa vypúšťa písmeno o).    </w:t>
            </w:r>
          </w:p>
        </w:tc>
        <w:tc>
          <w:tcPr>
            <w:tcW w:w="567" w:type="dxa"/>
          </w:tcPr>
          <w:p w14:paraId="106166A5" w14:textId="77777777" w:rsidR="00357CEC" w:rsidRPr="001300A9" w:rsidRDefault="007349E0" w:rsidP="00357CEC">
            <w:pPr>
              <w:pStyle w:val="Default"/>
              <w:rPr>
                <w:sz w:val="22"/>
                <w:szCs w:val="22"/>
              </w:rPr>
            </w:pPr>
            <w:r w:rsidRPr="001300A9">
              <w:rPr>
                <w:sz w:val="22"/>
                <w:szCs w:val="22"/>
              </w:rPr>
              <w:t>Ú</w:t>
            </w:r>
          </w:p>
        </w:tc>
        <w:tc>
          <w:tcPr>
            <w:tcW w:w="1276" w:type="dxa"/>
          </w:tcPr>
          <w:p w14:paraId="03AB7953" w14:textId="29F80599" w:rsidR="00357CEC" w:rsidRPr="001300A9" w:rsidRDefault="00EA4D01" w:rsidP="00357CEC">
            <w:pPr>
              <w:pStyle w:val="Default"/>
              <w:rPr>
                <w:sz w:val="22"/>
                <w:szCs w:val="22"/>
              </w:rPr>
            </w:pPr>
            <w:r w:rsidRPr="00EA4D01">
              <w:rPr>
                <w:sz w:val="22"/>
                <w:szCs w:val="22"/>
              </w:rPr>
              <w:t>o) výrobcom elektrickej energie prevádzkovateľ prevádzky, ktorá od 1. januára 2005 vyrábala elektrickú energiu na predaj tretím stranám a v ktorej sa nevykonávala iná činnosť uvedená v prílohe č. 1 tabuľke A okrem spaľovania palív,</w:t>
            </w:r>
          </w:p>
        </w:tc>
        <w:tc>
          <w:tcPr>
            <w:tcW w:w="850" w:type="dxa"/>
          </w:tcPr>
          <w:p w14:paraId="645A0D2A" w14:textId="77777777" w:rsidR="00357CEC" w:rsidRPr="001300A9" w:rsidRDefault="007349E0" w:rsidP="00357CEC">
            <w:pPr>
              <w:pStyle w:val="Default"/>
              <w:rPr>
                <w:sz w:val="22"/>
                <w:szCs w:val="22"/>
              </w:rPr>
            </w:pPr>
            <w:r w:rsidRPr="001300A9">
              <w:rPr>
                <w:sz w:val="22"/>
                <w:szCs w:val="22"/>
              </w:rPr>
              <w:t>GP - N</w:t>
            </w:r>
          </w:p>
        </w:tc>
        <w:tc>
          <w:tcPr>
            <w:tcW w:w="815" w:type="dxa"/>
          </w:tcPr>
          <w:p w14:paraId="6DB7DDF2" w14:textId="77777777" w:rsidR="00357CEC" w:rsidRPr="001300A9" w:rsidRDefault="00357CEC" w:rsidP="00357CEC">
            <w:pPr>
              <w:pStyle w:val="Default"/>
              <w:rPr>
                <w:sz w:val="22"/>
                <w:szCs w:val="22"/>
              </w:rPr>
            </w:pPr>
          </w:p>
        </w:tc>
      </w:tr>
      <w:tr w:rsidR="00DD6EDC" w:rsidRPr="001300A9" w14:paraId="676E455D" w14:textId="77777777" w:rsidTr="360410BC">
        <w:tc>
          <w:tcPr>
            <w:tcW w:w="562" w:type="dxa"/>
          </w:tcPr>
          <w:p w14:paraId="0F448FBA" w14:textId="77777777" w:rsidR="00357CEC" w:rsidRPr="001300A9" w:rsidRDefault="00357CEC" w:rsidP="00357CEC">
            <w:pPr>
              <w:pStyle w:val="Default"/>
              <w:rPr>
                <w:sz w:val="22"/>
                <w:szCs w:val="22"/>
              </w:rPr>
            </w:pPr>
            <w:r w:rsidRPr="001300A9">
              <w:rPr>
                <w:sz w:val="22"/>
                <w:szCs w:val="22"/>
              </w:rPr>
              <w:t>Č: 1</w:t>
            </w:r>
          </w:p>
          <w:p w14:paraId="544A79AF" w14:textId="77777777" w:rsidR="00357CEC" w:rsidRPr="001300A9" w:rsidRDefault="00357CEC" w:rsidP="00357CEC">
            <w:pPr>
              <w:pStyle w:val="Default"/>
              <w:rPr>
                <w:sz w:val="22"/>
                <w:szCs w:val="22"/>
              </w:rPr>
            </w:pPr>
            <w:r w:rsidRPr="001300A9">
              <w:rPr>
                <w:sz w:val="22"/>
                <w:szCs w:val="22"/>
              </w:rPr>
              <w:t>O: 3</w:t>
            </w:r>
          </w:p>
          <w:p w14:paraId="482B015F" w14:textId="77777777" w:rsidR="00357CEC" w:rsidRPr="001300A9" w:rsidRDefault="00357CEC" w:rsidP="00357CEC">
            <w:pPr>
              <w:pStyle w:val="Default"/>
              <w:rPr>
                <w:sz w:val="22"/>
                <w:szCs w:val="22"/>
              </w:rPr>
            </w:pPr>
            <w:r w:rsidRPr="001300A9">
              <w:rPr>
                <w:sz w:val="22"/>
                <w:szCs w:val="22"/>
              </w:rPr>
              <w:t>P: d)</w:t>
            </w:r>
          </w:p>
        </w:tc>
        <w:tc>
          <w:tcPr>
            <w:tcW w:w="4820" w:type="dxa"/>
          </w:tcPr>
          <w:p w14:paraId="34E06856" w14:textId="77777777" w:rsidR="00357CEC" w:rsidRPr="001300A9" w:rsidRDefault="00357CEC" w:rsidP="00357CEC">
            <w:pPr>
              <w:pStyle w:val="Default"/>
              <w:rPr>
                <w:sz w:val="22"/>
                <w:szCs w:val="22"/>
              </w:rPr>
            </w:pPr>
            <w:r w:rsidRPr="001300A9">
              <w:rPr>
                <w:sz w:val="22"/>
                <w:szCs w:val="22"/>
              </w:rPr>
              <w:t>w) „lodná spoločnosť“ je vlastník lode alebo akákoľvek iná organizácia či osoba, ako je správca alebo nájomca lode, ktorá prevzala zodpovednosť za prevádzku lode od vlastníka lode a ktorá prijatím tejto zodpovednosti súhlasila s prevzatím všetkých povinností a zodpovedností vyplývajúcich z Medzinárodného kódexu pre bezpečné riadenie lodí a prevenciu znečisťovania, ktoré sa uvádzajú v prílohe I k nariadeniu Európskeho parlamentu a Rady (ES) č. 336/2006*;</w:t>
            </w:r>
          </w:p>
          <w:p w14:paraId="200F8861" w14:textId="77777777" w:rsidR="00357CEC" w:rsidRPr="001300A9" w:rsidRDefault="00357CEC" w:rsidP="00357CEC">
            <w:pPr>
              <w:pStyle w:val="Default"/>
              <w:rPr>
                <w:sz w:val="22"/>
                <w:szCs w:val="22"/>
              </w:rPr>
            </w:pPr>
          </w:p>
          <w:p w14:paraId="1E3163EA" w14:textId="77777777" w:rsidR="001E78AA" w:rsidRDefault="001E78AA" w:rsidP="00357CEC">
            <w:pPr>
              <w:pStyle w:val="Default"/>
              <w:rPr>
                <w:sz w:val="22"/>
                <w:szCs w:val="22"/>
              </w:rPr>
            </w:pPr>
          </w:p>
          <w:p w14:paraId="1E85A6A5" w14:textId="77777777" w:rsidR="001E78AA" w:rsidRDefault="001E78AA" w:rsidP="00357CEC">
            <w:pPr>
              <w:pStyle w:val="Default"/>
              <w:rPr>
                <w:sz w:val="22"/>
                <w:szCs w:val="22"/>
              </w:rPr>
            </w:pPr>
          </w:p>
          <w:p w14:paraId="0779CED5" w14:textId="77777777" w:rsidR="001E78AA" w:rsidRDefault="001E78AA" w:rsidP="00357CEC">
            <w:pPr>
              <w:pStyle w:val="Default"/>
              <w:rPr>
                <w:sz w:val="22"/>
                <w:szCs w:val="22"/>
              </w:rPr>
            </w:pPr>
          </w:p>
          <w:p w14:paraId="18D1B8C0" w14:textId="77777777" w:rsidR="001E78AA" w:rsidRDefault="001E78AA" w:rsidP="00357CEC">
            <w:pPr>
              <w:pStyle w:val="Default"/>
              <w:rPr>
                <w:sz w:val="22"/>
                <w:szCs w:val="22"/>
              </w:rPr>
            </w:pPr>
          </w:p>
          <w:p w14:paraId="3A5EB297" w14:textId="77777777" w:rsidR="001E78AA" w:rsidRDefault="001E78AA" w:rsidP="00357CEC">
            <w:pPr>
              <w:pStyle w:val="Default"/>
              <w:rPr>
                <w:sz w:val="22"/>
                <w:szCs w:val="22"/>
              </w:rPr>
            </w:pPr>
          </w:p>
          <w:p w14:paraId="43303D46" w14:textId="77777777" w:rsidR="001E78AA" w:rsidRDefault="001E78AA" w:rsidP="00357CEC">
            <w:pPr>
              <w:pStyle w:val="Default"/>
              <w:rPr>
                <w:sz w:val="22"/>
                <w:szCs w:val="22"/>
              </w:rPr>
            </w:pPr>
          </w:p>
          <w:p w14:paraId="4864FFC2" w14:textId="77777777" w:rsidR="001E78AA" w:rsidRDefault="001E78AA" w:rsidP="00357CEC">
            <w:pPr>
              <w:pStyle w:val="Default"/>
              <w:rPr>
                <w:sz w:val="22"/>
                <w:szCs w:val="22"/>
              </w:rPr>
            </w:pPr>
          </w:p>
          <w:p w14:paraId="5B8BE0DB" w14:textId="77777777" w:rsidR="001E78AA" w:rsidRDefault="001E78AA" w:rsidP="00357CEC">
            <w:pPr>
              <w:pStyle w:val="Default"/>
              <w:rPr>
                <w:sz w:val="22"/>
                <w:szCs w:val="22"/>
              </w:rPr>
            </w:pPr>
          </w:p>
          <w:p w14:paraId="73F791EB" w14:textId="2692B46E" w:rsidR="4792BE4F" w:rsidRDefault="4792BE4F" w:rsidP="4792BE4F">
            <w:pPr>
              <w:pStyle w:val="Default"/>
              <w:rPr>
                <w:sz w:val="22"/>
                <w:szCs w:val="22"/>
              </w:rPr>
            </w:pPr>
          </w:p>
          <w:p w14:paraId="6F30C1C0" w14:textId="54E63FDF" w:rsidR="001E78AA" w:rsidRDefault="001E78AA" w:rsidP="00357CEC">
            <w:pPr>
              <w:pStyle w:val="Default"/>
              <w:rPr>
                <w:sz w:val="22"/>
                <w:szCs w:val="22"/>
              </w:rPr>
            </w:pPr>
          </w:p>
          <w:p w14:paraId="0EEFC29D" w14:textId="6C36037D" w:rsidR="00357CEC" w:rsidRPr="001300A9" w:rsidRDefault="00357CEC" w:rsidP="00357CEC">
            <w:pPr>
              <w:pStyle w:val="Default"/>
              <w:rPr>
                <w:sz w:val="22"/>
                <w:szCs w:val="22"/>
              </w:rPr>
            </w:pPr>
            <w:r w:rsidRPr="001300A9">
              <w:rPr>
                <w:sz w:val="22"/>
                <w:szCs w:val="22"/>
              </w:rPr>
              <w:t>x) „plavba“ je plavba v zmysle vymedzenia v článku 3 písm. c) nariadenia Európskeho parlamentu a Rady (EÚ) 2015/757**;</w:t>
            </w:r>
          </w:p>
          <w:p w14:paraId="1F09BE8E" w14:textId="436A3DEC" w:rsidR="00357CEC" w:rsidRDefault="00357CEC" w:rsidP="00357CEC">
            <w:pPr>
              <w:pStyle w:val="Default"/>
              <w:rPr>
                <w:sz w:val="22"/>
                <w:szCs w:val="22"/>
              </w:rPr>
            </w:pPr>
          </w:p>
          <w:p w14:paraId="5DD65615" w14:textId="046CA2AE" w:rsidR="001E78AA" w:rsidRDefault="001E78AA" w:rsidP="00357CEC">
            <w:pPr>
              <w:pStyle w:val="Default"/>
              <w:rPr>
                <w:sz w:val="22"/>
                <w:szCs w:val="22"/>
              </w:rPr>
            </w:pPr>
          </w:p>
          <w:p w14:paraId="56A99AFE" w14:textId="43ABDB70" w:rsidR="001E78AA" w:rsidRDefault="001E78AA" w:rsidP="00357CEC">
            <w:pPr>
              <w:pStyle w:val="Default"/>
              <w:rPr>
                <w:sz w:val="22"/>
                <w:szCs w:val="22"/>
              </w:rPr>
            </w:pPr>
          </w:p>
          <w:p w14:paraId="63AB474A" w14:textId="4F717645" w:rsidR="5F673433" w:rsidRDefault="5F673433" w:rsidP="5F673433">
            <w:pPr>
              <w:pStyle w:val="Default"/>
              <w:rPr>
                <w:sz w:val="22"/>
                <w:szCs w:val="22"/>
              </w:rPr>
            </w:pPr>
          </w:p>
          <w:p w14:paraId="5DE9E7D1" w14:textId="6B48D260" w:rsidR="5F673433" w:rsidRDefault="5F673433" w:rsidP="5F673433">
            <w:pPr>
              <w:pStyle w:val="Default"/>
              <w:rPr>
                <w:sz w:val="22"/>
                <w:szCs w:val="22"/>
              </w:rPr>
            </w:pPr>
          </w:p>
          <w:p w14:paraId="16B75E58" w14:textId="6E9CB26C" w:rsidR="001E78AA" w:rsidRPr="001300A9" w:rsidRDefault="001E78AA" w:rsidP="00357CEC">
            <w:pPr>
              <w:pStyle w:val="Default"/>
              <w:rPr>
                <w:sz w:val="22"/>
                <w:szCs w:val="22"/>
              </w:rPr>
            </w:pPr>
          </w:p>
          <w:p w14:paraId="53E005EE" w14:textId="77777777" w:rsidR="00357CEC" w:rsidRPr="001300A9" w:rsidRDefault="00357CEC" w:rsidP="00357CEC">
            <w:pPr>
              <w:pStyle w:val="Default"/>
              <w:rPr>
                <w:sz w:val="22"/>
                <w:szCs w:val="22"/>
              </w:rPr>
            </w:pPr>
            <w:r w:rsidRPr="001300A9">
              <w:rPr>
                <w:sz w:val="22"/>
                <w:szCs w:val="22"/>
              </w:rPr>
              <w:t>y) „riadiaci orgán vo vzťahu k lodnej spoločnosti“ je orgán zodpovedný za správu systému EU ETS v súvislosti s lodnou spoločnosťou v súlade s článkom 3gf;</w:t>
            </w:r>
          </w:p>
          <w:p w14:paraId="54506C14" w14:textId="77777777" w:rsidR="00357CEC" w:rsidRPr="001300A9" w:rsidRDefault="00357CEC" w:rsidP="00357CEC">
            <w:pPr>
              <w:pStyle w:val="Default"/>
              <w:rPr>
                <w:sz w:val="22"/>
                <w:szCs w:val="22"/>
              </w:rPr>
            </w:pPr>
          </w:p>
          <w:p w14:paraId="2C4F1555" w14:textId="5DEA0CC0" w:rsidR="00357CEC" w:rsidRDefault="00357CEC" w:rsidP="00357CEC">
            <w:pPr>
              <w:pStyle w:val="Default"/>
              <w:rPr>
                <w:sz w:val="22"/>
                <w:szCs w:val="22"/>
              </w:rPr>
            </w:pPr>
            <w:r w:rsidRPr="001300A9">
              <w:rPr>
                <w:sz w:val="22"/>
                <w:szCs w:val="22"/>
              </w:rPr>
              <w:t xml:space="preserve">z) „prístav zastavenia“ je prístav, v ktorom sa loď zastaví na nakládku alebo vykládku nákladu alebo na nalodenie alebo vylodenie cestujúcich, alebo prístav, v ktorom sa </w:t>
            </w:r>
            <w:proofErr w:type="spellStart"/>
            <w:r w:rsidRPr="001300A9">
              <w:rPr>
                <w:sz w:val="22"/>
                <w:szCs w:val="22"/>
              </w:rPr>
              <w:t>príbrežná</w:t>
            </w:r>
            <w:proofErr w:type="spellEnd"/>
            <w:r w:rsidRPr="001300A9">
              <w:rPr>
                <w:sz w:val="22"/>
                <w:szCs w:val="22"/>
              </w:rPr>
              <w:t xml:space="preserve"> loď zastaví, aby uvoľnila posádku; zastávky výhradne na účely doplnenia paliva, zásob, odpočinku posádky lode, ktorá nie je </w:t>
            </w:r>
            <w:proofErr w:type="spellStart"/>
            <w:r w:rsidRPr="001300A9">
              <w:rPr>
                <w:sz w:val="22"/>
                <w:szCs w:val="22"/>
              </w:rPr>
              <w:t>príbrežná</w:t>
            </w:r>
            <w:proofErr w:type="spellEnd"/>
            <w:r w:rsidRPr="001300A9">
              <w:rPr>
                <w:sz w:val="22"/>
                <w:szCs w:val="22"/>
              </w:rPr>
              <w:t xml:space="preserve"> loď, zastávky v suchom doku alebo na opravy lode, jej vybavenia alebo na opravy lode aj vybavenia, zastávky v prístave, ak loď potrebuje pomoc alebo je v núdzovej situácii, transfery z lode </w:t>
            </w:r>
            <w:r w:rsidRPr="001300A9">
              <w:rPr>
                <w:sz w:val="22"/>
                <w:szCs w:val="22"/>
              </w:rPr>
              <w:lastRenderedPageBreak/>
              <w:t>na loď vykonávané mimo prístavov, zastávky s výlučným cieľom nájsť útočisko pred nepriaznivým počasím alebo zastávky potrebné v rámci pátracích a záchranných akcií a zastávky kontajnerových lodí v susednom prístave na prekládku kontajnerov uvedených v zozname vo vykonávacom akte prijatom podľa článku 3ga ods. 2 sú z toho vylúčené;</w:t>
            </w:r>
          </w:p>
          <w:p w14:paraId="76F81284" w14:textId="25EB39F5" w:rsidR="00BB33D9" w:rsidRDefault="00BB33D9" w:rsidP="00357CEC">
            <w:pPr>
              <w:pStyle w:val="Default"/>
              <w:rPr>
                <w:sz w:val="22"/>
                <w:szCs w:val="22"/>
              </w:rPr>
            </w:pPr>
          </w:p>
          <w:p w14:paraId="4C1B23FA" w14:textId="483FFB99" w:rsidR="00BB33D9" w:rsidRDefault="00BB33D9" w:rsidP="00357CEC">
            <w:pPr>
              <w:pStyle w:val="Default"/>
              <w:rPr>
                <w:sz w:val="22"/>
                <w:szCs w:val="22"/>
              </w:rPr>
            </w:pPr>
          </w:p>
          <w:p w14:paraId="59A3E4E3" w14:textId="77777777" w:rsidR="00BB33D9" w:rsidRPr="001300A9" w:rsidRDefault="00BB33D9" w:rsidP="00357CEC">
            <w:pPr>
              <w:pStyle w:val="Default"/>
              <w:rPr>
                <w:sz w:val="22"/>
                <w:szCs w:val="22"/>
              </w:rPr>
            </w:pPr>
          </w:p>
          <w:p w14:paraId="59666B21" w14:textId="77777777" w:rsidR="001E78AA" w:rsidRDefault="001E78AA" w:rsidP="00357CEC">
            <w:pPr>
              <w:pStyle w:val="Default"/>
              <w:rPr>
                <w:sz w:val="22"/>
                <w:szCs w:val="22"/>
              </w:rPr>
            </w:pPr>
          </w:p>
          <w:p w14:paraId="3B02B819" w14:textId="77777777" w:rsidR="001E78AA" w:rsidRDefault="001E78AA" w:rsidP="00357CEC">
            <w:pPr>
              <w:pStyle w:val="Default"/>
              <w:rPr>
                <w:sz w:val="22"/>
                <w:szCs w:val="22"/>
              </w:rPr>
            </w:pPr>
          </w:p>
          <w:p w14:paraId="054924D8" w14:textId="77777777" w:rsidR="001E78AA" w:rsidRDefault="001E78AA" w:rsidP="00357CEC">
            <w:pPr>
              <w:pStyle w:val="Default"/>
              <w:rPr>
                <w:sz w:val="22"/>
                <w:szCs w:val="22"/>
              </w:rPr>
            </w:pPr>
          </w:p>
          <w:p w14:paraId="2A37A7B2" w14:textId="1FDB06D2" w:rsidR="001E78AA" w:rsidRDefault="001E78AA" w:rsidP="00357CEC">
            <w:pPr>
              <w:pStyle w:val="Default"/>
              <w:rPr>
                <w:sz w:val="22"/>
                <w:szCs w:val="22"/>
              </w:rPr>
            </w:pPr>
          </w:p>
          <w:p w14:paraId="30A168FA" w14:textId="3B450B9F" w:rsidR="002B06FC" w:rsidRDefault="002B06FC" w:rsidP="00357CEC">
            <w:pPr>
              <w:pStyle w:val="Default"/>
              <w:rPr>
                <w:sz w:val="22"/>
                <w:szCs w:val="22"/>
              </w:rPr>
            </w:pPr>
          </w:p>
          <w:p w14:paraId="62DBB391" w14:textId="2184B598" w:rsidR="002B06FC" w:rsidRDefault="002B06FC" w:rsidP="00357CEC">
            <w:pPr>
              <w:pStyle w:val="Default"/>
              <w:rPr>
                <w:sz w:val="22"/>
                <w:szCs w:val="22"/>
              </w:rPr>
            </w:pPr>
          </w:p>
          <w:p w14:paraId="7B373B9E" w14:textId="77777777" w:rsidR="002B06FC" w:rsidRDefault="002B06FC" w:rsidP="00357CEC">
            <w:pPr>
              <w:pStyle w:val="Default"/>
              <w:rPr>
                <w:sz w:val="22"/>
                <w:szCs w:val="22"/>
              </w:rPr>
            </w:pPr>
          </w:p>
          <w:p w14:paraId="286BD56C" w14:textId="77777777" w:rsidR="001E78AA" w:rsidRDefault="001E78AA" w:rsidP="00357CEC">
            <w:pPr>
              <w:pStyle w:val="Default"/>
              <w:rPr>
                <w:sz w:val="22"/>
                <w:szCs w:val="22"/>
              </w:rPr>
            </w:pPr>
          </w:p>
          <w:p w14:paraId="2F5BADBD" w14:textId="34291DDF" w:rsidR="00357CEC" w:rsidRPr="001300A9" w:rsidRDefault="00357CEC" w:rsidP="00357CEC">
            <w:pPr>
              <w:pStyle w:val="Default"/>
              <w:rPr>
                <w:sz w:val="22"/>
                <w:szCs w:val="22"/>
              </w:rPr>
            </w:pPr>
            <w:proofErr w:type="spellStart"/>
            <w:r w:rsidRPr="001300A9">
              <w:rPr>
                <w:sz w:val="22"/>
                <w:szCs w:val="22"/>
              </w:rPr>
              <w:t>aa</w:t>
            </w:r>
            <w:proofErr w:type="spellEnd"/>
            <w:r w:rsidRPr="001300A9">
              <w:rPr>
                <w:sz w:val="22"/>
                <w:szCs w:val="22"/>
              </w:rPr>
              <w:t>) „osobná výletná loď“ je osobná loď, ktorá nemá žiadnu nákladnú palubu a je určená výlučne na komerčnú prepravu cestujúcich v ubytovacích zariadeniach počas plavby na mori;</w:t>
            </w:r>
          </w:p>
          <w:p w14:paraId="6B24ECD8" w14:textId="77777777" w:rsidR="00357CEC" w:rsidRPr="001300A9" w:rsidRDefault="00357CEC" w:rsidP="00357CEC">
            <w:pPr>
              <w:pStyle w:val="Default"/>
              <w:rPr>
                <w:sz w:val="22"/>
                <w:szCs w:val="22"/>
              </w:rPr>
            </w:pPr>
          </w:p>
          <w:p w14:paraId="029F1BB9" w14:textId="77777777" w:rsidR="00357CEC" w:rsidRPr="001300A9" w:rsidRDefault="00357CEC" w:rsidP="00357CEC">
            <w:pPr>
              <w:pStyle w:val="Default"/>
              <w:rPr>
                <w:sz w:val="22"/>
                <w:szCs w:val="22"/>
              </w:rPr>
            </w:pPr>
            <w:proofErr w:type="spellStart"/>
            <w:r w:rsidRPr="001300A9">
              <w:rPr>
                <w:sz w:val="22"/>
                <w:szCs w:val="22"/>
              </w:rPr>
              <w:t>ab</w:t>
            </w:r>
            <w:proofErr w:type="spellEnd"/>
            <w:r w:rsidRPr="001300A9">
              <w:rPr>
                <w:sz w:val="22"/>
                <w:szCs w:val="22"/>
              </w:rPr>
              <w:t>) „rozdielová zmluva“ je zmluva medzi Komisiou a výrobcom produktu s nízkymi alebo nulovými emisiami uhlíka vybraným prostredníctvom mechanizmu súťažného ponukového konania, ako je napríklad aukcia, a na základe ktorej sa výrobcovi poskytuje podpora z inovačného fondu pokrývajúca rozdiel medzi víťaznou cenou, tiež známou ako realizačná cena, na jednej strane a referenčnou cenou odvodenou od ceny vyrobeného produktu s nízkymi alebo nulovými emisiami uhlíka, trhovej ceny blízkej náhrady alebo kombinácie oboch týchto cien, na druhej strane;</w:t>
            </w:r>
          </w:p>
          <w:p w14:paraId="2CF7486C" w14:textId="77777777" w:rsidR="00357CEC" w:rsidRPr="001300A9" w:rsidRDefault="00357CEC" w:rsidP="00357CEC">
            <w:pPr>
              <w:pStyle w:val="Default"/>
              <w:rPr>
                <w:sz w:val="22"/>
                <w:szCs w:val="22"/>
              </w:rPr>
            </w:pPr>
          </w:p>
          <w:p w14:paraId="25A22444" w14:textId="77777777" w:rsidR="00357CEC" w:rsidRPr="001300A9" w:rsidRDefault="00357CEC" w:rsidP="00357CEC">
            <w:pPr>
              <w:pStyle w:val="Default"/>
              <w:rPr>
                <w:sz w:val="22"/>
                <w:szCs w:val="22"/>
              </w:rPr>
            </w:pPr>
            <w:proofErr w:type="spellStart"/>
            <w:r w:rsidRPr="001300A9">
              <w:rPr>
                <w:sz w:val="22"/>
                <w:szCs w:val="22"/>
              </w:rPr>
              <w:t>ac</w:t>
            </w:r>
            <w:proofErr w:type="spellEnd"/>
            <w:r w:rsidRPr="001300A9">
              <w:rPr>
                <w:sz w:val="22"/>
                <w:szCs w:val="22"/>
              </w:rPr>
              <w:t>) „rozdielová zmluva v oblasti uhlíka“ je zmluva medzi Komisiou a výrobcom produktu s nízkymi alebo nulovými emisiami uhlíka vybraným prostredníctvom mechanizmu súťažného ponukového konania, ako je napríklad aukcia, a na základe ktorej sa výrobcovi poskytuje podpora z inovačného fondu, ktorá pokrýva rozdiel medzi víťaznou cenou, tiež známou ako realizačná cena na jednej strane a referenčnou cenou odvodenou od priemernej ceny kvót, na druhej strane;</w:t>
            </w:r>
          </w:p>
          <w:p w14:paraId="585604B1" w14:textId="77777777" w:rsidR="00357CEC" w:rsidRPr="001300A9" w:rsidRDefault="00357CEC" w:rsidP="00357CEC">
            <w:pPr>
              <w:pStyle w:val="Default"/>
              <w:rPr>
                <w:sz w:val="22"/>
                <w:szCs w:val="22"/>
              </w:rPr>
            </w:pPr>
          </w:p>
          <w:p w14:paraId="76FED8C8" w14:textId="77777777" w:rsidR="00357CEC" w:rsidRPr="001300A9" w:rsidRDefault="00357CEC" w:rsidP="00357CEC">
            <w:pPr>
              <w:pStyle w:val="Default"/>
              <w:rPr>
                <w:sz w:val="22"/>
                <w:szCs w:val="22"/>
              </w:rPr>
            </w:pPr>
            <w:r w:rsidRPr="001300A9">
              <w:rPr>
                <w:sz w:val="22"/>
                <w:szCs w:val="22"/>
              </w:rPr>
              <w:t>ad) „zmluva o pevnej prémii“ je zmluva medzi Komisiou a výrobcom produktu s nízkymi alebo nulovými emisiami uhlíka vybraným prostredníctvom mechanizmu súťažného ponukového konania, ako je napríklad aukcia, a na základe ktorej sa výrobcovi poskytuje podpora vo forme pevne stanovenej sumy na jednotku vyrobeného produktu;</w:t>
            </w:r>
          </w:p>
          <w:p w14:paraId="29CF72BC" w14:textId="77777777" w:rsidR="00357CEC" w:rsidRPr="001300A9" w:rsidRDefault="00357CEC" w:rsidP="00357CEC">
            <w:pPr>
              <w:pStyle w:val="Default"/>
              <w:rPr>
                <w:sz w:val="22"/>
                <w:szCs w:val="22"/>
              </w:rPr>
            </w:pPr>
          </w:p>
          <w:p w14:paraId="1671565D" w14:textId="77777777" w:rsidR="00357CEC" w:rsidRPr="001300A9" w:rsidRDefault="00357CEC" w:rsidP="00357CEC">
            <w:pPr>
              <w:pStyle w:val="Default"/>
              <w:rPr>
                <w:sz w:val="22"/>
                <w:szCs w:val="22"/>
              </w:rPr>
            </w:pPr>
            <w:proofErr w:type="spellStart"/>
            <w:r w:rsidRPr="001300A9">
              <w:rPr>
                <w:sz w:val="22"/>
                <w:szCs w:val="22"/>
              </w:rPr>
              <w:t>ae</w:t>
            </w:r>
            <w:proofErr w:type="spellEnd"/>
            <w:r w:rsidRPr="001300A9">
              <w:rPr>
                <w:sz w:val="22"/>
                <w:szCs w:val="22"/>
              </w:rPr>
              <w:t xml:space="preserve">) „regulovaný subjekt“ na účely kapitoly </w:t>
            </w:r>
            <w:proofErr w:type="spellStart"/>
            <w:r w:rsidRPr="001300A9">
              <w:rPr>
                <w:sz w:val="22"/>
                <w:szCs w:val="22"/>
              </w:rPr>
              <w:t>IVa</w:t>
            </w:r>
            <w:proofErr w:type="spellEnd"/>
            <w:r w:rsidRPr="001300A9">
              <w:rPr>
                <w:sz w:val="22"/>
                <w:szCs w:val="22"/>
              </w:rPr>
              <w:t xml:space="preserve"> je akákoľvek fyzická alebo právnická osoba okrem akéhokoľvek konečného spotrebiteľa palív, ktorá vykonáva činnosť uvedenú v prílohe III a ktorá patrí do jednej z týchto kategórií:</w:t>
            </w:r>
          </w:p>
          <w:p w14:paraId="150AECE1" w14:textId="77777777" w:rsidR="00357CEC" w:rsidRPr="001300A9" w:rsidRDefault="00357CEC" w:rsidP="00357CEC">
            <w:pPr>
              <w:pStyle w:val="Default"/>
              <w:numPr>
                <w:ilvl w:val="0"/>
                <w:numId w:val="2"/>
              </w:numPr>
              <w:rPr>
                <w:sz w:val="22"/>
                <w:szCs w:val="22"/>
              </w:rPr>
            </w:pPr>
            <w:r w:rsidRPr="001300A9">
              <w:rPr>
                <w:sz w:val="22"/>
                <w:szCs w:val="22"/>
              </w:rPr>
              <w:t>ak dané palivo prechádza daňovým skladom vymedzeným v článku 3 bode 11 smernice Rady (EÚ) 2020/262***, oprávnený prevádzkovateľ daňového skladu v zmysle článku 3 bodu 1 uvedenej smernice, ktorý je povinný zaplatiť spotrebnú daň, ktorá mu vznikla podľa článku 7 uvedenej smernice;</w:t>
            </w:r>
          </w:p>
          <w:p w14:paraId="5F2E24F7" w14:textId="77777777" w:rsidR="00357CEC" w:rsidRPr="001300A9" w:rsidRDefault="00357CEC" w:rsidP="00357CEC">
            <w:pPr>
              <w:pStyle w:val="Default"/>
              <w:numPr>
                <w:ilvl w:val="0"/>
                <w:numId w:val="2"/>
              </w:numPr>
              <w:rPr>
                <w:sz w:val="22"/>
                <w:szCs w:val="22"/>
              </w:rPr>
            </w:pPr>
            <w:r w:rsidRPr="001300A9">
              <w:rPr>
                <w:sz w:val="22"/>
                <w:szCs w:val="22"/>
              </w:rPr>
              <w:t xml:space="preserve">ak sa neuplatňuje bod i) tohto bodu, akákoľvek iná osoba povinná zaplatiť </w:t>
            </w:r>
            <w:r w:rsidRPr="001300A9">
              <w:rPr>
                <w:sz w:val="22"/>
                <w:szCs w:val="22"/>
              </w:rPr>
              <w:lastRenderedPageBreak/>
              <w:t xml:space="preserve">spotrebnú daň, ktorá jej vznikla podľa článku 7 smernice (EÚ) 2020/262 alebo článku 21 ods. 5 prvého </w:t>
            </w:r>
            <w:proofErr w:type="spellStart"/>
            <w:r w:rsidRPr="001300A9">
              <w:rPr>
                <w:sz w:val="22"/>
                <w:szCs w:val="22"/>
              </w:rPr>
              <w:t>pododseku</w:t>
            </w:r>
            <w:proofErr w:type="spellEnd"/>
            <w:r w:rsidRPr="001300A9">
              <w:rPr>
                <w:sz w:val="22"/>
                <w:szCs w:val="22"/>
              </w:rPr>
              <w:t xml:space="preserve"> smernice Rady 2003/96/ES****, pokiaľ ide o palivá, na ktoré sa vzťahuje kapitola </w:t>
            </w:r>
            <w:proofErr w:type="spellStart"/>
            <w:r w:rsidRPr="001300A9">
              <w:rPr>
                <w:sz w:val="22"/>
                <w:szCs w:val="22"/>
              </w:rPr>
              <w:t>IVa</w:t>
            </w:r>
            <w:proofErr w:type="spellEnd"/>
            <w:r w:rsidRPr="001300A9">
              <w:rPr>
                <w:sz w:val="22"/>
                <w:szCs w:val="22"/>
              </w:rPr>
              <w:t xml:space="preserve"> tejto smernice;</w:t>
            </w:r>
          </w:p>
          <w:p w14:paraId="084CFE89" w14:textId="77777777" w:rsidR="00357CEC" w:rsidRPr="001300A9" w:rsidRDefault="00357CEC" w:rsidP="00357CEC">
            <w:pPr>
              <w:pStyle w:val="Default"/>
              <w:numPr>
                <w:ilvl w:val="0"/>
                <w:numId w:val="2"/>
              </w:numPr>
              <w:rPr>
                <w:sz w:val="22"/>
                <w:szCs w:val="22"/>
              </w:rPr>
            </w:pPr>
            <w:r w:rsidRPr="001300A9">
              <w:rPr>
                <w:sz w:val="22"/>
                <w:szCs w:val="22"/>
              </w:rPr>
              <w:t xml:space="preserve">ak sa neuplatňujú body i) a ii) tohto bodu, akákoľvek iná osoba, ktorú musia zaregistrovať relevantné príslušné orgány členského štátu na účely povinnosti zaplatenia spotrebnej dane, vrátane akejkoľvek osoby oslobodenej od platenia spotrebnej dane, ako sa uvádza v článku 21 ods. 5 štvrtom </w:t>
            </w:r>
            <w:proofErr w:type="spellStart"/>
            <w:r w:rsidRPr="001300A9">
              <w:rPr>
                <w:sz w:val="22"/>
                <w:szCs w:val="22"/>
              </w:rPr>
              <w:t>pododseku</w:t>
            </w:r>
            <w:proofErr w:type="spellEnd"/>
            <w:r w:rsidRPr="001300A9">
              <w:rPr>
                <w:sz w:val="22"/>
                <w:szCs w:val="22"/>
              </w:rPr>
              <w:t xml:space="preserve"> smernice 2003/96/ES;</w:t>
            </w:r>
          </w:p>
          <w:p w14:paraId="0CCD8957" w14:textId="77777777" w:rsidR="00357CEC" w:rsidRPr="001300A9" w:rsidRDefault="00357CEC" w:rsidP="00357CEC">
            <w:pPr>
              <w:pStyle w:val="Default"/>
              <w:numPr>
                <w:ilvl w:val="0"/>
                <w:numId w:val="2"/>
              </w:numPr>
              <w:rPr>
                <w:sz w:val="22"/>
                <w:szCs w:val="22"/>
              </w:rPr>
            </w:pPr>
            <w:r w:rsidRPr="001300A9">
              <w:rPr>
                <w:sz w:val="22"/>
                <w:szCs w:val="22"/>
              </w:rPr>
              <w:t>ak sa neuplatňujú body i), ii) a iii), alebo ak je za zaplatenie tej istej spotrebnej dane spoločne a nerozdielne zodpovedných niekoľko osôb, akákoľvek iná osoba určená členským štátom;</w:t>
            </w:r>
          </w:p>
          <w:p w14:paraId="441A9197" w14:textId="77777777" w:rsidR="00357CEC" w:rsidRPr="001300A9" w:rsidRDefault="00357CEC" w:rsidP="00357CEC">
            <w:pPr>
              <w:pStyle w:val="Default"/>
              <w:ind w:left="1080"/>
              <w:rPr>
                <w:sz w:val="22"/>
                <w:szCs w:val="22"/>
              </w:rPr>
            </w:pPr>
          </w:p>
          <w:p w14:paraId="4A503688" w14:textId="77777777" w:rsidR="00357CEC" w:rsidRPr="001300A9" w:rsidRDefault="00357CEC" w:rsidP="00357CEC">
            <w:pPr>
              <w:pStyle w:val="Default"/>
              <w:rPr>
                <w:sz w:val="22"/>
                <w:szCs w:val="22"/>
              </w:rPr>
            </w:pPr>
            <w:proofErr w:type="spellStart"/>
            <w:r w:rsidRPr="001300A9">
              <w:rPr>
                <w:sz w:val="22"/>
                <w:szCs w:val="22"/>
              </w:rPr>
              <w:t>af</w:t>
            </w:r>
            <w:proofErr w:type="spellEnd"/>
            <w:r w:rsidRPr="001300A9">
              <w:rPr>
                <w:sz w:val="22"/>
                <w:szCs w:val="22"/>
              </w:rPr>
              <w:t xml:space="preserve">) „palivo“ na účely kapitoly </w:t>
            </w:r>
            <w:proofErr w:type="spellStart"/>
            <w:r w:rsidRPr="001300A9">
              <w:rPr>
                <w:sz w:val="22"/>
                <w:szCs w:val="22"/>
              </w:rPr>
              <w:t>IVa</w:t>
            </w:r>
            <w:proofErr w:type="spellEnd"/>
            <w:r w:rsidRPr="001300A9">
              <w:rPr>
                <w:sz w:val="22"/>
                <w:szCs w:val="22"/>
              </w:rPr>
              <w:t xml:space="preserve"> tejto smernice je každý energetický výrobok uvedený v článku 2 ods. 1 smernice 2003/96/ES vrátane palív uvedených v tabuľke A </w:t>
            </w:r>
            <w:proofErr w:type="spellStart"/>
            <w:r w:rsidRPr="001300A9">
              <w:rPr>
                <w:sz w:val="22"/>
                <w:szCs w:val="22"/>
              </w:rPr>
              <w:t>a</w:t>
            </w:r>
            <w:proofErr w:type="spellEnd"/>
            <w:r w:rsidRPr="001300A9">
              <w:rPr>
                <w:sz w:val="22"/>
                <w:szCs w:val="22"/>
              </w:rPr>
              <w:t xml:space="preserve"> tabuľke C prílohy I k uvedenej smernici, ako aj akýkoľvek iný produkt zamýšľaný na použitie, ponúkaný na predaj alebo používaný ako motorové palivo alebo vykurovacie palivo, ako sa uvádza v článku 2 ods. 3 uvedenej smernice, a to aj na výrobu elektrickej energie;</w:t>
            </w:r>
          </w:p>
          <w:p w14:paraId="0248CFBC" w14:textId="15A2C23D" w:rsidR="00357CEC" w:rsidRDefault="00357CEC" w:rsidP="00357CEC">
            <w:pPr>
              <w:pStyle w:val="Default"/>
              <w:rPr>
                <w:sz w:val="22"/>
                <w:szCs w:val="22"/>
              </w:rPr>
            </w:pPr>
          </w:p>
          <w:p w14:paraId="20025742" w14:textId="77777777" w:rsidR="00795FE5" w:rsidRPr="001300A9" w:rsidRDefault="00795FE5" w:rsidP="00357CEC">
            <w:pPr>
              <w:pStyle w:val="Default"/>
              <w:rPr>
                <w:sz w:val="22"/>
                <w:szCs w:val="22"/>
              </w:rPr>
            </w:pPr>
          </w:p>
          <w:p w14:paraId="5AB6664A" w14:textId="48BE414D" w:rsidR="4792BE4F" w:rsidRDefault="4792BE4F" w:rsidP="4792BE4F">
            <w:pPr>
              <w:pStyle w:val="Default"/>
              <w:rPr>
                <w:sz w:val="22"/>
                <w:szCs w:val="22"/>
              </w:rPr>
            </w:pPr>
          </w:p>
          <w:p w14:paraId="3E5607FC" w14:textId="77777777" w:rsidR="00357CEC" w:rsidRPr="001300A9" w:rsidRDefault="00357CEC" w:rsidP="00357CEC">
            <w:pPr>
              <w:pStyle w:val="Default"/>
              <w:rPr>
                <w:sz w:val="22"/>
                <w:szCs w:val="22"/>
              </w:rPr>
            </w:pPr>
            <w:proofErr w:type="spellStart"/>
            <w:r w:rsidRPr="001300A9">
              <w:rPr>
                <w:sz w:val="22"/>
                <w:szCs w:val="22"/>
              </w:rPr>
              <w:lastRenderedPageBreak/>
              <w:t>ag</w:t>
            </w:r>
            <w:proofErr w:type="spellEnd"/>
            <w:r w:rsidRPr="001300A9">
              <w:rPr>
                <w:sz w:val="22"/>
                <w:szCs w:val="22"/>
              </w:rPr>
              <w:t xml:space="preserve">) „uvedenie do daňového voľného obehu“ na účely kapitoly </w:t>
            </w:r>
            <w:proofErr w:type="spellStart"/>
            <w:r w:rsidRPr="001300A9">
              <w:rPr>
                <w:sz w:val="22"/>
                <w:szCs w:val="22"/>
              </w:rPr>
              <w:t>IVa</w:t>
            </w:r>
            <w:proofErr w:type="spellEnd"/>
            <w:r w:rsidRPr="001300A9">
              <w:rPr>
                <w:sz w:val="22"/>
                <w:szCs w:val="22"/>
              </w:rPr>
              <w:t xml:space="preserve"> tejto smernice znamená uvedenie do daňového voľného obehu v zmysle článku 6 ods. 3 smernice (EÚ) 2020/262;</w:t>
            </w:r>
          </w:p>
          <w:p w14:paraId="057D1A3B" w14:textId="77777777" w:rsidR="00357CEC" w:rsidRPr="001300A9" w:rsidRDefault="00357CEC" w:rsidP="00357CEC">
            <w:pPr>
              <w:pStyle w:val="Default"/>
              <w:rPr>
                <w:sz w:val="22"/>
                <w:szCs w:val="22"/>
              </w:rPr>
            </w:pPr>
          </w:p>
          <w:p w14:paraId="2B63FF15" w14:textId="77777777" w:rsidR="00357CEC" w:rsidRPr="001300A9" w:rsidRDefault="00357CEC" w:rsidP="00357CEC">
            <w:pPr>
              <w:pStyle w:val="Default"/>
              <w:rPr>
                <w:sz w:val="22"/>
                <w:szCs w:val="22"/>
              </w:rPr>
            </w:pPr>
            <w:r w:rsidRPr="001300A9">
              <w:rPr>
                <w:sz w:val="22"/>
                <w:szCs w:val="22"/>
              </w:rPr>
              <w:t xml:space="preserve">ah) „cena plynu TTF“ na účely kapitoly </w:t>
            </w:r>
            <w:proofErr w:type="spellStart"/>
            <w:r w:rsidRPr="001300A9">
              <w:rPr>
                <w:sz w:val="22"/>
                <w:szCs w:val="22"/>
              </w:rPr>
              <w:t>IVa</w:t>
            </w:r>
            <w:proofErr w:type="spellEnd"/>
            <w:r w:rsidRPr="001300A9">
              <w:rPr>
                <w:sz w:val="22"/>
                <w:szCs w:val="22"/>
              </w:rPr>
              <w:t xml:space="preserve"> je cena jednomesačnej </w:t>
            </w:r>
            <w:proofErr w:type="spellStart"/>
            <w:r w:rsidRPr="001300A9">
              <w:rPr>
                <w:sz w:val="22"/>
                <w:szCs w:val="22"/>
              </w:rPr>
              <w:t>futures</w:t>
            </w:r>
            <w:proofErr w:type="spellEnd"/>
            <w:r w:rsidRPr="001300A9">
              <w:rPr>
                <w:sz w:val="22"/>
                <w:szCs w:val="22"/>
              </w:rPr>
              <w:t xml:space="preserve"> zmluvy na plyn dohodnutá vo virtuálnom obchodnom uzle </w:t>
            </w:r>
            <w:proofErr w:type="spellStart"/>
            <w:r w:rsidRPr="001300A9">
              <w:rPr>
                <w:sz w:val="22"/>
                <w:szCs w:val="22"/>
              </w:rPr>
              <w:t>Titel</w:t>
            </w:r>
            <w:proofErr w:type="spellEnd"/>
            <w:r w:rsidRPr="001300A9">
              <w:rPr>
                <w:sz w:val="22"/>
                <w:szCs w:val="22"/>
              </w:rPr>
              <w:t xml:space="preserve"> Transfer </w:t>
            </w:r>
            <w:proofErr w:type="spellStart"/>
            <w:r w:rsidRPr="001300A9">
              <w:rPr>
                <w:sz w:val="22"/>
                <w:szCs w:val="22"/>
              </w:rPr>
              <w:t>Facility</w:t>
            </w:r>
            <w:proofErr w:type="spellEnd"/>
            <w:r w:rsidRPr="001300A9">
              <w:rPr>
                <w:sz w:val="22"/>
                <w:szCs w:val="22"/>
              </w:rPr>
              <w:t xml:space="preserve"> (TTF), ktorý prevádzkuje spoločnosť </w:t>
            </w:r>
            <w:proofErr w:type="spellStart"/>
            <w:r w:rsidRPr="001300A9">
              <w:rPr>
                <w:sz w:val="22"/>
                <w:szCs w:val="22"/>
              </w:rPr>
              <w:t>Gasunie</w:t>
            </w:r>
            <w:proofErr w:type="spellEnd"/>
            <w:r w:rsidRPr="001300A9">
              <w:rPr>
                <w:sz w:val="22"/>
                <w:szCs w:val="22"/>
              </w:rPr>
              <w:t xml:space="preserve"> Transport </w:t>
            </w:r>
            <w:proofErr w:type="spellStart"/>
            <w:r w:rsidRPr="001300A9">
              <w:rPr>
                <w:sz w:val="22"/>
                <w:szCs w:val="22"/>
              </w:rPr>
              <w:t>Services</w:t>
            </w:r>
            <w:proofErr w:type="spellEnd"/>
            <w:r w:rsidRPr="001300A9">
              <w:rPr>
                <w:sz w:val="22"/>
                <w:szCs w:val="22"/>
              </w:rPr>
              <w:t xml:space="preserve"> B.V.;</w:t>
            </w:r>
          </w:p>
          <w:p w14:paraId="363DA491" w14:textId="77777777" w:rsidR="00357CEC" w:rsidRPr="001300A9" w:rsidRDefault="00357CEC" w:rsidP="00357CEC">
            <w:pPr>
              <w:pStyle w:val="Default"/>
              <w:rPr>
                <w:sz w:val="22"/>
                <w:szCs w:val="22"/>
              </w:rPr>
            </w:pPr>
          </w:p>
          <w:p w14:paraId="75DF23A4" w14:textId="77777777" w:rsidR="00357CEC" w:rsidRPr="001300A9" w:rsidRDefault="00357CEC" w:rsidP="00357CEC">
            <w:pPr>
              <w:pStyle w:val="Default"/>
              <w:rPr>
                <w:sz w:val="22"/>
                <w:szCs w:val="22"/>
              </w:rPr>
            </w:pPr>
            <w:proofErr w:type="spellStart"/>
            <w:r w:rsidRPr="001300A9">
              <w:rPr>
                <w:sz w:val="22"/>
                <w:szCs w:val="22"/>
              </w:rPr>
              <w:t>ai</w:t>
            </w:r>
            <w:proofErr w:type="spellEnd"/>
            <w:r w:rsidRPr="001300A9">
              <w:rPr>
                <w:sz w:val="22"/>
                <w:szCs w:val="22"/>
              </w:rPr>
              <w:t xml:space="preserve">) „cena ropy </w:t>
            </w:r>
            <w:proofErr w:type="spellStart"/>
            <w:r w:rsidRPr="001300A9">
              <w:rPr>
                <w:sz w:val="22"/>
                <w:szCs w:val="22"/>
              </w:rPr>
              <w:t>Brent</w:t>
            </w:r>
            <w:proofErr w:type="spellEnd"/>
            <w:r w:rsidRPr="001300A9">
              <w:rPr>
                <w:sz w:val="22"/>
                <w:szCs w:val="22"/>
              </w:rPr>
              <w:t xml:space="preserve">“ na účely kapitoly </w:t>
            </w:r>
            <w:proofErr w:type="spellStart"/>
            <w:r w:rsidRPr="001300A9">
              <w:rPr>
                <w:sz w:val="22"/>
                <w:szCs w:val="22"/>
              </w:rPr>
              <w:t>IVa</w:t>
            </w:r>
            <w:proofErr w:type="spellEnd"/>
            <w:r w:rsidRPr="001300A9">
              <w:rPr>
                <w:sz w:val="22"/>
                <w:szCs w:val="22"/>
              </w:rPr>
              <w:t xml:space="preserve"> je cena jednomesačnej </w:t>
            </w:r>
            <w:proofErr w:type="spellStart"/>
            <w:r w:rsidRPr="001300A9">
              <w:rPr>
                <w:sz w:val="22"/>
                <w:szCs w:val="22"/>
              </w:rPr>
              <w:t>futures</w:t>
            </w:r>
            <w:proofErr w:type="spellEnd"/>
            <w:r w:rsidRPr="001300A9">
              <w:rPr>
                <w:sz w:val="22"/>
                <w:szCs w:val="22"/>
              </w:rPr>
              <w:t xml:space="preserve"> zmluvy na ropu používaná ako referenčná cena na nákup ropy.</w:t>
            </w:r>
          </w:p>
          <w:p w14:paraId="0C674A09" w14:textId="77777777" w:rsidR="00357CEC" w:rsidRPr="001300A9" w:rsidRDefault="00357CEC" w:rsidP="00357CEC">
            <w:pPr>
              <w:pStyle w:val="Default"/>
              <w:rPr>
                <w:sz w:val="22"/>
                <w:szCs w:val="22"/>
              </w:rPr>
            </w:pPr>
          </w:p>
          <w:p w14:paraId="718FEDB2" w14:textId="77777777" w:rsidR="00357CEC" w:rsidRPr="001300A9" w:rsidRDefault="00357CEC" w:rsidP="00357CEC">
            <w:pPr>
              <w:pStyle w:val="Default"/>
              <w:rPr>
                <w:sz w:val="22"/>
                <w:szCs w:val="22"/>
              </w:rPr>
            </w:pPr>
            <w:r w:rsidRPr="001300A9">
              <w:rPr>
                <w:sz w:val="22"/>
                <w:szCs w:val="22"/>
              </w:rPr>
              <w:t>* Nariadenie Európskeho parlamentu a Rady (ES) č. 336/2006 z 15. februára 2006 o vykonávaní Medzinárodného kódexu pre bezpečnostný manažment v rámci Spoločenstva a o zrušení nariadenia Rady (ES) č. 3051/95 (Ú. v. EÚ L 64, 4.3.2006, s. 1).</w:t>
            </w:r>
          </w:p>
          <w:p w14:paraId="399EA8DF" w14:textId="77777777" w:rsidR="00357CEC" w:rsidRPr="001300A9" w:rsidRDefault="00357CEC" w:rsidP="00357CEC">
            <w:pPr>
              <w:pStyle w:val="Default"/>
              <w:rPr>
                <w:sz w:val="22"/>
                <w:szCs w:val="22"/>
              </w:rPr>
            </w:pPr>
            <w:r w:rsidRPr="001300A9">
              <w:rPr>
                <w:sz w:val="22"/>
                <w:szCs w:val="22"/>
              </w:rPr>
              <w:t>** Nariadenie Európskeho parlamentu a Rady (EÚ) 2015/757 z 29. apríla 2015 o monitorovaní, nahlasovaní a overovaní emisií oxidu uhličitého z námornej dopravy a o zmene smernice 2009/16/ES (Ú. v. EÚ L 123, 19.5.2015, s. 55).</w:t>
            </w:r>
          </w:p>
          <w:p w14:paraId="16C1395F" w14:textId="77777777" w:rsidR="00357CEC" w:rsidRPr="001300A9" w:rsidRDefault="00357CEC" w:rsidP="00357CEC">
            <w:pPr>
              <w:pStyle w:val="Default"/>
              <w:rPr>
                <w:sz w:val="22"/>
                <w:szCs w:val="22"/>
              </w:rPr>
            </w:pPr>
            <w:r w:rsidRPr="001300A9">
              <w:rPr>
                <w:sz w:val="22"/>
                <w:szCs w:val="22"/>
              </w:rPr>
              <w:t>*** Smernica Rady (EÚ) 2020/262 z 19. decembra 2019, ktorou sa ustanovuje všeobecný systém spotrebných daní (Ú. v. EÚ L 58, 27.2.2020, s. 4).</w:t>
            </w:r>
          </w:p>
          <w:p w14:paraId="0DC2BA7F" w14:textId="77777777" w:rsidR="00357CEC" w:rsidRPr="001300A9" w:rsidRDefault="00357CEC" w:rsidP="00357CEC">
            <w:pPr>
              <w:pStyle w:val="Default"/>
              <w:rPr>
                <w:sz w:val="22"/>
                <w:szCs w:val="22"/>
              </w:rPr>
            </w:pPr>
            <w:r w:rsidRPr="001300A9">
              <w:rPr>
                <w:sz w:val="22"/>
                <w:szCs w:val="22"/>
              </w:rPr>
              <w:t>**** Smernica Rady 2003/96/ES z 27. októbra 2003 o reštrukturalizácii právneho rámca Spoločenstva pre zdaňovanie energetických výrobkov a elektriny (Ú. v. EÚ L 283, 31.10.2003, s. 51).</w:t>
            </w:r>
          </w:p>
        </w:tc>
        <w:tc>
          <w:tcPr>
            <w:tcW w:w="567" w:type="dxa"/>
          </w:tcPr>
          <w:p w14:paraId="02794A78" w14:textId="77777777" w:rsidR="00357CEC" w:rsidRPr="001300A9" w:rsidRDefault="00357CEC" w:rsidP="00357CEC">
            <w:pPr>
              <w:pStyle w:val="Default"/>
              <w:rPr>
                <w:sz w:val="22"/>
                <w:szCs w:val="22"/>
              </w:rPr>
            </w:pPr>
            <w:r w:rsidRPr="001300A9">
              <w:rPr>
                <w:sz w:val="22"/>
                <w:szCs w:val="22"/>
              </w:rPr>
              <w:lastRenderedPageBreak/>
              <w:t>N</w:t>
            </w:r>
          </w:p>
          <w:p w14:paraId="022A9725" w14:textId="77777777" w:rsidR="00357CEC" w:rsidRPr="001300A9" w:rsidRDefault="00357CEC" w:rsidP="00357CEC">
            <w:pPr>
              <w:pStyle w:val="Default"/>
              <w:rPr>
                <w:sz w:val="22"/>
                <w:szCs w:val="22"/>
              </w:rPr>
            </w:pPr>
          </w:p>
          <w:p w14:paraId="36F506BD" w14:textId="77777777" w:rsidR="00357CEC" w:rsidRPr="001300A9" w:rsidRDefault="00357CEC" w:rsidP="00357CEC">
            <w:pPr>
              <w:pStyle w:val="Default"/>
              <w:rPr>
                <w:sz w:val="22"/>
                <w:szCs w:val="22"/>
              </w:rPr>
            </w:pPr>
          </w:p>
          <w:p w14:paraId="71105625" w14:textId="77777777" w:rsidR="00357CEC" w:rsidRPr="001300A9" w:rsidRDefault="00357CEC" w:rsidP="00357CEC">
            <w:pPr>
              <w:pStyle w:val="Default"/>
              <w:rPr>
                <w:sz w:val="22"/>
                <w:szCs w:val="22"/>
              </w:rPr>
            </w:pPr>
          </w:p>
          <w:p w14:paraId="1AC5CBAB" w14:textId="77777777" w:rsidR="007349E0" w:rsidRPr="001300A9" w:rsidRDefault="007349E0" w:rsidP="00357CEC">
            <w:pPr>
              <w:pStyle w:val="Default"/>
              <w:rPr>
                <w:sz w:val="22"/>
                <w:szCs w:val="22"/>
              </w:rPr>
            </w:pPr>
          </w:p>
          <w:p w14:paraId="31232D46" w14:textId="77777777" w:rsidR="007349E0" w:rsidRPr="001300A9" w:rsidRDefault="007349E0" w:rsidP="00357CEC">
            <w:pPr>
              <w:pStyle w:val="Default"/>
              <w:rPr>
                <w:sz w:val="22"/>
                <w:szCs w:val="22"/>
              </w:rPr>
            </w:pPr>
          </w:p>
          <w:p w14:paraId="2D8C9B37" w14:textId="77777777" w:rsidR="007349E0" w:rsidRPr="001300A9" w:rsidRDefault="007349E0" w:rsidP="00357CEC">
            <w:pPr>
              <w:pStyle w:val="Default"/>
              <w:rPr>
                <w:sz w:val="22"/>
                <w:szCs w:val="22"/>
              </w:rPr>
            </w:pPr>
          </w:p>
          <w:p w14:paraId="062B5D15" w14:textId="77777777" w:rsidR="007349E0" w:rsidRPr="001300A9" w:rsidRDefault="007349E0" w:rsidP="00357CEC">
            <w:pPr>
              <w:pStyle w:val="Default"/>
              <w:rPr>
                <w:sz w:val="22"/>
                <w:szCs w:val="22"/>
              </w:rPr>
            </w:pPr>
          </w:p>
          <w:p w14:paraId="489EA8C6" w14:textId="77777777" w:rsidR="007349E0" w:rsidRPr="001300A9" w:rsidRDefault="007349E0" w:rsidP="00357CEC">
            <w:pPr>
              <w:pStyle w:val="Default"/>
              <w:rPr>
                <w:sz w:val="22"/>
                <w:szCs w:val="22"/>
              </w:rPr>
            </w:pPr>
          </w:p>
          <w:p w14:paraId="09BD8BF9" w14:textId="77777777" w:rsidR="007349E0" w:rsidRPr="001300A9" w:rsidRDefault="007349E0" w:rsidP="00357CEC">
            <w:pPr>
              <w:pStyle w:val="Default"/>
              <w:rPr>
                <w:sz w:val="22"/>
                <w:szCs w:val="22"/>
              </w:rPr>
            </w:pPr>
          </w:p>
          <w:p w14:paraId="47AF9358" w14:textId="77777777" w:rsidR="007349E0" w:rsidRPr="001300A9" w:rsidRDefault="007349E0" w:rsidP="00357CEC">
            <w:pPr>
              <w:pStyle w:val="Default"/>
              <w:rPr>
                <w:sz w:val="22"/>
                <w:szCs w:val="22"/>
              </w:rPr>
            </w:pPr>
          </w:p>
          <w:p w14:paraId="76ED818F" w14:textId="77777777" w:rsidR="001E78AA" w:rsidRDefault="001E78AA" w:rsidP="00357CEC">
            <w:pPr>
              <w:pStyle w:val="Default"/>
              <w:rPr>
                <w:sz w:val="22"/>
                <w:szCs w:val="22"/>
              </w:rPr>
            </w:pPr>
          </w:p>
          <w:p w14:paraId="078F2C4D" w14:textId="77777777" w:rsidR="001E78AA" w:rsidRDefault="001E78AA" w:rsidP="00357CEC">
            <w:pPr>
              <w:pStyle w:val="Default"/>
              <w:rPr>
                <w:sz w:val="22"/>
                <w:szCs w:val="22"/>
              </w:rPr>
            </w:pPr>
          </w:p>
          <w:p w14:paraId="010577CB" w14:textId="77777777" w:rsidR="001E78AA" w:rsidRDefault="001E78AA" w:rsidP="00357CEC">
            <w:pPr>
              <w:pStyle w:val="Default"/>
              <w:rPr>
                <w:sz w:val="22"/>
                <w:szCs w:val="22"/>
              </w:rPr>
            </w:pPr>
          </w:p>
          <w:p w14:paraId="7DD88163" w14:textId="77777777" w:rsidR="001E78AA" w:rsidRDefault="001E78AA" w:rsidP="00357CEC">
            <w:pPr>
              <w:pStyle w:val="Default"/>
              <w:rPr>
                <w:sz w:val="22"/>
                <w:szCs w:val="22"/>
              </w:rPr>
            </w:pPr>
          </w:p>
          <w:p w14:paraId="7BA14531" w14:textId="77777777" w:rsidR="001E78AA" w:rsidRDefault="001E78AA" w:rsidP="00357CEC">
            <w:pPr>
              <w:pStyle w:val="Default"/>
              <w:rPr>
                <w:sz w:val="22"/>
                <w:szCs w:val="22"/>
              </w:rPr>
            </w:pPr>
          </w:p>
          <w:p w14:paraId="12592564" w14:textId="77777777" w:rsidR="001E78AA" w:rsidRDefault="001E78AA" w:rsidP="00357CEC">
            <w:pPr>
              <w:pStyle w:val="Default"/>
              <w:rPr>
                <w:sz w:val="22"/>
                <w:szCs w:val="22"/>
              </w:rPr>
            </w:pPr>
          </w:p>
          <w:p w14:paraId="63C84D67" w14:textId="77777777" w:rsidR="001E78AA" w:rsidRDefault="001E78AA" w:rsidP="00357CEC">
            <w:pPr>
              <w:pStyle w:val="Default"/>
              <w:rPr>
                <w:sz w:val="22"/>
                <w:szCs w:val="22"/>
              </w:rPr>
            </w:pPr>
          </w:p>
          <w:p w14:paraId="55AC5FF4" w14:textId="77777777" w:rsidR="001E78AA" w:rsidRDefault="001E78AA" w:rsidP="00357CEC">
            <w:pPr>
              <w:pStyle w:val="Default"/>
              <w:rPr>
                <w:sz w:val="22"/>
                <w:szCs w:val="22"/>
              </w:rPr>
            </w:pPr>
          </w:p>
          <w:p w14:paraId="7BC5AC4B" w14:textId="3535859E" w:rsidR="4792BE4F" w:rsidRDefault="4792BE4F" w:rsidP="4792BE4F">
            <w:pPr>
              <w:pStyle w:val="Default"/>
              <w:rPr>
                <w:sz w:val="22"/>
                <w:szCs w:val="22"/>
              </w:rPr>
            </w:pPr>
          </w:p>
          <w:p w14:paraId="21575DEB" w14:textId="3B01F379" w:rsidR="001E78AA" w:rsidRDefault="001E78AA" w:rsidP="00357CEC">
            <w:pPr>
              <w:pStyle w:val="Default"/>
              <w:rPr>
                <w:sz w:val="22"/>
                <w:szCs w:val="22"/>
              </w:rPr>
            </w:pPr>
          </w:p>
          <w:p w14:paraId="35B4602D" w14:textId="54AD8F18" w:rsidR="00357CEC" w:rsidRPr="001300A9" w:rsidRDefault="00357CEC" w:rsidP="00357CEC">
            <w:pPr>
              <w:pStyle w:val="Default"/>
              <w:rPr>
                <w:sz w:val="22"/>
                <w:szCs w:val="22"/>
              </w:rPr>
            </w:pPr>
            <w:r w:rsidRPr="001300A9">
              <w:rPr>
                <w:sz w:val="22"/>
                <w:szCs w:val="22"/>
              </w:rPr>
              <w:t xml:space="preserve">N </w:t>
            </w:r>
          </w:p>
          <w:p w14:paraId="63DA6394" w14:textId="77777777" w:rsidR="00357CEC" w:rsidRPr="001300A9" w:rsidRDefault="00357CEC" w:rsidP="00357CEC">
            <w:pPr>
              <w:pStyle w:val="Default"/>
              <w:rPr>
                <w:sz w:val="22"/>
                <w:szCs w:val="22"/>
              </w:rPr>
            </w:pPr>
          </w:p>
          <w:p w14:paraId="4C2B1EAC" w14:textId="77777777" w:rsidR="007349E0" w:rsidRPr="001300A9" w:rsidRDefault="007349E0" w:rsidP="00357CEC">
            <w:pPr>
              <w:pStyle w:val="Default"/>
              <w:rPr>
                <w:sz w:val="22"/>
                <w:szCs w:val="22"/>
              </w:rPr>
            </w:pPr>
          </w:p>
          <w:p w14:paraId="2D449AA1" w14:textId="02B14B2F" w:rsidR="007349E0" w:rsidRDefault="007349E0" w:rsidP="00357CEC">
            <w:pPr>
              <w:pStyle w:val="Default"/>
              <w:rPr>
                <w:sz w:val="22"/>
                <w:szCs w:val="22"/>
              </w:rPr>
            </w:pPr>
          </w:p>
          <w:p w14:paraId="669DFE99" w14:textId="77777777" w:rsidR="001E78AA" w:rsidRPr="001300A9" w:rsidRDefault="001E78AA" w:rsidP="00357CEC">
            <w:pPr>
              <w:pStyle w:val="Default"/>
              <w:rPr>
                <w:sz w:val="22"/>
                <w:szCs w:val="22"/>
              </w:rPr>
            </w:pPr>
          </w:p>
          <w:p w14:paraId="2639ADB2" w14:textId="77777777" w:rsidR="001E78AA" w:rsidRDefault="001E78AA" w:rsidP="00357CEC">
            <w:pPr>
              <w:pStyle w:val="Default"/>
              <w:rPr>
                <w:sz w:val="22"/>
                <w:szCs w:val="22"/>
              </w:rPr>
            </w:pPr>
          </w:p>
          <w:p w14:paraId="3351EAE0" w14:textId="10142638" w:rsidR="4792BE4F" w:rsidRDefault="4792BE4F" w:rsidP="4792BE4F">
            <w:pPr>
              <w:pStyle w:val="Default"/>
              <w:rPr>
                <w:sz w:val="22"/>
                <w:szCs w:val="22"/>
              </w:rPr>
            </w:pPr>
          </w:p>
          <w:p w14:paraId="0795980D" w14:textId="74A05491" w:rsidR="5F673433" w:rsidRDefault="5F673433" w:rsidP="5F673433">
            <w:pPr>
              <w:pStyle w:val="Default"/>
              <w:rPr>
                <w:sz w:val="22"/>
                <w:szCs w:val="22"/>
              </w:rPr>
            </w:pPr>
          </w:p>
          <w:p w14:paraId="76C58439" w14:textId="13A737C2" w:rsidR="5F673433" w:rsidRDefault="5F673433" w:rsidP="5F673433">
            <w:pPr>
              <w:pStyle w:val="Default"/>
              <w:rPr>
                <w:sz w:val="22"/>
                <w:szCs w:val="22"/>
              </w:rPr>
            </w:pPr>
          </w:p>
          <w:p w14:paraId="5BD71F37" w14:textId="509655EA" w:rsidR="5F673433" w:rsidRDefault="5F673433" w:rsidP="5F673433">
            <w:pPr>
              <w:pStyle w:val="Default"/>
              <w:rPr>
                <w:sz w:val="22"/>
                <w:szCs w:val="22"/>
              </w:rPr>
            </w:pPr>
          </w:p>
          <w:p w14:paraId="3BECECC7" w14:textId="2CA9967C" w:rsidR="00357CEC" w:rsidRPr="001300A9" w:rsidRDefault="00357CEC" w:rsidP="00357CEC">
            <w:pPr>
              <w:pStyle w:val="Default"/>
              <w:rPr>
                <w:sz w:val="22"/>
                <w:szCs w:val="22"/>
              </w:rPr>
            </w:pPr>
            <w:r w:rsidRPr="001300A9">
              <w:rPr>
                <w:sz w:val="22"/>
                <w:szCs w:val="22"/>
              </w:rPr>
              <w:t xml:space="preserve">D </w:t>
            </w:r>
          </w:p>
          <w:p w14:paraId="0B44636A" w14:textId="77777777" w:rsidR="00357CEC" w:rsidRPr="001300A9" w:rsidRDefault="00357CEC" w:rsidP="00357CEC">
            <w:pPr>
              <w:pStyle w:val="Default"/>
              <w:rPr>
                <w:sz w:val="22"/>
                <w:szCs w:val="22"/>
              </w:rPr>
            </w:pPr>
          </w:p>
          <w:p w14:paraId="59A69A2B" w14:textId="77777777" w:rsidR="00357CEC" w:rsidRPr="001300A9" w:rsidRDefault="00357CEC" w:rsidP="00357CEC">
            <w:pPr>
              <w:pStyle w:val="Default"/>
              <w:rPr>
                <w:sz w:val="22"/>
                <w:szCs w:val="22"/>
              </w:rPr>
            </w:pPr>
          </w:p>
          <w:p w14:paraId="67755A75" w14:textId="77777777" w:rsidR="007349E0" w:rsidRPr="001300A9" w:rsidRDefault="007349E0" w:rsidP="00357CEC">
            <w:pPr>
              <w:pStyle w:val="Default"/>
              <w:rPr>
                <w:sz w:val="22"/>
                <w:szCs w:val="22"/>
              </w:rPr>
            </w:pPr>
          </w:p>
          <w:p w14:paraId="1C1C177E" w14:textId="77777777" w:rsidR="007349E0" w:rsidRPr="001300A9" w:rsidRDefault="007349E0" w:rsidP="00357CEC">
            <w:pPr>
              <w:pStyle w:val="Default"/>
              <w:rPr>
                <w:sz w:val="22"/>
                <w:szCs w:val="22"/>
              </w:rPr>
            </w:pPr>
          </w:p>
          <w:p w14:paraId="7CBE0035" w14:textId="77777777" w:rsidR="00357CEC" w:rsidRPr="001300A9" w:rsidRDefault="00357CEC" w:rsidP="00357CEC">
            <w:pPr>
              <w:pStyle w:val="Default"/>
              <w:rPr>
                <w:sz w:val="22"/>
                <w:szCs w:val="22"/>
              </w:rPr>
            </w:pPr>
            <w:r w:rsidRPr="001300A9">
              <w:rPr>
                <w:sz w:val="22"/>
                <w:szCs w:val="22"/>
              </w:rPr>
              <w:t xml:space="preserve">N </w:t>
            </w:r>
          </w:p>
          <w:p w14:paraId="201ADD61" w14:textId="77777777" w:rsidR="00357CEC" w:rsidRPr="001300A9" w:rsidRDefault="00357CEC" w:rsidP="00357CEC">
            <w:pPr>
              <w:pStyle w:val="Default"/>
              <w:rPr>
                <w:sz w:val="22"/>
                <w:szCs w:val="22"/>
              </w:rPr>
            </w:pPr>
          </w:p>
          <w:p w14:paraId="41AB89E9" w14:textId="77777777" w:rsidR="00357CEC" w:rsidRPr="001300A9" w:rsidRDefault="00357CEC" w:rsidP="00357CEC">
            <w:pPr>
              <w:pStyle w:val="Default"/>
              <w:rPr>
                <w:sz w:val="22"/>
                <w:szCs w:val="22"/>
              </w:rPr>
            </w:pPr>
          </w:p>
          <w:p w14:paraId="6CD687E8" w14:textId="77777777" w:rsidR="00357CEC" w:rsidRPr="001300A9" w:rsidRDefault="00357CEC" w:rsidP="00357CEC">
            <w:pPr>
              <w:pStyle w:val="Default"/>
              <w:rPr>
                <w:sz w:val="22"/>
                <w:szCs w:val="22"/>
              </w:rPr>
            </w:pPr>
          </w:p>
          <w:p w14:paraId="7D28CE6E" w14:textId="77777777" w:rsidR="00357CEC" w:rsidRPr="001300A9" w:rsidRDefault="00357CEC" w:rsidP="00357CEC">
            <w:pPr>
              <w:pStyle w:val="Default"/>
              <w:rPr>
                <w:sz w:val="22"/>
                <w:szCs w:val="22"/>
              </w:rPr>
            </w:pPr>
          </w:p>
          <w:p w14:paraId="21845B9B" w14:textId="77777777" w:rsidR="00357CEC" w:rsidRPr="001300A9" w:rsidRDefault="00357CEC" w:rsidP="00357CEC">
            <w:pPr>
              <w:pStyle w:val="Default"/>
              <w:rPr>
                <w:sz w:val="22"/>
                <w:szCs w:val="22"/>
              </w:rPr>
            </w:pPr>
          </w:p>
          <w:p w14:paraId="6DBB16B5" w14:textId="77777777" w:rsidR="00357CEC" w:rsidRPr="001300A9" w:rsidRDefault="00357CEC" w:rsidP="00357CEC">
            <w:pPr>
              <w:pStyle w:val="Default"/>
              <w:rPr>
                <w:sz w:val="22"/>
                <w:szCs w:val="22"/>
              </w:rPr>
            </w:pPr>
          </w:p>
          <w:p w14:paraId="3D630FF2" w14:textId="77777777" w:rsidR="00357CEC" w:rsidRPr="001300A9" w:rsidRDefault="00357CEC" w:rsidP="00357CEC">
            <w:pPr>
              <w:pStyle w:val="Default"/>
              <w:rPr>
                <w:sz w:val="22"/>
                <w:szCs w:val="22"/>
              </w:rPr>
            </w:pPr>
          </w:p>
          <w:p w14:paraId="1C6789DD" w14:textId="77777777" w:rsidR="005900E4" w:rsidRPr="001300A9" w:rsidRDefault="005900E4" w:rsidP="00357CEC">
            <w:pPr>
              <w:pStyle w:val="Default"/>
              <w:rPr>
                <w:sz w:val="22"/>
                <w:szCs w:val="22"/>
              </w:rPr>
            </w:pPr>
          </w:p>
          <w:p w14:paraId="4B2099AF" w14:textId="77777777" w:rsidR="005900E4" w:rsidRPr="001300A9" w:rsidRDefault="005900E4" w:rsidP="00357CEC">
            <w:pPr>
              <w:pStyle w:val="Default"/>
              <w:rPr>
                <w:sz w:val="22"/>
                <w:szCs w:val="22"/>
              </w:rPr>
            </w:pPr>
          </w:p>
          <w:p w14:paraId="3CB4A378" w14:textId="77777777" w:rsidR="005900E4" w:rsidRPr="001300A9" w:rsidRDefault="005900E4" w:rsidP="00357CEC">
            <w:pPr>
              <w:pStyle w:val="Default"/>
              <w:rPr>
                <w:sz w:val="22"/>
                <w:szCs w:val="22"/>
              </w:rPr>
            </w:pPr>
          </w:p>
          <w:p w14:paraId="78F004B6" w14:textId="77777777" w:rsidR="005900E4" w:rsidRPr="001300A9" w:rsidRDefault="005900E4" w:rsidP="00357CEC">
            <w:pPr>
              <w:pStyle w:val="Default"/>
              <w:rPr>
                <w:sz w:val="22"/>
                <w:szCs w:val="22"/>
              </w:rPr>
            </w:pPr>
          </w:p>
          <w:p w14:paraId="2AF1BD51" w14:textId="77777777" w:rsidR="005900E4" w:rsidRPr="001300A9" w:rsidRDefault="005900E4" w:rsidP="00357CEC">
            <w:pPr>
              <w:pStyle w:val="Default"/>
              <w:rPr>
                <w:sz w:val="22"/>
                <w:szCs w:val="22"/>
              </w:rPr>
            </w:pPr>
          </w:p>
          <w:p w14:paraId="16F8A85E" w14:textId="77777777" w:rsidR="005900E4" w:rsidRPr="001300A9" w:rsidRDefault="005900E4" w:rsidP="00357CEC">
            <w:pPr>
              <w:pStyle w:val="Default"/>
              <w:rPr>
                <w:sz w:val="22"/>
                <w:szCs w:val="22"/>
              </w:rPr>
            </w:pPr>
          </w:p>
          <w:p w14:paraId="5C5FCCC1" w14:textId="77777777" w:rsidR="005900E4" w:rsidRPr="001300A9" w:rsidRDefault="005900E4" w:rsidP="00357CEC">
            <w:pPr>
              <w:pStyle w:val="Default"/>
              <w:rPr>
                <w:sz w:val="22"/>
                <w:szCs w:val="22"/>
              </w:rPr>
            </w:pPr>
          </w:p>
          <w:p w14:paraId="623EE134" w14:textId="77777777" w:rsidR="005900E4" w:rsidRPr="001300A9" w:rsidRDefault="005900E4" w:rsidP="00357CEC">
            <w:pPr>
              <w:pStyle w:val="Default"/>
              <w:rPr>
                <w:sz w:val="22"/>
                <w:szCs w:val="22"/>
              </w:rPr>
            </w:pPr>
          </w:p>
          <w:p w14:paraId="2152609C" w14:textId="77777777" w:rsidR="005900E4" w:rsidRPr="001300A9" w:rsidRDefault="005900E4" w:rsidP="00357CEC">
            <w:pPr>
              <w:pStyle w:val="Default"/>
              <w:rPr>
                <w:sz w:val="22"/>
                <w:szCs w:val="22"/>
              </w:rPr>
            </w:pPr>
          </w:p>
          <w:p w14:paraId="7050F68B" w14:textId="77777777" w:rsidR="005900E4" w:rsidRPr="001300A9" w:rsidRDefault="005900E4" w:rsidP="00357CEC">
            <w:pPr>
              <w:pStyle w:val="Default"/>
              <w:rPr>
                <w:sz w:val="22"/>
                <w:szCs w:val="22"/>
              </w:rPr>
            </w:pPr>
          </w:p>
          <w:p w14:paraId="6D0F2356" w14:textId="77777777" w:rsidR="005900E4" w:rsidRPr="001300A9" w:rsidRDefault="005900E4" w:rsidP="00357CEC">
            <w:pPr>
              <w:pStyle w:val="Default"/>
              <w:rPr>
                <w:sz w:val="22"/>
                <w:szCs w:val="22"/>
              </w:rPr>
            </w:pPr>
          </w:p>
          <w:p w14:paraId="2F2CFD94" w14:textId="77777777" w:rsidR="00350EB0" w:rsidRPr="001300A9" w:rsidRDefault="00350EB0" w:rsidP="00357CEC">
            <w:pPr>
              <w:pStyle w:val="Default"/>
              <w:rPr>
                <w:sz w:val="22"/>
                <w:szCs w:val="22"/>
              </w:rPr>
            </w:pPr>
          </w:p>
          <w:p w14:paraId="6EB5F941" w14:textId="77777777" w:rsidR="00BB33D9" w:rsidRDefault="00BB33D9" w:rsidP="00357CEC">
            <w:pPr>
              <w:pStyle w:val="Default"/>
              <w:rPr>
                <w:sz w:val="22"/>
                <w:szCs w:val="22"/>
              </w:rPr>
            </w:pPr>
          </w:p>
          <w:p w14:paraId="5DB8109F" w14:textId="77777777" w:rsidR="001E78AA" w:rsidRDefault="001E78AA" w:rsidP="00357CEC">
            <w:pPr>
              <w:pStyle w:val="Default"/>
              <w:rPr>
                <w:sz w:val="22"/>
                <w:szCs w:val="22"/>
              </w:rPr>
            </w:pPr>
          </w:p>
          <w:p w14:paraId="530BE805" w14:textId="77777777" w:rsidR="001E78AA" w:rsidRDefault="001E78AA" w:rsidP="00357CEC">
            <w:pPr>
              <w:pStyle w:val="Default"/>
              <w:rPr>
                <w:sz w:val="22"/>
                <w:szCs w:val="22"/>
              </w:rPr>
            </w:pPr>
          </w:p>
          <w:p w14:paraId="0D5ED9D3" w14:textId="77777777" w:rsidR="001E78AA" w:rsidRDefault="001E78AA" w:rsidP="00357CEC">
            <w:pPr>
              <w:pStyle w:val="Default"/>
              <w:rPr>
                <w:sz w:val="22"/>
                <w:szCs w:val="22"/>
              </w:rPr>
            </w:pPr>
          </w:p>
          <w:p w14:paraId="7A1EF901" w14:textId="77777777" w:rsidR="001E78AA" w:rsidRDefault="001E78AA" w:rsidP="00357CEC">
            <w:pPr>
              <w:pStyle w:val="Default"/>
              <w:rPr>
                <w:sz w:val="22"/>
                <w:szCs w:val="22"/>
              </w:rPr>
            </w:pPr>
          </w:p>
          <w:p w14:paraId="70CC6BD0" w14:textId="77777777" w:rsidR="002B06FC" w:rsidRDefault="002B06FC" w:rsidP="00357CEC">
            <w:pPr>
              <w:pStyle w:val="Default"/>
              <w:rPr>
                <w:sz w:val="22"/>
                <w:szCs w:val="22"/>
              </w:rPr>
            </w:pPr>
          </w:p>
          <w:p w14:paraId="58563B8A" w14:textId="77777777" w:rsidR="002B06FC" w:rsidRDefault="002B06FC" w:rsidP="00357CEC">
            <w:pPr>
              <w:pStyle w:val="Default"/>
              <w:rPr>
                <w:sz w:val="22"/>
                <w:szCs w:val="22"/>
              </w:rPr>
            </w:pPr>
          </w:p>
          <w:p w14:paraId="7BC173B6" w14:textId="77777777" w:rsidR="002B06FC" w:rsidRDefault="002B06FC" w:rsidP="00357CEC">
            <w:pPr>
              <w:pStyle w:val="Default"/>
              <w:rPr>
                <w:sz w:val="22"/>
                <w:szCs w:val="22"/>
              </w:rPr>
            </w:pPr>
          </w:p>
          <w:p w14:paraId="1557C507" w14:textId="77777777" w:rsidR="00436704" w:rsidRDefault="00436704" w:rsidP="00357CEC">
            <w:pPr>
              <w:pStyle w:val="Default"/>
              <w:rPr>
                <w:sz w:val="22"/>
                <w:szCs w:val="22"/>
              </w:rPr>
            </w:pPr>
          </w:p>
          <w:p w14:paraId="72301BDA" w14:textId="77777777" w:rsidR="00AF7521" w:rsidRDefault="00AF7521" w:rsidP="00357CEC">
            <w:pPr>
              <w:pStyle w:val="Default"/>
              <w:rPr>
                <w:sz w:val="22"/>
                <w:szCs w:val="22"/>
              </w:rPr>
            </w:pPr>
          </w:p>
          <w:p w14:paraId="78CB895C" w14:textId="005FB1AE" w:rsidR="00357CEC" w:rsidRPr="001300A9" w:rsidRDefault="00357CEC" w:rsidP="00357CEC">
            <w:pPr>
              <w:pStyle w:val="Default"/>
              <w:rPr>
                <w:sz w:val="22"/>
                <w:szCs w:val="22"/>
              </w:rPr>
            </w:pPr>
            <w:r w:rsidRPr="001300A9">
              <w:rPr>
                <w:sz w:val="22"/>
                <w:szCs w:val="22"/>
              </w:rPr>
              <w:t>N</w:t>
            </w:r>
          </w:p>
          <w:p w14:paraId="336176A6" w14:textId="77777777" w:rsidR="00357CEC" w:rsidRPr="001300A9" w:rsidRDefault="00357CEC" w:rsidP="00357CEC">
            <w:pPr>
              <w:pStyle w:val="Default"/>
              <w:rPr>
                <w:sz w:val="22"/>
                <w:szCs w:val="22"/>
              </w:rPr>
            </w:pPr>
          </w:p>
          <w:p w14:paraId="3D118B42" w14:textId="77777777" w:rsidR="00357CEC" w:rsidRPr="001300A9" w:rsidRDefault="00357CEC" w:rsidP="00357CEC">
            <w:pPr>
              <w:pStyle w:val="Default"/>
              <w:rPr>
                <w:sz w:val="22"/>
                <w:szCs w:val="22"/>
              </w:rPr>
            </w:pPr>
          </w:p>
          <w:p w14:paraId="65182B5B" w14:textId="77777777" w:rsidR="005900E4" w:rsidRPr="001300A9" w:rsidRDefault="005900E4" w:rsidP="00357CEC">
            <w:pPr>
              <w:pStyle w:val="Default"/>
              <w:rPr>
                <w:sz w:val="22"/>
                <w:szCs w:val="22"/>
              </w:rPr>
            </w:pPr>
          </w:p>
          <w:p w14:paraId="6B442DBA" w14:textId="77777777" w:rsidR="005900E4" w:rsidRPr="001300A9" w:rsidRDefault="005900E4" w:rsidP="00357CEC">
            <w:pPr>
              <w:pStyle w:val="Default"/>
              <w:rPr>
                <w:sz w:val="22"/>
                <w:szCs w:val="22"/>
              </w:rPr>
            </w:pPr>
          </w:p>
          <w:p w14:paraId="319B3973" w14:textId="77777777" w:rsidR="00357CEC" w:rsidRPr="001300A9" w:rsidRDefault="00357CEC" w:rsidP="00357CEC">
            <w:pPr>
              <w:pStyle w:val="Default"/>
              <w:rPr>
                <w:sz w:val="22"/>
                <w:szCs w:val="22"/>
              </w:rPr>
            </w:pPr>
            <w:proofErr w:type="spellStart"/>
            <w:r w:rsidRPr="001300A9">
              <w:rPr>
                <w:sz w:val="22"/>
                <w:szCs w:val="22"/>
              </w:rPr>
              <w:t>n.a</w:t>
            </w:r>
            <w:proofErr w:type="spellEnd"/>
            <w:r w:rsidRPr="001300A9">
              <w:rPr>
                <w:sz w:val="22"/>
                <w:szCs w:val="22"/>
              </w:rPr>
              <w:t>.</w:t>
            </w:r>
          </w:p>
          <w:p w14:paraId="2AF7B470" w14:textId="77777777" w:rsidR="00357CEC" w:rsidRPr="001300A9" w:rsidRDefault="00357CEC" w:rsidP="00357CEC">
            <w:pPr>
              <w:pStyle w:val="Default"/>
              <w:rPr>
                <w:sz w:val="22"/>
                <w:szCs w:val="22"/>
              </w:rPr>
            </w:pPr>
          </w:p>
          <w:p w14:paraId="7BD20759" w14:textId="77777777" w:rsidR="00357CEC" w:rsidRPr="001300A9" w:rsidRDefault="00357CEC" w:rsidP="00357CEC">
            <w:pPr>
              <w:pStyle w:val="Default"/>
              <w:rPr>
                <w:sz w:val="22"/>
                <w:szCs w:val="22"/>
              </w:rPr>
            </w:pPr>
          </w:p>
          <w:p w14:paraId="4370D94B" w14:textId="77777777" w:rsidR="00357CEC" w:rsidRPr="001300A9" w:rsidRDefault="00357CEC" w:rsidP="00357CEC">
            <w:pPr>
              <w:pStyle w:val="Default"/>
              <w:rPr>
                <w:sz w:val="22"/>
                <w:szCs w:val="22"/>
              </w:rPr>
            </w:pPr>
          </w:p>
          <w:p w14:paraId="5B4CE4BE" w14:textId="77777777" w:rsidR="00357CEC" w:rsidRPr="001300A9" w:rsidRDefault="00357CEC" w:rsidP="00357CEC">
            <w:pPr>
              <w:pStyle w:val="Default"/>
              <w:rPr>
                <w:sz w:val="22"/>
                <w:szCs w:val="22"/>
              </w:rPr>
            </w:pPr>
          </w:p>
          <w:p w14:paraId="2FF02657" w14:textId="77777777" w:rsidR="00357CEC" w:rsidRPr="001300A9" w:rsidRDefault="00357CEC" w:rsidP="00357CEC">
            <w:pPr>
              <w:pStyle w:val="Default"/>
              <w:rPr>
                <w:sz w:val="22"/>
                <w:szCs w:val="22"/>
              </w:rPr>
            </w:pPr>
          </w:p>
          <w:p w14:paraId="2AFB9EDD" w14:textId="77777777" w:rsidR="005900E4" w:rsidRPr="001300A9" w:rsidRDefault="005900E4" w:rsidP="00357CEC">
            <w:pPr>
              <w:pStyle w:val="Default"/>
              <w:rPr>
                <w:sz w:val="22"/>
                <w:szCs w:val="22"/>
              </w:rPr>
            </w:pPr>
          </w:p>
          <w:p w14:paraId="120A5429" w14:textId="77777777" w:rsidR="005900E4" w:rsidRPr="001300A9" w:rsidRDefault="005900E4" w:rsidP="00357CEC">
            <w:pPr>
              <w:pStyle w:val="Default"/>
              <w:rPr>
                <w:sz w:val="22"/>
                <w:szCs w:val="22"/>
              </w:rPr>
            </w:pPr>
          </w:p>
          <w:p w14:paraId="314B7480" w14:textId="77777777" w:rsidR="005900E4" w:rsidRPr="001300A9" w:rsidRDefault="005900E4" w:rsidP="00357CEC">
            <w:pPr>
              <w:pStyle w:val="Default"/>
              <w:rPr>
                <w:sz w:val="22"/>
                <w:szCs w:val="22"/>
              </w:rPr>
            </w:pPr>
          </w:p>
          <w:p w14:paraId="36C1108B" w14:textId="77777777" w:rsidR="005900E4" w:rsidRPr="001300A9" w:rsidRDefault="005900E4" w:rsidP="00357CEC">
            <w:pPr>
              <w:pStyle w:val="Default"/>
              <w:rPr>
                <w:sz w:val="22"/>
                <w:szCs w:val="22"/>
              </w:rPr>
            </w:pPr>
          </w:p>
          <w:p w14:paraId="27A46742" w14:textId="77777777" w:rsidR="005900E4" w:rsidRPr="001300A9" w:rsidRDefault="005900E4" w:rsidP="00357CEC">
            <w:pPr>
              <w:pStyle w:val="Default"/>
              <w:rPr>
                <w:sz w:val="22"/>
                <w:szCs w:val="22"/>
              </w:rPr>
            </w:pPr>
          </w:p>
          <w:p w14:paraId="691A22BF" w14:textId="77777777" w:rsidR="005900E4" w:rsidRPr="001300A9" w:rsidRDefault="005900E4" w:rsidP="00357CEC">
            <w:pPr>
              <w:pStyle w:val="Default"/>
              <w:rPr>
                <w:sz w:val="22"/>
                <w:szCs w:val="22"/>
              </w:rPr>
            </w:pPr>
          </w:p>
          <w:p w14:paraId="0B1F94FB" w14:textId="3155261F" w:rsidR="002B06FC" w:rsidRDefault="002B06FC" w:rsidP="00357CEC">
            <w:pPr>
              <w:pStyle w:val="Default"/>
              <w:rPr>
                <w:sz w:val="22"/>
                <w:szCs w:val="22"/>
              </w:rPr>
            </w:pPr>
          </w:p>
          <w:p w14:paraId="502864D4" w14:textId="3D29E414" w:rsidR="00357CEC" w:rsidRPr="001300A9" w:rsidRDefault="00357CEC" w:rsidP="00357CEC">
            <w:pPr>
              <w:pStyle w:val="Default"/>
              <w:rPr>
                <w:sz w:val="22"/>
                <w:szCs w:val="22"/>
              </w:rPr>
            </w:pPr>
            <w:proofErr w:type="spellStart"/>
            <w:r w:rsidRPr="001300A9">
              <w:rPr>
                <w:sz w:val="22"/>
                <w:szCs w:val="22"/>
              </w:rPr>
              <w:t>n.a</w:t>
            </w:r>
            <w:proofErr w:type="spellEnd"/>
            <w:r w:rsidRPr="001300A9">
              <w:rPr>
                <w:sz w:val="22"/>
                <w:szCs w:val="22"/>
              </w:rPr>
              <w:t>.</w:t>
            </w:r>
          </w:p>
          <w:p w14:paraId="38B0EF42" w14:textId="77777777" w:rsidR="00357CEC" w:rsidRPr="001300A9" w:rsidRDefault="00357CEC" w:rsidP="00357CEC">
            <w:pPr>
              <w:pStyle w:val="Default"/>
              <w:rPr>
                <w:sz w:val="22"/>
                <w:szCs w:val="22"/>
              </w:rPr>
            </w:pPr>
          </w:p>
          <w:p w14:paraId="76D7936F" w14:textId="77777777" w:rsidR="00357CEC" w:rsidRPr="001300A9" w:rsidRDefault="00357CEC" w:rsidP="00357CEC">
            <w:pPr>
              <w:pStyle w:val="Default"/>
              <w:rPr>
                <w:sz w:val="22"/>
                <w:szCs w:val="22"/>
              </w:rPr>
            </w:pPr>
          </w:p>
          <w:p w14:paraId="47400F12" w14:textId="77777777" w:rsidR="00357CEC" w:rsidRPr="001300A9" w:rsidRDefault="00357CEC" w:rsidP="00357CEC">
            <w:pPr>
              <w:pStyle w:val="Default"/>
              <w:rPr>
                <w:sz w:val="22"/>
                <w:szCs w:val="22"/>
              </w:rPr>
            </w:pPr>
          </w:p>
          <w:p w14:paraId="7F8F0837" w14:textId="77777777" w:rsidR="00357CEC" w:rsidRPr="001300A9" w:rsidRDefault="00357CEC" w:rsidP="00357CEC">
            <w:pPr>
              <w:pStyle w:val="Default"/>
              <w:rPr>
                <w:sz w:val="22"/>
                <w:szCs w:val="22"/>
              </w:rPr>
            </w:pPr>
          </w:p>
          <w:p w14:paraId="2D3B2EA7" w14:textId="77777777" w:rsidR="005900E4" w:rsidRPr="001300A9" w:rsidRDefault="005900E4" w:rsidP="00357CEC">
            <w:pPr>
              <w:pStyle w:val="Default"/>
              <w:rPr>
                <w:sz w:val="22"/>
                <w:szCs w:val="22"/>
              </w:rPr>
            </w:pPr>
          </w:p>
          <w:p w14:paraId="52797C22" w14:textId="77777777" w:rsidR="005900E4" w:rsidRPr="001300A9" w:rsidRDefault="005900E4" w:rsidP="00357CEC">
            <w:pPr>
              <w:pStyle w:val="Default"/>
              <w:rPr>
                <w:sz w:val="22"/>
                <w:szCs w:val="22"/>
              </w:rPr>
            </w:pPr>
          </w:p>
          <w:p w14:paraId="199BF86C" w14:textId="77777777" w:rsidR="005900E4" w:rsidRPr="001300A9" w:rsidRDefault="005900E4" w:rsidP="00357CEC">
            <w:pPr>
              <w:pStyle w:val="Default"/>
              <w:rPr>
                <w:sz w:val="22"/>
                <w:szCs w:val="22"/>
              </w:rPr>
            </w:pPr>
          </w:p>
          <w:p w14:paraId="0F96196F" w14:textId="77777777" w:rsidR="005900E4" w:rsidRPr="001300A9" w:rsidRDefault="005900E4" w:rsidP="00357CEC">
            <w:pPr>
              <w:pStyle w:val="Default"/>
              <w:rPr>
                <w:sz w:val="22"/>
                <w:szCs w:val="22"/>
              </w:rPr>
            </w:pPr>
          </w:p>
          <w:p w14:paraId="053E5AF3" w14:textId="5BC524F2" w:rsidR="005900E4" w:rsidRPr="001300A9" w:rsidRDefault="005900E4" w:rsidP="00357CEC">
            <w:pPr>
              <w:pStyle w:val="Default"/>
              <w:rPr>
                <w:sz w:val="22"/>
                <w:szCs w:val="22"/>
              </w:rPr>
            </w:pPr>
          </w:p>
          <w:p w14:paraId="4433C44A" w14:textId="77777777" w:rsidR="00357CEC" w:rsidRPr="001300A9" w:rsidRDefault="00357CEC" w:rsidP="00357CEC">
            <w:pPr>
              <w:pStyle w:val="Default"/>
              <w:rPr>
                <w:sz w:val="22"/>
                <w:szCs w:val="22"/>
              </w:rPr>
            </w:pPr>
            <w:proofErr w:type="spellStart"/>
            <w:r w:rsidRPr="001300A9">
              <w:rPr>
                <w:sz w:val="22"/>
                <w:szCs w:val="22"/>
              </w:rPr>
              <w:t>n.a</w:t>
            </w:r>
            <w:proofErr w:type="spellEnd"/>
            <w:r w:rsidRPr="001300A9">
              <w:rPr>
                <w:sz w:val="22"/>
                <w:szCs w:val="22"/>
              </w:rPr>
              <w:t>.</w:t>
            </w:r>
          </w:p>
          <w:p w14:paraId="10FE2493" w14:textId="77777777" w:rsidR="00357CEC" w:rsidRPr="001300A9" w:rsidRDefault="00357CEC" w:rsidP="00357CEC">
            <w:pPr>
              <w:pStyle w:val="Default"/>
              <w:rPr>
                <w:sz w:val="22"/>
                <w:szCs w:val="22"/>
              </w:rPr>
            </w:pPr>
          </w:p>
          <w:p w14:paraId="00CDDF24" w14:textId="77777777" w:rsidR="00357CEC" w:rsidRPr="001300A9" w:rsidRDefault="00357CEC" w:rsidP="00357CEC">
            <w:pPr>
              <w:pStyle w:val="Default"/>
              <w:rPr>
                <w:sz w:val="22"/>
                <w:szCs w:val="22"/>
              </w:rPr>
            </w:pPr>
          </w:p>
          <w:p w14:paraId="74F62358" w14:textId="77777777" w:rsidR="00357CEC" w:rsidRPr="001300A9" w:rsidRDefault="00357CEC" w:rsidP="00357CEC">
            <w:pPr>
              <w:pStyle w:val="Default"/>
              <w:rPr>
                <w:sz w:val="22"/>
                <w:szCs w:val="22"/>
              </w:rPr>
            </w:pPr>
          </w:p>
          <w:p w14:paraId="21B6DAD0" w14:textId="77777777" w:rsidR="005900E4" w:rsidRPr="001300A9" w:rsidRDefault="005900E4" w:rsidP="00357CEC">
            <w:pPr>
              <w:pStyle w:val="Default"/>
              <w:rPr>
                <w:sz w:val="22"/>
                <w:szCs w:val="22"/>
              </w:rPr>
            </w:pPr>
          </w:p>
          <w:p w14:paraId="7EF51588" w14:textId="77777777" w:rsidR="005900E4" w:rsidRPr="001300A9" w:rsidRDefault="005900E4" w:rsidP="00357CEC">
            <w:pPr>
              <w:pStyle w:val="Default"/>
              <w:rPr>
                <w:sz w:val="22"/>
                <w:szCs w:val="22"/>
              </w:rPr>
            </w:pPr>
          </w:p>
          <w:p w14:paraId="5A34F727" w14:textId="6D3D16D8" w:rsidR="00452B3F" w:rsidRDefault="00452B3F" w:rsidP="00357CEC">
            <w:pPr>
              <w:pStyle w:val="Default"/>
              <w:rPr>
                <w:sz w:val="22"/>
                <w:szCs w:val="22"/>
              </w:rPr>
            </w:pPr>
          </w:p>
          <w:p w14:paraId="27B577E8" w14:textId="7262BD85" w:rsidR="5F673433" w:rsidRDefault="5F673433" w:rsidP="5F673433">
            <w:pPr>
              <w:pStyle w:val="Default"/>
              <w:rPr>
                <w:sz w:val="22"/>
                <w:szCs w:val="22"/>
              </w:rPr>
            </w:pPr>
          </w:p>
          <w:p w14:paraId="0F6CECB5" w14:textId="09429403" w:rsidR="00357CEC" w:rsidRPr="001300A9" w:rsidRDefault="00521543" w:rsidP="00357CEC">
            <w:pPr>
              <w:pStyle w:val="Default"/>
              <w:rPr>
                <w:sz w:val="22"/>
                <w:szCs w:val="22"/>
              </w:rPr>
            </w:pPr>
            <w:r>
              <w:rPr>
                <w:sz w:val="22"/>
                <w:szCs w:val="22"/>
              </w:rPr>
              <w:t>N</w:t>
            </w:r>
          </w:p>
          <w:p w14:paraId="7C1C620D" w14:textId="77777777" w:rsidR="00357CEC" w:rsidRPr="001300A9" w:rsidRDefault="00357CEC" w:rsidP="00357CEC">
            <w:pPr>
              <w:pStyle w:val="Default"/>
              <w:rPr>
                <w:sz w:val="22"/>
                <w:szCs w:val="22"/>
              </w:rPr>
            </w:pPr>
          </w:p>
          <w:p w14:paraId="67EA8A3A" w14:textId="77777777" w:rsidR="00357CEC" w:rsidRPr="001300A9" w:rsidRDefault="00357CEC" w:rsidP="00357CEC">
            <w:pPr>
              <w:pStyle w:val="Default"/>
              <w:rPr>
                <w:sz w:val="22"/>
                <w:szCs w:val="22"/>
              </w:rPr>
            </w:pPr>
          </w:p>
          <w:p w14:paraId="2BC5B680" w14:textId="77777777" w:rsidR="00357CEC" w:rsidRPr="001300A9" w:rsidRDefault="00357CEC" w:rsidP="00357CEC">
            <w:pPr>
              <w:pStyle w:val="Default"/>
              <w:rPr>
                <w:sz w:val="22"/>
                <w:szCs w:val="22"/>
              </w:rPr>
            </w:pPr>
          </w:p>
          <w:p w14:paraId="5AF727C3" w14:textId="77777777" w:rsidR="00357CEC" w:rsidRPr="001300A9" w:rsidRDefault="00357CEC" w:rsidP="00357CEC">
            <w:pPr>
              <w:pStyle w:val="Default"/>
              <w:rPr>
                <w:sz w:val="22"/>
                <w:szCs w:val="22"/>
              </w:rPr>
            </w:pPr>
          </w:p>
          <w:p w14:paraId="56BD46D2" w14:textId="77777777" w:rsidR="00357CEC" w:rsidRPr="001300A9" w:rsidRDefault="00357CEC" w:rsidP="00357CEC">
            <w:pPr>
              <w:pStyle w:val="Default"/>
              <w:rPr>
                <w:sz w:val="22"/>
                <w:szCs w:val="22"/>
              </w:rPr>
            </w:pPr>
          </w:p>
          <w:p w14:paraId="3652BE1B" w14:textId="77777777" w:rsidR="00357CEC" w:rsidRPr="001300A9" w:rsidRDefault="00357CEC" w:rsidP="00357CEC">
            <w:pPr>
              <w:pStyle w:val="Default"/>
              <w:rPr>
                <w:sz w:val="22"/>
                <w:szCs w:val="22"/>
              </w:rPr>
            </w:pPr>
          </w:p>
          <w:p w14:paraId="1F53E727" w14:textId="77777777" w:rsidR="00357CEC" w:rsidRPr="001300A9" w:rsidRDefault="00357CEC" w:rsidP="00357CEC">
            <w:pPr>
              <w:pStyle w:val="Default"/>
              <w:rPr>
                <w:sz w:val="22"/>
                <w:szCs w:val="22"/>
              </w:rPr>
            </w:pPr>
          </w:p>
          <w:p w14:paraId="70D798BC" w14:textId="77777777" w:rsidR="00357CEC" w:rsidRPr="001300A9" w:rsidRDefault="00357CEC" w:rsidP="00357CEC">
            <w:pPr>
              <w:pStyle w:val="Default"/>
              <w:rPr>
                <w:sz w:val="22"/>
                <w:szCs w:val="22"/>
              </w:rPr>
            </w:pPr>
          </w:p>
          <w:p w14:paraId="1A0B4EC6" w14:textId="77777777" w:rsidR="00357CEC" w:rsidRPr="001300A9" w:rsidRDefault="00357CEC" w:rsidP="00357CEC">
            <w:pPr>
              <w:pStyle w:val="Default"/>
              <w:rPr>
                <w:sz w:val="22"/>
                <w:szCs w:val="22"/>
              </w:rPr>
            </w:pPr>
          </w:p>
          <w:p w14:paraId="3ED9B9C0" w14:textId="77777777" w:rsidR="00357CEC" w:rsidRPr="001300A9" w:rsidRDefault="00357CEC" w:rsidP="00357CEC">
            <w:pPr>
              <w:pStyle w:val="Default"/>
              <w:rPr>
                <w:sz w:val="22"/>
                <w:szCs w:val="22"/>
              </w:rPr>
            </w:pPr>
          </w:p>
          <w:p w14:paraId="41B7E0F4" w14:textId="77777777" w:rsidR="00357CEC" w:rsidRPr="001300A9" w:rsidRDefault="00357CEC" w:rsidP="00357CEC">
            <w:pPr>
              <w:pStyle w:val="Default"/>
              <w:rPr>
                <w:sz w:val="22"/>
                <w:szCs w:val="22"/>
              </w:rPr>
            </w:pPr>
          </w:p>
          <w:p w14:paraId="463DC130" w14:textId="77777777" w:rsidR="00357CEC" w:rsidRPr="001300A9" w:rsidRDefault="00357CEC" w:rsidP="00357CEC">
            <w:pPr>
              <w:pStyle w:val="Default"/>
              <w:rPr>
                <w:sz w:val="22"/>
                <w:szCs w:val="22"/>
              </w:rPr>
            </w:pPr>
          </w:p>
          <w:p w14:paraId="4A293264" w14:textId="77777777" w:rsidR="005900E4" w:rsidRPr="001300A9" w:rsidRDefault="005900E4" w:rsidP="00357CEC">
            <w:pPr>
              <w:pStyle w:val="Default"/>
              <w:rPr>
                <w:sz w:val="22"/>
                <w:szCs w:val="22"/>
              </w:rPr>
            </w:pPr>
          </w:p>
          <w:p w14:paraId="297F0C02" w14:textId="77777777" w:rsidR="005900E4" w:rsidRPr="001300A9" w:rsidRDefault="005900E4" w:rsidP="00357CEC">
            <w:pPr>
              <w:pStyle w:val="Default"/>
              <w:rPr>
                <w:sz w:val="22"/>
                <w:szCs w:val="22"/>
              </w:rPr>
            </w:pPr>
          </w:p>
          <w:p w14:paraId="09FC6EDD" w14:textId="77777777" w:rsidR="005900E4" w:rsidRPr="001300A9" w:rsidRDefault="005900E4" w:rsidP="00357CEC">
            <w:pPr>
              <w:pStyle w:val="Default"/>
              <w:rPr>
                <w:sz w:val="22"/>
                <w:szCs w:val="22"/>
              </w:rPr>
            </w:pPr>
          </w:p>
          <w:p w14:paraId="3435C85D" w14:textId="77777777" w:rsidR="005900E4" w:rsidRPr="001300A9" w:rsidRDefault="005900E4" w:rsidP="00357CEC">
            <w:pPr>
              <w:pStyle w:val="Default"/>
              <w:rPr>
                <w:sz w:val="22"/>
                <w:szCs w:val="22"/>
              </w:rPr>
            </w:pPr>
          </w:p>
          <w:p w14:paraId="0E54547B" w14:textId="77777777" w:rsidR="005900E4" w:rsidRPr="001300A9" w:rsidRDefault="005900E4" w:rsidP="00357CEC">
            <w:pPr>
              <w:pStyle w:val="Default"/>
              <w:rPr>
                <w:sz w:val="22"/>
                <w:szCs w:val="22"/>
              </w:rPr>
            </w:pPr>
          </w:p>
          <w:p w14:paraId="5439AB1B" w14:textId="77777777" w:rsidR="005900E4" w:rsidRPr="001300A9" w:rsidRDefault="005900E4" w:rsidP="00357CEC">
            <w:pPr>
              <w:pStyle w:val="Default"/>
              <w:rPr>
                <w:sz w:val="22"/>
                <w:szCs w:val="22"/>
              </w:rPr>
            </w:pPr>
          </w:p>
          <w:p w14:paraId="4365FC08" w14:textId="77777777" w:rsidR="005900E4" w:rsidRPr="001300A9" w:rsidRDefault="005900E4" w:rsidP="00357CEC">
            <w:pPr>
              <w:pStyle w:val="Default"/>
              <w:rPr>
                <w:sz w:val="22"/>
                <w:szCs w:val="22"/>
              </w:rPr>
            </w:pPr>
          </w:p>
          <w:p w14:paraId="3A8294DA" w14:textId="77777777" w:rsidR="005900E4" w:rsidRPr="001300A9" w:rsidRDefault="005900E4" w:rsidP="00357CEC">
            <w:pPr>
              <w:pStyle w:val="Default"/>
              <w:rPr>
                <w:sz w:val="22"/>
                <w:szCs w:val="22"/>
              </w:rPr>
            </w:pPr>
          </w:p>
          <w:p w14:paraId="3E952FC9" w14:textId="77777777" w:rsidR="005900E4" w:rsidRPr="001300A9" w:rsidRDefault="005900E4" w:rsidP="00357CEC">
            <w:pPr>
              <w:pStyle w:val="Default"/>
              <w:rPr>
                <w:sz w:val="22"/>
                <w:szCs w:val="22"/>
              </w:rPr>
            </w:pPr>
          </w:p>
          <w:p w14:paraId="7C56FB85" w14:textId="77777777" w:rsidR="005900E4" w:rsidRPr="001300A9" w:rsidRDefault="005900E4" w:rsidP="00357CEC">
            <w:pPr>
              <w:pStyle w:val="Default"/>
              <w:rPr>
                <w:sz w:val="22"/>
                <w:szCs w:val="22"/>
              </w:rPr>
            </w:pPr>
          </w:p>
          <w:p w14:paraId="2FFC24CA" w14:textId="77777777" w:rsidR="005900E4" w:rsidRPr="001300A9" w:rsidRDefault="005900E4" w:rsidP="00357CEC">
            <w:pPr>
              <w:pStyle w:val="Default"/>
              <w:rPr>
                <w:sz w:val="22"/>
                <w:szCs w:val="22"/>
              </w:rPr>
            </w:pPr>
          </w:p>
          <w:p w14:paraId="771C1C71" w14:textId="77777777" w:rsidR="005900E4" w:rsidRPr="001300A9" w:rsidRDefault="005900E4" w:rsidP="00357CEC">
            <w:pPr>
              <w:pStyle w:val="Default"/>
              <w:rPr>
                <w:sz w:val="22"/>
                <w:szCs w:val="22"/>
              </w:rPr>
            </w:pPr>
          </w:p>
          <w:p w14:paraId="0C7C0AB3" w14:textId="77777777" w:rsidR="005900E4" w:rsidRPr="001300A9" w:rsidRDefault="005900E4" w:rsidP="00357CEC">
            <w:pPr>
              <w:pStyle w:val="Default"/>
              <w:rPr>
                <w:sz w:val="22"/>
                <w:szCs w:val="22"/>
              </w:rPr>
            </w:pPr>
          </w:p>
          <w:p w14:paraId="0DB31B05" w14:textId="77777777" w:rsidR="005900E4" w:rsidRPr="001300A9" w:rsidRDefault="005900E4" w:rsidP="00357CEC">
            <w:pPr>
              <w:pStyle w:val="Default"/>
              <w:rPr>
                <w:sz w:val="22"/>
                <w:szCs w:val="22"/>
              </w:rPr>
            </w:pPr>
          </w:p>
          <w:p w14:paraId="2B2045D1" w14:textId="77777777" w:rsidR="005900E4" w:rsidRPr="001300A9" w:rsidRDefault="005900E4" w:rsidP="00357CEC">
            <w:pPr>
              <w:pStyle w:val="Default"/>
              <w:rPr>
                <w:sz w:val="22"/>
                <w:szCs w:val="22"/>
              </w:rPr>
            </w:pPr>
          </w:p>
          <w:p w14:paraId="102322D8" w14:textId="77777777" w:rsidR="005900E4" w:rsidRPr="001300A9" w:rsidRDefault="005900E4" w:rsidP="00357CEC">
            <w:pPr>
              <w:pStyle w:val="Default"/>
              <w:rPr>
                <w:sz w:val="22"/>
                <w:szCs w:val="22"/>
              </w:rPr>
            </w:pPr>
          </w:p>
          <w:p w14:paraId="2EFC69A0" w14:textId="77777777" w:rsidR="005900E4" w:rsidRPr="001300A9" w:rsidRDefault="005900E4" w:rsidP="00357CEC">
            <w:pPr>
              <w:pStyle w:val="Default"/>
              <w:rPr>
                <w:sz w:val="22"/>
                <w:szCs w:val="22"/>
              </w:rPr>
            </w:pPr>
          </w:p>
          <w:p w14:paraId="246CD899" w14:textId="77777777" w:rsidR="005900E4" w:rsidRPr="001300A9" w:rsidRDefault="005900E4" w:rsidP="00357CEC">
            <w:pPr>
              <w:pStyle w:val="Default"/>
              <w:rPr>
                <w:sz w:val="22"/>
                <w:szCs w:val="22"/>
              </w:rPr>
            </w:pPr>
          </w:p>
          <w:p w14:paraId="7EBE2545" w14:textId="77777777" w:rsidR="005900E4" w:rsidRPr="001300A9" w:rsidRDefault="005900E4" w:rsidP="00357CEC">
            <w:pPr>
              <w:pStyle w:val="Default"/>
              <w:rPr>
                <w:sz w:val="22"/>
                <w:szCs w:val="22"/>
              </w:rPr>
            </w:pPr>
          </w:p>
          <w:p w14:paraId="5FA8B10A" w14:textId="77777777" w:rsidR="005900E4" w:rsidRPr="001300A9" w:rsidRDefault="005900E4" w:rsidP="00357CEC">
            <w:pPr>
              <w:pStyle w:val="Default"/>
              <w:rPr>
                <w:sz w:val="22"/>
                <w:szCs w:val="22"/>
              </w:rPr>
            </w:pPr>
          </w:p>
          <w:p w14:paraId="659CB8E7" w14:textId="77777777" w:rsidR="005900E4" w:rsidRPr="001300A9" w:rsidRDefault="005900E4" w:rsidP="00357CEC">
            <w:pPr>
              <w:pStyle w:val="Default"/>
              <w:rPr>
                <w:sz w:val="22"/>
                <w:szCs w:val="22"/>
              </w:rPr>
            </w:pPr>
          </w:p>
          <w:p w14:paraId="486E61D1" w14:textId="77777777" w:rsidR="005900E4" w:rsidRPr="001300A9" w:rsidRDefault="005900E4" w:rsidP="00357CEC">
            <w:pPr>
              <w:pStyle w:val="Default"/>
              <w:rPr>
                <w:sz w:val="22"/>
                <w:szCs w:val="22"/>
              </w:rPr>
            </w:pPr>
          </w:p>
          <w:p w14:paraId="5DFD944D" w14:textId="52C10E0F" w:rsidR="00BB33D9" w:rsidRDefault="00BB33D9" w:rsidP="00357CEC">
            <w:pPr>
              <w:pStyle w:val="Default"/>
              <w:rPr>
                <w:sz w:val="22"/>
                <w:szCs w:val="22"/>
              </w:rPr>
            </w:pPr>
          </w:p>
          <w:p w14:paraId="4ECEA486" w14:textId="77B1B23C" w:rsidR="4792BE4F" w:rsidRDefault="4792BE4F" w:rsidP="4792BE4F">
            <w:pPr>
              <w:pStyle w:val="Default"/>
              <w:rPr>
                <w:sz w:val="22"/>
                <w:szCs w:val="22"/>
              </w:rPr>
            </w:pPr>
          </w:p>
          <w:p w14:paraId="21873051" w14:textId="54E84391" w:rsidR="4792BE4F" w:rsidRDefault="4792BE4F" w:rsidP="4792BE4F">
            <w:pPr>
              <w:pStyle w:val="Default"/>
              <w:rPr>
                <w:sz w:val="22"/>
                <w:szCs w:val="22"/>
              </w:rPr>
            </w:pPr>
          </w:p>
          <w:p w14:paraId="274B65B4" w14:textId="4E60687F" w:rsidR="4792BE4F" w:rsidRDefault="4792BE4F" w:rsidP="4792BE4F">
            <w:pPr>
              <w:pStyle w:val="Default"/>
              <w:rPr>
                <w:sz w:val="22"/>
                <w:szCs w:val="22"/>
              </w:rPr>
            </w:pPr>
          </w:p>
          <w:p w14:paraId="3A0B969B" w14:textId="77777777" w:rsidR="00452B3F" w:rsidRDefault="00452B3F" w:rsidP="00357CEC">
            <w:pPr>
              <w:pStyle w:val="Default"/>
              <w:rPr>
                <w:sz w:val="22"/>
                <w:szCs w:val="22"/>
              </w:rPr>
            </w:pPr>
          </w:p>
          <w:p w14:paraId="415B15D8" w14:textId="6AB843BD" w:rsidR="00357CEC" w:rsidRPr="001300A9" w:rsidRDefault="00357CEC" w:rsidP="00357CEC">
            <w:pPr>
              <w:pStyle w:val="Default"/>
              <w:rPr>
                <w:sz w:val="22"/>
                <w:szCs w:val="22"/>
              </w:rPr>
            </w:pPr>
            <w:r w:rsidRPr="001300A9">
              <w:rPr>
                <w:sz w:val="22"/>
                <w:szCs w:val="22"/>
              </w:rPr>
              <w:t>N</w:t>
            </w:r>
          </w:p>
          <w:p w14:paraId="6B253A02" w14:textId="77777777" w:rsidR="00357CEC" w:rsidRPr="001300A9" w:rsidRDefault="00357CEC" w:rsidP="00357CEC">
            <w:pPr>
              <w:pStyle w:val="Default"/>
              <w:rPr>
                <w:sz w:val="22"/>
                <w:szCs w:val="22"/>
              </w:rPr>
            </w:pPr>
          </w:p>
          <w:p w14:paraId="0E2F4010" w14:textId="77777777" w:rsidR="00357CEC" w:rsidRPr="001300A9" w:rsidRDefault="00357CEC" w:rsidP="00357CEC">
            <w:pPr>
              <w:pStyle w:val="Default"/>
              <w:rPr>
                <w:sz w:val="22"/>
                <w:szCs w:val="22"/>
              </w:rPr>
            </w:pPr>
          </w:p>
          <w:p w14:paraId="45B9577D" w14:textId="77777777" w:rsidR="00357CEC" w:rsidRPr="001300A9" w:rsidRDefault="00357CEC" w:rsidP="00357CEC">
            <w:pPr>
              <w:pStyle w:val="Default"/>
              <w:rPr>
                <w:sz w:val="22"/>
                <w:szCs w:val="22"/>
              </w:rPr>
            </w:pPr>
          </w:p>
          <w:p w14:paraId="725E40A8" w14:textId="77777777" w:rsidR="005900E4" w:rsidRPr="001300A9" w:rsidRDefault="005900E4" w:rsidP="00357CEC">
            <w:pPr>
              <w:pStyle w:val="Default"/>
              <w:rPr>
                <w:sz w:val="22"/>
                <w:szCs w:val="22"/>
              </w:rPr>
            </w:pPr>
          </w:p>
          <w:p w14:paraId="24E35C9A" w14:textId="77777777" w:rsidR="005900E4" w:rsidRPr="001300A9" w:rsidRDefault="005900E4" w:rsidP="00357CEC">
            <w:pPr>
              <w:pStyle w:val="Default"/>
              <w:rPr>
                <w:sz w:val="22"/>
                <w:szCs w:val="22"/>
              </w:rPr>
            </w:pPr>
          </w:p>
          <w:p w14:paraId="41644541" w14:textId="77777777" w:rsidR="005900E4" w:rsidRPr="001300A9" w:rsidRDefault="005900E4" w:rsidP="00357CEC">
            <w:pPr>
              <w:pStyle w:val="Default"/>
              <w:rPr>
                <w:sz w:val="22"/>
                <w:szCs w:val="22"/>
              </w:rPr>
            </w:pPr>
          </w:p>
          <w:p w14:paraId="3EC1A921" w14:textId="77777777" w:rsidR="005900E4" w:rsidRPr="001300A9" w:rsidRDefault="005900E4" w:rsidP="00357CEC">
            <w:pPr>
              <w:pStyle w:val="Default"/>
              <w:rPr>
                <w:sz w:val="22"/>
                <w:szCs w:val="22"/>
              </w:rPr>
            </w:pPr>
          </w:p>
          <w:p w14:paraId="26821AA7" w14:textId="328F3DC7" w:rsidR="005900E4" w:rsidRPr="001300A9" w:rsidRDefault="005900E4" w:rsidP="00357CEC">
            <w:pPr>
              <w:pStyle w:val="Default"/>
              <w:rPr>
                <w:sz w:val="22"/>
                <w:szCs w:val="22"/>
              </w:rPr>
            </w:pPr>
          </w:p>
          <w:p w14:paraId="3C41D00A" w14:textId="77777777" w:rsidR="003C4BA0" w:rsidRPr="001300A9" w:rsidRDefault="003C4BA0" w:rsidP="00357CEC">
            <w:pPr>
              <w:pStyle w:val="Default"/>
              <w:rPr>
                <w:sz w:val="22"/>
                <w:szCs w:val="22"/>
              </w:rPr>
            </w:pPr>
          </w:p>
          <w:p w14:paraId="3EF38FAA" w14:textId="12E3EAB9" w:rsidR="002B06FC" w:rsidRDefault="002B06FC" w:rsidP="00357CEC">
            <w:pPr>
              <w:pStyle w:val="Default"/>
              <w:rPr>
                <w:sz w:val="22"/>
                <w:szCs w:val="22"/>
              </w:rPr>
            </w:pPr>
          </w:p>
          <w:p w14:paraId="6295D2D6" w14:textId="3BB69D0F" w:rsidR="4792BE4F" w:rsidRDefault="4792BE4F" w:rsidP="4792BE4F">
            <w:pPr>
              <w:pStyle w:val="Default"/>
              <w:rPr>
                <w:sz w:val="22"/>
                <w:szCs w:val="22"/>
              </w:rPr>
            </w:pPr>
          </w:p>
          <w:p w14:paraId="68452CF7" w14:textId="49ED2935" w:rsidR="00357CEC" w:rsidRPr="001300A9" w:rsidRDefault="00357CEC" w:rsidP="00357CEC">
            <w:pPr>
              <w:pStyle w:val="Default"/>
              <w:rPr>
                <w:sz w:val="22"/>
                <w:szCs w:val="22"/>
              </w:rPr>
            </w:pPr>
            <w:r w:rsidRPr="001300A9">
              <w:rPr>
                <w:sz w:val="22"/>
                <w:szCs w:val="22"/>
              </w:rPr>
              <w:t>N</w:t>
            </w:r>
          </w:p>
          <w:p w14:paraId="2B5D13B9" w14:textId="38E9B0E1" w:rsidR="00357CEC" w:rsidRPr="001300A9" w:rsidRDefault="00357CEC" w:rsidP="00357CEC">
            <w:pPr>
              <w:pStyle w:val="Default"/>
              <w:rPr>
                <w:sz w:val="22"/>
                <w:szCs w:val="22"/>
              </w:rPr>
            </w:pPr>
          </w:p>
          <w:p w14:paraId="78338120" w14:textId="77777777" w:rsidR="00DA7ED6" w:rsidRPr="001300A9" w:rsidRDefault="00DA7ED6" w:rsidP="00357CEC">
            <w:pPr>
              <w:pStyle w:val="Default"/>
              <w:rPr>
                <w:sz w:val="22"/>
                <w:szCs w:val="22"/>
              </w:rPr>
            </w:pPr>
          </w:p>
          <w:p w14:paraId="2CCA728E" w14:textId="77777777" w:rsidR="005900E4" w:rsidRPr="001300A9" w:rsidRDefault="005900E4" w:rsidP="00357CEC">
            <w:pPr>
              <w:pStyle w:val="Default"/>
              <w:rPr>
                <w:sz w:val="22"/>
                <w:szCs w:val="22"/>
              </w:rPr>
            </w:pPr>
          </w:p>
          <w:p w14:paraId="6D997CF6" w14:textId="77777777" w:rsidR="005900E4" w:rsidRPr="001300A9" w:rsidRDefault="005900E4" w:rsidP="00357CEC">
            <w:pPr>
              <w:pStyle w:val="Default"/>
              <w:rPr>
                <w:sz w:val="22"/>
                <w:szCs w:val="22"/>
              </w:rPr>
            </w:pPr>
          </w:p>
          <w:p w14:paraId="345BDF3B" w14:textId="77777777" w:rsidR="00357CEC" w:rsidRPr="001300A9" w:rsidRDefault="00357CEC" w:rsidP="00357CEC">
            <w:pPr>
              <w:pStyle w:val="Default"/>
              <w:rPr>
                <w:sz w:val="22"/>
                <w:szCs w:val="22"/>
              </w:rPr>
            </w:pPr>
            <w:proofErr w:type="spellStart"/>
            <w:r w:rsidRPr="001300A9">
              <w:rPr>
                <w:sz w:val="22"/>
                <w:szCs w:val="22"/>
              </w:rPr>
              <w:t>n.a</w:t>
            </w:r>
            <w:proofErr w:type="spellEnd"/>
            <w:r w:rsidRPr="001300A9">
              <w:rPr>
                <w:sz w:val="22"/>
                <w:szCs w:val="22"/>
              </w:rPr>
              <w:t>.</w:t>
            </w:r>
          </w:p>
          <w:p w14:paraId="438FA9A2" w14:textId="77777777" w:rsidR="00357CEC" w:rsidRPr="001300A9" w:rsidRDefault="00357CEC" w:rsidP="00357CEC">
            <w:pPr>
              <w:pStyle w:val="Default"/>
              <w:rPr>
                <w:sz w:val="22"/>
                <w:szCs w:val="22"/>
              </w:rPr>
            </w:pPr>
          </w:p>
          <w:p w14:paraId="796B8576" w14:textId="77777777" w:rsidR="00357CEC" w:rsidRPr="001300A9" w:rsidRDefault="00357CEC" w:rsidP="00357CEC">
            <w:pPr>
              <w:pStyle w:val="Default"/>
              <w:rPr>
                <w:sz w:val="22"/>
                <w:szCs w:val="22"/>
              </w:rPr>
            </w:pPr>
          </w:p>
          <w:p w14:paraId="2CEC095D" w14:textId="77777777" w:rsidR="005900E4" w:rsidRPr="001300A9" w:rsidRDefault="005900E4" w:rsidP="00357CEC">
            <w:pPr>
              <w:pStyle w:val="Default"/>
              <w:rPr>
                <w:sz w:val="22"/>
                <w:szCs w:val="22"/>
              </w:rPr>
            </w:pPr>
          </w:p>
          <w:p w14:paraId="3F0057C6" w14:textId="4A273F20" w:rsidR="00BB33D9" w:rsidRDefault="00BB33D9" w:rsidP="00357CEC">
            <w:pPr>
              <w:pStyle w:val="Default"/>
              <w:rPr>
                <w:sz w:val="22"/>
                <w:szCs w:val="22"/>
              </w:rPr>
            </w:pPr>
          </w:p>
          <w:p w14:paraId="04EA8F24" w14:textId="1DAE33A7" w:rsidR="00357CEC" w:rsidRPr="001300A9" w:rsidRDefault="00357CEC" w:rsidP="00357CEC">
            <w:pPr>
              <w:pStyle w:val="Default"/>
              <w:rPr>
                <w:sz w:val="22"/>
                <w:szCs w:val="22"/>
              </w:rPr>
            </w:pPr>
            <w:proofErr w:type="spellStart"/>
            <w:r w:rsidRPr="001300A9">
              <w:rPr>
                <w:sz w:val="22"/>
                <w:szCs w:val="22"/>
              </w:rPr>
              <w:t>n.a</w:t>
            </w:r>
            <w:proofErr w:type="spellEnd"/>
            <w:r w:rsidRPr="001300A9">
              <w:rPr>
                <w:sz w:val="22"/>
                <w:szCs w:val="22"/>
              </w:rPr>
              <w:t>.</w:t>
            </w:r>
          </w:p>
        </w:tc>
        <w:tc>
          <w:tcPr>
            <w:tcW w:w="283" w:type="dxa"/>
          </w:tcPr>
          <w:p w14:paraId="3C0EBA7F" w14:textId="77777777" w:rsidR="00357CEC" w:rsidRDefault="002C79F4" w:rsidP="00357CEC">
            <w:pPr>
              <w:pStyle w:val="Default"/>
              <w:rPr>
                <w:sz w:val="22"/>
                <w:szCs w:val="22"/>
              </w:rPr>
            </w:pPr>
            <w:r>
              <w:rPr>
                <w:sz w:val="22"/>
                <w:szCs w:val="22"/>
              </w:rPr>
              <w:lastRenderedPageBreak/>
              <w:t>NZ</w:t>
            </w:r>
          </w:p>
          <w:p w14:paraId="7F458185" w14:textId="77777777" w:rsidR="00452B3F" w:rsidRDefault="00452B3F" w:rsidP="00357CEC">
            <w:pPr>
              <w:pStyle w:val="Default"/>
              <w:rPr>
                <w:sz w:val="22"/>
                <w:szCs w:val="22"/>
              </w:rPr>
            </w:pPr>
          </w:p>
          <w:p w14:paraId="5873A575" w14:textId="77777777" w:rsidR="00452B3F" w:rsidRDefault="00452B3F" w:rsidP="00357CEC">
            <w:pPr>
              <w:pStyle w:val="Default"/>
              <w:rPr>
                <w:sz w:val="22"/>
                <w:szCs w:val="22"/>
              </w:rPr>
            </w:pPr>
          </w:p>
          <w:p w14:paraId="65BA8F3C" w14:textId="77777777" w:rsidR="00452B3F" w:rsidRDefault="00452B3F" w:rsidP="00357CEC">
            <w:pPr>
              <w:pStyle w:val="Default"/>
              <w:rPr>
                <w:sz w:val="22"/>
                <w:szCs w:val="22"/>
              </w:rPr>
            </w:pPr>
          </w:p>
          <w:p w14:paraId="7EBAA1F9" w14:textId="77777777" w:rsidR="00452B3F" w:rsidRDefault="00452B3F" w:rsidP="00357CEC">
            <w:pPr>
              <w:pStyle w:val="Default"/>
              <w:rPr>
                <w:sz w:val="22"/>
                <w:szCs w:val="22"/>
              </w:rPr>
            </w:pPr>
          </w:p>
          <w:p w14:paraId="5E81693E" w14:textId="77777777" w:rsidR="00452B3F" w:rsidRDefault="00452B3F" w:rsidP="00357CEC">
            <w:pPr>
              <w:pStyle w:val="Default"/>
              <w:rPr>
                <w:sz w:val="22"/>
                <w:szCs w:val="22"/>
              </w:rPr>
            </w:pPr>
          </w:p>
          <w:p w14:paraId="549AB88C" w14:textId="77777777" w:rsidR="00452B3F" w:rsidRDefault="00452B3F" w:rsidP="00357CEC">
            <w:pPr>
              <w:pStyle w:val="Default"/>
              <w:rPr>
                <w:sz w:val="22"/>
                <w:szCs w:val="22"/>
              </w:rPr>
            </w:pPr>
          </w:p>
          <w:p w14:paraId="6A648A65" w14:textId="77777777" w:rsidR="00452B3F" w:rsidRDefault="00452B3F" w:rsidP="00357CEC">
            <w:pPr>
              <w:pStyle w:val="Default"/>
              <w:rPr>
                <w:sz w:val="22"/>
                <w:szCs w:val="22"/>
              </w:rPr>
            </w:pPr>
          </w:p>
          <w:p w14:paraId="5A87F3E3" w14:textId="77777777" w:rsidR="00452B3F" w:rsidRDefault="00452B3F" w:rsidP="00357CEC">
            <w:pPr>
              <w:pStyle w:val="Default"/>
              <w:rPr>
                <w:sz w:val="22"/>
                <w:szCs w:val="22"/>
              </w:rPr>
            </w:pPr>
          </w:p>
          <w:p w14:paraId="3331B0BD" w14:textId="77777777" w:rsidR="00452B3F" w:rsidRDefault="00452B3F" w:rsidP="00357CEC">
            <w:pPr>
              <w:pStyle w:val="Default"/>
              <w:rPr>
                <w:sz w:val="22"/>
                <w:szCs w:val="22"/>
              </w:rPr>
            </w:pPr>
          </w:p>
          <w:p w14:paraId="43CFEBDB" w14:textId="77777777" w:rsidR="00452B3F" w:rsidRDefault="00452B3F" w:rsidP="00357CEC">
            <w:pPr>
              <w:pStyle w:val="Default"/>
              <w:rPr>
                <w:sz w:val="22"/>
                <w:szCs w:val="22"/>
              </w:rPr>
            </w:pPr>
          </w:p>
          <w:p w14:paraId="5797086C" w14:textId="77777777" w:rsidR="00452B3F" w:rsidRDefault="00452B3F" w:rsidP="00357CEC">
            <w:pPr>
              <w:pStyle w:val="Default"/>
              <w:rPr>
                <w:sz w:val="22"/>
                <w:szCs w:val="22"/>
              </w:rPr>
            </w:pPr>
          </w:p>
          <w:p w14:paraId="03244F6E" w14:textId="77777777" w:rsidR="00452B3F" w:rsidRDefault="00452B3F" w:rsidP="00357CEC">
            <w:pPr>
              <w:pStyle w:val="Default"/>
              <w:rPr>
                <w:sz w:val="22"/>
                <w:szCs w:val="22"/>
              </w:rPr>
            </w:pPr>
          </w:p>
          <w:p w14:paraId="01CB85C1" w14:textId="77777777" w:rsidR="00452B3F" w:rsidRDefault="00452B3F" w:rsidP="00357CEC">
            <w:pPr>
              <w:pStyle w:val="Default"/>
              <w:rPr>
                <w:sz w:val="22"/>
                <w:szCs w:val="22"/>
              </w:rPr>
            </w:pPr>
          </w:p>
          <w:p w14:paraId="08AE0701" w14:textId="77777777" w:rsidR="00452B3F" w:rsidRDefault="00452B3F" w:rsidP="00357CEC">
            <w:pPr>
              <w:pStyle w:val="Default"/>
              <w:rPr>
                <w:sz w:val="22"/>
                <w:szCs w:val="22"/>
              </w:rPr>
            </w:pPr>
          </w:p>
          <w:p w14:paraId="5B2FE589" w14:textId="77777777" w:rsidR="00452B3F" w:rsidRDefault="00452B3F" w:rsidP="00357CEC">
            <w:pPr>
              <w:pStyle w:val="Default"/>
              <w:rPr>
                <w:sz w:val="22"/>
                <w:szCs w:val="22"/>
              </w:rPr>
            </w:pPr>
          </w:p>
          <w:p w14:paraId="3CD45FA2" w14:textId="77777777" w:rsidR="00452B3F" w:rsidRDefault="00452B3F" w:rsidP="00357CEC">
            <w:pPr>
              <w:pStyle w:val="Default"/>
              <w:rPr>
                <w:sz w:val="22"/>
                <w:szCs w:val="22"/>
              </w:rPr>
            </w:pPr>
          </w:p>
          <w:p w14:paraId="691485A9" w14:textId="77777777" w:rsidR="00452B3F" w:rsidRDefault="00452B3F" w:rsidP="00357CEC">
            <w:pPr>
              <w:pStyle w:val="Default"/>
              <w:rPr>
                <w:sz w:val="22"/>
                <w:szCs w:val="22"/>
              </w:rPr>
            </w:pPr>
          </w:p>
          <w:p w14:paraId="21BB4D22" w14:textId="578C4362" w:rsidR="00452B3F" w:rsidRDefault="00452B3F" w:rsidP="00357CEC">
            <w:pPr>
              <w:pStyle w:val="Default"/>
              <w:rPr>
                <w:sz w:val="22"/>
                <w:szCs w:val="22"/>
              </w:rPr>
            </w:pPr>
          </w:p>
          <w:p w14:paraId="784A83F6" w14:textId="77777777" w:rsidR="00452B3F" w:rsidRDefault="00452B3F" w:rsidP="00357CEC">
            <w:pPr>
              <w:pStyle w:val="Default"/>
              <w:rPr>
                <w:sz w:val="22"/>
                <w:szCs w:val="22"/>
              </w:rPr>
            </w:pPr>
            <w:r>
              <w:rPr>
                <w:sz w:val="22"/>
                <w:szCs w:val="22"/>
              </w:rPr>
              <w:t>NZ</w:t>
            </w:r>
          </w:p>
          <w:p w14:paraId="53471963" w14:textId="77777777" w:rsidR="00452B3F" w:rsidRDefault="00452B3F" w:rsidP="00357CEC">
            <w:pPr>
              <w:pStyle w:val="Default"/>
              <w:rPr>
                <w:sz w:val="22"/>
                <w:szCs w:val="22"/>
              </w:rPr>
            </w:pPr>
          </w:p>
          <w:p w14:paraId="1739C77C" w14:textId="77777777" w:rsidR="00452B3F" w:rsidRDefault="00452B3F" w:rsidP="00357CEC">
            <w:pPr>
              <w:pStyle w:val="Default"/>
              <w:rPr>
                <w:sz w:val="22"/>
                <w:szCs w:val="22"/>
              </w:rPr>
            </w:pPr>
          </w:p>
          <w:p w14:paraId="7A19CEF5" w14:textId="77777777" w:rsidR="00452B3F" w:rsidRDefault="00452B3F" w:rsidP="00357CEC">
            <w:pPr>
              <w:pStyle w:val="Default"/>
              <w:rPr>
                <w:sz w:val="22"/>
                <w:szCs w:val="22"/>
              </w:rPr>
            </w:pPr>
          </w:p>
          <w:p w14:paraId="792E6CDD" w14:textId="77777777" w:rsidR="00452B3F" w:rsidRDefault="00452B3F" w:rsidP="00357CEC">
            <w:pPr>
              <w:pStyle w:val="Default"/>
              <w:rPr>
                <w:sz w:val="22"/>
                <w:szCs w:val="22"/>
              </w:rPr>
            </w:pPr>
          </w:p>
          <w:p w14:paraId="1292E225" w14:textId="371C6857" w:rsidR="5F673433" w:rsidRDefault="5F673433" w:rsidP="5F673433">
            <w:pPr>
              <w:pStyle w:val="Default"/>
              <w:rPr>
                <w:sz w:val="22"/>
                <w:szCs w:val="22"/>
              </w:rPr>
            </w:pPr>
          </w:p>
          <w:p w14:paraId="58821452" w14:textId="385E5BB1" w:rsidR="00452B3F" w:rsidRDefault="05EBF5ED" w:rsidP="5F673433">
            <w:pPr>
              <w:pStyle w:val="Default"/>
              <w:rPr>
                <w:sz w:val="22"/>
                <w:szCs w:val="22"/>
              </w:rPr>
            </w:pPr>
            <w:r w:rsidRPr="5F673433">
              <w:rPr>
                <w:sz w:val="22"/>
                <w:szCs w:val="22"/>
              </w:rPr>
              <w:t>NZ</w:t>
            </w:r>
          </w:p>
          <w:p w14:paraId="20980616" w14:textId="77777777" w:rsidR="00452B3F" w:rsidRDefault="00452B3F" w:rsidP="00357CEC">
            <w:pPr>
              <w:pStyle w:val="Default"/>
              <w:rPr>
                <w:sz w:val="22"/>
                <w:szCs w:val="22"/>
              </w:rPr>
            </w:pPr>
          </w:p>
          <w:p w14:paraId="379E2F84" w14:textId="19158B66" w:rsidR="00452B3F" w:rsidRDefault="00452B3F" w:rsidP="00357CEC">
            <w:pPr>
              <w:pStyle w:val="Default"/>
              <w:rPr>
                <w:sz w:val="22"/>
                <w:szCs w:val="22"/>
              </w:rPr>
            </w:pPr>
          </w:p>
          <w:p w14:paraId="4A91A49B" w14:textId="77777777" w:rsidR="00452B3F" w:rsidRDefault="00452B3F" w:rsidP="00452B3F">
            <w:pPr>
              <w:pStyle w:val="Default"/>
              <w:rPr>
                <w:sz w:val="22"/>
                <w:szCs w:val="22"/>
              </w:rPr>
            </w:pPr>
            <w:r>
              <w:rPr>
                <w:sz w:val="22"/>
                <w:szCs w:val="22"/>
              </w:rPr>
              <w:t>NZ</w:t>
            </w:r>
          </w:p>
          <w:p w14:paraId="43C106E1" w14:textId="77777777" w:rsidR="00452B3F" w:rsidRDefault="00452B3F" w:rsidP="00357CEC">
            <w:pPr>
              <w:pStyle w:val="Default"/>
              <w:rPr>
                <w:sz w:val="22"/>
                <w:szCs w:val="22"/>
              </w:rPr>
            </w:pPr>
          </w:p>
          <w:p w14:paraId="1030DDBA" w14:textId="77777777" w:rsidR="00452B3F" w:rsidRDefault="00452B3F" w:rsidP="00357CEC">
            <w:pPr>
              <w:pStyle w:val="Default"/>
              <w:rPr>
                <w:sz w:val="22"/>
                <w:szCs w:val="22"/>
              </w:rPr>
            </w:pPr>
          </w:p>
          <w:p w14:paraId="2EE77EB5" w14:textId="77777777" w:rsidR="00452B3F" w:rsidRDefault="00452B3F" w:rsidP="00357CEC">
            <w:pPr>
              <w:pStyle w:val="Default"/>
              <w:rPr>
                <w:sz w:val="22"/>
                <w:szCs w:val="22"/>
              </w:rPr>
            </w:pPr>
          </w:p>
          <w:p w14:paraId="2569DBC3" w14:textId="77777777" w:rsidR="00452B3F" w:rsidRDefault="00452B3F" w:rsidP="00357CEC">
            <w:pPr>
              <w:pStyle w:val="Default"/>
              <w:rPr>
                <w:sz w:val="22"/>
                <w:szCs w:val="22"/>
              </w:rPr>
            </w:pPr>
          </w:p>
          <w:p w14:paraId="233820C7" w14:textId="77777777" w:rsidR="00452B3F" w:rsidRDefault="00452B3F" w:rsidP="00357CEC">
            <w:pPr>
              <w:pStyle w:val="Default"/>
              <w:rPr>
                <w:sz w:val="22"/>
                <w:szCs w:val="22"/>
              </w:rPr>
            </w:pPr>
          </w:p>
          <w:p w14:paraId="41CC3410" w14:textId="77777777" w:rsidR="00452B3F" w:rsidRDefault="00452B3F" w:rsidP="00357CEC">
            <w:pPr>
              <w:pStyle w:val="Default"/>
              <w:rPr>
                <w:sz w:val="22"/>
                <w:szCs w:val="22"/>
              </w:rPr>
            </w:pPr>
          </w:p>
          <w:p w14:paraId="6C15C014" w14:textId="77777777" w:rsidR="00452B3F" w:rsidRDefault="00452B3F" w:rsidP="00357CEC">
            <w:pPr>
              <w:pStyle w:val="Default"/>
              <w:rPr>
                <w:sz w:val="22"/>
                <w:szCs w:val="22"/>
              </w:rPr>
            </w:pPr>
          </w:p>
          <w:p w14:paraId="77A85DDC" w14:textId="77777777" w:rsidR="00452B3F" w:rsidRDefault="00452B3F" w:rsidP="00357CEC">
            <w:pPr>
              <w:pStyle w:val="Default"/>
              <w:rPr>
                <w:sz w:val="22"/>
                <w:szCs w:val="22"/>
              </w:rPr>
            </w:pPr>
          </w:p>
          <w:p w14:paraId="7054DB9C" w14:textId="77777777" w:rsidR="00452B3F" w:rsidRDefault="00452B3F" w:rsidP="00357CEC">
            <w:pPr>
              <w:pStyle w:val="Default"/>
              <w:rPr>
                <w:sz w:val="22"/>
                <w:szCs w:val="22"/>
              </w:rPr>
            </w:pPr>
          </w:p>
          <w:p w14:paraId="17090356" w14:textId="77777777" w:rsidR="00452B3F" w:rsidRDefault="00452B3F" w:rsidP="00357CEC">
            <w:pPr>
              <w:pStyle w:val="Default"/>
              <w:rPr>
                <w:sz w:val="22"/>
                <w:szCs w:val="22"/>
              </w:rPr>
            </w:pPr>
          </w:p>
          <w:p w14:paraId="39197EFF" w14:textId="77777777" w:rsidR="00452B3F" w:rsidRDefault="00452B3F" w:rsidP="00357CEC">
            <w:pPr>
              <w:pStyle w:val="Default"/>
              <w:rPr>
                <w:sz w:val="22"/>
                <w:szCs w:val="22"/>
              </w:rPr>
            </w:pPr>
          </w:p>
          <w:p w14:paraId="36F0FC34" w14:textId="77777777" w:rsidR="00452B3F" w:rsidRDefault="00452B3F" w:rsidP="00357CEC">
            <w:pPr>
              <w:pStyle w:val="Default"/>
              <w:rPr>
                <w:sz w:val="22"/>
                <w:szCs w:val="22"/>
              </w:rPr>
            </w:pPr>
          </w:p>
          <w:p w14:paraId="13A40336" w14:textId="77777777" w:rsidR="00452B3F" w:rsidRDefault="00452B3F" w:rsidP="00357CEC">
            <w:pPr>
              <w:pStyle w:val="Default"/>
              <w:rPr>
                <w:sz w:val="22"/>
                <w:szCs w:val="22"/>
              </w:rPr>
            </w:pPr>
          </w:p>
          <w:p w14:paraId="48ABEE25" w14:textId="77777777" w:rsidR="00452B3F" w:rsidRDefault="00452B3F" w:rsidP="00357CEC">
            <w:pPr>
              <w:pStyle w:val="Default"/>
              <w:rPr>
                <w:sz w:val="22"/>
                <w:szCs w:val="22"/>
              </w:rPr>
            </w:pPr>
          </w:p>
          <w:p w14:paraId="3E6948F2" w14:textId="77777777" w:rsidR="00452B3F" w:rsidRDefault="00452B3F" w:rsidP="00357CEC">
            <w:pPr>
              <w:pStyle w:val="Default"/>
              <w:rPr>
                <w:sz w:val="22"/>
                <w:szCs w:val="22"/>
              </w:rPr>
            </w:pPr>
          </w:p>
          <w:p w14:paraId="383AD922" w14:textId="77777777" w:rsidR="00452B3F" w:rsidRDefault="00452B3F" w:rsidP="00357CEC">
            <w:pPr>
              <w:pStyle w:val="Default"/>
              <w:rPr>
                <w:sz w:val="22"/>
                <w:szCs w:val="22"/>
              </w:rPr>
            </w:pPr>
          </w:p>
          <w:p w14:paraId="17875027" w14:textId="77777777" w:rsidR="00452B3F" w:rsidRDefault="00452B3F" w:rsidP="00357CEC">
            <w:pPr>
              <w:pStyle w:val="Default"/>
              <w:rPr>
                <w:sz w:val="22"/>
                <w:szCs w:val="22"/>
              </w:rPr>
            </w:pPr>
          </w:p>
          <w:p w14:paraId="40AF5C2A" w14:textId="77777777" w:rsidR="00452B3F" w:rsidRDefault="00452B3F" w:rsidP="00357CEC">
            <w:pPr>
              <w:pStyle w:val="Default"/>
              <w:rPr>
                <w:sz w:val="22"/>
                <w:szCs w:val="22"/>
              </w:rPr>
            </w:pPr>
          </w:p>
          <w:p w14:paraId="2EB66B64" w14:textId="77777777" w:rsidR="00452B3F" w:rsidRDefault="00452B3F" w:rsidP="00357CEC">
            <w:pPr>
              <w:pStyle w:val="Default"/>
              <w:rPr>
                <w:sz w:val="22"/>
                <w:szCs w:val="22"/>
              </w:rPr>
            </w:pPr>
          </w:p>
          <w:p w14:paraId="43A615E2" w14:textId="77777777" w:rsidR="00452B3F" w:rsidRDefault="00452B3F" w:rsidP="00357CEC">
            <w:pPr>
              <w:pStyle w:val="Default"/>
              <w:rPr>
                <w:sz w:val="22"/>
                <w:szCs w:val="22"/>
              </w:rPr>
            </w:pPr>
          </w:p>
          <w:p w14:paraId="4DEAC1DD" w14:textId="77777777" w:rsidR="00452B3F" w:rsidRDefault="00452B3F" w:rsidP="00357CEC">
            <w:pPr>
              <w:pStyle w:val="Default"/>
              <w:rPr>
                <w:sz w:val="22"/>
                <w:szCs w:val="22"/>
              </w:rPr>
            </w:pPr>
          </w:p>
          <w:p w14:paraId="4B0FB689" w14:textId="77777777" w:rsidR="00452B3F" w:rsidRDefault="00452B3F" w:rsidP="00357CEC">
            <w:pPr>
              <w:pStyle w:val="Default"/>
              <w:rPr>
                <w:sz w:val="22"/>
                <w:szCs w:val="22"/>
              </w:rPr>
            </w:pPr>
          </w:p>
          <w:p w14:paraId="407D7164" w14:textId="77777777" w:rsidR="00452B3F" w:rsidRDefault="00452B3F" w:rsidP="00357CEC">
            <w:pPr>
              <w:pStyle w:val="Default"/>
              <w:rPr>
                <w:sz w:val="22"/>
                <w:szCs w:val="22"/>
              </w:rPr>
            </w:pPr>
          </w:p>
          <w:p w14:paraId="2496B205" w14:textId="77777777" w:rsidR="00452B3F" w:rsidRDefault="00452B3F" w:rsidP="00357CEC">
            <w:pPr>
              <w:pStyle w:val="Default"/>
              <w:rPr>
                <w:sz w:val="22"/>
                <w:szCs w:val="22"/>
              </w:rPr>
            </w:pPr>
          </w:p>
          <w:p w14:paraId="386F506B" w14:textId="77777777" w:rsidR="00452B3F" w:rsidRDefault="00452B3F" w:rsidP="00357CEC">
            <w:pPr>
              <w:pStyle w:val="Default"/>
              <w:rPr>
                <w:sz w:val="22"/>
                <w:szCs w:val="22"/>
              </w:rPr>
            </w:pPr>
          </w:p>
          <w:p w14:paraId="6A4391D3" w14:textId="77777777" w:rsidR="00452B3F" w:rsidRDefault="00452B3F" w:rsidP="00357CEC">
            <w:pPr>
              <w:pStyle w:val="Default"/>
              <w:rPr>
                <w:sz w:val="22"/>
                <w:szCs w:val="22"/>
              </w:rPr>
            </w:pPr>
          </w:p>
          <w:p w14:paraId="15F75004" w14:textId="77777777" w:rsidR="00452B3F" w:rsidRDefault="00452B3F" w:rsidP="00357CEC">
            <w:pPr>
              <w:pStyle w:val="Default"/>
              <w:rPr>
                <w:sz w:val="22"/>
                <w:szCs w:val="22"/>
              </w:rPr>
            </w:pPr>
          </w:p>
          <w:p w14:paraId="4BC55D87" w14:textId="77777777" w:rsidR="00452B3F" w:rsidRDefault="00452B3F" w:rsidP="00452B3F">
            <w:pPr>
              <w:pStyle w:val="Default"/>
              <w:rPr>
                <w:sz w:val="22"/>
                <w:szCs w:val="22"/>
              </w:rPr>
            </w:pPr>
            <w:r>
              <w:rPr>
                <w:sz w:val="22"/>
                <w:szCs w:val="22"/>
              </w:rPr>
              <w:t>NZ</w:t>
            </w:r>
          </w:p>
          <w:p w14:paraId="772B88DD" w14:textId="77777777" w:rsidR="00452B3F" w:rsidRDefault="00452B3F" w:rsidP="00357CEC">
            <w:pPr>
              <w:pStyle w:val="Default"/>
              <w:rPr>
                <w:sz w:val="22"/>
                <w:szCs w:val="22"/>
              </w:rPr>
            </w:pPr>
          </w:p>
          <w:p w14:paraId="7EA289E6" w14:textId="77777777" w:rsidR="00452B3F" w:rsidRDefault="00452B3F" w:rsidP="00357CEC">
            <w:pPr>
              <w:pStyle w:val="Default"/>
              <w:rPr>
                <w:sz w:val="22"/>
                <w:szCs w:val="22"/>
              </w:rPr>
            </w:pPr>
          </w:p>
          <w:p w14:paraId="277936D2" w14:textId="77777777" w:rsidR="00452B3F" w:rsidRDefault="00452B3F" w:rsidP="00357CEC">
            <w:pPr>
              <w:pStyle w:val="Default"/>
              <w:rPr>
                <w:sz w:val="22"/>
                <w:szCs w:val="22"/>
              </w:rPr>
            </w:pPr>
          </w:p>
          <w:p w14:paraId="4E3F4EC3" w14:textId="77777777" w:rsidR="00452B3F" w:rsidRDefault="00452B3F" w:rsidP="00357CEC">
            <w:pPr>
              <w:pStyle w:val="Default"/>
              <w:rPr>
                <w:sz w:val="22"/>
                <w:szCs w:val="22"/>
              </w:rPr>
            </w:pPr>
          </w:p>
          <w:p w14:paraId="16DE6774" w14:textId="77777777" w:rsidR="00452B3F" w:rsidRDefault="00452B3F" w:rsidP="00357CEC">
            <w:pPr>
              <w:pStyle w:val="Default"/>
              <w:rPr>
                <w:sz w:val="22"/>
                <w:szCs w:val="22"/>
              </w:rPr>
            </w:pPr>
          </w:p>
          <w:p w14:paraId="6E975F83" w14:textId="77777777" w:rsidR="00452B3F" w:rsidRDefault="00452B3F" w:rsidP="00357CEC">
            <w:pPr>
              <w:pStyle w:val="Default"/>
              <w:rPr>
                <w:sz w:val="22"/>
                <w:szCs w:val="22"/>
              </w:rPr>
            </w:pPr>
          </w:p>
          <w:p w14:paraId="43A65FFA" w14:textId="77777777" w:rsidR="00452B3F" w:rsidRDefault="00452B3F" w:rsidP="00357CEC">
            <w:pPr>
              <w:pStyle w:val="Default"/>
              <w:rPr>
                <w:sz w:val="22"/>
                <w:szCs w:val="22"/>
              </w:rPr>
            </w:pPr>
          </w:p>
          <w:p w14:paraId="4838DEBF" w14:textId="77777777" w:rsidR="00452B3F" w:rsidRDefault="00452B3F" w:rsidP="00357CEC">
            <w:pPr>
              <w:pStyle w:val="Default"/>
              <w:rPr>
                <w:sz w:val="22"/>
                <w:szCs w:val="22"/>
              </w:rPr>
            </w:pPr>
          </w:p>
          <w:p w14:paraId="7338AAC8" w14:textId="77777777" w:rsidR="00452B3F" w:rsidRDefault="00452B3F" w:rsidP="00357CEC">
            <w:pPr>
              <w:pStyle w:val="Default"/>
              <w:rPr>
                <w:sz w:val="22"/>
                <w:szCs w:val="22"/>
              </w:rPr>
            </w:pPr>
          </w:p>
          <w:p w14:paraId="7E9EEFF9" w14:textId="77777777" w:rsidR="00452B3F" w:rsidRDefault="00452B3F" w:rsidP="00357CEC">
            <w:pPr>
              <w:pStyle w:val="Default"/>
              <w:rPr>
                <w:sz w:val="22"/>
                <w:szCs w:val="22"/>
              </w:rPr>
            </w:pPr>
          </w:p>
          <w:p w14:paraId="041A1849" w14:textId="77777777" w:rsidR="00452B3F" w:rsidRDefault="00452B3F" w:rsidP="00357CEC">
            <w:pPr>
              <w:pStyle w:val="Default"/>
              <w:rPr>
                <w:sz w:val="22"/>
                <w:szCs w:val="22"/>
              </w:rPr>
            </w:pPr>
          </w:p>
          <w:p w14:paraId="573ECDAE" w14:textId="77777777" w:rsidR="00452B3F" w:rsidRDefault="00452B3F" w:rsidP="00357CEC">
            <w:pPr>
              <w:pStyle w:val="Default"/>
              <w:rPr>
                <w:sz w:val="22"/>
                <w:szCs w:val="22"/>
              </w:rPr>
            </w:pPr>
          </w:p>
          <w:p w14:paraId="1355EC60" w14:textId="77777777" w:rsidR="00452B3F" w:rsidRDefault="00452B3F" w:rsidP="00357CEC">
            <w:pPr>
              <w:pStyle w:val="Default"/>
              <w:rPr>
                <w:sz w:val="22"/>
                <w:szCs w:val="22"/>
              </w:rPr>
            </w:pPr>
          </w:p>
          <w:p w14:paraId="2D3D7D78" w14:textId="77777777" w:rsidR="00452B3F" w:rsidRDefault="00452B3F" w:rsidP="00357CEC">
            <w:pPr>
              <w:pStyle w:val="Default"/>
              <w:rPr>
                <w:sz w:val="22"/>
                <w:szCs w:val="22"/>
              </w:rPr>
            </w:pPr>
          </w:p>
          <w:p w14:paraId="3473D189" w14:textId="77777777" w:rsidR="00452B3F" w:rsidRDefault="00452B3F" w:rsidP="00357CEC">
            <w:pPr>
              <w:pStyle w:val="Default"/>
              <w:rPr>
                <w:sz w:val="22"/>
                <w:szCs w:val="22"/>
              </w:rPr>
            </w:pPr>
          </w:p>
          <w:p w14:paraId="074026DE" w14:textId="77777777" w:rsidR="00452B3F" w:rsidRDefault="00452B3F" w:rsidP="00357CEC">
            <w:pPr>
              <w:pStyle w:val="Default"/>
              <w:rPr>
                <w:sz w:val="22"/>
                <w:szCs w:val="22"/>
              </w:rPr>
            </w:pPr>
          </w:p>
          <w:p w14:paraId="36F4B4CC" w14:textId="77777777" w:rsidR="00452B3F" w:rsidRDefault="00452B3F" w:rsidP="00357CEC">
            <w:pPr>
              <w:pStyle w:val="Default"/>
              <w:rPr>
                <w:sz w:val="22"/>
                <w:szCs w:val="22"/>
              </w:rPr>
            </w:pPr>
          </w:p>
          <w:p w14:paraId="02D39D83" w14:textId="77777777" w:rsidR="00452B3F" w:rsidRDefault="00452B3F" w:rsidP="00357CEC">
            <w:pPr>
              <w:pStyle w:val="Default"/>
              <w:rPr>
                <w:sz w:val="22"/>
                <w:szCs w:val="22"/>
              </w:rPr>
            </w:pPr>
          </w:p>
          <w:p w14:paraId="56875A5A" w14:textId="77777777" w:rsidR="00452B3F" w:rsidRDefault="00452B3F" w:rsidP="00357CEC">
            <w:pPr>
              <w:pStyle w:val="Default"/>
              <w:rPr>
                <w:sz w:val="22"/>
                <w:szCs w:val="22"/>
              </w:rPr>
            </w:pPr>
          </w:p>
          <w:p w14:paraId="61C8F2EF" w14:textId="77777777" w:rsidR="00452B3F" w:rsidRDefault="00452B3F" w:rsidP="00357CEC">
            <w:pPr>
              <w:pStyle w:val="Default"/>
              <w:rPr>
                <w:sz w:val="22"/>
                <w:szCs w:val="22"/>
              </w:rPr>
            </w:pPr>
          </w:p>
          <w:p w14:paraId="67CA4989" w14:textId="77777777" w:rsidR="00452B3F" w:rsidRDefault="00452B3F" w:rsidP="00357CEC">
            <w:pPr>
              <w:pStyle w:val="Default"/>
              <w:rPr>
                <w:sz w:val="22"/>
                <w:szCs w:val="22"/>
              </w:rPr>
            </w:pPr>
          </w:p>
          <w:p w14:paraId="3A599E34" w14:textId="77777777" w:rsidR="00452B3F" w:rsidRDefault="00452B3F" w:rsidP="00357CEC">
            <w:pPr>
              <w:pStyle w:val="Default"/>
              <w:rPr>
                <w:sz w:val="22"/>
                <w:szCs w:val="22"/>
              </w:rPr>
            </w:pPr>
          </w:p>
          <w:p w14:paraId="5BE1522D" w14:textId="77777777" w:rsidR="00452B3F" w:rsidRDefault="00452B3F" w:rsidP="00357CEC">
            <w:pPr>
              <w:pStyle w:val="Default"/>
              <w:rPr>
                <w:sz w:val="22"/>
                <w:szCs w:val="22"/>
              </w:rPr>
            </w:pPr>
          </w:p>
          <w:p w14:paraId="078002BB" w14:textId="77777777" w:rsidR="00452B3F" w:rsidRDefault="00452B3F" w:rsidP="00357CEC">
            <w:pPr>
              <w:pStyle w:val="Default"/>
              <w:rPr>
                <w:sz w:val="22"/>
                <w:szCs w:val="22"/>
              </w:rPr>
            </w:pPr>
          </w:p>
          <w:p w14:paraId="67CC4FA4" w14:textId="77777777" w:rsidR="00452B3F" w:rsidRDefault="00452B3F" w:rsidP="00357CEC">
            <w:pPr>
              <w:pStyle w:val="Default"/>
              <w:rPr>
                <w:sz w:val="22"/>
                <w:szCs w:val="22"/>
              </w:rPr>
            </w:pPr>
          </w:p>
          <w:p w14:paraId="509A0CC3" w14:textId="77777777" w:rsidR="00452B3F" w:rsidRDefault="00452B3F" w:rsidP="00357CEC">
            <w:pPr>
              <w:pStyle w:val="Default"/>
              <w:rPr>
                <w:sz w:val="22"/>
                <w:szCs w:val="22"/>
              </w:rPr>
            </w:pPr>
          </w:p>
          <w:p w14:paraId="2FB15D78" w14:textId="77777777" w:rsidR="00452B3F" w:rsidRDefault="00452B3F" w:rsidP="00357CEC">
            <w:pPr>
              <w:pStyle w:val="Default"/>
              <w:rPr>
                <w:sz w:val="22"/>
                <w:szCs w:val="22"/>
              </w:rPr>
            </w:pPr>
          </w:p>
          <w:p w14:paraId="50A310F1" w14:textId="77777777" w:rsidR="00452B3F" w:rsidRDefault="00452B3F" w:rsidP="00357CEC">
            <w:pPr>
              <w:pStyle w:val="Default"/>
              <w:rPr>
                <w:sz w:val="22"/>
                <w:szCs w:val="22"/>
              </w:rPr>
            </w:pPr>
          </w:p>
          <w:p w14:paraId="6618F9F6" w14:textId="77777777" w:rsidR="00452B3F" w:rsidRDefault="00452B3F" w:rsidP="00357CEC">
            <w:pPr>
              <w:pStyle w:val="Default"/>
              <w:rPr>
                <w:sz w:val="22"/>
                <w:szCs w:val="22"/>
              </w:rPr>
            </w:pPr>
          </w:p>
          <w:p w14:paraId="3EEF7138" w14:textId="77777777" w:rsidR="00452B3F" w:rsidRDefault="00452B3F" w:rsidP="00357CEC">
            <w:pPr>
              <w:pStyle w:val="Default"/>
              <w:rPr>
                <w:sz w:val="22"/>
                <w:szCs w:val="22"/>
              </w:rPr>
            </w:pPr>
          </w:p>
          <w:p w14:paraId="1621B622" w14:textId="77777777" w:rsidR="00452B3F" w:rsidRDefault="00452B3F" w:rsidP="00357CEC">
            <w:pPr>
              <w:pStyle w:val="Default"/>
              <w:rPr>
                <w:sz w:val="22"/>
                <w:szCs w:val="22"/>
              </w:rPr>
            </w:pPr>
          </w:p>
          <w:p w14:paraId="220B9929" w14:textId="77777777" w:rsidR="00452B3F" w:rsidRDefault="00452B3F" w:rsidP="00357CEC">
            <w:pPr>
              <w:pStyle w:val="Default"/>
              <w:rPr>
                <w:sz w:val="22"/>
                <w:szCs w:val="22"/>
              </w:rPr>
            </w:pPr>
          </w:p>
          <w:p w14:paraId="2FC8BF0A" w14:textId="77777777" w:rsidR="00452B3F" w:rsidRDefault="00452B3F" w:rsidP="00357CEC">
            <w:pPr>
              <w:pStyle w:val="Default"/>
              <w:rPr>
                <w:sz w:val="22"/>
                <w:szCs w:val="22"/>
              </w:rPr>
            </w:pPr>
          </w:p>
          <w:p w14:paraId="46B1533B" w14:textId="77777777" w:rsidR="00452B3F" w:rsidRDefault="00452B3F" w:rsidP="00357CEC">
            <w:pPr>
              <w:pStyle w:val="Default"/>
              <w:rPr>
                <w:sz w:val="22"/>
                <w:szCs w:val="22"/>
              </w:rPr>
            </w:pPr>
          </w:p>
          <w:p w14:paraId="01E27110" w14:textId="77777777" w:rsidR="00452B3F" w:rsidRDefault="00452B3F" w:rsidP="00357CEC">
            <w:pPr>
              <w:pStyle w:val="Default"/>
              <w:rPr>
                <w:sz w:val="22"/>
                <w:szCs w:val="22"/>
              </w:rPr>
            </w:pPr>
          </w:p>
          <w:p w14:paraId="78A5EE4F" w14:textId="38E35D3D" w:rsidR="00452B3F" w:rsidRDefault="00452B3F" w:rsidP="00357CEC">
            <w:pPr>
              <w:pStyle w:val="Default"/>
              <w:rPr>
                <w:sz w:val="22"/>
                <w:szCs w:val="22"/>
              </w:rPr>
            </w:pPr>
          </w:p>
          <w:p w14:paraId="10B437A0" w14:textId="77777777" w:rsidR="00452B3F" w:rsidRDefault="00452B3F" w:rsidP="00452B3F">
            <w:pPr>
              <w:pStyle w:val="Default"/>
              <w:rPr>
                <w:sz w:val="22"/>
                <w:szCs w:val="22"/>
              </w:rPr>
            </w:pPr>
            <w:r>
              <w:rPr>
                <w:sz w:val="22"/>
                <w:szCs w:val="22"/>
              </w:rPr>
              <w:t>NZ</w:t>
            </w:r>
          </w:p>
          <w:p w14:paraId="5D97C67E" w14:textId="77777777" w:rsidR="00452B3F" w:rsidRDefault="00452B3F" w:rsidP="00357CEC">
            <w:pPr>
              <w:pStyle w:val="Default"/>
              <w:rPr>
                <w:sz w:val="22"/>
                <w:szCs w:val="22"/>
              </w:rPr>
            </w:pPr>
          </w:p>
          <w:p w14:paraId="6FD9B14A" w14:textId="77777777" w:rsidR="00452B3F" w:rsidRDefault="00452B3F" w:rsidP="00357CEC">
            <w:pPr>
              <w:pStyle w:val="Default"/>
              <w:rPr>
                <w:sz w:val="22"/>
                <w:szCs w:val="22"/>
              </w:rPr>
            </w:pPr>
          </w:p>
          <w:p w14:paraId="1CF64736" w14:textId="77777777" w:rsidR="00452B3F" w:rsidRDefault="00452B3F" w:rsidP="00357CEC">
            <w:pPr>
              <w:pStyle w:val="Default"/>
              <w:rPr>
                <w:sz w:val="22"/>
                <w:szCs w:val="22"/>
              </w:rPr>
            </w:pPr>
          </w:p>
          <w:p w14:paraId="108BC844" w14:textId="77777777" w:rsidR="00452B3F" w:rsidRDefault="00452B3F" w:rsidP="00357CEC">
            <w:pPr>
              <w:pStyle w:val="Default"/>
              <w:rPr>
                <w:sz w:val="22"/>
                <w:szCs w:val="22"/>
              </w:rPr>
            </w:pPr>
          </w:p>
          <w:p w14:paraId="3FF53A46" w14:textId="77777777" w:rsidR="00452B3F" w:rsidRDefault="00452B3F" w:rsidP="00357CEC">
            <w:pPr>
              <w:pStyle w:val="Default"/>
              <w:rPr>
                <w:sz w:val="22"/>
                <w:szCs w:val="22"/>
              </w:rPr>
            </w:pPr>
          </w:p>
          <w:p w14:paraId="7034CC21" w14:textId="77777777" w:rsidR="00452B3F" w:rsidRDefault="00452B3F" w:rsidP="00357CEC">
            <w:pPr>
              <w:pStyle w:val="Default"/>
              <w:rPr>
                <w:sz w:val="22"/>
                <w:szCs w:val="22"/>
              </w:rPr>
            </w:pPr>
          </w:p>
          <w:p w14:paraId="5E2B9272" w14:textId="77777777" w:rsidR="00452B3F" w:rsidRDefault="00452B3F" w:rsidP="00357CEC">
            <w:pPr>
              <w:pStyle w:val="Default"/>
              <w:rPr>
                <w:sz w:val="22"/>
                <w:szCs w:val="22"/>
              </w:rPr>
            </w:pPr>
          </w:p>
          <w:p w14:paraId="72B47EA6" w14:textId="77777777" w:rsidR="00452B3F" w:rsidRDefault="00452B3F" w:rsidP="00357CEC">
            <w:pPr>
              <w:pStyle w:val="Default"/>
              <w:rPr>
                <w:sz w:val="22"/>
                <w:szCs w:val="22"/>
              </w:rPr>
            </w:pPr>
          </w:p>
          <w:p w14:paraId="68500CDF" w14:textId="77777777" w:rsidR="00452B3F" w:rsidRDefault="00452B3F" w:rsidP="00357CEC">
            <w:pPr>
              <w:pStyle w:val="Default"/>
              <w:rPr>
                <w:sz w:val="22"/>
                <w:szCs w:val="22"/>
              </w:rPr>
            </w:pPr>
          </w:p>
          <w:p w14:paraId="52137FF4" w14:textId="77777777" w:rsidR="00452B3F" w:rsidRDefault="00452B3F" w:rsidP="00357CEC">
            <w:pPr>
              <w:pStyle w:val="Default"/>
              <w:rPr>
                <w:sz w:val="22"/>
                <w:szCs w:val="22"/>
              </w:rPr>
            </w:pPr>
          </w:p>
          <w:p w14:paraId="6B223F5C" w14:textId="77777777" w:rsidR="00452B3F" w:rsidRDefault="00452B3F" w:rsidP="00357CEC">
            <w:pPr>
              <w:pStyle w:val="Default"/>
              <w:rPr>
                <w:sz w:val="22"/>
                <w:szCs w:val="22"/>
              </w:rPr>
            </w:pPr>
          </w:p>
          <w:p w14:paraId="51A40FE8" w14:textId="77777777" w:rsidR="00452B3F" w:rsidRDefault="00452B3F" w:rsidP="00357CEC">
            <w:pPr>
              <w:pStyle w:val="Default"/>
              <w:rPr>
                <w:sz w:val="22"/>
                <w:szCs w:val="22"/>
              </w:rPr>
            </w:pPr>
          </w:p>
          <w:p w14:paraId="79D69FD9" w14:textId="77777777" w:rsidR="00452B3F" w:rsidRDefault="00452B3F" w:rsidP="00357CEC">
            <w:pPr>
              <w:pStyle w:val="Default"/>
              <w:rPr>
                <w:sz w:val="22"/>
                <w:szCs w:val="22"/>
              </w:rPr>
            </w:pPr>
          </w:p>
          <w:p w14:paraId="7A5531C6" w14:textId="77777777" w:rsidR="00452B3F" w:rsidRDefault="00452B3F" w:rsidP="00357CEC">
            <w:pPr>
              <w:pStyle w:val="Default"/>
              <w:rPr>
                <w:sz w:val="22"/>
                <w:szCs w:val="22"/>
              </w:rPr>
            </w:pPr>
          </w:p>
          <w:p w14:paraId="504A7DC0" w14:textId="77777777" w:rsidR="00452B3F" w:rsidRDefault="00452B3F" w:rsidP="00357CEC">
            <w:pPr>
              <w:pStyle w:val="Default"/>
              <w:rPr>
                <w:sz w:val="22"/>
                <w:szCs w:val="22"/>
              </w:rPr>
            </w:pPr>
          </w:p>
          <w:p w14:paraId="739B6F46" w14:textId="77777777" w:rsidR="00452B3F" w:rsidRDefault="00452B3F" w:rsidP="00357CEC">
            <w:pPr>
              <w:pStyle w:val="Default"/>
              <w:rPr>
                <w:sz w:val="22"/>
                <w:szCs w:val="22"/>
              </w:rPr>
            </w:pPr>
          </w:p>
          <w:p w14:paraId="442AA031" w14:textId="77777777" w:rsidR="00452B3F" w:rsidRDefault="00452B3F" w:rsidP="00357CEC">
            <w:pPr>
              <w:pStyle w:val="Default"/>
              <w:rPr>
                <w:sz w:val="22"/>
                <w:szCs w:val="22"/>
              </w:rPr>
            </w:pPr>
          </w:p>
          <w:p w14:paraId="4C5089A8" w14:textId="77777777" w:rsidR="00452B3F" w:rsidRDefault="00452B3F" w:rsidP="00357CEC">
            <w:pPr>
              <w:pStyle w:val="Default"/>
              <w:rPr>
                <w:sz w:val="22"/>
                <w:szCs w:val="22"/>
              </w:rPr>
            </w:pPr>
          </w:p>
          <w:p w14:paraId="36BE3F1A" w14:textId="77777777" w:rsidR="00452B3F" w:rsidRDefault="00452B3F" w:rsidP="00357CEC">
            <w:pPr>
              <w:pStyle w:val="Default"/>
              <w:rPr>
                <w:sz w:val="22"/>
                <w:szCs w:val="22"/>
              </w:rPr>
            </w:pPr>
          </w:p>
          <w:p w14:paraId="5ED6ABC4" w14:textId="77777777" w:rsidR="00452B3F" w:rsidRDefault="00452B3F" w:rsidP="00357CEC">
            <w:pPr>
              <w:pStyle w:val="Default"/>
              <w:rPr>
                <w:sz w:val="22"/>
                <w:szCs w:val="22"/>
              </w:rPr>
            </w:pPr>
          </w:p>
          <w:p w14:paraId="47A338C7" w14:textId="77777777" w:rsidR="00452B3F" w:rsidRDefault="00452B3F" w:rsidP="00357CEC">
            <w:pPr>
              <w:pStyle w:val="Default"/>
              <w:rPr>
                <w:sz w:val="22"/>
                <w:szCs w:val="22"/>
              </w:rPr>
            </w:pPr>
          </w:p>
          <w:p w14:paraId="5676DF93" w14:textId="77777777" w:rsidR="00452B3F" w:rsidRDefault="00452B3F" w:rsidP="00357CEC">
            <w:pPr>
              <w:pStyle w:val="Default"/>
              <w:rPr>
                <w:sz w:val="22"/>
                <w:szCs w:val="22"/>
              </w:rPr>
            </w:pPr>
          </w:p>
          <w:p w14:paraId="2CB81DD5" w14:textId="77777777" w:rsidR="00452B3F" w:rsidRDefault="00452B3F" w:rsidP="00357CEC">
            <w:pPr>
              <w:pStyle w:val="Default"/>
              <w:rPr>
                <w:sz w:val="22"/>
                <w:szCs w:val="22"/>
              </w:rPr>
            </w:pPr>
          </w:p>
          <w:p w14:paraId="4B079D9B" w14:textId="77777777" w:rsidR="00452B3F" w:rsidRDefault="00452B3F" w:rsidP="00357CEC">
            <w:pPr>
              <w:pStyle w:val="Default"/>
              <w:rPr>
                <w:sz w:val="22"/>
                <w:szCs w:val="22"/>
              </w:rPr>
            </w:pPr>
          </w:p>
          <w:p w14:paraId="7AB8E71D" w14:textId="77777777" w:rsidR="00452B3F" w:rsidRDefault="00452B3F" w:rsidP="00357CEC">
            <w:pPr>
              <w:pStyle w:val="Default"/>
              <w:rPr>
                <w:sz w:val="22"/>
                <w:szCs w:val="22"/>
              </w:rPr>
            </w:pPr>
          </w:p>
          <w:p w14:paraId="3AEAF3A6" w14:textId="77777777" w:rsidR="00452B3F" w:rsidRDefault="00452B3F" w:rsidP="00357CEC">
            <w:pPr>
              <w:pStyle w:val="Default"/>
              <w:rPr>
                <w:sz w:val="22"/>
                <w:szCs w:val="22"/>
              </w:rPr>
            </w:pPr>
          </w:p>
          <w:p w14:paraId="14AD6C5A" w14:textId="77777777" w:rsidR="00452B3F" w:rsidRDefault="00452B3F" w:rsidP="00357CEC">
            <w:pPr>
              <w:pStyle w:val="Default"/>
              <w:rPr>
                <w:sz w:val="22"/>
                <w:szCs w:val="22"/>
              </w:rPr>
            </w:pPr>
          </w:p>
          <w:p w14:paraId="3062FCBC" w14:textId="77777777" w:rsidR="00452B3F" w:rsidRDefault="00452B3F" w:rsidP="00357CEC">
            <w:pPr>
              <w:pStyle w:val="Default"/>
              <w:rPr>
                <w:sz w:val="22"/>
                <w:szCs w:val="22"/>
              </w:rPr>
            </w:pPr>
          </w:p>
          <w:p w14:paraId="23315674" w14:textId="77777777" w:rsidR="00452B3F" w:rsidRDefault="00452B3F" w:rsidP="00357CEC">
            <w:pPr>
              <w:pStyle w:val="Default"/>
              <w:rPr>
                <w:sz w:val="22"/>
                <w:szCs w:val="22"/>
              </w:rPr>
            </w:pPr>
          </w:p>
          <w:p w14:paraId="26227249" w14:textId="77777777" w:rsidR="00452B3F" w:rsidRDefault="00452B3F" w:rsidP="00357CEC">
            <w:pPr>
              <w:pStyle w:val="Default"/>
              <w:rPr>
                <w:sz w:val="22"/>
                <w:szCs w:val="22"/>
              </w:rPr>
            </w:pPr>
          </w:p>
          <w:p w14:paraId="655E3CB5" w14:textId="77777777" w:rsidR="00452B3F" w:rsidRDefault="00452B3F" w:rsidP="00357CEC">
            <w:pPr>
              <w:pStyle w:val="Default"/>
              <w:rPr>
                <w:sz w:val="22"/>
                <w:szCs w:val="22"/>
              </w:rPr>
            </w:pPr>
          </w:p>
          <w:p w14:paraId="584962F6" w14:textId="77777777" w:rsidR="00452B3F" w:rsidRDefault="00452B3F" w:rsidP="00357CEC">
            <w:pPr>
              <w:pStyle w:val="Default"/>
              <w:rPr>
                <w:sz w:val="22"/>
                <w:szCs w:val="22"/>
              </w:rPr>
            </w:pPr>
          </w:p>
          <w:p w14:paraId="7E0C0478" w14:textId="77777777" w:rsidR="00452B3F" w:rsidRDefault="00452B3F" w:rsidP="00357CEC">
            <w:pPr>
              <w:pStyle w:val="Default"/>
              <w:rPr>
                <w:sz w:val="22"/>
                <w:szCs w:val="22"/>
              </w:rPr>
            </w:pPr>
          </w:p>
          <w:p w14:paraId="60767DD7" w14:textId="77777777" w:rsidR="00452B3F" w:rsidRDefault="00452B3F" w:rsidP="00357CEC">
            <w:pPr>
              <w:pStyle w:val="Default"/>
              <w:rPr>
                <w:sz w:val="22"/>
                <w:szCs w:val="22"/>
              </w:rPr>
            </w:pPr>
          </w:p>
          <w:p w14:paraId="253C4987" w14:textId="77777777" w:rsidR="00452B3F" w:rsidRDefault="00452B3F" w:rsidP="00357CEC">
            <w:pPr>
              <w:pStyle w:val="Default"/>
              <w:rPr>
                <w:sz w:val="22"/>
                <w:szCs w:val="22"/>
              </w:rPr>
            </w:pPr>
          </w:p>
          <w:p w14:paraId="17524D98" w14:textId="6AB2E516" w:rsidR="4792BE4F" w:rsidRDefault="4792BE4F" w:rsidP="4792BE4F">
            <w:pPr>
              <w:pStyle w:val="Default"/>
              <w:rPr>
                <w:sz w:val="22"/>
                <w:szCs w:val="22"/>
              </w:rPr>
            </w:pPr>
          </w:p>
          <w:p w14:paraId="5983740F" w14:textId="095852D5" w:rsidR="4792BE4F" w:rsidRDefault="4792BE4F" w:rsidP="4792BE4F">
            <w:pPr>
              <w:pStyle w:val="Default"/>
              <w:rPr>
                <w:sz w:val="22"/>
                <w:szCs w:val="22"/>
              </w:rPr>
            </w:pPr>
          </w:p>
          <w:p w14:paraId="14DD8A86" w14:textId="77777777" w:rsidR="00452B3F" w:rsidRDefault="00452B3F" w:rsidP="00452B3F">
            <w:pPr>
              <w:pStyle w:val="Default"/>
              <w:rPr>
                <w:sz w:val="22"/>
                <w:szCs w:val="22"/>
              </w:rPr>
            </w:pPr>
            <w:r>
              <w:rPr>
                <w:sz w:val="22"/>
                <w:szCs w:val="22"/>
              </w:rPr>
              <w:t>NZ</w:t>
            </w:r>
          </w:p>
          <w:p w14:paraId="26932CC2" w14:textId="77777777" w:rsidR="00452B3F" w:rsidRDefault="00452B3F" w:rsidP="00357CEC">
            <w:pPr>
              <w:pStyle w:val="Default"/>
              <w:rPr>
                <w:sz w:val="22"/>
                <w:szCs w:val="22"/>
              </w:rPr>
            </w:pPr>
          </w:p>
          <w:p w14:paraId="74CD3AF8" w14:textId="77777777" w:rsidR="00452B3F" w:rsidRDefault="00452B3F" w:rsidP="00357CEC">
            <w:pPr>
              <w:pStyle w:val="Default"/>
              <w:rPr>
                <w:sz w:val="22"/>
                <w:szCs w:val="22"/>
              </w:rPr>
            </w:pPr>
          </w:p>
          <w:p w14:paraId="6C628E49" w14:textId="77777777" w:rsidR="00452B3F" w:rsidRDefault="00452B3F" w:rsidP="00357CEC">
            <w:pPr>
              <w:pStyle w:val="Default"/>
              <w:rPr>
                <w:sz w:val="22"/>
                <w:szCs w:val="22"/>
              </w:rPr>
            </w:pPr>
          </w:p>
          <w:p w14:paraId="4E30ED16" w14:textId="77777777" w:rsidR="00452B3F" w:rsidRDefault="00452B3F" w:rsidP="00357CEC">
            <w:pPr>
              <w:pStyle w:val="Default"/>
              <w:rPr>
                <w:sz w:val="22"/>
                <w:szCs w:val="22"/>
              </w:rPr>
            </w:pPr>
          </w:p>
          <w:p w14:paraId="2A2DB719" w14:textId="77777777" w:rsidR="00452B3F" w:rsidRDefault="00452B3F" w:rsidP="00357CEC">
            <w:pPr>
              <w:pStyle w:val="Default"/>
              <w:rPr>
                <w:sz w:val="22"/>
                <w:szCs w:val="22"/>
              </w:rPr>
            </w:pPr>
          </w:p>
          <w:p w14:paraId="4BB34E55" w14:textId="77777777" w:rsidR="00452B3F" w:rsidRDefault="00452B3F" w:rsidP="00357CEC">
            <w:pPr>
              <w:pStyle w:val="Default"/>
              <w:rPr>
                <w:sz w:val="22"/>
                <w:szCs w:val="22"/>
              </w:rPr>
            </w:pPr>
          </w:p>
          <w:p w14:paraId="414A09B3" w14:textId="77777777" w:rsidR="00452B3F" w:rsidRDefault="00452B3F" w:rsidP="00357CEC">
            <w:pPr>
              <w:pStyle w:val="Default"/>
              <w:rPr>
                <w:sz w:val="22"/>
                <w:szCs w:val="22"/>
              </w:rPr>
            </w:pPr>
          </w:p>
          <w:p w14:paraId="6D51ACFD" w14:textId="5DD9255C" w:rsidR="00452B3F" w:rsidRDefault="00452B3F" w:rsidP="00357CEC">
            <w:pPr>
              <w:pStyle w:val="Default"/>
              <w:rPr>
                <w:sz w:val="22"/>
                <w:szCs w:val="22"/>
              </w:rPr>
            </w:pPr>
          </w:p>
          <w:p w14:paraId="613F68A3" w14:textId="1F1E8119" w:rsidR="4792BE4F" w:rsidRDefault="4792BE4F" w:rsidP="4792BE4F">
            <w:pPr>
              <w:pStyle w:val="Default"/>
              <w:rPr>
                <w:sz w:val="22"/>
                <w:szCs w:val="22"/>
              </w:rPr>
            </w:pPr>
          </w:p>
          <w:p w14:paraId="71665B52" w14:textId="77777777" w:rsidR="00452B3F" w:rsidRDefault="00452B3F" w:rsidP="00452B3F">
            <w:pPr>
              <w:pStyle w:val="Default"/>
              <w:rPr>
                <w:sz w:val="22"/>
                <w:szCs w:val="22"/>
              </w:rPr>
            </w:pPr>
            <w:r>
              <w:rPr>
                <w:sz w:val="22"/>
                <w:szCs w:val="22"/>
              </w:rPr>
              <w:t>NZ</w:t>
            </w:r>
          </w:p>
          <w:p w14:paraId="3581FD18" w14:textId="6E87DDB7" w:rsidR="00452B3F" w:rsidRPr="001300A9" w:rsidRDefault="00452B3F" w:rsidP="00357CEC">
            <w:pPr>
              <w:pStyle w:val="Default"/>
              <w:rPr>
                <w:sz w:val="22"/>
                <w:szCs w:val="22"/>
              </w:rPr>
            </w:pPr>
          </w:p>
        </w:tc>
        <w:tc>
          <w:tcPr>
            <w:tcW w:w="567" w:type="dxa"/>
          </w:tcPr>
          <w:p w14:paraId="1D53A078" w14:textId="38F12F0D" w:rsidR="00357CEC" w:rsidRPr="001300A9" w:rsidRDefault="00436704" w:rsidP="00357CEC">
            <w:pPr>
              <w:pStyle w:val="Default"/>
              <w:rPr>
                <w:sz w:val="22"/>
                <w:szCs w:val="22"/>
              </w:rPr>
            </w:pPr>
            <w:r w:rsidRPr="4792BE4F">
              <w:rPr>
                <w:sz w:val="22"/>
                <w:szCs w:val="22"/>
              </w:rPr>
              <w:lastRenderedPageBreak/>
              <w:t>Č:I§:</w:t>
            </w:r>
            <w:r w:rsidR="007349E0" w:rsidRPr="4792BE4F">
              <w:rPr>
                <w:sz w:val="22"/>
                <w:szCs w:val="22"/>
              </w:rPr>
              <w:t>2</w:t>
            </w:r>
            <w:r w:rsidRPr="4792BE4F">
              <w:rPr>
                <w:sz w:val="22"/>
                <w:szCs w:val="22"/>
              </w:rPr>
              <w:t>P:</w:t>
            </w:r>
            <w:r w:rsidR="00BB33D9" w:rsidRPr="4792BE4F">
              <w:rPr>
                <w:sz w:val="22"/>
                <w:szCs w:val="22"/>
              </w:rPr>
              <w:t>t</w:t>
            </w:r>
          </w:p>
          <w:p w14:paraId="2C3FEE3E" w14:textId="77777777" w:rsidR="007349E0" w:rsidRPr="001300A9" w:rsidRDefault="007349E0" w:rsidP="007349E0">
            <w:pPr>
              <w:pStyle w:val="Default"/>
              <w:rPr>
                <w:sz w:val="22"/>
                <w:szCs w:val="22"/>
              </w:rPr>
            </w:pPr>
          </w:p>
          <w:p w14:paraId="2BA3816A" w14:textId="77777777" w:rsidR="007349E0" w:rsidRPr="001300A9" w:rsidRDefault="007349E0" w:rsidP="007349E0">
            <w:pPr>
              <w:pStyle w:val="Default"/>
              <w:rPr>
                <w:sz w:val="22"/>
                <w:szCs w:val="22"/>
              </w:rPr>
            </w:pPr>
          </w:p>
          <w:p w14:paraId="3AA87E86" w14:textId="77777777" w:rsidR="007349E0" w:rsidRPr="001300A9" w:rsidRDefault="007349E0" w:rsidP="007349E0">
            <w:pPr>
              <w:pStyle w:val="Default"/>
              <w:rPr>
                <w:sz w:val="22"/>
                <w:szCs w:val="22"/>
              </w:rPr>
            </w:pPr>
          </w:p>
          <w:p w14:paraId="6D0AAB4D" w14:textId="77777777" w:rsidR="007349E0" w:rsidRPr="001300A9" w:rsidRDefault="007349E0" w:rsidP="007349E0">
            <w:pPr>
              <w:pStyle w:val="Default"/>
              <w:rPr>
                <w:sz w:val="22"/>
                <w:szCs w:val="22"/>
              </w:rPr>
            </w:pPr>
          </w:p>
          <w:p w14:paraId="4D5A93E5" w14:textId="77777777" w:rsidR="007349E0" w:rsidRPr="001300A9" w:rsidRDefault="007349E0" w:rsidP="007349E0">
            <w:pPr>
              <w:pStyle w:val="Default"/>
              <w:rPr>
                <w:sz w:val="22"/>
                <w:szCs w:val="22"/>
              </w:rPr>
            </w:pPr>
          </w:p>
          <w:p w14:paraId="44620121" w14:textId="5E40E798" w:rsidR="007349E0" w:rsidRPr="001300A9" w:rsidRDefault="007349E0" w:rsidP="007349E0">
            <w:pPr>
              <w:pStyle w:val="Default"/>
              <w:rPr>
                <w:sz w:val="22"/>
                <w:szCs w:val="22"/>
              </w:rPr>
            </w:pPr>
          </w:p>
          <w:p w14:paraId="7CC77F4A" w14:textId="77777777" w:rsidR="00BB33D9" w:rsidRDefault="00BB33D9" w:rsidP="007349E0">
            <w:pPr>
              <w:pStyle w:val="Default"/>
              <w:rPr>
                <w:sz w:val="22"/>
                <w:szCs w:val="22"/>
              </w:rPr>
            </w:pPr>
          </w:p>
          <w:p w14:paraId="6A324E41" w14:textId="77777777" w:rsidR="001E78AA" w:rsidRDefault="001E78AA" w:rsidP="007349E0">
            <w:pPr>
              <w:pStyle w:val="Default"/>
              <w:rPr>
                <w:sz w:val="22"/>
                <w:szCs w:val="22"/>
              </w:rPr>
            </w:pPr>
          </w:p>
          <w:p w14:paraId="073665C3" w14:textId="77777777" w:rsidR="001E78AA" w:rsidRDefault="001E78AA" w:rsidP="007349E0">
            <w:pPr>
              <w:pStyle w:val="Default"/>
              <w:rPr>
                <w:sz w:val="22"/>
                <w:szCs w:val="22"/>
              </w:rPr>
            </w:pPr>
          </w:p>
          <w:p w14:paraId="5D071C1A" w14:textId="77777777" w:rsidR="001E78AA" w:rsidRDefault="001E78AA" w:rsidP="007349E0">
            <w:pPr>
              <w:pStyle w:val="Default"/>
              <w:rPr>
                <w:sz w:val="22"/>
                <w:szCs w:val="22"/>
              </w:rPr>
            </w:pPr>
          </w:p>
          <w:p w14:paraId="1A43E725" w14:textId="77777777" w:rsidR="001E78AA" w:rsidRDefault="001E78AA" w:rsidP="007349E0">
            <w:pPr>
              <w:pStyle w:val="Default"/>
              <w:rPr>
                <w:sz w:val="22"/>
                <w:szCs w:val="22"/>
              </w:rPr>
            </w:pPr>
          </w:p>
          <w:p w14:paraId="3F7872B3" w14:textId="77777777" w:rsidR="001E78AA" w:rsidRDefault="001E78AA" w:rsidP="007349E0">
            <w:pPr>
              <w:pStyle w:val="Default"/>
              <w:rPr>
                <w:sz w:val="22"/>
                <w:szCs w:val="22"/>
              </w:rPr>
            </w:pPr>
          </w:p>
          <w:p w14:paraId="2B065DE4" w14:textId="77777777" w:rsidR="001E78AA" w:rsidRDefault="001E78AA" w:rsidP="007349E0">
            <w:pPr>
              <w:pStyle w:val="Default"/>
              <w:rPr>
                <w:sz w:val="22"/>
                <w:szCs w:val="22"/>
              </w:rPr>
            </w:pPr>
          </w:p>
          <w:p w14:paraId="531EEEEE" w14:textId="77777777" w:rsidR="001E78AA" w:rsidRDefault="001E78AA" w:rsidP="007349E0">
            <w:pPr>
              <w:pStyle w:val="Default"/>
              <w:rPr>
                <w:sz w:val="22"/>
                <w:szCs w:val="22"/>
              </w:rPr>
            </w:pPr>
          </w:p>
          <w:p w14:paraId="5CC1D173" w14:textId="77777777" w:rsidR="001E78AA" w:rsidRDefault="001E78AA" w:rsidP="007349E0">
            <w:pPr>
              <w:pStyle w:val="Default"/>
              <w:rPr>
                <w:sz w:val="22"/>
                <w:szCs w:val="22"/>
              </w:rPr>
            </w:pPr>
          </w:p>
          <w:p w14:paraId="49F1934F" w14:textId="77777777" w:rsidR="001E78AA" w:rsidRDefault="001E78AA" w:rsidP="007349E0">
            <w:pPr>
              <w:pStyle w:val="Default"/>
              <w:rPr>
                <w:sz w:val="22"/>
                <w:szCs w:val="22"/>
              </w:rPr>
            </w:pPr>
          </w:p>
          <w:p w14:paraId="7428F5E6" w14:textId="0A533D07" w:rsidR="4792BE4F" w:rsidRDefault="4792BE4F" w:rsidP="4792BE4F">
            <w:pPr>
              <w:pStyle w:val="Default"/>
              <w:rPr>
                <w:sz w:val="22"/>
                <w:szCs w:val="22"/>
              </w:rPr>
            </w:pPr>
          </w:p>
          <w:p w14:paraId="24A71400" w14:textId="69F1BA0A" w:rsidR="5F673433" w:rsidRDefault="5F673433" w:rsidP="5F673433">
            <w:pPr>
              <w:pStyle w:val="Default"/>
              <w:rPr>
                <w:sz w:val="22"/>
                <w:szCs w:val="22"/>
              </w:rPr>
            </w:pPr>
          </w:p>
          <w:p w14:paraId="17CAA8CC" w14:textId="3D9AACCF" w:rsidR="00436704" w:rsidRPr="00A17585" w:rsidRDefault="4020AB01" w:rsidP="007349E0">
            <w:pPr>
              <w:pStyle w:val="Default"/>
              <w:rPr>
                <w:sz w:val="22"/>
                <w:szCs w:val="22"/>
              </w:rPr>
            </w:pPr>
            <w:r w:rsidRPr="5F673433">
              <w:rPr>
                <w:sz w:val="22"/>
                <w:szCs w:val="22"/>
              </w:rPr>
              <w:t>Č: I</w:t>
            </w:r>
          </w:p>
          <w:p w14:paraId="5E66EAD8" w14:textId="6AB5DD74" w:rsidR="007349E0" w:rsidRPr="001300A9" w:rsidRDefault="4020AB01" w:rsidP="007349E0">
            <w:pPr>
              <w:pStyle w:val="Default"/>
              <w:rPr>
                <w:sz w:val="22"/>
                <w:szCs w:val="22"/>
              </w:rPr>
            </w:pPr>
            <w:r w:rsidRPr="5F673433">
              <w:rPr>
                <w:sz w:val="22"/>
                <w:szCs w:val="22"/>
              </w:rPr>
              <w:t>§:</w:t>
            </w:r>
            <w:r w:rsidR="4E70E883" w:rsidRPr="5F673433">
              <w:rPr>
                <w:sz w:val="22"/>
                <w:szCs w:val="22"/>
              </w:rPr>
              <w:t>2</w:t>
            </w:r>
            <w:r w:rsidRPr="5F673433">
              <w:rPr>
                <w:sz w:val="22"/>
                <w:szCs w:val="22"/>
              </w:rPr>
              <w:t>P:</w:t>
            </w:r>
            <w:r w:rsidR="77910A51" w:rsidRPr="5F673433">
              <w:rPr>
                <w:sz w:val="22"/>
                <w:szCs w:val="22"/>
              </w:rPr>
              <w:t>v</w:t>
            </w:r>
          </w:p>
          <w:p w14:paraId="11DBB9F6" w14:textId="77777777" w:rsidR="001E78AA" w:rsidRDefault="001E78AA" w:rsidP="007349E0">
            <w:pPr>
              <w:pStyle w:val="Default"/>
              <w:rPr>
                <w:sz w:val="22"/>
                <w:szCs w:val="22"/>
              </w:rPr>
            </w:pPr>
          </w:p>
          <w:p w14:paraId="7DD2B277" w14:textId="77777777" w:rsidR="001E78AA" w:rsidRDefault="001E78AA" w:rsidP="007349E0">
            <w:pPr>
              <w:pStyle w:val="Default"/>
              <w:rPr>
                <w:sz w:val="22"/>
                <w:szCs w:val="22"/>
              </w:rPr>
            </w:pPr>
          </w:p>
          <w:p w14:paraId="24841BEE" w14:textId="6D8BFE70" w:rsidR="5F673433" w:rsidRDefault="5F673433" w:rsidP="5F673433">
            <w:pPr>
              <w:pStyle w:val="Default"/>
              <w:rPr>
                <w:sz w:val="22"/>
                <w:szCs w:val="22"/>
              </w:rPr>
            </w:pPr>
          </w:p>
          <w:p w14:paraId="7D8514C8" w14:textId="5C79BD75" w:rsidR="5F673433" w:rsidRDefault="5F673433" w:rsidP="5F673433">
            <w:pPr>
              <w:pStyle w:val="Default"/>
              <w:rPr>
                <w:sz w:val="22"/>
                <w:szCs w:val="22"/>
              </w:rPr>
            </w:pPr>
          </w:p>
          <w:p w14:paraId="5E033CD1" w14:textId="5DF098D1" w:rsidR="00436704" w:rsidRDefault="4020AB01" w:rsidP="005900E4">
            <w:pPr>
              <w:pStyle w:val="Default"/>
              <w:rPr>
                <w:sz w:val="22"/>
                <w:szCs w:val="22"/>
              </w:rPr>
            </w:pPr>
            <w:r w:rsidRPr="5F673433">
              <w:rPr>
                <w:sz w:val="22"/>
                <w:szCs w:val="22"/>
              </w:rPr>
              <w:t>Č:I§:</w:t>
            </w:r>
            <w:r w:rsidR="353BBAC5" w:rsidRPr="5F673433">
              <w:rPr>
                <w:sz w:val="22"/>
                <w:szCs w:val="22"/>
              </w:rPr>
              <w:t>2</w:t>
            </w:r>
            <w:r w:rsidRPr="5F673433">
              <w:rPr>
                <w:sz w:val="22"/>
                <w:szCs w:val="22"/>
              </w:rPr>
              <w:t>P:</w:t>
            </w:r>
            <w:r w:rsidR="27CB74E3" w:rsidRPr="5F673433">
              <w:rPr>
                <w:sz w:val="22"/>
                <w:szCs w:val="22"/>
              </w:rPr>
              <w:t>u</w:t>
            </w:r>
          </w:p>
          <w:p w14:paraId="655C1FDD" w14:textId="4E7F58B9" w:rsidR="5F673433" w:rsidRDefault="5F673433" w:rsidP="5F673433">
            <w:pPr>
              <w:pStyle w:val="Default"/>
              <w:rPr>
                <w:sz w:val="22"/>
                <w:szCs w:val="22"/>
              </w:rPr>
            </w:pPr>
          </w:p>
          <w:p w14:paraId="440AB66E" w14:textId="38AEBABF" w:rsidR="005900E4" w:rsidRPr="001300A9" w:rsidRDefault="00436704" w:rsidP="005900E4">
            <w:pPr>
              <w:pStyle w:val="Default"/>
              <w:rPr>
                <w:sz w:val="22"/>
                <w:szCs w:val="22"/>
              </w:rPr>
            </w:pPr>
            <w:r w:rsidRPr="4792BE4F">
              <w:rPr>
                <w:sz w:val="22"/>
                <w:szCs w:val="22"/>
              </w:rPr>
              <w:t>Č:I§:</w:t>
            </w:r>
            <w:r w:rsidR="005900E4" w:rsidRPr="4792BE4F">
              <w:rPr>
                <w:sz w:val="22"/>
                <w:szCs w:val="22"/>
              </w:rPr>
              <w:t>2</w:t>
            </w:r>
            <w:r w:rsidRPr="4792BE4F">
              <w:rPr>
                <w:sz w:val="22"/>
                <w:szCs w:val="22"/>
              </w:rPr>
              <w:t>P:</w:t>
            </w:r>
            <w:r w:rsidR="00AC7966" w:rsidRPr="4792BE4F">
              <w:rPr>
                <w:sz w:val="22"/>
                <w:szCs w:val="22"/>
              </w:rPr>
              <w:t>v</w:t>
            </w:r>
          </w:p>
          <w:p w14:paraId="6A057406" w14:textId="77777777" w:rsidR="005900E4" w:rsidRPr="001300A9" w:rsidRDefault="005900E4" w:rsidP="005900E4">
            <w:pPr>
              <w:pStyle w:val="Default"/>
              <w:rPr>
                <w:sz w:val="22"/>
                <w:szCs w:val="22"/>
              </w:rPr>
            </w:pPr>
          </w:p>
          <w:p w14:paraId="6E40F0C1" w14:textId="77777777" w:rsidR="005900E4" w:rsidRPr="001300A9" w:rsidRDefault="005900E4" w:rsidP="005900E4">
            <w:pPr>
              <w:pStyle w:val="Default"/>
              <w:rPr>
                <w:sz w:val="22"/>
                <w:szCs w:val="22"/>
              </w:rPr>
            </w:pPr>
          </w:p>
          <w:p w14:paraId="4C610F81" w14:textId="77777777" w:rsidR="005900E4" w:rsidRPr="001300A9" w:rsidRDefault="005900E4" w:rsidP="005900E4">
            <w:pPr>
              <w:pStyle w:val="Default"/>
              <w:rPr>
                <w:sz w:val="22"/>
                <w:szCs w:val="22"/>
              </w:rPr>
            </w:pPr>
          </w:p>
          <w:p w14:paraId="429C9736" w14:textId="77777777" w:rsidR="005900E4" w:rsidRPr="001300A9" w:rsidRDefault="005900E4" w:rsidP="005900E4">
            <w:pPr>
              <w:pStyle w:val="Default"/>
              <w:rPr>
                <w:sz w:val="22"/>
                <w:szCs w:val="22"/>
              </w:rPr>
            </w:pPr>
          </w:p>
          <w:p w14:paraId="0C61DA2C" w14:textId="77777777" w:rsidR="005900E4" w:rsidRPr="001300A9" w:rsidRDefault="005900E4" w:rsidP="005900E4">
            <w:pPr>
              <w:pStyle w:val="Default"/>
              <w:rPr>
                <w:sz w:val="22"/>
                <w:szCs w:val="22"/>
              </w:rPr>
            </w:pPr>
          </w:p>
          <w:p w14:paraId="20FB7E83" w14:textId="77777777" w:rsidR="005900E4" w:rsidRPr="001300A9" w:rsidRDefault="005900E4" w:rsidP="005900E4">
            <w:pPr>
              <w:pStyle w:val="Default"/>
              <w:rPr>
                <w:sz w:val="22"/>
                <w:szCs w:val="22"/>
              </w:rPr>
            </w:pPr>
          </w:p>
          <w:p w14:paraId="6B3127BA" w14:textId="77777777" w:rsidR="005900E4" w:rsidRPr="001300A9" w:rsidRDefault="005900E4" w:rsidP="005900E4">
            <w:pPr>
              <w:pStyle w:val="Default"/>
              <w:rPr>
                <w:sz w:val="22"/>
                <w:szCs w:val="22"/>
              </w:rPr>
            </w:pPr>
          </w:p>
          <w:p w14:paraId="57CDF6FE" w14:textId="77777777" w:rsidR="005900E4" w:rsidRPr="001300A9" w:rsidRDefault="005900E4" w:rsidP="005900E4">
            <w:pPr>
              <w:pStyle w:val="Default"/>
              <w:rPr>
                <w:sz w:val="22"/>
                <w:szCs w:val="22"/>
              </w:rPr>
            </w:pPr>
          </w:p>
          <w:p w14:paraId="138941D2" w14:textId="77777777" w:rsidR="005900E4" w:rsidRPr="001300A9" w:rsidRDefault="005900E4" w:rsidP="005900E4">
            <w:pPr>
              <w:pStyle w:val="Default"/>
              <w:rPr>
                <w:sz w:val="22"/>
                <w:szCs w:val="22"/>
              </w:rPr>
            </w:pPr>
          </w:p>
          <w:p w14:paraId="13AEDD13" w14:textId="77777777" w:rsidR="005900E4" w:rsidRPr="001300A9" w:rsidRDefault="005900E4" w:rsidP="005900E4">
            <w:pPr>
              <w:pStyle w:val="Default"/>
              <w:rPr>
                <w:sz w:val="22"/>
                <w:szCs w:val="22"/>
              </w:rPr>
            </w:pPr>
          </w:p>
          <w:p w14:paraId="3663D5D4" w14:textId="77777777" w:rsidR="005900E4" w:rsidRPr="001300A9" w:rsidRDefault="005900E4" w:rsidP="005900E4">
            <w:pPr>
              <w:pStyle w:val="Default"/>
              <w:rPr>
                <w:sz w:val="22"/>
                <w:szCs w:val="22"/>
              </w:rPr>
            </w:pPr>
          </w:p>
          <w:p w14:paraId="2F0EFB23" w14:textId="77777777" w:rsidR="005900E4" w:rsidRPr="001300A9" w:rsidRDefault="005900E4" w:rsidP="005900E4">
            <w:pPr>
              <w:pStyle w:val="Default"/>
              <w:rPr>
                <w:sz w:val="22"/>
                <w:szCs w:val="22"/>
              </w:rPr>
            </w:pPr>
          </w:p>
          <w:p w14:paraId="6CC52E60" w14:textId="77777777" w:rsidR="005900E4" w:rsidRPr="001300A9" w:rsidRDefault="005900E4" w:rsidP="005900E4">
            <w:pPr>
              <w:pStyle w:val="Default"/>
              <w:rPr>
                <w:sz w:val="22"/>
                <w:szCs w:val="22"/>
              </w:rPr>
            </w:pPr>
          </w:p>
          <w:p w14:paraId="63910FB6" w14:textId="77777777" w:rsidR="005900E4" w:rsidRPr="001300A9" w:rsidRDefault="005900E4" w:rsidP="005900E4">
            <w:pPr>
              <w:pStyle w:val="Default"/>
              <w:rPr>
                <w:sz w:val="22"/>
                <w:szCs w:val="22"/>
              </w:rPr>
            </w:pPr>
          </w:p>
          <w:p w14:paraId="4F149641" w14:textId="77777777" w:rsidR="005900E4" w:rsidRPr="001300A9" w:rsidRDefault="005900E4" w:rsidP="005900E4">
            <w:pPr>
              <w:pStyle w:val="Default"/>
              <w:rPr>
                <w:sz w:val="22"/>
                <w:szCs w:val="22"/>
              </w:rPr>
            </w:pPr>
          </w:p>
          <w:p w14:paraId="2CC70A35" w14:textId="00DAAC34" w:rsidR="00350EB0" w:rsidRDefault="00350EB0" w:rsidP="005900E4">
            <w:pPr>
              <w:pStyle w:val="Default"/>
              <w:rPr>
                <w:sz w:val="22"/>
                <w:szCs w:val="22"/>
              </w:rPr>
            </w:pPr>
          </w:p>
          <w:p w14:paraId="600D0322" w14:textId="77777777" w:rsidR="001E78AA" w:rsidRPr="001300A9" w:rsidRDefault="001E78AA" w:rsidP="005900E4">
            <w:pPr>
              <w:pStyle w:val="Default"/>
              <w:rPr>
                <w:sz w:val="22"/>
                <w:szCs w:val="22"/>
              </w:rPr>
            </w:pPr>
          </w:p>
          <w:p w14:paraId="5BD3F478" w14:textId="77777777" w:rsidR="00BB33D9" w:rsidRDefault="00BB33D9" w:rsidP="005900E4">
            <w:pPr>
              <w:pStyle w:val="Default"/>
              <w:rPr>
                <w:sz w:val="22"/>
                <w:szCs w:val="22"/>
              </w:rPr>
            </w:pPr>
          </w:p>
          <w:p w14:paraId="02E0E600" w14:textId="77777777" w:rsidR="001E78AA" w:rsidRDefault="001E78AA" w:rsidP="005900E4">
            <w:pPr>
              <w:pStyle w:val="Default"/>
              <w:rPr>
                <w:sz w:val="22"/>
                <w:szCs w:val="22"/>
              </w:rPr>
            </w:pPr>
          </w:p>
          <w:p w14:paraId="35DF0BF2" w14:textId="77777777" w:rsidR="001E78AA" w:rsidRDefault="001E78AA" w:rsidP="005900E4">
            <w:pPr>
              <w:pStyle w:val="Default"/>
              <w:rPr>
                <w:sz w:val="22"/>
                <w:szCs w:val="22"/>
              </w:rPr>
            </w:pPr>
          </w:p>
          <w:p w14:paraId="727F2E6B" w14:textId="77777777" w:rsidR="001E78AA" w:rsidRDefault="001E78AA" w:rsidP="005900E4">
            <w:pPr>
              <w:pStyle w:val="Default"/>
              <w:rPr>
                <w:sz w:val="22"/>
                <w:szCs w:val="22"/>
              </w:rPr>
            </w:pPr>
          </w:p>
          <w:p w14:paraId="3B1169BF" w14:textId="77777777" w:rsidR="002B06FC" w:rsidRDefault="002B06FC" w:rsidP="005900E4">
            <w:pPr>
              <w:pStyle w:val="Default"/>
              <w:rPr>
                <w:sz w:val="22"/>
                <w:szCs w:val="22"/>
              </w:rPr>
            </w:pPr>
          </w:p>
          <w:p w14:paraId="321396D7" w14:textId="77777777" w:rsidR="002B06FC" w:rsidRDefault="002B06FC" w:rsidP="005900E4">
            <w:pPr>
              <w:pStyle w:val="Default"/>
              <w:rPr>
                <w:sz w:val="22"/>
                <w:szCs w:val="22"/>
              </w:rPr>
            </w:pPr>
          </w:p>
          <w:p w14:paraId="5A777CA1" w14:textId="77777777" w:rsidR="002B06FC" w:rsidRDefault="002B06FC" w:rsidP="005900E4">
            <w:pPr>
              <w:pStyle w:val="Default"/>
              <w:rPr>
                <w:sz w:val="22"/>
                <w:szCs w:val="22"/>
              </w:rPr>
            </w:pPr>
          </w:p>
          <w:p w14:paraId="35A90C99" w14:textId="77777777" w:rsidR="00452B3F" w:rsidRDefault="00452B3F" w:rsidP="005900E4">
            <w:pPr>
              <w:pStyle w:val="Default"/>
              <w:rPr>
                <w:sz w:val="22"/>
                <w:szCs w:val="22"/>
              </w:rPr>
            </w:pPr>
          </w:p>
          <w:p w14:paraId="1068169C" w14:textId="77777777" w:rsidR="00AF7521" w:rsidRDefault="00AF7521" w:rsidP="005900E4">
            <w:pPr>
              <w:pStyle w:val="Default"/>
              <w:rPr>
                <w:sz w:val="22"/>
                <w:szCs w:val="22"/>
              </w:rPr>
            </w:pPr>
          </w:p>
          <w:p w14:paraId="51072D7B" w14:textId="652BA9E2" w:rsidR="005900E4" w:rsidRPr="001300A9" w:rsidRDefault="00436704" w:rsidP="005900E4">
            <w:pPr>
              <w:pStyle w:val="Default"/>
              <w:rPr>
                <w:sz w:val="22"/>
                <w:szCs w:val="22"/>
              </w:rPr>
            </w:pPr>
            <w:r w:rsidRPr="4792BE4F">
              <w:rPr>
                <w:sz w:val="22"/>
                <w:szCs w:val="22"/>
              </w:rPr>
              <w:t>Č:I§:</w:t>
            </w:r>
            <w:r w:rsidR="005900E4" w:rsidRPr="4792BE4F">
              <w:rPr>
                <w:sz w:val="22"/>
                <w:szCs w:val="22"/>
              </w:rPr>
              <w:t>2</w:t>
            </w:r>
            <w:r w:rsidRPr="4792BE4F">
              <w:rPr>
                <w:sz w:val="22"/>
                <w:szCs w:val="22"/>
              </w:rPr>
              <w:t>P:</w:t>
            </w:r>
            <w:r w:rsidR="00AC7966" w:rsidRPr="4792BE4F">
              <w:rPr>
                <w:sz w:val="22"/>
                <w:szCs w:val="22"/>
              </w:rPr>
              <w:t>w</w:t>
            </w:r>
          </w:p>
          <w:p w14:paraId="16ECD028" w14:textId="77777777" w:rsidR="003C4BA0" w:rsidRPr="001300A9" w:rsidRDefault="003C4BA0" w:rsidP="005900E4">
            <w:pPr>
              <w:pStyle w:val="Default"/>
              <w:rPr>
                <w:sz w:val="22"/>
                <w:szCs w:val="22"/>
              </w:rPr>
            </w:pPr>
          </w:p>
          <w:p w14:paraId="40580F25" w14:textId="77777777" w:rsidR="003C4BA0" w:rsidRPr="001300A9" w:rsidRDefault="003C4BA0" w:rsidP="005900E4">
            <w:pPr>
              <w:pStyle w:val="Default"/>
              <w:rPr>
                <w:sz w:val="22"/>
                <w:szCs w:val="22"/>
              </w:rPr>
            </w:pPr>
          </w:p>
          <w:p w14:paraId="63600652" w14:textId="77777777" w:rsidR="003C4BA0" w:rsidRPr="001300A9" w:rsidRDefault="003C4BA0" w:rsidP="005900E4">
            <w:pPr>
              <w:pStyle w:val="Default"/>
              <w:rPr>
                <w:sz w:val="22"/>
                <w:szCs w:val="22"/>
              </w:rPr>
            </w:pPr>
          </w:p>
          <w:p w14:paraId="154DE804" w14:textId="77777777" w:rsidR="003C4BA0" w:rsidRPr="001300A9" w:rsidRDefault="003C4BA0" w:rsidP="005900E4">
            <w:pPr>
              <w:pStyle w:val="Default"/>
              <w:rPr>
                <w:sz w:val="22"/>
                <w:szCs w:val="22"/>
              </w:rPr>
            </w:pPr>
          </w:p>
          <w:p w14:paraId="3D618FE9" w14:textId="77777777" w:rsidR="003C4BA0" w:rsidRPr="001300A9" w:rsidRDefault="003C4BA0" w:rsidP="005900E4">
            <w:pPr>
              <w:pStyle w:val="Default"/>
              <w:rPr>
                <w:sz w:val="22"/>
                <w:szCs w:val="22"/>
              </w:rPr>
            </w:pPr>
          </w:p>
          <w:p w14:paraId="7C47DB82" w14:textId="77777777" w:rsidR="003C4BA0" w:rsidRPr="001300A9" w:rsidRDefault="003C4BA0" w:rsidP="005900E4">
            <w:pPr>
              <w:pStyle w:val="Default"/>
              <w:rPr>
                <w:sz w:val="22"/>
                <w:szCs w:val="22"/>
              </w:rPr>
            </w:pPr>
          </w:p>
          <w:p w14:paraId="4D4EBAD4" w14:textId="77777777" w:rsidR="003C4BA0" w:rsidRPr="001300A9" w:rsidRDefault="003C4BA0" w:rsidP="005900E4">
            <w:pPr>
              <w:pStyle w:val="Default"/>
              <w:rPr>
                <w:sz w:val="22"/>
                <w:szCs w:val="22"/>
              </w:rPr>
            </w:pPr>
          </w:p>
          <w:p w14:paraId="3454B813" w14:textId="77777777" w:rsidR="003C4BA0" w:rsidRPr="001300A9" w:rsidRDefault="003C4BA0" w:rsidP="005900E4">
            <w:pPr>
              <w:pStyle w:val="Default"/>
              <w:rPr>
                <w:sz w:val="22"/>
                <w:szCs w:val="22"/>
              </w:rPr>
            </w:pPr>
          </w:p>
          <w:p w14:paraId="2B5E1276" w14:textId="77777777" w:rsidR="003C4BA0" w:rsidRPr="001300A9" w:rsidRDefault="003C4BA0" w:rsidP="005900E4">
            <w:pPr>
              <w:pStyle w:val="Default"/>
              <w:rPr>
                <w:sz w:val="22"/>
                <w:szCs w:val="22"/>
              </w:rPr>
            </w:pPr>
          </w:p>
          <w:p w14:paraId="67E0E61A" w14:textId="77777777" w:rsidR="003C4BA0" w:rsidRPr="001300A9" w:rsidRDefault="003C4BA0" w:rsidP="005900E4">
            <w:pPr>
              <w:pStyle w:val="Default"/>
              <w:rPr>
                <w:sz w:val="22"/>
                <w:szCs w:val="22"/>
              </w:rPr>
            </w:pPr>
          </w:p>
          <w:p w14:paraId="226D9E39" w14:textId="77777777" w:rsidR="003C4BA0" w:rsidRPr="001300A9" w:rsidRDefault="003C4BA0" w:rsidP="005900E4">
            <w:pPr>
              <w:pStyle w:val="Default"/>
              <w:rPr>
                <w:sz w:val="22"/>
                <w:szCs w:val="22"/>
              </w:rPr>
            </w:pPr>
          </w:p>
          <w:p w14:paraId="7608F371" w14:textId="77777777" w:rsidR="003C4BA0" w:rsidRPr="001300A9" w:rsidRDefault="003C4BA0" w:rsidP="005900E4">
            <w:pPr>
              <w:pStyle w:val="Default"/>
              <w:rPr>
                <w:sz w:val="22"/>
                <w:szCs w:val="22"/>
              </w:rPr>
            </w:pPr>
          </w:p>
          <w:p w14:paraId="7C45A8B3" w14:textId="77777777" w:rsidR="003C4BA0" w:rsidRPr="001300A9" w:rsidRDefault="003C4BA0" w:rsidP="005900E4">
            <w:pPr>
              <w:pStyle w:val="Default"/>
              <w:rPr>
                <w:sz w:val="22"/>
                <w:szCs w:val="22"/>
              </w:rPr>
            </w:pPr>
          </w:p>
          <w:p w14:paraId="3B55C436" w14:textId="77777777" w:rsidR="003C4BA0" w:rsidRPr="001300A9" w:rsidRDefault="003C4BA0" w:rsidP="005900E4">
            <w:pPr>
              <w:pStyle w:val="Default"/>
              <w:rPr>
                <w:sz w:val="22"/>
                <w:szCs w:val="22"/>
              </w:rPr>
            </w:pPr>
          </w:p>
          <w:p w14:paraId="2FD2FEF7" w14:textId="77777777" w:rsidR="003C4BA0" w:rsidRPr="001300A9" w:rsidRDefault="003C4BA0" w:rsidP="005900E4">
            <w:pPr>
              <w:pStyle w:val="Default"/>
              <w:rPr>
                <w:sz w:val="22"/>
                <w:szCs w:val="22"/>
              </w:rPr>
            </w:pPr>
          </w:p>
          <w:p w14:paraId="33ED6FDD" w14:textId="77777777" w:rsidR="003C4BA0" w:rsidRPr="001300A9" w:rsidRDefault="003C4BA0" w:rsidP="005900E4">
            <w:pPr>
              <w:pStyle w:val="Default"/>
              <w:rPr>
                <w:sz w:val="22"/>
                <w:szCs w:val="22"/>
              </w:rPr>
            </w:pPr>
          </w:p>
          <w:p w14:paraId="2D1991A3" w14:textId="77777777" w:rsidR="003C4BA0" w:rsidRPr="001300A9" w:rsidRDefault="003C4BA0" w:rsidP="005900E4">
            <w:pPr>
              <w:pStyle w:val="Default"/>
              <w:rPr>
                <w:sz w:val="22"/>
                <w:szCs w:val="22"/>
              </w:rPr>
            </w:pPr>
          </w:p>
          <w:p w14:paraId="769D01C4" w14:textId="77777777" w:rsidR="003C4BA0" w:rsidRPr="001300A9" w:rsidRDefault="003C4BA0" w:rsidP="005900E4">
            <w:pPr>
              <w:pStyle w:val="Default"/>
              <w:rPr>
                <w:sz w:val="22"/>
                <w:szCs w:val="22"/>
              </w:rPr>
            </w:pPr>
          </w:p>
          <w:p w14:paraId="0C58E238" w14:textId="77777777" w:rsidR="003C4BA0" w:rsidRPr="001300A9" w:rsidRDefault="003C4BA0" w:rsidP="005900E4">
            <w:pPr>
              <w:pStyle w:val="Default"/>
              <w:rPr>
                <w:sz w:val="22"/>
                <w:szCs w:val="22"/>
              </w:rPr>
            </w:pPr>
          </w:p>
          <w:p w14:paraId="04B4A4E2" w14:textId="77777777" w:rsidR="003C4BA0" w:rsidRPr="001300A9" w:rsidRDefault="003C4BA0" w:rsidP="005900E4">
            <w:pPr>
              <w:pStyle w:val="Default"/>
              <w:rPr>
                <w:sz w:val="22"/>
                <w:szCs w:val="22"/>
              </w:rPr>
            </w:pPr>
          </w:p>
          <w:p w14:paraId="4C9F716A" w14:textId="77777777" w:rsidR="003C4BA0" w:rsidRPr="001300A9" w:rsidRDefault="003C4BA0" w:rsidP="005900E4">
            <w:pPr>
              <w:pStyle w:val="Default"/>
              <w:rPr>
                <w:sz w:val="22"/>
                <w:szCs w:val="22"/>
              </w:rPr>
            </w:pPr>
          </w:p>
          <w:p w14:paraId="693FB3C8" w14:textId="77777777" w:rsidR="003C4BA0" w:rsidRPr="001300A9" w:rsidRDefault="003C4BA0" w:rsidP="005900E4">
            <w:pPr>
              <w:pStyle w:val="Default"/>
              <w:rPr>
                <w:sz w:val="22"/>
                <w:szCs w:val="22"/>
              </w:rPr>
            </w:pPr>
          </w:p>
          <w:p w14:paraId="1200C9E2" w14:textId="77777777" w:rsidR="003C4BA0" w:rsidRPr="001300A9" w:rsidRDefault="003C4BA0" w:rsidP="005900E4">
            <w:pPr>
              <w:pStyle w:val="Default"/>
              <w:rPr>
                <w:sz w:val="22"/>
                <w:szCs w:val="22"/>
              </w:rPr>
            </w:pPr>
          </w:p>
          <w:p w14:paraId="110CAF29" w14:textId="77777777" w:rsidR="003C4BA0" w:rsidRPr="001300A9" w:rsidRDefault="003C4BA0" w:rsidP="005900E4">
            <w:pPr>
              <w:pStyle w:val="Default"/>
              <w:rPr>
                <w:sz w:val="22"/>
                <w:szCs w:val="22"/>
              </w:rPr>
            </w:pPr>
          </w:p>
          <w:p w14:paraId="0C79E0B7" w14:textId="77777777" w:rsidR="003C4BA0" w:rsidRPr="001300A9" w:rsidRDefault="003C4BA0" w:rsidP="005900E4">
            <w:pPr>
              <w:pStyle w:val="Default"/>
              <w:rPr>
                <w:sz w:val="22"/>
                <w:szCs w:val="22"/>
              </w:rPr>
            </w:pPr>
          </w:p>
          <w:p w14:paraId="54A33DD6" w14:textId="77777777" w:rsidR="003C4BA0" w:rsidRPr="001300A9" w:rsidRDefault="003C4BA0" w:rsidP="005900E4">
            <w:pPr>
              <w:pStyle w:val="Default"/>
              <w:rPr>
                <w:sz w:val="22"/>
                <w:szCs w:val="22"/>
              </w:rPr>
            </w:pPr>
          </w:p>
          <w:p w14:paraId="2361A915" w14:textId="77777777" w:rsidR="003C4BA0" w:rsidRPr="001300A9" w:rsidRDefault="003C4BA0" w:rsidP="005900E4">
            <w:pPr>
              <w:pStyle w:val="Default"/>
              <w:rPr>
                <w:sz w:val="22"/>
                <w:szCs w:val="22"/>
              </w:rPr>
            </w:pPr>
          </w:p>
          <w:p w14:paraId="47244DCF" w14:textId="77777777" w:rsidR="003C4BA0" w:rsidRPr="001300A9" w:rsidRDefault="003C4BA0" w:rsidP="005900E4">
            <w:pPr>
              <w:pStyle w:val="Default"/>
              <w:rPr>
                <w:sz w:val="22"/>
                <w:szCs w:val="22"/>
              </w:rPr>
            </w:pPr>
          </w:p>
          <w:p w14:paraId="1ACD6E26" w14:textId="77777777" w:rsidR="003C4BA0" w:rsidRPr="001300A9" w:rsidRDefault="003C4BA0" w:rsidP="005900E4">
            <w:pPr>
              <w:pStyle w:val="Default"/>
              <w:rPr>
                <w:sz w:val="22"/>
                <w:szCs w:val="22"/>
              </w:rPr>
            </w:pPr>
          </w:p>
          <w:p w14:paraId="75BE0E60" w14:textId="77777777" w:rsidR="003C4BA0" w:rsidRPr="001300A9" w:rsidRDefault="003C4BA0" w:rsidP="005900E4">
            <w:pPr>
              <w:pStyle w:val="Default"/>
              <w:rPr>
                <w:sz w:val="22"/>
                <w:szCs w:val="22"/>
              </w:rPr>
            </w:pPr>
          </w:p>
          <w:p w14:paraId="358F30B1" w14:textId="77777777" w:rsidR="003C4BA0" w:rsidRPr="001300A9" w:rsidRDefault="003C4BA0" w:rsidP="005900E4">
            <w:pPr>
              <w:pStyle w:val="Default"/>
              <w:rPr>
                <w:sz w:val="22"/>
                <w:szCs w:val="22"/>
              </w:rPr>
            </w:pPr>
          </w:p>
          <w:p w14:paraId="624C3FF7" w14:textId="77777777" w:rsidR="003C4BA0" w:rsidRPr="001300A9" w:rsidRDefault="003C4BA0" w:rsidP="005900E4">
            <w:pPr>
              <w:pStyle w:val="Default"/>
              <w:rPr>
                <w:sz w:val="22"/>
                <w:szCs w:val="22"/>
              </w:rPr>
            </w:pPr>
          </w:p>
          <w:p w14:paraId="22D394B4" w14:textId="33C23351" w:rsidR="00350EB0" w:rsidRPr="001300A9" w:rsidRDefault="00350EB0" w:rsidP="003C4BA0">
            <w:pPr>
              <w:pStyle w:val="Default"/>
              <w:rPr>
                <w:sz w:val="22"/>
                <w:szCs w:val="22"/>
              </w:rPr>
            </w:pPr>
          </w:p>
          <w:p w14:paraId="6E143547" w14:textId="77777777" w:rsidR="002B06FC" w:rsidRDefault="002B06FC" w:rsidP="003C4BA0">
            <w:pPr>
              <w:pStyle w:val="Default"/>
              <w:rPr>
                <w:sz w:val="22"/>
                <w:szCs w:val="22"/>
              </w:rPr>
            </w:pPr>
          </w:p>
          <w:p w14:paraId="2FBB2B70" w14:textId="71AAEBAF" w:rsidR="00452B3F" w:rsidRDefault="00452B3F" w:rsidP="003C4BA0">
            <w:pPr>
              <w:pStyle w:val="Default"/>
              <w:rPr>
                <w:sz w:val="22"/>
                <w:szCs w:val="22"/>
              </w:rPr>
            </w:pPr>
          </w:p>
          <w:p w14:paraId="09CBBA51" w14:textId="2F37105E" w:rsidR="003C4BA0" w:rsidRPr="001300A9" w:rsidRDefault="00452B3F" w:rsidP="005900E4">
            <w:pPr>
              <w:pStyle w:val="Default"/>
              <w:rPr>
                <w:sz w:val="22"/>
                <w:szCs w:val="22"/>
              </w:rPr>
            </w:pPr>
            <w:r w:rsidRPr="4792BE4F">
              <w:rPr>
                <w:sz w:val="22"/>
                <w:szCs w:val="22"/>
              </w:rPr>
              <w:t>Č:I §:</w:t>
            </w:r>
            <w:r w:rsidR="003C4BA0" w:rsidRPr="4792BE4F">
              <w:rPr>
                <w:sz w:val="22"/>
                <w:szCs w:val="22"/>
              </w:rPr>
              <w:t>2</w:t>
            </w:r>
            <w:r w:rsidRPr="4792BE4F">
              <w:rPr>
                <w:sz w:val="22"/>
                <w:szCs w:val="22"/>
              </w:rPr>
              <w:t>P:</w:t>
            </w:r>
            <w:r w:rsidR="00AC7966" w:rsidRPr="4792BE4F">
              <w:rPr>
                <w:sz w:val="22"/>
                <w:szCs w:val="22"/>
              </w:rPr>
              <w:t>x</w:t>
            </w:r>
          </w:p>
          <w:p w14:paraId="01969F39" w14:textId="77777777" w:rsidR="003C4BA0" w:rsidRPr="001300A9" w:rsidRDefault="003C4BA0" w:rsidP="005900E4">
            <w:pPr>
              <w:pStyle w:val="Default"/>
              <w:rPr>
                <w:sz w:val="22"/>
                <w:szCs w:val="22"/>
              </w:rPr>
            </w:pPr>
          </w:p>
          <w:p w14:paraId="2E854427" w14:textId="77777777" w:rsidR="003C4BA0" w:rsidRPr="001300A9" w:rsidRDefault="003C4BA0" w:rsidP="005900E4">
            <w:pPr>
              <w:pStyle w:val="Default"/>
              <w:rPr>
                <w:sz w:val="22"/>
                <w:szCs w:val="22"/>
              </w:rPr>
            </w:pPr>
          </w:p>
          <w:p w14:paraId="595B8787" w14:textId="77777777" w:rsidR="003C4BA0" w:rsidRPr="001300A9" w:rsidRDefault="003C4BA0" w:rsidP="005900E4">
            <w:pPr>
              <w:pStyle w:val="Default"/>
              <w:rPr>
                <w:sz w:val="22"/>
                <w:szCs w:val="22"/>
              </w:rPr>
            </w:pPr>
          </w:p>
          <w:p w14:paraId="5581BDF3" w14:textId="77777777" w:rsidR="003C4BA0" w:rsidRPr="001300A9" w:rsidRDefault="003C4BA0" w:rsidP="005900E4">
            <w:pPr>
              <w:pStyle w:val="Default"/>
              <w:rPr>
                <w:sz w:val="22"/>
                <w:szCs w:val="22"/>
              </w:rPr>
            </w:pPr>
          </w:p>
          <w:p w14:paraId="3E71DBA9" w14:textId="77777777" w:rsidR="003C4BA0" w:rsidRPr="001300A9" w:rsidRDefault="003C4BA0" w:rsidP="005900E4">
            <w:pPr>
              <w:pStyle w:val="Default"/>
              <w:rPr>
                <w:sz w:val="22"/>
                <w:szCs w:val="22"/>
              </w:rPr>
            </w:pPr>
          </w:p>
          <w:p w14:paraId="1CE1650B" w14:textId="77777777" w:rsidR="003C4BA0" w:rsidRPr="001300A9" w:rsidRDefault="003C4BA0" w:rsidP="005900E4">
            <w:pPr>
              <w:pStyle w:val="Default"/>
              <w:rPr>
                <w:sz w:val="22"/>
                <w:szCs w:val="22"/>
              </w:rPr>
            </w:pPr>
          </w:p>
          <w:p w14:paraId="7FB899C4" w14:textId="77777777" w:rsidR="003C4BA0" w:rsidRPr="001300A9" w:rsidRDefault="003C4BA0" w:rsidP="005900E4">
            <w:pPr>
              <w:pStyle w:val="Default"/>
              <w:rPr>
                <w:sz w:val="22"/>
                <w:szCs w:val="22"/>
              </w:rPr>
            </w:pPr>
          </w:p>
          <w:p w14:paraId="7832F18C" w14:textId="77777777" w:rsidR="003C4BA0" w:rsidRPr="001300A9" w:rsidRDefault="003C4BA0" w:rsidP="005900E4">
            <w:pPr>
              <w:pStyle w:val="Default"/>
              <w:rPr>
                <w:sz w:val="22"/>
                <w:szCs w:val="22"/>
              </w:rPr>
            </w:pPr>
          </w:p>
          <w:p w14:paraId="4B288FE9" w14:textId="77777777" w:rsidR="003C4BA0" w:rsidRPr="001300A9" w:rsidRDefault="003C4BA0" w:rsidP="005900E4">
            <w:pPr>
              <w:pStyle w:val="Default"/>
              <w:rPr>
                <w:sz w:val="22"/>
                <w:szCs w:val="22"/>
              </w:rPr>
            </w:pPr>
          </w:p>
          <w:p w14:paraId="35DD9A2A" w14:textId="77777777" w:rsidR="003C4BA0" w:rsidRPr="001300A9" w:rsidRDefault="003C4BA0" w:rsidP="005900E4">
            <w:pPr>
              <w:pStyle w:val="Default"/>
              <w:rPr>
                <w:sz w:val="22"/>
                <w:szCs w:val="22"/>
              </w:rPr>
            </w:pPr>
          </w:p>
          <w:p w14:paraId="10225A93" w14:textId="77777777" w:rsidR="003C4BA0" w:rsidRPr="001300A9" w:rsidRDefault="003C4BA0" w:rsidP="005900E4">
            <w:pPr>
              <w:pStyle w:val="Default"/>
              <w:rPr>
                <w:sz w:val="22"/>
                <w:szCs w:val="22"/>
              </w:rPr>
            </w:pPr>
          </w:p>
          <w:p w14:paraId="4B1ACDB0" w14:textId="77777777" w:rsidR="003C4BA0" w:rsidRPr="001300A9" w:rsidRDefault="003C4BA0" w:rsidP="005900E4">
            <w:pPr>
              <w:pStyle w:val="Default"/>
              <w:rPr>
                <w:sz w:val="22"/>
                <w:szCs w:val="22"/>
              </w:rPr>
            </w:pPr>
          </w:p>
          <w:p w14:paraId="7E7B1704" w14:textId="77777777" w:rsidR="003C4BA0" w:rsidRPr="001300A9" w:rsidRDefault="003C4BA0" w:rsidP="005900E4">
            <w:pPr>
              <w:pStyle w:val="Default"/>
              <w:rPr>
                <w:sz w:val="22"/>
                <w:szCs w:val="22"/>
              </w:rPr>
            </w:pPr>
          </w:p>
          <w:p w14:paraId="4898435E" w14:textId="77777777" w:rsidR="003C4BA0" w:rsidRPr="001300A9" w:rsidRDefault="003C4BA0" w:rsidP="005900E4">
            <w:pPr>
              <w:pStyle w:val="Default"/>
              <w:rPr>
                <w:sz w:val="22"/>
                <w:szCs w:val="22"/>
              </w:rPr>
            </w:pPr>
          </w:p>
          <w:p w14:paraId="5ADAB9AC" w14:textId="77777777" w:rsidR="003C4BA0" w:rsidRPr="001300A9" w:rsidRDefault="003C4BA0" w:rsidP="005900E4">
            <w:pPr>
              <w:pStyle w:val="Default"/>
              <w:rPr>
                <w:sz w:val="22"/>
                <w:szCs w:val="22"/>
              </w:rPr>
            </w:pPr>
          </w:p>
          <w:p w14:paraId="0FA6CF7C" w14:textId="77777777" w:rsidR="003C4BA0" w:rsidRPr="001300A9" w:rsidRDefault="003C4BA0" w:rsidP="005900E4">
            <w:pPr>
              <w:pStyle w:val="Default"/>
              <w:rPr>
                <w:sz w:val="22"/>
                <w:szCs w:val="22"/>
              </w:rPr>
            </w:pPr>
          </w:p>
          <w:p w14:paraId="7DF09EB7" w14:textId="77777777" w:rsidR="003C4BA0" w:rsidRPr="001300A9" w:rsidRDefault="003C4BA0" w:rsidP="005900E4">
            <w:pPr>
              <w:pStyle w:val="Default"/>
              <w:rPr>
                <w:sz w:val="22"/>
                <w:szCs w:val="22"/>
              </w:rPr>
            </w:pPr>
          </w:p>
          <w:p w14:paraId="628728B3" w14:textId="77777777" w:rsidR="003C4BA0" w:rsidRPr="001300A9" w:rsidRDefault="003C4BA0" w:rsidP="005900E4">
            <w:pPr>
              <w:pStyle w:val="Default"/>
              <w:rPr>
                <w:sz w:val="22"/>
                <w:szCs w:val="22"/>
              </w:rPr>
            </w:pPr>
          </w:p>
          <w:p w14:paraId="5C0A74AF" w14:textId="77777777" w:rsidR="003C4BA0" w:rsidRPr="001300A9" w:rsidRDefault="003C4BA0" w:rsidP="005900E4">
            <w:pPr>
              <w:pStyle w:val="Default"/>
              <w:rPr>
                <w:sz w:val="22"/>
                <w:szCs w:val="22"/>
              </w:rPr>
            </w:pPr>
          </w:p>
          <w:p w14:paraId="512CBED0" w14:textId="77777777" w:rsidR="003C4BA0" w:rsidRPr="001300A9" w:rsidRDefault="003C4BA0" w:rsidP="005900E4">
            <w:pPr>
              <w:pStyle w:val="Default"/>
              <w:rPr>
                <w:sz w:val="22"/>
                <w:szCs w:val="22"/>
              </w:rPr>
            </w:pPr>
          </w:p>
          <w:p w14:paraId="082B4C82" w14:textId="77777777" w:rsidR="003C4BA0" w:rsidRPr="001300A9" w:rsidRDefault="003C4BA0" w:rsidP="005900E4">
            <w:pPr>
              <w:pStyle w:val="Default"/>
              <w:rPr>
                <w:sz w:val="22"/>
                <w:szCs w:val="22"/>
              </w:rPr>
            </w:pPr>
          </w:p>
          <w:p w14:paraId="5381D925" w14:textId="77777777" w:rsidR="003C4BA0" w:rsidRPr="001300A9" w:rsidRDefault="003C4BA0" w:rsidP="005900E4">
            <w:pPr>
              <w:pStyle w:val="Default"/>
              <w:rPr>
                <w:sz w:val="22"/>
                <w:szCs w:val="22"/>
              </w:rPr>
            </w:pPr>
          </w:p>
          <w:p w14:paraId="037C1EBB" w14:textId="77777777" w:rsidR="003C4BA0" w:rsidRPr="001300A9" w:rsidRDefault="003C4BA0" w:rsidP="005900E4">
            <w:pPr>
              <w:pStyle w:val="Default"/>
              <w:rPr>
                <w:sz w:val="22"/>
                <w:szCs w:val="22"/>
              </w:rPr>
            </w:pPr>
          </w:p>
          <w:p w14:paraId="4719783F" w14:textId="77777777" w:rsidR="003C4BA0" w:rsidRPr="001300A9" w:rsidRDefault="003C4BA0" w:rsidP="005900E4">
            <w:pPr>
              <w:pStyle w:val="Default"/>
              <w:rPr>
                <w:sz w:val="22"/>
                <w:szCs w:val="22"/>
              </w:rPr>
            </w:pPr>
          </w:p>
          <w:p w14:paraId="6767E72D" w14:textId="77777777" w:rsidR="003C4BA0" w:rsidRPr="001300A9" w:rsidRDefault="003C4BA0" w:rsidP="005900E4">
            <w:pPr>
              <w:pStyle w:val="Default"/>
              <w:rPr>
                <w:sz w:val="22"/>
                <w:szCs w:val="22"/>
              </w:rPr>
            </w:pPr>
          </w:p>
          <w:p w14:paraId="19FB4D70" w14:textId="77777777" w:rsidR="003C4BA0" w:rsidRPr="001300A9" w:rsidRDefault="003C4BA0" w:rsidP="005900E4">
            <w:pPr>
              <w:pStyle w:val="Default"/>
              <w:rPr>
                <w:sz w:val="22"/>
                <w:szCs w:val="22"/>
              </w:rPr>
            </w:pPr>
          </w:p>
          <w:p w14:paraId="38FFFF69" w14:textId="77777777" w:rsidR="003C4BA0" w:rsidRPr="001300A9" w:rsidRDefault="003C4BA0" w:rsidP="005900E4">
            <w:pPr>
              <w:pStyle w:val="Default"/>
              <w:rPr>
                <w:sz w:val="22"/>
                <w:szCs w:val="22"/>
              </w:rPr>
            </w:pPr>
          </w:p>
          <w:p w14:paraId="31DE4546" w14:textId="77777777" w:rsidR="003C4BA0" w:rsidRPr="001300A9" w:rsidRDefault="003C4BA0" w:rsidP="005900E4">
            <w:pPr>
              <w:pStyle w:val="Default"/>
              <w:rPr>
                <w:sz w:val="22"/>
                <w:szCs w:val="22"/>
              </w:rPr>
            </w:pPr>
          </w:p>
          <w:p w14:paraId="24C2F2CF" w14:textId="77777777" w:rsidR="003C4BA0" w:rsidRPr="001300A9" w:rsidRDefault="003C4BA0" w:rsidP="005900E4">
            <w:pPr>
              <w:pStyle w:val="Default"/>
              <w:rPr>
                <w:sz w:val="22"/>
                <w:szCs w:val="22"/>
              </w:rPr>
            </w:pPr>
          </w:p>
          <w:p w14:paraId="532329B4" w14:textId="77777777" w:rsidR="003C4BA0" w:rsidRPr="001300A9" w:rsidRDefault="003C4BA0" w:rsidP="005900E4">
            <w:pPr>
              <w:pStyle w:val="Default"/>
              <w:rPr>
                <w:sz w:val="22"/>
                <w:szCs w:val="22"/>
              </w:rPr>
            </w:pPr>
          </w:p>
          <w:p w14:paraId="3554FA62" w14:textId="77777777" w:rsidR="003C4BA0" w:rsidRPr="001300A9" w:rsidRDefault="003C4BA0" w:rsidP="005900E4">
            <w:pPr>
              <w:pStyle w:val="Default"/>
              <w:rPr>
                <w:sz w:val="22"/>
                <w:szCs w:val="22"/>
              </w:rPr>
            </w:pPr>
          </w:p>
          <w:p w14:paraId="04589739" w14:textId="1F11A89E" w:rsidR="00BB33D9" w:rsidRDefault="00BB33D9" w:rsidP="003C4BA0">
            <w:pPr>
              <w:pStyle w:val="Default"/>
              <w:rPr>
                <w:sz w:val="22"/>
                <w:szCs w:val="22"/>
              </w:rPr>
            </w:pPr>
          </w:p>
          <w:p w14:paraId="3DA96DBC" w14:textId="77777777" w:rsidR="00452B3F" w:rsidRDefault="00452B3F" w:rsidP="003C4BA0">
            <w:pPr>
              <w:pStyle w:val="Default"/>
              <w:rPr>
                <w:sz w:val="22"/>
                <w:szCs w:val="22"/>
              </w:rPr>
            </w:pPr>
          </w:p>
          <w:p w14:paraId="69B4852D" w14:textId="7ACFDABD" w:rsidR="4792BE4F" w:rsidRDefault="4792BE4F" w:rsidP="4792BE4F">
            <w:pPr>
              <w:pStyle w:val="Default"/>
              <w:rPr>
                <w:sz w:val="22"/>
                <w:szCs w:val="22"/>
              </w:rPr>
            </w:pPr>
          </w:p>
          <w:p w14:paraId="5CD49C84" w14:textId="5F8166F9" w:rsidR="4792BE4F" w:rsidRDefault="4792BE4F" w:rsidP="4792BE4F">
            <w:pPr>
              <w:pStyle w:val="Default"/>
              <w:rPr>
                <w:sz w:val="22"/>
                <w:szCs w:val="22"/>
              </w:rPr>
            </w:pPr>
          </w:p>
          <w:p w14:paraId="4AC92AD7" w14:textId="1E35F98A" w:rsidR="4792BE4F" w:rsidRDefault="4792BE4F" w:rsidP="4792BE4F">
            <w:pPr>
              <w:pStyle w:val="Default"/>
              <w:rPr>
                <w:sz w:val="22"/>
                <w:szCs w:val="22"/>
              </w:rPr>
            </w:pPr>
          </w:p>
          <w:p w14:paraId="24D6BEFA" w14:textId="75DACB03" w:rsidR="003C4BA0" w:rsidRPr="001300A9" w:rsidRDefault="00452B3F" w:rsidP="005900E4">
            <w:pPr>
              <w:pStyle w:val="Default"/>
              <w:rPr>
                <w:sz w:val="22"/>
                <w:szCs w:val="22"/>
              </w:rPr>
            </w:pPr>
            <w:r w:rsidRPr="4792BE4F">
              <w:rPr>
                <w:sz w:val="22"/>
                <w:szCs w:val="22"/>
              </w:rPr>
              <w:t>Č:I §:</w:t>
            </w:r>
            <w:r w:rsidR="003C4BA0" w:rsidRPr="4792BE4F">
              <w:rPr>
                <w:sz w:val="22"/>
                <w:szCs w:val="22"/>
              </w:rPr>
              <w:t>2</w:t>
            </w:r>
            <w:r w:rsidRPr="4792BE4F">
              <w:rPr>
                <w:sz w:val="22"/>
                <w:szCs w:val="22"/>
              </w:rPr>
              <w:t>P:</w:t>
            </w:r>
            <w:r w:rsidR="00AC7966" w:rsidRPr="4792BE4F">
              <w:rPr>
                <w:sz w:val="22"/>
                <w:szCs w:val="22"/>
              </w:rPr>
              <w:t>y</w:t>
            </w:r>
          </w:p>
          <w:p w14:paraId="2A7102A0" w14:textId="77777777" w:rsidR="00DA7ED6" w:rsidRPr="001300A9" w:rsidRDefault="00DA7ED6" w:rsidP="005900E4">
            <w:pPr>
              <w:pStyle w:val="Default"/>
              <w:rPr>
                <w:sz w:val="22"/>
                <w:szCs w:val="22"/>
              </w:rPr>
            </w:pPr>
          </w:p>
          <w:p w14:paraId="297E836D" w14:textId="77777777" w:rsidR="00DA7ED6" w:rsidRPr="001300A9" w:rsidRDefault="00DA7ED6" w:rsidP="005900E4">
            <w:pPr>
              <w:pStyle w:val="Default"/>
              <w:rPr>
                <w:sz w:val="22"/>
                <w:szCs w:val="22"/>
              </w:rPr>
            </w:pPr>
          </w:p>
          <w:p w14:paraId="01EB864B" w14:textId="77777777" w:rsidR="00DA7ED6" w:rsidRPr="001300A9" w:rsidRDefault="00DA7ED6" w:rsidP="005900E4">
            <w:pPr>
              <w:pStyle w:val="Default"/>
              <w:rPr>
                <w:sz w:val="22"/>
                <w:szCs w:val="22"/>
              </w:rPr>
            </w:pPr>
          </w:p>
          <w:p w14:paraId="5FE75EC6" w14:textId="77777777" w:rsidR="00DA7ED6" w:rsidRDefault="00DA7ED6" w:rsidP="005900E4">
            <w:pPr>
              <w:pStyle w:val="Default"/>
              <w:rPr>
                <w:sz w:val="22"/>
                <w:szCs w:val="22"/>
              </w:rPr>
            </w:pPr>
          </w:p>
          <w:p w14:paraId="5AA2D080" w14:textId="77777777" w:rsidR="00A17585" w:rsidRPr="001300A9" w:rsidRDefault="00A17585" w:rsidP="005900E4">
            <w:pPr>
              <w:pStyle w:val="Default"/>
              <w:rPr>
                <w:sz w:val="22"/>
                <w:szCs w:val="22"/>
              </w:rPr>
            </w:pPr>
          </w:p>
          <w:p w14:paraId="0B9131E7" w14:textId="77777777" w:rsidR="00DA7ED6" w:rsidRPr="001300A9" w:rsidRDefault="00DA7ED6" w:rsidP="005900E4">
            <w:pPr>
              <w:pStyle w:val="Default"/>
              <w:rPr>
                <w:sz w:val="22"/>
                <w:szCs w:val="22"/>
              </w:rPr>
            </w:pPr>
          </w:p>
          <w:p w14:paraId="52E8E2D7" w14:textId="170B1B04" w:rsidR="00452B3F" w:rsidRDefault="00452B3F" w:rsidP="00DA7ED6">
            <w:pPr>
              <w:pStyle w:val="Default"/>
              <w:rPr>
                <w:sz w:val="22"/>
                <w:szCs w:val="22"/>
              </w:rPr>
            </w:pPr>
          </w:p>
          <w:p w14:paraId="0B508B4B" w14:textId="573BFCDD" w:rsidR="4792BE4F" w:rsidRDefault="4792BE4F" w:rsidP="4792BE4F">
            <w:pPr>
              <w:pStyle w:val="Default"/>
              <w:rPr>
                <w:sz w:val="22"/>
                <w:szCs w:val="22"/>
              </w:rPr>
            </w:pPr>
          </w:p>
          <w:p w14:paraId="7F60036C" w14:textId="41F9A8FA" w:rsidR="00DA7ED6" w:rsidRPr="001300A9" w:rsidRDefault="00452B3F" w:rsidP="00DA7ED6">
            <w:pPr>
              <w:pStyle w:val="Default"/>
              <w:rPr>
                <w:sz w:val="22"/>
                <w:szCs w:val="22"/>
              </w:rPr>
            </w:pPr>
            <w:r w:rsidRPr="4792BE4F">
              <w:rPr>
                <w:sz w:val="22"/>
                <w:szCs w:val="22"/>
              </w:rPr>
              <w:lastRenderedPageBreak/>
              <w:t>Č:I §:</w:t>
            </w:r>
            <w:r w:rsidR="00DA7ED6" w:rsidRPr="4792BE4F">
              <w:rPr>
                <w:sz w:val="22"/>
                <w:szCs w:val="22"/>
              </w:rPr>
              <w:t>2</w:t>
            </w:r>
            <w:r w:rsidRPr="4792BE4F">
              <w:rPr>
                <w:sz w:val="22"/>
                <w:szCs w:val="22"/>
              </w:rPr>
              <w:t>P:</w:t>
            </w:r>
            <w:r w:rsidR="00621BD8" w:rsidRPr="4792BE4F">
              <w:rPr>
                <w:sz w:val="22"/>
                <w:szCs w:val="22"/>
              </w:rPr>
              <w:t>z</w:t>
            </w:r>
          </w:p>
        </w:tc>
        <w:tc>
          <w:tcPr>
            <w:tcW w:w="4253" w:type="dxa"/>
          </w:tcPr>
          <w:p w14:paraId="3D487641" w14:textId="27977694" w:rsidR="00EA4D01" w:rsidRDefault="0D5D61E1" w:rsidP="5F673433">
            <w:pPr>
              <w:pStyle w:val="Default"/>
              <w:rPr>
                <w:sz w:val="22"/>
                <w:szCs w:val="22"/>
              </w:rPr>
            </w:pPr>
            <w:r w:rsidRPr="5F673433">
              <w:rPr>
                <w:sz w:val="22"/>
                <w:szCs w:val="22"/>
              </w:rPr>
              <w:lastRenderedPageBreak/>
              <w:t xml:space="preserve">§ 2 Základné pojmy </w:t>
            </w:r>
          </w:p>
          <w:p w14:paraId="0C8C7BF1" w14:textId="3515E29E" w:rsidR="00EA4D01" w:rsidRDefault="73AE784D" w:rsidP="5F673433">
            <w:pPr>
              <w:pStyle w:val="Default"/>
              <w:rPr>
                <w:sz w:val="22"/>
                <w:szCs w:val="22"/>
              </w:rPr>
            </w:pPr>
            <w:r w:rsidRPr="5F673433">
              <w:rPr>
                <w:sz w:val="22"/>
                <w:szCs w:val="22"/>
              </w:rPr>
              <w:t>Na účely tohto zákona sa rozumie</w:t>
            </w:r>
          </w:p>
          <w:p w14:paraId="21704B4F" w14:textId="69F5F403" w:rsidR="00357CEC" w:rsidRDefault="00656100" w:rsidP="5F673433">
            <w:pPr>
              <w:pStyle w:val="Default"/>
              <w:rPr>
                <w:sz w:val="22"/>
                <w:szCs w:val="22"/>
              </w:rPr>
            </w:pPr>
            <w:r w:rsidRPr="169B2D24">
              <w:rPr>
                <w:sz w:val="22"/>
                <w:szCs w:val="22"/>
              </w:rPr>
              <w:t xml:space="preserve">t) lodnou spoločnosťou vlastník námornej lode alebo iná organizácia či osoba, ako je správca alebo nájomca námornej lode, ktorá prevzala zodpovednosť za prevádzku námornej lode od vlastníka námornej lode a ktorá prijatím tejto zodpovednosti súhlasila s prevzatím všetkých povinností a zodpovedností vyplývajúcich z Medzinárodného kódexu pre </w:t>
            </w:r>
            <w:r w:rsidRPr="169B2D24">
              <w:rPr>
                <w:sz w:val="22"/>
                <w:szCs w:val="22"/>
              </w:rPr>
              <w:lastRenderedPageBreak/>
              <w:t>bezpečné riadenie lodí a prevenciu znečisťovania podľa osobitného predpisu,</w:t>
            </w:r>
            <w:r w:rsidRPr="169B2D24">
              <w:rPr>
                <w:sz w:val="22"/>
                <w:szCs w:val="22"/>
                <w:vertAlign w:val="superscript"/>
              </w:rPr>
              <w:t>1ab</w:t>
            </w:r>
            <w:r w:rsidRPr="169B2D24">
              <w:rPr>
                <w:sz w:val="22"/>
                <w:szCs w:val="22"/>
              </w:rPr>
              <w:t>)</w:t>
            </w:r>
          </w:p>
          <w:p w14:paraId="5EA32F44" w14:textId="3015C4CB" w:rsidR="000F60BB" w:rsidRDefault="00656100" w:rsidP="5F673433">
            <w:pPr>
              <w:pStyle w:val="Default"/>
              <w:rPr>
                <w:sz w:val="22"/>
                <w:szCs w:val="22"/>
              </w:rPr>
            </w:pPr>
            <w:r w:rsidRPr="5F673433">
              <w:rPr>
                <w:sz w:val="22"/>
                <w:szCs w:val="22"/>
                <w:vertAlign w:val="superscript"/>
              </w:rPr>
              <w:t>1ab</w:t>
            </w:r>
            <w:r w:rsidRPr="5F673433">
              <w:rPr>
                <w:sz w:val="22"/>
                <w:szCs w:val="22"/>
              </w:rPr>
              <w:t>) Príloha I nariadenia Európskeho parlamentu a Rady (ES) č. 336/2006 z 15. februára 2006 o vykonávaní Medzinárodného kódexu pre bezpečnostný manažment v rámci Spoločenstva a o zrušení nariadenia Rady (ES) č. 3051/95 (Ú. v. EÚ L 64, 4.3.2006) v platnom znení.</w:t>
            </w:r>
          </w:p>
          <w:p w14:paraId="0E4374C3" w14:textId="49C4B2C7" w:rsidR="000F60BB" w:rsidRDefault="000F60BB" w:rsidP="5F673433">
            <w:pPr>
              <w:pStyle w:val="Default"/>
              <w:rPr>
                <w:sz w:val="22"/>
                <w:szCs w:val="22"/>
              </w:rPr>
            </w:pPr>
          </w:p>
          <w:p w14:paraId="798955F2" w14:textId="4C647404" w:rsidR="000F60BB" w:rsidRDefault="00656100" w:rsidP="5F673433">
            <w:pPr>
              <w:pStyle w:val="Default"/>
              <w:rPr>
                <w:sz w:val="22"/>
                <w:szCs w:val="22"/>
              </w:rPr>
            </w:pPr>
            <w:r w:rsidRPr="5F673433">
              <w:rPr>
                <w:sz w:val="22"/>
                <w:szCs w:val="22"/>
              </w:rPr>
              <w:t>Poznámka pod čiarou k odkaz 1ac</w:t>
            </w:r>
            <w:r w:rsidR="29154863" w:rsidRPr="5F673433">
              <w:rPr>
                <w:sz w:val="22"/>
                <w:szCs w:val="22"/>
              </w:rPr>
              <w:t xml:space="preserve"> znie:</w:t>
            </w:r>
          </w:p>
          <w:p w14:paraId="06BAEC33" w14:textId="778A019C" w:rsidR="000F60BB" w:rsidRPr="001300A9" w:rsidRDefault="00656100" w:rsidP="5F673433">
            <w:pPr>
              <w:pStyle w:val="Default"/>
              <w:rPr>
                <w:sz w:val="22"/>
                <w:szCs w:val="22"/>
              </w:rPr>
            </w:pPr>
            <w:r w:rsidRPr="5F673433">
              <w:rPr>
                <w:sz w:val="22"/>
                <w:szCs w:val="22"/>
                <w:vertAlign w:val="superscript"/>
              </w:rPr>
              <w:t>1ac</w:t>
            </w:r>
            <w:r w:rsidRPr="5F673433">
              <w:rPr>
                <w:sz w:val="22"/>
                <w:szCs w:val="22"/>
              </w:rPr>
              <w:t>) Nariadenie Európskeho parlamentu a Rady (EÚ) 2015/757 z 29. apríla 2015 o monitorovaní, nahlasovaní a overovaní emisií skleníkových plynov z námornej dopravy a o zmene smernice 2009/16/ES (Ú. v. EÚ L 123, 19. 5. 2015) v platnom znení.</w:t>
            </w:r>
          </w:p>
          <w:p w14:paraId="220BFCB8" w14:textId="7EFBB0C7" w:rsidR="5F673433" w:rsidRDefault="5F673433" w:rsidP="5F673433">
            <w:pPr>
              <w:pStyle w:val="Default"/>
              <w:rPr>
                <w:sz w:val="22"/>
                <w:szCs w:val="22"/>
              </w:rPr>
            </w:pPr>
          </w:p>
          <w:p w14:paraId="386D6DB5" w14:textId="61E01F2D" w:rsidR="007349E0" w:rsidRPr="001300A9" w:rsidRDefault="00AC7966" w:rsidP="00357CEC">
            <w:pPr>
              <w:pStyle w:val="Default"/>
              <w:rPr>
                <w:sz w:val="22"/>
                <w:szCs w:val="22"/>
              </w:rPr>
            </w:pPr>
            <w:r>
              <w:rPr>
                <w:sz w:val="22"/>
                <w:szCs w:val="22"/>
              </w:rPr>
              <w:t>u</w:t>
            </w:r>
            <w:r w:rsidR="00BB33D9">
              <w:rPr>
                <w:sz w:val="22"/>
                <w:szCs w:val="22"/>
              </w:rPr>
              <w:t xml:space="preserve">) </w:t>
            </w:r>
            <w:r w:rsidR="007349E0" w:rsidRPr="001300A9">
              <w:rPr>
                <w:sz w:val="22"/>
                <w:szCs w:val="22"/>
              </w:rPr>
              <w:t xml:space="preserve">riadiacim orgánom vo vzťahu k lodnej spoločnosti orgán zodpovedný za správu systému obchodovania v súvislosti </w:t>
            </w:r>
            <w:r w:rsidR="00EC07C1">
              <w:rPr>
                <w:sz w:val="22"/>
                <w:szCs w:val="22"/>
              </w:rPr>
              <w:t>s lodnou spoločnosťou podľa § 14</w:t>
            </w:r>
            <w:r w:rsidR="007349E0" w:rsidRPr="001300A9">
              <w:rPr>
                <w:sz w:val="22"/>
                <w:szCs w:val="22"/>
              </w:rPr>
              <w:t xml:space="preserve"> ods. 1</w:t>
            </w:r>
          </w:p>
          <w:p w14:paraId="5916791E" w14:textId="77777777" w:rsidR="005900E4" w:rsidRPr="001300A9" w:rsidRDefault="005900E4" w:rsidP="00357CEC">
            <w:pPr>
              <w:pStyle w:val="Default"/>
              <w:rPr>
                <w:sz w:val="22"/>
                <w:szCs w:val="22"/>
              </w:rPr>
            </w:pPr>
          </w:p>
          <w:p w14:paraId="5E767105" w14:textId="2DA5551A" w:rsidR="001E78AA" w:rsidRPr="001300A9" w:rsidRDefault="00AC7966" w:rsidP="00357CEC">
            <w:pPr>
              <w:pStyle w:val="Default"/>
              <w:rPr>
                <w:sz w:val="22"/>
                <w:szCs w:val="22"/>
              </w:rPr>
            </w:pPr>
            <w:r w:rsidRPr="4792BE4F">
              <w:rPr>
                <w:sz w:val="22"/>
                <w:szCs w:val="22"/>
              </w:rPr>
              <w:t>v</w:t>
            </w:r>
            <w:r w:rsidR="001E78AA" w:rsidRPr="4792BE4F">
              <w:rPr>
                <w:sz w:val="22"/>
                <w:szCs w:val="22"/>
              </w:rPr>
              <w:t xml:space="preserve">) </w:t>
            </w:r>
            <w:r w:rsidRPr="4792BE4F">
              <w:rPr>
                <w:sz w:val="22"/>
                <w:szCs w:val="22"/>
              </w:rPr>
              <w:t xml:space="preserve">prístavom zastavenia prístav, v ktorom sa námorná loď zastaví na nakládku alebo vykládku nákladu alebo na nalodenie alebo vylodenie cestujúcich, alebo prístav, v ktorom sa námorná loď vykonávajúca </w:t>
            </w:r>
            <w:proofErr w:type="spellStart"/>
            <w:r w:rsidRPr="4792BE4F">
              <w:rPr>
                <w:sz w:val="22"/>
                <w:szCs w:val="22"/>
              </w:rPr>
              <w:t>príbrežnú</w:t>
            </w:r>
            <w:proofErr w:type="spellEnd"/>
            <w:r w:rsidRPr="4792BE4F">
              <w:rPr>
                <w:sz w:val="22"/>
                <w:szCs w:val="22"/>
              </w:rPr>
              <w:t xml:space="preserve"> plavbu</w:t>
            </w:r>
            <w:r w:rsidRPr="4792BE4F">
              <w:rPr>
                <w:sz w:val="22"/>
                <w:szCs w:val="22"/>
                <w:vertAlign w:val="superscript"/>
              </w:rPr>
              <w:t>1ac</w:t>
            </w:r>
            <w:r w:rsidRPr="4792BE4F">
              <w:rPr>
                <w:sz w:val="22"/>
                <w:szCs w:val="22"/>
              </w:rPr>
              <w:t xml:space="preserve">) zastaví, aby uvoľnila posádku; vylúčené sú zastávky výhradne na účely doplnenia paliva, zásob, odpočinku posádky námornej lode, ktorá nie je námorná loď vykonávajúca </w:t>
            </w:r>
            <w:proofErr w:type="spellStart"/>
            <w:r w:rsidRPr="4792BE4F">
              <w:rPr>
                <w:sz w:val="22"/>
                <w:szCs w:val="22"/>
              </w:rPr>
              <w:t>príbrežnú</w:t>
            </w:r>
            <w:proofErr w:type="spellEnd"/>
            <w:r w:rsidRPr="4792BE4F">
              <w:rPr>
                <w:sz w:val="22"/>
                <w:szCs w:val="22"/>
              </w:rPr>
              <w:t xml:space="preserve"> plavbu</w:t>
            </w:r>
            <w:r w:rsidRPr="4792BE4F">
              <w:rPr>
                <w:sz w:val="22"/>
                <w:szCs w:val="22"/>
                <w:vertAlign w:val="superscript"/>
              </w:rPr>
              <w:t>1ac</w:t>
            </w:r>
            <w:r w:rsidRPr="4792BE4F">
              <w:rPr>
                <w:sz w:val="22"/>
                <w:szCs w:val="22"/>
              </w:rPr>
              <w:t xml:space="preserve">), zastávky v suchom doku alebo na opravy námornej lode, jej vybavenia alebo na opravy námornej lode </w:t>
            </w:r>
            <w:r w:rsidRPr="4792BE4F">
              <w:rPr>
                <w:sz w:val="22"/>
                <w:szCs w:val="22"/>
              </w:rPr>
              <w:lastRenderedPageBreak/>
              <w:t>aj vybavenia, zastávky v prístave, ak námorná loď potrebuje pomoc alebo je v núdzovej situácii, transfery z námornej lode na námornú loď vykonávané mimo prístavov; zastávky s výlučným cieľom nájsť útočisko pred nepriaznivým počasím alebo zastávky potrebné pri pátracích a záchranných akciách a zastávky kontajnerových lodí v susednom prístave na prekládku kontajnerov uvedených v zozname podľa osobitného predpisu</w:t>
            </w:r>
            <w:r w:rsidR="001E78AA" w:rsidRPr="4792BE4F">
              <w:rPr>
                <w:sz w:val="22"/>
                <w:szCs w:val="22"/>
              </w:rPr>
              <w:t>,</w:t>
            </w:r>
            <w:r w:rsidR="001E78AA" w:rsidRPr="4792BE4F">
              <w:rPr>
                <w:sz w:val="22"/>
                <w:szCs w:val="22"/>
                <w:vertAlign w:val="superscript"/>
              </w:rPr>
              <w:t>1ad</w:t>
            </w:r>
            <w:r w:rsidR="001E78AA" w:rsidRPr="4792BE4F">
              <w:rPr>
                <w:sz w:val="22"/>
                <w:szCs w:val="22"/>
              </w:rPr>
              <w:t>)</w:t>
            </w:r>
          </w:p>
          <w:p w14:paraId="2F06EBEF" w14:textId="6B2E23C5" w:rsidR="001E78AA" w:rsidRDefault="00656100" w:rsidP="00357CEC">
            <w:pPr>
              <w:pStyle w:val="Default"/>
              <w:rPr>
                <w:sz w:val="22"/>
                <w:szCs w:val="22"/>
              </w:rPr>
            </w:pPr>
            <w:r w:rsidRPr="5F673433">
              <w:rPr>
                <w:sz w:val="22"/>
                <w:szCs w:val="22"/>
                <w:vertAlign w:val="superscript"/>
              </w:rPr>
              <w:t>1ad</w:t>
            </w:r>
            <w:r w:rsidRPr="5F673433">
              <w:rPr>
                <w:sz w:val="22"/>
                <w:szCs w:val="22"/>
              </w:rPr>
              <w:t>) Vykonávacie nariadenie Komisie (EÚ) 2023/2297 z 26. októbra 2023, ktorým sa určujú susedné prístavy na prekládku kontajnerov podľa smernice Európskeho parlamentu a Rady 2003/87/ES (Ú. v. EÚ L, 27. 10. 2023).</w:t>
            </w:r>
          </w:p>
          <w:p w14:paraId="533F5C58" w14:textId="4078DC25" w:rsidR="005900E4" w:rsidRPr="001300A9" w:rsidRDefault="00AC7966" w:rsidP="00357CEC">
            <w:pPr>
              <w:pStyle w:val="Default"/>
              <w:rPr>
                <w:sz w:val="22"/>
                <w:szCs w:val="22"/>
              </w:rPr>
            </w:pPr>
            <w:r>
              <w:rPr>
                <w:sz w:val="22"/>
                <w:szCs w:val="22"/>
              </w:rPr>
              <w:t>w</w:t>
            </w:r>
            <w:r w:rsidR="00BB33D9">
              <w:rPr>
                <w:sz w:val="22"/>
                <w:szCs w:val="22"/>
              </w:rPr>
              <w:t xml:space="preserve">) </w:t>
            </w:r>
            <w:r w:rsidR="005900E4" w:rsidRPr="001300A9">
              <w:rPr>
                <w:sz w:val="22"/>
                <w:szCs w:val="22"/>
              </w:rPr>
              <w:t>osobnou výletnou loďou osobná loď, ktorá nemá žiadnu nákladnú palubu a je určená výlučne na komerčnú prepravu cestujúcich v ubytovacích zariadeniach počas plavby</w:t>
            </w:r>
            <w:r w:rsidR="002B06FC" w:rsidRPr="002B06FC">
              <w:rPr>
                <w:sz w:val="22"/>
                <w:szCs w:val="22"/>
                <w:vertAlign w:val="superscript"/>
              </w:rPr>
              <w:t>1ac</w:t>
            </w:r>
            <w:r w:rsidR="002B06FC">
              <w:rPr>
                <w:sz w:val="22"/>
                <w:szCs w:val="22"/>
              </w:rPr>
              <w:t>)</w:t>
            </w:r>
            <w:r w:rsidR="005900E4" w:rsidRPr="001300A9">
              <w:rPr>
                <w:sz w:val="22"/>
                <w:szCs w:val="22"/>
              </w:rPr>
              <w:t xml:space="preserve"> na mori</w:t>
            </w:r>
            <w:r w:rsidR="00BB33D9">
              <w:rPr>
                <w:sz w:val="22"/>
                <w:szCs w:val="22"/>
              </w:rPr>
              <w:t>,</w:t>
            </w:r>
          </w:p>
          <w:p w14:paraId="178E644A" w14:textId="77777777" w:rsidR="00736B1A" w:rsidRPr="001300A9" w:rsidRDefault="00736B1A" w:rsidP="00357CEC">
            <w:pPr>
              <w:pStyle w:val="Default"/>
              <w:rPr>
                <w:sz w:val="22"/>
                <w:szCs w:val="22"/>
              </w:rPr>
            </w:pPr>
          </w:p>
          <w:p w14:paraId="37162D2E" w14:textId="77777777" w:rsidR="00736B1A" w:rsidRPr="001300A9" w:rsidRDefault="00736B1A" w:rsidP="00357CEC">
            <w:pPr>
              <w:pStyle w:val="Default"/>
              <w:rPr>
                <w:sz w:val="22"/>
                <w:szCs w:val="22"/>
              </w:rPr>
            </w:pPr>
          </w:p>
          <w:p w14:paraId="0EF3F2A0" w14:textId="77777777" w:rsidR="00736B1A" w:rsidRPr="001300A9" w:rsidRDefault="00736B1A" w:rsidP="00357CEC">
            <w:pPr>
              <w:pStyle w:val="Default"/>
              <w:rPr>
                <w:sz w:val="22"/>
                <w:szCs w:val="22"/>
              </w:rPr>
            </w:pPr>
          </w:p>
          <w:p w14:paraId="5131DFC5" w14:textId="77777777" w:rsidR="00736B1A" w:rsidRPr="001300A9" w:rsidRDefault="00736B1A" w:rsidP="00357CEC">
            <w:pPr>
              <w:pStyle w:val="Default"/>
              <w:rPr>
                <w:sz w:val="22"/>
                <w:szCs w:val="22"/>
              </w:rPr>
            </w:pPr>
          </w:p>
          <w:p w14:paraId="34B1151D" w14:textId="77777777" w:rsidR="00736B1A" w:rsidRPr="001300A9" w:rsidRDefault="00736B1A" w:rsidP="00357CEC">
            <w:pPr>
              <w:pStyle w:val="Default"/>
              <w:rPr>
                <w:sz w:val="22"/>
                <w:szCs w:val="22"/>
              </w:rPr>
            </w:pPr>
          </w:p>
          <w:p w14:paraId="4062D450" w14:textId="77777777" w:rsidR="00736B1A" w:rsidRPr="001300A9" w:rsidRDefault="00736B1A" w:rsidP="00357CEC">
            <w:pPr>
              <w:pStyle w:val="Default"/>
              <w:rPr>
                <w:sz w:val="22"/>
                <w:szCs w:val="22"/>
              </w:rPr>
            </w:pPr>
          </w:p>
          <w:p w14:paraId="52E633C3" w14:textId="77777777" w:rsidR="00736B1A" w:rsidRPr="001300A9" w:rsidRDefault="00736B1A" w:rsidP="00357CEC">
            <w:pPr>
              <w:pStyle w:val="Default"/>
              <w:rPr>
                <w:sz w:val="22"/>
                <w:szCs w:val="22"/>
              </w:rPr>
            </w:pPr>
          </w:p>
          <w:p w14:paraId="4EA603B6" w14:textId="77777777" w:rsidR="00736B1A" w:rsidRPr="001300A9" w:rsidRDefault="00736B1A" w:rsidP="00357CEC">
            <w:pPr>
              <w:pStyle w:val="Default"/>
              <w:rPr>
                <w:sz w:val="22"/>
                <w:szCs w:val="22"/>
              </w:rPr>
            </w:pPr>
          </w:p>
          <w:p w14:paraId="7BCE5C96" w14:textId="77777777" w:rsidR="00736B1A" w:rsidRPr="001300A9" w:rsidRDefault="00736B1A" w:rsidP="00357CEC">
            <w:pPr>
              <w:pStyle w:val="Default"/>
              <w:rPr>
                <w:sz w:val="22"/>
                <w:szCs w:val="22"/>
              </w:rPr>
            </w:pPr>
          </w:p>
          <w:p w14:paraId="6BDA2646" w14:textId="77777777" w:rsidR="00736B1A" w:rsidRPr="001300A9" w:rsidRDefault="00736B1A" w:rsidP="00357CEC">
            <w:pPr>
              <w:pStyle w:val="Default"/>
              <w:rPr>
                <w:sz w:val="22"/>
                <w:szCs w:val="22"/>
              </w:rPr>
            </w:pPr>
          </w:p>
          <w:p w14:paraId="03948E91" w14:textId="77777777" w:rsidR="00736B1A" w:rsidRPr="001300A9" w:rsidRDefault="00736B1A" w:rsidP="00357CEC">
            <w:pPr>
              <w:pStyle w:val="Default"/>
              <w:rPr>
                <w:sz w:val="22"/>
                <w:szCs w:val="22"/>
              </w:rPr>
            </w:pPr>
          </w:p>
          <w:p w14:paraId="037BA5A9" w14:textId="77777777" w:rsidR="00736B1A" w:rsidRPr="001300A9" w:rsidRDefault="00736B1A" w:rsidP="00357CEC">
            <w:pPr>
              <w:pStyle w:val="Default"/>
              <w:rPr>
                <w:sz w:val="22"/>
                <w:szCs w:val="22"/>
              </w:rPr>
            </w:pPr>
          </w:p>
          <w:p w14:paraId="3C383E27" w14:textId="77777777" w:rsidR="00736B1A" w:rsidRPr="001300A9" w:rsidRDefault="00736B1A" w:rsidP="00357CEC">
            <w:pPr>
              <w:pStyle w:val="Default"/>
              <w:rPr>
                <w:sz w:val="22"/>
                <w:szCs w:val="22"/>
              </w:rPr>
            </w:pPr>
          </w:p>
          <w:p w14:paraId="4383A0D1" w14:textId="77777777" w:rsidR="00736B1A" w:rsidRPr="001300A9" w:rsidRDefault="00736B1A" w:rsidP="00357CEC">
            <w:pPr>
              <w:pStyle w:val="Default"/>
              <w:rPr>
                <w:sz w:val="22"/>
                <w:szCs w:val="22"/>
              </w:rPr>
            </w:pPr>
          </w:p>
          <w:p w14:paraId="19582122" w14:textId="77777777" w:rsidR="00736B1A" w:rsidRPr="001300A9" w:rsidRDefault="00736B1A" w:rsidP="00357CEC">
            <w:pPr>
              <w:pStyle w:val="Default"/>
              <w:rPr>
                <w:sz w:val="22"/>
                <w:szCs w:val="22"/>
              </w:rPr>
            </w:pPr>
          </w:p>
          <w:p w14:paraId="2E988D8C" w14:textId="77777777" w:rsidR="00736B1A" w:rsidRPr="001300A9" w:rsidRDefault="00736B1A" w:rsidP="00357CEC">
            <w:pPr>
              <w:pStyle w:val="Default"/>
              <w:rPr>
                <w:sz w:val="22"/>
                <w:szCs w:val="22"/>
              </w:rPr>
            </w:pPr>
          </w:p>
          <w:p w14:paraId="6000D4CA" w14:textId="77777777" w:rsidR="00736B1A" w:rsidRPr="001300A9" w:rsidRDefault="00736B1A" w:rsidP="00357CEC">
            <w:pPr>
              <w:pStyle w:val="Default"/>
              <w:rPr>
                <w:sz w:val="22"/>
                <w:szCs w:val="22"/>
              </w:rPr>
            </w:pPr>
          </w:p>
          <w:p w14:paraId="0DD3E1B9" w14:textId="77777777" w:rsidR="00736B1A" w:rsidRPr="001300A9" w:rsidRDefault="00736B1A" w:rsidP="00357CEC">
            <w:pPr>
              <w:pStyle w:val="Default"/>
              <w:rPr>
                <w:sz w:val="22"/>
                <w:szCs w:val="22"/>
              </w:rPr>
            </w:pPr>
          </w:p>
          <w:p w14:paraId="1ED5C194" w14:textId="77777777" w:rsidR="00736B1A" w:rsidRPr="001300A9" w:rsidRDefault="00736B1A" w:rsidP="00357CEC">
            <w:pPr>
              <w:pStyle w:val="Default"/>
              <w:rPr>
                <w:sz w:val="22"/>
                <w:szCs w:val="22"/>
              </w:rPr>
            </w:pPr>
          </w:p>
          <w:p w14:paraId="2AACC8D9" w14:textId="77777777" w:rsidR="00736B1A" w:rsidRPr="001300A9" w:rsidRDefault="00736B1A" w:rsidP="00357CEC">
            <w:pPr>
              <w:pStyle w:val="Default"/>
              <w:rPr>
                <w:sz w:val="22"/>
                <w:szCs w:val="22"/>
              </w:rPr>
            </w:pPr>
          </w:p>
          <w:p w14:paraId="7F850A8D" w14:textId="77777777" w:rsidR="00736B1A" w:rsidRPr="001300A9" w:rsidRDefault="00736B1A" w:rsidP="00357CEC">
            <w:pPr>
              <w:pStyle w:val="Default"/>
              <w:rPr>
                <w:sz w:val="22"/>
                <w:szCs w:val="22"/>
              </w:rPr>
            </w:pPr>
          </w:p>
          <w:p w14:paraId="532F1624" w14:textId="77777777" w:rsidR="00736B1A" w:rsidRPr="001300A9" w:rsidRDefault="00736B1A" w:rsidP="00357CEC">
            <w:pPr>
              <w:pStyle w:val="Default"/>
              <w:rPr>
                <w:sz w:val="22"/>
                <w:szCs w:val="22"/>
              </w:rPr>
            </w:pPr>
          </w:p>
          <w:p w14:paraId="22DBF950" w14:textId="77777777" w:rsidR="00736B1A" w:rsidRPr="001300A9" w:rsidRDefault="00736B1A" w:rsidP="00357CEC">
            <w:pPr>
              <w:pStyle w:val="Default"/>
              <w:rPr>
                <w:sz w:val="22"/>
                <w:szCs w:val="22"/>
              </w:rPr>
            </w:pPr>
          </w:p>
          <w:p w14:paraId="2CD5AD80" w14:textId="77777777" w:rsidR="00736B1A" w:rsidRPr="001300A9" w:rsidRDefault="00736B1A" w:rsidP="00357CEC">
            <w:pPr>
              <w:pStyle w:val="Default"/>
              <w:rPr>
                <w:sz w:val="22"/>
                <w:szCs w:val="22"/>
              </w:rPr>
            </w:pPr>
          </w:p>
          <w:p w14:paraId="3C7C2E86" w14:textId="77777777" w:rsidR="00736B1A" w:rsidRPr="001300A9" w:rsidRDefault="00736B1A" w:rsidP="00357CEC">
            <w:pPr>
              <w:pStyle w:val="Default"/>
              <w:rPr>
                <w:sz w:val="22"/>
                <w:szCs w:val="22"/>
              </w:rPr>
            </w:pPr>
          </w:p>
          <w:p w14:paraId="53CDB76C" w14:textId="77777777" w:rsidR="00736B1A" w:rsidRPr="001300A9" w:rsidRDefault="00736B1A" w:rsidP="00357CEC">
            <w:pPr>
              <w:pStyle w:val="Default"/>
              <w:rPr>
                <w:sz w:val="22"/>
                <w:szCs w:val="22"/>
              </w:rPr>
            </w:pPr>
          </w:p>
          <w:p w14:paraId="7BFE99A4" w14:textId="77777777" w:rsidR="00736B1A" w:rsidRPr="001300A9" w:rsidRDefault="00736B1A" w:rsidP="00357CEC">
            <w:pPr>
              <w:pStyle w:val="Default"/>
              <w:rPr>
                <w:sz w:val="22"/>
                <w:szCs w:val="22"/>
              </w:rPr>
            </w:pPr>
          </w:p>
          <w:p w14:paraId="01E65035" w14:textId="77777777" w:rsidR="00736B1A" w:rsidRPr="001300A9" w:rsidRDefault="00736B1A" w:rsidP="00357CEC">
            <w:pPr>
              <w:pStyle w:val="Default"/>
              <w:rPr>
                <w:sz w:val="22"/>
                <w:szCs w:val="22"/>
              </w:rPr>
            </w:pPr>
          </w:p>
          <w:p w14:paraId="37C5C88B" w14:textId="77777777" w:rsidR="00736B1A" w:rsidRPr="001300A9" w:rsidRDefault="00736B1A" w:rsidP="00357CEC">
            <w:pPr>
              <w:pStyle w:val="Default"/>
              <w:rPr>
                <w:sz w:val="22"/>
                <w:szCs w:val="22"/>
              </w:rPr>
            </w:pPr>
          </w:p>
          <w:p w14:paraId="7944DF24" w14:textId="77777777" w:rsidR="00736B1A" w:rsidRPr="001300A9" w:rsidRDefault="00736B1A" w:rsidP="00357CEC">
            <w:pPr>
              <w:pStyle w:val="Default"/>
              <w:rPr>
                <w:sz w:val="22"/>
                <w:szCs w:val="22"/>
              </w:rPr>
            </w:pPr>
          </w:p>
          <w:p w14:paraId="5956CEB5" w14:textId="77777777" w:rsidR="00350EB0" w:rsidRPr="001300A9" w:rsidRDefault="00350EB0" w:rsidP="00736B1A">
            <w:pPr>
              <w:pStyle w:val="Default"/>
              <w:rPr>
                <w:sz w:val="22"/>
                <w:szCs w:val="22"/>
              </w:rPr>
            </w:pPr>
          </w:p>
          <w:p w14:paraId="4A6CC6B3" w14:textId="36A0CFFB" w:rsidR="00350EB0" w:rsidRPr="001300A9" w:rsidRDefault="00350EB0" w:rsidP="00736B1A">
            <w:pPr>
              <w:pStyle w:val="Default"/>
              <w:rPr>
                <w:sz w:val="22"/>
                <w:szCs w:val="22"/>
              </w:rPr>
            </w:pPr>
          </w:p>
          <w:p w14:paraId="56679A13" w14:textId="77777777" w:rsidR="002B06FC" w:rsidRDefault="002B06FC" w:rsidP="00736B1A">
            <w:pPr>
              <w:pStyle w:val="Default"/>
              <w:rPr>
                <w:sz w:val="22"/>
                <w:szCs w:val="22"/>
              </w:rPr>
            </w:pPr>
          </w:p>
          <w:p w14:paraId="17E70942" w14:textId="77777777" w:rsidR="00452B3F" w:rsidRDefault="00452B3F" w:rsidP="00736B1A">
            <w:pPr>
              <w:pStyle w:val="Default"/>
              <w:rPr>
                <w:sz w:val="22"/>
                <w:szCs w:val="22"/>
              </w:rPr>
            </w:pPr>
          </w:p>
          <w:p w14:paraId="0E0A93C2" w14:textId="69393F34" w:rsidR="00350EB0" w:rsidRPr="001300A9" w:rsidRDefault="00AC7966" w:rsidP="00736B1A">
            <w:pPr>
              <w:pStyle w:val="Default"/>
              <w:rPr>
                <w:sz w:val="22"/>
                <w:szCs w:val="22"/>
              </w:rPr>
            </w:pPr>
            <w:r>
              <w:rPr>
                <w:sz w:val="22"/>
                <w:szCs w:val="22"/>
              </w:rPr>
              <w:t>x</w:t>
            </w:r>
            <w:r w:rsidR="00795FE5" w:rsidRPr="00795FE5">
              <w:rPr>
                <w:sz w:val="22"/>
                <w:szCs w:val="22"/>
              </w:rPr>
              <w:t xml:space="preserve">) </w:t>
            </w:r>
            <w:r w:rsidRPr="00AC7966">
              <w:rPr>
                <w:sz w:val="22"/>
                <w:szCs w:val="22"/>
              </w:rPr>
              <w:t>regulovaným subjektom právnická osoba alebo fyzická osoba podľa osobitných predpisov,1</w:t>
            </w:r>
            <w:r w:rsidRPr="00AC7966">
              <w:rPr>
                <w:sz w:val="22"/>
                <w:szCs w:val="22"/>
                <w:vertAlign w:val="superscript"/>
              </w:rPr>
              <w:t>ag</w:t>
            </w:r>
            <w:r w:rsidRPr="00AC7966">
              <w:rPr>
                <w:sz w:val="22"/>
                <w:szCs w:val="22"/>
              </w:rPr>
              <w:t xml:space="preserve">) ktorá vykonáva činnosť uvedenú v prílohe č. 1 tabuľke B a ktorá uvádza palivo na trh, </w:t>
            </w:r>
          </w:p>
          <w:p w14:paraId="2F22964C" w14:textId="77777777" w:rsidR="00350EB0" w:rsidRPr="001300A9" w:rsidRDefault="00350EB0" w:rsidP="00736B1A">
            <w:pPr>
              <w:pStyle w:val="Default"/>
              <w:rPr>
                <w:sz w:val="22"/>
                <w:szCs w:val="22"/>
              </w:rPr>
            </w:pPr>
          </w:p>
          <w:p w14:paraId="7D0328EF" w14:textId="77777777" w:rsidR="00350EB0" w:rsidRPr="001300A9" w:rsidRDefault="00350EB0" w:rsidP="00736B1A">
            <w:pPr>
              <w:pStyle w:val="Default"/>
              <w:rPr>
                <w:sz w:val="22"/>
                <w:szCs w:val="22"/>
              </w:rPr>
            </w:pPr>
          </w:p>
          <w:p w14:paraId="0E7BF72C" w14:textId="77777777" w:rsidR="00350EB0" w:rsidRPr="001300A9" w:rsidRDefault="00350EB0" w:rsidP="00736B1A">
            <w:pPr>
              <w:pStyle w:val="Default"/>
              <w:rPr>
                <w:sz w:val="22"/>
                <w:szCs w:val="22"/>
              </w:rPr>
            </w:pPr>
          </w:p>
          <w:p w14:paraId="7E375469" w14:textId="77777777" w:rsidR="00350EB0" w:rsidRPr="001300A9" w:rsidRDefault="00350EB0" w:rsidP="00736B1A">
            <w:pPr>
              <w:pStyle w:val="Default"/>
              <w:rPr>
                <w:sz w:val="22"/>
                <w:szCs w:val="22"/>
              </w:rPr>
            </w:pPr>
          </w:p>
          <w:p w14:paraId="5890D4F0" w14:textId="77777777" w:rsidR="00350EB0" w:rsidRPr="001300A9" w:rsidRDefault="00350EB0" w:rsidP="00736B1A">
            <w:pPr>
              <w:pStyle w:val="Default"/>
              <w:rPr>
                <w:sz w:val="22"/>
                <w:szCs w:val="22"/>
              </w:rPr>
            </w:pPr>
          </w:p>
          <w:p w14:paraId="5E99CD3D" w14:textId="77777777" w:rsidR="00350EB0" w:rsidRPr="001300A9" w:rsidRDefault="00350EB0" w:rsidP="00736B1A">
            <w:pPr>
              <w:pStyle w:val="Default"/>
              <w:rPr>
                <w:sz w:val="22"/>
                <w:szCs w:val="22"/>
              </w:rPr>
            </w:pPr>
          </w:p>
          <w:p w14:paraId="5FC0F61D" w14:textId="77777777" w:rsidR="00795FE5" w:rsidRDefault="00795FE5" w:rsidP="00736B1A">
            <w:pPr>
              <w:pStyle w:val="Default"/>
              <w:rPr>
                <w:sz w:val="22"/>
                <w:szCs w:val="22"/>
              </w:rPr>
            </w:pPr>
          </w:p>
          <w:p w14:paraId="2C0DC2BD" w14:textId="77777777" w:rsidR="00795FE5" w:rsidRDefault="00795FE5" w:rsidP="00736B1A">
            <w:pPr>
              <w:pStyle w:val="Default"/>
              <w:rPr>
                <w:sz w:val="22"/>
                <w:szCs w:val="22"/>
              </w:rPr>
            </w:pPr>
          </w:p>
          <w:p w14:paraId="0FAD7051" w14:textId="77777777" w:rsidR="00795FE5" w:rsidRDefault="00795FE5" w:rsidP="00736B1A">
            <w:pPr>
              <w:pStyle w:val="Default"/>
              <w:rPr>
                <w:sz w:val="22"/>
                <w:szCs w:val="22"/>
              </w:rPr>
            </w:pPr>
          </w:p>
          <w:p w14:paraId="0FD5C693" w14:textId="77777777" w:rsidR="00795FE5" w:rsidRDefault="00795FE5" w:rsidP="00736B1A">
            <w:pPr>
              <w:pStyle w:val="Default"/>
              <w:rPr>
                <w:sz w:val="22"/>
                <w:szCs w:val="22"/>
              </w:rPr>
            </w:pPr>
          </w:p>
          <w:p w14:paraId="19AB1A35" w14:textId="77777777" w:rsidR="00795FE5" w:rsidRDefault="00795FE5" w:rsidP="00736B1A">
            <w:pPr>
              <w:pStyle w:val="Default"/>
              <w:rPr>
                <w:sz w:val="22"/>
                <w:szCs w:val="22"/>
              </w:rPr>
            </w:pPr>
          </w:p>
          <w:p w14:paraId="63390234" w14:textId="77777777" w:rsidR="00795FE5" w:rsidRDefault="00795FE5" w:rsidP="00736B1A">
            <w:pPr>
              <w:pStyle w:val="Default"/>
              <w:rPr>
                <w:sz w:val="22"/>
                <w:szCs w:val="22"/>
              </w:rPr>
            </w:pPr>
          </w:p>
          <w:p w14:paraId="0344C3AC" w14:textId="77777777" w:rsidR="00795FE5" w:rsidRDefault="00795FE5" w:rsidP="00736B1A">
            <w:pPr>
              <w:pStyle w:val="Default"/>
              <w:rPr>
                <w:sz w:val="22"/>
                <w:szCs w:val="22"/>
              </w:rPr>
            </w:pPr>
          </w:p>
          <w:p w14:paraId="7F4C8817" w14:textId="77777777" w:rsidR="00795FE5" w:rsidRDefault="00795FE5" w:rsidP="00736B1A">
            <w:pPr>
              <w:pStyle w:val="Default"/>
              <w:rPr>
                <w:sz w:val="22"/>
                <w:szCs w:val="22"/>
              </w:rPr>
            </w:pPr>
          </w:p>
          <w:p w14:paraId="4D245336" w14:textId="77777777" w:rsidR="00795FE5" w:rsidRDefault="00795FE5" w:rsidP="00736B1A">
            <w:pPr>
              <w:pStyle w:val="Default"/>
              <w:rPr>
                <w:sz w:val="22"/>
                <w:szCs w:val="22"/>
              </w:rPr>
            </w:pPr>
          </w:p>
          <w:p w14:paraId="5D77303C" w14:textId="77777777" w:rsidR="00795FE5" w:rsidRDefault="00795FE5" w:rsidP="00736B1A">
            <w:pPr>
              <w:pStyle w:val="Default"/>
              <w:rPr>
                <w:sz w:val="22"/>
                <w:szCs w:val="22"/>
              </w:rPr>
            </w:pPr>
          </w:p>
          <w:p w14:paraId="632DD0ED" w14:textId="77777777" w:rsidR="00795FE5" w:rsidRDefault="00795FE5" w:rsidP="00736B1A">
            <w:pPr>
              <w:pStyle w:val="Default"/>
              <w:rPr>
                <w:sz w:val="22"/>
                <w:szCs w:val="22"/>
              </w:rPr>
            </w:pPr>
          </w:p>
          <w:p w14:paraId="0C9170EC" w14:textId="77777777" w:rsidR="00795FE5" w:rsidRDefault="00795FE5" w:rsidP="00736B1A">
            <w:pPr>
              <w:pStyle w:val="Default"/>
              <w:rPr>
                <w:sz w:val="22"/>
                <w:szCs w:val="22"/>
              </w:rPr>
            </w:pPr>
          </w:p>
          <w:p w14:paraId="6B794BB8" w14:textId="77777777" w:rsidR="00795FE5" w:rsidRDefault="00795FE5" w:rsidP="00736B1A">
            <w:pPr>
              <w:pStyle w:val="Default"/>
              <w:rPr>
                <w:sz w:val="22"/>
                <w:szCs w:val="22"/>
              </w:rPr>
            </w:pPr>
          </w:p>
          <w:p w14:paraId="5F590936" w14:textId="77777777" w:rsidR="00795FE5" w:rsidRDefault="00795FE5" w:rsidP="00736B1A">
            <w:pPr>
              <w:pStyle w:val="Default"/>
              <w:rPr>
                <w:sz w:val="22"/>
                <w:szCs w:val="22"/>
              </w:rPr>
            </w:pPr>
          </w:p>
          <w:p w14:paraId="60E6EBD1" w14:textId="77777777" w:rsidR="00795FE5" w:rsidRDefault="00795FE5" w:rsidP="00736B1A">
            <w:pPr>
              <w:pStyle w:val="Default"/>
              <w:rPr>
                <w:sz w:val="22"/>
                <w:szCs w:val="22"/>
              </w:rPr>
            </w:pPr>
          </w:p>
          <w:p w14:paraId="6F3A094D" w14:textId="77777777" w:rsidR="00795FE5" w:rsidRDefault="00795FE5" w:rsidP="00736B1A">
            <w:pPr>
              <w:pStyle w:val="Default"/>
              <w:rPr>
                <w:sz w:val="22"/>
                <w:szCs w:val="22"/>
              </w:rPr>
            </w:pPr>
          </w:p>
          <w:p w14:paraId="7BE94081" w14:textId="77777777" w:rsidR="00795FE5" w:rsidRDefault="00795FE5" w:rsidP="00736B1A">
            <w:pPr>
              <w:pStyle w:val="Default"/>
              <w:rPr>
                <w:sz w:val="22"/>
                <w:szCs w:val="22"/>
              </w:rPr>
            </w:pPr>
          </w:p>
          <w:p w14:paraId="00EF1D94" w14:textId="77777777" w:rsidR="00795FE5" w:rsidRDefault="00795FE5" w:rsidP="00736B1A">
            <w:pPr>
              <w:pStyle w:val="Default"/>
              <w:rPr>
                <w:sz w:val="22"/>
                <w:szCs w:val="22"/>
              </w:rPr>
            </w:pPr>
          </w:p>
          <w:p w14:paraId="0C48B2F3" w14:textId="77777777" w:rsidR="00795FE5" w:rsidRDefault="00795FE5" w:rsidP="00736B1A">
            <w:pPr>
              <w:pStyle w:val="Default"/>
              <w:rPr>
                <w:sz w:val="22"/>
                <w:szCs w:val="22"/>
              </w:rPr>
            </w:pPr>
          </w:p>
          <w:p w14:paraId="647C8C68" w14:textId="77777777" w:rsidR="00795FE5" w:rsidRDefault="00795FE5" w:rsidP="00736B1A">
            <w:pPr>
              <w:pStyle w:val="Default"/>
              <w:rPr>
                <w:sz w:val="22"/>
                <w:szCs w:val="22"/>
              </w:rPr>
            </w:pPr>
          </w:p>
          <w:p w14:paraId="7A1324B0" w14:textId="77777777" w:rsidR="00795FE5" w:rsidRDefault="00795FE5" w:rsidP="00736B1A">
            <w:pPr>
              <w:pStyle w:val="Default"/>
              <w:rPr>
                <w:sz w:val="22"/>
                <w:szCs w:val="22"/>
              </w:rPr>
            </w:pPr>
          </w:p>
          <w:p w14:paraId="28664D60" w14:textId="77777777" w:rsidR="00795FE5" w:rsidRDefault="00795FE5" w:rsidP="00736B1A">
            <w:pPr>
              <w:pStyle w:val="Default"/>
              <w:rPr>
                <w:sz w:val="22"/>
                <w:szCs w:val="22"/>
              </w:rPr>
            </w:pPr>
          </w:p>
          <w:p w14:paraId="311D9F48" w14:textId="77777777" w:rsidR="00795FE5" w:rsidRDefault="00795FE5" w:rsidP="00736B1A">
            <w:pPr>
              <w:pStyle w:val="Default"/>
              <w:rPr>
                <w:sz w:val="22"/>
                <w:szCs w:val="22"/>
              </w:rPr>
            </w:pPr>
          </w:p>
          <w:p w14:paraId="6B8F6618" w14:textId="285B5391" w:rsidR="00BB33D9" w:rsidRDefault="00BB33D9" w:rsidP="00795FE5">
            <w:pPr>
              <w:pStyle w:val="Default"/>
              <w:rPr>
                <w:sz w:val="22"/>
                <w:szCs w:val="22"/>
              </w:rPr>
            </w:pPr>
          </w:p>
          <w:p w14:paraId="28FF5294" w14:textId="4EDAA1E0" w:rsidR="4792BE4F" w:rsidRDefault="4792BE4F" w:rsidP="4792BE4F">
            <w:pPr>
              <w:pStyle w:val="Default"/>
              <w:rPr>
                <w:sz w:val="22"/>
                <w:szCs w:val="22"/>
              </w:rPr>
            </w:pPr>
          </w:p>
          <w:p w14:paraId="20B066AF" w14:textId="38C6FD98" w:rsidR="4792BE4F" w:rsidRDefault="4792BE4F" w:rsidP="4792BE4F">
            <w:pPr>
              <w:pStyle w:val="Default"/>
              <w:rPr>
                <w:sz w:val="22"/>
                <w:szCs w:val="22"/>
              </w:rPr>
            </w:pPr>
          </w:p>
          <w:p w14:paraId="038E5DE9" w14:textId="7483F4B8" w:rsidR="4792BE4F" w:rsidRDefault="4792BE4F" w:rsidP="4792BE4F">
            <w:pPr>
              <w:pStyle w:val="Default"/>
              <w:rPr>
                <w:sz w:val="22"/>
                <w:szCs w:val="22"/>
              </w:rPr>
            </w:pPr>
          </w:p>
          <w:p w14:paraId="4EE7ED00" w14:textId="2ABA399B" w:rsidR="4792BE4F" w:rsidRDefault="4792BE4F" w:rsidP="4792BE4F">
            <w:pPr>
              <w:pStyle w:val="Default"/>
              <w:rPr>
                <w:sz w:val="22"/>
                <w:szCs w:val="22"/>
              </w:rPr>
            </w:pPr>
          </w:p>
          <w:p w14:paraId="609C678F" w14:textId="77777777" w:rsidR="00452B3F" w:rsidRDefault="00452B3F" w:rsidP="00795FE5">
            <w:pPr>
              <w:pStyle w:val="Default"/>
              <w:rPr>
                <w:sz w:val="22"/>
                <w:szCs w:val="22"/>
              </w:rPr>
            </w:pPr>
          </w:p>
          <w:p w14:paraId="0A5C5BF7" w14:textId="71DEE289" w:rsidR="00AC7966" w:rsidRPr="00AC7966" w:rsidRDefault="27CB74E3" w:rsidP="00AC7966">
            <w:pPr>
              <w:pStyle w:val="Default"/>
              <w:rPr>
                <w:sz w:val="22"/>
                <w:szCs w:val="22"/>
              </w:rPr>
            </w:pPr>
            <w:r w:rsidRPr="5F673433">
              <w:rPr>
                <w:sz w:val="22"/>
                <w:szCs w:val="22"/>
              </w:rPr>
              <w:t>y)</w:t>
            </w:r>
            <w:r w:rsidR="79E410F2" w:rsidRPr="5F673433">
              <w:rPr>
                <w:sz w:val="22"/>
                <w:szCs w:val="22"/>
              </w:rPr>
              <w:t xml:space="preserve"> </w:t>
            </w:r>
            <w:r w:rsidRPr="5F673433">
              <w:rPr>
                <w:sz w:val="22"/>
                <w:szCs w:val="22"/>
              </w:rPr>
              <w:t xml:space="preserve">palivom energetický výrobok ponúkaný na použitie alebo použitý ako motorové palivo alebo vykurovacie palivo, alebo na výrobu elektrickej energie, na ktorý sa vzťahujú činnosti uvedené v prílohe č. 1 tabuľke B, ktorým je: </w:t>
            </w:r>
          </w:p>
          <w:p w14:paraId="1440BB58" w14:textId="1A72409B" w:rsidR="00AC7966" w:rsidRPr="00AC7966" w:rsidRDefault="00621BD8" w:rsidP="00AC7966">
            <w:pPr>
              <w:pStyle w:val="Default"/>
              <w:rPr>
                <w:sz w:val="22"/>
                <w:szCs w:val="22"/>
              </w:rPr>
            </w:pPr>
            <w:r w:rsidRPr="00795FE5">
              <w:rPr>
                <w:sz w:val="22"/>
                <w:szCs w:val="22"/>
              </w:rPr>
              <w:t xml:space="preserve">        </w:t>
            </w:r>
            <w:r w:rsidR="00AC7966" w:rsidRPr="00AC7966">
              <w:rPr>
                <w:sz w:val="22"/>
                <w:szCs w:val="22"/>
              </w:rPr>
              <w:t>1. minerálny olej uvedený v osobitnom predpise,1</w:t>
            </w:r>
            <w:r w:rsidR="00AC7966" w:rsidRPr="00621BD8">
              <w:rPr>
                <w:sz w:val="22"/>
                <w:szCs w:val="22"/>
                <w:vertAlign w:val="superscript"/>
              </w:rPr>
              <w:t>ae</w:t>
            </w:r>
            <w:r w:rsidR="00AC7966" w:rsidRPr="00AC7966">
              <w:rPr>
                <w:sz w:val="22"/>
                <w:szCs w:val="22"/>
              </w:rPr>
              <w:t xml:space="preserve">) </w:t>
            </w:r>
          </w:p>
          <w:p w14:paraId="16060426" w14:textId="2C2538CD" w:rsidR="002B06FC" w:rsidRDefault="00621BD8" w:rsidP="00AC7966">
            <w:pPr>
              <w:pStyle w:val="Default"/>
              <w:rPr>
                <w:sz w:val="22"/>
                <w:szCs w:val="22"/>
              </w:rPr>
            </w:pPr>
            <w:r w:rsidRPr="00795FE5">
              <w:rPr>
                <w:sz w:val="22"/>
                <w:szCs w:val="22"/>
              </w:rPr>
              <w:t xml:space="preserve">        </w:t>
            </w:r>
            <w:r w:rsidR="00AC7966" w:rsidRPr="00AC7966">
              <w:rPr>
                <w:sz w:val="22"/>
                <w:szCs w:val="22"/>
              </w:rPr>
              <w:t>2. elektrina, uhlie a zemný plyn uvedené v osobitnom predpise,1</w:t>
            </w:r>
            <w:r w:rsidR="00AC7966" w:rsidRPr="00621BD8">
              <w:rPr>
                <w:sz w:val="22"/>
                <w:szCs w:val="22"/>
                <w:vertAlign w:val="superscript"/>
              </w:rPr>
              <w:t>af</w:t>
            </w:r>
            <w:r w:rsidR="00AC7966" w:rsidRPr="00AC7966">
              <w:rPr>
                <w:sz w:val="22"/>
                <w:szCs w:val="22"/>
              </w:rPr>
              <w:t xml:space="preserve">) </w:t>
            </w:r>
          </w:p>
          <w:p w14:paraId="634DD3D3" w14:textId="01683816" w:rsidR="5F673433" w:rsidRDefault="5F673433" w:rsidP="5F673433">
            <w:pPr>
              <w:pStyle w:val="Default"/>
              <w:rPr>
                <w:sz w:val="22"/>
                <w:szCs w:val="22"/>
              </w:rPr>
            </w:pPr>
          </w:p>
          <w:p w14:paraId="37F8A6FC" w14:textId="6B0B45EB" w:rsidR="00795FE5" w:rsidRPr="00795FE5" w:rsidRDefault="12ABD873" w:rsidP="00795FE5">
            <w:pPr>
              <w:pStyle w:val="Default"/>
              <w:rPr>
                <w:sz w:val="22"/>
                <w:szCs w:val="22"/>
              </w:rPr>
            </w:pPr>
            <w:r w:rsidRPr="5F673433">
              <w:rPr>
                <w:sz w:val="22"/>
                <w:szCs w:val="22"/>
              </w:rPr>
              <w:lastRenderedPageBreak/>
              <w:t>z</w:t>
            </w:r>
            <w:r w:rsidR="79E410F2" w:rsidRPr="5F673433">
              <w:rPr>
                <w:sz w:val="22"/>
                <w:szCs w:val="22"/>
              </w:rPr>
              <w:t>) uvedením paliva na trh sa na účely tohto zákona roz</w:t>
            </w:r>
            <w:r w:rsidR="0D239D8F" w:rsidRPr="5F673433">
              <w:rPr>
                <w:sz w:val="22"/>
                <w:szCs w:val="22"/>
              </w:rPr>
              <w:t>umie pri palive podľa písmena y</w:t>
            </w:r>
            <w:r w:rsidR="79E410F2" w:rsidRPr="5F673433">
              <w:rPr>
                <w:sz w:val="22"/>
                <w:szCs w:val="22"/>
              </w:rPr>
              <w:t>)</w:t>
            </w:r>
          </w:p>
          <w:p w14:paraId="348D042B" w14:textId="798AD866" w:rsidR="00621BD8" w:rsidRPr="00621BD8" w:rsidRDefault="79E410F2" w:rsidP="00621BD8">
            <w:pPr>
              <w:pStyle w:val="Default"/>
              <w:rPr>
                <w:sz w:val="22"/>
                <w:szCs w:val="22"/>
              </w:rPr>
            </w:pPr>
            <w:r w:rsidRPr="5F673433">
              <w:rPr>
                <w:sz w:val="22"/>
                <w:szCs w:val="22"/>
              </w:rPr>
              <w:t xml:space="preserve">        </w:t>
            </w:r>
            <w:r w:rsidR="12ABD873" w:rsidRPr="5F673433">
              <w:rPr>
                <w:sz w:val="22"/>
                <w:szCs w:val="22"/>
              </w:rPr>
              <w:t>1. prvého bodu uvedenie do daňového voľného obehu podľa osobitného predpisu</w:t>
            </w:r>
            <w:r w:rsidR="12ABD873" w:rsidRPr="5F673433">
              <w:rPr>
                <w:sz w:val="22"/>
                <w:szCs w:val="22"/>
                <w:vertAlign w:val="superscript"/>
              </w:rPr>
              <w:t>1ah</w:t>
            </w:r>
            <w:r w:rsidR="12ABD873" w:rsidRPr="5F673433">
              <w:rPr>
                <w:sz w:val="22"/>
                <w:szCs w:val="22"/>
              </w:rPr>
              <w:t>) alebo prijatie podľa osobitného predpisu,</w:t>
            </w:r>
            <w:r w:rsidR="12ABD873" w:rsidRPr="5F673433">
              <w:rPr>
                <w:sz w:val="22"/>
                <w:szCs w:val="22"/>
                <w:vertAlign w:val="superscript"/>
              </w:rPr>
              <w:t>1ai</w:t>
            </w:r>
            <w:r w:rsidR="12ABD873" w:rsidRPr="5F673433">
              <w:rPr>
                <w:sz w:val="22"/>
                <w:szCs w:val="22"/>
              </w:rPr>
              <w:t xml:space="preserve">) </w:t>
            </w:r>
          </w:p>
          <w:p w14:paraId="54AB3B64" w14:textId="06B3A9A2" w:rsidR="00350EB0" w:rsidRPr="001300A9" w:rsidRDefault="12ABD873" w:rsidP="00621BD8">
            <w:pPr>
              <w:pStyle w:val="Default"/>
              <w:rPr>
                <w:sz w:val="22"/>
                <w:szCs w:val="22"/>
              </w:rPr>
            </w:pPr>
            <w:r w:rsidRPr="5F673433">
              <w:rPr>
                <w:sz w:val="22"/>
                <w:szCs w:val="22"/>
              </w:rPr>
              <w:t xml:space="preserve">   2. druhého bodu použitie na účely oslobodené od dane podľa osobitného predpisu</w:t>
            </w:r>
            <w:r w:rsidRPr="5F673433">
              <w:rPr>
                <w:sz w:val="22"/>
                <w:szCs w:val="22"/>
                <w:vertAlign w:val="superscript"/>
              </w:rPr>
              <w:t>1aj</w:t>
            </w:r>
            <w:r w:rsidRPr="5F673433">
              <w:rPr>
                <w:sz w:val="22"/>
                <w:szCs w:val="22"/>
              </w:rPr>
              <w:t>) alebo vznik daňovej povinnosti podľa osobitného predpisu.</w:t>
            </w:r>
            <w:r w:rsidRPr="5F673433">
              <w:rPr>
                <w:sz w:val="22"/>
                <w:szCs w:val="22"/>
                <w:vertAlign w:val="superscript"/>
              </w:rPr>
              <w:t>1ak</w:t>
            </w:r>
            <w:r w:rsidRPr="5F673433">
              <w:rPr>
                <w:sz w:val="22"/>
                <w:szCs w:val="22"/>
              </w:rPr>
              <w:t>)</w:t>
            </w:r>
          </w:p>
        </w:tc>
        <w:tc>
          <w:tcPr>
            <w:tcW w:w="567" w:type="dxa"/>
          </w:tcPr>
          <w:p w14:paraId="481253A1" w14:textId="77777777" w:rsidR="00357CEC" w:rsidRPr="001300A9" w:rsidRDefault="007349E0" w:rsidP="00357CEC">
            <w:pPr>
              <w:pStyle w:val="Default"/>
              <w:rPr>
                <w:sz w:val="22"/>
                <w:szCs w:val="22"/>
              </w:rPr>
            </w:pPr>
            <w:r w:rsidRPr="001300A9">
              <w:rPr>
                <w:sz w:val="22"/>
                <w:szCs w:val="22"/>
              </w:rPr>
              <w:lastRenderedPageBreak/>
              <w:t>Ú</w:t>
            </w:r>
          </w:p>
          <w:p w14:paraId="021F1B56" w14:textId="77777777" w:rsidR="007349E0" w:rsidRPr="001300A9" w:rsidRDefault="007349E0" w:rsidP="00357CEC">
            <w:pPr>
              <w:pStyle w:val="Default"/>
              <w:rPr>
                <w:sz w:val="22"/>
                <w:szCs w:val="22"/>
              </w:rPr>
            </w:pPr>
          </w:p>
          <w:p w14:paraId="7E686F88" w14:textId="77777777" w:rsidR="007349E0" w:rsidRPr="001300A9" w:rsidRDefault="007349E0" w:rsidP="00357CEC">
            <w:pPr>
              <w:pStyle w:val="Default"/>
              <w:rPr>
                <w:sz w:val="22"/>
                <w:szCs w:val="22"/>
              </w:rPr>
            </w:pPr>
          </w:p>
          <w:p w14:paraId="078BA494" w14:textId="77777777" w:rsidR="007349E0" w:rsidRPr="001300A9" w:rsidRDefault="007349E0" w:rsidP="00357CEC">
            <w:pPr>
              <w:pStyle w:val="Default"/>
              <w:rPr>
                <w:sz w:val="22"/>
                <w:szCs w:val="22"/>
              </w:rPr>
            </w:pPr>
          </w:p>
          <w:p w14:paraId="13358907" w14:textId="77777777" w:rsidR="007349E0" w:rsidRPr="001300A9" w:rsidRDefault="007349E0" w:rsidP="00357CEC">
            <w:pPr>
              <w:pStyle w:val="Default"/>
              <w:rPr>
                <w:sz w:val="22"/>
                <w:szCs w:val="22"/>
              </w:rPr>
            </w:pPr>
          </w:p>
          <w:p w14:paraId="07D67B0F" w14:textId="77777777" w:rsidR="007349E0" w:rsidRPr="001300A9" w:rsidRDefault="007349E0" w:rsidP="00357CEC">
            <w:pPr>
              <w:pStyle w:val="Default"/>
              <w:rPr>
                <w:sz w:val="22"/>
                <w:szCs w:val="22"/>
              </w:rPr>
            </w:pPr>
          </w:p>
          <w:p w14:paraId="4A3B93B0" w14:textId="77777777" w:rsidR="007349E0" w:rsidRPr="001300A9" w:rsidRDefault="007349E0" w:rsidP="00357CEC">
            <w:pPr>
              <w:pStyle w:val="Default"/>
              <w:rPr>
                <w:sz w:val="22"/>
                <w:szCs w:val="22"/>
              </w:rPr>
            </w:pPr>
          </w:p>
          <w:p w14:paraId="6A9DAB57" w14:textId="77777777" w:rsidR="007349E0" w:rsidRPr="001300A9" w:rsidRDefault="007349E0" w:rsidP="00357CEC">
            <w:pPr>
              <w:pStyle w:val="Default"/>
              <w:rPr>
                <w:sz w:val="22"/>
                <w:szCs w:val="22"/>
              </w:rPr>
            </w:pPr>
          </w:p>
          <w:p w14:paraId="3DC311BB" w14:textId="77777777" w:rsidR="007349E0" w:rsidRPr="001300A9" w:rsidRDefault="007349E0" w:rsidP="00357CEC">
            <w:pPr>
              <w:pStyle w:val="Default"/>
              <w:rPr>
                <w:sz w:val="22"/>
                <w:szCs w:val="22"/>
              </w:rPr>
            </w:pPr>
          </w:p>
          <w:p w14:paraId="7F8C06B3" w14:textId="77777777" w:rsidR="007349E0" w:rsidRPr="001300A9" w:rsidRDefault="007349E0" w:rsidP="00357CEC">
            <w:pPr>
              <w:pStyle w:val="Default"/>
              <w:rPr>
                <w:sz w:val="22"/>
                <w:szCs w:val="22"/>
              </w:rPr>
            </w:pPr>
          </w:p>
          <w:p w14:paraId="39EA0414" w14:textId="77777777" w:rsidR="007349E0" w:rsidRPr="001300A9" w:rsidRDefault="007349E0" w:rsidP="00357CEC">
            <w:pPr>
              <w:pStyle w:val="Default"/>
              <w:rPr>
                <w:sz w:val="22"/>
                <w:szCs w:val="22"/>
              </w:rPr>
            </w:pPr>
          </w:p>
          <w:p w14:paraId="2A10AC4E" w14:textId="77777777" w:rsidR="001E78AA" w:rsidRDefault="001E78AA" w:rsidP="00357CEC">
            <w:pPr>
              <w:pStyle w:val="Default"/>
              <w:rPr>
                <w:sz w:val="22"/>
                <w:szCs w:val="22"/>
              </w:rPr>
            </w:pPr>
          </w:p>
          <w:p w14:paraId="3FD4F1CF" w14:textId="77777777" w:rsidR="001E78AA" w:rsidRDefault="001E78AA" w:rsidP="00357CEC">
            <w:pPr>
              <w:pStyle w:val="Default"/>
              <w:rPr>
                <w:sz w:val="22"/>
                <w:szCs w:val="22"/>
              </w:rPr>
            </w:pPr>
          </w:p>
          <w:p w14:paraId="1CE69375" w14:textId="77777777" w:rsidR="001E78AA" w:rsidRDefault="001E78AA" w:rsidP="00357CEC">
            <w:pPr>
              <w:pStyle w:val="Default"/>
              <w:rPr>
                <w:sz w:val="22"/>
                <w:szCs w:val="22"/>
              </w:rPr>
            </w:pPr>
          </w:p>
          <w:p w14:paraId="0E65BBFC" w14:textId="77777777" w:rsidR="001E78AA" w:rsidRDefault="001E78AA" w:rsidP="00357CEC">
            <w:pPr>
              <w:pStyle w:val="Default"/>
              <w:rPr>
                <w:sz w:val="22"/>
                <w:szCs w:val="22"/>
              </w:rPr>
            </w:pPr>
          </w:p>
          <w:p w14:paraId="665538DC" w14:textId="77777777" w:rsidR="001E78AA" w:rsidRDefault="001E78AA" w:rsidP="00357CEC">
            <w:pPr>
              <w:pStyle w:val="Default"/>
              <w:rPr>
                <w:sz w:val="22"/>
                <w:szCs w:val="22"/>
              </w:rPr>
            </w:pPr>
          </w:p>
          <w:p w14:paraId="5793BBC8" w14:textId="77777777" w:rsidR="001E78AA" w:rsidRDefault="001E78AA" w:rsidP="00357CEC">
            <w:pPr>
              <w:pStyle w:val="Default"/>
              <w:rPr>
                <w:sz w:val="22"/>
                <w:szCs w:val="22"/>
              </w:rPr>
            </w:pPr>
          </w:p>
          <w:p w14:paraId="2E097542" w14:textId="77777777" w:rsidR="001E78AA" w:rsidRDefault="001E78AA" w:rsidP="00357CEC">
            <w:pPr>
              <w:pStyle w:val="Default"/>
              <w:rPr>
                <w:sz w:val="22"/>
                <w:szCs w:val="22"/>
              </w:rPr>
            </w:pPr>
          </w:p>
          <w:p w14:paraId="3C8FFD84" w14:textId="77777777" w:rsidR="001E78AA" w:rsidRDefault="001E78AA" w:rsidP="00357CEC">
            <w:pPr>
              <w:pStyle w:val="Default"/>
              <w:rPr>
                <w:sz w:val="22"/>
                <w:szCs w:val="22"/>
              </w:rPr>
            </w:pPr>
          </w:p>
          <w:p w14:paraId="235B18A5" w14:textId="202D42D4" w:rsidR="001E78AA" w:rsidRDefault="001E78AA" w:rsidP="00357CEC">
            <w:pPr>
              <w:pStyle w:val="Default"/>
              <w:rPr>
                <w:sz w:val="22"/>
                <w:szCs w:val="22"/>
              </w:rPr>
            </w:pPr>
          </w:p>
          <w:p w14:paraId="3EBECD7A" w14:textId="32B6489B" w:rsidR="4792BE4F" w:rsidRDefault="4792BE4F" w:rsidP="4792BE4F">
            <w:pPr>
              <w:pStyle w:val="Default"/>
              <w:rPr>
                <w:sz w:val="22"/>
                <w:szCs w:val="22"/>
              </w:rPr>
            </w:pPr>
          </w:p>
          <w:p w14:paraId="61AB4144" w14:textId="38D01FA7" w:rsidR="007349E0" w:rsidRPr="001300A9" w:rsidRDefault="007349E0" w:rsidP="00357CEC">
            <w:pPr>
              <w:pStyle w:val="Default"/>
              <w:rPr>
                <w:sz w:val="22"/>
                <w:szCs w:val="22"/>
              </w:rPr>
            </w:pPr>
            <w:r w:rsidRPr="001300A9">
              <w:rPr>
                <w:sz w:val="22"/>
                <w:szCs w:val="22"/>
              </w:rPr>
              <w:t>Ú</w:t>
            </w:r>
          </w:p>
          <w:p w14:paraId="01F3AAEB" w14:textId="77777777" w:rsidR="007349E0" w:rsidRPr="001300A9" w:rsidRDefault="007349E0" w:rsidP="00357CEC">
            <w:pPr>
              <w:pStyle w:val="Default"/>
              <w:rPr>
                <w:sz w:val="22"/>
                <w:szCs w:val="22"/>
              </w:rPr>
            </w:pPr>
          </w:p>
          <w:p w14:paraId="7BF0AB58" w14:textId="77777777" w:rsidR="007349E0" w:rsidRPr="001300A9" w:rsidRDefault="007349E0" w:rsidP="00357CEC">
            <w:pPr>
              <w:pStyle w:val="Default"/>
              <w:rPr>
                <w:sz w:val="22"/>
                <w:szCs w:val="22"/>
              </w:rPr>
            </w:pPr>
          </w:p>
          <w:p w14:paraId="5AEA5517" w14:textId="77777777" w:rsidR="007349E0" w:rsidRPr="001300A9" w:rsidRDefault="007349E0" w:rsidP="00357CEC">
            <w:pPr>
              <w:pStyle w:val="Default"/>
              <w:rPr>
                <w:sz w:val="22"/>
                <w:szCs w:val="22"/>
              </w:rPr>
            </w:pPr>
          </w:p>
          <w:p w14:paraId="17FA23CF" w14:textId="77777777" w:rsidR="001E78AA" w:rsidRDefault="001E78AA" w:rsidP="00357CEC">
            <w:pPr>
              <w:pStyle w:val="Default"/>
              <w:rPr>
                <w:sz w:val="22"/>
                <w:szCs w:val="22"/>
              </w:rPr>
            </w:pPr>
          </w:p>
          <w:p w14:paraId="0C76F04C" w14:textId="77777777" w:rsidR="001E78AA" w:rsidRDefault="001E78AA" w:rsidP="00357CEC">
            <w:pPr>
              <w:pStyle w:val="Default"/>
              <w:rPr>
                <w:sz w:val="22"/>
                <w:szCs w:val="22"/>
              </w:rPr>
            </w:pPr>
          </w:p>
          <w:p w14:paraId="31482C16" w14:textId="77777777" w:rsidR="001E78AA" w:rsidRDefault="001E78AA" w:rsidP="00357CEC">
            <w:pPr>
              <w:pStyle w:val="Default"/>
              <w:rPr>
                <w:sz w:val="22"/>
                <w:szCs w:val="22"/>
              </w:rPr>
            </w:pPr>
          </w:p>
          <w:p w14:paraId="1F5C0BD8" w14:textId="77777777" w:rsidR="001E78AA" w:rsidRDefault="001E78AA" w:rsidP="00357CEC">
            <w:pPr>
              <w:pStyle w:val="Default"/>
              <w:rPr>
                <w:sz w:val="22"/>
                <w:szCs w:val="22"/>
              </w:rPr>
            </w:pPr>
          </w:p>
          <w:p w14:paraId="7C8E26CF" w14:textId="074B0657" w:rsidR="4792BE4F" w:rsidRDefault="4792BE4F" w:rsidP="4792BE4F">
            <w:pPr>
              <w:pStyle w:val="Default"/>
              <w:rPr>
                <w:sz w:val="22"/>
                <w:szCs w:val="22"/>
              </w:rPr>
            </w:pPr>
          </w:p>
          <w:p w14:paraId="16EEA0AB" w14:textId="3F3DA484" w:rsidR="5F673433" w:rsidRDefault="5F673433" w:rsidP="5F673433">
            <w:pPr>
              <w:pStyle w:val="Default"/>
              <w:rPr>
                <w:sz w:val="22"/>
                <w:szCs w:val="22"/>
              </w:rPr>
            </w:pPr>
          </w:p>
          <w:p w14:paraId="6ACF4984" w14:textId="38D004FC" w:rsidR="007349E0" w:rsidRPr="001300A9" w:rsidRDefault="4E70E883" w:rsidP="00357CEC">
            <w:pPr>
              <w:pStyle w:val="Default"/>
              <w:rPr>
                <w:sz w:val="22"/>
                <w:szCs w:val="22"/>
              </w:rPr>
            </w:pPr>
            <w:r w:rsidRPr="5F673433">
              <w:rPr>
                <w:sz w:val="22"/>
                <w:szCs w:val="22"/>
              </w:rPr>
              <w:t>Ú</w:t>
            </w:r>
          </w:p>
          <w:p w14:paraId="5F338928" w14:textId="6BCDA4E1" w:rsidR="5F673433" w:rsidRDefault="5F673433" w:rsidP="5F673433">
            <w:pPr>
              <w:pStyle w:val="Default"/>
              <w:rPr>
                <w:sz w:val="22"/>
                <w:szCs w:val="22"/>
              </w:rPr>
            </w:pPr>
          </w:p>
          <w:p w14:paraId="3383F08E" w14:textId="66C5A992" w:rsidR="5F673433" w:rsidRDefault="5F673433" w:rsidP="5F673433">
            <w:pPr>
              <w:pStyle w:val="Default"/>
              <w:rPr>
                <w:sz w:val="22"/>
                <w:szCs w:val="22"/>
              </w:rPr>
            </w:pPr>
          </w:p>
          <w:p w14:paraId="33987674" w14:textId="37E96FEC" w:rsidR="5F673433" w:rsidRDefault="5F673433" w:rsidP="5F673433">
            <w:pPr>
              <w:pStyle w:val="Default"/>
              <w:rPr>
                <w:sz w:val="22"/>
                <w:szCs w:val="22"/>
              </w:rPr>
            </w:pPr>
          </w:p>
          <w:p w14:paraId="7B306DD6" w14:textId="63745EA3" w:rsidR="5F673433" w:rsidRDefault="5F673433" w:rsidP="5F673433">
            <w:pPr>
              <w:pStyle w:val="Default"/>
              <w:rPr>
                <w:sz w:val="22"/>
                <w:szCs w:val="22"/>
              </w:rPr>
            </w:pPr>
          </w:p>
          <w:p w14:paraId="35544EEE" w14:textId="1D314055" w:rsidR="005900E4" w:rsidRPr="001300A9" w:rsidRDefault="56B5384B" w:rsidP="00357CEC">
            <w:pPr>
              <w:pStyle w:val="Default"/>
              <w:rPr>
                <w:sz w:val="22"/>
                <w:szCs w:val="22"/>
              </w:rPr>
            </w:pPr>
            <w:r w:rsidRPr="5F673433">
              <w:rPr>
                <w:sz w:val="22"/>
                <w:szCs w:val="22"/>
              </w:rPr>
              <w:t>Ú</w:t>
            </w:r>
          </w:p>
          <w:p w14:paraId="7E64CC82" w14:textId="77777777" w:rsidR="005900E4" w:rsidRPr="001300A9" w:rsidRDefault="005900E4" w:rsidP="00357CEC">
            <w:pPr>
              <w:pStyle w:val="Default"/>
              <w:rPr>
                <w:sz w:val="22"/>
                <w:szCs w:val="22"/>
              </w:rPr>
            </w:pPr>
          </w:p>
          <w:p w14:paraId="7C06A570" w14:textId="77777777" w:rsidR="005900E4" w:rsidRPr="001300A9" w:rsidRDefault="005900E4" w:rsidP="00357CEC">
            <w:pPr>
              <w:pStyle w:val="Default"/>
              <w:rPr>
                <w:sz w:val="22"/>
                <w:szCs w:val="22"/>
              </w:rPr>
            </w:pPr>
          </w:p>
          <w:p w14:paraId="2605B09A" w14:textId="77777777" w:rsidR="005900E4" w:rsidRPr="001300A9" w:rsidRDefault="005900E4" w:rsidP="00357CEC">
            <w:pPr>
              <w:pStyle w:val="Default"/>
              <w:rPr>
                <w:sz w:val="22"/>
                <w:szCs w:val="22"/>
              </w:rPr>
            </w:pPr>
          </w:p>
          <w:p w14:paraId="4354C19D" w14:textId="77777777" w:rsidR="005900E4" w:rsidRPr="001300A9" w:rsidRDefault="005900E4" w:rsidP="00357CEC">
            <w:pPr>
              <w:pStyle w:val="Default"/>
              <w:rPr>
                <w:sz w:val="22"/>
                <w:szCs w:val="22"/>
              </w:rPr>
            </w:pPr>
          </w:p>
          <w:p w14:paraId="25946A52" w14:textId="77777777" w:rsidR="005900E4" w:rsidRPr="001300A9" w:rsidRDefault="005900E4" w:rsidP="00357CEC">
            <w:pPr>
              <w:pStyle w:val="Default"/>
              <w:rPr>
                <w:sz w:val="22"/>
                <w:szCs w:val="22"/>
              </w:rPr>
            </w:pPr>
          </w:p>
          <w:p w14:paraId="49BF8DCD" w14:textId="77777777" w:rsidR="005900E4" w:rsidRPr="001300A9" w:rsidRDefault="005900E4" w:rsidP="00357CEC">
            <w:pPr>
              <w:pStyle w:val="Default"/>
              <w:rPr>
                <w:sz w:val="22"/>
                <w:szCs w:val="22"/>
              </w:rPr>
            </w:pPr>
          </w:p>
          <w:p w14:paraId="54AFCC49" w14:textId="77777777" w:rsidR="005900E4" w:rsidRPr="001300A9" w:rsidRDefault="005900E4" w:rsidP="00357CEC">
            <w:pPr>
              <w:pStyle w:val="Default"/>
              <w:rPr>
                <w:sz w:val="22"/>
                <w:szCs w:val="22"/>
              </w:rPr>
            </w:pPr>
          </w:p>
          <w:p w14:paraId="773CEC0D" w14:textId="77777777" w:rsidR="005900E4" w:rsidRPr="001300A9" w:rsidRDefault="005900E4" w:rsidP="00357CEC">
            <w:pPr>
              <w:pStyle w:val="Default"/>
              <w:rPr>
                <w:sz w:val="22"/>
                <w:szCs w:val="22"/>
              </w:rPr>
            </w:pPr>
          </w:p>
          <w:p w14:paraId="77389F43" w14:textId="77777777" w:rsidR="005900E4" w:rsidRPr="001300A9" w:rsidRDefault="005900E4" w:rsidP="00357CEC">
            <w:pPr>
              <w:pStyle w:val="Default"/>
              <w:rPr>
                <w:sz w:val="22"/>
                <w:szCs w:val="22"/>
              </w:rPr>
            </w:pPr>
          </w:p>
          <w:p w14:paraId="5242C6F3" w14:textId="77777777" w:rsidR="005900E4" w:rsidRPr="001300A9" w:rsidRDefault="005900E4" w:rsidP="00357CEC">
            <w:pPr>
              <w:pStyle w:val="Default"/>
              <w:rPr>
                <w:sz w:val="22"/>
                <w:szCs w:val="22"/>
              </w:rPr>
            </w:pPr>
          </w:p>
          <w:p w14:paraId="66D72A9F" w14:textId="77777777" w:rsidR="005900E4" w:rsidRPr="001300A9" w:rsidRDefault="005900E4" w:rsidP="00357CEC">
            <w:pPr>
              <w:pStyle w:val="Default"/>
              <w:rPr>
                <w:sz w:val="22"/>
                <w:szCs w:val="22"/>
              </w:rPr>
            </w:pPr>
          </w:p>
          <w:p w14:paraId="678B0780" w14:textId="77777777" w:rsidR="005900E4" w:rsidRPr="001300A9" w:rsidRDefault="005900E4" w:rsidP="00357CEC">
            <w:pPr>
              <w:pStyle w:val="Default"/>
              <w:rPr>
                <w:sz w:val="22"/>
                <w:szCs w:val="22"/>
              </w:rPr>
            </w:pPr>
          </w:p>
          <w:p w14:paraId="5BABAF5C" w14:textId="77777777" w:rsidR="005900E4" w:rsidRPr="001300A9" w:rsidRDefault="005900E4" w:rsidP="00357CEC">
            <w:pPr>
              <w:pStyle w:val="Default"/>
              <w:rPr>
                <w:sz w:val="22"/>
                <w:szCs w:val="22"/>
              </w:rPr>
            </w:pPr>
          </w:p>
          <w:p w14:paraId="647351E8" w14:textId="77777777" w:rsidR="005900E4" w:rsidRPr="001300A9" w:rsidRDefault="005900E4" w:rsidP="00357CEC">
            <w:pPr>
              <w:pStyle w:val="Default"/>
              <w:rPr>
                <w:sz w:val="22"/>
                <w:szCs w:val="22"/>
              </w:rPr>
            </w:pPr>
          </w:p>
          <w:p w14:paraId="371A2A4B" w14:textId="77777777" w:rsidR="005900E4" w:rsidRPr="001300A9" w:rsidRDefault="005900E4" w:rsidP="00357CEC">
            <w:pPr>
              <w:pStyle w:val="Default"/>
              <w:rPr>
                <w:sz w:val="22"/>
                <w:szCs w:val="22"/>
              </w:rPr>
            </w:pPr>
          </w:p>
          <w:p w14:paraId="01D54023" w14:textId="77777777" w:rsidR="005900E4" w:rsidRPr="001300A9" w:rsidRDefault="005900E4" w:rsidP="00357CEC">
            <w:pPr>
              <w:pStyle w:val="Default"/>
              <w:rPr>
                <w:sz w:val="22"/>
                <w:szCs w:val="22"/>
              </w:rPr>
            </w:pPr>
          </w:p>
          <w:p w14:paraId="6D0A3DBA" w14:textId="77777777" w:rsidR="005900E4" w:rsidRPr="001300A9" w:rsidRDefault="005900E4" w:rsidP="00357CEC">
            <w:pPr>
              <w:pStyle w:val="Default"/>
              <w:rPr>
                <w:sz w:val="22"/>
                <w:szCs w:val="22"/>
              </w:rPr>
            </w:pPr>
          </w:p>
          <w:p w14:paraId="3CEEFF8F" w14:textId="77777777" w:rsidR="005900E4" w:rsidRPr="001300A9" w:rsidRDefault="005900E4" w:rsidP="00357CEC">
            <w:pPr>
              <w:pStyle w:val="Default"/>
              <w:rPr>
                <w:sz w:val="22"/>
                <w:szCs w:val="22"/>
              </w:rPr>
            </w:pPr>
          </w:p>
          <w:p w14:paraId="17499053" w14:textId="77777777" w:rsidR="00350EB0" w:rsidRPr="001300A9" w:rsidRDefault="00350EB0" w:rsidP="00357CEC">
            <w:pPr>
              <w:pStyle w:val="Default"/>
              <w:rPr>
                <w:sz w:val="22"/>
                <w:szCs w:val="22"/>
              </w:rPr>
            </w:pPr>
          </w:p>
          <w:p w14:paraId="52AF072C" w14:textId="77777777" w:rsidR="0006236A" w:rsidRDefault="0006236A" w:rsidP="00357CEC">
            <w:pPr>
              <w:pStyle w:val="Default"/>
              <w:rPr>
                <w:sz w:val="22"/>
                <w:szCs w:val="22"/>
              </w:rPr>
            </w:pPr>
          </w:p>
          <w:p w14:paraId="3AAC8BE6" w14:textId="77777777" w:rsidR="002B06FC" w:rsidRDefault="002B06FC" w:rsidP="00357CEC">
            <w:pPr>
              <w:pStyle w:val="Default"/>
              <w:rPr>
                <w:sz w:val="22"/>
                <w:szCs w:val="22"/>
              </w:rPr>
            </w:pPr>
          </w:p>
          <w:p w14:paraId="299E6D8C" w14:textId="77777777" w:rsidR="002B06FC" w:rsidRDefault="002B06FC" w:rsidP="00357CEC">
            <w:pPr>
              <w:pStyle w:val="Default"/>
              <w:rPr>
                <w:sz w:val="22"/>
                <w:szCs w:val="22"/>
              </w:rPr>
            </w:pPr>
          </w:p>
          <w:p w14:paraId="708FF72C" w14:textId="77777777" w:rsidR="002B06FC" w:rsidRDefault="002B06FC" w:rsidP="00357CEC">
            <w:pPr>
              <w:pStyle w:val="Default"/>
              <w:rPr>
                <w:sz w:val="22"/>
                <w:szCs w:val="22"/>
              </w:rPr>
            </w:pPr>
          </w:p>
          <w:p w14:paraId="4E038027" w14:textId="77777777" w:rsidR="002B06FC" w:rsidRDefault="002B06FC" w:rsidP="00357CEC">
            <w:pPr>
              <w:pStyle w:val="Default"/>
              <w:rPr>
                <w:sz w:val="22"/>
                <w:szCs w:val="22"/>
              </w:rPr>
            </w:pPr>
          </w:p>
          <w:p w14:paraId="0BE27B27" w14:textId="77777777" w:rsidR="002B06FC" w:rsidRDefault="002B06FC" w:rsidP="00357CEC">
            <w:pPr>
              <w:pStyle w:val="Default"/>
              <w:rPr>
                <w:sz w:val="22"/>
                <w:szCs w:val="22"/>
              </w:rPr>
            </w:pPr>
          </w:p>
          <w:p w14:paraId="0367381D" w14:textId="77777777" w:rsidR="002B06FC" w:rsidRDefault="002B06FC" w:rsidP="00357CEC">
            <w:pPr>
              <w:pStyle w:val="Default"/>
              <w:rPr>
                <w:sz w:val="22"/>
                <w:szCs w:val="22"/>
              </w:rPr>
            </w:pPr>
          </w:p>
          <w:p w14:paraId="1F7823A1" w14:textId="77777777" w:rsidR="002B06FC" w:rsidRDefault="002B06FC" w:rsidP="00357CEC">
            <w:pPr>
              <w:pStyle w:val="Default"/>
              <w:rPr>
                <w:sz w:val="22"/>
                <w:szCs w:val="22"/>
              </w:rPr>
            </w:pPr>
          </w:p>
          <w:p w14:paraId="59D126CF" w14:textId="77777777" w:rsidR="00452B3F" w:rsidRDefault="00452B3F" w:rsidP="00357CEC">
            <w:pPr>
              <w:pStyle w:val="Default"/>
              <w:rPr>
                <w:sz w:val="22"/>
                <w:szCs w:val="22"/>
              </w:rPr>
            </w:pPr>
          </w:p>
          <w:p w14:paraId="7511B980" w14:textId="77777777" w:rsidR="00AF7521" w:rsidRDefault="00AF7521" w:rsidP="00357CEC">
            <w:pPr>
              <w:pStyle w:val="Default"/>
              <w:rPr>
                <w:sz w:val="22"/>
                <w:szCs w:val="22"/>
              </w:rPr>
            </w:pPr>
          </w:p>
          <w:p w14:paraId="57C2591D" w14:textId="04380B2F" w:rsidR="005900E4" w:rsidRPr="001300A9" w:rsidRDefault="005900E4" w:rsidP="00357CEC">
            <w:pPr>
              <w:pStyle w:val="Default"/>
              <w:rPr>
                <w:sz w:val="22"/>
                <w:szCs w:val="22"/>
              </w:rPr>
            </w:pPr>
            <w:r w:rsidRPr="001300A9">
              <w:rPr>
                <w:sz w:val="22"/>
                <w:szCs w:val="22"/>
              </w:rPr>
              <w:t>Ú</w:t>
            </w:r>
          </w:p>
          <w:p w14:paraId="4891B9DB" w14:textId="77777777" w:rsidR="003C4BA0" w:rsidRPr="001300A9" w:rsidRDefault="003C4BA0" w:rsidP="00357CEC">
            <w:pPr>
              <w:pStyle w:val="Default"/>
              <w:rPr>
                <w:sz w:val="22"/>
                <w:szCs w:val="22"/>
              </w:rPr>
            </w:pPr>
          </w:p>
          <w:p w14:paraId="5A95A965" w14:textId="77777777" w:rsidR="003C4BA0" w:rsidRPr="001300A9" w:rsidRDefault="003C4BA0" w:rsidP="00357CEC">
            <w:pPr>
              <w:pStyle w:val="Default"/>
              <w:rPr>
                <w:sz w:val="22"/>
                <w:szCs w:val="22"/>
              </w:rPr>
            </w:pPr>
          </w:p>
          <w:p w14:paraId="536448C3" w14:textId="77777777" w:rsidR="003C4BA0" w:rsidRPr="001300A9" w:rsidRDefault="003C4BA0" w:rsidP="00357CEC">
            <w:pPr>
              <w:pStyle w:val="Default"/>
              <w:rPr>
                <w:sz w:val="22"/>
                <w:szCs w:val="22"/>
              </w:rPr>
            </w:pPr>
          </w:p>
          <w:p w14:paraId="74E8A0E5" w14:textId="77777777" w:rsidR="003C4BA0" w:rsidRPr="001300A9" w:rsidRDefault="003C4BA0" w:rsidP="00357CEC">
            <w:pPr>
              <w:pStyle w:val="Default"/>
              <w:rPr>
                <w:sz w:val="22"/>
                <w:szCs w:val="22"/>
              </w:rPr>
            </w:pPr>
          </w:p>
          <w:p w14:paraId="6885938B" w14:textId="77777777" w:rsidR="003C4BA0" w:rsidRPr="001300A9" w:rsidRDefault="003C4BA0" w:rsidP="00357CEC">
            <w:pPr>
              <w:pStyle w:val="Default"/>
              <w:rPr>
                <w:sz w:val="22"/>
                <w:szCs w:val="22"/>
              </w:rPr>
            </w:pPr>
          </w:p>
          <w:p w14:paraId="52C4E813" w14:textId="77777777" w:rsidR="003C4BA0" w:rsidRPr="001300A9" w:rsidRDefault="003C4BA0" w:rsidP="00357CEC">
            <w:pPr>
              <w:pStyle w:val="Default"/>
              <w:rPr>
                <w:sz w:val="22"/>
                <w:szCs w:val="22"/>
              </w:rPr>
            </w:pPr>
          </w:p>
          <w:p w14:paraId="3B025BFA" w14:textId="77777777" w:rsidR="003C4BA0" w:rsidRPr="001300A9" w:rsidRDefault="003C4BA0" w:rsidP="00357CEC">
            <w:pPr>
              <w:pStyle w:val="Default"/>
              <w:rPr>
                <w:sz w:val="22"/>
                <w:szCs w:val="22"/>
              </w:rPr>
            </w:pPr>
          </w:p>
          <w:p w14:paraId="6A3ED49C" w14:textId="77777777" w:rsidR="003C4BA0" w:rsidRPr="001300A9" w:rsidRDefault="003C4BA0" w:rsidP="00357CEC">
            <w:pPr>
              <w:pStyle w:val="Default"/>
              <w:rPr>
                <w:sz w:val="22"/>
                <w:szCs w:val="22"/>
              </w:rPr>
            </w:pPr>
          </w:p>
          <w:p w14:paraId="5416BE3B" w14:textId="77777777" w:rsidR="003C4BA0" w:rsidRPr="001300A9" w:rsidRDefault="003C4BA0" w:rsidP="00357CEC">
            <w:pPr>
              <w:pStyle w:val="Default"/>
              <w:rPr>
                <w:sz w:val="22"/>
                <w:szCs w:val="22"/>
              </w:rPr>
            </w:pPr>
          </w:p>
          <w:p w14:paraId="3F76468A" w14:textId="77777777" w:rsidR="003C4BA0" w:rsidRPr="001300A9" w:rsidRDefault="003C4BA0" w:rsidP="00357CEC">
            <w:pPr>
              <w:pStyle w:val="Default"/>
              <w:rPr>
                <w:sz w:val="22"/>
                <w:szCs w:val="22"/>
              </w:rPr>
            </w:pPr>
          </w:p>
          <w:p w14:paraId="4CC7A7BA" w14:textId="77777777" w:rsidR="003C4BA0" w:rsidRPr="001300A9" w:rsidRDefault="003C4BA0" w:rsidP="00357CEC">
            <w:pPr>
              <w:pStyle w:val="Default"/>
              <w:rPr>
                <w:sz w:val="22"/>
                <w:szCs w:val="22"/>
              </w:rPr>
            </w:pPr>
          </w:p>
          <w:p w14:paraId="4EA6E814" w14:textId="77777777" w:rsidR="003C4BA0" w:rsidRPr="001300A9" w:rsidRDefault="003C4BA0" w:rsidP="00357CEC">
            <w:pPr>
              <w:pStyle w:val="Default"/>
              <w:rPr>
                <w:sz w:val="22"/>
                <w:szCs w:val="22"/>
              </w:rPr>
            </w:pPr>
          </w:p>
          <w:p w14:paraId="5FE09200" w14:textId="77777777" w:rsidR="003C4BA0" w:rsidRPr="001300A9" w:rsidRDefault="003C4BA0" w:rsidP="00357CEC">
            <w:pPr>
              <w:pStyle w:val="Default"/>
              <w:rPr>
                <w:sz w:val="22"/>
                <w:szCs w:val="22"/>
              </w:rPr>
            </w:pPr>
          </w:p>
          <w:p w14:paraId="5A46E876" w14:textId="77777777" w:rsidR="003C4BA0" w:rsidRPr="001300A9" w:rsidRDefault="003C4BA0" w:rsidP="00357CEC">
            <w:pPr>
              <w:pStyle w:val="Default"/>
              <w:rPr>
                <w:sz w:val="22"/>
                <w:szCs w:val="22"/>
              </w:rPr>
            </w:pPr>
          </w:p>
          <w:p w14:paraId="54F28CEB" w14:textId="77777777" w:rsidR="003C4BA0" w:rsidRPr="001300A9" w:rsidRDefault="003C4BA0" w:rsidP="00357CEC">
            <w:pPr>
              <w:pStyle w:val="Default"/>
              <w:rPr>
                <w:sz w:val="22"/>
                <w:szCs w:val="22"/>
              </w:rPr>
            </w:pPr>
          </w:p>
          <w:p w14:paraId="5804E975" w14:textId="77777777" w:rsidR="003C4BA0" w:rsidRPr="001300A9" w:rsidRDefault="003C4BA0" w:rsidP="00357CEC">
            <w:pPr>
              <w:pStyle w:val="Default"/>
              <w:rPr>
                <w:sz w:val="22"/>
                <w:szCs w:val="22"/>
              </w:rPr>
            </w:pPr>
          </w:p>
          <w:p w14:paraId="0CABF455" w14:textId="77777777" w:rsidR="003C4BA0" w:rsidRPr="001300A9" w:rsidRDefault="003C4BA0" w:rsidP="00357CEC">
            <w:pPr>
              <w:pStyle w:val="Default"/>
              <w:rPr>
                <w:sz w:val="22"/>
                <w:szCs w:val="22"/>
              </w:rPr>
            </w:pPr>
          </w:p>
          <w:p w14:paraId="2AEE0671" w14:textId="77777777" w:rsidR="003C4BA0" w:rsidRPr="001300A9" w:rsidRDefault="003C4BA0" w:rsidP="00357CEC">
            <w:pPr>
              <w:pStyle w:val="Default"/>
              <w:rPr>
                <w:sz w:val="22"/>
                <w:szCs w:val="22"/>
              </w:rPr>
            </w:pPr>
          </w:p>
          <w:p w14:paraId="466983E2" w14:textId="77777777" w:rsidR="003C4BA0" w:rsidRPr="001300A9" w:rsidRDefault="003C4BA0" w:rsidP="00357CEC">
            <w:pPr>
              <w:pStyle w:val="Default"/>
              <w:rPr>
                <w:sz w:val="22"/>
                <w:szCs w:val="22"/>
              </w:rPr>
            </w:pPr>
          </w:p>
          <w:p w14:paraId="57F8ED2B" w14:textId="77777777" w:rsidR="003C4BA0" w:rsidRPr="001300A9" w:rsidRDefault="003C4BA0" w:rsidP="00357CEC">
            <w:pPr>
              <w:pStyle w:val="Default"/>
              <w:rPr>
                <w:sz w:val="22"/>
                <w:szCs w:val="22"/>
              </w:rPr>
            </w:pPr>
          </w:p>
          <w:p w14:paraId="7AB95405" w14:textId="77777777" w:rsidR="003C4BA0" w:rsidRPr="001300A9" w:rsidRDefault="003C4BA0" w:rsidP="00357CEC">
            <w:pPr>
              <w:pStyle w:val="Default"/>
              <w:rPr>
                <w:sz w:val="22"/>
                <w:szCs w:val="22"/>
              </w:rPr>
            </w:pPr>
          </w:p>
          <w:p w14:paraId="5189A2CA" w14:textId="77777777" w:rsidR="003C4BA0" w:rsidRPr="001300A9" w:rsidRDefault="003C4BA0" w:rsidP="00357CEC">
            <w:pPr>
              <w:pStyle w:val="Default"/>
              <w:rPr>
                <w:sz w:val="22"/>
                <w:szCs w:val="22"/>
              </w:rPr>
            </w:pPr>
          </w:p>
          <w:p w14:paraId="629613C3" w14:textId="77777777" w:rsidR="003C4BA0" w:rsidRPr="001300A9" w:rsidRDefault="003C4BA0" w:rsidP="00357CEC">
            <w:pPr>
              <w:pStyle w:val="Default"/>
              <w:rPr>
                <w:sz w:val="22"/>
                <w:szCs w:val="22"/>
              </w:rPr>
            </w:pPr>
          </w:p>
          <w:p w14:paraId="1B336026" w14:textId="77777777" w:rsidR="003C4BA0" w:rsidRPr="001300A9" w:rsidRDefault="003C4BA0" w:rsidP="00357CEC">
            <w:pPr>
              <w:pStyle w:val="Default"/>
              <w:rPr>
                <w:sz w:val="22"/>
                <w:szCs w:val="22"/>
              </w:rPr>
            </w:pPr>
          </w:p>
          <w:p w14:paraId="187E645A" w14:textId="77777777" w:rsidR="003C4BA0" w:rsidRPr="001300A9" w:rsidRDefault="003C4BA0" w:rsidP="00357CEC">
            <w:pPr>
              <w:pStyle w:val="Default"/>
              <w:rPr>
                <w:sz w:val="22"/>
                <w:szCs w:val="22"/>
              </w:rPr>
            </w:pPr>
          </w:p>
          <w:p w14:paraId="7FE0E578" w14:textId="77777777" w:rsidR="003C4BA0" w:rsidRPr="001300A9" w:rsidRDefault="003C4BA0" w:rsidP="00357CEC">
            <w:pPr>
              <w:pStyle w:val="Default"/>
              <w:rPr>
                <w:sz w:val="22"/>
                <w:szCs w:val="22"/>
              </w:rPr>
            </w:pPr>
          </w:p>
          <w:p w14:paraId="59C0C660" w14:textId="77777777" w:rsidR="003C4BA0" w:rsidRPr="001300A9" w:rsidRDefault="003C4BA0" w:rsidP="00357CEC">
            <w:pPr>
              <w:pStyle w:val="Default"/>
              <w:rPr>
                <w:sz w:val="22"/>
                <w:szCs w:val="22"/>
              </w:rPr>
            </w:pPr>
          </w:p>
          <w:p w14:paraId="0630611E" w14:textId="77777777" w:rsidR="003C4BA0" w:rsidRPr="001300A9" w:rsidRDefault="003C4BA0" w:rsidP="00357CEC">
            <w:pPr>
              <w:pStyle w:val="Default"/>
              <w:rPr>
                <w:sz w:val="22"/>
                <w:szCs w:val="22"/>
              </w:rPr>
            </w:pPr>
          </w:p>
          <w:p w14:paraId="719039D6" w14:textId="77777777" w:rsidR="003C4BA0" w:rsidRPr="001300A9" w:rsidRDefault="003C4BA0" w:rsidP="00357CEC">
            <w:pPr>
              <w:pStyle w:val="Default"/>
              <w:rPr>
                <w:sz w:val="22"/>
                <w:szCs w:val="22"/>
              </w:rPr>
            </w:pPr>
          </w:p>
          <w:p w14:paraId="541D9E0B" w14:textId="77777777" w:rsidR="003C4BA0" w:rsidRPr="001300A9" w:rsidRDefault="003C4BA0" w:rsidP="00357CEC">
            <w:pPr>
              <w:pStyle w:val="Default"/>
              <w:rPr>
                <w:sz w:val="22"/>
                <w:szCs w:val="22"/>
              </w:rPr>
            </w:pPr>
          </w:p>
          <w:p w14:paraId="61ADAEDA" w14:textId="77777777" w:rsidR="003C4BA0" w:rsidRPr="001300A9" w:rsidRDefault="003C4BA0" w:rsidP="00357CEC">
            <w:pPr>
              <w:pStyle w:val="Default"/>
              <w:rPr>
                <w:sz w:val="22"/>
                <w:szCs w:val="22"/>
              </w:rPr>
            </w:pPr>
          </w:p>
          <w:p w14:paraId="7B48617F" w14:textId="77777777" w:rsidR="003C4BA0" w:rsidRPr="001300A9" w:rsidRDefault="003C4BA0" w:rsidP="00357CEC">
            <w:pPr>
              <w:pStyle w:val="Default"/>
              <w:rPr>
                <w:sz w:val="22"/>
                <w:szCs w:val="22"/>
              </w:rPr>
            </w:pPr>
          </w:p>
          <w:p w14:paraId="4F8F213F" w14:textId="77777777" w:rsidR="003C4BA0" w:rsidRPr="001300A9" w:rsidRDefault="003C4BA0" w:rsidP="00357CEC">
            <w:pPr>
              <w:pStyle w:val="Default"/>
              <w:rPr>
                <w:sz w:val="22"/>
                <w:szCs w:val="22"/>
              </w:rPr>
            </w:pPr>
          </w:p>
          <w:p w14:paraId="06B2F170" w14:textId="77777777" w:rsidR="003C4BA0" w:rsidRPr="001300A9" w:rsidRDefault="003C4BA0" w:rsidP="00357CEC">
            <w:pPr>
              <w:pStyle w:val="Default"/>
              <w:rPr>
                <w:sz w:val="22"/>
                <w:szCs w:val="22"/>
              </w:rPr>
            </w:pPr>
          </w:p>
          <w:p w14:paraId="0518A55A" w14:textId="77777777" w:rsidR="003C4BA0" w:rsidRPr="001300A9" w:rsidRDefault="003C4BA0" w:rsidP="00357CEC">
            <w:pPr>
              <w:pStyle w:val="Default"/>
              <w:rPr>
                <w:sz w:val="22"/>
                <w:szCs w:val="22"/>
              </w:rPr>
            </w:pPr>
          </w:p>
          <w:p w14:paraId="17BBB386" w14:textId="0A219B3A" w:rsidR="00350EB0" w:rsidRPr="001300A9" w:rsidRDefault="00350EB0" w:rsidP="00357CEC">
            <w:pPr>
              <w:pStyle w:val="Default"/>
              <w:rPr>
                <w:sz w:val="22"/>
                <w:szCs w:val="22"/>
              </w:rPr>
            </w:pPr>
          </w:p>
          <w:p w14:paraId="7E0B01ED" w14:textId="77777777" w:rsidR="002B06FC" w:rsidRDefault="002B06FC" w:rsidP="00357CEC">
            <w:pPr>
              <w:pStyle w:val="Default"/>
              <w:rPr>
                <w:sz w:val="22"/>
                <w:szCs w:val="22"/>
              </w:rPr>
            </w:pPr>
          </w:p>
          <w:p w14:paraId="55A4C971" w14:textId="72C3D7F3" w:rsidR="00452B3F" w:rsidRDefault="00452B3F" w:rsidP="00357CEC">
            <w:pPr>
              <w:pStyle w:val="Default"/>
              <w:rPr>
                <w:sz w:val="22"/>
                <w:szCs w:val="22"/>
              </w:rPr>
            </w:pPr>
          </w:p>
          <w:p w14:paraId="402F24FC" w14:textId="0931C6D0" w:rsidR="003C4BA0" w:rsidRPr="001300A9" w:rsidRDefault="003C4BA0" w:rsidP="00357CEC">
            <w:pPr>
              <w:pStyle w:val="Default"/>
              <w:rPr>
                <w:sz w:val="22"/>
                <w:szCs w:val="22"/>
              </w:rPr>
            </w:pPr>
            <w:r w:rsidRPr="001300A9">
              <w:rPr>
                <w:sz w:val="22"/>
                <w:szCs w:val="22"/>
              </w:rPr>
              <w:t>Ú</w:t>
            </w:r>
          </w:p>
          <w:p w14:paraId="0B225A25" w14:textId="77777777" w:rsidR="00DA7ED6" w:rsidRPr="001300A9" w:rsidRDefault="00DA7ED6" w:rsidP="00357CEC">
            <w:pPr>
              <w:pStyle w:val="Default"/>
              <w:rPr>
                <w:sz w:val="22"/>
                <w:szCs w:val="22"/>
              </w:rPr>
            </w:pPr>
          </w:p>
          <w:p w14:paraId="673E2FBB" w14:textId="77777777" w:rsidR="00DA7ED6" w:rsidRPr="001300A9" w:rsidRDefault="00DA7ED6" w:rsidP="00357CEC">
            <w:pPr>
              <w:pStyle w:val="Default"/>
              <w:rPr>
                <w:sz w:val="22"/>
                <w:szCs w:val="22"/>
              </w:rPr>
            </w:pPr>
          </w:p>
          <w:p w14:paraId="151916CB" w14:textId="77777777" w:rsidR="00DA7ED6" w:rsidRPr="001300A9" w:rsidRDefault="00DA7ED6" w:rsidP="00357CEC">
            <w:pPr>
              <w:pStyle w:val="Default"/>
              <w:rPr>
                <w:sz w:val="22"/>
                <w:szCs w:val="22"/>
              </w:rPr>
            </w:pPr>
          </w:p>
          <w:p w14:paraId="606C63D3" w14:textId="77777777" w:rsidR="00DA7ED6" w:rsidRPr="001300A9" w:rsidRDefault="00DA7ED6" w:rsidP="00357CEC">
            <w:pPr>
              <w:pStyle w:val="Default"/>
              <w:rPr>
                <w:sz w:val="22"/>
                <w:szCs w:val="22"/>
              </w:rPr>
            </w:pPr>
          </w:p>
          <w:p w14:paraId="2F52D7E4" w14:textId="77777777" w:rsidR="00DA7ED6" w:rsidRPr="001300A9" w:rsidRDefault="00DA7ED6" w:rsidP="00357CEC">
            <w:pPr>
              <w:pStyle w:val="Default"/>
              <w:rPr>
                <w:sz w:val="22"/>
                <w:szCs w:val="22"/>
              </w:rPr>
            </w:pPr>
          </w:p>
          <w:p w14:paraId="2BAAA20F" w14:textId="77777777" w:rsidR="00DA7ED6" w:rsidRPr="001300A9" w:rsidRDefault="00DA7ED6" w:rsidP="00357CEC">
            <w:pPr>
              <w:pStyle w:val="Default"/>
              <w:rPr>
                <w:sz w:val="22"/>
                <w:szCs w:val="22"/>
              </w:rPr>
            </w:pPr>
          </w:p>
          <w:p w14:paraId="4B7BCAF9" w14:textId="77777777" w:rsidR="00DA7ED6" w:rsidRPr="001300A9" w:rsidRDefault="00DA7ED6" w:rsidP="00357CEC">
            <w:pPr>
              <w:pStyle w:val="Default"/>
              <w:rPr>
                <w:sz w:val="22"/>
                <w:szCs w:val="22"/>
              </w:rPr>
            </w:pPr>
          </w:p>
          <w:p w14:paraId="4B82610F" w14:textId="77777777" w:rsidR="00DA7ED6" w:rsidRPr="001300A9" w:rsidRDefault="00DA7ED6" w:rsidP="00357CEC">
            <w:pPr>
              <w:pStyle w:val="Default"/>
              <w:rPr>
                <w:sz w:val="22"/>
                <w:szCs w:val="22"/>
              </w:rPr>
            </w:pPr>
          </w:p>
          <w:p w14:paraId="17CF205A" w14:textId="77777777" w:rsidR="00DA7ED6" w:rsidRPr="001300A9" w:rsidRDefault="00DA7ED6" w:rsidP="00357CEC">
            <w:pPr>
              <w:pStyle w:val="Default"/>
              <w:rPr>
                <w:sz w:val="22"/>
                <w:szCs w:val="22"/>
              </w:rPr>
            </w:pPr>
          </w:p>
          <w:p w14:paraId="51FFC4C7" w14:textId="77777777" w:rsidR="00DA7ED6" w:rsidRPr="001300A9" w:rsidRDefault="00DA7ED6" w:rsidP="00357CEC">
            <w:pPr>
              <w:pStyle w:val="Default"/>
              <w:rPr>
                <w:sz w:val="22"/>
                <w:szCs w:val="22"/>
              </w:rPr>
            </w:pPr>
          </w:p>
          <w:p w14:paraId="41ECC8A9" w14:textId="77777777" w:rsidR="00DA7ED6" w:rsidRPr="001300A9" w:rsidRDefault="00DA7ED6" w:rsidP="00357CEC">
            <w:pPr>
              <w:pStyle w:val="Default"/>
              <w:rPr>
                <w:sz w:val="22"/>
                <w:szCs w:val="22"/>
              </w:rPr>
            </w:pPr>
          </w:p>
          <w:p w14:paraId="6AD1CBE2" w14:textId="77777777" w:rsidR="00DA7ED6" w:rsidRPr="001300A9" w:rsidRDefault="00DA7ED6" w:rsidP="00357CEC">
            <w:pPr>
              <w:pStyle w:val="Default"/>
              <w:rPr>
                <w:sz w:val="22"/>
                <w:szCs w:val="22"/>
              </w:rPr>
            </w:pPr>
          </w:p>
          <w:p w14:paraId="254BDADD" w14:textId="77777777" w:rsidR="00DA7ED6" w:rsidRPr="001300A9" w:rsidRDefault="00DA7ED6" w:rsidP="00357CEC">
            <w:pPr>
              <w:pStyle w:val="Default"/>
              <w:rPr>
                <w:sz w:val="22"/>
                <w:szCs w:val="22"/>
              </w:rPr>
            </w:pPr>
          </w:p>
          <w:p w14:paraId="37EA6F47" w14:textId="77777777" w:rsidR="00DA7ED6" w:rsidRPr="001300A9" w:rsidRDefault="00DA7ED6" w:rsidP="00357CEC">
            <w:pPr>
              <w:pStyle w:val="Default"/>
              <w:rPr>
                <w:sz w:val="22"/>
                <w:szCs w:val="22"/>
              </w:rPr>
            </w:pPr>
          </w:p>
          <w:p w14:paraId="3A56D300" w14:textId="77777777" w:rsidR="00DA7ED6" w:rsidRPr="001300A9" w:rsidRDefault="00DA7ED6" w:rsidP="00357CEC">
            <w:pPr>
              <w:pStyle w:val="Default"/>
              <w:rPr>
                <w:sz w:val="22"/>
                <w:szCs w:val="22"/>
              </w:rPr>
            </w:pPr>
          </w:p>
          <w:p w14:paraId="2A377E57" w14:textId="77777777" w:rsidR="00DA7ED6" w:rsidRPr="001300A9" w:rsidRDefault="00DA7ED6" w:rsidP="00357CEC">
            <w:pPr>
              <w:pStyle w:val="Default"/>
              <w:rPr>
                <w:sz w:val="22"/>
                <w:szCs w:val="22"/>
              </w:rPr>
            </w:pPr>
          </w:p>
          <w:p w14:paraId="6B33E78F" w14:textId="77777777" w:rsidR="00DA7ED6" w:rsidRPr="001300A9" w:rsidRDefault="00DA7ED6" w:rsidP="00357CEC">
            <w:pPr>
              <w:pStyle w:val="Default"/>
              <w:rPr>
                <w:sz w:val="22"/>
                <w:szCs w:val="22"/>
              </w:rPr>
            </w:pPr>
          </w:p>
          <w:p w14:paraId="64C491EC" w14:textId="77777777" w:rsidR="00DA7ED6" w:rsidRPr="001300A9" w:rsidRDefault="00DA7ED6" w:rsidP="00357CEC">
            <w:pPr>
              <w:pStyle w:val="Default"/>
              <w:rPr>
                <w:sz w:val="22"/>
                <w:szCs w:val="22"/>
              </w:rPr>
            </w:pPr>
          </w:p>
          <w:p w14:paraId="129DB146" w14:textId="77777777" w:rsidR="00DA7ED6" w:rsidRPr="001300A9" w:rsidRDefault="00DA7ED6" w:rsidP="00357CEC">
            <w:pPr>
              <w:pStyle w:val="Default"/>
              <w:rPr>
                <w:sz w:val="22"/>
                <w:szCs w:val="22"/>
              </w:rPr>
            </w:pPr>
          </w:p>
          <w:p w14:paraId="7B9AE610" w14:textId="77777777" w:rsidR="00DA7ED6" w:rsidRPr="001300A9" w:rsidRDefault="00DA7ED6" w:rsidP="00357CEC">
            <w:pPr>
              <w:pStyle w:val="Default"/>
              <w:rPr>
                <w:sz w:val="22"/>
                <w:szCs w:val="22"/>
              </w:rPr>
            </w:pPr>
          </w:p>
          <w:p w14:paraId="3A9DB621" w14:textId="77777777" w:rsidR="00DA7ED6" w:rsidRPr="001300A9" w:rsidRDefault="00DA7ED6" w:rsidP="00357CEC">
            <w:pPr>
              <w:pStyle w:val="Default"/>
              <w:rPr>
                <w:sz w:val="22"/>
                <w:szCs w:val="22"/>
              </w:rPr>
            </w:pPr>
          </w:p>
          <w:p w14:paraId="5439642D" w14:textId="77777777" w:rsidR="00DA7ED6" w:rsidRPr="001300A9" w:rsidRDefault="00DA7ED6" w:rsidP="00357CEC">
            <w:pPr>
              <w:pStyle w:val="Default"/>
              <w:rPr>
                <w:sz w:val="22"/>
                <w:szCs w:val="22"/>
              </w:rPr>
            </w:pPr>
          </w:p>
          <w:p w14:paraId="776BEAAC" w14:textId="77777777" w:rsidR="00DA7ED6" w:rsidRPr="001300A9" w:rsidRDefault="00DA7ED6" w:rsidP="00357CEC">
            <w:pPr>
              <w:pStyle w:val="Default"/>
              <w:rPr>
                <w:sz w:val="22"/>
                <w:szCs w:val="22"/>
              </w:rPr>
            </w:pPr>
          </w:p>
          <w:p w14:paraId="3F34D8A6" w14:textId="77777777" w:rsidR="00DA7ED6" w:rsidRPr="001300A9" w:rsidRDefault="00DA7ED6" w:rsidP="00357CEC">
            <w:pPr>
              <w:pStyle w:val="Default"/>
              <w:rPr>
                <w:sz w:val="22"/>
                <w:szCs w:val="22"/>
              </w:rPr>
            </w:pPr>
          </w:p>
          <w:p w14:paraId="5F21A98D" w14:textId="77777777" w:rsidR="00DA7ED6" w:rsidRPr="001300A9" w:rsidRDefault="00DA7ED6" w:rsidP="00357CEC">
            <w:pPr>
              <w:pStyle w:val="Default"/>
              <w:rPr>
                <w:sz w:val="22"/>
                <w:szCs w:val="22"/>
              </w:rPr>
            </w:pPr>
          </w:p>
          <w:p w14:paraId="27B8EB00" w14:textId="77777777" w:rsidR="00DA7ED6" w:rsidRPr="001300A9" w:rsidRDefault="00DA7ED6" w:rsidP="00357CEC">
            <w:pPr>
              <w:pStyle w:val="Default"/>
              <w:rPr>
                <w:sz w:val="22"/>
                <w:szCs w:val="22"/>
              </w:rPr>
            </w:pPr>
          </w:p>
          <w:p w14:paraId="5C3161AA" w14:textId="77777777" w:rsidR="00DA7ED6" w:rsidRPr="001300A9" w:rsidRDefault="00DA7ED6" w:rsidP="00357CEC">
            <w:pPr>
              <w:pStyle w:val="Default"/>
              <w:rPr>
                <w:sz w:val="22"/>
                <w:szCs w:val="22"/>
              </w:rPr>
            </w:pPr>
          </w:p>
          <w:p w14:paraId="5F148BA2" w14:textId="77777777" w:rsidR="00DA7ED6" w:rsidRPr="001300A9" w:rsidRDefault="00DA7ED6" w:rsidP="00357CEC">
            <w:pPr>
              <w:pStyle w:val="Default"/>
              <w:rPr>
                <w:sz w:val="22"/>
                <w:szCs w:val="22"/>
              </w:rPr>
            </w:pPr>
          </w:p>
          <w:p w14:paraId="010D1C03" w14:textId="77777777" w:rsidR="00DA7ED6" w:rsidRPr="001300A9" w:rsidRDefault="00DA7ED6" w:rsidP="00357CEC">
            <w:pPr>
              <w:pStyle w:val="Default"/>
              <w:rPr>
                <w:sz w:val="22"/>
                <w:szCs w:val="22"/>
              </w:rPr>
            </w:pPr>
          </w:p>
          <w:p w14:paraId="46A42070" w14:textId="77777777" w:rsidR="00DA7ED6" w:rsidRPr="001300A9" w:rsidRDefault="00DA7ED6" w:rsidP="00357CEC">
            <w:pPr>
              <w:pStyle w:val="Default"/>
              <w:rPr>
                <w:sz w:val="22"/>
                <w:szCs w:val="22"/>
              </w:rPr>
            </w:pPr>
          </w:p>
          <w:p w14:paraId="5B855CB3" w14:textId="77777777" w:rsidR="00DA7ED6" w:rsidRPr="001300A9" w:rsidRDefault="00DA7ED6" w:rsidP="00357CEC">
            <w:pPr>
              <w:pStyle w:val="Default"/>
              <w:rPr>
                <w:sz w:val="22"/>
                <w:szCs w:val="22"/>
              </w:rPr>
            </w:pPr>
          </w:p>
          <w:p w14:paraId="5230BDC4" w14:textId="77777777" w:rsidR="00DA7ED6" w:rsidRPr="001300A9" w:rsidRDefault="00DA7ED6" w:rsidP="00357CEC">
            <w:pPr>
              <w:pStyle w:val="Default"/>
              <w:rPr>
                <w:sz w:val="22"/>
                <w:szCs w:val="22"/>
              </w:rPr>
            </w:pPr>
          </w:p>
          <w:p w14:paraId="460741E4" w14:textId="77777777" w:rsidR="00DA7ED6" w:rsidRPr="001300A9" w:rsidRDefault="00DA7ED6" w:rsidP="00357CEC">
            <w:pPr>
              <w:pStyle w:val="Default"/>
              <w:rPr>
                <w:sz w:val="22"/>
                <w:szCs w:val="22"/>
              </w:rPr>
            </w:pPr>
          </w:p>
          <w:p w14:paraId="4AD5768D" w14:textId="77777777" w:rsidR="00DA7ED6" w:rsidRPr="001300A9" w:rsidRDefault="00DA7ED6" w:rsidP="00357CEC">
            <w:pPr>
              <w:pStyle w:val="Default"/>
              <w:rPr>
                <w:sz w:val="22"/>
                <w:szCs w:val="22"/>
              </w:rPr>
            </w:pPr>
          </w:p>
          <w:p w14:paraId="3D4ACFA7" w14:textId="77777777" w:rsidR="00452B3F" w:rsidRDefault="00452B3F" w:rsidP="00357CEC">
            <w:pPr>
              <w:pStyle w:val="Default"/>
              <w:rPr>
                <w:sz w:val="22"/>
                <w:szCs w:val="22"/>
              </w:rPr>
            </w:pPr>
          </w:p>
          <w:p w14:paraId="3293805F" w14:textId="3EF6D2EC" w:rsidR="4792BE4F" w:rsidRDefault="4792BE4F" w:rsidP="4792BE4F">
            <w:pPr>
              <w:pStyle w:val="Default"/>
              <w:rPr>
                <w:sz w:val="22"/>
                <w:szCs w:val="22"/>
              </w:rPr>
            </w:pPr>
          </w:p>
          <w:p w14:paraId="744625AE" w14:textId="16014557" w:rsidR="4792BE4F" w:rsidRDefault="4792BE4F" w:rsidP="4792BE4F">
            <w:pPr>
              <w:pStyle w:val="Default"/>
              <w:rPr>
                <w:sz w:val="22"/>
                <w:szCs w:val="22"/>
              </w:rPr>
            </w:pPr>
          </w:p>
          <w:p w14:paraId="1679FEA8" w14:textId="04A62C50" w:rsidR="4792BE4F" w:rsidRDefault="4792BE4F" w:rsidP="4792BE4F">
            <w:pPr>
              <w:pStyle w:val="Default"/>
              <w:rPr>
                <w:sz w:val="22"/>
                <w:szCs w:val="22"/>
              </w:rPr>
            </w:pPr>
          </w:p>
          <w:p w14:paraId="3F3ADFED" w14:textId="690FF695" w:rsidR="4792BE4F" w:rsidRDefault="4792BE4F" w:rsidP="4792BE4F">
            <w:pPr>
              <w:pStyle w:val="Default"/>
              <w:rPr>
                <w:sz w:val="22"/>
                <w:szCs w:val="22"/>
              </w:rPr>
            </w:pPr>
          </w:p>
          <w:p w14:paraId="7E71B756" w14:textId="6B3DCF69" w:rsidR="00DA7ED6" w:rsidRPr="001300A9" w:rsidRDefault="00DA7ED6" w:rsidP="00357CEC">
            <w:pPr>
              <w:pStyle w:val="Default"/>
              <w:rPr>
                <w:sz w:val="22"/>
                <w:szCs w:val="22"/>
              </w:rPr>
            </w:pPr>
            <w:r w:rsidRPr="001300A9">
              <w:rPr>
                <w:sz w:val="22"/>
                <w:szCs w:val="22"/>
              </w:rPr>
              <w:t>Ú</w:t>
            </w:r>
          </w:p>
          <w:p w14:paraId="0EA6B83B" w14:textId="77777777" w:rsidR="00DA7ED6" w:rsidRPr="001300A9" w:rsidRDefault="00DA7ED6" w:rsidP="00357CEC">
            <w:pPr>
              <w:pStyle w:val="Default"/>
              <w:rPr>
                <w:sz w:val="22"/>
                <w:szCs w:val="22"/>
              </w:rPr>
            </w:pPr>
          </w:p>
          <w:p w14:paraId="0606363F" w14:textId="77777777" w:rsidR="00DA7ED6" w:rsidRPr="001300A9" w:rsidRDefault="00DA7ED6" w:rsidP="00357CEC">
            <w:pPr>
              <w:pStyle w:val="Default"/>
              <w:rPr>
                <w:sz w:val="22"/>
                <w:szCs w:val="22"/>
              </w:rPr>
            </w:pPr>
          </w:p>
          <w:p w14:paraId="583BE470" w14:textId="77777777" w:rsidR="00DA7ED6" w:rsidRPr="001300A9" w:rsidRDefault="00DA7ED6" w:rsidP="00357CEC">
            <w:pPr>
              <w:pStyle w:val="Default"/>
              <w:rPr>
                <w:sz w:val="22"/>
                <w:szCs w:val="22"/>
              </w:rPr>
            </w:pPr>
          </w:p>
          <w:p w14:paraId="74877382" w14:textId="77777777" w:rsidR="00DA7ED6" w:rsidRPr="001300A9" w:rsidRDefault="00DA7ED6" w:rsidP="00357CEC">
            <w:pPr>
              <w:pStyle w:val="Default"/>
              <w:rPr>
                <w:sz w:val="22"/>
                <w:szCs w:val="22"/>
              </w:rPr>
            </w:pPr>
          </w:p>
          <w:p w14:paraId="0F5BB687" w14:textId="77777777" w:rsidR="00DA7ED6" w:rsidRPr="001300A9" w:rsidRDefault="00DA7ED6" w:rsidP="00357CEC">
            <w:pPr>
              <w:pStyle w:val="Default"/>
              <w:rPr>
                <w:sz w:val="22"/>
                <w:szCs w:val="22"/>
              </w:rPr>
            </w:pPr>
          </w:p>
          <w:p w14:paraId="681E783C" w14:textId="77777777" w:rsidR="00DA7ED6" w:rsidRPr="001300A9" w:rsidRDefault="00DA7ED6" w:rsidP="00357CEC">
            <w:pPr>
              <w:pStyle w:val="Default"/>
              <w:rPr>
                <w:sz w:val="22"/>
                <w:szCs w:val="22"/>
              </w:rPr>
            </w:pPr>
          </w:p>
          <w:p w14:paraId="7B877813" w14:textId="77777777" w:rsidR="00DA7ED6" w:rsidRPr="001300A9" w:rsidRDefault="00DA7ED6" w:rsidP="00357CEC">
            <w:pPr>
              <w:pStyle w:val="Default"/>
              <w:rPr>
                <w:sz w:val="22"/>
                <w:szCs w:val="22"/>
              </w:rPr>
            </w:pPr>
          </w:p>
          <w:p w14:paraId="52D5AC5D" w14:textId="77777777" w:rsidR="00DA7ED6" w:rsidRDefault="00DA7ED6" w:rsidP="00357CEC">
            <w:pPr>
              <w:pStyle w:val="Default"/>
              <w:rPr>
                <w:sz w:val="22"/>
                <w:szCs w:val="22"/>
              </w:rPr>
            </w:pPr>
          </w:p>
          <w:p w14:paraId="5265B305" w14:textId="77777777" w:rsidR="00A17585" w:rsidRPr="001300A9" w:rsidRDefault="00A17585" w:rsidP="00357CEC">
            <w:pPr>
              <w:pStyle w:val="Default"/>
              <w:rPr>
                <w:sz w:val="22"/>
                <w:szCs w:val="22"/>
              </w:rPr>
            </w:pPr>
          </w:p>
          <w:p w14:paraId="0F55902F" w14:textId="77777777" w:rsidR="00DA7ED6" w:rsidRPr="001300A9" w:rsidRDefault="00DA7ED6" w:rsidP="00357CEC">
            <w:pPr>
              <w:pStyle w:val="Default"/>
              <w:rPr>
                <w:sz w:val="22"/>
                <w:szCs w:val="22"/>
              </w:rPr>
            </w:pPr>
          </w:p>
          <w:p w14:paraId="064DFDB7" w14:textId="26370ECE" w:rsidR="00521543" w:rsidRDefault="00521543" w:rsidP="00357CEC">
            <w:pPr>
              <w:pStyle w:val="Default"/>
              <w:rPr>
                <w:sz w:val="22"/>
                <w:szCs w:val="22"/>
              </w:rPr>
            </w:pPr>
          </w:p>
          <w:p w14:paraId="37CEEC96" w14:textId="67ECE65A" w:rsidR="00DA7ED6" w:rsidRPr="001300A9" w:rsidRDefault="00DA7ED6" w:rsidP="00357CEC">
            <w:pPr>
              <w:pStyle w:val="Default"/>
              <w:rPr>
                <w:sz w:val="22"/>
                <w:szCs w:val="22"/>
              </w:rPr>
            </w:pPr>
            <w:r w:rsidRPr="001300A9">
              <w:rPr>
                <w:sz w:val="22"/>
                <w:szCs w:val="22"/>
              </w:rPr>
              <w:t>Ú</w:t>
            </w:r>
          </w:p>
        </w:tc>
        <w:tc>
          <w:tcPr>
            <w:tcW w:w="1276" w:type="dxa"/>
          </w:tcPr>
          <w:p w14:paraId="185715F4" w14:textId="77777777" w:rsidR="00357CEC" w:rsidRPr="001300A9" w:rsidRDefault="00357CEC" w:rsidP="00357CEC">
            <w:pPr>
              <w:pStyle w:val="Default"/>
              <w:rPr>
                <w:sz w:val="22"/>
                <w:szCs w:val="22"/>
              </w:rPr>
            </w:pPr>
          </w:p>
        </w:tc>
        <w:tc>
          <w:tcPr>
            <w:tcW w:w="850" w:type="dxa"/>
          </w:tcPr>
          <w:p w14:paraId="5FF1F4DA" w14:textId="77777777" w:rsidR="00357CEC" w:rsidRPr="001300A9" w:rsidRDefault="007349E0" w:rsidP="00357CEC">
            <w:pPr>
              <w:pStyle w:val="Default"/>
              <w:rPr>
                <w:sz w:val="22"/>
                <w:szCs w:val="22"/>
              </w:rPr>
            </w:pPr>
            <w:r w:rsidRPr="001300A9">
              <w:rPr>
                <w:sz w:val="22"/>
                <w:szCs w:val="22"/>
              </w:rPr>
              <w:t>GP - N</w:t>
            </w:r>
          </w:p>
          <w:p w14:paraId="604B2669" w14:textId="77777777" w:rsidR="007349E0" w:rsidRPr="001300A9" w:rsidRDefault="007349E0" w:rsidP="00357CEC">
            <w:pPr>
              <w:pStyle w:val="Default"/>
              <w:rPr>
                <w:sz w:val="22"/>
                <w:szCs w:val="22"/>
              </w:rPr>
            </w:pPr>
          </w:p>
          <w:p w14:paraId="3E0D7478" w14:textId="77777777" w:rsidR="007349E0" w:rsidRPr="001300A9" w:rsidRDefault="007349E0" w:rsidP="00357CEC">
            <w:pPr>
              <w:pStyle w:val="Default"/>
              <w:rPr>
                <w:sz w:val="22"/>
                <w:szCs w:val="22"/>
              </w:rPr>
            </w:pPr>
          </w:p>
          <w:p w14:paraId="2539EFC5" w14:textId="77777777" w:rsidR="007349E0" w:rsidRPr="001300A9" w:rsidRDefault="007349E0" w:rsidP="00357CEC">
            <w:pPr>
              <w:pStyle w:val="Default"/>
              <w:rPr>
                <w:sz w:val="22"/>
                <w:szCs w:val="22"/>
              </w:rPr>
            </w:pPr>
          </w:p>
          <w:p w14:paraId="3AB019AE" w14:textId="77777777" w:rsidR="007349E0" w:rsidRPr="001300A9" w:rsidRDefault="007349E0" w:rsidP="00357CEC">
            <w:pPr>
              <w:pStyle w:val="Default"/>
              <w:rPr>
                <w:sz w:val="22"/>
                <w:szCs w:val="22"/>
              </w:rPr>
            </w:pPr>
          </w:p>
          <w:p w14:paraId="10D5FC22" w14:textId="77777777" w:rsidR="007349E0" w:rsidRPr="001300A9" w:rsidRDefault="007349E0" w:rsidP="00357CEC">
            <w:pPr>
              <w:pStyle w:val="Default"/>
              <w:rPr>
                <w:sz w:val="22"/>
                <w:szCs w:val="22"/>
              </w:rPr>
            </w:pPr>
          </w:p>
          <w:p w14:paraId="7C36689C" w14:textId="77777777" w:rsidR="007349E0" w:rsidRPr="001300A9" w:rsidRDefault="007349E0" w:rsidP="00357CEC">
            <w:pPr>
              <w:pStyle w:val="Default"/>
              <w:rPr>
                <w:sz w:val="22"/>
                <w:szCs w:val="22"/>
              </w:rPr>
            </w:pPr>
          </w:p>
          <w:p w14:paraId="4E5814B8" w14:textId="77777777" w:rsidR="007349E0" w:rsidRPr="001300A9" w:rsidRDefault="007349E0" w:rsidP="00357CEC">
            <w:pPr>
              <w:pStyle w:val="Default"/>
              <w:rPr>
                <w:sz w:val="22"/>
                <w:szCs w:val="22"/>
              </w:rPr>
            </w:pPr>
          </w:p>
          <w:p w14:paraId="241FADFD" w14:textId="77777777" w:rsidR="007349E0" w:rsidRPr="001300A9" w:rsidRDefault="007349E0" w:rsidP="00357CEC">
            <w:pPr>
              <w:pStyle w:val="Default"/>
              <w:rPr>
                <w:sz w:val="22"/>
                <w:szCs w:val="22"/>
              </w:rPr>
            </w:pPr>
          </w:p>
          <w:p w14:paraId="6E627FE6" w14:textId="77777777" w:rsidR="007349E0" w:rsidRPr="001300A9" w:rsidRDefault="007349E0" w:rsidP="00357CEC">
            <w:pPr>
              <w:pStyle w:val="Default"/>
              <w:rPr>
                <w:sz w:val="22"/>
                <w:szCs w:val="22"/>
              </w:rPr>
            </w:pPr>
          </w:p>
          <w:p w14:paraId="53D19536" w14:textId="77777777" w:rsidR="007349E0" w:rsidRPr="001300A9" w:rsidRDefault="007349E0" w:rsidP="00357CEC">
            <w:pPr>
              <w:pStyle w:val="Default"/>
              <w:rPr>
                <w:sz w:val="22"/>
                <w:szCs w:val="22"/>
              </w:rPr>
            </w:pPr>
          </w:p>
          <w:p w14:paraId="73B66DCC" w14:textId="77777777" w:rsidR="001E78AA" w:rsidRDefault="001E78AA" w:rsidP="00357CEC">
            <w:pPr>
              <w:pStyle w:val="Default"/>
              <w:rPr>
                <w:sz w:val="22"/>
                <w:szCs w:val="22"/>
              </w:rPr>
            </w:pPr>
          </w:p>
          <w:p w14:paraId="492B9D67" w14:textId="77777777" w:rsidR="001E78AA" w:rsidRDefault="001E78AA" w:rsidP="00357CEC">
            <w:pPr>
              <w:pStyle w:val="Default"/>
              <w:rPr>
                <w:sz w:val="22"/>
                <w:szCs w:val="22"/>
              </w:rPr>
            </w:pPr>
          </w:p>
          <w:p w14:paraId="6EA2B36F" w14:textId="77777777" w:rsidR="001E78AA" w:rsidRDefault="001E78AA" w:rsidP="00357CEC">
            <w:pPr>
              <w:pStyle w:val="Default"/>
              <w:rPr>
                <w:sz w:val="22"/>
                <w:szCs w:val="22"/>
              </w:rPr>
            </w:pPr>
          </w:p>
          <w:p w14:paraId="608677DD" w14:textId="77777777" w:rsidR="001E78AA" w:rsidRDefault="001E78AA" w:rsidP="00357CEC">
            <w:pPr>
              <w:pStyle w:val="Default"/>
              <w:rPr>
                <w:sz w:val="22"/>
                <w:szCs w:val="22"/>
              </w:rPr>
            </w:pPr>
          </w:p>
          <w:p w14:paraId="29EB774B" w14:textId="77777777" w:rsidR="001E78AA" w:rsidRDefault="001E78AA" w:rsidP="00357CEC">
            <w:pPr>
              <w:pStyle w:val="Default"/>
              <w:rPr>
                <w:sz w:val="22"/>
                <w:szCs w:val="22"/>
              </w:rPr>
            </w:pPr>
          </w:p>
          <w:p w14:paraId="0DB141CB" w14:textId="77777777" w:rsidR="001E78AA" w:rsidRDefault="001E78AA" w:rsidP="00357CEC">
            <w:pPr>
              <w:pStyle w:val="Default"/>
              <w:rPr>
                <w:sz w:val="22"/>
                <w:szCs w:val="22"/>
              </w:rPr>
            </w:pPr>
          </w:p>
          <w:p w14:paraId="7AB6BD11" w14:textId="77777777" w:rsidR="001E78AA" w:rsidRDefault="001E78AA" w:rsidP="00357CEC">
            <w:pPr>
              <w:pStyle w:val="Default"/>
              <w:rPr>
                <w:sz w:val="22"/>
                <w:szCs w:val="22"/>
              </w:rPr>
            </w:pPr>
          </w:p>
          <w:p w14:paraId="058F505A" w14:textId="77777777" w:rsidR="001E78AA" w:rsidRDefault="001E78AA" w:rsidP="00357CEC">
            <w:pPr>
              <w:pStyle w:val="Default"/>
              <w:rPr>
                <w:sz w:val="22"/>
                <w:szCs w:val="22"/>
              </w:rPr>
            </w:pPr>
          </w:p>
          <w:p w14:paraId="01C2F8C2" w14:textId="03697950" w:rsidR="001E78AA" w:rsidRDefault="001E78AA" w:rsidP="00357CEC">
            <w:pPr>
              <w:pStyle w:val="Default"/>
              <w:rPr>
                <w:sz w:val="22"/>
                <w:szCs w:val="22"/>
              </w:rPr>
            </w:pPr>
          </w:p>
          <w:p w14:paraId="2A561FCC" w14:textId="69F1F14D" w:rsidR="007349E0" w:rsidRPr="001300A9" w:rsidRDefault="007349E0" w:rsidP="00357CEC">
            <w:pPr>
              <w:pStyle w:val="Default"/>
              <w:rPr>
                <w:sz w:val="22"/>
                <w:szCs w:val="22"/>
              </w:rPr>
            </w:pPr>
            <w:r w:rsidRPr="001300A9">
              <w:rPr>
                <w:sz w:val="22"/>
                <w:szCs w:val="22"/>
              </w:rPr>
              <w:t>GP - N</w:t>
            </w:r>
          </w:p>
          <w:p w14:paraId="450E8D28" w14:textId="77777777" w:rsidR="007349E0" w:rsidRPr="001300A9" w:rsidRDefault="007349E0" w:rsidP="00357CEC">
            <w:pPr>
              <w:pStyle w:val="Default"/>
              <w:rPr>
                <w:sz w:val="22"/>
                <w:szCs w:val="22"/>
              </w:rPr>
            </w:pPr>
          </w:p>
          <w:p w14:paraId="5A4A0C46" w14:textId="77777777" w:rsidR="007349E0" w:rsidRPr="001300A9" w:rsidRDefault="007349E0" w:rsidP="00357CEC">
            <w:pPr>
              <w:pStyle w:val="Default"/>
              <w:rPr>
                <w:sz w:val="22"/>
                <w:szCs w:val="22"/>
              </w:rPr>
            </w:pPr>
          </w:p>
          <w:p w14:paraId="65C5C3FA" w14:textId="77777777" w:rsidR="007349E0" w:rsidRPr="001300A9" w:rsidRDefault="007349E0" w:rsidP="00357CEC">
            <w:pPr>
              <w:pStyle w:val="Default"/>
              <w:rPr>
                <w:sz w:val="22"/>
                <w:szCs w:val="22"/>
              </w:rPr>
            </w:pPr>
          </w:p>
          <w:p w14:paraId="12A67C42" w14:textId="77777777" w:rsidR="001E78AA" w:rsidRDefault="001E78AA" w:rsidP="00357CEC">
            <w:pPr>
              <w:pStyle w:val="Default"/>
              <w:rPr>
                <w:sz w:val="22"/>
                <w:szCs w:val="22"/>
              </w:rPr>
            </w:pPr>
          </w:p>
          <w:p w14:paraId="7576AEB1" w14:textId="77777777" w:rsidR="001E78AA" w:rsidRDefault="001E78AA" w:rsidP="00357CEC">
            <w:pPr>
              <w:pStyle w:val="Default"/>
              <w:rPr>
                <w:sz w:val="22"/>
                <w:szCs w:val="22"/>
              </w:rPr>
            </w:pPr>
          </w:p>
          <w:p w14:paraId="00DF145F" w14:textId="77777777" w:rsidR="001E78AA" w:rsidRDefault="001E78AA" w:rsidP="00357CEC">
            <w:pPr>
              <w:pStyle w:val="Default"/>
              <w:rPr>
                <w:sz w:val="22"/>
                <w:szCs w:val="22"/>
              </w:rPr>
            </w:pPr>
          </w:p>
          <w:p w14:paraId="3EED7344" w14:textId="77777777" w:rsidR="001E78AA" w:rsidRDefault="001E78AA" w:rsidP="00357CEC">
            <w:pPr>
              <w:pStyle w:val="Default"/>
              <w:rPr>
                <w:sz w:val="22"/>
                <w:szCs w:val="22"/>
              </w:rPr>
            </w:pPr>
          </w:p>
          <w:p w14:paraId="6EFC32E5" w14:textId="091D2A53" w:rsidR="007349E0" w:rsidRPr="001300A9" w:rsidRDefault="007349E0" w:rsidP="00357CEC">
            <w:pPr>
              <w:pStyle w:val="Default"/>
              <w:rPr>
                <w:sz w:val="22"/>
                <w:szCs w:val="22"/>
              </w:rPr>
            </w:pPr>
            <w:r w:rsidRPr="001300A9">
              <w:rPr>
                <w:sz w:val="22"/>
                <w:szCs w:val="22"/>
              </w:rPr>
              <w:t>GP - N</w:t>
            </w:r>
          </w:p>
          <w:p w14:paraId="5C397CAB" w14:textId="77777777" w:rsidR="005900E4" w:rsidRPr="001300A9" w:rsidRDefault="005900E4" w:rsidP="00357CEC">
            <w:pPr>
              <w:pStyle w:val="Default"/>
              <w:rPr>
                <w:sz w:val="22"/>
                <w:szCs w:val="22"/>
              </w:rPr>
            </w:pPr>
          </w:p>
          <w:p w14:paraId="2470812B" w14:textId="77777777" w:rsidR="005900E4" w:rsidRPr="001300A9" w:rsidRDefault="005900E4" w:rsidP="00357CEC">
            <w:pPr>
              <w:pStyle w:val="Default"/>
              <w:rPr>
                <w:sz w:val="22"/>
                <w:szCs w:val="22"/>
              </w:rPr>
            </w:pPr>
          </w:p>
          <w:p w14:paraId="3403E005" w14:textId="65611767" w:rsidR="005900E4" w:rsidRPr="001300A9" w:rsidRDefault="005900E4" w:rsidP="00357CEC">
            <w:pPr>
              <w:pStyle w:val="Default"/>
              <w:rPr>
                <w:sz w:val="22"/>
                <w:szCs w:val="22"/>
              </w:rPr>
            </w:pPr>
          </w:p>
          <w:p w14:paraId="13B5FC6E" w14:textId="77777777" w:rsidR="005900E4" w:rsidRPr="001300A9" w:rsidRDefault="005900E4" w:rsidP="00357CEC">
            <w:pPr>
              <w:pStyle w:val="Default"/>
              <w:rPr>
                <w:sz w:val="22"/>
                <w:szCs w:val="22"/>
              </w:rPr>
            </w:pPr>
            <w:r w:rsidRPr="001300A9">
              <w:rPr>
                <w:sz w:val="22"/>
                <w:szCs w:val="22"/>
              </w:rPr>
              <w:t>GP - N</w:t>
            </w:r>
          </w:p>
          <w:p w14:paraId="47A1CEEB" w14:textId="77777777" w:rsidR="005900E4" w:rsidRPr="001300A9" w:rsidRDefault="005900E4" w:rsidP="00357CEC">
            <w:pPr>
              <w:pStyle w:val="Default"/>
              <w:rPr>
                <w:sz w:val="22"/>
                <w:szCs w:val="22"/>
              </w:rPr>
            </w:pPr>
          </w:p>
          <w:p w14:paraId="258BE7BD" w14:textId="77777777" w:rsidR="005900E4" w:rsidRPr="001300A9" w:rsidRDefault="005900E4" w:rsidP="00357CEC">
            <w:pPr>
              <w:pStyle w:val="Default"/>
              <w:rPr>
                <w:sz w:val="22"/>
                <w:szCs w:val="22"/>
              </w:rPr>
            </w:pPr>
          </w:p>
          <w:p w14:paraId="0345F363" w14:textId="77777777" w:rsidR="005900E4" w:rsidRPr="001300A9" w:rsidRDefault="005900E4" w:rsidP="00357CEC">
            <w:pPr>
              <w:pStyle w:val="Default"/>
              <w:rPr>
                <w:sz w:val="22"/>
                <w:szCs w:val="22"/>
              </w:rPr>
            </w:pPr>
          </w:p>
          <w:p w14:paraId="2D96D982" w14:textId="77777777" w:rsidR="005900E4" w:rsidRPr="001300A9" w:rsidRDefault="005900E4" w:rsidP="00357CEC">
            <w:pPr>
              <w:pStyle w:val="Default"/>
              <w:rPr>
                <w:sz w:val="22"/>
                <w:szCs w:val="22"/>
              </w:rPr>
            </w:pPr>
          </w:p>
          <w:p w14:paraId="0F232114" w14:textId="77777777" w:rsidR="005900E4" w:rsidRPr="001300A9" w:rsidRDefault="005900E4" w:rsidP="00357CEC">
            <w:pPr>
              <w:pStyle w:val="Default"/>
              <w:rPr>
                <w:sz w:val="22"/>
                <w:szCs w:val="22"/>
              </w:rPr>
            </w:pPr>
          </w:p>
          <w:p w14:paraId="51B8C65E" w14:textId="77777777" w:rsidR="005900E4" w:rsidRPr="001300A9" w:rsidRDefault="005900E4" w:rsidP="00357CEC">
            <w:pPr>
              <w:pStyle w:val="Default"/>
              <w:rPr>
                <w:sz w:val="22"/>
                <w:szCs w:val="22"/>
              </w:rPr>
            </w:pPr>
          </w:p>
          <w:p w14:paraId="389EF6A4" w14:textId="77777777" w:rsidR="005900E4" w:rsidRPr="001300A9" w:rsidRDefault="005900E4" w:rsidP="00357CEC">
            <w:pPr>
              <w:pStyle w:val="Default"/>
              <w:rPr>
                <w:sz w:val="22"/>
                <w:szCs w:val="22"/>
              </w:rPr>
            </w:pPr>
          </w:p>
          <w:p w14:paraId="4568BA09" w14:textId="77777777" w:rsidR="005900E4" w:rsidRPr="001300A9" w:rsidRDefault="005900E4" w:rsidP="00357CEC">
            <w:pPr>
              <w:pStyle w:val="Default"/>
              <w:rPr>
                <w:sz w:val="22"/>
                <w:szCs w:val="22"/>
              </w:rPr>
            </w:pPr>
          </w:p>
          <w:p w14:paraId="5DB5B78C" w14:textId="77777777" w:rsidR="005900E4" w:rsidRPr="001300A9" w:rsidRDefault="005900E4" w:rsidP="00357CEC">
            <w:pPr>
              <w:pStyle w:val="Default"/>
              <w:rPr>
                <w:sz w:val="22"/>
                <w:szCs w:val="22"/>
              </w:rPr>
            </w:pPr>
          </w:p>
          <w:p w14:paraId="1F4F4C41" w14:textId="77777777" w:rsidR="005900E4" w:rsidRPr="001300A9" w:rsidRDefault="005900E4" w:rsidP="00357CEC">
            <w:pPr>
              <w:pStyle w:val="Default"/>
              <w:rPr>
                <w:sz w:val="22"/>
                <w:szCs w:val="22"/>
              </w:rPr>
            </w:pPr>
          </w:p>
          <w:p w14:paraId="402D1DA6" w14:textId="77777777" w:rsidR="005900E4" w:rsidRPr="001300A9" w:rsidRDefault="005900E4" w:rsidP="00357CEC">
            <w:pPr>
              <w:pStyle w:val="Default"/>
              <w:rPr>
                <w:sz w:val="22"/>
                <w:szCs w:val="22"/>
              </w:rPr>
            </w:pPr>
          </w:p>
          <w:p w14:paraId="1DD74073" w14:textId="77777777" w:rsidR="005900E4" w:rsidRPr="001300A9" w:rsidRDefault="005900E4" w:rsidP="00357CEC">
            <w:pPr>
              <w:pStyle w:val="Default"/>
              <w:rPr>
                <w:sz w:val="22"/>
                <w:szCs w:val="22"/>
              </w:rPr>
            </w:pPr>
          </w:p>
          <w:p w14:paraId="65D038C4" w14:textId="77777777" w:rsidR="005900E4" w:rsidRPr="001300A9" w:rsidRDefault="005900E4" w:rsidP="00357CEC">
            <w:pPr>
              <w:pStyle w:val="Default"/>
              <w:rPr>
                <w:sz w:val="22"/>
                <w:szCs w:val="22"/>
              </w:rPr>
            </w:pPr>
          </w:p>
          <w:p w14:paraId="001EB1DD" w14:textId="77777777" w:rsidR="005900E4" w:rsidRPr="001300A9" w:rsidRDefault="005900E4" w:rsidP="00357CEC">
            <w:pPr>
              <w:pStyle w:val="Default"/>
              <w:rPr>
                <w:sz w:val="22"/>
                <w:szCs w:val="22"/>
              </w:rPr>
            </w:pPr>
          </w:p>
          <w:p w14:paraId="349A2C06" w14:textId="77777777" w:rsidR="005900E4" w:rsidRPr="001300A9" w:rsidRDefault="005900E4" w:rsidP="00357CEC">
            <w:pPr>
              <w:pStyle w:val="Default"/>
              <w:rPr>
                <w:sz w:val="22"/>
                <w:szCs w:val="22"/>
              </w:rPr>
            </w:pPr>
          </w:p>
          <w:p w14:paraId="1997B9A0" w14:textId="77777777" w:rsidR="005900E4" w:rsidRPr="001300A9" w:rsidRDefault="005900E4" w:rsidP="00357CEC">
            <w:pPr>
              <w:pStyle w:val="Default"/>
              <w:rPr>
                <w:sz w:val="22"/>
                <w:szCs w:val="22"/>
              </w:rPr>
            </w:pPr>
          </w:p>
          <w:p w14:paraId="6CB8F003" w14:textId="77777777" w:rsidR="005900E4" w:rsidRPr="001300A9" w:rsidRDefault="005900E4" w:rsidP="00357CEC">
            <w:pPr>
              <w:pStyle w:val="Default"/>
              <w:rPr>
                <w:sz w:val="22"/>
                <w:szCs w:val="22"/>
              </w:rPr>
            </w:pPr>
          </w:p>
          <w:p w14:paraId="0DDC8879" w14:textId="77777777" w:rsidR="005900E4" w:rsidRPr="001300A9" w:rsidRDefault="005900E4" w:rsidP="00357CEC">
            <w:pPr>
              <w:pStyle w:val="Default"/>
              <w:rPr>
                <w:sz w:val="22"/>
                <w:szCs w:val="22"/>
              </w:rPr>
            </w:pPr>
          </w:p>
          <w:p w14:paraId="3AC38889" w14:textId="77777777" w:rsidR="00350EB0" w:rsidRPr="001300A9" w:rsidRDefault="00350EB0" w:rsidP="00357CEC">
            <w:pPr>
              <w:pStyle w:val="Default"/>
              <w:rPr>
                <w:sz w:val="22"/>
                <w:szCs w:val="22"/>
              </w:rPr>
            </w:pPr>
          </w:p>
          <w:p w14:paraId="3104578A" w14:textId="77777777" w:rsidR="0006236A" w:rsidRDefault="0006236A" w:rsidP="00357CEC">
            <w:pPr>
              <w:pStyle w:val="Default"/>
              <w:rPr>
                <w:sz w:val="22"/>
                <w:szCs w:val="22"/>
              </w:rPr>
            </w:pPr>
          </w:p>
          <w:p w14:paraId="732036A0" w14:textId="77777777" w:rsidR="002B06FC" w:rsidRDefault="002B06FC" w:rsidP="00357CEC">
            <w:pPr>
              <w:pStyle w:val="Default"/>
              <w:rPr>
                <w:sz w:val="22"/>
                <w:szCs w:val="22"/>
              </w:rPr>
            </w:pPr>
          </w:p>
          <w:p w14:paraId="6706CBB7" w14:textId="77777777" w:rsidR="002B06FC" w:rsidRDefault="002B06FC" w:rsidP="00357CEC">
            <w:pPr>
              <w:pStyle w:val="Default"/>
              <w:rPr>
                <w:sz w:val="22"/>
                <w:szCs w:val="22"/>
              </w:rPr>
            </w:pPr>
          </w:p>
          <w:p w14:paraId="51D6FB00" w14:textId="77777777" w:rsidR="002B06FC" w:rsidRDefault="002B06FC" w:rsidP="00357CEC">
            <w:pPr>
              <w:pStyle w:val="Default"/>
              <w:rPr>
                <w:sz w:val="22"/>
                <w:szCs w:val="22"/>
              </w:rPr>
            </w:pPr>
          </w:p>
          <w:p w14:paraId="17F3B194" w14:textId="77777777" w:rsidR="002B06FC" w:rsidRDefault="002B06FC" w:rsidP="00357CEC">
            <w:pPr>
              <w:pStyle w:val="Default"/>
              <w:rPr>
                <w:sz w:val="22"/>
                <w:szCs w:val="22"/>
              </w:rPr>
            </w:pPr>
          </w:p>
          <w:p w14:paraId="6C8C6249" w14:textId="77777777" w:rsidR="002B06FC" w:rsidRDefault="002B06FC" w:rsidP="00357CEC">
            <w:pPr>
              <w:pStyle w:val="Default"/>
              <w:rPr>
                <w:sz w:val="22"/>
                <w:szCs w:val="22"/>
              </w:rPr>
            </w:pPr>
          </w:p>
          <w:p w14:paraId="7BC5FBB2" w14:textId="77777777" w:rsidR="002B06FC" w:rsidRDefault="002B06FC" w:rsidP="00357CEC">
            <w:pPr>
              <w:pStyle w:val="Default"/>
              <w:rPr>
                <w:sz w:val="22"/>
                <w:szCs w:val="22"/>
              </w:rPr>
            </w:pPr>
          </w:p>
          <w:p w14:paraId="440C237C" w14:textId="7A3EC47C" w:rsidR="00AF7521" w:rsidRDefault="00AF7521" w:rsidP="00357CEC">
            <w:pPr>
              <w:pStyle w:val="Default"/>
              <w:rPr>
                <w:sz w:val="22"/>
                <w:szCs w:val="22"/>
              </w:rPr>
            </w:pPr>
          </w:p>
          <w:p w14:paraId="0FB4364E" w14:textId="440662E1" w:rsidR="005900E4" w:rsidRPr="001300A9" w:rsidRDefault="005900E4" w:rsidP="00357CEC">
            <w:pPr>
              <w:pStyle w:val="Default"/>
              <w:rPr>
                <w:sz w:val="22"/>
                <w:szCs w:val="22"/>
              </w:rPr>
            </w:pPr>
            <w:r w:rsidRPr="001300A9">
              <w:rPr>
                <w:sz w:val="22"/>
                <w:szCs w:val="22"/>
              </w:rPr>
              <w:t xml:space="preserve">GP </w:t>
            </w:r>
            <w:r w:rsidR="00DF02A6" w:rsidRPr="001300A9">
              <w:rPr>
                <w:sz w:val="22"/>
                <w:szCs w:val="22"/>
              </w:rPr>
              <w:t xml:space="preserve">- </w:t>
            </w:r>
            <w:r w:rsidRPr="001300A9">
              <w:rPr>
                <w:sz w:val="22"/>
                <w:szCs w:val="22"/>
              </w:rPr>
              <w:t>N</w:t>
            </w:r>
          </w:p>
          <w:p w14:paraId="4EFB88C1" w14:textId="77777777" w:rsidR="00DF02A6" w:rsidRPr="001300A9" w:rsidRDefault="00DF02A6" w:rsidP="00357CEC">
            <w:pPr>
              <w:pStyle w:val="Default"/>
              <w:rPr>
                <w:sz w:val="22"/>
                <w:szCs w:val="22"/>
              </w:rPr>
            </w:pPr>
          </w:p>
          <w:p w14:paraId="5D36A7A7" w14:textId="22B41671" w:rsidR="00DF02A6" w:rsidRPr="001300A9" w:rsidRDefault="00DF02A6" w:rsidP="00357CEC">
            <w:pPr>
              <w:pStyle w:val="Default"/>
              <w:rPr>
                <w:sz w:val="22"/>
                <w:szCs w:val="22"/>
              </w:rPr>
            </w:pPr>
          </w:p>
          <w:p w14:paraId="71CDC2FE" w14:textId="7DBE7139" w:rsidR="00DF02A6" w:rsidRPr="001300A9" w:rsidRDefault="00DF02A6" w:rsidP="00357CEC">
            <w:pPr>
              <w:pStyle w:val="Default"/>
              <w:rPr>
                <w:sz w:val="22"/>
                <w:szCs w:val="22"/>
              </w:rPr>
            </w:pPr>
          </w:p>
          <w:p w14:paraId="0E0A87BA" w14:textId="4505B353" w:rsidR="00DF02A6" w:rsidRPr="001300A9" w:rsidRDefault="00DF02A6" w:rsidP="00357CEC">
            <w:pPr>
              <w:pStyle w:val="Default"/>
              <w:rPr>
                <w:sz w:val="22"/>
                <w:szCs w:val="22"/>
              </w:rPr>
            </w:pPr>
          </w:p>
          <w:p w14:paraId="06BD5F4E" w14:textId="29FDF93F" w:rsidR="00DF02A6" w:rsidRPr="001300A9" w:rsidRDefault="00DF02A6" w:rsidP="00357CEC">
            <w:pPr>
              <w:pStyle w:val="Default"/>
              <w:rPr>
                <w:sz w:val="22"/>
                <w:szCs w:val="22"/>
              </w:rPr>
            </w:pPr>
          </w:p>
          <w:p w14:paraId="0F4FAB6C" w14:textId="7E701749" w:rsidR="00DF02A6" w:rsidRPr="001300A9" w:rsidRDefault="00DF02A6" w:rsidP="00357CEC">
            <w:pPr>
              <w:pStyle w:val="Default"/>
              <w:rPr>
                <w:sz w:val="22"/>
                <w:szCs w:val="22"/>
              </w:rPr>
            </w:pPr>
          </w:p>
          <w:p w14:paraId="2D3A4F8B" w14:textId="310A636F" w:rsidR="00DF02A6" w:rsidRPr="001300A9" w:rsidRDefault="00DF02A6" w:rsidP="00357CEC">
            <w:pPr>
              <w:pStyle w:val="Default"/>
              <w:rPr>
                <w:sz w:val="22"/>
                <w:szCs w:val="22"/>
              </w:rPr>
            </w:pPr>
          </w:p>
          <w:p w14:paraId="76956E4A" w14:textId="5DB50C56" w:rsidR="00DF02A6" w:rsidRPr="001300A9" w:rsidRDefault="00DF02A6" w:rsidP="00357CEC">
            <w:pPr>
              <w:pStyle w:val="Default"/>
              <w:rPr>
                <w:sz w:val="22"/>
                <w:szCs w:val="22"/>
              </w:rPr>
            </w:pPr>
          </w:p>
          <w:p w14:paraId="05A71809" w14:textId="7651CE1C" w:rsidR="00DF02A6" w:rsidRPr="001300A9" w:rsidRDefault="00DF02A6" w:rsidP="00357CEC">
            <w:pPr>
              <w:pStyle w:val="Default"/>
              <w:rPr>
                <w:sz w:val="22"/>
                <w:szCs w:val="22"/>
              </w:rPr>
            </w:pPr>
          </w:p>
          <w:p w14:paraId="3B5CF4E5" w14:textId="782BBE3E" w:rsidR="00DF02A6" w:rsidRPr="001300A9" w:rsidRDefault="00DF02A6" w:rsidP="00357CEC">
            <w:pPr>
              <w:pStyle w:val="Default"/>
              <w:rPr>
                <w:sz w:val="22"/>
                <w:szCs w:val="22"/>
              </w:rPr>
            </w:pPr>
          </w:p>
          <w:p w14:paraId="412E548C" w14:textId="296E5ACC" w:rsidR="00DF02A6" w:rsidRPr="001300A9" w:rsidRDefault="00DF02A6" w:rsidP="00357CEC">
            <w:pPr>
              <w:pStyle w:val="Default"/>
              <w:rPr>
                <w:sz w:val="22"/>
                <w:szCs w:val="22"/>
              </w:rPr>
            </w:pPr>
          </w:p>
          <w:p w14:paraId="099E1915" w14:textId="1134ED5C" w:rsidR="00DF02A6" w:rsidRPr="001300A9" w:rsidRDefault="00DF02A6" w:rsidP="00357CEC">
            <w:pPr>
              <w:pStyle w:val="Default"/>
              <w:rPr>
                <w:sz w:val="22"/>
                <w:szCs w:val="22"/>
              </w:rPr>
            </w:pPr>
          </w:p>
          <w:p w14:paraId="368294C6" w14:textId="4A924C2B" w:rsidR="00DF02A6" w:rsidRPr="001300A9" w:rsidRDefault="00DF02A6" w:rsidP="00357CEC">
            <w:pPr>
              <w:pStyle w:val="Default"/>
              <w:rPr>
                <w:sz w:val="22"/>
                <w:szCs w:val="22"/>
              </w:rPr>
            </w:pPr>
          </w:p>
          <w:p w14:paraId="6980D819" w14:textId="0EEF260E" w:rsidR="00DF02A6" w:rsidRPr="001300A9" w:rsidRDefault="00DF02A6" w:rsidP="00357CEC">
            <w:pPr>
              <w:pStyle w:val="Default"/>
              <w:rPr>
                <w:sz w:val="22"/>
                <w:szCs w:val="22"/>
              </w:rPr>
            </w:pPr>
          </w:p>
          <w:p w14:paraId="07939AF1" w14:textId="44ABB756" w:rsidR="00DF02A6" w:rsidRPr="001300A9" w:rsidRDefault="00DF02A6" w:rsidP="00357CEC">
            <w:pPr>
              <w:pStyle w:val="Default"/>
              <w:rPr>
                <w:sz w:val="22"/>
                <w:szCs w:val="22"/>
              </w:rPr>
            </w:pPr>
          </w:p>
          <w:p w14:paraId="0AA54965" w14:textId="01FD516E" w:rsidR="00DF02A6" w:rsidRPr="001300A9" w:rsidRDefault="00DF02A6" w:rsidP="00357CEC">
            <w:pPr>
              <w:pStyle w:val="Default"/>
              <w:rPr>
                <w:sz w:val="22"/>
                <w:szCs w:val="22"/>
              </w:rPr>
            </w:pPr>
          </w:p>
          <w:p w14:paraId="6E29A31A" w14:textId="4E631ADA" w:rsidR="00DF02A6" w:rsidRPr="001300A9" w:rsidRDefault="00DF02A6" w:rsidP="00357CEC">
            <w:pPr>
              <w:pStyle w:val="Default"/>
              <w:rPr>
                <w:sz w:val="22"/>
                <w:szCs w:val="22"/>
              </w:rPr>
            </w:pPr>
          </w:p>
          <w:p w14:paraId="4B09F815" w14:textId="587F2421" w:rsidR="00DF02A6" w:rsidRPr="001300A9" w:rsidRDefault="00DF02A6" w:rsidP="00357CEC">
            <w:pPr>
              <w:pStyle w:val="Default"/>
              <w:rPr>
                <w:sz w:val="22"/>
                <w:szCs w:val="22"/>
              </w:rPr>
            </w:pPr>
          </w:p>
          <w:p w14:paraId="2099F269" w14:textId="4CF5799D" w:rsidR="00DF02A6" w:rsidRPr="001300A9" w:rsidRDefault="00DF02A6" w:rsidP="00357CEC">
            <w:pPr>
              <w:pStyle w:val="Default"/>
              <w:rPr>
                <w:sz w:val="22"/>
                <w:szCs w:val="22"/>
              </w:rPr>
            </w:pPr>
          </w:p>
          <w:p w14:paraId="00476337" w14:textId="4DB5ED07" w:rsidR="00DF02A6" w:rsidRPr="001300A9" w:rsidRDefault="00DF02A6" w:rsidP="00357CEC">
            <w:pPr>
              <w:pStyle w:val="Default"/>
              <w:rPr>
                <w:sz w:val="22"/>
                <w:szCs w:val="22"/>
              </w:rPr>
            </w:pPr>
          </w:p>
          <w:p w14:paraId="5752FA4A" w14:textId="2558BB75" w:rsidR="00DF02A6" w:rsidRPr="001300A9" w:rsidRDefault="00DF02A6" w:rsidP="00357CEC">
            <w:pPr>
              <w:pStyle w:val="Default"/>
              <w:rPr>
                <w:sz w:val="22"/>
                <w:szCs w:val="22"/>
              </w:rPr>
            </w:pPr>
          </w:p>
          <w:p w14:paraId="581C316C" w14:textId="4CA0E5BC" w:rsidR="00DF02A6" w:rsidRPr="001300A9" w:rsidRDefault="00DF02A6" w:rsidP="00357CEC">
            <w:pPr>
              <w:pStyle w:val="Default"/>
              <w:rPr>
                <w:sz w:val="22"/>
                <w:szCs w:val="22"/>
              </w:rPr>
            </w:pPr>
          </w:p>
          <w:p w14:paraId="539A2D8B" w14:textId="5CD21BF0" w:rsidR="00DF02A6" w:rsidRPr="001300A9" w:rsidRDefault="00DF02A6" w:rsidP="00357CEC">
            <w:pPr>
              <w:pStyle w:val="Default"/>
              <w:rPr>
                <w:sz w:val="22"/>
                <w:szCs w:val="22"/>
              </w:rPr>
            </w:pPr>
          </w:p>
          <w:p w14:paraId="0386BC5A" w14:textId="62F48D54" w:rsidR="00DF02A6" w:rsidRPr="001300A9" w:rsidRDefault="00DF02A6" w:rsidP="00357CEC">
            <w:pPr>
              <w:pStyle w:val="Default"/>
              <w:rPr>
                <w:sz w:val="22"/>
                <w:szCs w:val="22"/>
              </w:rPr>
            </w:pPr>
          </w:p>
          <w:p w14:paraId="5ADEB80A" w14:textId="2D474062" w:rsidR="00DF02A6" w:rsidRPr="001300A9" w:rsidRDefault="00DF02A6" w:rsidP="00357CEC">
            <w:pPr>
              <w:pStyle w:val="Default"/>
              <w:rPr>
                <w:sz w:val="22"/>
                <w:szCs w:val="22"/>
              </w:rPr>
            </w:pPr>
          </w:p>
          <w:p w14:paraId="217DC6E5" w14:textId="71440A1E" w:rsidR="00DF02A6" w:rsidRPr="001300A9" w:rsidRDefault="00DF02A6" w:rsidP="00357CEC">
            <w:pPr>
              <w:pStyle w:val="Default"/>
              <w:rPr>
                <w:sz w:val="22"/>
                <w:szCs w:val="22"/>
              </w:rPr>
            </w:pPr>
          </w:p>
          <w:p w14:paraId="5A451350" w14:textId="2702CBFD" w:rsidR="00DF02A6" w:rsidRPr="001300A9" w:rsidRDefault="00DF02A6" w:rsidP="00357CEC">
            <w:pPr>
              <w:pStyle w:val="Default"/>
              <w:rPr>
                <w:sz w:val="22"/>
                <w:szCs w:val="22"/>
              </w:rPr>
            </w:pPr>
          </w:p>
          <w:p w14:paraId="31588047" w14:textId="2B3DF5B1" w:rsidR="00DF02A6" w:rsidRPr="001300A9" w:rsidRDefault="00DF02A6" w:rsidP="00357CEC">
            <w:pPr>
              <w:pStyle w:val="Default"/>
              <w:rPr>
                <w:sz w:val="22"/>
                <w:szCs w:val="22"/>
              </w:rPr>
            </w:pPr>
          </w:p>
          <w:p w14:paraId="03074F3C" w14:textId="4A7772A9" w:rsidR="00DF02A6" w:rsidRPr="001300A9" w:rsidRDefault="00DF02A6" w:rsidP="00357CEC">
            <w:pPr>
              <w:pStyle w:val="Default"/>
              <w:rPr>
                <w:sz w:val="22"/>
                <w:szCs w:val="22"/>
              </w:rPr>
            </w:pPr>
          </w:p>
          <w:p w14:paraId="63768A45" w14:textId="55A377D8" w:rsidR="00DF02A6" w:rsidRPr="001300A9" w:rsidRDefault="00DF02A6" w:rsidP="00357CEC">
            <w:pPr>
              <w:pStyle w:val="Default"/>
              <w:rPr>
                <w:sz w:val="22"/>
                <w:szCs w:val="22"/>
              </w:rPr>
            </w:pPr>
          </w:p>
          <w:p w14:paraId="7B398031" w14:textId="67F7D920" w:rsidR="00DF02A6" w:rsidRPr="001300A9" w:rsidRDefault="00DF02A6" w:rsidP="00357CEC">
            <w:pPr>
              <w:pStyle w:val="Default"/>
              <w:rPr>
                <w:sz w:val="22"/>
                <w:szCs w:val="22"/>
              </w:rPr>
            </w:pPr>
          </w:p>
          <w:p w14:paraId="2A518E3F" w14:textId="15CAD6C3" w:rsidR="00DF02A6" w:rsidRPr="001300A9" w:rsidRDefault="00DF02A6" w:rsidP="00357CEC">
            <w:pPr>
              <w:pStyle w:val="Default"/>
              <w:rPr>
                <w:sz w:val="22"/>
                <w:szCs w:val="22"/>
              </w:rPr>
            </w:pPr>
          </w:p>
          <w:p w14:paraId="219DC272" w14:textId="3C394D75" w:rsidR="00DF02A6" w:rsidRPr="001300A9" w:rsidRDefault="00DF02A6" w:rsidP="00357CEC">
            <w:pPr>
              <w:pStyle w:val="Default"/>
              <w:rPr>
                <w:sz w:val="22"/>
                <w:szCs w:val="22"/>
              </w:rPr>
            </w:pPr>
          </w:p>
          <w:p w14:paraId="7D5D4443" w14:textId="7E10B878" w:rsidR="00DF02A6" w:rsidRPr="001300A9" w:rsidRDefault="00DF02A6" w:rsidP="00357CEC">
            <w:pPr>
              <w:pStyle w:val="Default"/>
              <w:rPr>
                <w:sz w:val="22"/>
                <w:szCs w:val="22"/>
              </w:rPr>
            </w:pPr>
          </w:p>
          <w:p w14:paraId="6281D6CB" w14:textId="2A1A05AF" w:rsidR="00DF02A6" w:rsidRPr="001300A9" w:rsidRDefault="00DF02A6" w:rsidP="00357CEC">
            <w:pPr>
              <w:pStyle w:val="Default"/>
              <w:rPr>
                <w:sz w:val="22"/>
                <w:szCs w:val="22"/>
              </w:rPr>
            </w:pPr>
          </w:p>
          <w:p w14:paraId="3FD31127" w14:textId="08ECA3E3" w:rsidR="00350EB0" w:rsidRPr="001300A9" w:rsidRDefault="00350EB0" w:rsidP="00357CEC">
            <w:pPr>
              <w:pStyle w:val="Default"/>
              <w:rPr>
                <w:sz w:val="22"/>
                <w:szCs w:val="22"/>
              </w:rPr>
            </w:pPr>
          </w:p>
          <w:p w14:paraId="32765827" w14:textId="56D97271" w:rsidR="00452B3F" w:rsidRDefault="00452B3F" w:rsidP="00357CEC">
            <w:pPr>
              <w:pStyle w:val="Default"/>
              <w:rPr>
                <w:sz w:val="22"/>
                <w:szCs w:val="22"/>
              </w:rPr>
            </w:pPr>
          </w:p>
          <w:p w14:paraId="54774335" w14:textId="1B840311" w:rsidR="00DF02A6" w:rsidRPr="001300A9" w:rsidRDefault="00DF02A6" w:rsidP="00357CEC">
            <w:pPr>
              <w:pStyle w:val="Default"/>
              <w:rPr>
                <w:sz w:val="22"/>
                <w:szCs w:val="22"/>
              </w:rPr>
            </w:pPr>
            <w:r w:rsidRPr="001300A9">
              <w:rPr>
                <w:sz w:val="22"/>
                <w:szCs w:val="22"/>
              </w:rPr>
              <w:t>GP - N</w:t>
            </w:r>
          </w:p>
          <w:p w14:paraId="3B5CFA79" w14:textId="3FE3F6F4" w:rsidR="00DF02A6" w:rsidRPr="001300A9" w:rsidRDefault="00DF02A6" w:rsidP="00357CEC">
            <w:pPr>
              <w:pStyle w:val="Default"/>
              <w:rPr>
                <w:sz w:val="22"/>
                <w:szCs w:val="22"/>
              </w:rPr>
            </w:pPr>
          </w:p>
          <w:p w14:paraId="2785D046" w14:textId="5393DAE8" w:rsidR="00DF02A6" w:rsidRPr="001300A9" w:rsidRDefault="00DF02A6" w:rsidP="00357CEC">
            <w:pPr>
              <w:pStyle w:val="Default"/>
              <w:rPr>
                <w:sz w:val="22"/>
                <w:szCs w:val="22"/>
              </w:rPr>
            </w:pPr>
          </w:p>
          <w:p w14:paraId="6A41C913" w14:textId="78CBD316" w:rsidR="00DF02A6" w:rsidRPr="001300A9" w:rsidRDefault="00DF02A6" w:rsidP="00357CEC">
            <w:pPr>
              <w:pStyle w:val="Default"/>
              <w:rPr>
                <w:sz w:val="22"/>
                <w:szCs w:val="22"/>
              </w:rPr>
            </w:pPr>
          </w:p>
          <w:p w14:paraId="3E6DF67E" w14:textId="1B961139" w:rsidR="00DF02A6" w:rsidRPr="001300A9" w:rsidRDefault="00DF02A6" w:rsidP="00357CEC">
            <w:pPr>
              <w:pStyle w:val="Default"/>
              <w:rPr>
                <w:sz w:val="22"/>
                <w:szCs w:val="22"/>
              </w:rPr>
            </w:pPr>
          </w:p>
          <w:p w14:paraId="671F7C30" w14:textId="3DEC3E64" w:rsidR="00DF02A6" w:rsidRPr="001300A9" w:rsidRDefault="00DF02A6" w:rsidP="00357CEC">
            <w:pPr>
              <w:pStyle w:val="Default"/>
              <w:rPr>
                <w:sz w:val="22"/>
                <w:szCs w:val="22"/>
              </w:rPr>
            </w:pPr>
          </w:p>
          <w:p w14:paraId="2B224CF5" w14:textId="5DEF298B" w:rsidR="00DF02A6" w:rsidRPr="001300A9" w:rsidRDefault="00DF02A6" w:rsidP="00357CEC">
            <w:pPr>
              <w:pStyle w:val="Default"/>
              <w:rPr>
                <w:sz w:val="22"/>
                <w:szCs w:val="22"/>
              </w:rPr>
            </w:pPr>
          </w:p>
          <w:p w14:paraId="3B19B1D5" w14:textId="63C80747" w:rsidR="00DF02A6" w:rsidRPr="001300A9" w:rsidRDefault="00DF02A6" w:rsidP="00357CEC">
            <w:pPr>
              <w:pStyle w:val="Default"/>
              <w:rPr>
                <w:sz w:val="22"/>
                <w:szCs w:val="22"/>
              </w:rPr>
            </w:pPr>
          </w:p>
          <w:p w14:paraId="0BCC12E7" w14:textId="2EFDCECF" w:rsidR="00DF02A6" w:rsidRPr="001300A9" w:rsidRDefault="00DF02A6" w:rsidP="00357CEC">
            <w:pPr>
              <w:pStyle w:val="Default"/>
              <w:rPr>
                <w:sz w:val="22"/>
                <w:szCs w:val="22"/>
              </w:rPr>
            </w:pPr>
          </w:p>
          <w:p w14:paraId="59F39917" w14:textId="7144E28A" w:rsidR="00DF02A6" w:rsidRPr="001300A9" w:rsidRDefault="00DF02A6" w:rsidP="00357CEC">
            <w:pPr>
              <w:pStyle w:val="Default"/>
              <w:rPr>
                <w:sz w:val="22"/>
                <w:szCs w:val="22"/>
              </w:rPr>
            </w:pPr>
          </w:p>
          <w:p w14:paraId="7AB3CA81" w14:textId="5E6CB929" w:rsidR="00DF02A6" w:rsidRPr="001300A9" w:rsidRDefault="00DF02A6" w:rsidP="00357CEC">
            <w:pPr>
              <w:pStyle w:val="Default"/>
              <w:rPr>
                <w:sz w:val="22"/>
                <w:szCs w:val="22"/>
              </w:rPr>
            </w:pPr>
          </w:p>
          <w:p w14:paraId="0C08554E" w14:textId="36BD4B08" w:rsidR="00DF02A6" w:rsidRPr="001300A9" w:rsidRDefault="00DF02A6" w:rsidP="00357CEC">
            <w:pPr>
              <w:pStyle w:val="Default"/>
              <w:rPr>
                <w:sz w:val="22"/>
                <w:szCs w:val="22"/>
              </w:rPr>
            </w:pPr>
          </w:p>
          <w:p w14:paraId="16F44681" w14:textId="3441791D" w:rsidR="00DF02A6" w:rsidRPr="001300A9" w:rsidRDefault="00DF02A6" w:rsidP="00357CEC">
            <w:pPr>
              <w:pStyle w:val="Default"/>
              <w:rPr>
                <w:sz w:val="22"/>
                <w:szCs w:val="22"/>
              </w:rPr>
            </w:pPr>
          </w:p>
          <w:p w14:paraId="4ED0147E" w14:textId="1FAF0024" w:rsidR="00DF02A6" w:rsidRPr="001300A9" w:rsidRDefault="00DF02A6" w:rsidP="00357CEC">
            <w:pPr>
              <w:pStyle w:val="Default"/>
              <w:rPr>
                <w:sz w:val="22"/>
                <w:szCs w:val="22"/>
              </w:rPr>
            </w:pPr>
          </w:p>
          <w:p w14:paraId="17A51ACE" w14:textId="34020D61" w:rsidR="00DF02A6" w:rsidRPr="001300A9" w:rsidRDefault="00DF02A6" w:rsidP="00357CEC">
            <w:pPr>
              <w:pStyle w:val="Default"/>
              <w:rPr>
                <w:sz w:val="22"/>
                <w:szCs w:val="22"/>
              </w:rPr>
            </w:pPr>
          </w:p>
          <w:p w14:paraId="4DC81316" w14:textId="0F910C76" w:rsidR="00DF02A6" w:rsidRPr="001300A9" w:rsidRDefault="00DF02A6" w:rsidP="00357CEC">
            <w:pPr>
              <w:pStyle w:val="Default"/>
              <w:rPr>
                <w:sz w:val="22"/>
                <w:szCs w:val="22"/>
              </w:rPr>
            </w:pPr>
          </w:p>
          <w:p w14:paraId="4A97B9B2" w14:textId="39BBCFA9" w:rsidR="00DF02A6" w:rsidRPr="001300A9" w:rsidRDefault="00DF02A6" w:rsidP="00357CEC">
            <w:pPr>
              <w:pStyle w:val="Default"/>
              <w:rPr>
                <w:sz w:val="22"/>
                <w:szCs w:val="22"/>
              </w:rPr>
            </w:pPr>
          </w:p>
          <w:p w14:paraId="751A52BE" w14:textId="0DE546C0" w:rsidR="00DF02A6" w:rsidRPr="001300A9" w:rsidRDefault="00DF02A6" w:rsidP="00357CEC">
            <w:pPr>
              <w:pStyle w:val="Default"/>
              <w:rPr>
                <w:sz w:val="22"/>
                <w:szCs w:val="22"/>
              </w:rPr>
            </w:pPr>
          </w:p>
          <w:p w14:paraId="2FD7F3D1" w14:textId="0AB15805" w:rsidR="00DF02A6" w:rsidRPr="001300A9" w:rsidRDefault="00DF02A6" w:rsidP="00357CEC">
            <w:pPr>
              <w:pStyle w:val="Default"/>
              <w:rPr>
                <w:sz w:val="22"/>
                <w:szCs w:val="22"/>
              </w:rPr>
            </w:pPr>
          </w:p>
          <w:p w14:paraId="508A690B" w14:textId="68ECB1CC" w:rsidR="00DF02A6" w:rsidRPr="001300A9" w:rsidRDefault="00DF02A6" w:rsidP="00357CEC">
            <w:pPr>
              <w:pStyle w:val="Default"/>
              <w:rPr>
                <w:sz w:val="22"/>
                <w:szCs w:val="22"/>
              </w:rPr>
            </w:pPr>
          </w:p>
          <w:p w14:paraId="5B6DC10A" w14:textId="1C9385FC" w:rsidR="00DF02A6" w:rsidRPr="001300A9" w:rsidRDefault="00DF02A6" w:rsidP="00357CEC">
            <w:pPr>
              <w:pStyle w:val="Default"/>
              <w:rPr>
                <w:sz w:val="22"/>
                <w:szCs w:val="22"/>
              </w:rPr>
            </w:pPr>
          </w:p>
          <w:p w14:paraId="6287D6DB" w14:textId="104A8640" w:rsidR="00DF02A6" w:rsidRPr="001300A9" w:rsidRDefault="00DF02A6" w:rsidP="00357CEC">
            <w:pPr>
              <w:pStyle w:val="Default"/>
              <w:rPr>
                <w:sz w:val="22"/>
                <w:szCs w:val="22"/>
              </w:rPr>
            </w:pPr>
          </w:p>
          <w:p w14:paraId="160CEDF0" w14:textId="0910DBDE" w:rsidR="00DF02A6" w:rsidRPr="001300A9" w:rsidRDefault="00DF02A6" w:rsidP="00357CEC">
            <w:pPr>
              <w:pStyle w:val="Default"/>
              <w:rPr>
                <w:sz w:val="22"/>
                <w:szCs w:val="22"/>
              </w:rPr>
            </w:pPr>
          </w:p>
          <w:p w14:paraId="66CF98A8" w14:textId="45204A09" w:rsidR="00DF02A6" w:rsidRPr="001300A9" w:rsidRDefault="00DF02A6" w:rsidP="00357CEC">
            <w:pPr>
              <w:pStyle w:val="Default"/>
              <w:rPr>
                <w:sz w:val="22"/>
                <w:szCs w:val="22"/>
              </w:rPr>
            </w:pPr>
          </w:p>
          <w:p w14:paraId="02C50F6B" w14:textId="5CED2EAC" w:rsidR="00DF02A6" w:rsidRPr="001300A9" w:rsidRDefault="00DF02A6" w:rsidP="00357CEC">
            <w:pPr>
              <w:pStyle w:val="Default"/>
              <w:rPr>
                <w:sz w:val="22"/>
                <w:szCs w:val="22"/>
              </w:rPr>
            </w:pPr>
          </w:p>
          <w:p w14:paraId="12245C2C" w14:textId="17F0CCBE" w:rsidR="00DF02A6" w:rsidRPr="001300A9" w:rsidRDefault="00DF02A6" w:rsidP="00357CEC">
            <w:pPr>
              <w:pStyle w:val="Default"/>
              <w:rPr>
                <w:sz w:val="22"/>
                <w:szCs w:val="22"/>
              </w:rPr>
            </w:pPr>
          </w:p>
          <w:p w14:paraId="0BEB56D0" w14:textId="5E6E2F78" w:rsidR="00DF02A6" w:rsidRPr="001300A9" w:rsidRDefault="00DF02A6" w:rsidP="00357CEC">
            <w:pPr>
              <w:pStyle w:val="Default"/>
              <w:rPr>
                <w:sz w:val="22"/>
                <w:szCs w:val="22"/>
              </w:rPr>
            </w:pPr>
          </w:p>
          <w:p w14:paraId="441FFA7E" w14:textId="19D97CD5" w:rsidR="00DF02A6" w:rsidRPr="001300A9" w:rsidRDefault="00DF02A6" w:rsidP="00357CEC">
            <w:pPr>
              <w:pStyle w:val="Default"/>
              <w:rPr>
                <w:sz w:val="22"/>
                <w:szCs w:val="22"/>
              </w:rPr>
            </w:pPr>
          </w:p>
          <w:p w14:paraId="4796AEAD" w14:textId="7AB7FEA2" w:rsidR="00DF02A6" w:rsidRPr="001300A9" w:rsidRDefault="00DF02A6" w:rsidP="00357CEC">
            <w:pPr>
              <w:pStyle w:val="Default"/>
              <w:rPr>
                <w:sz w:val="22"/>
                <w:szCs w:val="22"/>
              </w:rPr>
            </w:pPr>
          </w:p>
          <w:p w14:paraId="7FB07A3E" w14:textId="304EA438" w:rsidR="00DF02A6" w:rsidRPr="001300A9" w:rsidRDefault="00DF02A6" w:rsidP="00357CEC">
            <w:pPr>
              <w:pStyle w:val="Default"/>
              <w:rPr>
                <w:sz w:val="22"/>
                <w:szCs w:val="22"/>
              </w:rPr>
            </w:pPr>
          </w:p>
          <w:p w14:paraId="53FED062" w14:textId="718D29D9" w:rsidR="00DF02A6" w:rsidRPr="001300A9" w:rsidRDefault="00DF02A6" w:rsidP="00357CEC">
            <w:pPr>
              <w:pStyle w:val="Default"/>
              <w:rPr>
                <w:sz w:val="22"/>
                <w:szCs w:val="22"/>
              </w:rPr>
            </w:pPr>
          </w:p>
          <w:p w14:paraId="4F8B5966" w14:textId="2FF189BA" w:rsidR="00DF02A6" w:rsidRPr="001300A9" w:rsidRDefault="00DF02A6" w:rsidP="00357CEC">
            <w:pPr>
              <w:pStyle w:val="Default"/>
              <w:rPr>
                <w:sz w:val="22"/>
                <w:szCs w:val="22"/>
              </w:rPr>
            </w:pPr>
          </w:p>
          <w:p w14:paraId="603D7F15" w14:textId="324132A7" w:rsidR="00DF02A6" w:rsidRPr="001300A9" w:rsidRDefault="00DF02A6" w:rsidP="00357CEC">
            <w:pPr>
              <w:pStyle w:val="Default"/>
              <w:rPr>
                <w:sz w:val="22"/>
                <w:szCs w:val="22"/>
              </w:rPr>
            </w:pPr>
          </w:p>
          <w:p w14:paraId="0A410B56" w14:textId="7C5C8D79" w:rsidR="00DF02A6" w:rsidRPr="001300A9" w:rsidRDefault="00DF02A6" w:rsidP="00357CEC">
            <w:pPr>
              <w:pStyle w:val="Default"/>
              <w:rPr>
                <w:sz w:val="22"/>
                <w:szCs w:val="22"/>
              </w:rPr>
            </w:pPr>
          </w:p>
          <w:p w14:paraId="05AC53BF" w14:textId="3F15725F" w:rsidR="00DF02A6" w:rsidRPr="001300A9" w:rsidRDefault="00DF02A6" w:rsidP="00357CEC">
            <w:pPr>
              <w:pStyle w:val="Default"/>
              <w:rPr>
                <w:sz w:val="22"/>
                <w:szCs w:val="22"/>
              </w:rPr>
            </w:pPr>
          </w:p>
          <w:p w14:paraId="13B97D2B" w14:textId="6A05AB3E" w:rsidR="0006236A" w:rsidRDefault="0006236A" w:rsidP="00357CEC">
            <w:pPr>
              <w:pStyle w:val="Default"/>
              <w:rPr>
                <w:sz w:val="22"/>
                <w:szCs w:val="22"/>
              </w:rPr>
            </w:pPr>
          </w:p>
          <w:p w14:paraId="04B8AA8B" w14:textId="7D4E80C5" w:rsidR="4792BE4F" w:rsidRDefault="4792BE4F" w:rsidP="4792BE4F">
            <w:pPr>
              <w:pStyle w:val="Default"/>
              <w:rPr>
                <w:sz w:val="22"/>
                <w:szCs w:val="22"/>
              </w:rPr>
            </w:pPr>
          </w:p>
          <w:p w14:paraId="7BD58767" w14:textId="40682394" w:rsidR="4792BE4F" w:rsidRDefault="4792BE4F" w:rsidP="4792BE4F">
            <w:pPr>
              <w:pStyle w:val="Default"/>
              <w:rPr>
                <w:sz w:val="22"/>
                <w:szCs w:val="22"/>
              </w:rPr>
            </w:pPr>
          </w:p>
          <w:p w14:paraId="626D3700" w14:textId="77777777" w:rsidR="00452B3F" w:rsidRDefault="00452B3F" w:rsidP="00357CEC">
            <w:pPr>
              <w:pStyle w:val="Default"/>
              <w:rPr>
                <w:sz w:val="22"/>
                <w:szCs w:val="22"/>
              </w:rPr>
            </w:pPr>
          </w:p>
          <w:p w14:paraId="2BA9565C" w14:textId="7A0D11B5" w:rsidR="00DF02A6" w:rsidRPr="001300A9" w:rsidRDefault="00DF02A6" w:rsidP="00357CEC">
            <w:pPr>
              <w:pStyle w:val="Default"/>
              <w:rPr>
                <w:sz w:val="22"/>
                <w:szCs w:val="22"/>
              </w:rPr>
            </w:pPr>
            <w:r w:rsidRPr="001300A9">
              <w:rPr>
                <w:sz w:val="22"/>
                <w:szCs w:val="22"/>
              </w:rPr>
              <w:t>GP - N</w:t>
            </w:r>
          </w:p>
          <w:p w14:paraId="3A3381E7" w14:textId="55D3974F" w:rsidR="00DF02A6" w:rsidRPr="001300A9" w:rsidRDefault="00DF02A6" w:rsidP="00357CEC">
            <w:pPr>
              <w:pStyle w:val="Default"/>
              <w:rPr>
                <w:sz w:val="22"/>
                <w:szCs w:val="22"/>
              </w:rPr>
            </w:pPr>
          </w:p>
          <w:p w14:paraId="31609B46" w14:textId="6231A3A5" w:rsidR="00DF02A6" w:rsidRPr="001300A9" w:rsidRDefault="00DF02A6" w:rsidP="00357CEC">
            <w:pPr>
              <w:pStyle w:val="Default"/>
              <w:rPr>
                <w:sz w:val="22"/>
                <w:szCs w:val="22"/>
              </w:rPr>
            </w:pPr>
          </w:p>
          <w:p w14:paraId="255FDB44" w14:textId="696B8FE0" w:rsidR="00DF02A6" w:rsidRPr="001300A9" w:rsidRDefault="00DF02A6" w:rsidP="00357CEC">
            <w:pPr>
              <w:pStyle w:val="Default"/>
              <w:rPr>
                <w:sz w:val="22"/>
                <w:szCs w:val="22"/>
              </w:rPr>
            </w:pPr>
          </w:p>
          <w:p w14:paraId="5E7B6BD9" w14:textId="3FE55E1E" w:rsidR="00DF02A6" w:rsidRPr="001300A9" w:rsidRDefault="00DF02A6" w:rsidP="00357CEC">
            <w:pPr>
              <w:pStyle w:val="Default"/>
              <w:rPr>
                <w:sz w:val="22"/>
                <w:szCs w:val="22"/>
              </w:rPr>
            </w:pPr>
          </w:p>
          <w:p w14:paraId="5D586928" w14:textId="23C70F94" w:rsidR="00DF02A6" w:rsidRPr="001300A9" w:rsidRDefault="00DF02A6" w:rsidP="00357CEC">
            <w:pPr>
              <w:pStyle w:val="Default"/>
              <w:rPr>
                <w:sz w:val="22"/>
                <w:szCs w:val="22"/>
              </w:rPr>
            </w:pPr>
          </w:p>
          <w:p w14:paraId="26AD77C2" w14:textId="67D822E5" w:rsidR="00DF02A6" w:rsidRPr="001300A9" w:rsidRDefault="00DF02A6" w:rsidP="00357CEC">
            <w:pPr>
              <w:pStyle w:val="Default"/>
              <w:rPr>
                <w:sz w:val="22"/>
                <w:szCs w:val="22"/>
              </w:rPr>
            </w:pPr>
          </w:p>
          <w:p w14:paraId="69BF87BA" w14:textId="73C6D0EB" w:rsidR="00DF02A6" w:rsidRPr="001300A9" w:rsidRDefault="00DF02A6" w:rsidP="00357CEC">
            <w:pPr>
              <w:pStyle w:val="Default"/>
              <w:rPr>
                <w:sz w:val="22"/>
                <w:szCs w:val="22"/>
              </w:rPr>
            </w:pPr>
          </w:p>
          <w:p w14:paraId="2D49CC38" w14:textId="032C5C23" w:rsidR="00DF02A6" w:rsidRPr="001300A9" w:rsidRDefault="00DF02A6" w:rsidP="00357CEC">
            <w:pPr>
              <w:pStyle w:val="Default"/>
              <w:rPr>
                <w:sz w:val="22"/>
                <w:szCs w:val="22"/>
              </w:rPr>
            </w:pPr>
          </w:p>
          <w:p w14:paraId="57D74B62" w14:textId="7973CFEF" w:rsidR="00DF02A6" w:rsidRPr="001300A9" w:rsidRDefault="00DF02A6" w:rsidP="00357CEC">
            <w:pPr>
              <w:pStyle w:val="Default"/>
              <w:rPr>
                <w:sz w:val="22"/>
                <w:szCs w:val="22"/>
              </w:rPr>
            </w:pPr>
          </w:p>
          <w:p w14:paraId="36581CB4" w14:textId="293FCC34" w:rsidR="00521543" w:rsidRDefault="00521543" w:rsidP="00DF02A6">
            <w:pPr>
              <w:pStyle w:val="Default"/>
              <w:rPr>
                <w:sz w:val="22"/>
                <w:szCs w:val="22"/>
              </w:rPr>
            </w:pPr>
          </w:p>
          <w:p w14:paraId="04FB300A" w14:textId="790B01FC" w:rsidR="00DF02A6" w:rsidRPr="001300A9" w:rsidRDefault="00DF02A6" w:rsidP="00DF02A6">
            <w:pPr>
              <w:pStyle w:val="Default"/>
              <w:rPr>
                <w:sz w:val="22"/>
                <w:szCs w:val="22"/>
              </w:rPr>
            </w:pPr>
            <w:r w:rsidRPr="001300A9">
              <w:rPr>
                <w:sz w:val="22"/>
                <w:szCs w:val="22"/>
              </w:rPr>
              <w:t>GP - N</w:t>
            </w:r>
          </w:p>
          <w:p w14:paraId="6AFCF2CA" w14:textId="77777777" w:rsidR="00DF02A6" w:rsidRPr="001300A9" w:rsidRDefault="00DF02A6" w:rsidP="00357CEC">
            <w:pPr>
              <w:pStyle w:val="Default"/>
              <w:rPr>
                <w:sz w:val="22"/>
                <w:szCs w:val="22"/>
              </w:rPr>
            </w:pPr>
          </w:p>
          <w:p w14:paraId="3D226030" w14:textId="77777777" w:rsidR="00DF02A6" w:rsidRPr="001300A9" w:rsidRDefault="00DF02A6" w:rsidP="00357CEC">
            <w:pPr>
              <w:pStyle w:val="Default"/>
              <w:rPr>
                <w:sz w:val="22"/>
                <w:szCs w:val="22"/>
              </w:rPr>
            </w:pPr>
          </w:p>
          <w:p w14:paraId="6A0769AC" w14:textId="77777777" w:rsidR="00DF02A6" w:rsidRPr="001300A9" w:rsidRDefault="00DF02A6" w:rsidP="00357CEC">
            <w:pPr>
              <w:pStyle w:val="Default"/>
              <w:rPr>
                <w:sz w:val="22"/>
                <w:szCs w:val="22"/>
              </w:rPr>
            </w:pPr>
          </w:p>
          <w:p w14:paraId="46B8AA79" w14:textId="77777777" w:rsidR="00DF02A6" w:rsidRPr="001300A9" w:rsidRDefault="00DF02A6" w:rsidP="00357CEC">
            <w:pPr>
              <w:pStyle w:val="Default"/>
              <w:rPr>
                <w:sz w:val="22"/>
                <w:szCs w:val="22"/>
              </w:rPr>
            </w:pPr>
          </w:p>
          <w:p w14:paraId="43E5AD7C" w14:textId="77777777" w:rsidR="00DF02A6" w:rsidRPr="001300A9" w:rsidRDefault="00DF02A6" w:rsidP="00357CEC">
            <w:pPr>
              <w:pStyle w:val="Default"/>
              <w:rPr>
                <w:sz w:val="22"/>
                <w:szCs w:val="22"/>
              </w:rPr>
            </w:pPr>
          </w:p>
          <w:p w14:paraId="12F021A8" w14:textId="77777777" w:rsidR="00DF02A6" w:rsidRPr="001300A9" w:rsidRDefault="00DF02A6" w:rsidP="00357CEC">
            <w:pPr>
              <w:pStyle w:val="Default"/>
              <w:rPr>
                <w:sz w:val="22"/>
                <w:szCs w:val="22"/>
              </w:rPr>
            </w:pPr>
          </w:p>
          <w:p w14:paraId="5F70BA39" w14:textId="77777777" w:rsidR="00DF02A6" w:rsidRPr="001300A9" w:rsidRDefault="00DF02A6" w:rsidP="00357CEC">
            <w:pPr>
              <w:pStyle w:val="Default"/>
              <w:rPr>
                <w:sz w:val="22"/>
                <w:szCs w:val="22"/>
              </w:rPr>
            </w:pPr>
          </w:p>
          <w:p w14:paraId="0D932A89" w14:textId="77777777" w:rsidR="00DF02A6" w:rsidRPr="001300A9" w:rsidRDefault="00DF02A6" w:rsidP="00357CEC">
            <w:pPr>
              <w:pStyle w:val="Default"/>
              <w:rPr>
                <w:sz w:val="22"/>
                <w:szCs w:val="22"/>
              </w:rPr>
            </w:pPr>
          </w:p>
          <w:p w14:paraId="09678357" w14:textId="77777777" w:rsidR="00DF02A6" w:rsidRPr="001300A9" w:rsidRDefault="00DF02A6" w:rsidP="00357CEC">
            <w:pPr>
              <w:pStyle w:val="Default"/>
              <w:rPr>
                <w:sz w:val="22"/>
                <w:szCs w:val="22"/>
              </w:rPr>
            </w:pPr>
          </w:p>
          <w:p w14:paraId="606C344A" w14:textId="61D37CCC" w:rsidR="00DF02A6" w:rsidRPr="001300A9" w:rsidRDefault="00DF02A6" w:rsidP="00357CEC">
            <w:pPr>
              <w:pStyle w:val="Default"/>
              <w:rPr>
                <w:sz w:val="22"/>
                <w:szCs w:val="22"/>
              </w:rPr>
            </w:pPr>
          </w:p>
        </w:tc>
        <w:tc>
          <w:tcPr>
            <w:tcW w:w="815" w:type="dxa"/>
          </w:tcPr>
          <w:p w14:paraId="321EECC6" w14:textId="77777777" w:rsidR="00357CEC" w:rsidRPr="001300A9" w:rsidRDefault="00357CEC" w:rsidP="00357CEC">
            <w:pPr>
              <w:pStyle w:val="Default"/>
              <w:rPr>
                <w:sz w:val="22"/>
                <w:szCs w:val="22"/>
              </w:rPr>
            </w:pPr>
          </w:p>
        </w:tc>
      </w:tr>
      <w:tr w:rsidR="00DD6EDC" w:rsidRPr="001300A9" w14:paraId="318424AC" w14:textId="77777777" w:rsidTr="360410BC">
        <w:tc>
          <w:tcPr>
            <w:tcW w:w="562" w:type="dxa"/>
          </w:tcPr>
          <w:p w14:paraId="0C67EE09" w14:textId="77777777" w:rsidR="00357CEC" w:rsidRPr="001300A9" w:rsidRDefault="00357CEC" w:rsidP="00357CEC">
            <w:pPr>
              <w:pStyle w:val="Default"/>
              <w:rPr>
                <w:sz w:val="22"/>
                <w:szCs w:val="22"/>
              </w:rPr>
            </w:pPr>
            <w:r w:rsidRPr="001300A9">
              <w:rPr>
                <w:sz w:val="22"/>
                <w:szCs w:val="22"/>
              </w:rPr>
              <w:lastRenderedPageBreak/>
              <w:t>Č: 1</w:t>
            </w:r>
          </w:p>
          <w:p w14:paraId="0A237C4E" w14:textId="77777777" w:rsidR="00357CEC" w:rsidRPr="001300A9" w:rsidRDefault="00357CEC" w:rsidP="00357CEC">
            <w:pPr>
              <w:pStyle w:val="Default"/>
              <w:rPr>
                <w:sz w:val="22"/>
                <w:szCs w:val="22"/>
              </w:rPr>
            </w:pPr>
            <w:r w:rsidRPr="001300A9">
              <w:rPr>
                <w:sz w:val="22"/>
                <w:szCs w:val="22"/>
              </w:rPr>
              <w:lastRenderedPageBreak/>
              <w:t>O: 4</w:t>
            </w:r>
          </w:p>
        </w:tc>
        <w:tc>
          <w:tcPr>
            <w:tcW w:w="4820" w:type="dxa"/>
          </w:tcPr>
          <w:p w14:paraId="0E64762F" w14:textId="77777777" w:rsidR="00357CEC" w:rsidRPr="001300A9" w:rsidRDefault="00357CEC" w:rsidP="00357CEC">
            <w:pPr>
              <w:pStyle w:val="Default"/>
              <w:rPr>
                <w:sz w:val="22"/>
                <w:szCs w:val="22"/>
              </w:rPr>
            </w:pPr>
            <w:r w:rsidRPr="001300A9">
              <w:rPr>
                <w:sz w:val="22"/>
                <w:szCs w:val="22"/>
              </w:rPr>
              <w:lastRenderedPageBreak/>
              <w:t>Názov kapitoly II sa nahrádza takto:</w:t>
            </w:r>
          </w:p>
          <w:p w14:paraId="3F16A53E" w14:textId="77777777" w:rsidR="00357CEC" w:rsidRPr="001300A9" w:rsidRDefault="00357CEC" w:rsidP="00357CEC">
            <w:pPr>
              <w:pStyle w:val="Default"/>
              <w:rPr>
                <w:sz w:val="22"/>
                <w:szCs w:val="22"/>
              </w:rPr>
            </w:pPr>
            <w:r w:rsidRPr="001300A9">
              <w:rPr>
                <w:sz w:val="22"/>
                <w:szCs w:val="22"/>
              </w:rPr>
              <w:t>„Letecká a námorná doprava“</w:t>
            </w:r>
          </w:p>
        </w:tc>
        <w:tc>
          <w:tcPr>
            <w:tcW w:w="567" w:type="dxa"/>
          </w:tcPr>
          <w:p w14:paraId="62CE0FE4" w14:textId="77777777" w:rsidR="00357CEC" w:rsidRPr="001300A9" w:rsidRDefault="00357CEC" w:rsidP="00357CEC">
            <w:pPr>
              <w:pStyle w:val="Default"/>
              <w:rPr>
                <w:sz w:val="22"/>
                <w:szCs w:val="22"/>
              </w:rPr>
            </w:pPr>
            <w:proofErr w:type="spellStart"/>
            <w:r w:rsidRPr="001300A9">
              <w:rPr>
                <w:sz w:val="22"/>
                <w:szCs w:val="22"/>
              </w:rPr>
              <w:t>n.a</w:t>
            </w:r>
            <w:proofErr w:type="spellEnd"/>
            <w:r w:rsidRPr="001300A9">
              <w:rPr>
                <w:sz w:val="22"/>
                <w:szCs w:val="22"/>
              </w:rPr>
              <w:t>.</w:t>
            </w:r>
          </w:p>
        </w:tc>
        <w:tc>
          <w:tcPr>
            <w:tcW w:w="283" w:type="dxa"/>
          </w:tcPr>
          <w:p w14:paraId="16448BE7" w14:textId="77777777" w:rsidR="00357CEC" w:rsidRPr="001300A9" w:rsidRDefault="00357CEC" w:rsidP="00357CEC">
            <w:pPr>
              <w:pStyle w:val="Default"/>
              <w:rPr>
                <w:sz w:val="22"/>
                <w:szCs w:val="22"/>
              </w:rPr>
            </w:pPr>
          </w:p>
        </w:tc>
        <w:tc>
          <w:tcPr>
            <w:tcW w:w="567" w:type="dxa"/>
          </w:tcPr>
          <w:p w14:paraId="5EB7C9E0" w14:textId="77777777" w:rsidR="00357CEC" w:rsidRPr="001300A9" w:rsidRDefault="00357CEC" w:rsidP="00357CEC">
            <w:pPr>
              <w:pStyle w:val="Default"/>
              <w:rPr>
                <w:sz w:val="22"/>
                <w:szCs w:val="22"/>
              </w:rPr>
            </w:pPr>
          </w:p>
        </w:tc>
        <w:tc>
          <w:tcPr>
            <w:tcW w:w="4253" w:type="dxa"/>
          </w:tcPr>
          <w:p w14:paraId="4BC86F9D" w14:textId="77777777" w:rsidR="00357CEC" w:rsidRPr="001300A9" w:rsidRDefault="00357CEC" w:rsidP="00357CEC">
            <w:pPr>
              <w:pStyle w:val="Default"/>
              <w:rPr>
                <w:sz w:val="22"/>
                <w:szCs w:val="22"/>
              </w:rPr>
            </w:pPr>
          </w:p>
        </w:tc>
        <w:tc>
          <w:tcPr>
            <w:tcW w:w="567" w:type="dxa"/>
          </w:tcPr>
          <w:p w14:paraId="636EC0AF" w14:textId="77777777" w:rsidR="00357CEC" w:rsidRPr="001300A9" w:rsidRDefault="00357CEC" w:rsidP="00357CEC">
            <w:pPr>
              <w:pStyle w:val="Default"/>
              <w:rPr>
                <w:sz w:val="22"/>
                <w:szCs w:val="22"/>
              </w:rPr>
            </w:pPr>
          </w:p>
        </w:tc>
        <w:tc>
          <w:tcPr>
            <w:tcW w:w="1276" w:type="dxa"/>
          </w:tcPr>
          <w:p w14:paraId="2AE2F3EF" w14:textId="77777777" w:rsidR="00357CEC" w:rsidRPr="001300A9" w:rsidRDefault="00357CEC" w:rsidP="00357CEC">
            <w:pPr>
              <w:pStyle w:val="Default"/>
              <w:rPr>
                <w:sz w:val="22"/>
                <w:szCs w:val="22"/>
              </w:rPr>
            </w:pPr>
          </w:p>
        </w:tc>
        <w:tc>
          <w:tcPr>
            <w:tcW w:w="850" w:type="dxa"/>
          </w:tcPr>
          <w:p w14:paraId="5FB4E30D" w14:textId="77777777" w:rsidR="00357CEC" w:rsidRPr="001300A9" w:rsidRDefault="00357CEC" w:rsidP="00357CEC">
            <w:pPr>
              <w:pStyle w:val="Default"/>
              <w:rPr>
                <w:sz w:val="22"/>
                <w:szCs w:val="22"/>
              </w:rPr>
            </w:pPr>
          </w:p>
        </w:tc>
        <w:tc>
          <w:tcPr>
            <w:tcW w:w="815" w:type="dxa"/>
          </w:tcPr>
          <w:p w14:paraId="397751A6" w14:textId="77777777" w:rsidR="00357CEC" w:rsidRPr="001300A9" w:rsidRDefault="00357CEC" w:rsidP="00357CEC">
            <w:pPr>
              <w:pStyle w:val="Default"/>
              <w:rPr>
                <w:sz w:val="22"/>
                <w:szCs w:val="22"/>
              </w:rPr>
            </w:pPr>
          </w:p>
        </w:tc>
      </w:tr>
      <w:tr w:rsidR="00DD6EDC" w:rsidRPr="001300A9" w14:paraId="3B2D7D4E" w14:textId="77777777" w:rsidTr="360410BC">
        <w:tc>
          <w:tcPr>
            <w:tcW w:w="562" w:type="dxa"/>
          </w:tcPr>
          <w:p w14:paraId="357FAC62" w14:textId="77777777" w:rsidR="00357CEC" w:rsidRPr="001300A9" w:rsidRDefault="00357CEC" w:rsidP="00357CEC">
            <w:pPr>
              <w:pStyle w:val="Default"/>
              <w:rPr>
                <w:sz w:val="22"/>
                <w:szCs w:val="22"/>
              </w:rPr>
            </w:pPr>
            <w:r w:rsidRPr="001300A9">
              <w:rPr>
                <w:sz w:val="22"/>
                <w:szCs w:val="22"/>
              </w:rPr>
              <w:t>Č: 1</w:t>
            </w:r>
          </w:p>
          <w:p w14:paraId="7E04F387" w14:textId="77777777" w:rsidR="00357CEC" w:rsidRPr="001300A9" w:rsidRDefault="00357CEC" w:rsidP="00357CEC">
            <w:pPr>
              <w:pStyle w:val="Default"/>
              <w:rPr>
                <w:sz w:val="22"/>
                <w:szCs w:val="22"/>
              </w:rPr>
            </w:pPr>
            <w:r w:rsidRPr="001300A9">
              <w:rPr>
                <w:sz w:val="22"/>
                <w:szCs w:val="22"/>
              </w:rPr>
              <w:t>O: 5</w:t>
            </w:r>
          </w:p>
        </w:tc>
        <w:tc>
          <w:tcPr>
            <w:tcW w:w="4820" w:type="dxa"/>
          </w:tcPr>
          <w:p w14:paraId="1EFF90A2" w14:textId="77777777" w:rsidR="00357CEC" w:rsidRPr="001300A9" w:rsidRDefault="00357CEC" w:rsidP="00357CEC">
            <w:pPr>
              <w:pStyle w:val="Default"/>
              <w:rPr>
                <w:i/>
                <w:sz w:val="22"/>
                <w:szCs w:val="22"/>
              </w:rPr>
            </w:pPr>
            <w:r w:rsidRPr="001300A9">
              <w:rPr>
                <w:i/>
                <w:sz w:val="22"/>
                <w:szCs w:val="22"/>
              </w:rPr>
              <w:t xml:space="preserve">Článok 3a </w:t>
            </w:r>
          </w:p>
          <w:p w14:paraId="4D5C63CD" w14:textId="77777777" w:rsidR="00357CEC" w:rsidRPr="001300A9" w:rsidRDefault="00357CEC" w:rsidP="00357CEC">
            <w:pPr>
              <w:pStyle w:val="Default"/>
              <w:rPr>
                <w:i/>
                <w:sz w:val="22"/>
                <w:szCs w:val="22"/>
              </w:rPr>
            </w:pPr>
            <w:r w:rsidRPr="001300A9">
              <w:rPr>
                <w:i/>
                <w:sz w:val="22"/>
                <w:szCs w:val="22"/>
              </w:rPr>
              <w:t>Rozsah pôsobnosti</w:t>
            </w:r>
          </w:p>
          <w:p w14:paraId="6C6D9E37" w14:textId="77777777" w:rsidR="00357CEC" w:rsidRPr="001300A9" w:rsidRDefault="00357CEC" w:rsidP="00357CEC">
            <w:pPr>
              <w:pStyle w:val="Default"/>
              <w:rPr>
                <w:sz w:val="22"/>
                <w:szCs w:val="22"/>
              </w:rPr>
            </w:pPr>
            <w:r w:rsidRPr="001300A9">
              <w:rPr>
                <w:sz w:val="22"/>
                <w:szCs w:val="22"/>
              </w:rPr>
              <w:t>Články 3b až 3g sa uplatňujú na prideľovanie a vydávanie kvót v súvislosti s činnosťami leteckej dopravy uvedenými v prílohe I. Články 3ga až 3gg sa uplatňujú v súvislosti s činnosťami námornej dopravy uvedenými v prílohe I.</w:t>
            </w:r>
          </w:p>
        </w:tc>
        <w:tc>
          <w:tcPr>
            <w:tcW w:w="567" w:type="dxa"/>
          </w:tcPr>
          <w:p w14:paraId="445B8FA7" w14:textId="77777777" w:rsidR="00357CEC" w:rsidRPr="001300A9" w:rsidRDefault="00357CEC" w:rsidP="00357CEC">
            <w:pPr>
              <w:pStyle w:val="Default"/>
              <w:rPr>
                <w:sz w:val="22"/>
                <w:szCs w:val="22"/>
              </w:rPr>
            </w:pPr>
            <w:proofErr w:type="spellStart"/>
            <w:r w:rsidRPr="001300A9">
              <w:rPr>
                <w:sz w:val="22"/>
                <w:szCs w:val="22"/>
              </w:rPr>
              <w:t>n.a</w:t>
            </w:r>
            <w:proofErr w:type="spellEnd"/>
            <w:r w:rsidRPr="001300A9">
              <w:rPr>
                <w:sz w:val="22"/>
                <w:szCs w:val="22"/>
              </w:rPr>
              <w:t>.</w:t>
            </w:r>
          </w:p>
        </w:tc>
        <w:tc>
          <w:tcPr>
            <w:tcW w:w="283" w:type="dxa"/>
          </w:tcPr>
          <w:p w14:paraId="07A2D443" w14:textId="77777777" w:rsidR="00357CEC" w:rsidRPr="001300A9" w:rsidRDefault="00357CEC" w:rsidP="00357CEC">
            <w:pPr>
              <w:pStyle w:val="Default"/>
              <w:rPr>
                <w:sz w:val="22"/>
                <w:szCs w:val="22"/>
              </w:rPr>
            </w:pPr>
          </w:p>
        </w:tc>
        <w:tc>
          <w:tcPr>
            <w:tcW w:w="567" w:type="dxa"/>
          </w:tcPr>
          <w:p w14:paraId="0CB5B29C" w14:textId="77777777" w:rsidR="00357CEC" w:rsidRPr="001300A9" w:rsidRDefault="00357CEC" w:rsidP="00357CEC">
            <w:pPr>
              <w:pStyle w:val="Default"/>
              <w:rPr>
                <w:sz w:val="22"/>
                <w:szCs w:val="22"/>
              </w:rPr>
            </w:pPr>
          </w:p>
        </w:tc>
        <w:tc>
          <w:tcPr>
            <w:tcW w:w="4253" w:type="dxa"/>
          </w:tcPr>
          <w:p w14:paraId="3191BADA" w14:textId="77777777" w:rsidR="00357CEC" w:rsidRPr="001300A9" w:rsidRDefault="00357CEC" w:rsidP="00357CEC">
            <w:pPr>
              <w:pStyle w:val="Default"/>
              <w:rPr>
                <w:sz w:val="22"/>
                <w:szCs w:val="22"/>
              </w:rPr>
            </w:pPr>
          </w:p>
        </w:tc>
        <w:tc>
          <w:tcPr>
            <w:tcW w:w="567" w:type="dxa"/>
          </w:tcPr>
          <w:p w14:paraId="3EBA0F2B" w14:textId="77777777" w:rsidR="00357CEC" w:rsidRPr="001300A9" w:rsidRDefault="00357CEC" w:rsidP="00357CEC">
            <w:pPr>
              <w:pStyle w:val="Default"/>
              <w:rPr>
                <w:sz w:val="22"/>
                <w:szCs w:val="22"/>
              </w:rPr>
            </w:pPr>
          </w:p>
        </w:tc>
        <w:tc>
          <w:tcPr>
            <w:tcW w:w="1276" w:type="dxa"/>
          </w:tcPr>
          <w:p w14:paraId="02E4B386" w14:textId="77777777" w:rsidR="00357CEC" w:rsidRPr="001300A9" w:rsidRDefault="00357CEC" w:rsidP="00357CEC">
            <w:pPr>
              <w:pStyle w:val="Default"/>
              <w:rPr>
                <w:sz w:val="22"/>
                <w:szCs w:val="22"/>
              </w:rPr>
            </w:pPr>
          </w:p>
        </w:tc>
        <w:tc>
          <w:tcPr>
            <w:tcW w:w="850" w:type="dxa"/>
          </w:tcPr>
          <w:p w14:paraId="1AC7D96C" w14:textId="77777777" w:rsidR="00357CEC" w:rsidRPr="001300A9" w:rsidRDefault="00357CEC" w:rsidP="00357CEC">
            <w:pPr>
              <w:pStyle w:val="Default"/>
              <w:rPr>
                <w:sz w:val="22"/>
                <w:szCs w:val="22"/>
              </w:rPr>
            </w:pPr>
          </w:p>
        </w:tc>
        <w:tc>
          <w:tcPr>
            <w:tcW w:w="815" w:type="dxa"/>
          </w:tcPr>
          <w:p w14:paraId="7FECD17C" w14:textId="77777777" w:rsidR="00357CEC" w:rsidRPr="001300A9" w:rsidRDefault="00357CEC" w:rsidP="00357CEC">
            <w:pPr>
              <w:pStyle w:val="Default"/>
              <w:rPr>
                <w:sz w:val="22"/>
                <w:szCs w:val="22"/>
              </w:rPr>
            </w:pPr>
          </w:p>
        </w:tc>
      </w:tr>
      <w:tr w:rsidR="00DD6EDC" w:rsidRPr="001300A9" w14:paraId="73AD1620" w14:textId="77777777" w:rsidTr="360410BC">
        <w:tc>
          <w:tcPr>
            <w:tcW w:w="562" w:type="dxa"/>
          </w:tcPr>
          <w:p w14:paraId="5B2CEB88" w14:textId="77777777" w:rsidR="00357CEC" w:rsidRPr="001300A9" w:rsidRDefault="00357CEC" w:rsidP="00357CEC">
            <w:pPr>
              <w:pStyle w:val="Default"/>
              <w:rPr>
                <w:sz w:val="22"/>
                <w:szCs w:val="22"/>
              </w:rPr>
            </w:pPr>
            <w:r w:rsidRPr="001300A9">
              <w:rPr>
                <w:sz w:val="22"/>
                <w:szCs w:val="22"/>
              </w:rPr>
              <w:t>Č: 1</w:t>
            </w:r>
          </w:p>
          <w:p w14:paraId="6554A435" w14:textId="77777777" w:rsidR="00357CEC" w:rsidRPr="001300A9" w:rsidRDefault="00357CEC" w:rsidP="00357CEC">
            <w:pPr>
              <w:pStyle w:val="Default"/>
              <w:rPr>
                <w:sz w:val="22"/>
                <w:szCs w:val="22"/>
              </w:rPr>
            </w:pPr>
            <w:r w:rsidRPr="001300A9">
              <w:rPr>
                <w:sz w:val="22"/>
                <w:szCs w:val="22"/>
              </w:rPr>
              <w:t>O: 6</w:t>
            </w:r>
          </w:p>
        </w:tc>
        <w:tc>
          <w:tcPr>
            <w:tcW w:w="4820" w:type="dxa"/>
          </w:tcPr>
          <w:p w14:paraId="7B2C835B" w14:textId="77777777" w:rsidR="00357CEC" w:rsidRPr="001300A9" w:rsidRDefault="00357CEC" w:rsidP="00357CEC">
            <w:pPr>
              <w:pStyle w:val="Default"/>
              <w:rPr>
                <w:i/>
                <w:sz w:val="22"/>
                <w:szCs w:val="22"/>
              </w:rPr>
            </w:pPr>
            <w:r w:rsidRPr="001300A9">
              <w:rPr>
                <w:i/>
                <w:sz w:val="22"/>
                <w:szCs w:val="22"/>
              </w:rPr>
              <w:t xml:space="preserve">Článok 3g </w:t>
            </w:r>
          </w:p>
          <w:p w14:paraId="75B82ECB" w14:textId="77777777" w:rsidR="00357CEC" w:rsidRPr="001300A9" w:rsidRDefault="00357CEC" w:rsidP="00357CEC">
            <w:pPr>
              <w:pStyle w:val="Default"/>
              <w:rPr>
                <w:i/>
                <w:sz w:val="22"/>
                <w:szCs w:val="22"/>
              </w:rPr>
            </w:pPr>
            <w:r w:rsidRPr="001300A9">
              <w:rPr>
                <w:i/>
                <w:sz w:val="22"/>
                <w:szCs w:val="22"/>
              </w:rPr>
              <w:t>Plány monitorovania a podávania správ</w:t>
            </w:r>
          </w:p>
          <w:p w14:paraId="35E821F3" w14:textId="77777777" w:rsidR="00357CEC" w:rsidRPr="001300A9" w:rsidRDefault="00357CEC" w:rsidP="00357CEC">
            <w:pPr>
              <w:pStyle w:val="Default"/>
              <w:rPr>
                <w:sz w:val="22"/>
                <w:szCs w:val="22"/>
              </w:rPr>
            </w:pPr>
            <w:r w:rsidRPr="001300A9">
              <w:rPr>
                <w:sz w:val="22"/>
                <w:szCs w:val="22"/>
              </w:rPr>
              <w:t>Riadiaci členský štát zabezpečí, aby každý prevádzkovateľ lietadla predložil príslušnému orgánu v danom členskom štáte plán monitorovania, v ktorom sa stanovujú opatrenia na monitorovanie emisií a podávanie správ o nich, a aby boli tieto plány schválené príslušným orgánom v súlade s vykonávacími aktmi uvedenými v článku 14.</w:t>
            </w:r>
          </w:p>
        </w:tc>
        <w:tc>
          <w:tcPr>
            <w:tcW w:w="567" w:type="dxa"/>
          </w:tcPr>
          <w:p w14:paraId="256B3907" w14:textId="77777777" w:rsidR="00357CEC" w:rsidRPr="001300A9" w:rsidRDefault="00357CEC" w:rsidP="00357CEC">
            <w:pPr>
              <w:pStyle w:val="Default"/>
              <w:rPr>
                <w:sz w:val="22"/>
                <w:szCs w:val="22"/>
              </w:rPr>
            </w:pPr>
            <w:r w:rsidRPr="001300A9">
              <w:rPr>
                <w:sz w:val="22"/>
                <w:szCs w:val="22"/>
              </w:rPr>
              <w:t>N</w:t>
            </w:r>
          </w:p>
        </w:tc>
        <w:tc>
          <w:tcPr>
            <w:tcW w:w="283" w:type="dxa"/>
          </w:tcPr>
          <w:p w14:paraId="1D777B8A" w14:textId="46E4F62A" w:rsidR="00357CEC" w:rsidRPr="001300A9" w:rsidRDefault="002C79F4" w:rsidP="00357CEC">
            <w:pPr>
              <w:pStyle w:val="Default"/>
              <w:rPr>
                <w:sz w:val="22"/>
                <w:szCs w:val="22"/>
              </w:rPr>
            </w:pPr>
            <w:r>
              <w:rPr>
                <w:sz w:val="22"/>
                <w:szCs w:val="22"/>
              </w:rPr>
              <w:t>NZ</w:t>
            </w:r>
          </w:p>
        </w:tc>
        <w:tc>
          <w:tcPr>
            <w:tcW w:w="567" w:type="dxa"/>
          </w:tcPr>
          <w:p w14:paraId="56B3DBCD" w14:textId="441ED91C" w:rsidR="00410EFD" w:rsidRPr="00A17585" w:rsidRDefault="00452B3F" w:rsidP="00410EFD">
            <w:pPr>
              <w:pStyle w:val="Default"/>
              <w:rPr>
                <w:sz w:val="22"/>
                <w:szCs w:val="22"/>
              </w:rPr>
            </w:pPr>
            <w:r w:rsidRPr="00A17585">
              <w:rPr>
                <w:sz w:val="22"/>
                <w:szCs w:val="22"/>
              </w:rPr>
              <w:t>Č:I §:13</w:t>
            </w:r>
          </w:p>
          <w:p w14:paraId="6E7BD6AB" w14:textId="18B8BCAE" w:rsidR="00452B3F" w:rsidRPr="001300A9" w:rsidRDefault="00452B3F" w:rsidP="00410EFD">
            <w:pPr>
              <w:pStyle w:val="Default"/>
              <w:rPr>
                <w:sz w:val="22"/>
                <w:szCs w:val="22"/>
              </w:rPr>
            </w:pPr>
            <w:r w:rsidRPr="00A17585">
              <w:rPr>
                <w:sz w:val="22"/>
                <w:szCs w:val="22"/>
              </w:rPr>
              <w:t>O:1</w:t>
            </w:r>
          </w:p>
          <w:p w14:paraId="0BCB273E" w14:textId="77777777" w:rsidR="00357CEC" w:rsidRPr="001300A9" w:rsidRDefault="00357CEC" w:rsidP="00357CEC">
            <w:pPr>
              <w:pStyle w:val="Default"/>
              <w:rPr>
                <w:sz w:val="22"/>
                <w:szCs w:val="22"/>
              </w:rPr>
            </w:pPr>
          </w:p>
        </w:tc>
        <w:tc>
          <w:tcPr>
            <w:tcW w:w="4253" w:type="dxa"/>
          </w:tcPr>
          <w:p w14:paraId="0BAD1B4A" w14:textId="5BB98426" w:rsidR="00357CEC" w:rsidRPr="001300A9" w:rsidRDefault="5EA3CF18" w:rsidP="00357CEC">
            <w:pPr>
              <w:pStyle w:val="Default"/>
              <w:rPr>
                <w:sz w:val="22"/>
                <w:szCs w:val="22"/>
              </w:rPr>
            </w:pPr>
            <w:r w:rsidRPr="5F673433">
              <w:rPr>
                <w:sz w:val="22"/>
                <w:szCs w:val="22"/>
              </w:rPr>
              <w:t xml:space="preserve">(1) </w:t>
            </w:r>
            <w:r w:rsidR="404061EC" w:rsidRPr="5F673433">
              <w:rPr>
                <w:sz w:val="22"/>
                <w:szCs w:val="22"/>
              </w:rPr>
              <w:t>Prevádzkovateľ lietadla predkladá ministerstvu plán monitorovania, v ktorom sa ustanovujú opatrenia na monitorovanie emisií a podávanie správ o nich. Ministerstvo tieto plány schvaľuje v súlade s osobitným predpisom.</w:t>
            </w:r>
            <w:r w:rsidR="404061EC" w:rsidRPr="5F673433">
              <w:rPr>
                <w:sz w:val="22"/>
                <w:szCs w:val="22"/>
                <w:vertAlign w:val="superscript"/>
              </w:rPr>
              <w:t>1a)</w:t>
            </w:r>
          </w:p>
        </w:tc>
        <w:tc>
          <w:tcPr>
            <w:tcW w:w="567" w:type="dxa"/>
          </w:tcPr>
          <w:p w14:paraId="53837433" w14:textId="77777777" w:rsidR="00AF1A2D" w:rsidRPr="001300A9" w:rsidRDefault="00AF1A2D" w:rsidP="00AF1A2D">
            <w:pPr>
              <w:pStyle w:val="Default"/>
              <w:rPr>
                <w:sz w:val="22"/>
                <w:szCs w:val="22"/>
              </w:rPr>
            </w:pPr>
            <w:r w:rsidRPr="001300A9">
              <w:rPr>
                <w:sz w:val="22"/>
                <w:szCs w:val="22"/>
              </w:rPr>
              <w:t>Ú</w:t>
            </w:r>
          </w:p>
          <w:p w14:paraId="0AFCAE58" w14:textId="77777777" w:rsidR="00357CEC" w:rsidRPr="001300A9" w:rsidRDefault="00357CEC" w:rsidP="00357CEC">
            <w:pPr>
              <w:pStyle w:val="Default"/>
              <w:rPr>
                <w:sz w:val="22"/>
                <w:szCs w:val="22"/>
              </w:rPr>
            </w:pPr>
          </w:p>
        </w:tc>
        <w:tc>
          <w:tcPr>
            <w:tcW w:w="1276" w:type="dxa"/>
          </w:tcPr>
          <w:p w14:paraId="1AB90BE3" w14:textId="77777777" w:rsidR="00357CEC" w:rsidRPr="001300A9" w:rsidRDefault="00357CEC" w:rsidP="00357CEC">
            <w:pPr>
              <w:pStyle w:val="Default"/>
              <w:rPr>
                <w:sz w:val="22"/>
                <w:szCs w:val="22"/>
              </w:rPr>
            </w:pPr>
          </w:p>
        </w:tc>
        <w:tc>
          <w:tcPr>
            <w:tcW w:w="850" w:type="dxa"/>
          </w:tcPr>
          <w:p w14:paraId="336E9E77" w14:textId="77777777" w:rsidR="00DF02A6" w:rsidRPr="001300A9" w:rsidRDefault="00DF02A6" w:rsidP="00DF02A6">
            <w:pPr>
              <w:pStyle w:val="Default"/>
              <w:rPr>
                <w:sz w:val="22"/>
                <w:szCs w:val="22"/>
              </w:rPr>
            </w:pPr>
            <w:r w:rsidRPr="001300A9">
              <w:rPr>
                <w:sz w:val="22"/>
                <w:szCs w:val="22"/>
              </w:rPr>
              <w:t>GP - N</w:t>
            </w:r>
          </w:p>
          <w:p w14:paraId="4809B37E" w14:textId="77777777" w:rsidR="00357CEC" w:rsidRPr="001300A9" w:rsidRDefault="00357CEC" w:rsidP="00357CEC">
            <w:pPr>
              <w:pStyle w:val="Default"/>
              <w:rPr>
                <w:sz w:val="22"/>
                <w:szCs w:val="22"/>
              </w:rPr>
            </w:pPr>
          </w:p>
        </w:tc>
        <w:tc>
          <w:tcPr>
            <w:tcW w:w="815" w:type="dxa"/>
          </w:tcPr>
          <w:p w14:paraId="3737D32C" w14:textId="77777777" w:rsidR="00357CEC" w:rsidRPr="001300A9" w:rsidRDefault="00357CEC" w:rsidP="00357CEC">
            <w:pPr>
              <w:pStyle w:val="Default"/>
              <w:rPr>
                <w:sz w:val="22"/>
                <w:szCs w:val="22"/>
              </w:rPr>
            </w:pPr>
          </w:p>
        </w:tc>
      </w:tr>
      <w:tr w:rsidR="00DD6EDC" w:rsidRPr="001300A9" w14:paraId="41B87A8F" w14:textId="77777777" w:rsidTr="360410BC">
        <w:tc>
          <w:tcPr>
            <w:tcW w:w="562" w:type="dxa"/>
          </w:tcPr>
          <w:p w14:paraId="5236ACFB" w14:textId="77777777" w:rsidR="00357CEC" w:rsidRPr="001300A9" w:rsidRDefault="00357CEC" w:rsidP="00357CEC">
            <w:pPr>
              <w:pStyle w:val="Default"/>
              <w:rPr>
                <w:sz w:val="22"/>
                <w:szCs w:val="22"/>
              </w:rPr>
            </w:pPr>
            <w:r w:rsidRPr="001300A9">
              <w:rPr>
                <w:sz w:val="22"/>
                <w:szCs w:val="22"/>
              </w:rPr>
              <w:t>Č: 1</w:t>
            </w:r>
          </w:p>
          <w:p w14:paraId="1696EDA1" w14:textId="77777777" w:rsidR="00357CEC" w:rsidRPr="001300A9" w:rsidRDefault="00357CEC" w:rsidP="00357CEC">
            <w:pPr>
              <w:pStyle w:val="Default"/>
              <w:rPr>
                <w:sz w:val="22"/>
                <w:szCs w:val="22"/>
              </w:rPr>
            </w:pPr>
            <w:r w:rsidRPr="001300A9">
              <w:rPr>
                <w:sz w:val="22"/>
                <w:szCs w:val="22"/>
              </w:rPr>
              <w:t>O: 7</w:t>
            </w:r>
          </w:p>
        </w:tc>
        <w:tc>
          <w:tcPr>
            <w:tcW w:w="4820" w:type="dxa"/>
          </w:tcPr>
          <w:p w14:paraId="3727082A" w14:textId="77777777" w:rsidR="00357CEC" w:rsidRPr="001300A9" w:rsidRDefault="00357CEC" w:rsidP="00357CEC">
            <w:pPr>
              <w:pStyle w:val="Default"/>
              <w:rPr>
                <w:i/>
                <w:sz w:val="22"/>
                <w:szCs w:val="22"/>
              </w:rPr>
            </w:pPr>
            <w:r w:rsidRPr="001300A9">
              <w:rPr>
                <w:i/>
                <w:sz w:val="22"/>
                <w:szCs w:val="22"/>
              </w:rPr>
              <w:t xml:space="preserve">Článok 3ga </w:t>
            </w:r>
          </w:p>
          <w:p w14:paraId="6F710274" w14:textId="77777777" w:rsidR="00357CEC" w:rsidRPr="001300A9" w:rsidRDefault="00357CEC" w:rsidP="00357CEC">
            <w:pPr>
              <w:pStyle w:val="Default"/>
              <w:rPr>
                <w:i/>
                <w:sz w:val="22"/>
                <w:szCs w:val="22"/>
              </w:rPr>
            </w:pPr>
            <w:r w:rsidRPr="001300A9">
              <w:rPr>
                <w:i/>
                <w:sz w:val="22"/>
                <w:szCs w:val="22"/>
              </w:rPr>
              <w:t>Rozsah uplatňovania na činnosti námornej dopravy</w:t>
            </w:r>
          </w:p>
          <w:p w14:paraId="5D781C1E" w14:textId="77777777" w:rsidR="00357CEC" w:rsidRPr="001300A9" w:rsidRDefault="00357CEC" w:rsidP="00357CEC">
            <w:pPr>
              <w:pStyle w:val="Default"/>
              <w:rPr>
                <w:sz w:val="22"/>
                <w:szCs w:val="22"/>
              </w:rPr>
            </w:pPr>
            <w:r w:rsidRPr="001300A9">
              <w:rPr>
                <w:sz w:val="22"/>
                <w:szCs w:val="22"/>
              </w:rPr>
              <w:t>1. Prideľovanie kvót a uplatňovanie požiadaviek týkajúcich sa ich odovzdávania v súvislosti s činnosťami námornej dopravy sa vzťahuje na päťdesiat percent (50 %) emisií z lodí vykonávajúcich plavby, ktoré odchádzajú z prístavu zastavenia podliehajúceho právomoci členského štátu a prichádzajú do prístavu zastavenia mimo právomoci členského štátu, na päťdesiat percent (50 %) emisií z lodí vykonávajúcich plavby, ktoré odchádzajú z prístavu zastavenia mimo právomoci členského štátu a prichádzajú do prístavu zastavenia podliehajúceho právomoci členského štátu, sto percent (100 %) emisií z lodí vykonávajúcich plavby, ktoré odchádzajú z prístavu zastavenia podliehajúceho právo</w:t>
            </w:r>
            <w:r w:rsidRPr="001300A9">
              <w:rPr>
                <w:sz w:val="22"/>
                <w:szCs w:val="22"/>
              </w:rPr>
              <w:lastRenderedPageBreak/>
              <w:t>moci členského štátu a prichádzajú do prístavu zastavenia podliehajúceho právomoci členského štátu, a sto percent (100 %) emisií z lodí v prístave zastavenia podliehajúceho právomoci členského štátu.</w:t>
            </w:r>
          </w:p>
          <w:p w14:paraId="63DB8E07" w14:textId="77777777" w:rsidR="00357CEC" w:rsidRPr="001300A9" w:rsidRDefault="00357CEC" w:rsidP="00357CEC">
            <w:pPr>
              <w:pStyle w:val="Default"/>
              <w:rPr>
                <w:sz w:val="22"/>
                <w:szCs w:val="22"/>
              </w:rPr>
            </w:pPr>
          </w:p>
          <w:p w14:paraId="78E4884B" w14:textId="77777777" w:rsidR="00357CEC" w:rsidRPr="001300A9" w:rsidRDefault="00357CEC" w:rsidP="00357CEC">
            <w:pPr>
              <w:pStyle w:val="Default"/>
              <w:rPr>
                <w:sz w:val="22"/>
                <w:szCs w:val="22"/>
              </w:rPr>
            </w:pPr>
            <w:r w:rsidRPr="001300A9">
              <w:rPr>
                <w:sz w:val="22"/>
                <w:szCs w:val="22"/>
              </w:rPr>
              <w:t>2. Komisia do 31. decembra 2023 prostredníctvom vykonávacích aktov stanoví zoznam susedných prístavov na prekládku kontajnerov a následne uvedený zoznam aktualizuje každé dva roky do 31. decembra.</w:t>
            </w:r>
          </w:p>
          <w:p w14:paraId="724D98B5" w14:textId="77777777" w:rsidR="00357CEC" w:rsidRPr="001300A9" w:rsidRDefault="00357CEC" w:rsidP="00357CEC">
            <w:pPr>
              <w:pStyle w:val="Default"/>
              <w:rPr>
                <w:sz w:val="22"/>
                <w:szCs w:val="22"/>
              </w:rPr>
            </w:pPr>
          </w:p>
          <w:p w14:paraId="25E85483" w14:textId="77777777" w:rsidR="00357CEC" w:rsidRPr="001300A9" w:rsidRDefault="00357CEC" w:rsidP="00357CEC">
            <w:pPr>
              <w:pStyle w:val="Default"/>
              <w:rPr>
                <w:sz w:val="22"/>
                <w:szCs w:val="22"/>
              </w:rPr>
            </w:pPr>
            <w:r w:rsidRPr="001300A9">
              <w:rPr>
                <w:sz w:val="22"/>
                <w:szCs w:val="22"/>
              </w:rPr>
              <w:t xml:space="preserve">V uvedených vykonávacích aktoch sa uvedie prístav ako susedný prístav na prekládku kontajnerov, ak podiel prekládky kontajnerov meraný v jednotkách zodpovedajúcich kontajneru s dĺžkou 20 stôp presahuje 65 % celkového objemu kontajnerovej dopravy v danom prístave v poslednom dvanásťmesačnom období, za ktoré sú k dispozícii príslušné údaje, a ak sa tento prístav nachádza mimo Únie, ale menej ako 300 námorných míľ od prístavu podliehajúceho právomoci členského štátu. Na účely tohto odseku sa kontajnery považujú za prekladané, ak sa vykladajú z lode do prístavu výlučne na účely naloženia na inú loď. Zoznam stanovený Komisiou podľa prvého </w:t>
            </w:r>
            <w:proofErr w:type="spellStart"/>
            <w:r w:rsidRPr="001300A9">
              <w:rPr>
                <w:sz w:val="22"/>
                <w:szCs w:val="22"/>
              </w:rPr>
              <w:t>pododseku</w:t>
            </w:r>
            <w:proofErr w:type="spellEnd"/>
            <w:r w:rsidRPr="001300A9">
              <w:rPr>
                <w:sz w:val="22"/>
                <w:szCs w:val="22"/>
              </w:rPr>
              <w:t xml:space="preserve"> nezahŕňa prístavy nachádzajúce sa v tretej krajine, v prípade ktorých táto tretia krajina účinne uplatňuje opatrenia rovnocenné s touto smernicou.</w:t>
            </w:r>
          </w:p>
          <w:p w14:paraId="5CFEE9B3" w14:textId="77777777" w:rsidR="00357CEC" w:rsidRPr="001300A9" w:rsidRDefault="00357CEC" w:rsidP="00357CEC">
            <w:pPr>
              <w:pStyle w:val="Default"/>
              <w:rPr>
                <w:sz w:val="22"/>
                <w:szCs w:val="22"/>
              </w:rPr>
            </w:pPr>
          </w:p>
          <w:p w14:paraId="3A585623" w14:textId="77777777" w:rsidR="00357CEC" w:rsidRPr="001300A9" w:rsidRDefault="00357CEC" w:rsidP="00357CEC">
            <w:pPr>
              <w:pStyle w:val="Default"/>
              <w:rPr>
                <w:sz w:val="22"/>
                <w:szCs w:val="22"/>
              </w:rPr>
            </w:pPr>
            <w:r w:rsidRPr="001300A9">
              <w:rPr>
                <w:sz w:val="22"/>
                <w:szCs w:val="22"/>
              </w:rPr>
              <w:t>Uvedené vykonávacie akty sa prijmú v súlade s postupom preskúmania uvedeným v článku 22a ods. 2.</w:t>
            </w:r>
          </w:p>
          <w:p w14:paraId="69ED5BF2" w14:textId="77777777" w:rsidR="00357CEC" w:rsidRPr="001300A9" w:rsidRDefault="00357CEC" w:rsidP="00357CEC">
            <w:pPr>
              <w:pStyle w:val="Default"/>
              <w:rPr>
                <w:sz w:val="22"/>
                <w:szCs w:val="22"/>
              </w:rPr>
            </w:pPr>
          </w:p>
          <w:p w14:paraId="51ED4DF2" w14:textId="77777777" w:rsidR="00357CEC" w:rsidRPr="001300A9" w:rsidRDefault="00357CEC" w:rsidP="00357CEC">
            <w:pPr>
              <w:pStyle w:val="Default"/>
              <w:rPr>
                <w:sz w:val="22"/>
                <w:szCs w:val="22"/>
              </w:rPr>
            </w:pPr>
            <w:r w:rsidRPr="001300A9">
              <w:rPr>
                <w:sz w:val="22"/>
                <w:szCs w:val="22"/>
              </w:rPr>
              <w:t xml:space="preserve">3. Články 9, 9a a 10 sa uplatňujú na činnosti námornej dopravy rovnakým spôsobom, ako sa uplatňujú </w:t>
            </w:r>
            <w:r w:rsidRPr="001300A9">
              <w:rPr>
                <w:sz w:val="22"/>
                <w:szCs w:val="22"/>
              </w:rPr>
              <w:lastRenderedPageBreak/>
              <w:t>na iné činnosti, na ktoré sa vzťahuje systém EU ETS, pričom sa v súvislosti s článkom 10 uplatňuje táto výnimka.</w:t>
            </w:r>
          </w:p>
          <w:p w14:paraId="17D4207F" w14:textId="77777777" w:rsidR="00357CEC" w:rsidRPr="001300A9" w:rsidRDefault="00357CEC" w:rsidP="00357CEC">
            <w:pPr>
              <w:pStyle w:val="Default"/>
              <w:rPr>
                <w:sz w:val="22"/>
                <w:szCs w:val="22"/>
              </w:rPr>
            </w:pPr>
          </w:p>
          <w:p w14:paraId="3FEF6AF9" w14:textId="77777777" w:rsidR="00357CEC" w:rsidRPr="001300A9" w:rsidRDefault="00357CEC" w:rsidP="00357CEC">
            <w:pPr>
              <w:pStyle w:val="Default"/>
              <w:rPr>
                <w:sz w:val="22"/>
                <w:szCs w:val="22"/>
              </w:rPr>
            </w:pPr>
            <w:r w:rsidRPr="001300A9">
              <w:rPr>
                <w:sz w:val="22"/>
                <w:szCs w:val="22"/>
              </w:rPr>
              <w:t xml:space="preserve">Do 31. decembra 2030 sa určitý podiel kvót pridelí členským štátom s pomerom lodných spoločností, za ktoré by zodpovedali podľa článku 3gf v porovnaní s ich počtom obyvateľov v roku 2020 a na základe údajov dostupných za roky 2018 až 2020, ktorý presahuje 15 lodných spoločností na milión obyvateľov. Množstvo kvót zodpovedá 3,5 % z dodatočného množstva kvót v dôsledku zvýšenia stropu pre námornú dopravu uvedeného v článku 9 ods. 3 v príslušnom roku. Pre roky 2024 a 2025 sa množstvo kvót navyše vynásobí percentuálnymi podielmi uplatniteľnými na príslušný rok podľa článku 3gb prvého odseku písm. a) a b). Príjmy z obchodovania s uvedeným podielom kvót formou aukcie by sa mali použiť na účely uvedené v článku 10 ods. 3 prvom </w:t>
            </w:r>
            <w:proofErr w:type="spellStart"/>
            <w:r w:rsidRPr="001300A9">
              <w:rPr>
                <w:sz w:val="22"/>
                <w:szCs w:val="22"/>
              </w:rPr>
              <w:t>pododseku</w:t>
            </w:r>
            <w:proofErr w:type="spellEnd"/>
            <w:r w:rsidRPr="001300A9">
              <w:rPr>
                <w:sz w:val="22"/>
                <w:szCs w:val="22"/>
              </w:rPr>
              <w:t xml:space="preserve"> písm. g), pokiaľ ide o námorné odvetvie, a v písmenách f) a i). 50 % množstva kvót sa rozdelí medzi príslušné členské štáty na základe podielu lodných spoločností, za ktoré zodpovedajú, a zvyšok sa medzi </w:t>
            </w:r>
            <w:proofErr w:type="spellStart"/>
            <w:r w:rsidRPr="001300A9">
              <w:rPr>
                <w:sz w:val="22"/>
                <w:szCs w:val="22"/>
              </w:rPr>
              <w:t>ne</w:t>
            </w:r>
            <w:proofErr w:type="spellEnd"/>
            <w:r w:rsidRPr="001300A9">
              <w:rPr>
                <w:sz w:val="22"/>
                <w:szCs w:val="22"/>
              </w:rPr>
              <w:t xml:space="preserve"> rozdelí rovnakým dielom.</w:t>
            </w:r>
          </w:p>
          <w:p w14:paraId="5EE7AD32" w14:textId="77777777" w:rsidR="00357CEC" w:rsidRPr="001300A9" w:rsidRDefault="00357CEC" w:rsidP="00357CEC">
            <w:pPr>
              <w:pStyle w:val="Default"/>
              <w:rPr>
                <w:sz w:val="22"/>
                <w:szCs w:val="22"/>
              </w:rPr>
            </w:pPr>
          </w:p>
          <w:p w14:paraId="78EC2FBA" w14:textId="77777777" w:rsidR="00357CEC" w:rsidRPr="001300A9" w:rsidRDefault="00357CEC" w:rsidP="00357CEC">
            <w:pPr>
              <w:pStyle w:val="Default"/>
              <w:rPr>
                <w:i/>
                <w:sz w:val="22"/>
                <w:szCs w:val="22"/>
              </w:rPr>
            </w:pPr>
            <w:r w:rsidRPr="001300A9">
              <w:rPr>
                <w:i/>
                <w:sz w:val="22"/>
                <w:szCs w:val="22"/>
              </w:rPr>
              <w:t xml:space="preserve">Článok 3gb </w:t>
            </w:r>
          </w:p>
          <w:p w14:paraId="17EFE73D" w14:textId="77777777" w:rsidR="00357CEC" w:rsidRPr="001300A9" w:rsidRDefault="00357CEC" w:rsidP="00357CEC">
            <w:pPr>
              <w:pStyle w:val="Default"/>
              <w:rPr>
                <w:i/>
                <w:sz w:val="22"/>
                <w:szCs w:val="22"/>
              </w:rPr>
            </w:pPr>
            <w:r w:rsidRPr="001300A9">
              <w:rPr>
                <w:i/>
                <w:sz w:val="22"/>
                <w:szCs w:val="22"/>
              </w:rPr>
              <w:t>Postupné zavádzanie požiadaviek týkajúcich sa námornej dopravy</w:t>
            </w:r>
          </w:p>
          <w:p w14:paraId="6986BB97" w14:textId="77777777" w:rsidR="00357CEC" w:rsidRPr="001300A9" w:rsidRDefault="00357CEC" w:rsidP="00357CEC">
            <w:pPr>
              <w:pStyle w:val="Default"/>
              <w:rPr>
                <w:sz w:val="22"/>
                <w:szCs w:val="22"/>
              </w:rPr>
            </w:pPr>
            <w:r w:rsidRPr="001300A9">
              <w:rPr>
                <w:sz w:val="22"/>
                <w:szCs w:val="22"/>
              </w:rPr>
              <w:t>Lodné spoločnosti sú povinné odovzdávať kvóty podľa tohto harmonogramu:</w:t>
            </w:r>
          </w:p>
          <w:p w14:paraId="70D7850A" w14:textId="77777777" w:rsidR="00357CEC" w:rsidRPr="001300A9" w:rsidRDefault="00357CEC" w:rsidP="00357CEC">
            <w:pPr>
              <w:pStyle w:val="Default"/>
              <w:rPr>
                <w:sz w:val="22"/>
                <w:szCs w:val="22"/>
              </w:rPr>
            </w:pPr>
            <w:r w:rsidRPr="001300A9">
              <w:rPr>
                <w:sz w:val="22"/>
                <w:szCs w:val="22"/>
              </w:rPr>
              <w:t>a) 40 % overených emisií nahlásených za rok 2024, na ktoré by sa vzťahovali požiadavky týkajúce sa odovzdávania kvót v súlade s článkom 12;</w:t>
            </w:r>
          </w:p>
          <w:p w14:paraId="1717D423" w14:textId="77777777" w:rsidR="00357CEC" w:rsidRPr="001300A9" w:rsidRDefault="00357CEC" w:rsidP="00357CEC">
            <w:pPr>
              <w:pStyle w:val="Default"/>
              <w:rPr>
                <w:sz w:val="22"/>
                <w:szCs w:val="22"/>
              </w:rPr>
            </w:pPr>
            <w:r w:rsidRPr="001300A9">
              <w:rPr>
                <w:sz w:val="22"/>
                <w:szCs w:val="22"/>
              </w:rPr>
              <w:lastRenderedPageBreak/>
              <w:t>b) 70 % overených emisií nahlásených za rok 2025, na ktoré by sa vzťahovali požiadavky týkajúce sa odovzdávania kvót v súlade s článkom 12;</w:t>
            </w:r>
          </w:p>
          <w:p w14:paraId="0831EDCD" w14:textId="77777777" w:rsidR="00357CEC" w:rsidRPr="001300A9" w:rsidRDefault="00357CEC" w:rsidP="00357CEC">
            <w:pPr>
              <w:pStyle w:val="Default"/>
              <w:rPr>
                <w:sz w:val="22"/>
                <w:szCs w:val="22"/>
              </w:rPr>
            </w:pPr>
            <w:r w:rsidRPr="001300A9">
              <w:rPr>
                <w:sz w:val="22"/>
                <w:szCs w:val="22"/>
              </w:rPr>
              <w:t>c) 100 % overených emisií nahlásených za rok 2026 a každý ďalší rok v súlade s článkom 12.</w:t>
            </w:r>
          </w:p>
          <w:p w14:paraId="7E7C95F4" w14:textId="77777777" w:rsidR="00357CEC" w:rsidRPr="001300A9" w:rsidRDefault="00357CEC" w:rsidP="00357CEC">
            <w:pPr>
              <w:pStyle w:val="Default"/>
              <w:rPr>
                <w:sz w:val="22"/>
                <w:szCs w:val="22"/>
              </w:rPr>
            </w:pPr>
          </w:p>
          <w:p w14:paraId="0C91B298" w14:textId="77777777" w:rsidR="00357CEC" w:rsidRPr="001300A9" w:rsidRDefault="00357CEC" w:rsidP="00357CEC">
            <w:pPr>
              <w:pStyle w:val="Default"/>
              <w:rPr>
                <w:sz w:val="22"/>
                <w:szCs w:val="22"/>
              </w:rPr>
            </w:pPr>
            <w:r w:rsidRPr="001300A9">
              <w:rPr>
                <w:sz w:val="22"/>
                <w:szCs w:val="22"/>
              </w:rPr>
              <w:t>Ak sa v porovnaní s overenými emisiami z námornej dopravy za roky 2024 a 2025 odovzdá menej kvót, po stanovení rozdielu medzi overenými emisiami a odovzdanými kvótami za každý rok sa množstvo kvót zodpovedajúce uvedenému rozdielu, namiesto vydraženia formou aukcie podľa článku 10, zruší.</w:t>
            </w:r>
          </w:p>
          <w:p w14:paraId="4C7D3BEC" w14:textId="77777777" w:rsidR="00357CEC" w:rsidRPr="001300A9" w:rsidRDefault="00357CEC" w:rsidP="00357CEC">
            <w:pPr>
              <w:pStyle w:val="Default"/>
              <w:rPr>
                <w:sz w:val="22"/>
                <w:szCs w:val="22"/>
              </w:rPr>
            </w:pPr>
          </w:p>
          <w:p w14:paraId="7B70AA3E" w14:textId="77777777" w:rsidR="00357CEC" w:rsidRPr="001300A9" w:rsidRDefault="00357CEC" w:rsidP="00357CEC">
            <w:pPr>
              <w:pStyle w:val="Default"/>
              <w:rPr>
                <w:i/>
                <w:sz w:val="22"/>
                <w:szCs w:val="22"/>
              </w:rPr>
            </w:pPr>
            <w:r w:rsidRPr="001300A9">
              <w:rPr>
                <w:i/>
                <w:sz w:val="22"/>
                <w:szCs w:val="22"/>
              </w:rPr>
              <w:t xml:space="preserve">Článok 3gc </w:t>
            </w:r>
          </w:p>
          <w:p w14:paraId="2C4000BD" w14:textId="77777777" w:rsidR="00357CEC" w:rsidRPr="001300A9" w:rsidRDefault="00357CEC" w:rsidP="00357CEC">
            <w:pPr>
              <w:pStyle w:val="Default"/>
              <w:rPr>
                <w:i/>
                <w:sz w:val="22"/>
                <w:szCs w:val="22"/>
              </w:rPr>
            </w:pPr>
            <w:r w:rsidRPr="001300A9">
              <w:rPr>
                <w:i/>
                <w:sz w:val="22"/>
                <w:szCs w:val="22"/>
              </w:rPr>
              <w:t>Ustanovenia o prevode nákladov súvisiacich so systémom EU ETS z lodnej spoločnosti na iný subjekt</w:t>
            </w:r>
          </w:p>
          <w:p w14:paraId="2E692203" w14:textId="77777777" w:rsidR="00357CEC" w:rsidRPr="001300A9" w:rsidRDefault="00357CEC" w:rsidP="00357CEC">
            <w:pPr>
              <w:pStyle w:val="Default"/>
              <w:rPr>
                <w:sz w:val="22"/>
                <w:szCs w:val="22"/>
              </w:rPr>
            </w:pPr>
            <w:r w:rsidRPr="001300A9">
              <w:rPr>
                <w:sz w:val="22"/>
                <w:szCs w:val="22"/>
              </w:rPr>
              <w:t>Členské štáty prijmú potrebné opatrenia na zabezpečenie toho, aby v prípade, že konečnú zodpovednosť za nákup paliva alebo prevádzku lode alebo oboje prevezme podľa zmluvného dojednania iný subjekt ako lodná spoločnosť, mala lodná spoločnosť nárok na náhradu nákladov zo strany tohto subjektu vyplývajúcich z odovzdania kvót.</w:t>
            </w:r>
          </w:p>
          <w:p w14:paraId="124A8E48" w14:textId="77777777" w:rsidR="00357CEC" w:rsidRPr="001300A9" w:rsidRDefault="00357CEC" w:rsidP="00357CEC">
            <w:pPr>
              <w:pStyle w:val="Default"/>
              <w:rPr>
                <w:sz w:val="22"/>
                <w:szCs w:val="22"/>
              </w:rPr>
            </w:pPr>
          </w:p>
          <w:p w14:paraId="514114AE" w14:textId="77777777" w:rsidR="00357CEC" w:rsidRPr="001300A9" w:rsidRDefault="00357CEC" w:rsidP="00357CEC">
            <w:pPr>
              <w:pStyle w:val="Default"/>
              <w:rPr>
                <w:sz w:val="22"/>
                <w:szCs w:val="22"/>
              </w:rPr>
            </w:pPr>
            <w:r w:rsidRPr="001300A9">
              <w:rPr>
                <w:sz w:val="22"/>
                <w:szCs w:val="22"/>
              </w:rPr>
              <w:t xml:space="preserve">„Prevádzka lode“ na účely tohto článku znamená určenie prepravovaného nákladu alebo trasy a rýchlosti lode. Lodná spoločnosť zostáva subjektom zodpovedným za odovzdávanie kvót, ako sa vyžaduje v článkoch 3gb a 12, a za celkové dodržiavanie ustanovení vnútroštátneho práva, ktorými sa transponuje táto smernica. Členské štáty zabezpečia, aby lodné spoločnosti, za ktoré zodpovedajú, plnili povinnosti odovzdať kvóty podľa článkov 3gb a 12 bez ohľadu na nárok takýchto lodných spoločností </w:t>
            </w:r>
            <w:r w:rsidRPr="001300A9">
              <w:rPr>
                <w:sz w:val="22"/>
                <w:szCs w:val="22"/>
              </w:rPr>
              <w:lastRenderedPageBreak/>
              <w:t>na náhradu nákladov vyplývajúcich z odovzdania zo strany komerčných prevádzkovateľov.</w:t>
            </w:r>
          </w:p>
          <w:p w14:paraId="48C33DB6" w14:textId="77777777" w:rsidR="00357CEC" w:rsidRPr="001300A9" w:rsidRDefault="00357CEC" w:rsidP="00357CEC">
            <w:pPr>
              <w:pStyle w:val="Default"/>
              <w:rPr>
                <w:sz w:val="22"/>
                <w:szCs w:val="22"/>
              </w:rPr>
            </w:pPr>
          </w:p>
          <w:p w14:paraId="05235B8B" w14:textId="77777777" w:rsidR="00357CEC" w:rsidRPr="001300A9" w:rsidRDefault="00357CEC" w:rsidP="00357CEC">
            <w:pPr>
              <w:pStyle w:val="Default"/>
              <w:rPr>
                <w:i/>
                <w:sz w:val="22"/>
                <w:szCs w:val="22"/>
              </w:rPr>
            </w:pPr>
            <w:r w:rsidRPr="001300A9">
              <w:rPr>
                <w:i/>
                <w:sz w:val="22"/>
                <w:szCs w:val="22"/>
              </w:rPr>
              <w:t xml:space="preserve">Článok 3gd </w:t>
            </w:r>
          </w:p>
          <w:p w14:paraId="387B909B" w14:textId="77777777" w:rsidR="00357CEC" w:rsidRPr="001300A9" w:rsidRDefault="00357CEC" w:rsidP="00357CEC">
            <w:pPr>
              <w:pStyle w:val="Default"/>
              <w:rPr>
                <w:i/>
                <w:sz w:val="22"/>
                <w:szCs w:val="22"/>
              </w:rPr>
            </w:pPr>
            <w:r w:rsidRPr="001300A9">
              <w:rPr>
                <w:i/>
                <w:sz w:val="22"/>
                <w:szCs w:val="22"/>
              </w:rPr>
              <w:t>Monitorovanie a nahlasovanie emisií z námornej dopravy</w:t>
            </w:r>
          </w:p>
          <w:p w14:paraId="77674B1E" w14:textId="77777777" w:rsidR="00357CEC" w:rsidRPr="001300A9" w:rsidRDefault="00357CEC" w:rsidP="00357CEC">
            <w:pPr>
              <w:pStyle w:val="Default"/>
              <w:rPr>
                <w:sz w:val="22"/>
                <w:szCs w:val="22"/>
              </w:rPr>
            </w:pPr>
            <w:r w:rsidRPr="001300A9">
              <w:rPr>
                <w:sz w:val="22"/>
                <w:szCs w:val="22"/>
              </w:rPr>
              <w:t>Pokiaľ ide o emisie z činností námornej dopravy uvedených v prílohe I k tejto smernici, riadiaci orgán vo vzťahu k lodnej spoločnosti zabezpečí, aby lodná spoločnosť, za ktorú nesie zodpovednosť, počas obdobia nahlasovania monitorovala a nahlasovala príslušné parametre a predkladala mu údaje o súhrnných emisiách na úrovni spoločnosti v súlade s kapitolou II nariadenia (EÚ) 2015/757.</w:t>
            </w:r>
          </w:p>
          <w:p w14:paraId="313233EC" w14:textId="419E4BF8" w:rsidR="00E179E7" w:rsidRDefault="00E179E7" w:rsidP="4792BE4F">
            <w:pPr>
              <w:pStyle w:val="Default"/>
              <w:rPr>
                <w:sz w:val="22"/>
                <w:szCs w:val="22"/>
              </w:rPr>
            </w:pPr>
          </w:p>
          <w:p w14:paraId="016E153B" w14:textId="2B6DDFDF" w:rsidR="00357CEC" w:rsidRPr="001300A9" w:rsidRDefault="00357CEC" w:rsidP="00357CEC">
            <w:pPr>
              <w:pStyle w:val="Default"/>
              <w:rPr>
                <w:i/>
                <w:sz w:val="22"/>
                <w:szCs w:val="22"/>
              </w:rPr>
            </w:pPr>
            <w:r w:rsidRPr="001300A9">
              <w:rPr>
                <w:i/>
                <w:sz w:val="22"/>
                <w:szCs w:val="22"/>
              </w:rPr>
              <w:t xml:space="preserve">Článok 3ge </w:t>
            </w:r>
          </w:p>
          <w:p w14:paraId="77313C9E" w14:textId="77777777" w:rsidR="00357CEC" w:rsidRPr="001300A9" w:rsidRDefault="00357CEC" w:rsidP="00357CEC">
            <w:pPr>
              <w:pStyle w:val="Default"/>
              <w:rPr>
                <w:i/>
                <w:sz w:val="22"/>
                <w:szCs w:val="22"/>
              </w:rPr>
            </w:pPr>
            <w:r w:rsidRPr="001300A9">
              <w:rPr>
                <w:i/>
                <w:sz w:val="22"/>
                <w:szCs w:val="22"/>
              </w:rPr>
              <w:t>Pravidlá overovania a akreditácie pre emisie z námornej dopravy</w:t>
            </w:r>
          </w:p>
          <w:p w14:paraId="36EF5E7B" w14:textId="77777777" w:rsidR="00357CEC" w:rsidRPr="001300A9" w:rsidRDefault="00357CEC" w:rsidP="00357CEC">
            <w:pPr>
              <w:pStyle w:val="Default"/>
              <w:rPr>
                <w:sz w:val="22"/>
                <w:szCs w:val="22"/>
              </w:rPr>
            </w:pPr>
            <w:r w:rsidRPr="001300A9">
              <w:rPr>
                <w:sz w:val="22"/>
                <w:szCs w:val="22"/>
              </w:rPr>
              <w:t>Riadiaci orgán vo vzťahu k lodnej spoločnosti zabezpečí, aby sa nahlasovanie údajov o súhrnných emisiách na úrovni lodnej spoločnosti, ktoré predložila lodná spoločnosť podľa článku 3gd tejto smernice, overilo v súlade s pravidlami overovania a akreditácie uvedenými v kapitole III nariadenia (EÚ) 2015/757.</w:t>
            </w:r>
          </w:p>
          <w:p w14:paraId="695B9BA1" w14:textId="3A590CC0" w:rsidR="00E179E7" w:rsidRPr="001300A9" w:rsidRDefault="00E179E7" w:rsidP="00357CEC">
            <w:pPr>
              <w:pStyle w:val="Default"/>
              <w:rPr>
                <w:sz w:val="22"/>
                <w:szCs w:val="22"/>
              </w:rPr>
            </w:pPr>
          </w:p>
          <w:p w14:paraId="442AE7FB" w14:textId="2B23F880" w:rsidR="4792BE4F" w:rsidRDefault="4792BE4F" w:rsidP="4792BE4F">
            <w:pPr>
              <w:pStyle w:val="Default"/>
              <w:rPr>
                <w:sz w:val="22"/>
                <w:szCs w:val="22"/>
              </w:rPr>
            </w:pPr>
          </w:p>
          <w:p w14:paraId="340D40DB" w14:textId="2D608B73" w:rsidR="4792BE4F" w:rsidRDefault="4792BE4F" w:rsidP="4792BE4F">
            <w:pPr>
              <w:pStyle w:val="Default"/>
              <w:rPr>
                <w:sz w:val="22"/>
                <w:szCs w:val="22"/>
              </w:rPr>
            </w:pPr>
          </w:p>
          <w:p w14:paraId="5C6166DF" w14:textId="65588D1C" w:rsidR="4792BE4F" w:rsidRDefault="4792BE4F" w:rsidP="4792BE4F">
            <w:pPr>
              <w:pStyle w:val="Default"/>
              <w:rPr>
                <w:sz w:val="22"/>
                <w:szCs w:val="22"/>
              </w:rPr>
            </w:pPr>
          </w:p>
          <w:p w14:paraId="15343BF4" w14:textId="4C74FF61" w:rsidR="4792BE4F" w:rsidRDefault="4792BE4F" w:rsidP="4792BE4F">
            <w:pPr>
              <w:pStyle w:val="Default"/>
              <w:rPr>
                <w:sz w:val="22"/>
                <w:szCs w:val="22"/>
              </w:rPr>
            </w:pPr>
          </w:p>
          <w:p w14:paraId="1A9C20FA" w14:textId="22CB0184" w:rsidR="4792BE4F" w:rsidRDefault="4792BE4F" w:rsidP="4792BE4F">
            <w:pPr>
              <w:pStyle w:val="Default"/>
              <w:rPr>
                <w:sz w:val="22"/>
                <w:szCs w:val="22"/>
              </w:rPr>
            </w:pPr>
          </w:p>
          <w:p w14:paraId="12B38853" w14:textId="77777777" w:rsidR="00357CEC" w:rsidRPr="001300A9" w:rsidRDefault="00357CEC" w:rsidP="00357CEC">
            <w:pPr>
              <w:pStyle w:val="Default"/>
              <w:rPr>
                <w:i/>
                <w:sz w:val="22"/>
                <w:szCs w:val="22"/>
              </w:rPr>
            </w:pPr>
            <w:r w:rsidRPr="001300A9">
              <w:rPr>
                <w:i/>
                <w:sz w:val="22"/>
                <w:szCs w:val="22"/>
              </w:rPr>
              <w:t xml:space="preserve">Článok 3gf </w:t>
            </w:r>
          </w:p>
          <w:p w14:paraId="0C819F43" w14:textId="77777777" w:rsidR="00357CEC" w:rsidRPr="001300A9" w:rsidRDefault="00357CEC" w:rsidP="00357CEC">
            <w:pPr>
              <w:pStyle w:val="Default"/>
              <w:rPr>
                <w:i/>
                <w:sz w:val="22"/>
                <w:szCs w:val="22"/>
              </w:rPr>
            </w:pPr>
            <w:r w:rsidRPr="001300A9">
              <w:rPr>
                <w:i/>
                <w:sz w:val="22"/>
                <w:szCs w:val="22"/>
              </w:rPr>
              <w:t>Riadiaci orgán vo vzťahu k lodnej spoločnosti</w:t>
            </w:r>
          </w:p>
          <w:p w14:paraId="63C78F46" w14:textId="77777777" w:rsidR="00357CEC" w:rsidRPr="001300A9" w:rsidRDefault="00357CEC" w:rsidP="00357CEC">
            <w:pPr>
              <w:pStyle w:val="Default"/>
              <w:rPr>
                <w:sz w:val="22"/>
                <w:szCs w:val="22"/>
              </w:rPr>
            </w:pPr>
            <w:r w:rsidRPr="001300A9">
              <w:rPr>
                <w:sz w:val="22"/>
                <w:szCs w:val="22"/>
              </w:rPr>
              <w:t>1. Riadiacim orgánom vo vzťahu k lodnej spoločnosti je:</w:t>
            </w:r>
          </w:p>
          <w:p w14:paraId="79D06AA2" w14:textId="77777777" w:rsidR="00357CEC" w:rsidRPr="001300A9" w:rsidRDefault="00357CEC" w:rsidP="00357CEC">
            <w:pPr>
              <w:pStyle w:val="Default"/>
              <w:rPr>
                <w:sz w:val="22"/>
                <w:szCs w:val="22"/>
              </w:rPr>
            </w:pPr>
            <w:r w:rsidRPr="001300A9">
              <w:rPr>
                <w:sz w:val="22"/>
                <w:szCs w:val="22"/>
              </w:rPr>
              <w:lastRenderedPageBreak/>
              <w:t>a) v prípade lodnej spoločnosti registrovanej v členskom štáte, členský štát, v ktorom je daná lodná spoločnosť zaregistrovaná;</w:t>
            </w:r>
          </w:p>
          <w:p w14:paraId="4B97D2DE" w14:textId="77777777" w:rsidR="00357CEC" w:rsidRPr="001300A9" w:rsidRDefault="00357CEC" w:rsidP="00357CEC">
            <w:pPr>
              <w:pStyle w:val="Default"/>
              <w:rPr>
                <w:sz w:val="22"/>
                <w:szCs w:val="22"/>
              </w:rPr>
            </w:pPr>
            <w:r w:rsidRPr="001300A9">
              <w:rPr>
                <w:sz w:val="22"/>
                <w:szCs w:val="22"/>
              </w:rPr>
              <w:t>b) v prípade lodnej spoločnosti, ktorá nie je zaregistrovaná v členskom štáte, členský štát s najvyšším odhadovaným počtom zastavení v prístavoch v rámci plavieb, ktoré vykonala daná lodná spoločnosť za predchádzajúce štyri monitorované roky a ktoré patria do rozsahu pôsobnosti stanoveného v článku 3ga;</w:t>
            </w:r>
          </w:p>
          <w:p w14:paraId="1A817EF8" w14:textId="77777777" w:rsidR="00357CEC" w:rsidRPr="001300A9" w:rsidRDefault="00357CEC" w:rsidP="00357CEC">
            <w:pPr>
              <w:pStyle w:val="Default"/>
              <w:rPr>
                <w:sz w:val="22"/>
                <w:szCs w:val="22"/>
              </w:rPr>
            </w:pPr>
            <w:r w:rsidRPr="001300A9">
              <w:rPr>
                <w:sz w:val="22"/>
                <w:szCs w:val="22"/>
              </w:rPr>
              <w:t>c) v prípade lodnej spoločnosti, ktorá nie je zaregistrovaná v členskom štáte a ktorá v predchádzajúcich štyroch monitorovaných rokoch nevykonávala žiadnu plavbu patriacu do rozsahu pôsobnosti stanoveného v článku 3ga, členský štát, v ktorom loď lodnej spoločnosti začala alebo ukončila svoju prvú plavbu patriacu do rozsahu pôsobnosti stanoveného v uvedenom článku.</w:t>
            </w:r>
          </w:p>
          <w:p w14:paraId="74F0AE48" w14:textId="77777777" w:rsidR="00357CEC" w:rsidRPr="001300A9" w:rsidRDefault="00357CEC" w:rsidP="00357CEC">
            <w:pPr>
              <w:pStyle w:val="Default"/>
              <w:rPr>
                <w:sz w:val="22"/>
                <w:szCs w:val="22"/>
              </w:rPr>
            </w:pPr>
          </w:p>
          <w:p w14:paraId="505AF737" w14:textId="77777777" w:rsidR="00357CEC" w:rsidRPr="001300A9" w:rsidRDefault="00357CEC" w:rsidP="00357CEC">
            <w:pPr>
              <w:pStyle w:val="Default"/>
              <w:rPr>
                <w:sz w:val="22"/>
                <w:szCs w:val="22"/>
              </w:rPr>
            </w:pPr>
            <w:r w:rsidRPr="001300A9">
              <w:rPr>
                <w:sz w:val="22"/>
                <w:szCs w:val="22"/>
              </w:rPr>
              <w:t>2. Na základe najlepších dostupných informácií Komisia prostredníctvom vykonávacích aktov stanoví:</w:t>
            </w:r>
          </w:p>
          <w:p w14:paraId="4CCAEAF2" w14:textId="77777777" w:rsidR="00357CEC" w:rsidRPr="001300A9" w:rsidRDefault="00357CEC" w:rsidP="00357CEC">
            <w:pPr>
              <w:pStyle w:val="Default"/>
              <w:rPr>
                <w:sz w:val="22"/>
                <w:szCs w:val="22"/>
              </w:rPr>
            </w:pPr>
            <w:r w:rsidRPr="001300A9">
              <w:rPr>
                <w:sz w:val="22"/>
                <w:szCs w:val="22"/>
              </w:rPr>
              <w:t>a) do 1. februára 2024 zoznam lodných spoločností, ktoré vykonávali činnosť námornej dopravy uvedenú v prílohe I patriacu do rozsahu pôsobnosti stanoveného v článku 3ga k 1. januáru 2024 alebo s účinnosťou od 1. januára 2024, a to s uvedením riadiaceho orgánu vo vzťahu k lodnej spoločnosti v súlade s odsekom 1 tohto článku;</w:t>
            </w:r>
          </w:p>
          <w:p w14:paraId="1FA42A52" w14:textId="77777777" w:rsidR="00357CEC" w:rsidRPr="001300A9" w:rsidRDefault="00357CEC" w:rsidP="00357CEC">
            <w:pPr>
              <w:pStyle w:val="Default"/>
              <w:rPr>
                <w:sz w:val="22"/>
                <w:szCs w:val="22"/>
              </w:rPr>
            </w:pPr>
            <w:r w:rsidRPr="001300A9">
              <w:rPr>
                <w:sz w:val="22"/>
                <w:szCs w:val="22"/>
              </w:rPr>
              <w:t xml:space="preserve">b) do 1. februára 2026 a potom každé dva roky aktualizovaný zoznam s cieľom prideliť lodné spoločnosti zaregistrované v členskom štáte inému riadiacemu orgánu vo vzťahu k lodnej spoločnosti, ak zmenili členský štát registrácie v rámci Únie v súlade s odsekom 1 písm. a) tohto článku, alebo s cieľom zahrnúť doň lodné spoločnosti, ktoré následne </w:t>
            </w:r>
            <w:r w:rsidRPr="001300A9">
              <w:rPr>
                <w:sz w:val="22"/>
                <w:szCs w:val="22"/>
              </w:rPr>
              <w:lastRenderedPageBreak/>
              <w:t>vykonávali činnosť námornej dopravy stanovenú v prílohe I patriacu do rozsahu pôsobnosti stanoveného v článku 3ga v súlade s odsekom 1 písm. c) tohto článku; a</w:t>
            </w:r>
          </w:p>
          <w:p w14:paraId="77F84E8C" w14:textId="77777777" w:rsidR="00357CEC" w:rsidRPr="001300A9" w:rsidRDefault="00357CEC" w:rsidP="00357CEC">
            <w:pPr>
              <w:pStyle w:val="Default"/>
              <w:rPr>
                <w:sz w:val="22"/>
                <w:szCs w:val="22"/>
              </w:rPr>
            </w:pPr>
            <w:r w:rsidRPr="001300A9">
              <w:rPr>
                <w:sz w:val="22"/>
                <w:szCs w:val="22"/>
              </w:rPr>
              <w:t>c) do 1. februára 2028 a potom každé štyri roky aktualizovaný zoznam s cieľom prideliť lodné spoločnosti, ktoré nie sú registrované v členskom štáte, inému riadiacemu orgánu vo vzťahu k lodnej spoločnosti v súlade s odsekom 1 písm. b) tohto článku.</w:t>
            </w:r>
          </w:p>
          <w:p w14:paraId="0BEA4AFF" w14:textId="77777777" w:rsidR="00357CEC" w:rsidRPr="001300A9" w:rsidRDefault="00357CEC" w:rsidP="00357CEC">
            <w:pPr>
              <w:pStyle w:val="Default"/>
              <w:rPr>
                <w:sz w:val="22"/>
                <w:szCs w:val="22"/>
              </w:rPr>
            </w:pPr>
          </w:p>
          <w:p w14:paraId="364BCF1C" w14:textId="77777777" w:rsidR="00357CEC" w:rsidRPr="001300A9" w:rsidRDefault="00357CEC" w:rsidP="00357CEC">
            <w:pPr>
              <w:pStyle w:val="Default"/>
              <w:rPr>
                <w:sz w:val="22"/>
                <w:szCs w:val="22"/>
              </w:rPr>
            </w:pPr>
            <w:r w:rsidRPr="001300A9">
              <w:rPr>
                <w:sz w:val="22"/>
                <w:szCs w:val="22"/>
              </w:rPr>
              <w:t>3. Riadiaci orgán vo vzťahu k lodnej spoločnosti, ktorý je podľa zoznamu stanoveného podľa odseku 2 zodpovedný za lodnú spoločnosť, si ponecháva túto zodpovednosť bez ohľadu na následné zmeny v činnosti lodnej spoločnosti alebo jej v registrácii, až kým sa tieto zmeny neodzrkadlia v aktualizovanom zozname.</w:t>
            </w:r>
          </w:p>
          <w:p w14:paraId="15554109" w14:textId="77777777" w:rsidR="00357CEC" w:rsidRPr="001300A9" w:rsidRDefault="00357CEC" w:rsidP="00357CEC">
            <w:pPr>
              <w:pStyle w:val="Default"/>
              <w:rPr>
                <w:sz w:val="22"/>
                <w:szCs w:val="22"/>
              </w:rPr>
            </w:pPr>
          </w:p>
          <w:p w14:paraId="02ACC446" w14:textId="77777777" w:rsidR="00357CEC" w:rsidRPr="001300A9" w:rsidRDefault="00357CEC" w:rsidP="00357CEC">
            <w:pPr>
              <w:pStyle w:val="Default"/>
              <w:rPr>
                <w:sz w:val="22"/>
                <w:szCs w:val="22"/>
              </w:rPr>
            </w:pPr>
            <w:r w:rsidRPr="001300A9">
              <w:rPr>
                <w:sz w:val="22"/>
                <w:szCs w:val="22"/>
              </w:rPr>
              <w:t>4. Komisia prijme vykonávacie akty s cieľom stanoviť podrobné pravidlá týkajúce sa správy lodných spoločností riadiacimi orgánmi vo vzťahu k lodnej spoločnosti podľa tejto smernice. Uvedené vykonávacie akty sa prijímajú v súlade s postupom preskúmania uvedeným v článku 22a ods. 2.</w:t>
            </w:r>
          </w:p>
          <w:p w14:paraId="38F26847" w14:textId="77777777" w:rsidR="00357CEC" w:rsidRPr="001300A9" w:rsidRDefault="00357CEC" w:rsidP="00357CEC">
            <w:pPr>
              <w:pStyle w:val="Default"/>
              <w:rPr>
                <w:sz w:val="22"/>
                <w:szCs w:val="22"/>
              </w:rPr>
            </w:pPr>
          </w:p>
          <w:p w14:paraId="46974423" w14:textId="77777777" w:rsidR="00357CEC" w:rsidRPr="001300A9" w:rsidRDefault="00357CEC" w:rsidP="00357CEC">
            <w:pPr>
              <w:pStyle w:val="Default"/>
              <w:rPr>
                <w:i/>
                <w:sz w:val="22"/>
                <w:szCs w:val="22"/>
              </w:rPr>
            </w:pPr>
            <w:r w:rsidRPr="001300A9">
              <w:rPr>
                <w:i/>
                <w:sz w:val="22"/>
                <w:szCs w:val="22"/>
              </w:rPr>
              <w:t xml:space="preserve">Článok 3gg </w:t>
            </w:r>
          </w:p>
          <w:p w14:paraId="341DC31D" w14:textId="77777777" w:rsidR="00357CEC" w:rsidRPr="001300A9" w:rsidRDefault="00357CEC" w:rsidP="00357CEC">
            <w:pPr>
              <w:pStyle w:val="Default"/>
              <w:rPr>
                <w:i/>
                <w:sz w:val="22"/>
                <w:szCs w:val="22"/>
              </w:rPr>
            </w:pPr>
            <w:r w:rsidRPr="001300A9">
              <w:rPr>
                <w:i/>
                <w:sz w:val="22"/>
                <w:szCs w:val="22"/>
              </w:rPr>
              <w:t>Podávanie správ a preskúmanie</w:t>
            </w:r>
          </w:p>
          <w:p w14:paraId="74D3058D" w14:textId="77777777" w:rsidR="00357CEC" w:rsidRPr="001300A9" w:rsidRDefault="00357CEC" w:rsidP="00357CEC">
            <w:pPr>
              <w:pStyle w:val="Default"/>
              <w:rPr>
                <w:sz w:val="22"/>
                <w:szCs w:val="22"/>
              </w:rPr>
            </w:pPr>
            <w:r w:rsidRPr="001300A9">
              <w:rPr>
                <w:sz w:val="22"/>
                <w:szCs w:val="22"/>
              </w:rPr>
              <w:t>1. Ak Medzinárodná námorná organizácia (ďalej len „IMO“) prijme globálne trhové opatrenie na zníženie emisií skleníkových plynov z námornej dopravy, Komisia preskúma túto smernicu s prihliadnutím na uvedené prijaté opatrenie.</w:t>
            </w:r>
          </w:p>
          <w:p w14:paraId="5E88E024" w14:textId="77777777" w:rsidR="00357CEC" w:rsidRPr="001300A9" w:rsidRDefault="00357CEC" w:rsidP="00357CEC">
            <w:pPr>
              <w:pStyle w:val="Default"/>
              <w:rPr>
                <w:sz w:val="22"/>
                <w:szCs w:val="22"/>
              </w:rPr>
            </w:pPr>
          </w:p>
          <w:p w14:paraId="440BB0E6" w14:textId="77777777" w:rsidR="00357CEC" w:rsidRPr="001300A9" w:rsidRDefault="00357CEC" w:rsidP="00357CEC">
            <w:pPr>
              <w:pStyle w:val="Default"/>
              <w:rPr>
                <w:sz w:val="22"/>
                <w:szCs w:val="22"/>
              </w:rPr>
            </w:pPr>
            <w:r w:rsidRPr="001300A9">
              <w:rPr>
                <w:sz w:val="22"/>
                <w:szCs w:val="22"/>
              </w:rPr>
              <w:lastRenderedPageBreak/>
              <w:t>Na uvedený účel Komisia predloží správu Európskemu parlamentu a Rade do 18 mesiacov od prijatia takéhoto globálneho trhového opatrenia a predtým, ako sa začne uplatňovať. V tejto správe Komisia preskúma globálne trhové opatrenie, pokiaľ ide o:</w:t>
            </w:r>
          </w:p>
          <w:p w14:paraId="0F8E5002" w14:textId="77777777" w:rsidR="00357CEC" w:rsidRPr="001300A9" w:rsidRDefault="00357CEC" w:rsidP="00357CEC">
            <w:pPr>
              <w:pStyle w:val="Default"/>
              <w:rPr>
                <w:sz w:val="22"/>
                <w:szCs w:val="22"/>
              </w:rPr>
            </w:pPr>
            <w:r w:rsidRPr="001300A9">
              <w:rPr>
                <w:sz w:val="22"/>
                <w:szCs w:val="22"/>
              </w:rPr>
              <w:t>a) jeho ambície vzhľadom na ciele Parížskej dohody;</w:t>
            </w:r>
          </w:p>
          <w:p w14:paraId="61A01825" w14:textId="77777777" w:rsidR="00357CEC" w:rsidRPr="001300A9" w:rsidRDefault="00357CEC" w:rsidP="00357CEC">
            <w:pPr>
              <w:pStyle w:val="Default"/>
              <w:rPr>
                <w:sz w:val="22"/>
                <w:szCs w:val="22"/>
              </w:rPr>
            </w:pPr>
            <w:r w:rsidRPr="001300A9">
              <w:rPr>
                <w:sz w:val="22"/>
                <w:szCs w:val="22"/>
              </w:rPr>
              <w:t>b) jeho celkovú environmentálnu integritu, a to aj v porovnaní s ustanoveniami tejto smernice, ktoré sa vzťahujú na námornú dopravu; a</w:t>
            </w:r>
          </w:p>
          <w:p w14:paraId="55CB1EDA" w14:textId="77777777" w:rsidR="00357CEC" w:rsidRPr="001300A9" w:rsidRDefault="00357CEC" w:rsidP="00357CEC">
            <w:pPr>
              <w:pStyle w:val="Default"/>
              <w:rPr>
                <w:sz w:val="22"/>
                <w:szCs w:val="22"/>
              </w:rPr>
            </w:pPr>
            <w:r w:rsidRPr="001300A9">
              <w:rPr>
                <w:sz w:val="22"/>
                <w:szCs w:val="22"/>
              </w:rPr>
              <w:t>c) akúkoľvek otázku týkajúcu sa súladu medzi systémom EU ETS a týmto opatrením.</w:t>
            </w:r>
          </w:p>
          <w:p w14:paraId="6C6B821C" w14:textId="77777777" w:rsidR="00357CEC" w:rsidRPr="001300A9" w:rsidRDefault="00357CEC" w:rsidP="00357CEC">
            <w:pPr>
              <w:pStyle w:val="Default"/>
              <w:rPr>
                <w:sz w:val="22"/>
                <w:szCs w:val="22"/>
              </w:rPr>
            </w:pPr>
          </w:p>
          <w:p w14:paraId="736B621B" w14:textId="77777777" w:rsidR="00357CEC" w:rsidRPr="001300A9" w:rsidRDefault="00357CEC" w:rsidP="00357CEC">
            <w:pPr>
              <w:pStyle w:val="Default"/>
              <w:rPr>
                <w:sz w:val="22"/>
                <w:szCs w:val="22"/>
              </w:rPr>
            </w:pPr>
            <w:r w:rsidRPr="001300A9">
              <w:rPr>
                <w:sz w:val="22"/>
                <w:szCs w:val="22"/>
              </w:rPr>
              <w:t xml:space="preserve">V prípade potreby môže Komisia k správe uvedenej v druhom </w:t>
            </w:r>
            <w:proofErr w:type="spellStart"/>
            <w:r w:rsidRPr="001300A9">
              <w:rPr>
                <w:sz w:val="22"/>
                <w:szCs w:val="22"/>
              </w:rPr>
              <w:t>pododseku</w:t>
            </w:r>
            <w:proofErr w:type="spellEnd"/>
            <w:r w:rsidRPr="001300A9">
              <w:rPr>
                <w:sz w:val="22"/>
                <w:szCs w:val="22"/>
              </w:rPr>
              <w:t xml:space="preserve"> tohto odseku pripojiť legislatívny návrh na zmenu tejto smernice spôsobom, ktorý je v súlade s cieľom Únie v oblasti klímy do roku 2030 a s cieľom dosiahnuť klimatickú neutralitu stanovenú v nariadení (EÚ) 2021/1119, a s cieľom zachovať environmentálnu integritu a účinnosť opatrení Únie v oblasti klímy, aby sa zabezpečil súlad medzi vykonávaním globálneho trhového opatrenia a systémom EU ETS a zároveň sa zabránilo akémukoľvek výraznému dvojitému zaťaženiu.</w:t>
            </w:r>
          </w:p>
          <w:p w14:paraId="799FA269" w14:textId="77777777" w:rsidR="00357CEC" w:rsidRPr="001300A9" w:rsidRDefault="00357CEC" w:rsidP="00357CEC">
            <w:pPr>
              <w:pStyle w:val="Default"/>
              <w:rPr>
                <w:sz w:val="22"/>
                <w:szCs w:val="22"/>
              </w:rPr>
            </w:pPr>
          </w:p>
          <w:p w14:paraId="7C26990A" w14:textId="77777777" w:rsidR="00357CEC" w:rsidRPr="001300A9" w:rsidRDefault="00357CEC" w:rsidP="00357CEC">
            <w:pPr>
              <w:pStyle w:val="Default"/>
              <w:rPr>
                <w:sz w:val="22"/>
                <w:szCs w:val="22"/>
              </w:rPr>
            </w:pPr>
            <w:r w:rsidRPr="001300A9">
              <w:rPr>
                <w:sz w:val="22"/>
                <w:szCs w:val="22"/>
              </w:rPr>
              <w:t xml:space="preserve">2. Ak IMO do roku 2028 neprijme globálne trhové opatrenie na zníženie emisií skleníkových plynov z námornej dopravy v súlade s cieľmi Parížskej dohody a aspoň na úroveň porovnateľnú s úrovňou vyplývajúcou z opatrení Únie prijatých podľa tejto smernice, Komisia predloží Európskemu parlamentu a Rade správu, v ktorej preskúma potrebu uplatňovať požiadavky týkajúce sa prideľovania a odovzdávania kvót v súvislosti s viac ako 50 % </w:t>
            </w:r>
            <w:r w:rsidRPr="001300A9">
              <w:rPr>
                <w:sz w:val="22"/>
                <w:szCs w:val="22"/>
              </w:rPr>
              <w:lastRenderedPageBreak/>
              <w:t>emisií z lodí vykonávajúcich plavby medzi prístavom zastavenia podliehajúcim právomoci členského štátu a prístavom zastavenia mimo právomoci členského štátu, a to vzhľadom na ciele Parížskej dohody. V tejto správe Komisia posúdi najmä pokrok na úrovni IMO a preskúma, či má niektorá tretia krajina trhové opatrenie rovnocenné s touto smernicou, a posúdi riziko zvýšenia praktík zameraných na vyhýbanie sa povinnostiam, a to aj prechodom na iné druhy dopravy alebo presunom prístavných uzlov do prístavov mimo Únie.</w:t>
            </w:r>
          </w:p>
          <w:p w14:paraId="6FCA216C" w14:textId="77777777" w:rsidR="00357CEC" w:rsidRPr="001300A9" w:rsidRDefault="00357CEC" w:rsidP="00357CEC">
            <w:pPr>
              <w:pStyle w:val="Default"/>
              <w:rPr>
                <w:sz w:val="22"/>
                <w:szCs w:val="22"/>
              </w:rPr>
            </w:pPr>
          </w:p>
          <w:p w14:paraId="387111C3" w14:textId="77777777" w:rsidR="00357CEC" w:rsidRPr="001300A9" w:rsidRDefault="00357CEC" w:rsidP="00357CEC">
            <w:pPr>
              <w:pStyle w:val="Default"/>
              <w:rPr>
                <w:sz w:val="22"/>
                <w:szCs w:val="22"/>
              </w:rPr>
            </w:pPr>
            <w:r w:rsidRPr="001300A9">
              <w:rPr>
                <w:sz w:val="22"/>
                <w:szCs w:val="22"/>
              </w:rPr>
              <w:t xml:space="preserve">V prípade potreby je k správe uvedenej v prvom </w:t>
            </w:r>
            <w:proofErr w:type="spellStart"/>
            <w:r w:rsidRPr="001300A9">
              <w:rPr>
                <w:sz w:val="22"/>
                <w:szCs w:val="22"/>
              </w:rPr>
              <w:t>pododseku</w:t>
            </w:r>
            <w:proofErr w:type="spellEnd"/>
            <w:r w:rsidRPr="001300A9">
              <w:rPr>
                <w:sz w:val="22"/>
                <w:szCs w:val="22"/>
              </w:rPr>
              <w:t xml:space="preserve"> pripojený legislatívny návrh na zmenu tejto smernice.</w:t>
            </w:r>
          </w:p>
          <w:p w14:paraId="64C34479" w14:textId="77777777" w:rsidR="00357CEC" w:rsidRPr="001300A9" w:rsidRDefault="00357CEC" w:rsidP="00357CEC">
            <w:pPr>
              <w:pStyle w:val="Default"/>
              <w:rPr>
                <w:sz w:val="22"/>
                <w:szCs w:val="22"/>
              </w:rPr>
            </w:pPr>
          </w:p>
          <w:p w14:paraId="3226BF9B" w14:textId="77777777" w:rsidR="00357CEC" w:rsidRPr="001300A9" w:rsidRDefault="00357CEC" w:rsidP="00357CEC">
            <w:pPr>
              <w:pStyle w:val="Default"/>
              <w:rPr>
                <w:sz w:val="22"/>
                <w:szCs w:val="22"/>
              </w:rPr>
            </w:pPr>
            <w:r w:rsidRPr="001300A9">
              <w:rPr>
                <w:sz w:val="22"/>
                <w:szCs w:val="22"/>
              </w:rPr>
              <w:t xml:space="preserve">3. Komisia monitoruje vykonávanie tejto kapitoly v súvislosti s námornou dopravou, najmä s cieľom odhaliť správanie zamerané na vyhýbanie sa povinnostiam s cieľom zabrániť takémuto správaniu v počiatočnom štádiu, vrátane zohľadnenia najvzdialenejších regiónov, a každé dva roky podáva správy od ... [rok nasledujúci po roku nadobudnutí účinnosti tejto pozmeňujúcej smernice] o vykonávaní tejto kapitoly v súvislosti s námornou dopravou a potenciálnych trendoch týkajúcich sa lodných spoločností, ktoré sa snažia obísť požiadavky tejto smernice. Komisia monitoruje aj vplyvy týkajúce sa okrem iného možného zvýšenia nákladov na dopravu, narušenia trhu a zmien v prístavnej doprave, ako sú úniky v prístavoch a presuny centier prekládky, celkovej konkurencieschopnosti námorného odvetvia v členských štátoch, a najmä vplyvov na tie služby lodnej dopravy, ktoré predstavujú základné služby územnej kontinuity. Vo vhodných </w:t>
            </w:r>
            <w:r w:rsidRPr="001300A9">
              <w:rPr>
                <w:sz w:val="22"/>
                <w:szCs w:val="22"/>
              </w:rPr>
              <w:lastRenderedPageBreak/>
              <w:t>prípadoch Komisia navrhne opatrenia na zabezpečenie účinného vykonávania tejto kapitoly v súvislosti s námornou dopravou, najmä opatrenia na riešenie týchto trendov týkajúcich sa lodných spoločností, ktoré sa snažia obísť požiadavky tejto smernice.</w:t>
            </w:r>
          </w:p>
          <w:p w14:paraId="13917B7F" w14:textId="77777777" w:rsidR="00357CEC" w:rsidRPr="001300A9" w:rsidRDefault="00357CEC" w:rsidP="00357CEC">
            <w:pPr>
              <w:pStyle w:val="Default"/>
              <w:rPr>
                <w:sz w:val="22"/>
                <w:szCs w:val="22"/>
              </w:rPr>
            </w:pPr>
          </w:p>
          <w:p w14:paraId="4F3B76FA" w14:textId="77777777" w:rsidR="00357CEC" w:rsidRPr="001300A9" w:rsidRDefault="00357CEC" w:rsidP="00357CEC">
            <w:pPr>
              <w:pStyle w:val="Default"/>
              <w:rPr>
                <w:sz w:val="22"/>
                <w:szCs w:val="22"/>
              </w:rPr>
            </w:pPr>
            <w:r w:rsidRPr="001300A9">
              <w:rPr>
                <w:sz w:val="22"/>
                <w:szCs w:val="22"/>
              </w:rPr>
              <w:t xml:space="preserve">4. Komisia najneskôr do 30. septembra 2028 posúdi vhodnosť predĺženia uplatňovania článku 3ga ods. 3 druhého </w:t>
            </w:r>
            <w:proofErr w:type="spellStart"/>
            <w:r w:rsidRPr="001300A9">
              <w:rPr>
                <w:sz w:val="22"/>
                <w:szCs w:val="22"/>
              </w:rPr>
              <w:t>pododseku</w:t>
            </w:r>
            <w:proofErr w:type="spellEnd"/>
            <w:r w:rsidRPr="001300A9">
              <w:rPr>
                <w:sz w:val="22"/>
                <w:szCs w:val="22"/>
              </w:rPr>
              <w:t xml:space="preserve"> na obdobie po 31. decembri 2030 a vo vhodných prípadoch predloží na tento účel legislatívny návrh.</w:t>
            </w:r>
          </w:p>
          <w:p w14:paraId="3750255E" w14:textId="77777777" w:rsidR="00357CEC" w:rsidRPr="001300A9" w:rsidRDefault="00357CEC" w:rsidP="00357CEC">
            <w:pPr>
              <w:pStyle w:val="Default"/>
              <w:rPr>
                <w:sz w:val="22"/>
                <w:szCs w:val="22"/>
              </w:rPr>
            </w:pPr>
          </w:p>
          <w:p w14:paraId="18B66B1B" w14:textId="77777777" w:rsidR="00357CEC" w:rsidRPr="001300A9" w:rsidRDefault="00357CEC" w:rsidP="00357CEC">
            <w:pPr>
              <w:pStyle w:val="Default"/>
              <w:rPr>
                <w:sz w:val="22"/>
                <w:szCs w:val="22"/>
              </w:rPr>
            </w:pPr>
            <w:r w:rsidRPr="001300A9">
              <w:rPr>
                <w:sz w:val="22"/>
                <w:szCs w:val="22"/>
              </w:rPr>
              <w:t xml:space="preserve">5. Komisia najneskôr do 31. decembra 2026 predloží Európskemu parlamentu a Rade správu, v ktorej preskúma uskutočniteľnosť a hospodárske, environmentálne a sociálne vplyvy začlenenia emisií z lodí, vrátane </w:t>
            </w:r>
            <w:proofErr w:type="spellStart"/>
            <w:r w:rsidRPr="001300A9">
              <w:rPr>
                <w:sz w:val="22"/>
                <w:szCs w:val="22"/>
              </w:rPr>
              <w:t>príbrežných</w:t>
            </w:r>
            <w:proofErr w:type="spellEnd"/>
            <w:r w:rsidRPr="001300A9">
              <w:rPr>
                <w:sz w:val="22"/>
                <w:szCs w:val="22"/>
              </w:rPr>
              <w:t xml:space="preserve"> lodí, s hrubou priestornosťou menšou ako 5 000 ton, ale nie menšou ako 400 ton, do tejto smernice, vychádzajúc pritom najmä z analýzy priloženej k preskúmaniu nariadenia (EÚ) 2015/757, ktoré sa má uskutočniť do 31. decembra 2024.</w:t>
            </w:r>
          </w:p>
          <w:p w14:paraId="2937AA20" w14:textId="77777777" w:rsidR="00357CEC" w:rsidRPr="001300A9" w:rsidRDefault="00357CEC" w:rsidP="00357CEC">
            <w:pPr>
              <w:pStyle w:val="Default"/>
              <w:rPr>
                <w:sz w:val="22"/>
                <w:szCs w:val="22"/>
              </w:rPr>
            </w:pPr>
          </w:p>
          <w:p w14:paraId="578653C2" w14:textId="77777777" w:rsidR="00357CEC" w:rsidRPr="001300A9" w:rsidRDefault="00357CEC" w:rsidP="00357CEC">
            <w:pPr>
              <w:pStyle w:val="Default"/>
              <w:rPr>
                <w:sz w:val="22"/>
                <w:szCs w:val="22"/>
              </w:rPr>
            </w:pPr>
            <w:r w:rsidRPr="001300A9">
              <w:rPr>
                <w:sz w:val="22"/>
                <w:szCs w:val="22"/>
              </w:rPr>
              <w:t xml:space="preserve">V uvedenej správe sa posúdia aj prepojenia medzi touto smernicou a nariadením (EÚ) 2015/757 a využijú sa skúsenosti získané z jej uplatňovania. V uvedenej správe Komisia preskúma aj to, ako sa môže touto smernicou čo najlepšie zohľadniť využívanie lodných palív z obnoviteľných zdrojov a </w:t>
            </w:r>
            <w:proofErr w:type="spellStart"/>
            <w:r w:rsidRPr="001300A9">
              <w:rPr>
                <w:sz w:val="22"/>
                <w:szCs w:val="22"/>
              </w:rPr>
              <w:t>nízkouhlíkových</w:t>
            </w:r>
            <w:proofErr w:type="spellEnd"/>
            <w:r w:rsidRPr="001300A9">
              <w:rPr>
                <w:sz w:val="22"/>
                <w:szCs w:val="22"/>
              </w:rPr>
              <w:t xml:space="preserve"> zdrojov, a to na základe životného cyklu. Vo vhodných prípadoch sa k správe môžu pripojiť legislatívne návrhy.</w:t>
            </w:r>
          </w:p>
        </w:tc>
        <w:tc>
          <w:tcPr>
            <w:tcW w:w="567" w:type="dxa"/>
          </w:tcPr>
          <w:p w14:paraId="574813EA" w14:textId="77777777" w:rsidR="00357CEC" w:rsidRPr="001300A9" w:rsidRDefault="00357CEC" w:rsidP="00357CEC">
            <w:pPr>
              <w:pStyle w:val="Default"/>
              <w:rPr>
                <w:sz w:val="22"/>
                <w:szCs w:val="22"/>
              </w:rPr>
            </w:pPr>
            <w:r w:rsidRPr="001300A9">
              <w:rPr>
                <w:sz w:val="22"/>
                <w:szCs w:val="22"/>
              </w:rPr>
              <w:lastRenderedPageBreak/>
              <w:t>N</w:t>
            </w:r>
          </w:p>
          <w:p w14:paraId="0330DB11" w14:textId="77777777" w:rsidR="00357CEC" w:rsidRPr="001300A9" w:rsidRDefault="00357CEC" w:rsidP="00357CEC">
            <w:pPr>
              <w:pStyle w:val="Default"/>
              <w:rPr>
                <w:sz w:val="22"/>
                <w:szCs w:val="22"/>
              </w:rPr>
            </w:pPr>
          </w:p>
          <w:p w14:paraId="0450D39A" w14:textId="77777777" w:rsidR="00357CEC" w:rsidRPr="001300A9" w:rsidRDefault="00357CEC" w:rsidP="00357CEC">
            <w:pPr>
              <w:pStyle w:val="Default"/>
              <w:rPr>
                <w:sz w:val="22"/>
                <w:szCs w:val="22"/>
              </w:rPr>
            </w:pPr>
          </w:p>
          <w:p w14:paraId="2BD265CF" w14:textId="77777777" w:rsidR="00357CEC" w:rsidRPr="001300A9" w:rsidRDefault="00357CEC" w:rsidP="00357CEC">
            <w:pPr>
              <w:pStyle w:val="Default"/>
              <w:rPr>
                <w:sz w:val="22"/>
                <w:szCs w:val="22"/>
              </w:rPr>
            </w:pPr>
          </w:p>
          <w:p w14:paraId="41987CC6" w14:textId="77777777" w:rsidR="00357CEC" w:rsidRPr="001300A9" w:rsidRDefault="00357CEC" w:rsidP="00357CEC">
            <w:pPr>
              <w:pStyle w:val="Default"/>
              <w:rPr>
                <w:sz w:val="22"/>
                <w:szCs w:val="22"/>
              </w:rPr>
            </w:pPr>
          </w:p>
          <w:p w14:paraId="11F78692" w14:textId="77777777" w:rsidR="00357CEC" w:rsidRPr="001300A9" w:rsidRDefault="00357CEC" w:rsidP="00357CEC">
            <w:pPr>
              <w:pStyle w:val="Default"/>
              <w:rPr>
                <w:sz w:val="22"/>
                <w:szCs w:val="22"/>
              </w:rPr>
            </w:pPr>
          </w:p>
          <w:p w14:paraId="5FF24789" w14:textId="77777777" w:rsidR="00357CEC" w:rsidRPr="001300A9" w:rsidRDefault="00357CEC" w:rsidP="00357CEC">
            <w:pPr>
              <w:pStyle w:val="Default"/>
              <w:rPr>
                <w:sz w:val="22"/>
                <w:szCs w:val="22"/>
              </w:rPr>
            </w:pPr>
          </w:p>
          <w:p w14:paraId="6CAF2AF5" w14:textId="77777777" w:rsidR="00357CEC" w:rsidRPr="001300A9" w:rsidRDefault="00357CEC" w:rsidP="00357CEC">
            <w:pPr>
              <w:pStyle w:val="Default"/>
              <w:rPr>
                <w:sz w:val="22"/>
                <w:szCs w:val="22"/>
              </w:rPr>
            </w:pPr>
          </w:p>
          <w:p w14:paraId="170FF131" w14:textId="77777777" w:rsidR="005900E4" w:rsidRPr="001300A9" w:rsidRDefault="005900E4" w:rsidP="00357CEC">
            <w:pPr>
              <w:pStyle w:val="Default"/>
              <w:rPr>
                <w:sz w:val="22"/>
                <w:szCs w:val="22"/>
              </w:rPr>
            </w:pPr>
          </w:p>
          <w:p w14:paraId="59A4A5C3" w14:textId="77777777" w:rsidR="005900E4" w:rsidRPr="001300A9" w:rsidRDefault="005900E4" w:rsidP="00357CEC">
            <w:pPr>
              <w:pStyle w:val="Default"/>
              <w:rPr>
                <w:sz w:val="22"/>
                <w:szCs w:val="22"/>
              </w:rPr>
            </w:pPr>
          </w:p>
          <w:p w14:paraId="1C781630" w14:textId="77777777" w:rsidR="005900E4" w:rsidRPr="001300A9" w:rsidRDefault="005900E4" w:rsidP="00357CEC">
            <w:pPr>
              <w:pStyle w:val="Default"/>
              <w:rPr>
                <w:sz w:val="22"/>
                <w:szCs w:val="22"/>
              </w:rPr>
            </w:pPr>
          </w:p>
          <w:p w14:paraId="45F7FBF0" w14:textId="77777777" w:rsidR="005900E4" w:rsidRPr="001300A9" w:rsidRDefault="005900E4" w:rsidP="00357CEC">
            <w:pPr>
              <w:pStyle w:val="Default"/>
              <w:rPr>
                <w:sz w:val="22"/>
                <w:szCs w:val="22"/>
              </w:rPr>
            </w:pPr>
          </w:p>
          <w:p w14:paraId="5589117C" w14:textId="77777777" w:rsidR="005900E4" w:rsidRPr="001300A9" w:rsidRDefault="005900E4" w:rsidP="00357CEC">
            <w:pPr>
              <w:pStyle w:val="Default"/>
              <w:rPr>
                <w:sz w:val="22"/>
                <w:szCs w:val="22"/>
              </w:rPr>
            </w:pPr>
          </w:p>
          <w:p w14:paraId="0670A016" w14:textId="77777777" w:rsidR="005900E4" w:rsidRPr="001300A9" w:rsidRDefault="005900E4" w:rsidP="00357CEC">
            <w:pPr>
              <w:pStyle w:val="Default"/>
              <w:rPr>
                <w:sz w:val="22"/>
                <w:szCs w:val="22"/>
              </w:rPr>
            </w:pPr>
          </w:p>
          <w:p w14:paraId="29BA1DE5" w14:textId="77777777" w:rsidR="005900E4" w:rsidRPr="001300A9" w:rsidRDefault="005900E4" w:rsidP="00357CEC">
            <w:pPr>
              <w:pStyle w:val="Default"/>
              <w:rPr>
                <w:sz w:val="22"/>
                <w:szCs w:val="22"/>
              </w:rPr>
            </w:pPr>
          </w:p>
          <w:p w14:paraId="6419B2FB" w14:textId="77777777" w:rsidR="005900E4" w:rsidRPr="001300A9" w:rsidRDefault="005900E4" w:rsidP="00357CEC">
            <w:pPr>
              <w:pStyle w:val="Default"/>
              <w:rPr>
                <w:sz w:val="22"/>
                <w:szCs w:val="22"/>
              </w:rPr>
            </w:pPr>
          </w:p>
          <w:p w14:paraId="48F42A63" w14:textId="77777777" w:rsidR="005900E4" w:rsidRPr="001300A9" w:rsidRDefault="005900E4" w:rsidP="00357CEC">
            <w:pPr>
              <w:pStyle w:val="Default"/>
              <w:rPr>
                <w:sz w:val="22"/>
                <w:szCs w:val="22"/>
              </w:rPr>
            </w:pPr>
          </w:p>
          <w:p w14:paraId="5A0B04AF" w14:textId="77777777" w:rsidR="005900E4" w:rsidRPr="001300A9" w:rsidRDefault="005900E4" w:rsidP="00357CEC">
            <w:pPr>
              <w:pStyle w:val="Default"/>
              <w:rPr>
                <w:sz w:val="22"/>
                <w:szCs w:val="22"/>
              </w:rPr>
            </w:pPr>
          </w:p>
          <w:p w14:paraId="73BF9CEA" w14:textId="77777777" w:rsidR="005900E4" w:rsidRPr="001300A9" w:rsidRDefault="005900E4" w:rsidP="00357CEC">
            <w:pPr>
              <w:pStyle w:val="Default"/>
              <w:rPr>
                <w:sz w:val="22"/>
                <w:szCs w:val="22"/>
              </w:rPr>
            </w:pPr>
          </w:p>
          <w:p w14:paraId="18F3BA11" w14:textId="77777777" w:rsidR="005900E4" w:rsidRPr="001300A9" w:rsidRDefault="005900E4" w:rsidP="00357CEC">
            <w:pPr>
              <w:pStyle w:val="Default"/>
              <w:rPr>
                <w:sz w:val="22"/>
                <w:szCs w:val="22"/>
              </w:rPr>
            </w:pPr>
          </w:p>
          <w:p w14:paraId="5935D7CB" w14:textId="77777777" w:rsidR="005900E4" w:rsidRPr="001300A9" w:rsidRDefault="005900E4" w:rsidP="00357CEC">
            <w:pPr>
              <w:pStyle w:val="Default"/>
              <w:rPr>
                <w:sz w:val="22"/>
                <w:szCs w:val="22"/>
              </w:rPr>
            </w:pPr>
          </w:p>
          <w:p w14:paraId="0CCFCE5A" w14:textId="6F70470D" w:rsidR="21A61628" w:rsidRDefault="21A61628" w:rsidP="21A61628">
            <w:pPr>
              <w:pStyle w:val="Default"/>
              <w:rPr>
                <w:sz w:val="22"/>
                <w:szCs w:val="22"/>
              </w:rPr>
            </w:pPr>
          </w:p>
          <w:p w14:paraId="04CF5E5F" w14:textId="7D93D6B8" w:rsidR="21A61628" w:rsidRDefault="21A61628" w:rsidP="21A61628">
            <w:pPr>
              <w:pStyle w:val="Default"/>
              <w:rPr>
                <w:sz w:val="22"/>
                <w:szCs w:val="22"/>
              </w:rPr>
            </w:pPr>
          </w:p>
          <w:p w14:paraId="1E055F08" w14:textId="18750D2B" w:rsidR="00357CEC" w:rsidRPr="001300A9" w:rsidRDefault="00357CEC" w:rsidP="00357CEC">
            <w:pPr>
              <w:pStyle w:val="Default"/>
              <w:rPr>
                <w:sz w:val="22"/>
                <w:szCs w:val="22"/>
              </w:rPr>
            </w:pPr>
            <w:proofErr w:type="spellStart"/>
            <w:r w:rsidRPr="001300A9">
              <w:rPr>
                <w:sz w:val="22"/>
                <w:szCs w:val="22"/>
              </w:rPr>
              <w:t>n.a</w:t>
            </w:r>
            <w:proofErr w:type="spellEnd"/>
            <w:r w:rsidRPr="001300A9">
              <w:rPr>
                <w:sz w:val="22"/>
                <w:szCs w:val="22"/>
              </w:rPr>
              <w:t>.</w:t>
            </w:r>
          </w:p>
          <w:p w14:paraId="4F1B7C7D" w14:textId="77777777" w:rsidR="00357CEC" w:rsidRPr="001300A9" w:rsidRDefault="00357CEC" w:rsidP="00357CEC">
            <w:pPr>
              <w:pStyle w:val="Default"/>
              <w:rPr>
                <w:sz w:val="22"/>
                <w:szCs w:val="22"/>
              </w:rPr>
            </w:pPr>
          </w:p>
          <w:p w14:paraId="6C83B0CB" w14:textId="77777777" w:rsidR="00357CEC" w:rsidRPr="001300A9" w:rsidRDefault="00357CEC" w:rsidP="00357CEC">
            <w:pPr>
              <w:pStyle w:val="Default"/>
              <w:rPr>
                <w:sz w:val="22"/>
                <w:szCs w:val="22"/>
              </w:rPr>
            </w:pPr>
          </w:p>
          <w:p w14:paraId="13225B21" w14:textId="77777777" w:rsidR="00357CEC" w:rsidRPr="001300A9" w:rsidRDefault="00357CEC" w:rsidP="00357CEC">
            <w:pPr>
              <w:pStyle w:val="Default"/>
              <w:rPr>
                <w:sz w:val="22"/>
                <w:szCs w:val="22"/>
              </w:rPr>
            </w:pPr>
          </w:p>
          <w:p w14:paraId="280EAC60" w14:textId="77777777" w:rsidR="00357CEC" w:rsidRPr="001300A9" w:rsidRDefault="00357CEC" w:rsidP="00357CEC">
            <w:pPr>
              <w:pStyle w:val="Default"/>
              <w:rPr>
                <w:sz w:val="22"/>
                <w:szCs w:val="22"/>
              </w:rPr>
            </w:pPr>
          </w:p>
          <w:p w14:paraId="55F798DE" w14:textId="77777777" w:rsidR="00357CEC" w:rsidRPr="001300A9" w:rsidRDefault="00357CEC" w:rsidP="00357CEC">
            <w:pPr>
              <w:pStyle w:val="Default"/>
              <w:rPr>
                <w:sz w:val="22"/>
                <w:szCs w:val="22"/>
              </w:rPr>
            </w:pPr>
          </w:p>
          <w:p w14:paraId="16B06D1E" w14:textId="77777777" w:rsidR="00357CEC" w:rsidRPr="001300A9" w:rsidRDefault="00357CEC" w:rsidP="00357CEC">
            <w:pPr>
              <w:pStyle w:val="Default"/>
              <w:rPr>
                <w:sz w:val="22"/>
                <w:szCs w:val="22"/>
              </w:rPr>
            </w:pPr>
          </w:p>
          <w:p w14:paraId="0956E407" w14:textId="77777777" w:rsidR="00357CEC" w:rsidRPr="001300A9" w:rsidRDefault="00357CEC" w:rsidP="00357CEC">
            <w:pPr>
              <w:pStyle w:val="Default"/>
              <w:rPr>
                <w:sz w:val="22"/>
                <w:szCs w:val="22"/>
              </w:rPr>
            </w:pPr>
          </w:p>
          <w:p w14:paraId="6576A8FF" w14:textId="77777777" w:rsidR="00357CEC" w:rsidRPr="001300A9" w:rsidRDefault="00357CEC" w:rsidP="00357CEC">
            <w:pPr>
              <w:pStyle w:val="Default"/>
              <w:rPr>
                <w:sz w:val="22"/>
                <w:szCs w:val="22"/>
              </w:rPr>
            </w:pPr>
          </w:p>
          <w:p w14:paraId="143E3148" w14:textId="77777777" w:rsidR="00357CEC" w:rsidRPr="001300A9" w:rsidRDefault="00357CEC" w:rsidP="00357CEC">
            <w:pPr>
              <w:pStyle w:val="Default"/>
              <w:rPr>
                <w:sz w:val="22"/>
                <w:szCs w:val="22"/>
              </w:rPr>
            </w:pPr>
          </w:p>
          <w:p w14:paraId="30F54730" w14:textId="77777777" w:rsidR="00357CEC" w:rsidRPr="001300A9" w:rsidRDefault="00357CEC" w:rsidP="00357CEC">
            <w:pPr>
              <w:pStyle w:val="Default"/>
              <w:rPr>
                <w:sz w:val="22"/>
                <w:szCs w:val="22"/>
              </w:rPr>
            </w:pPr>
          </w:p>
          <w:p w14:paraId="4CB8C079" w14:textId="77777777" w:rsidR="00357CEC" w:rsidRPr="001300A9" w:rsidRDefault="00357CEC" w:rsidP="00357CEC">
            <w:pPr>
              <w:pStyle w:val="Default"/>
              <w:rPr>
                <w:sz w:val="22"/>
                <w:szCs w:val="22"/>
              </w:rPr>
            </w:pPr>
          </w:p>
          <w:p w14:paraId="66BCB919" w14:textId="77777777" w:rsidR="00357CEC" w:rsidRPr="001300A9" w:rsidRDefault="00357CEC" w:rsidP="00357CEC">
            <w:pPr>
              <w:pStyle w:val="Default"/>
              <w:rPr>
                <w:sz w:val="22"/>
                <w:szCs w:val="22"/>
              </w:rPr>
            </w:pPr>
          </w:p>
          <w:p w14:paraId="7115D76F" w14:textId="77777777" w:rsidR="00357CEC" w:rsidRPr="001300A9" w:rsidRDefault="00357CEC" w:rsidP="00357CEC">
            <w:pPr>
              <w:pStyle w:val="Default"/>
              <w:rPr>
                <w:sz w:val="22"/>
                <w:szCs w:val="22"/>
              </w:rPr>
            </w:pPr>
          </w:p>
          <w:p w14:paraId="6DF6B7FB" w14:textId="77777777" w:rsidR="005900E4" w:rsidRPr="001300A9" w:rsidRDefault="005900E4" w:rsidP="00357CEC">
            <w:pPr>
              <w:pStyle w:val="Default"/>
              <w:rPr>
                <w:sz w:val="22"/>
                <w:szCs w:val="22"/>
              </w:rPr>
            </w:pPr>
          </w:p>
          <w:p w14:paraId="2CFCFF5D" w14:textId="77777777" w:rsidR="005900E4" w:rsidRPr="001300A9" w:rsidRDefault="005900E4" w:rsidP="00357CEC">
            <w:pPr>
              <w:pStyle w:val="Default"/>
              <w:rPr>
                <w:sz w:val="22"/>
                <w:szCs w:val="22"/>
              </w:rPr>
            </w:pPr>
          </w:p>
          <w:p w14:paraId="00DD4AE9" w14:textId="77777777" w:rsidR="005900E4" w:rsidRPr="001300A9" w:rsidRDefault="005900E4" w:rsidP="00357CEC">
            <w:pPr>
              <w:pStyle w:val="Default"/>
              <w:rPr>
                <w:sz w:val="22"/>
                <w:szCs w:val="22"/>
              </w:rPr>
            </w:pPr>
          </w:p>
          <w:p w14:paraId="448F81FE" w14:textId="77777777" w:rsidR="005900E4" w:rsidRPr="001300A9" w:rsidRDefault="005900E4" w:rsidP="00357CEC">
            <w:pPr>
              <w:pStyle w:val="Default"/>
              <w:rPr>
                <w:sz w:val="22"/>
                <w:szCs w:val="22"/>
              </w:rPr>
            </w:pPr>
          </w:p>
          <w:p w14:paraId="507AD3B3" w14:textId="77777777" w:rsidR="005900E4" w:rsidRPr="001300A9" w:rsidRDefault="005900E4" w:rsidP="00357CEC">
            <w:pPr>
              <w:pStyle w:val="Default"/>
              <w:rPr>
                <w:sz w:val="22"/>
                <w:szCs w:val="22"/>
              </w:rPr>
            </w:pPr>
          </w:p>
          <w:p w14:paraId="13186AF3" w14:textId="77777777" w:rsidR="005900E4" w:rsidRPr="001300A9" w:rsidRDefault="005900E4" w:rsidP="00357CEC">
            <w:pPr>
              <w:pStyle w:val="Default"/>
              <w:rPr>
                <w:sz w:val="22"/>
                <w:szCs w:val="22"/>
              </w:rPr>
            </w:pPr>
          </w:p>
          <w:p w14:paraId="2ACB957D" w14:textId="77777777" w:rsidR="005900E4" w:rsidRPr="001300A9" w:rsidRDefault="005900E4" w:rsidP="00357CEC">
            <w:pPr>
              <w:pStyle w:val="Default"/>
              <w:rPr>
                <w:sz w:val="22"/>
                <w:szCs w:val="22"/>
              </w:rPr>
            </w:pPr>
          </w:p>
          <w:p w14:paraId="5F32B280" w14:textId="77777777" w:rsidR="005900E4" w:rsidRPr="001300A9" w:rsidRDefault="005900E4" w:rsidP="00357CEC">
            <w:pPr>
              <w:pStyle w:val="Default"/>
              <w:rPr>
                <w:sz w:val="22"/>
                <w:szCs w:val="22"/>
              </w:rPr>
            </w:pPr>
          </w:p>
          <w:p w14:paraId="36F6CD64" w14:textId="77777777" w:rsidR="005900E4" w:rsidRPr="001300A9" w:rsidRDefault="005900E4" w:rsidP="00357CEC">
            <w:pPr>
              <w:pStyle w:val="Default"/>
              <w:rPr>
                <w:sz w:val="22"/>
                <w:szCs w:val="22"/>
              </w:rPr>
            </w:pPr>
          </w:p>
          <w:p w14:paraId="35323697" w14:textId="77777777" w:rsidR="005900E4" w:rsidRPr="001300A9" w:rsidRDefault="005900E4" w:rsidP="00357CEC">
            <w:pPr>
              <w:pStyle w:val="Default"/>
              <w:rPr>
                <w:sz w:val="22"/>
                <w:szCs w:val="22"/>
              </w:rPr>
            </w:pPr>
          </w:p>
          <w:p w14:paraId="626520B6" w14:textId="77777777" w:rsidR="005900E4" w:rsidRPr="001300A9" w:rsidRDefault="005900E4" w:rsidP="00357CEC">
            <w:pPr>
              <w:pStyle w:val="Default"/>
              <w:rPr>
                <w:sz w:val="22"/>
                <w:szCs w:val="22"/>
              </w:rPr>
            </w:pPr>
          </w:p>
          <w:p w14:paraId="5CA4C87F" w14:textId="77777777" w:rsidR="005900E4" w:rsidRPr="001300A9" w:rsidRDefault="005900E4" w:rsidP="00357CEC">
            <w:pPr>
              <w:pStyle w:val="Default"/>
              <w:rPr>
                <w:sz w:val="22"/>
                <w:szCs w:val="22"/>
              </w:rPr>
            </w:pPr>
          </w:p>
          <w:p w14:paraId="38AC9CEF" w14:textId="77777777" w:rsidR="005900E4" w:rsidRPr="001300A9" w:rsidRDefault="005900E4" w:rsidP="00357CEC">
            <w:pPr>
              <w:pStyle w:val="Default"/>
              <w:rPr>
                <w:sz w:val="22"/>
                <w:szCs w:val="22"/>
              </w:rPr>
            </w:pPr>
          </w:p>
          <w:p w14:paraId="2A9D7258" w14:textId="762EF76E" w:rsidR="003367CB" w:rsidRPr="001300A9" w:rsidRDefault="003367CB" w:rsidP="00357CEC">
            <w:pPr>
              <w:pStyle w:val="Default"/>
              <w:rPr>
                <w:sz w:val="22"/>
                <w:szCs w:val="22"/>
              </w:rPr>
            </w:pPr>
          </w:p>
          <w:p w14:paraId="06471A81" w14:textId="77777777" w:rsidR="00357CEC" w:rsidRPr="001300A9" w:rsidRDefault="00357CEC" w:rsidP="00357CEC">
            <w:pPr>
              <w:pStyle w:val="Default"/>
              <w:rPr>
                <w:sz w:val="22"/>
                <w:szCs w:val="22"/>
              </w:rPr>
            </w:pPr>
            <w:proofErr w:type="spellStart"/>
            <w:r w:rsidRPr="001300A9">
              <w:rPr>
                <w:sz w:val="22"/>
                <w:szCs w:val="22"/>
              </w:rPr>
              <w:t>n.a</w:t>
            </w:r>
            <w:proofErr w:type="spellEnd"/>
            <w:r w:rsidRPr="001300A9">
              <w:rPr>
                <w:sz w:val="22"/>
                <w:szCs w:val="22"/>
              </w:rPr>
              <w:t>.</w:t>
            </w:r>
          </w:p>
          <w:p w14:paraId="70D080C8" w14:textId="77777777" w:rsidR="00357CEC" w:rsidRPr="001300A9" w:rsidRDefault="00357CEC" w:rsidP="00357CEC">
            <w:pPr>
              <w:pStyle w:val="Default"/>
              <w:rPr>
                <w:sz w:val="22"/>
                <w:szCs w:val="22"/>
              </w:rPr>
            </w:pPr>
          </w:p>
          <w:p w14:paraId="09E96229" w14:textId="77777777" w:rsidR="00357CEC" w:rsidRPr="001300A9" w:rsidRDefault="00357CEC" w:rsidP="00357CEC">
            <w:pPr>
              <w:pStyle w:val="Default"/>
              <w:rPr>
                <w:sz w:val="22"/>
                <w:szCs w:val="22"/>
              </w:rPr>
            </w:pPr>
          </w:p>
          <w:p w14:paraId="596768C7" w14:textId="77777777" w:rsidR="00357CEC" w:rsidRPr="001300A9" w:rsidRDefault="00357CEC" w:rsidP="00357CEC">
            <w:pPr>
              <w:pStyle w:val="Default"/>
              <w:rPr>
                <w:sz w:val="22"/>
                <w:szCs w:val="22"/>
              </w:rPr>
            </w:pPr>
          </w:p>
          <w:p w14:paraId="6F2B88BC" w14:textId="77777777" w:rsidR="00357CEC" w:rsidRPr="001300A9" w:rsidRDefault="00357CEC" w:rsidP="00357CEC">
            <w:pPr>
              <w:pStyle w:val="Default"/>
              <w:rPr>
                <w:sz w:val="22"/>
                <w:szCs w:val="22"/>
              </w:rPr>
            </w:pPr>
          </w:p>
          <w:p w14:paraId="74298A75" w14:textId="77777777" w:rsidR="00357CEC" w:rsidRPr="001300A9" w:rsidRDefault="00357CEC" w:rsidP="00357CEC">
            <w:pPr>
              <w:pStyle w:val="Default"/>
              <w:rPr>
                <w:sz w:val="22"/>
                <w:szCs w:val="22"/>
              </w:rPr>
            </w:pPr>
          </w:p>
          <w:p w14:paraId="78B19593" w14:textId="77777777" w:rsidR="00357CEC" w:rsidRPr="001300A9" w:rsidRDefault="00357CEC" w:rsidP="00357CEC">
            <w:pPr>
              <w:pStyle w:val="Default"/>
              <w:rPr>
                <w:sz w:val="22"/>
                <w:szCs w:val="22"/>
              </w:rPr>
            </w:pPr>
          </w:p>
          <w:p w14:paraId="4FC417F8" w14:textId="77777777" w:rsidR="00357CEC" w:rsidRPr="001300A9" w:rsidRDefault="00357CEC" w:rsidP="00357CEC">
            <w:pPr>
              <w:pStyle w:val="Default"/>
              <w:rPr>
                <w:sz w:val="22"/>
                <w:szCs w:val="22"/>
              </w:rPr>
            </w:pPr>
          </w:p>
          <w:p w14:paraId="30D870C4" w14:textId="77777777" w:rsidR="00357CEC" w:rsidRPr="001300A9" w:rsidRDefault="00357CEC" w:rsidP="00357CEC">
            <w:pPr>
              <w:pStyle w:val="Default"/>
              <w:rPr>
                <w:sz w:val="22"/>
                <w:szCs w:val="22"/>
              </w:rPr>
            </w:pPr>
          </w:p>
          <w:p w14:paraId="7A6AE9B7" w14:textId="77777777" w:rsidR="00357CEC" w:rsidRPr="001300A9" w:rsidRDefault="00357CEC" w:rsidP="00357CEC">
            <w:pPr>
              <w:pStyle w:val="Default"/>
              <w:rPr>
                <w:sz w:val="22"/>
                <w:szCs w:val="22"/>
              </w:rPr>
            </w:pPr>
          </w:p>
          <w:p w14:paraId="7294FB80" w14:textId="77777777" w:rsidR="00357CEC" w:rsidRPr="001300A9" w:rsidRDefault="00357CEC" w:rsidP="00357CEC">
            <w:pPr>
              <w:pStyle w:val="Default"/>
              <w:rPr>
                <w:sz w:val="22"/>
                <w:szCs w:val="22"/>
              </w:rPr>
            </w:pPr>
          </w:p>
          <w:p w14:paraId="58815E9A" w14:textId="77777777" w:rsidR="00357CEC" w:rsidRPr="001300A9" w:rsidRDefault="00357CEC" w:rsidP="00357CEC">
            <w:pPr>
              <w:pStyle w:val="Default"/>
              <w:rPr>
                <w:sz w:val="22"/>
                <w:szCs w:val="22"/>
              </w:rPr>
            </w:pPr>
          </w:p>
          <w:p w14:paraId="76171295" w14:textId="77777777" w:rsidR="005900E4" w:rsidRPr="001300A9" w:rsidRDefault="005900E4" w:rsidP="00357CEC">
            <w:pPr>
              <w:pStyle w:val="Default"/>
              <w:rPr>
                <w:sz w:val="22"/>
                <w:szCs w:val="22"/>
              </w:rPr>
            </w:pPr>
          </w:p>
          <w:p w14:paraId="6E30D9C2" w14:textId="77777777" w:rsidR="005900E4" w:rsidRPr="001300A9" w:rsidRDefault="005900E4" w:rsidP="00357CEC">
            <w:pPr>
              <w:pStyle w:val="Default"/>
              <w:rPr>
                <w:sz w:val="22"/>
                <w:szCs w:val="22"/>
              </w:rPr>
            </w:pPr>
          </w:p>
          <w:p w14:paraId="631EDC96" w14:textId="77777777" w:rsidR="005900E4" w:rsidRPr="001300A9" w:rsidRDefault="005900E4" w:rsidP="00357CEC">
            <w:pPr>
              <w:pStyle w:val="Default"/>
              <w:rPr>
                <w:sz w:val="22"/>
                <w:szCs w:val="22"/>
              </w:rPr>
            </w:pPr>
          </w:p>
          <w:p w14:paraId="32016319" w14:textId="77777777" w:rsidR="005900E4" w:rsidRPr="001300A9" w:rsidRDefault="005900E4" w:rsidP="00357CEC">
            <w:pPr>
              <w:pStyle w:val="Default"/>
              <w:rPr>
                <w:sz w:val="22"/>
                <w:szCs w:val="22"/>
              </w:rPr>
            </w:pPr>
          </w:p>
          <w:p w14:paraId="7A43928A" w14:textId="77777777" w:rsidR="005900E4" w:rsidRPr="001300A9" w:rsidRDefault="005900E4" w:rsidP="00357CEC">
            <w:pPr>
              <w:pStyle w:val="Default"/>
              <w:rPr>
                <w:sz w:val="22"/>
                <w:szCs w:val="22"/>
              </w:rPr>
            </w:pPr>
          </w:p>
          <w:p w14:paraId="0D59BDE2" w14:textId="77777777" w:rsidR="005900E4" w:rsidRPr="001300A9" w:rsidRDefault="005900E4" w:rsidP="00357CEC">
            <w:pPr>
              <w:pStyle w:val="Default"/>
              <w:rPr>
                <w:sz w:val="22"/>
                <w:szCs w:val="22"/>
              </w:rPr>
            </w:pPr>
          </w:p>
          <w:p w14:paraId="46D6436B" w14:textId="77777777" w:rsidR="005900E4" w:rsidRPr="001300A9" w:rsidRDefault="005900E4" w:rsidP="00357CEC">
            <w:pPr>
              <w:pStyle w:val="Default"/>
              <w:rPr>
                <w:sz w:val="22"/>
                <w:szCs w:val="22"/>
              </w:rPr>
            </w:pPr>
          </w:p>
          <w:p w14:paraId="24E5422E" w14:textId="77777777" w:rsidR="005900E4" w:rsidRPr="001300A9" w:rsidRDefault="005900E4" w:rsidP="00357CEC">
            <w:pPr>
              <w:pStyle w:val="Default"/>
              <w:rPr>
                <w:sz w:val="22"/>
                <w:szCs w:val="22"/>
              </w:rPr>
            </w:pPr>
          </w:p>
          <w:p w14:paraId="0A289E2E" w14:textId="77777777" w:rsidR="005900E4" w:rsidRPr="001300A9" w:rsidRDefault="005900E4" w:rsidP="00357CEC">
            <w:pPr>
              <w:pStyle w:val="Default"/>
              <w:rPr>
                <w:sz w:val="22"/>
                <w:szCs w:val="22"/>
              </w:rPr>
            </w:pPr>
          </w:p>
          <w:p w14:paraId="5348F86B" w14:textId="77777777" w:rsidR="005900E4" w:rsidRPr="001300A9" w:rsidRDefault="005900E4" w:rsidP="00357CEC">
            <w:pPr>
              <w:pStyle w:val="Default"/>
              <w:rPr>
                <w:sz w:val="22"/>
                <w:szCs w:val="22"/>
              </w:rPr>
            </w:pPr>
          </w:p>
          <w:p w14:paraId="316EF312" w14:textId="77777777" w:rsidR="005900E4" w:rsidRPr="001300A9" w:rsidRDefault="005900E4" w:rsidP="00357CEC">
            <w:pPr>
              <w:pStyle w:val="Default"/>
              <w:rPr>
                <w:sz w:val="22"/>
                <w:szCs w:val="22"/>
              </w:rPr>
            </w:pPr>
          </w:p>
          <w:p w14:paraId="086FB6FC" w14:textId="77777777" w:rsidR="005900E4" w:rsidRPr="001300A9" w:rsidRDefault="005900E4" w:rsidP="00357CEC">
            <w:pPr>
              <w:pStyle w:val="Default"/>
              <w:rPr>
                <w:sz w:val="22"/>
                <w:szCs w:val="22"/>
              </w:rPr>
            </w:pPr>
          </w:p>
          <w:p w14:paraId="40CB92ED" w14:textId="77777777" w:rsidR="005900E4" w:rsidRPr="001300A9" w:rsidRDefault="005900E4" w:rsidP="00357CEC">
            <w:pPr>
              <w:pStyle w:val="Default"/>
              <w:rPr>
                <w:sz w:val="22"/>
                <w:szCs w:val="22"/>
              </w:rPr>
            </w:pPr>
          </w:p>
          <w:p w14:paraId="5CD05C79" w14:textId="77777777" w:rsidR="005900E4" w:rsidRPr="001300A9" w:rsidRDefault="005900E4" w:rsidP="00357CEC">
            <w:pPr>
              <w:pStyle w:val="Default"/>
              <w:rPr>
                <w:sz w:val="22"/>
                <w:szCs w:val="22"/>
              </w:rPr>
            </w:pPr>
          </w:p>
          <w:p w14:paraId="407867A6" w14:textId="77777777" w:rsidR="005900E4" w:rsidRPr="001300A9" w:rsidRDefault="005900E4" w:rsidP="00357CEC">
            <w:pPr>
              <w:pStyle w:val="Default"/>
              <w:rPr>
                <w:sz w:val="22"/>
                <w:szCs w:val="22"/>
              </w:rPr>
            </w:pPr>
          </w:p>
          <w:p w14:paraId="69A6D443" w14:textId="216AE52C" w:rsidR="00357CEC" w:rsidRPr="001300A9" w:rsidRDefault="00357CEC" w:rsidP="00357CEC">
            <w:pPr>
              <w:pStyle w:val="Default"/>
              <w:rPr>
                <w:sz w:val="22"/>
                <w:szCs w:val="22"/>
              </w:rPr>
            </w:pPr>
            <w:r w:rsidRPr="001300A9">
              <w:rPr>
                <w:sz w:val="22"/>
                <w:szCs w:val="22"/>
              </w:rPr>
              <w:t>N</w:t>
            </w:r>
          </w:p>
          <w:p w14:paraId="402A022E" w14:textId="77777777" w:rsidR="00357CEC" w:rsidRPr="001300A9" w:rsidRDefault="00357CEC" w:rsidP="00357CEC">
            <w:pPr>
              <w:pStyle w:val="Default"/>
              <w:rPr>
                <w:sz w:val="22"/>
                <w:szCs w:val="22"/>
              </w:rPr>
            </w:pPr>
          </w:p>
          <w:p w14:paraId="26A27182" w14:textId="77777777" w:rsidR="00357CEC" w:rsidRPr="001300A9" w:rsidRDefault="00357CEC" w:rsidP="00357CEC">
            <w:pPr>
              <w:pStyle w:val="Default"/>
              <w:rPr>
                <w:sz w:val="22"/>
                <w:szCs w:val="22"/>
              </w:rPr>
            </w:pPr>
          </w:p>
          <w:p w14:paraId="40E9570D" w14:textId="77777777" w:rsidR="00357CEC" w:rsidRPr="001300A9" w:rsidRDefault="00357CEC" w:rsidP="00357CEC">
            <w:pPr>
              <w:pStyle w:val="Default"/>
              <w:rPr>
                <w:sz w:val="22"/>
                <w:szCs w:val="22"/>
              </w:rPr>
            </w:pPr>
          </w:p>
          <w:p w14:paraId="52BD6ADC" w14:textId="77777777" w:rsidR="00357CEC" w:rsidRPr="001300A9" w:rsidRDefault="00357CEC" w:rsidP="00357CEC">
            <w:pPr>
              <w:pStyle w:val="Default"/>
              <w:rPr>
                <w:sz w:val="22"/>
                <w:szCs w:val="22"/>
              </w:rPr>
            </w:pPr>
          </w:p>
          <w:p w14:paraId="47B94B4B" w14:textId="77777777" w:rsidR="00357CEC" w:rsidRPr="001300A9" w:rsidRDefault="00357CEC" w:rsidP="00357CEC">
            <w:pPr>
              <w:pStyle w:val="Default"/>
              <w:rPr>
                <w:sz w:val="22"/>
                <w:szCs w:val="22"/>
              </w:rPr>
            </w:pPr>
          </w:p>
          <w:p w14:paraId="2A8A6021" w14:textId="77777777" w:rsidR="00357CEC" w:rsidRPr="001300A9" w:rsidRDefault="00357CEC" w:rsidP="00357CEC">
            <w:pPr>
              <w:pStyle w:val="Default"/>
              <w:rPr>
                <w:sz w:val="22"/>
                <w:szCs w:val="22"/>
              </w:rPr>
            </w:pPr>
          </w:p>
          <w:p w14:paraId="19968A56" w14:textId="77777777" w:rsidR="00357CEC" w:rsidRPr="001300A9" w:rsidRDefault="00357CEC" w:rsidP="00357CEC">
            <w:pPr>
              <w:pStyle w:val="Default"/>
              <w:rPr>
                <w:sz w:val="22"/>
                <w:szCs w:val="22"/>
              </w:rPr>
            </w:pPr>
          </w:p>
          <w:p w14:paraId="3F45CF7F" w14:textId="77777777" w:rsidR="003237A8" w:rsidRPr="001300A9" w:rsidRDefault="003237A8" w:rsidP="00357CEC">
            <w:pPr>
              <w:pStyle w:val="Default"/>
              <w:rPr>
                <w:sz w:val="22"/>
                <w:szCs w:val="22"/>
              </w:rPr>
            </w:pPr>
          </w:p>
          <w:p w14:paraId="74361533" w14:textId="77777777" w:rsidR="003237A8" w:rsidRPr="001300A9" w:rsidRDefault="003237A8" w:rsidP="00357CEC">
            <w:pPr>
              <w:pStyle w:val="Default"/>
              <w:rPr>
                <w:sz w:val="22"/>
                <w:szCs w:val="22"/>
              </w:rPr>
            </w:pPr>
          </w:p>
          <w:p w14:paraId="59D82C1A" w14:textId="77777777" w:rsidR="003237A8" w:rsidRPr="001300A9" w:rsidRDefault="003237A8" w:rsidP="00357CEC">
            <w:pPr>
              <w:pStyle w:val="Default"/>
              <w:rPr>
                <w:sz w:val="22"/>
                <w:szCs w:val="22"/>
              </w:rPr>
            </w:pPr>
          </w:p>
          <w:p w14:paraId="5520D4E9" w14:textId="77777777" w:rsidR="003237A8" w:rsidRPr="001300A9" w:rsidRDefault="003237A8" w:rsidP="00357CEC">
            <w:pPr>
              <w:pStyle w:val="Default"/>
              <w:rPr>
                <w:sz w:val="22"/>
                <w:szCs w:val="22"/>
              </w:rPr>
            </w:pPr>
          </w:p>
          <w:p w14:paraId="6EE115BC" w14:textId="2200634E" w:rsidR="003367CB" w:rsidRDefault="003367CB" w:rsidP="00357CEC">
            <w:pPr>
              <w:pStyle w:val="Default"/>
              <w:rPr>
                <w:sz w:val="22"/>
                <w:szCs w:val="22"/>
              </w:rPr>
            </w:pPr>
          </w:p>
          <w:p w14:paraId="0980FFAD" w14:textId="5948BDD0" w:rsidR="21A61628" w:rsidRDefault="21A61628" w:rsidP="21A61628">
            <w:pPr>
              <w:pStyle w:val="Default"/>
              <w:rPr>
                <w:sz w:val="22"/>
                <w:szCs w:val="22"/>
              </w:rPr>
            </w:pPr>
          </w:p>
          <w:p w14:paraId="4340115F" w14:textId="08CB008F" w:rsidR="00357CEC" w:rsidRPr="001300A9" w:rsidRDefault="00357CEC" w:rsidP="00357CEC">
            <w:pPr>
              <w:pStyle w:val="Default"/>
              <w:rPr>
                <w:sz w:val="22"/>
                <w:szCs w:val="22"/>
              </w:rPr>
            </w:pPr>
            <w:proofErr w:type="spellStart"/>
            <w:r w:rsidRPr="001300A9">
              <w:rPr>
                <w:sz w:val="22"/>
                <w:szCs w:val="22"/>
              </w:rPr>
              <w:t>n.a</w:t>
            </w:r>
            <w:proofErr w:type="spellEnd"/>
            <w:r w:rsidRPr="001300A9">
              <w:rPr>
                <w:sz w:val="22"/>
                <w:szCs w:val="22"/>
              </w:rPr>
              <w:t>.</w:t>
            </w:r>
          </w:p>
          <w:p w14:paraId="0BE74C7F" w14:textId="77777777" w:rsidR="00357CEC" w:rsidRPr="001300A9" w:rsidRDefault="00357CEC" w:rsidP="00357CEC">
            <w:pPr>
              <w:pStyle w:val="Default"/>
              <w:rPr>
                <w:sz w:val="22"/>
                <w:szCs w:val="22"/>
              </w:rPr>
            </w:pPr>
          </w:p>
          <w:p w14:paraId="436E5597" w14:textId="77777777" w:rsidR="00357CEC" w:rsidRPr="001300A9" w:rsidRDefault="00357CEC" w:rsidP="00357CEC">
            <w:pPr>
              <w:pStyle w:val="Default"/>
              <w:rPr>
                <w:sz w:val="22"/>
                <w:szCs w:val="22"/>
              </w:rPr>
            </w:pPr>
          </w:p>
          <w:p w14:paraId="7AD65732" w14:textId="77777777" w:rsidR="00357CEC" w:rsidRPr="001300A9" w:rsidRDefault="00357CEC" w:rsidP="00357CEC">
            <w:pPr>
              <w:pStyle w:val="Default"/>
              <w:rPr>
                <w:sz w:val="22"/>
                <w:szCs w:val="22"/>
              </w:rPr>
            </w:pPr>
          </w:p>
          <w:p w14:paraId="14C282D1" w14:textId="51002A8F" w:rsidR="003237A8" w:rsidRPr="001300A9" w:rsidRDefault="003237A8" w:rsidP="00357CEC">
            <w:pPr>
              <w:pStyle w:val="Default"/>
              <w:rPr>
                <w:sz w:val="22"/>
                <w:szCs w:val="22"/>
              </w:rPr>
            </w:pPr>
          </w:p>
          <w:p w14:paraId="3010F109" w14:textId="50F246E0" w:rsidR="4792BE4F" w:rsidRDefault="4792BE4F" w:rsidP="4792BE4F">
            <w:pPr>
              <w:pStyle w:val="Default"/>
              <w:rPr>
                <w:sz w:val="22"/>
                <w:szCs w:val="22"/>
              </w:rPr>
            </w:pPr>
          </w:p>
          <w:p w14:paraId="7B2B5F8C" w14:textId="614FF161" w:rsidR="4792BE4F" w:rsidRDefault="4792BE4F" w:rsidP="4792BE4F">
            <w:pPr>
              <w:pStyle w:val="Default"/>
              <w:rPr>
                <w:sz w:val="22"/>
                <w:szCs w:val="22"/>
              </w:rPr>
            </w:pPr>
          </w:p>
          <w:p w14:paraId="0521421A" w14:textId="77777777" w:rsidR="00357CEC" w:rsidRPr="001300A9" w:rsidRDefault="00357CEC" w:rsidP="00357CEC">
            <w:pPr>
              <w:pStyle w:val="Default"/>
              <w:rPr>
                <w:sz w:val="22"/>
                <w:szCs w:val="22"/>
              </w:rPr>
            </w:pPr>
            <w:r w:rsidRPr="001300A9">
              <w:rPr>
                <w:sz w:val="22"/>
                <w:szCs w:val="22"/>
              </w:rPr>
              <w:t>N</w:t>
            </w:r>
          </w:p>
          <w:p w14:paraId="67F19F6F" w14:textId="77777777" w:rsidR="00357CEC" w:rsidRPr="001300A9" w:rsidRDefault="00357CEC" w:rsidP="00357CEC">
            <w:pPr>
              <w:pStyle w:val="Default"/>
              <w:rPr>
                <w:sz w:val="22"/>
                <w:szCs w:val="22"/>
              </w:rPr>
            </w:pPr>
            <w:r w:rsidRPr="001300A9">
              <w:rPr>
                <w:sz w:val="22"/>
                <w:szCs w:val="22"/>
              </w:rPr>
              <w:t xml:space="preserve"> </w:t>
            </w:r>
          </w:p>
          <w:p w14:paraId="3B7E43CF" w14:textId="77777777" w:rsidR="00357CEC" w:rsidRPr="001300A9" w:rsidRDefault="00357CEC" w:rsidP="00357CEC">
            <w:pPr>
              <w:pStyle w:val="Default"/>
              <w:rPr>
                <w:sz w:val="22"/>
                <w:szCs w:val="22"/>
              </w:rPr>
            </w:pPr>
          </w:p>
          <w:p w14:paraId="75FC37E9" w14:textId="77777777" w:rsidR="00357CEC" w:rsidRPr="001300A9" w:rsidRDefault="00357CEC" w:rsidP="00357CEC">
            <w:pPr>
              <w:pStyle w:val="Default"/>
              <w:rPr>
                <w:sz w:val="22"/>
                <w:szCs w:val="22"/>
              </w:rPr>
            </w:pPr>
          </w:p>
          <w:p w14:paraId="67F9CC12" w14:textId="77777777" w:rsidR="00357CEC" w:rsidRPr="001300A9" w:rsidRDefault="00357CEC" w:rsidP="00357CEC">
            <w:pPr>
              <w:pStyle w:val="Default"/>
              <w:rPr>
                <w:sz w:val="22"/>
                <w:szCs w:val="22"/>
              </w:rPr>
            </w:pPr>
          </w:p>
          <w:p w14:paraId="7516B410" w14:textId="77777777" w:rsidR="00357CEC" w:rsidRPr="001300A9" w:rsidRDefault="00357CEC" w:rsidP="00357CEC">
            <w:pPr>
              <w:pStyle w:val="Default"/>
              <w:rPr>
                <w:sz w:val="22"/>
                <w:szCs w:val="22"/>
              </w:rPr>
            </w:pPr>
          </w:p>
          <w:p w14:paraId="0306CEBD" w14:textId="77777777" w:rsidR="00357CEC" w:rsidRPr="001300A9" w:rsidRDefault="00357CEC" w:rsidP="00357CEC">
            <w:pPr>
              <w:pStyle w:val="Default"/>
              <w:rPr>
                <w:sz w:val="22"/>
                <w:szCs w:val="22"/>
              </w:rPr>
            </w:pPr>
          </w:p>
          <w:p w14:paraId="3735E521" w14:textId="77777777" w:rsidR="00357CEC" w:rsidRPr="001300A9" w:rsidRDefault="00357CEC" w:rsidP="00357CEC">
            <w:pPr>
              <w:pStyle w:val="Default"/>
              <w:rPr>
                <w:sz w:val="22"/>
                <w:szCs w:val="22"/>
              </w:rPr>
            </w:pPr>
          </w:p>
          <w:p w14:paraId="29A3ECDF" w14:textId="77777777" w:rsidR="00357CEC" w:rsidRPr="001300A9" w:rsidRDefault="00357CEC" w:rsidP="00357CEC">
            <w:pPr>
              <w:pStyle w:val="Default"/>
              <w:rPr>
                <w:sz w:val="22"/>
                <w:szCs w:val="22"/>
              </w:rPr>
            </w:pPr>
          </w:p>
          <w:p w14:paraId="16950CFD" w14:textId="0E52028E" w:rsidR="003237A8" w:rsidRPr="001300A9" w:rsidRDefault="003237A8" w:rsidP="00357CEC">
            <w:pPr>
              <w:pStyle w:val="Default"/>
              <w:rPr>
                <w:sz w:val="22"/>
                <w:szCs w:val="22"/>
              </w:rPr>
            </w:pPr>
          </w:p>
          <w:p w14:paraId="191F7546" w14:textId="1468C815" w:rsidR="21A61628" w:rsidRDefault="21A61628" w:rsidP="21A61628">
            <w:pPr>
              <w:pStyle w:val="Default"/>
              <w:rPr>
                <w:sz w:val="22"/>
                <w:szCs w:val="22"/>
              </w:rPr>
            </w:pPr>
          </w:p>
          <w:p w14:paraId="390C67D1" w14:textId="25A4B8E8" w:rsidR="21A61628" w:rsidRDefault="21A61628" w:rsidP="21A61628">
            <w:pPr>
              <w:pStyle w:val="Default"/>
              <w:rPr>
                <w:sz w:val="22"/>
                <w:szCs w:val="22"/>
              </w:rPr>
            </w:pPr>
          </w:p>
          <w:p w14:paraId="6D95A403" w14:textId="44AFF4DF" w:rsidR="21A61628" w:rsidRDefault="21A61628" w:rsidP="21A61628">
            <w:pPr>
              <w:pStyle w:val="Default"/>
              <w:rPr>
                <w:sz w:val="22"/>
                <w:szCs w:val="22"/>
              </w:rPr>
            </w:pPr>
          </w:p>
          <w:p w14:paraId="6F20006D" w14:textId="77777777" w:rsidR="00357CEC" w:rsidRPr="001300A9" w:rsidRDefault="00357CEC" w:rsidP="00357CEC">
            <w:pPr>
              <w:pStyle w:val="Default"/>
              <w:rPr>
                <w:sz w:val="22"/>
                <w:szCs w:val="22"/>
              </w:rPr>
            </w:pPr>
            <w:r w:rsidRPr="001300A9">
              <w:rPr>
                <w:sz w:val="22"/>
                <w:szCs w:val="22"/>
              </w:rPr>
              <w:t>N</w:t>
            </w:r>
          </w:p>
          <w:p w14:paraId="39BD507B" w14:textId="77777777" w:rsidR="00357CEC" w:rsidRPr="001300A9" w:rsidRDefault="00357CEC" w:rsidP="00357CEC">
            <w:pPr>
              <w:pStyle w:val="Default"/>
              <w:rPr>
                <w:sz w:val="22"/>
                <w:szCs w:val="22"/>
              </w:rPr>
            </w:pPr>
          </w:p>
          <w:p w14:paraId="2EC55454" w14:textId="77777777" w:rsidR="00357CEC" w:rsidRPr="001300A9" w:rsidRDefault="00357CEC" w:rsidP="00357CEC">
            <w:pPr>
              <w:pStyle w:val="Default"/>
              <w:rPr>
                <w:sz w:val="22"/>
                <w:szCs w:val="22"/>
              </w:rPr>
            </w:pPr>
          </w:p>
          <w:p w14:paraId="6340E598" w14:textId="77777777" w:rsidR="00357CEC" w:rsidRPr="001300A9" w:rsidRDefault="00357CEC" w:rsidP="00357CEC">
            <w:pPr>
              <w:pStyle w:val="Default"/>
              <w:rPr>
                <w:sz w:val="22"/>
                <w:szCs w:val="22"/>
              </w:rPr>
            </w:pPr>
          </w:p>
          <w:p w14:paraId="4BB4D235" w14:textId="77777777" w:rsidR="003237A8" w:rsidRPr="001300A9" w:rsidRDefault="003237A8" w:rsidP="00357CEC">
            <w:pPr>
              <w:pStyle w:val="Default"/>
              <w:rPr>
                <w:sz w:val="22"/>
                <w:szCs w:val="22"/>
              </w:rPr>
            </w:pPr>
          </w:p>
          <w:p w14:paraId="72F11ADC" w14:textId="77777777" w:rsidR="003237A8" w:rsidRPr="001300A9" w:rsidRDefault="003237A8" w:rsidP="00357CEC">
            <w:pPr>
              <w:pStyle w:val="Default"/>
              <w:rPr>
                <w:sz w:val="22"/>
                <w:szCs w:val="22"/>
              </w:rPr>
            </w:pPr>
          </w:p>
          <w:p w14:paraId="26A0616F" w14:textId="77777777" w:rsidR="003237A8" w:rsidRPr="001300A9" w:rsidRDefault="003237A8" w:rsidP="00357CEC">
            <w:pPr>
              <w:pStyle w:val="Default"/>
              <w:rPr>
                <w:sz w:val="22"/>
                <w:szCs w:val="22"/>
              </w:rPr>
            </w:pPr>
          </w:p>
          <w:p w14:paraId="71C6AE5F" w14:textId="77777777" w:rsidR="003237A8" w:rsidRPr="001300A9" w:rsidRDefault="003237A8" w:rsidP="00357CEC">
            <w:pPr>
              <w:pStyle w:val="Default"/>
              <w:rPr>
                <w:sz w:val="22"/>
                <w:szCs w:val="22"/>
              </w:rPr>
            </w:pPr>
          </w:p>
          <w:p w14:paraId="6E1C648D" w14:textId="77777777" w:rsidR="003237A8" w:rsidRPr="001300A9" w:rsidRDefault="003237A8" w:rsidP="00357CEC">
            <w:pPr>
              <w:pStyle w:val="Default"/>
              <w:rPr>
                <w:sz w:val="22"/>
                <w:szCs w:val="22"/>
              </w:rPr>
            </w:pPr>
          </w:p>
          <w:p w14:paraId="524A60BE" w14:textId="77777777" w:rsidR="003237A8" w:rsidRPr="001300A9" w:rsidRDefault="003237A8" w:rsidP="00357CEC">
            <w:pPr>
              <w:pStyle w:val="Default"/>
              <w:rPr>
                <w:sz w:val="22"/>
                <w:szCs w:val="22"/>
              </w:rPr>
            </w:pPr>
          </w:p>
          <w:p w14:paraId="0A6E4C0B" w14:textId="77777777" w:rsidR="003237A8" w:rsidRPr="001300A9" w:rsidRDefault="003237A8" w:rsidP="00357CEC">
            <w:pPr>
              <w:pStyle w:val="Default"/>
              <w:rPr>
                <w:sz w:val="22"/>
                <w:szCs w:val="22"/>
              </w:rPr>
            </w:pPr>
          </w:p>
          <w:p w14:paraId="4467EE81" w14:textId="77777777" w:rsidR="003237A8" w:rsidRPr="001300A9" w:rsidRDefault="003237A8" w:rsidP="00357CEC">
            <w:pPr>
              <w:pStyle w:val="Default"/>
              <w:rPr>
                <w:sz w:val="22"/>
                <w:szCs w:val="22"/>
              </w:rPr>
            </w:pPr>
          </w:p>
          <w:p w14:paraId="6235A0A8" w14:textId="77777777" w:rsidR="003237A8" w:rsidRPr="001300A9" w:rsidRDefault="003237A8" w:rsidP="00357CEC">
            <w:pPr>
              <w:pStyle w:val="Default"/>
              <w:rPr>
                <w:sz w:val="22"/>
                <w:szCs w:val="22"/>
              </w:rPr>
            </w:pPr>
          </w:p>
          <w:p w14:paraId="55E041D7" w14:textId="77777777" w:rsidR="000F60BB" w:rsidRDefault="000F60BB" w:rsidP="00357CEC">
            <w:pPr>
              <w:pStyle w:val="Default"/>
              <w:rPr>
                <w:sz w:val="22"/>
                <w:szCs w:val="22"/>
              </w:rPr>
            </w:pPr>
          </w:p>
          <w:p w14:paraId="3E61260C" w14:textId="1B563948" w:rsidR="00357CEC" w:rsidRPr="001300A9" w:rsidRDefault="00357CEC" w:rsidP="00357CEC">
            <w:pPr>
              <w:pStyle w:val="Default"/>
              <w:rPr>
                <w:sz w:val="22"/>
                <w:szCs w:val="22"/>
              </w:rPr>
            </w:pPr>
            <w:r w:rsidRPr="001300A9">
              <w:rPr>
                <w:sz w:val="22"/>
                <w:szCs w:val="22"/>
              </w:rPr>
              <w:t>N</w:t>
            </w:r>
          </w:p>
          <w:p w14:paraId="2FFD6C1C" w14:textId="77777777" w:rsidR="003237A8" w:rsidRPr="001300A9" w:rsidRDefault="003237A8" w:rsidP="00357CEC">
            <w:pPr>
              <w:pStyle w:val="Default"/>
              <w:rPr>
                <w:sz w:val="22"/>
                <w:szCs w:val="22"/>
              </w:rPr>
            </w:pPr>
          </w:p>
          <w:p w14:paraId="2829282B" w14:textId="77777777" w:rsidR="003237A8" w:rsidRPr="001300A9" w:rsidRDefault="003237A8" w:rsidP="00357CEC">
            <w:pPr>
              <w:pStyle w:val="Default"/>
              <w:rPr>
                <w:sz w:val="22"/>
                <w:szCs w:val="22"/>
              </w:rPr>
            </w:pPr>
          </w:p>
          <w:p w14:paraId="4DF6C3BA" w14:textId="77777777" w:rsidR="003237A8" w:rsidRPr="001300A9" w:rsidRDefault="003237A8" w:rsidP="00357CEC">
            <w:pPr>
              <w:pStyle w:val="Default"/>
              <w:rPr>
                <w:sz w:val="22"/>
                <w:szCs w:val="22"/>
              </w:rPr>
            </w:pPr>
          </w:p>
          <w:p w14:paraId="0EBF82B3" w14:textId="77777777" w:rsidR="003237A8" w:rsidRPr="001300A9" w:rsidRDefault="003237A8" w:rsidP="00357CEC">
            <w:pPr>
              <w:pStyle w:val="Default"/>
              <w:rPr>
                <w:sz w:val="22"/>
                <w:szCs w:val="22"/>
              </w:rPr>
            </w:pPr>
          </w:p>
          <w:p w14:paraId="6405D57B" w14:textId="77777777" w:rsidR="003237A8" w:rsidRPr="001300A9" w:rsidRDefault="003237A8" w:rsidP="00357CEC">
            <w:pPr>
              <w:pStyle w:val="Default"/>
              <w:rPr>
                <w:sz w:val="22"/>
                <w:szCs w:val="22"/>
              </w:rPr>
            </w:pPr>
          </w:p>
          <w:p w14:paraId="4EDBC253" w14:textId="77777777" w:rsidR="003237A8" w:rsidRPr="001300A9" w:rsidRDefault="003237A8" w:rsidP="00357CEC">
            <w:pPr>
              <w:pStyle w:val="Default"/>
              <w:rPr>
                <w:sz w:val="22"/>
                <w:szCs w:val="22"/>
              </w:rPr>
            </w:pPr>
          </w:p>
          <w:p w14:paraId="5FBAC08B" w14:textId="77777777" w:rsidR="003237A8" w:rsidRPr="001300A9" w:rsidRDefault="003237A8" w:rsidP="00357CEC">
            <w:pPr>
              <w:pStyle w:val="Default"/>
              <w:rPr>
                <w:sz w:val="22"/>
                <w:szCs w:val="22"/>
              </w:rPr>
            </w:pPr>
          </w:p>
          <w:p w14:paraId="1A797EE6" w14:textId="77777777" w:rsidR="003237A8" w:rsidRPr="001300A9" w:rsidRDefault="003237A8" w:rsidP="00357CEC">
            <w:pPr>
              <w:pStyle w:val="Default"/>
              <w:rPr>
                <w:sz w:val="22"/>
                <w:szCs w:val="22"/>
              </w:rPr>
            </w:pPr>
          </w:p>
          <w:p w14:paraId="4205EE55" w14:textId="77777777" w:rsidR="003237A8" w:rsidRPr="001300A9" w:rsidRDefault="003237A8" w:rsidP="00357CEC">
            <w:pPr>
              <w:pStyle w:val="Default"/>
              <w:rPr>
                <w:sz w:val="22"/>
                <w:szCs w:val="22"/>
              </w:rPr>
            </w:pPr>
          </w:p>
          <w:p w14:paraId="7895163B" w14:textId="77777777" w:rsidR="003237A8" w:rsidRPr="001300A9" w:rsidRDefault="003237A8" w:rsidP="00357CEC">
            <w:pPr>
              <w:pStyle w:val="Default"/>
              <w:rPr>
                <w:sz w:val="22"/>
                <w:szCs w:val="22"/>
              </w:rPr>
            </w:pPr>
          </w:p>
          <w:p w14:paraId="68F059C3" w14:textId="2BB90DF2" w:rsidR="4792BE4F" w:rsidRDefault="4792BE4F" w:rsidP="4792BE4F">
            <w:pPr>
              <w:pStyle w:val="Default"/>
              <w:rPr>
                <w:sz w:val="22"/>
                <w:szCs w:val="22"/>
              </w:rPr>
            </w:pPr>
          </w:p>
          <w:p w14:paraId="5775E988" w14:textId="6DFEAA44" w:rsidR="003237A8" w:rsidRPr="001300A9" w:rsidRDefault="003237A8" w:rsidP="00357CEC">
            <w:pPr>
              <w:pStyle w:val="Default"/>
              <w:rPr>
                <w:sz w:val="22"/>
                <w:szCs w:val="22"/>
              </w:rPr>
            </w:pPr>
            <w:r w:rsidRPr="001300A9">
              <w:rPr>
                <w:sz w:val="22"/>
                <w:szCs w:val="22"/>
              </w:rPr>
              <w:t>N</w:t>
            </w:r>
          </w:p>
          <w:p w14:paraId="618CE4D0" w14:textId="77777777" w:rsidR="00357CEC" w:rsidRPr="001300A9" w:rsidRDefault="00357CEC" w:rsidP="00357CEC">
            <w:pPr>
              <w:pStyle w:val="Default"/>
              <w:rPr>
                <w:sz w:val="22"/>
                <w:szCs w:val="22"/>
              </w:rPr>
            </w:pPr>
          </w:p>
          <w:p w14:paraId="7532FAAB" w14:textId="77777777" w:rsidR="00357CEC" w:rsidRPr="001300A9" w:rsidRDefault="00357CEC" w:rsidP="00357CEC">
            <w:pPr>
              <w:pStyle w:val="Default"/>
              <w:rPr>
                <w:sz w:val="22"/>
                <w:szCs w:val="22"/>
              </w:rPr>
            </w:pPr>
          </w:p>
          <w:p w14:paraId="3FC75CAB" w14:textId="77777777" w:rsidR="00357CEC" w:rsidRPr="001300A9" w:rsidRDefault="00357CEC" w:rsidP="00357CEC">
            <w:pPr>
              <w:pStyle w:val="Default"/>
              <w:rPr>
                <w:sz w:val="22"/>
                <w:szCs w:val="22"/>
              </w:rPr>
            </w:pPr>
          </w:p>
          <w:p w14:paraId="5E3AF159" w14:textId="77777777" w:rsidR="00357CEC" w:rsidRPr="001300A9" w:rsidRDefault="00357CEC" w:rsidP="00357CEC">
            <w:pPr>
              <w:pStyle w:val="Default"/>
              <w:rPr>
                <w:sz w:val="22"/>
                <w:szCs w:val="22"/>
              </w:rPr>
            </w:pPr>
          </w:p>
          <w:p w14:paraId="1649CC62" w14:textId="77777777" w:rsidR="00357CEC" w:rsidRPr="001300A9" w:rsidRDefault="00357CEC" w:rsidP="00357CEC">
            <w:pPr>
              <w:pStyle w:val="Default"/>
              <w:rPr>
                <w:sz w:val="22"/>
                <w:szCs w:val="22"/>
              </w:rPr>
            </w:pPr>
          </w:p>
          <w:p w14:paraId="28329868" w14:textId="77777777" w:rsidR="003237A8" w:rsidRPr="001300A9" w:rsidRDefault="003237A8" w:rsidP="00357CEC">
            <w:pPr>
              <w:pStyle w:val="Default"/>
              <w:rPr>
                <w:sz w:val="22"/>
                <w:szCs w:val="22"/>
              </w:rPr>
            </w:pPr>
          </w:p>
          <w:p w14:paraId="380D883A" w14:textId="77777777" w:rsidR="003237A8" w:rsidRPr="001300A9" w:rsidRDefault="003237A8" w:rsidP="00357CEC">
            <w:pPr>
              <w:pStyle w:val="Default"/>
              <w:rPr>
                <w:sz w:val="22"/>
                <w:szCs w:val="22"/>
              </w:rPr>
            </w:pPr>
          </w:p>
          <w:p w14:paraId="7A2FE69E" w14:textId="77777777" w:rsidR="003237A8" w:rsidRPr="001300A9" w:rsidRDefault="003237A8" w:rsidP="00357CEC">
            <w:pPr>
              <w:pStyle w:val="Default"/>
              <w:rPr>
                <w:sz w:val="22"/>
                <w:szCs w:val="22"/>
              </w:rPr>
            </w:pPr>
          </w:p>
          <w:p w14:paraId="1AAF3B87" w14:textId="77777777" w:rsidR="003237A8" w:rsidRPr="001300A9" w:rsidRDefault="003237A8" w:rsidP="00357CEC">
            <w:pPr>
              <w:pStyle w:val="Default"/>
              <w:rPr>
                <w:sz w:val="22"/>
                <w:szCs w:val="22"/>
              </w:rPr>
            </w:pPr>
          </w:p>
          <w:p w14:paraId="4D359AE2" w14:textId="6182E74E" w:rsidR="21A61628" w:rsidRDefault="21A61628" w:rsidP="21A61628">
            <w:pPr>
              <w:pStyle w:val="Default"/>
              <w:rPr>
                <w:sz w:val="22"/>
                <w:szCs w:val="22"/>
              </w:rPr>
            </w:pPr>
          </w:p>
          <w:p w14:paraId="06163652" w14:textId="330ACFF3" w:rsidR="4792BE4F" w:rsidRDefault="4792BE4F" w:rsidP="4792BE4F">
            <w:pPr>
              <w:pStyle w:val="Default"/>
              <w:rPr>
                <w:sz w:val="22"/>
                <w:szCs w:val="22"/>
              </w:rPr>
            </w:pPr>
          </w:p>
          <w:p w14:paraId="15EF5F05" w14:textId="15173F49" w:rsidR="4792BE4F" w:rsidRDefault="4792BE4F" w:rsidP="4792BE4F">
            <w:pPr>
              <w:pStyle w:val="Default"/>
              <w:rPr>
                <w:sz w:val="22"/>
                <w:szCs w:val="22"/>
              </w:rPr>
            </w:pPr>
          </w:p>
          <w:p w14:paraId="2799659A" w14:textId="7CF5D7FA" w:rsidR="4792BE4F" w:rsidRDefault="4792BE4F" w:rsidP="4792BE4F">
            <w:pPr>
              <w:pStyle w:val="Default"/>
              <w:rPr>
                <w:sz w:val="22"/>
                <w:szCs w:val="22"/>
              </w:rPr>
            </w:pPr>
          </w:p>
          <w:p w14:paraId="7138B2AB" w14:textId="68B0B73F" w:rsidR="4792BE4F" w:rsidRDefault="4792BE4F" w:rsidP="4792BE4F">
            <w:pPr>
              <w:pStyle w:val="Default"/>
              <w:rPr>
                <w:sz w:val="22"/>
                <w:szCs w:val="22"/>
              </w:rPr>
            </w:pPr>
          </w:p>
          <w:p w14:paraId="4A808415" w14:textId="6B923B92" w:rsidR="4792BE4F" w:rsidRDefault="4792BE4F" w:rsidP="4792BE4F">
            <w:pPr>
              <w:pStyle w:val="Default"/>
              <w:rPr>
                <w:sz w:val="22"/>
                <w:szCs w:val="22"/>
              </w:rPr>
            </w:pPr>
          </w:p>
          <w:p w14:paraId="341060A4" w14:textId="194538DE" w:rsidR="00357CEC" w:rsidRPr="001300A9" w:rsidRDefault="00EE4DBD" w:rsidP="00357CEC">
            <w:pPr>
              <w:pStyle w:val="Default"/>
              <w:rPr>
                <w:sz w:val="22"/>
                <w:szCs w:val="22"/>
              </w:rPr>
            </w:pPr>
            <w:r>
              <w:rPr>
                <w:sz w:val="22"/>
                <w:szCs w:val="22"/>
              </w:rPr>
              <w:t>N</w:t>
            </w:r>
            <w:r w:rsidR="00357CEC" w:rsidRPr="001300A9">
              <w:rPr>
                <w:sz w:val="22"/>
                <w:szCs w:val="22"/>
              </w:rPr>
              <w:t xml:space="preserve"> </w:t>
            </w:r>
          </w:p>
          <w:p w14:paraId="7358392F" w14:textId="77777777" w:rsidR="00357CEC" w:rsidRPr="001300A9" w:rsidRDefault="00357CEC" w:rsidP="00357CEC">
            <w:pPr>
              <w:pStyle w:val="Default"/>
              <w:rPr>
                <w:sz w:val="22"/>
                <w:szCs w:val="22"/>
              </w:rPr>
            </w:pPr>
          </w:p>
          <w:p w14:paraId="1A96B677" w14:textId="77777777" w:rsidR="00357CEC" w:rsidRPr="001300A9" w:rsidRDefault="00357CEC" w:rsidP="00357CEC">
            <w:pPr>
              <w:pStyle w:val="Default"/>
              <w:rPr>
                <w:sz w:val="22"/>
                <w:szCs w:val="22"/>
              </w:rPr>
            </w:pPr>
          </w:p>
          <w:p w14:paraId="22E2A669" w14:textId="77777777" w:rsidR="00357CEC" w:rsidRPr="001300A9" w:rsidRDefault="00357CEC" w:rsidP="00357CEC">
            <w:pPr>
              <w:pStyle w:val="Default"/>
              <w:rPr>
                <w:sz w:val="22"/>
                <w:szCs w:val="22"/>
              </w:rPr>
            </w:pPr>
          </w:p>
          <w:p w14:paraId="6C16BFF1" w14:textId="77777777" w:rsidR="00357CEC" w:rsidRPr="001300A9" w:rsidRDefault="00357CEC" w:rsidP="00357CEC">
            <w:pPr>
              <w:pStyle w:val="Default"/>
              <w:rPr>
                <w:sz w:val="22"/>
                <w:szCs w:val="22"/>
              </w:rPr>
            </w:pPr>
          </w:p>
          <w:p w14:paraId="3FCE6A6D" w14:textId="77777777" w:rsidR="00357CEC" w:rsidRPr="001300A9" w:rsidRDefault="00357CEC" w:rsidP="00357CEC">
            <w:pPr>
              <w:pStyle w:val="Default"/>
              <w:rPr>
                <w:sz w:val="22"/>
                <w:szCs w:val="22"/>
              </w:rPr>
            </w:pPr>
          </w:p>
          <w:p w14:paraId="6CD5A466" w14:textId="77777777" w:rsidR="00357CEC" w:rsidRPr="001300A9" w:rsidRDefault="00357CEC" w:rsidP="00357CEC">
            <w:pPr>
              <w:pStyle w:val="Default"/>
              <w:rPr>
                <w:sz w:val="22"/>
                <w:szCs w:val="22"/>
              </w:rPr>
            </w:pPr>
          </w:p>
          <w:p w14:paraId="5B10BDDC" w14:textId="77777777" w:rsidR="00357CEC" w:rsidRPr="001300A9" w:rsidRDefault="00357CEC" w:rsidP="00357CEC">
            <w:pPr>
              <w:pStyle w:val="Default"/>
              <w:rPr>
                <w:sz w:val="22"/>
                <w:szCs w:val="22"/>
              </w:rPr>
            </w:pPr>
          </w:p>
          <w:p w14:paraId="2C5094D6" w14:textId="77777777" w:rsidR="00357CEC" w:rsidRPr="001300A9" w:rsidRDefault="00357CEC" w:rsidP="00357CEC">
            <w:pPr>
              <w:pStyle w:val="Default"/>
              <w:rPr>
                <w:sz w:val="22"/>
                <w:szCs w:val="22"/>
              </w:rPr>
            </w:pPr>
          </w:p>
          <w:p w14:paraId="2A6AAF82" w14:textId="77777777" w:rsidR="00357CEC" w:rsidRPr="001300A9" w:rsidRDefault="00357CEC" w:rsidP="00357CEC">
            <w:pPr>
              <w:pStyle w:val="Default"/>
              <w:rPr>
                <w:sz w:val="22"/>
                <w:szCs w:val="22"/>
              </w:rPr>
            </w:pPr>
          </w:p>
          <w:p w14:paraId="59DBD8EE" w14:textId="77777777" w:rsidR="003237A8" w:rsidRPr="001300A9" w:rsidRDefault="003237A8" w:rsidP="00357CEC">
            <w:pPr>
              <w:pStyle w:val="Default"/>
              <w:rPr>
                <w:sz w:val="22"/>
                <w:szCs w:val="22"/>
              </w:rPr>
            </w:pPr>
          </w:p>
          <w:p w14:paraId="621DFFF8" w14:textId="77777777" w:rsidR="003237A8" w:rsidRPr="001300A9" w:rsidRDefault="003237A8" w:rsidP="00357CEC">
            <w:pPr>
              <w:pStyle w:val="Default"/>
              <w:rPr>
                <w:sz w:val="22"/>
                <w:szCs w:val="22"/>
              </w:rPr>
            </w:pPr>
          </w:p>
          <w:p w14:paraId="33F1C14F" w14:textId="77777777" w:rsidR="003237A8" w:rsidRPr="001300A9" w:rsidRDefault="003237A8" w:rsidP="00357CEC">
            <w:pPr>
              <w:pStyle w:val="Default"/>
              <w:rPr>
                <w:sz w:val="22"/>
                <w:szCs w:val="22"/>
              </w:rPr>
            </w:pPr>
          </w:p>
          <w:p w14:paraId="5C91C2F9" w14:textId="77777777" w:rsidR="003237A8" w:rsidRPr="001300A9" w:rsidRDefault="003237A8" w:rsidP="00357CEC">
            <w:pPr>
              <w:pStyle w:val="Default"/>
              <w:rPr>
                <w:sz w:val="22"/>
                <w:szCs w:val="22"/>
              </w:rPr>
            </w:pPr>
          </w:p>
          <w:p w14:paraId="5EF1AB0A" w14:textId="77777777" w:rsidR="003237A8" w:rsidRPr="001300A9" w:rsidRDefault="003237A8" w:rsidP="00357CEC">
            <w:pPr>
              <w:pStyle w:val="Default"/>
              <w:rPr>
                <w:sz w:val="22"/>
                <w:szCs w:val="22"/>
              </w:rPr>
            </w:pPr>
          </w:p>
          <w:p w14:paraId="783B7DA4" w14:textId="77777777" w:rsidR="003237A8" w:rsidRPr="001300A9" w:rsidRDefault="003237A8" w:rsidP="00357CEC">
            <w:pPr>
              <w:pStyle w:val="Default"/>
              <w:rPr>
                <w:sz w:val="22"/>
                <w:szCs w:val="22"/>
              </w:rPr>
            </w:pPr>
          </w:p>
          <w:p w14:paraId="1D4FE2B5" w14:textId="77777777" w:rsidR="003237A8" w:rsidRPr="001300A9" w:rsidRDefault="003237A8" w:rsidP="00357CEC">
            <w:pPr>
              <w:pStyle w:val="Default"/>
              <w:rPr>
                <w:sz w:val="22"/>
                <w:szCs w:val="22"/>
              </w:rPr>
            </w:pPr>
          </w:p>
          <w:p w14:paraId="1CB90369" w14:textId="77777777" w:rsidR="003237A8" w:rsidRPr="001300A9" w:rsidRDefault="003237A8" w:rsidP="00357CEC">
            <w:pPr>
              <w:pStyle w:val="Default"/>
              <w:rPr>
                <w:sz w:val="22"/>
                <w:szCs w:val="22"/>
              </w:rPr>
            </w:pPr>
          </w:p>
          <w:p w14:paraId="00C49BD4" w14:textId="77777777" w:rsidR="003237A8" w:rsidRPr="001300A9" w:rsidRDefault="003237A8" w:rsidP="00357CEC">
            <w:pPr>
              <w:pStyle w:val="Default"/>
              <w:rPr>
                <w:sz w:val="22"/>
                <w:szCs w:val="22"/>
              </w:rPr>
            </w:pPr>
          </w:p>
          <w:p w14:paraId="119ACED6" w14:textId="77777777" w:rsidR="003237A8" w:rsidRPr="001300A9" w:rsidRDefault="003237A8" w:rsidP="00357CEC">
            <w:pPr>
              <w:pStyle w:val="Default"/>
              <w:rPr>
                <w:sz w:val="22"/>
                <w:szCs w:val="22"/>
              </w:rPr>
            </w:pPr>
          </w:p>
          <w:p w14:paraId="7AFDB1C5" w14:textId="77777777" w:rsidR="003237A8" w:rsidRPr="001300A9" w:rsidRDefault="003237A8" w:rsidP="00357CEC">
            <w:pPr>
              <w:pStyle w:val="Default"/>
              <w:rPr>
                <w:sz w:val="22"/>
                <w:szCs w:val="22"/>
              </w:rPr>
            </w:pPr>
          </w:p>
          <w:p w14:paraId="1108665D" w14:textId="2EE11638" w:rsidR="003367CB" w:rsidRPr="001300A9" w:rsidRDefault="003367CB" w:rsidP="00357CEC">
            <w:pPr>
              <w:pStyle w:val="Default"/>
              <w:rPr>
                <w:sz w:val="22"/>
                <w:szCs w:val="22"/>
              </w:rPr>
            </w:pPr>
          </w:p>
          <w:p w14:paraId="6F613E21" w14:textId="77777777" w:rsidR="00190F49" w:rsidRDefault="00190F49" w:rsidP="00357CEC">
            <w:pPr>
              <w:pStyle w:val="Default"/>
              <w:rPr>
                <w:sz w:val="22"/>
                <w:szCs w:val="22"/>
              </w:rPr>
            </w:pPr>
          </w:p>
          <w:p w14:paraId="6D841ED2" w14:textId="472B9E35" w:rsidR="00357CEC" w:rsidRPr="001300A9" w:rsidRDefault="00357CEC" w:rsidP="00357CEC">
            <w:pPr>
              <w:pStyle w:val="Default"/>
              <w:rPr>
                <w:sz w:val="22"/>
                <w:szCs w:val="22"/>
              </w:rPr>
            </w:pPr>
            <w:proofErr w:type="spellStart"/>
            <w:r w:rsidRPr="001300A9">
              <w:rPr>
                <w:sz w:val="22"/>
                <w:szCs w:val="22"/>
              </w:rPr>
              <w:t>n.a</w:t>
            </w:r>
            <w:proofErr w:type="spellEnd"/>
            <w:r w:rsidRPr="001300A9">
              <w:rPr>
                <w:sz w:val="22"/>
                <w:szCs w:val="22"/>
              </w:rPr>
              <w:t>.</w:t>
            </w:r>
          </w:p>
          <w:p w14:paraId="009F5F52" w14:textId="77777777" w:rsidR="00357CEC" w:rsidRPr="001300A9" w:rsidRDefault="00357CEC" w:rsidP="00357CEC">
            <w:pPr>
              <w:pStyle w:val="Default"/>
              <w:rPr>
                <w:sz w:val="22"/>
                <w:szCs w:val="22"/>
              </w:rPr>
            </w:pPr>
          </w:p>
          <w:p w14:paraId="7D18782B" w14:textId="77777777" w:rsidR="00357CEC" w:rsidRPr="001300A9" w:rsidRDefault="00357CEC" w:rsidP="00357CEC">
            <w:pPr>
              <w:pStyle w:val="Default"/>
              <w:rPr>
                <w:sz w:val="22"/>
                <w:szCs w:val="22"/>
              </w:rPr>
            </w:pPr>
          </w:p>
          <w:p w14:paraId="2EC71058" w14:textId="77777777" w:rsidR="00357CEC" w:rsidRPr="001300A9" w:rsidRDefault="00357CEC" w:rsidP="00357CEC">
            <w:pPr>
              <w:pStyle w:val="Default"/>
              <w:rPr>
                <w:sz w:val="22"/>
                <w:szCs w:val="22"/>
              </w:rPr>
            </w:pPr>
          </w:p>
          <w:p w14:paraId="25CAD59D" w14:textId="77777777" w:rsidR="00357CEC" w:rsidRPr="001300A9" w:rsidRDefault="00357CEC" w:rsidP="00357CEC">
            <w:pPr>
              <w:pStyle w:val="Default"/>
              <w:rPr>
                <w:sz w:val="22"/>
                <w:szCs w:val="22"/>
              </w:rPr>
            </w:pPr>
          </w:p>
          <w:p w14:paraId="7171B31C" w14:textId="77777777" w:rsidR="00357CEC" w:rsidRPr="001300A9" w:rsidRDefault="00357CEC" w:rsidP="00357CEC">
            <w:pPr>
              <w:pStyle w:val="Default"/>
              <w:rPr>
                <w:sz w:val="22"/>
                <w:szCs w:val="22"/>
              </w:rPr>
            </w:pPr>
          </w:p>
          <w:p w14:paraId="31F13986" w14:textId="77777777" w:rsidR="00357CEC" w:rsidRPr="001300A9" w:rsidRDefault="00357CEC" w:rsidP="00357CEC">
            <w:pPr>
              <w:pStyle w:val="Default"/>
              <w:rPr>
                <w:sz w:val="22"/>
                <w:szCs w:val="22"/>
              </w:rPr>
            </w:pPr>
          </w:p>
          <w:p w14:paraId="0E38A95E" w14:textId="77777777" w:rsidR="00357CEC" w:rsidRPr="001300A9" w:rsidRDefault="00357CEC" w:rsidP="00357CEC">
            <w:pPr>
              <w:pStyle w:val="Default"/>
              <w:rPr>
                <w:sz w:val="22"/>
                <w:szCs w:val="22"/>
              </w:rPr>
            </w:pPr>
          </w:p>
          <w:p w14:paraId="2EC62CE7" w14:textId="77777777" w:rsidR="00357CEC" w:rsidRPr="001300A9" w:rsidRDefault="00357CEC" w:rsidP="00357CEC">
            <w:pPr>
              <w:pStyle w:val="Default"/>
              <w:rPr>
                <w:sz w:val="22"/>
                <w:szCs w:val="22"/>
              </w:rPr>
            </w:pPr>
          </w:p>
          <w:p w14:paraId="03B564C6" w14:textId="77777777" w:rsidR="00357CEC" w:rsidRPr="001300A9" w:rsidRDefault="00357CEC" w:rsidP="00357CEC">
            <w:pPr>
              <w:pStyle w:val="Default"/>
              <w:rPr>
                <w:sz w:val="22"/>
                <w:szCs w:val="22"/>
              </w:rPr>
            </w:pPr>
          </w:p>
          <w:p w14:paraId="60E7C503" w14:textId="77777777" w:rsidR="00357CEC" w:rsidRPr="001300A9" w:rsidRDefault="00357CEC" w:rsidP="00357CEC">
            <w:pPr>
              <w:pStyle w:val="Default"/>
              <w:rPr>
                <w:sz w:val="22"/>
                <w:szCs w:val="22"/>
              </w:rPr>
            </w:pPr>
          </w:p>
          <w:p w14:paraId="367DF010" w14:textId="77777777" w:rsidR="00C31279" w:rsidRPr="001300A9" w:rsidRDefault="00C31279" w:rsidP="00357CEC">
            <w:pPr>
              <w:pStyle w:val="Default"/>
              <w:rPr>
                <w:sz w:val="22"/>
                <w:szCs w:val="22"/>
              </w:rPr>
            </w:pPr>
          </w:p>
          <w:p w14:paraId="186F65D7" w14:textId="77777777" w:rsidR="00C31279" w:rsidRPr="001300A9" w:rsidRDefault="00C31279" w:rsidP="00357CEC">
            <w:pPr>
              <w:pStyle w:val="Default"/>
              <w:rPr>
                <w:sz w:val="22"/>
                <w:szCs w:val="22"/>
              </w:rPr>
            </w:pPr>
          </w:p>
          <w:p w14:paraId="04A29C49" w14:textId="77777777" w:rsidR="00C31279" w:rsidRPr="001300A9" w:rsidRDefault="00C31279" w:rsidP="00357CEC">
            <w:pPr>
              <w:pStyle w:val="Default"/>
              <w:rPr>
                <w:sz w:val="22"/>
                <w:szCs w:val="22"/>
              </w:rPr>
            </w:pPr>
          </w:p>
          <w:p w14:paraId="6D525251" w14:textId="77777777" w:rsidR="00C31279" w:rsidRPr="001300A9" w:rsidRDefault="00C31279" w:rsidP="00357CEC">
            <w:pPr>
              <w:pStyle w:val="Default"/>
              <w:rPr>
                <w:sz w:val="22"/>
                <w:szCs w:val="22"/>
              </w:rPr>
            </w:pPr>
          </w:p>
          <w:p w14:paraId="0A2CD74E" w14:textId="77777777" w:rsidR="00C31279" w:rsidRPr="001300A9" w:rsidRDefault="00C31279" w:rsidP="00357CEC">
            <w:pPr>
              <w:pStyle w:val="Default"/>
              <w:rPr>
                <w:sz w:val="22"/>
                <w:szCs w:val="22"/>
              </w:rPr>
            </w:pPr>
          </w:p>
          <w:p w14:paraId="754C71C5" w14:textId="77777777" w:rsidR="00C31279" w:rsidRPr="001300A9" w:rsidRDefault="00C31279" w:rsidP="00357CEC">
            <w:pPr>
              <w:pStyle w:val="Default"/>
              <w:rPr>
                <w:sz w:val="22"/>
                <w:szCs w:val="22"/>
              </w:rPr>
            </w:pPr>
          </w:p>
          <w:p w14:paraId="10B599BE" w14:textId="77777777" w:rsidR="00C31279" w:rsidRPr="001300A9" w:rsidRDefault="00C31279" w:rsidP="00357CEC">
            <w:pPr>
              <w:pStyle w:val="Default"/>
              <w:rPr>
                <w:sz w:val="22"/>
                <w:szCs w:val="22"/>
              </w:rPr>
            </w:pPr>
          </w:p>
          <w:p w14:paraId="21D7B537" w14:textId="77777777" w:rsidR="00C31279" w:rsidRPr="001300A9" w:rsidRDefault="00C31279" w:rsidP="00357CEC">
            <w:pPr>
              <w:pStyle w:val="Default"/>
              <w:rPr>
                <w:sz w:val="22"/>
                <w:szCs w:val="22"/>
              </w:rPr>
            </w:pPr>
          </w:p>
          <w:p w14:paraId="6B4FB261" w14:textId="77777777" w:rsidR="00C31279" w:rsidRPr="001300A9" w:rsidRDefault="00C31279" w:rsidP="00357CEC">
            <w:pPr>
              <w:pStyle w:val="Default"/>
              <w:rPr>
                <w:sz w:val="22"/>
                <w:szCs w:val="22"/>
              </w:rPr>
            </w:pPr>
          </w:p>
          <w:p w14:paraId="6B7B244E" w14:textId="77777777" w:rsidR="00C31279" w:rsidRPr="001300A9" w:rsidRDefault="00C31279" w:rsidP="00357CEC">
            <w:pPr>
              <w:pStyle w:val="Default"/>
              <w:rPr>
                <w:sz w:val="22"/>
                <w:szCs w:val="22"/>
              </w:rPr>
            </w:pPr>
          </w:p>
          <w:p w14:paraId="6E2CA1EB" w14:textId="77777777" w:rsidR="00C31279" w:rsidRPr="001300A9" w:rsidRDefault="00C31279" w:rsidP="00357CEC">
            <w:pPr>
              <w:pStyle w:val="Default"/>
              <w:rPr>
                <w:sz w:val="22"/>
                <w:szCs w:val="22"/>
              </w:rPr>
            </w:pPr>
          </w:p>
          <w:p w14:paraId="414CAFA1" w14:textId="77777777" w:rsidR="00C31279" w:rsidRPr="001300A9" w:rsidRDefault="00C31279" w:rsidP="00357CEC">
            <w:pPr>
              <w:pStyle w:val="Default"/>
              <w:rPr>
                <w:sz w:val="22"/>
                <w:szCs w:val="22"/>
              </w:rPr>
            </w:pPr>
          </w:p>
          <w:p w14:paraId="35FA85B0" w14:textId="77777777" w:rsidR="00C31279" w:rsidRPr="001300A9" w:rsidRDefault="00C31279" w:rsidP="00357CEC">
            <w:pPr>
              <w:pStyle w:val="Default"/>
              <w:rPr>
                <w:sz w:val="22"/>
                <w:szCs w:val="22"/>
              </w:rPr>
            </w:pPr>
          </w:p>
          <w:p w14:paraId="66E76E60" w14:textId="77777777" w:rsidR="00C31279" w:rsidRPr="001300A9" w:rsidRDefault="00C31279" w:rsidP="00357CEC">
            <w:pPr>
              <w:pStyle w:val="Default"/>
              <w:rPr>
                <w:sz w:val="22"/>
                <w:szCs w:val="22"/>
              </w:rPr>
            </w:pPr>
          </w:p>
          <w:p w14:paraId="6073D350" w14:textId="69703420" w:rsidR="00C31279" w:rsidRPr="001300A9" w:rsidRDefault="00C31279" w:rsidP="00357CEC">
            <w:pPr>
              <w:pStyle w:val="Default"/>
              <w:rPr>
                <w:sz w:val="22"/>
                <w:szCs w:val="22"/>
              </w:rPr>
            </w:pPr>
          </w:p>
          <w:p w14:paraId="228D3666" w14:textId="77777777" w:rsidR="00432DB8" w:rsidRDefault="00432DB8" w:rsidP="00357CEC">
            <w:pPr>
              <w:pStyle w:val="Default"/>
              <w:rPr>
                <w:sz w:val="22"/>
                <w:szCs w:val="22"/>
              </w:rPr>
            </w:pPr>
          </w:p>
          <w:p w14:paraId="567E85B1" w14:textId="601862A5" w:rsidR="00357CEC" w:rsidRPr="001300A9" w:rsidRDefault="00357CEC" w:rsidP="00357CEC">
            <w:pPr>
              <w:pStyle w:val="Default"/>
              <w:rPr>
                <w:sz w:val="22"/>
                <w:szCs w:val="22"/>
              </w:rPr>
            </w:pPr>
            <w:r w:rsidRPr="001300A9">
              <w:rPr>
                <w:sz w:val="22"/>
                <w:szCs w:val="22"/>
              </w:rPr>
              <w:t xml:space="preserve">N </w:t>
            </w:r>
          </w:p>
          <w:p w14:paraId="4EDBCB24" w14:textId="77777777" w:rsidR="00357CEC" w:rsidRPr="001300A9" w:rsidRDefault="00357CEC" w:rsidP="00357CEC">
            <w:pPr>
              <w:pStyle w:val="Default"/>
              <w:rPr>
                <w:sz w:val="22"/>
                <w:szCs w:val="22"/>
              </w:rPr>
            </w:pPr>
          </w:p>
          <w:p w14:paraId="610CF6DF" w14:textId="77777777" w:rsidR="00357CEC" w:rsidRPr="001300A9" w:rsidRDefault="00357CEC" w:rsidP="00357CEC">
            <w:pPr>
              <w:pStyle w:val="Default"/>
              <w:rPr>
                <w:sz w:val="22"/>
                <w:szCs w:val="22"/>
              </w:rPr>
            </w:pPr>
          </w:p>
          <w:p w14:paraId="4967BE33" w14:textId="77777777" w:rsidR="00C31279" w:rsidRPr="001300A9" w:rsidRDefault="00C31279" w:rsidP="00357CEC">
            <w:pPr>
              <w:pStyle w:val="Default"/>
              <w:rPr>
                <w:sz w:val="22"/>
                <w:szCs w:val="22"/>
              </w:rPr>
            </w:pPr>
          </w:p>
          <w:p w14:paraId="2BF887AA" w14:textId="77777777" w:rsidR="00C31279" w:rsidRPr="001300A9" w:rsidRDefault="00C31279" w:rsidP="00357CEC">
            <w:pPr>
              <w:pStyle w:val="Default"/>
              <w:rPr>
                <w:sz w:val="22"/>
                <w:szCs w:val="22"/>
              </w:rPr>
            </w:pPr>
          </w:p>
          <w:p w14:paraId="78795620" w14:textId="77777777" w:rsidR="00C31279" w:rsidRPr="001300A9" w:rsidRDefault="00C31279" w:rsidP="00357CEC">
            <w:pPr>
              <w:pStyle w:val="Default"/>
              <w:rPr>
                <w:sz w:val="22"/>
                <w:szCs w:val="22"/>
              </w:rPr>
            </w:pPr>
          </w:p>
          <w:p w14:paraId="61EA13DE" w14:textId="77777777" w:rsidR="00C31279" w:rsidRPr="001300A9" w:rsidRDefault="00C31279" w:rsidP="00357CEC">
            <w:pPr>
              <w:pStyle w:val="Default"/>
              <w:rPr>
                <w:sz w:val="22"/>
                <w:szCs w:val="22"/>
              </w:rPr>
            </w:pPr>
          </w:p>
          <w:p w14:paraId="6C090A6E" w14:textId="77777777" w:rsidR="00C31279" w:rsidRPr="001300A9" w:rsidRDefault="00C31279" w:rsidP="00357CEC">
            <w:pPr>
              <w:pStyle w:val="Default"/>
              <w:rPr>
                <w:sz w:val="22"/>
                <w:szCs w:val="22"/>
              </w:rPr>
            </w:pPr>
          </w:p>
          <w:p w14:paraId="31E2158C" w14:textId="77777777" w:rsidR="00357CEC" w:rsidRPr="001300A9" w:rsidRDefault="00357CEC" w:rsidP="00357CEC">
            <w:pPr>
              <w:pStyle w:val="Default"/>
              <w:rPr>
                <w:sz w:val="22"/>
                <w:szCs w:val="22"/>
              </w:rPr>
            </w:pPr>
            <w:proofErr w:type="spellStart"/>
            <w:r w:rsidRPr="001300A9">
              <w:rPr>
                <w:sz w:val="22"/>
                <w:szCs w:val="22"/>
              </w:rPr>
              <w:t>n.a</w:t>
            </w:r>
            <w:proofErr w:type="spellEnd"/>
            <w:r w:rsidRPr="001300A9">
              <w:rPr>
                <w:sz w:val="22"/>
                <w:szCs w:val="22"/>
              </w:rPr>
              <w:t>.</w:t>
            </w:r>
          </w:p>
          <w:p w14:paraId="496171CD" w14:textId="77777777" w:rsidR="00357CEC" w:rsidRPr="001300A9" w:rsidRDefault="00357CEC" w:rsidP="00357CEC">
            <w:pPr>
              <w:pStyle w:val="Default"/>
              <w:rPr>
                <w:sz w:val="22"/>
                <w:szCs w:val="22"/>
              </w:rPr>
            </w:pPr>
          </w:p>
          <w:p w14:paraId="3A57AC6D" w14:textId="77777777" w:rsidR="00357CEC" w:rsidRPr="001300A9" w:rsidRDefault="00357CEC" w:rsidP="00357CEC">
            <w:pPr>
              <w:pStyle w:val="Default"/>
              <w:rPr>
                <w:sz w:val="22"/>
                <w:szCs w:val="22"/>
              </w:rPr>
            </w:pPr>
          </w:p>
          <w:p w14:paraId="507E9B1A" w14:textId="77777777" w:rsidR="00357CEC" w:rsidRPr="001300A9" w:rsidRDefault="00357CEC" w:rsidP="00357CEC">
            <w:pPr>
              <w:pStyle w:val="Default"/>
              <w:rPr>
                <w:sz w:val="22"/>
                <w:szCs w:val="22"/>
              </w:rPr>
            </w:pPr>
          </w:p>
          <w:p w14:paraId="2411158E" w14:textId="77777777" w:rsidR="00C31279" w:rsidRPr="001300A9" w:rsidRDefault="00C31279" w:rsidP="00357CEC">
            <w:pPr>
              <w:pStyle w:val="Default"/>
              <w:rPr>
                <w:sz w:val="22"/>
                <w:szCs w:val="22"/>
              </w:rPr>
            </w:pPr>
          </w:p>
          <w:p w14:paraId="3E74ABA6" w14:textId="77777777" w:rsidR="00C31279" w:rsidRPr="001300A9" w:rsidRDefault="00C31279" w:rsidP="00357CEC">
            <w:pPr>
              <w:pStyle w:val="Default"/>
              <w:rPr>
                <w:sz w:val="22"/>
                <w:szCs w:val="22"/>
              </w:rPr>
            </w:pPr>
          </w:p>
          <w:p w14:paraId="1CE9C896" w14:textId="77777777" w:rsidR="00C31279" w:rsidRPr="001300A9" w:rsidRDefault="00C31279" w:rsidP="00357CEC">
            <w:pPr>
              <w:pStyle w:val="Default"/>
              <w:rPr>
                <w:sz w:val="22"/>
                <w:szCs w:val="22"/>
              </w:rPr>
            </w:pPr>
          </w:p>
          <w:p w14:paraId="4FC0EEB2" w14:textId="77777777" w:rsidR="00357CEC" w:rsidRPr="001300A9" w:rsidRDefault="00357CEC" w:rsidP="00357CEC">
            <w:pPr>
              <w:pStyle w:val="Default"/>
              <w:rPr>
                <w:sz w:val="22"/>
                <w:szCs w:val="22"/>
              </w:rPr>
            </w:pPr>
            <w:proofErr w:type="spellStart"/>
            <w:r w:rsidRPr="001300A9">
              <w:rPr>
                <w:sz w:val="22"/>
                <w:szCs w:val="22"/>
              </w:rPr>
              <w:t>n.a</w:t>
            </w:r>
            <w:proofErr w:type="spellEnd"/>
            <w:r w:rsidRPr="001300A9">
              <w:rPr>
                <w:sz w:val="22"/>
                <w:szCs w:val="22"/>
              </w:rPr>
              <w:t>.</w:t>
            </w:r>
          </w:p>
        </w:tc>
        <w:tc>
          <w:tcPr>
            <w:tcW w:w="283" w:type="dxa"/>
          </w:tcPr>
          <w:p w14:paraId="492BA58C" w14:textId="77777777" w:rsidR="00357CEC" w:rsidRDefault="00452B3F" w:rsidP="00357CEC">
            <w:pPr>
              <w:pStyle w:val="Default"/>
              <w:rPr>
                <w:sz w:val="22"/>
                <w:szCs w:val="22"/>
              </w:rPr>
            </w:pPr>
            <w:r>
              <w:rPr>
                <w:sz w:val="22"/>
                <w:szCs w:val="22"/>
              </w:rPr>
              <w:lastRenderedPageBreak/>
              <w:t>NZ</w:t>
            </w:r>
          </w:p>
          <w:p w14:paraId="43301380" w14:textId="77777777" w:rsidR="00452B3F" w:rsidRDefault="00452B3F" w:rsidP="00357CEC">
            <w:pPr>
              <w:pStyle w:val="Default"/>
              <w:rPr>
                <w:sz w:val="22"/>
                <w:szCs w:val="22"/>
              </w:rPr>
            </w:pPr>
          </w:p>
          <w:p w14:paraId="23A1438C" w14:textId="77777777" w:rsidR="00452B3F" w:rsidRDefault="00452B3F" w:rsidP="00357CEC">
            <w:pPr>
              <w:pStyle w:val="Default"/>
              <w:rPr>
                <w:sz w:val="22"/>
                <w:szCs w:val="22"/>
              </w:rPr>
            </w:pPr>
          </w:p>
          <w:p w14:paraId="7BA8E120" w14:textId="77777777" w:rsidR="00452B3F" w:rsidRDefault="00452B3F" w:rsidP="00357CEC">
            <w:pPr>
              <w:pStyle w:val="Default"/>
              <w:rPr>
                <w:sz w:val="22"/>
                <w:szCs w:val="22"/>
              </w:rPr>
            </w:pPr>
          </w:p>
          <w:p w14:paraId="3991FDBA" w14:textId="77777777" w:rsidR="00452B3F" w:rsidRDefault="00452B3F" w:rsidP="00357CEC">
            <w:pPr>
              <w:pStyle w:val="Default"/>
              <w:rPr>
                <w:sz w:val="22"/>
                <w:szCs w:val="22"/>
              </w:rPr>
            </w:pPr>
          </w:p>
          <w:p w14:paraId="448F7341" w14:textId="77777777" w:rsidR="00452B3F" w:rsidRDefault="00452B3F" w:rsidP="00357CEC">
            <w:pPr>
              <w:pStyle w:val="Default"/>
              <w:rPr>
                <w:sz w:val="22"/>
                <w:szCs w:val="22"/>
              </w:rPr>
            </w:pPr>
          </w:p>
          <w:p w14:paraId="55BE3FE4" w14:textId="77777777" w:rsidR="00452B3F" w:rsidRDefault="00452B3F" w:rsidP="00357CEC">
            <w:pPr>
              <w:pStyle w:val="Default"/>
              <w:rPr>
                <w:sz w:val="22"/>
                <w:szCs w:val="22"/>
              </w:rPr>
            </w:pPr>
          </w:p>
          <w:p w14:paraId="3DEBFA56" w14:textId="77777777" w:rsidR="00452B3F" w:rsidRDefault="00452B3F" w:rsidP="00357CEC">
            <w:pPr>
              <w:pStyle w:val="Default"/>
              <w:rPr>
                <w:sz w:val="22"/>
                <w:szCs w:val="22"/>
              </w:rPr>
            </w:pPr>
          </w:p>
          <w:p w14:paraId="21062DAA" w14:textId="77777777" w:rsidR="00452B3F" w:rsidRDefault="00452B3F" w:rsidP="00357CEC">
            <w:pPr>
              <w:pStyle w:val="Default"/>
              <w:rPr>
                <w:sz w:val="22"/>
                <w:szCs w:val="22"/>
              </w:rPr>
            </w:pPr>
          </w:p>
          <w:p w14:paraId="373249BD" w14:textId="77777777" w:rsidR="00452B3F" w:rsidRDefault="00452B3F" w:rsidP="00357CEC">
            <w:pPr>
              <w:pStyle w:val="Default"/>
              <w:rPr>
                <w:sz w:val="22"/>
                <w:szCs w:val="22"/>
              </w:rPr>
            </w:pPr>
          </w:p>
          <w:p w14:paraId="031A0BE2" w14:textId="77777777" w:rsidR="00452B3F" w:rsidRDefault="00452B3F" w:rsidP="00357CEC">
            <w:pPr>
              <w:pStyle w:val="Default"/>
              <w:rPr>
                <w:sz w:val="22"/>
                <w:szCs w:val="22"/>
              </w:rPr>
            </w:pPr>
          </w:p>
          <w:p w14:paraId="42A6D521" w14:textId="77777777" w:rsidR="00452B3F" w:rsidRDefault="00452B3F" w:rsidP="00357CEC">
            <w:pPr>
              <w:pStyle w:val="Default"/>
              <w:rPr>
                <w:sz w:val="22"/>
                <w:szCs w:val="22"/>
              </w:rPr>
            </w:pPr>
          </w:p>
          <w:p w14:paraId="01D25DDF" w14:textId="77777777" w:rsidR="00452B3F" w:rsidRDefault="00452B3F" w:rsidP="00357CEC">
            <w:pPr>
              <w:pStyle w:val="Default"/>
              <w:rPr>
                <w:sz w:val="22"/>
                <w:szCs w:val="22"/>
              </w:rPr>
            </w:pPr>
          </w:p>
          <w:p w14:paraId="71652C63" w14:textId="77777777" w:rsidR="00452B3F" w:rsidRDefault="00452B3F" w:rsidP="00357CEC">
            <w:pPr>
              <w:pStyle w:val="Default"/>
              <w:rPr>
                <w:sz w:val="22"/>
                <w:szCs w:val="22"/>
              </w:rPr>
            </w:pPr>
          </w:p>
          <w:p w14:paraId="20BAB195" w14:textId="77777777" w:rsidR="00452B3F" w:rsidRDefault="00452B3F" w:rsidP="00357CEC">
            <w:pPr>
              <w:pStyle w:val="Default"/>
              <w:rPr>
                <w:sz w:val="22"/>
                <w:szCs w:val="22"/>
              </w:rPr>
            </w:pPr>
          </w:p>
          <w:p w14:paraId="41969F8E" w14:textId="77777777" w:rsidR="00452B3F" w:rsidRDefault="00452B3F" w:rsidP="00357CEC">
            <w:pPr>
              <w:pStyle w:val="Default"/>
              <w:rPr>
                <w:sz w:val="22"/>
                <w:szCs w:val="22"/>
              </w:rPr>
            </w:pPr>
          </w:p>
          <w:p w14:paraId="5D0BC461" w14:textId="77777777" w:rsidR="00452B3F" w:rsidRDefault="00452B3F" w:rsidP="00357CEC">
            <w:pPr>
              <w:pStyle w:val="Default"/>
              <w:rPr>
                <w:sz w:val="22"/>
                <w:szCs w:val="22"/>
              </w:rPr>
            </w:pPr>
          </w:p>
          <w:p w14:paraId="7E804D9D" w14:textId="77777777" w:rsidR="00452B3F" w:rsidRDefault="00452B3F" w:rsidP="00357CEC">
            <w:pPr>
              <w:pStyle w:val="Default"/>
              <w:rPr>
                <w:sz w:val="22"/>
                <w:szCs w:val="22"/>
              </w:rPr>
            </w:pPr>
          </w:p>
          <w:p w14:paraId="6430BC5A" w14:textId="77777777" w:rsidR="00452B3F" w:rsidRDefault="00452B3F" w:rsidP="00357CEC">
            <w:pPr>
              <w:pStyle w:val="Default"/>
              <w:rPr>
                <w:sz w:val="22"/>
                <w:szCs w:val="22"/>
              </w:rPr>
            </w:pPr>
          </w:p>
          <w:p w14:paraId="4A461CBC" w14:textId="77777777" w:rsidR="00452B3F" w:rsidRDefault="00452B3F" w:rsidP="00357CEC">
            <w:pPr>
              <w:pStyle w:val="Default"/>
              <w:rPr>
                <w:sz w:val="22"/>
                <w:szCs w:val="22"/>
              </w:rPr>
            </w:pPr>
          </w:p>
          <w:p w14:paraId="0ABCF60D" w14:textId="77777777" w:rsidR="00452B3F" w:rsidRDefault="00452B3F" w:rsidP="00357CEC">
            <w:pPr>
              <w:pStyle w:val="Default"/>
              <w:rPr>
                <w:sz w:val="22"/>
                <w:szCs w:val="22"/>
              </w:rPr>
            </w:pPr>
          </w:p>
          <w:p w14:paraId="14E67722" w14:textId="77777777" w:rsidR="00452B3F" w:rsidRDefault="00452B3F" w:rsidP="00357CEC">
            <w:pPr>
              <w:pStyle w:val="Default"/>
              <w:rPr>
                <w:sz w:val="22"/>
                <w:szCs w:val="22"/>
              </w:rPr>
            </w:pPr>
          </w:p>
          <w:p w14:paraId="70C6D451" w14:textId="77777777" w:rsidR="00452B3F" w:rsidRDefault="00452B3F" w:rsidP="00357CEC">
            <w:pPr>
              <w:pStyle w:val="Default"/>
              <w:rPr>
                <w:sz w:val="22"/>
                <w:szCs w:val="22"/>
              </w:rPr>
            </w:pPr>
          </w:p>
          <w:p w14:paraId="300529A7" w14:textId="77777777" w:rsidR="00452B3F" w:rsidRDefault="00452B3F" w:rsidP="00357CEC">
            <w:pPr>
              <w:pStyle w:val="Default"/>
              <w:rPr>
                <w:sz w:val="22"/>
                <w:szCs w:val="22"/>
              </w:rPr>
            </w:pPr>
          </w:p>
          <w:p w14:paraId="2E7B202C" w14:textId="77777777" w:rsidR="00452B3F" w:rsidRDefault="00452B3F" w:rsidP="00357CEC">
            <w:pPr>
              <w:pStyle w:val="Default"/>
              <w:rPr>
                <w:sz w:val="22"/>
                <w:szCs w:val="22"/>
              </w:rPr>
            </w:pPr>
          </w:p>
          <w:p w14:paraId="162CA169" w14:textId="77777777" w:rsidR="00452B3F" w:rsidRDefault="00452B3F" w:rsidP="00357CEC">
            <w:pPr>
              <w:pStyle w:val="Default"/>
              <w:rPr>
                <w:sz w:val="22"/>
                <w:szCs w:val="22"/>
              </w:rPr>
            </w:pPr>
          </w:p>
          <w:p w14:paraId="279E0427" w14:textId="77777777" w:rsidR="00452B3F" w:rsidRDefault="00452B3F" w:rsidP="00357CEC">
            <w:pPr>
              <w:pStyle w:val="Default"/>
              <w:rPr>
                <w:sz w:val="22"/>
                <w:szCs w:val="22"/>
              </w:rPr>
            </w:pPr>
          </w:p>
          <w:p w14:paraId="72F07E72" w14:textId="77777777" w:rsidR="00452B3F" w:rsidRDefault="00452B3F" w:rsidP="00357CEC">
            <w:pPr>
              <w:pStyle w:val="Default"/>
              <w:rPr>
                <w:sz w:val="22"/>
                <w:szCs w:val="22"/>
              </w:rPr>
            </w:pPr>
          </w:p>
          <w:p w14:paraId="37852B1D" w14:textId="77777777" w:rsidR="00452B3F" w:rsidRDefault="00452B3F" w:rsidP="00357CEC">
            <w:pPr>
              <w:pStyle w:val="Default"/>
              <w:rPr>
                <w:sz w:val="22"/>
                <w:szCs w:val="22"/>
              </w:rPr>
            </w:pPr>
          </w:p>
          <w:p w14:paraId="7C6A3227" w14:textId="77777777" w:rsidR="00452B3F" w:rsidRDefault="00452B3F" w:rsidP="00357CEC">
            <w:pPr>
              <w:pStyle w:val="Default"/>
              <w:rPr>
                <w:sz w:val="22"/>
                <w:szCs w:val="22"/>
              </w:rPr>
            </w:pPr>
          </w:p>
          <w:p w14:paraId="227C9A9B" w14:textId="77777777" w:rsidR="00452B3F" w:rsidRDefault="00452B3F" w:rsidP="00357CEC">
            <w:pPr>
              <w:pStyle w:val="Default"/>
              <w:rPr>
                <w:sz w:val="22"/>
                <w:szCs w:val="22"/>
              </w:rPr>
            </w:pPr>
          </w:p>
          <w:p w14:paraId="480064BF" w14:textId="77777777" w:rsidR="00452B3F" w:rsidRDefault="00452B3F" w:rsidP="00357CEC">
            <w:pPr>
              <w:pStyle w:val="Default"/>
              <w:rPr>
                <w:sz w:val="22"/>
                <w:szCs w:val="22"/>
              </w:rPr>
            </w:pPr>
          </w:p>
          <w:p w14:paraId="0F365C22" w14:textId="77777777" w:rsidR="00452B3F" w:rsidRDefault="00452B3F" w:rsidP="00357CEC">
            <w:pPr>
              <w:pStyle w:val="Default"/>
              <w:rPr>
                <w:sz w:val="22"/>
                <w:szCs w:val="22"/>
              </w:rPr>
            </w:pPr>
          </w:p>
          <w:p w14:paraId="4E289D20" w14:textId="77777777" w:rsidR="00452B3F" w:rsidRDefault="00452B3F" w:rsidP="00357CEC">
            <w:pPr>
              <w:pStyle w:val="Default"/>
              <w:rPr>
                <w:sz w:val="22"/>
                <w:szCs w:val="22"/>
              </w:rPr>
            </w:pPr>
          </w:p>
          <w:p w14:paraId="0B4AC2FC" w14:textId="77777777" w:rsidR="00452B3F" w:rsidRDefault="00452B3F" w:rsidP="00357CEC">
            <w:pPr>
              <w:pStyle w:val="Default"/>
              <w:rPr>
                <w:sz w:val="22"/>
                <w:szCs w:val="22"/>
              </w:rPr>
            </w:pPr>
          </w:p>
          <w:p w14:paraId="472FE265" w14:textId="77777777" w:rsidR="00452B3F" w:rsidRDefault="00452B3F" w:rsidP="00357CEC">
            <w:pPr>
              <w:pStyle w:val="Default"/>
              <w:rPr>
                <w:sz w:val="22"/>
                <w:szCs w:val="22"/>
              </w:rPr>
            </w:pPr>
          </w:p>
          <w:p w14:paraId="77D89491" w14:textId="77777777" w:rsidR="00452B3F" w:rsidRDefault="00452B3F" w:rsidP="00357CEC">
            <w:pPr>
              <w:pStyle w:val="Default"/>
              <w:rPr>
                <w:sz w:val="22"/>
                <w:szCs w:val="22"/>
              </w:rPr>
            </w:pPr>
          </w:p>
          <w:p w14:paraId="081476EF" w14:textId="77777777" w:rsidR="00452B3F" w:rsidRDefault="00452B3F" w:rsidP="00357CEC">
            <w:pPr>
              <w:pStyle w:val="Default"/>
              <w:rPr>
                <w:sz w:val="22"/>
                <w:szCs w:val="22"/>
              </w:rPr>
            </w:pPr>
          </w:p>
          <w:p w14:paraId="2F397638" w14:textId="77777777" w:rsidR="00452B3F" w:rsidRDefault="00452B3F" w:rsidP="00357CEC">
            <w:pPr>
              <w:pStyle w:val="Default"/>
              <w:rPr>
                <w:sz w:val="22"/>
                <w:szCs w:val="22"/>
              </w:rPr>
            </w:pPr>
          </w:p>
          <w:p w14:paraId="22917061" w14:textId="77777777" w:rsidR="00452B3F" w:rsidRDefault="00452B3F" w:rsidP="00357CEC">
            <w:pPr>
              <w:pStyle w:val="Default"/>
              <w:rPr>
                <w:sz w:val="22"/>
                <w:szCs w:val="22"/>
              </w:rPr>
            </w:pPr>
          </w:p>
          <w:p w14:paraId="14B6048F" w14:textId="77777777" w:rsidR="00452B3F" w:rsidRDefault="00452B3F" w:rsidP="00357CEC">
            <w:pPr>
              <w:pStyle w:val="Default"/>
              <w:rPr>
                <w:sz w:val="22"/>
                <w:szCs w:val="22"/>
              </w:rPr>
            </w:pPr>
          </w:p>
          <w:p w14:paraId="278E250A" w14:textId="77777777" w:rsidR="00452B3F" w:rsidRDefault="00452B3F" w:rsidP="00357CEC">
            <w:pPr>
              <w:pStyle w:val="Default"/>
              <w:rPr>
                <w:sz w:val="22"/>
                <w:szCs w:val="22"/>
              </w:rPr>
            </w:pPr>
          </w:p>
          <w:p w14:paraId="277523CD" w14:textId="77777777" w:rsidR="00452B3F" w:rsidRDefault="00452B3F" w:rsidP="00357CEC">
            <w:pPr>
              <w:pStyle w:val="Default"/>
              <w:rPr>
                <w:sz w:val="22"/>
                <w:szCs w:val="22"/>
              </w:rPr>
            </w:pPr>
          </w:p>
          <w:p w14:paraId="0099DF94" w14:textId="77777777" w:rsidR="00452B3F" w:rsidRDefault="00452B3F" w:rsidP="00357CEC">
            <w:pPr>
              <w:pStyle w:val="Default"/>
              <w:rPr>
                <w:sz w:val="22"/>
                <w:szCs w:val="22"/>
              </w:rPr>
            </w:pPr>
          </w:p>
          <w:p w14:paraId="19EDF56E" w14:textId="77777777" w:rsidR="00452B3F" w:rsidRDefault="00452B3F" w:rsidP="00357CEC">
            <w:pPr>
              <w:pStyle w:val="Default"/>
              <w:rPr>
                <w:sz w:val="22"/>
                <w:szCs w:val="22"/>
              </w:rPr>
            </w:pPr>
          </w:p>
          <w:p w14:paraId="1EB436EF" w14:textId="77777777" w:rsidR="00452B3F" w:rsidRDefault="00452B3F" w:rsidP="00357CEC">
            <w:pPr>
              <w:pStyle w:val="Default"/>
              <w:rPr>
                <w:sz w:val="22"/>
                <w:szCs w:val="22"/>
              </w:rPr>
            </w:pPr>
          </w:p>
          <w:p w14:paraId="245E6B19" w14:textId="77777777" w:rsidR="00452B3F" w:rsidRDefault="00452B3F" w:rsidP="00357CEC">
            <w:pPr>
              <w:pStyle w:val="Default"/>
              <w:rPr>
                <w:sz w:val="22"/>
                <w:szCs w:val="22"/>
              </w:rPr>
            </w:pPr>
          </w:p>
          <w:p w14:paraId="7CE038D0" w14:textId="77777777" w:rsidR="00452B3F" w:rsidRDefault="00452B3F" w:rsidP="00357CEC">
            <w:pPr>
              <w:pStyle w:val="Default"/>
              <w:rPr>
                <w:sz w:val="22"/>
                <w:szCs w:val="22"/>
              </w:rPr>
            </w:pPr>
          </w:p>
          <w:p w14:paraId="671B3B04" w14:textId="77777777" w:rsidR="00452B3F" w:rsidRDefault="00452B3F" w:rsidP="00357CEC">
            <w:pPr>
              <w:pStyle w:val="Default"/>
              <w:rPr>
                <w:sz w:val="22"/>
                <w:szCs w:val="22"/>
              </w:rPr>
            </w:pPr>
          </w:p>
          <w:p w14:paraId="0472AC99" w14:textId="77777777" w:rsidR="00452B3F" w:rsidRDefault="00452B3F" w:rsidP="00357CEC">
            <w:pPr>
              <w:pStyle w:val="Default"/>
              <w:rPr>
                <w:sz w:val="22"/>
                <w:szCs w:val="22"/>
              </w:rPr>
            </w:pPr>
          </w:p>
          <w:p w14:paraId="3E94DB79" w14:textId="77777777" w:rsidR="00452B3F" w:rsidRDefault="00452B3F" w:rsidP="00357CEC">
            <w:pPr>
              <w:pStyle w:val="Default"/>
              <w:rPr>
                <w:sz w:val="22"/>
                <w:szCs w:val="22"/>
              </w:rPr>
            </w:pPr>
          </w:p>
          <w:p w14:paraId="7988C4F2" w14:textId="77777777" w:rsidR="00452B3F" w:rsidRDefault="00452B3F" w:rsidP="00357CEC">
            <w:pPr>
              <w:pStyle w:val="Default"/>
              <w:rPr>
                <w:sz w:val="22"/>
                <w:szCs w:val="22"/>
              </w:rPr>
            </w:pPr>
          </w:p>
          <w:p w14:paraId="6C72B0A9" w14:textId="77777777" w:rsidR="00452B3F" w:rsidRDefault="00452B3F" w:rsidP="00357CEC">
            <w:pPr>
              <w:pStyle w:val="Default"/>
              <w:rPr>
                <w:sz w:val="22"/>
                <w:szCs w:val="22"/>
              </w:rPr>
            </w:pPr>
          </w:p>
          <w:p w14:paraId="49640181" w14:textId="77777777" w:rsidR="00452B3F" w:rsidRDefault="00452B3F" w:rsidP="00357CEC">
            <w:pPr>
              <w:pStyle w:val="Default"/>
              <w:rPr>
                <w:sz w:val="22"/>
                <w:szCs w:val="22"/>
              </w:rPr>
            </w:pPr>
          </w:p>
          <w:p w14:paraId="71D9D3F2" w14:textId="77777777" w:rsidR="00452B3F" w:rsidRDefault="00452B3F" w:rsidP="00357CEC">
            <w:pPr>
              <w:pStyle w:val="Default"/>
              <w:rPr>
                <w:sz w:val="22"/>
                <w:szCs w:val="22"/>
              </w:rPr>
            </w:pPr>
          </w:p>
          <w:p w14:paraId="6BAC28C9" w14:textId="77777777" w:rsidR="00452B3F" w:rsidRDefault="00452B3F" w:rsidP="00357CEC">
            <w:pPr>
              <w:pStyle w:val="Default"/>
              <w:rPr>
                <w:sz w:val="22"/>
                <w:szCs w:val="22"/>
              </w:rPr>
            </w:pPr>
          </w:p>
          <w:p w14:paraId="5BAE2BCC" w14:textId="77777777" w:rsidR="00452B3F" w:rsidRDefault="00452B3F" w:rsidP="00357CEC">
            <w:pPr>
              <w:pStyle w:val="Default"/>
              <w:rPr>
                <w:sz w:val="22"/>
                <w:szCs w:val="22"/>
              </w:rPr>
            </w:pPr>
          </w:p>
          <w:p w14:paraId="11BF84CE" w14:textId="77777777" w:rsidR="00452B3F" w:rsidRDefault="00452B3F" w:rsidP="00357CEC">
            <w:pPr>
              <w:pStyle w:val="Default"/>
              <w:rPr>
                <w:sz w:val="22"/>
                <w:szCs w:val="22"/>
              </w:rPr>
            </w:pPr>
          </w:p>
          <w:p w14:paraId="4556AF9A" w14:textId="77777777" w:rsidR="00452B3F" w:rsidRDefault="00452B3F" w:rsidP="00357CEC">
            <w:pPr>
              <w:pStyle w:val="Default"/>
              <w:rPr>
                <w:sz w:val="22"/>
                <w:szCs w:val="22"/>
              </w:rPr>
            </w:pPr>
          </w:p>
          <w:p w14:paraId="4AC891CC" w14:textId="77777777" w:rsidR="00452B3F" w:rsidRDefault="00452B3F" w:rsidP="00357CEC">
            <w:pPr>
              <w:pStyle w:val="Default"/>
              <w:rPr>
                <w:sz w:val="22"/>
                <w:szCs w:val="22"/>
              </w:rPr>
            </w:pPr>
          </w:p>
          <w:p w14:paraId="682E939E" w14:textId="77777777" w:rsidR="00452B3F" w:rsidRDefault="00452B3F" w:rsidP="00357CEC">
            <w:pPr>
              <w:pStyle w:val="Default"/>
              <w:rPr>
                <w:sz w:val="22"/>
                <w:szCs w:val="22"/>
              </w:rPr>
            </w:pPr>
          </w:p>
          <w:p w14:paraId="4040E30A" w14:textId="77777777" w:rsidR="00452B3F" w:rsidRDefault="00452B3F" w:rsidP="00357CEC">
            <w:pPr>
              <w:pStyle w:val="Default"/>
              <w:rPr>
                <w:sz w:val="22"/>
                <w:szCs w:val="22"/>
              </w:rPr>
            </w:pPr>
          </w:p>
          <w:p w14:paraId="4642D894" w14:textId="77777777" w:rsidR="00452B3F" w:rsidRDefault="00452B3F" w:rsidP="00357CEC">
            <w:pPr>
              <w:pStyle w:val="Default"/>
              <w:rPr>
                <w:sz w:val="22"/>
                <w:szCs w:val="22"/>
              </w:rPr>
            </w:pPr>
          </w:p>
          <w:p w14:paraId="581A151D" w14:textId="77777777" w:rsidR="00452B3F" w:rsidRDefault="00452B3F" w:rsidP="00357CEC">
            <w:pPr>
              <w:pStyle w:val="Default"/>
              <w:rPr>
                <w:sz w:val="22"/>
                <w:szCs w:val="22"/>
              </w:rPr>
            </w:pPr>
          </w:p>
          <w:p w14:paraId="19A77A2F" w14:textId="77777777" w:rsidR="00452B3F" w:rsidRDefault="00452B3F" w:rsidP="00357CEC">
            <w:pPr>
              <w:pStyle w:val="Default"/>
              <w:rPr>
                <w:sz w:val="22"/>
                <w:szCs w:val="22"/>
              </w:rPr>
            </w:pPr>
          </w:p>
          <w:p w14:paraId="30A530CA" w14:textId="77777777" w:rsidR="00452B3F" w:rsidRDefault="00452B3F" w:rsidP="00357CEC">
            <w:pPr>
              <w:pStyle w:val="Default"/>
              <w:rPr>
                <w:sz w:val="22"/>
                <w:szCs w:val="22"/>
              </w:rPr>
            </w:pPr>
          </w:p>
          <w:p w14:paraId="563192BE" w14:textId="77777777" w:rsidR="00452B3F" w:rsidRDefault="00452B3F" w:rsidP="00357CEC">
            <w:pPr>
              <w:pStyle w:val="Default"/>
              <w:rPr>
                <w:sz w:val="22"/>
                <w:szCs w:val="22"/>
              </w:rPr>
            </w:pPr>
          </w:p>
          <w:p w14:paraId="4DD06A71" w14:textId="77777777" w:rsidR="00452B3F" w:rsidRDefault="00452B3F" w:rsidP="00357CEC">
            <w:pPr>
              <w:pStyle w:val="Default"/>
              <w:rPr>
                <w:sz w:val="22"/>
                <w:szCs w:val="22"/>
              </w:rPr>
            </w:pPr>
          </w:p>
          <w:p w14:paraId="6DB29D34" w14:textId="77777777" w:rsidR="00452B3F" w:rsidRDefault="00452B3F" w:rsidP="00357CEC">
            <w:pPr>
              <w:pStyle w:val="Default"/>
              <w:rPr>
                <w:sz w:val="22"/>
                <w:szCs w:val="22"/>
              </w:rPr>
            </w:pPr>
          </w:p>
          <w:p w14:paraId="2967F428" w14:textId="77777777" w:rsidR="00452B3F" w:rsidRDefault="00452B3F" w:rsidP="00357CEC">
            <w:pPr>
              <w:pStyle w:val="Default"/>
              <w:rPr>
                <w:sz w:val="22"/>
                <w:szCs w:val="22"/>
              </w:rPr>
            </w:pPr>
          </w:p>
          <w:p w14:paraId="0A30A0EA" w14:textId="77777777" w:rsidR="00452B3F" w:rsidRDefault="00452B3F" w:rsidP="00357CEC">
            <w:pPr>
              <w:pStyle w:val="Default"/>
              <w:rPr>
                <w:sz w:val="22"/>
                <w:szCs w:val="22"/>
              </w:rPr>
            </w:pPr>
          </w:p>
          <w:p w14:paraId="566C96E9" w14:textId="77777777" w:rsidR="00452B3F" w:rsidRDefault="00452B3F" w:rsidP="00357CEC">
            <w:pPr>
              <w:pStyle w:val="Default"/>
              <w:rPr>
                <w:sz w:val="22"/>
                <w:szCs w:val="22"/>
              </w:rPr>
            </w:pPr>
          </w:p>
          <w:p w14:paraId="04E745D3" w14:textId="77777777" w:rsidR="00452B3F" w:rsidRDefault="00452B3F" w:rsidP="00357CEC">
            <w:pPr>
              <w:pStyle w:val="Default"/>
              <w:rPr>
                <w:sz w:val="22"/>
                <w:szCs w:val="22"/>
              </w:rPr>
            </w:pPr>
          </w:p>
          <w:p w14:paraId="1ED29233" w14:textId="77777777" w:rsidR="00452B3F" w:rsidRDefault="00452B3F" w:rsidP="00357CEC">
            <w:pPr>
              <w:pStyle w:val="Default"/>
              <w:rPr>
                <w:sz w:val="22"/>
                <w:szCs w:val="22"/>
              </w:rPr>
            </w:pPr>
          </w:p>
          <w:p w14:paraId="10B8EE58" w14:textId="77777777" w:rsidR="00452B3F" w:rsidRDefault="00452B3F" w:rsidP="00357CEC">
            <w:pPr>
              <w:pStyle w:val="Default"/>
              <w:rPr>
                <w:sz w:val="22"/>
                <w:szCs w:val="22"/>
              </w:rPr>
            </w:pPr>
          </w:p>
          <w:p w14:paraId="08146596" w14:textId="77777777" w:rsidR="00452B3F" w:rsidRDefault="00452B3F" w:rsidP="00357CEC">
            <w:pPr>
              <w:pStyle w:val="Default"/>
              <w:rPr>
                <w:sz w:val="22"/>
                <w:szCs w:val="22"/>
              </w:rPr>
            </w:pPr>
          </w:p>
          <w:p w14:paraId="72F08E1B" w14:textId="77777777" w:rsidR="00452B3F" w:rsidRDefault="00452B3F" w:rsidP="00357CEC">
            <w:pPr>
              <w:pStyle w:val="Default"/>
              <w:rPr>
                <w:sz w:val="22"/>
                <w:szCs w:val="22"/>
              </w:rPr>
            </w:pPr>
          </w:p>
          <w:p w14:paraId="73A149B3" w14:textId="0D863AE5" w:rsidR="21A61628" w:rsidRDefault="21A61628" w:rsidP="21A61628">
            <w:pPr>
              <w:pStyle w:val="Default"/>
              <w:rPr>
                <w:sz w:val="22"/>
                <w:szCs w:val="22"/>
              </w:rPr>
            </w:pPr>
          </w:p>
          <w:p w14:paraId="095F0688" w14:textId="77777777" w:rsidR="00452B3F" w:rsidRDefault="00452B3F" w:rsidP="00357CEC">
            <w:pPr>
              <w:pStyle w:val="Default"/>
              <w:rPr>
                <w:sz w:val="22"/>
                <w:szCs w:val="22"/>
              </w:rPr>
            </w:pPr>
            <w:r>
              <w:rPr>
                <w:sz w:val="22"/>
                <w:szCs w:val="22"/>
              </w:rPr>
              <w:t>NZ</w:t>
            </w:r>
          </w:p>
          <w:p w14:paraId="5EAD0D52" w14:textId="77777777" w:rsidR="00452B3F" w:rsidRDefault="00452B3F" w:rsidP="00357CEC">
            <w:pPr>
              <w:pStyle w:val="Default"/>
              <w:rPr>
                <w:sz w:val="22"/>
                <w:szCs w:val="22"/>
              </w:rPr>
            </w:pPr>
          </w:p>
          <w:p w14:paraId="7BFC069F" w14:textId="77777777" w:rsidR="00452B3F" w:rsidRDefault="00452B3F" w:rsidP="00357CEC">
            <w:pPr>
              <w:pStyle w:val="Default"/>
              <w:rPr>
                <w:sz w:val="22"/>
                <w:szCs w:val="22"/>
              </w:rPr>
            </w:pPr>
          </w:p>
          <w:p w14:paraId="4EF757B9" w14:textId="77777777" w:rsidR="00452B3F" w:rsidRDefault="00452B3F" w:rsidP="00357CEC">
            <w:pPr>
              <w:pStyle w:val="Default"/>
              <w:rPr>
                <w:sz w:val="22"/>
                <w:szCs w:val="22"/>
              </w:rPr>
            </w:pPr>
          </w:p>
          <w:p w14:paraId="03AA6CEC" w14:textId="77777777" w:rsidR="00452B3F" w:rsidRDefault="00452B3F" w:rsidP="00357CEC">
            <w:pPr>
              <w:pStyle w:val="Default"/>
              <w:rPr>
                <w:sz w:val="22"/>
                <w:szCs w:val="22"/>
              </w:rPr>
            </w:pPr>
          </w:p>
          <w:p w14:paraId="6511D3FA" w14:textId="77777777" w:rsidR="00452B3F" w:rsidRDefault="00452B3F" w:rsidP="00357CEC">
            <w:pPr>
              <w:pStyle w:val="Default"/>
              <w:rPr>
                <w:sz w:val="22"/>
                <w:szCs w:val="22"/>
              </w:rPr>
            </w:pPr>
          </w:p>
          <w:p w14:paraId="6A87E136" w14:textId="77777777" w:rsidR="00452B3F" w:rsidRDefault="00452B3F" w:rsidP="00357CEC">
            <w:pPr>
              <w:pStyle w:val="Default"/>
              <w:rPr>
                <w:sz w:val="22"/>
                <w:szCs w:val="22"/>
              </w:rPr>
            </w:pPr>
          </w:p>
          <w:p w14:paraId="66CA5C72" w14:textId="77777777" w:rsidR="00452B3F" w:rsidRDefault="00452B3F" w:rsidP="00357CEC">
            <w:pPr>
              <w:pStyle w:val="Default"/>
              <w:rPr>
                <w:sz w:val="22"/>
                <w:szCs w:val="22"/>
              </w:rPr>
            </w:pPr>
          </w:p>
          <w:p w14:paraId="25611CBC" w14:textId="77777777" w:rsidR="00452B3F" w:rsidRDefault="00452B3F" w:rsidP="00357CEC">
            <w:pPr>
              <w:pStyle w:val="Default"/>
              <w:rPr>
                <w:sz w:val="22"/>
                <w:szCs w:val="22"/>
              </w:rPr>
            </w:pPr>
          </w:p>
          <w:p w14:paraId="7D134E0A" w14:textId="77777777" w:rsidR="00452B3F" w:rsidRDefault="00452B3F" w:rsidP="00357CEC">
            <w:pPr>
              <w:pStyle w:val="Default"/>
              <w:rPr>
                <w:sz w:val="22"/>
                <w:szCs w:val="22"/>
              </w:rPr>
            </w:pPr>
          </w:p>
          <w:p w14:paraId="3EDAEF8A" w14:textId="77777777" w:rsidR="00452B3F" w:rsidRDefault="00452B3F" w:rsidP="00357CEC">
            <w:pPr>
              <w:pStyle w:val="Default"/>
              <w:rPr>
                <w:sz w:val="22"/>
                <w:szCs w:val="22"/>
              </w:rPr>
            </w:pPr>
          </w:p>
          <w:p w14:paraId="3C6CC385" w14:textId="77777777" w:rsidR="00452B3F" w:rsidRDefault="00452B3F" w:rsidP="00357CEC">
            <w:pPr>
              <w:pStyle w:val="Default"/>
              <w:rPr>
                <w:sz w:val="22"/>
                <w:szCs w:val="22"/>
              </w:rPr>
            </w:pPr>
          </w:p>
          <w:p w14:paraId="0CBA2235" w14:textId="77777777" w:rsidR="00452B3F" w:rsidRDefault="00452B3F" w:rsidP="00357CEC">
            <w:pPr>
              <w:pStyle w:val="Default"/>
              <w:rPr>
                <w:sz w:val="22"/>
                <w:szCs w:val="22"/>
              </w:rPr>
            </w:pPr>
          </w:p>
          <w:p w14:paraId="4BD43FDC" w14:textId="77777777" w:rsidR="00452B3F" w:rsidRDefault="00452B3F" w:rsidP="00357CEC">
            <w:pPr>
              <w:pStyle w:val="Default"/>
              <w:rPr>
                <w:sz w:val="22"/>
                <w:szCs w:val="22"/>
              </w:rPr>
            </w:pPr>
          </w:p>
          <w:p w14:paraId="069B5BE5" w14:textId="77777777" w:rsidR="00452B3F" w:rsidRDefault="00452B3F" w:rsidP="00357CEC">
            <w:pPr>
              <w:pStyle w:val="Default"/>
              <w:rPr>
                <w:sz w:val="22"/>
                <w:szCs w:val="22"/>
              </w:rPr>
            </w:pPr>
          </w:p>
          <w:p w14:paraId="3A39389C" w14:textId="77777777" w:rsidR="00452B3F" w:rsidRDefault="00452B3F" w:rsidP="00357CEC">
            <w:pPr>
              <w:pStyle w:val="Default"/>
              <w:rPr>
                <w:sz w:val="22"/>
                <w:szCs w:val="22"/>
              </w:rPr>
            </w:pPr>
          </w:p>
          <w:p w14:paraId="11CC2410" w14:textId="77777777" w:rsidR="00452B3F" w:rsidRDefault="00452B3F" w:rsidP="00357CEC">
            <w:pPr>
              <w:pStyle w:val="Default"/>
              <w:rPr>
                <w:sz w:val="22"/>
                <w:szCs w:val="22"/>
              </w:rPr>
            </w:pPr>
          </w:p>
          <w:p w14:paraId="3A627354" w14:textId="77777777" w:rsidR="00452B3F" w:rsidRDefault="00452B3F" w:rsidP="00357CEC">
            <w:pPr>
              <w:pStyle w:val="Default"/>
              <w:rPr>
                <w:sz w:val="22"/>
                <w:szCs w:val="22"/>
              </w:rPr>
            </w:pPr>
          </w:p>
          <w:p w14:paraId="0E28645A" w14:textId="77777777" w:rsidR="00452B3F" w:rsidRDefault="00452B3F" w:rsidP="00357CEC">
            <w:pPr>
              <w:pStyle w:val="Default"/>
              <w:rPr>
                <w:sz w:val="22"/>
                <w:szCs w:val="22"/>
              </w:rPr>
            </w:pPr>
          </w:p>
          <w:p w14:paraId="7018D1A7" w14:textId="7D3F912A" w:rsidR="21A61628" w:rsidRDefault="21A61628" w:rsidP="21A61628">
            <w:pPr>
              <w:pStyle w:val="Default"/>
              <w:rPr>
                <w:sz w:val="22"/>
                <w:szCs w:val="22"/>
              </w:rPr>
            </w:pPr>
          </w:p>
          <w:p w14:paraId="4CD55B91" w14:textId="77777777" w:rsidR="00452B3F" w:rsidRDefault="00452B3F" w:rsidP="00357CEC">
            <w:pPr>
              <w:pStyle w:val="Default"/>
              <w:rPr>
                <w:sz w:val="22"/>
                <w:szCs w:val="22"/>
              </w:rPr>
            </w:pPr>
            <w:r>
              <w:rPr>
                <w:sz w:val="22"/>
                <w:szCs w:val="22"/>
              </w:rPr>
              <w:t>NZ</w:t>
            </w:r>
          </w:p>
          <w:p w14:paraId="55E5CA6B" w14:textId="77777777" w:rsidR="00452B3F" w:rsidRDefault="00452B3F" w:rsidP="00357CEC">
            <w:pPr>
              <w:pStyle w:val="Default"/>
              <w:rPr>
                <w:sz w:val="22"/>
                <w:szCs w:val="22"/>
              </w:rPr>
            </w:pPr>
          </w:p>
          <w:p w14:paraId="0AC896EA" w14:textId="77777777" w:rsidR="00452B3F" w:rsidRDefault="00452B3F" w:rsidP="00357CEC">
            <w:pPr>
              <w:pStyle w:val="Default"/>
              <w:rPr>
                <w:sz w:val="22"/>
                <w:szCs w:val="22"/>
              </w:rPr>
            </w:pPr>
          </w:p>
          <w:p w14:paraId="0C1AD1B8" w14:textId="77777777" w:rsidR="00452B3F" w:rsidRDefault="00452B3F" w:rsidP="00357CEC">
            <w:pPr>
              <w:pStyle w:val="Default"/>
              <w:rPr>
                <w:sz w:val="22"/>
                <w:szCs w:val="22"/>
              </w:rPr>
            </w:pPr>
          </w:p>
          <w:p w14:paraId="3281BF8B" w14:textId="77777777" w:rsidR="00452B3F" w:rsidRDefault="00452B3F" w:rsidP="00357CEC">
            <w:pPr>
              <w:pStyle w:val="Default"/>
              <w:rPr>
                <w:sz w:val="22"/>
                <w:szCs w:val="22"/>
              </w:rPr>
            </w:pPr>
          </w:p>
          <w:p w14:paraId="68F4E2F2" w14:textId="77777777" w:rsidR="00452B3F" w:rsidRDefault="00452B3F" w:rsidP="00357CEC">
            <w:pPr>
              <w:pStyle w:val="Default"/>
              <w:rPr>
                <w:sz w:val="22"/>
                <w:szCs w:val="22"/>
              </w:rPr>
            </w:pPr>
          </w:p>
          <w:p w14:paraId="1C4E40A9" w14:textId="77777777" w:rsidR="00452B3F" w:rsidRDefault="00452B3F" w:rsidP="00357CEC">
            <w:pPr>
              <w:pStyle w:val="Default"/>
              <w:rPr>
                <w:sz w:val="22"/>
                <w:szCs w:val="22"/>
              </w:rPr>
            </w:pPr>
          </w:p>
          <w:p w14:paraId="5DAF125E" w14:textId="77777777" w:rsidR="00452B3F" w:rsidRDefault="00452B3F" w:rsidP="00357CEC">
            <w:pPr>
              <w:pStyle w:val="Default"/>
              <w:rPr>
                <w:sz w:val="22"/>
                <w:szCs w:val="22"/>
              </w:rPr>
            </w:pPr>
          </w:p>
          <w:p w14:paraId="34C3C78A" w14:textId="77777777" w:rsidR="00452B3F" w:rsidRDefault="00452B3F" w:rsidP="00357CEC">
            <w:pPr>
              <w:pStyle w:val="Default"/>
              <w:rPr>
                <w:sz w:val="22"/>
                <w:szCs w:val="22"/>
              </w:rPr>
            </w:pPr>
          </w:p>
          <w:p w14:paraId="429062AA" w14:textId="1AC533B7" w:rsidR="21A61628" w:rsidRDefault="21A61628" w:rsidP="21A61628">
            <w:pPr>
              <w:pStyle w:val="Default"/>
              <w:rPr>
                <w:sz w:val="22"/>
                <w:szCs w:val="22"/>
              </w:rPr>
            </w:pPr>
          </w:p>
          <w:p w14:paraId="27095B9F" w14:textId="4893501D" w:rsidR="21A61628" w:rsidRDefault="21A61628" w:rsidP="21A61628">
            <w:pPr>
              <w:pStyle w:val="Default"/>
              <w:rPr>
                <w:sz w:val="22"/>
                <w:szCs w:val="22"/>
              </w:rPr>
            </w:pPr>
          </w:p>
          <w:p w14:paraId="153ACDD5" w14:textId="77777777" w:rsidR="00452B3F" w:rsidRDefault="00452B3F" w:rsidP="00357CEC">
            <w:pPr>
              <w:pStyle w:val="Default"/>
              <w:rPr>
                <w:sz w:val="22"/>
                <w:szCs w:val="22"/>
              </w:rPr>
            </w:pPr>
            <w:r>
              <w:rPr>
                <w:sz w:val="22"/>
                <w:szCs w:val="22"/>
              </w:rPr>
              <w:t>NZ</w:t>
            </w:r>
          </w:p>
          <w:p w14:paraId="2188FC2A" w14:textId="77777777" w:rsidR="00452B3F" w:rsidRDefault="00452B3F" w:rsidP="00357CEC">
            <w:pPr>
              <w:pStyle w:val="Default"/>
              <w:rPr>
                <w:sz w:val="22"/>
                <w:szCs w:val="22"/>
              </w:rPr>
            </w:pPr>
          </w:p>
          <w:p w14:paraId="3EE9CE1F" w14:textId="77777777" w:rsidR="00452B3F" w:rsidRDefault="00452B3F" w:rsidP="00357CEC">
            <w:pPr>
              <w:pStyle w:val="Default"/>
              <w:rPr>
                <w:sz w:val="22"/>
                <w:szCs w:val="22"/>
              </w:rPr>
            </w:pPr>
          </w:p>
          <w:p w14:paraId="3EE00D41" w14:textId="77777777" w:rsidR="00452B3F" w:rsidRDefault="00452B3F" w:rsidP="00357CEC">
            <w:pPr>
              <w:pStyle w:val="Default"/>
              <w:rPr>
                <w:sz w:val="22"/>
                <w:szCs w:val="22"/>
              </w:rPr>
            </w:pPr>
          </w:p>
          <w:p w14:paraId="470C8624" w14:textId="77777777" w:rsidR="00452B3F" w:rsidRDefault="00452B3F" w:rsidP="00357CEC">
            <w:pPr>
              <w:pStyle w:val="Default"/>
              <w:rPr>
                <w:sz w:val="22"/>
                <w:szCs w:val="22"/>
              </w:rPr>
            </w:pPr>
          </w:p>
          <w:p w14:paraId="2754CA38" w14:textId="77777777" w:rsidR="00452B3F" w:rsidRDefault="00452B3F" w:rsidP="00357CEC">
            <w:pPr>
              <w:pStyle w:val="Default"/>
              <w:rPr>
                <w:sz w:val="22"/>
                <w:szCs w:val="22"/>
              </w:rPr>
            </w:pPr>
          </w:p>
          <w:p w14:paraId="4597EC14" w14:textId="77777777" w:rsidR="00452B3F" w:rsidRDefault="00452B3F" w:rsidP="00357CEC">
            <w:pPr>
              <w:pStyle w:val="Default"/>
              <w:rPr>
                <w:sz w:val="22"/>
                <w:szCs w:val="22"/>
              </w:rPr>
            </w:pPr>
          </w:p>
          <w:p w14:paraId="2D4D6A4F" w14:textId="77777777" w:rsidR="00452B3F" w:rsidRDefault="00452B3F" w:rsidP="00357CEC">
            <w:pPr>
              <w:pStyle w:val="Default"/>
              <w:rPr>
                <w:sz w:val="22"/>
                <w:szCs w:val="22"/>
              </w:rPr>
            </w:pPr>
          </w:p>
          <w:p w14:paraId="67DCDC80" w14:textId="77777777" w:rsidR="00452B3F" w:rsidRDefault="00452B3F" w:rsidP="00357CEC">
            <w:pPr>
              <w:pStyle w:val="Default"/>
              <w:rPr>
                <w:sz w:val="22"/>
                <w:szCs w:val="22"/>
              </w:rPr>
            </w:pPr>
          </w:p>
          <w:p w14:paraId="765138CF" w14:textId="77777777" w:rsidR="00452B3F" w:rsidRDefault="00452B3F" w:rsidP="00357CEC">
            <w:pPr>
              <w:pStyle w:val="Default"/>
              <w:rPr>
                <w:sz w:val="22"/>
                <w:szCs w:val="22"/>
              </w:rPr>
            </w:pPr>
          </w:p>
          <w:p w14:paraId="24C1A384" w14:textId="77777777" w:rsidR="00452B3F" w:rsidRDefault="00452B3F" w:rsidP="00357CEC">
            <w:pPr>
              <w:pStyle w:val="Default"/>
              <w:rPr>
                <w:sz w:val="22"/>
                <w:szCs w:val="22"/>
              </w:rPr>
            </w:pPr>
          </w:p>
          <w:p w14:paraId="67DAAF11" w14:textId="3ED95773" w:rsidR="00452B3F" w:rsidRDefault="00452B3F" w:rsidP="00357CEC">
            <w:pPr>
              <w:pStyle w:val="Default"/>
              <w:rPr>
                <w:sz w:val="22"/>
                <w:szCs w:val="22"/>
              </w:rPr>
            </w:pPr>
          </w:p>
          <w:p w14:paraId="675F11F2" w14:textId="77777777" w:rsidR="00452B3F" w:rsidRDefault="00452B3F" w:rsidP="00357CEC">
            <w:pPr>
              <w:pStyle w:val="Default"/>
              <w:rPr>
                <w:sz w:val="22"/>
                <w:szCs w:val="22"/>
              </w:rPr>
            </w:pPr>
            <w:r>
              <w:rPr>
                <w:sz w:val="22"/>
                <w:szCs w:val="22"/>
              </w:rPr>
              <w:t>NZ</w:t>
            </w:r>
          </w:p>
          <w:p w14:paraId="53C1E342" w14:textId="61FC4D1F" w:rsidR="00452B3F" w:rsidRDefault="00452B3F" w:rsidP="00357CEC">
            <w:pPr>
              <w:pStyle w:val="Default"/>
              <w:rPr>
                <w:sz w:val="22"/>
                <w:szCs w:val="22"/>
              </w:rPr>
            </w:pPr>
          </w:p>
          <w:p w14:paraId="27278630" w14:textId="3253B6CE" w:rsidR="00E179E7" w:rsidRDefault="00E179E7" w:rsidP="00357CEC">
            <w:pPr>
              <w:pStyle w:val="Default"/>
              <w:rPr>
                <w:sz w:val="22"/>
                <w:szCs w:val="22"/>
              </w:rPr>
            </w:pPr>
          </w:p>
          <w:p w14:paraId="5098CEBB" w14:textId="113FCA3B" w:rsidR="00E179E7" w:rsidRDefault="00E179E7" w:rsidP="00357CEC">
            <w:pPr>
              <w:pStyle w:val="Default"/>
              <w:rPr>
                <w:sz w:val="22"/>
                <w:szCs w:val="22"/>
              </w:rPr>
            </w:pPr>
          </w:p>
          <w:p w14:paraId="573DFB4B" w14:textId="7FDE5F7B" w:rsidR="00E179E7" w:rsidRDefault="00E179E7" w:rsidP="00357CEC">
            <w:pPr>
              <w:pStyle w:val="Default"/>
              <w:rPr>
                <w:sz w:val="22"/>
                <w:szCs w:val="22"/>
              </w:rPr>
            </w:pPr>
          </w:p>
          <w:p w14:paraId="1101FFD3" w14:textId="14C00B29" w:rsidR="00E179E7" w:rsidRDefault="00E179E7" w:rsidP="00357CEC">
            <w:pPr>
              <w:pStyle w:val="Default"/>
              <w:rPr>
                <w:sz w:val="22"/>
                <w:szCs w:val="22"/>
              </w:rPr>
            </w:pPr>
          </w:p>
          <w:p w14:paraId="2678DEA4" w14:textId="0601FCA5" w:rsidR="00E179E7" w:rsidRDefault="00E179E7" w:rsidP="00357CEC">
            <w:pPr>
              <w:pStyle w:val="Default"/>
              <w:rPr>
                <w:sz w:val="22"/>
                <w:szCs w:val="22"/>
              </w:rPr>
            </w:pPr>
          </w:p>
          <w:p w14:paraId="225E520B" w14:textId="0092B5B8" w:rsidR="00AF7521" w:rsidRDefault="00AF7521" w:rsidP="00E179E7">
            <w:pPr>
              <w:pStyle w:val="Default"/>
              <w:rPr>
                <w:sz w:val="22"/>
                <w:szCs w:val="22"/>
              </w:rPr>
            </w:pPr>
          </w:p>
          <w:p w14:paraId="3C07B67B" w14:textId="789C2501" w:rsidR="4792BE4F" w:rsidRDefault="4792BE4F" w:rsidP="4792BE4F">
            <w:pPr>
              <w:pStyle w:val="Default"/>
              <w:rPr>
                <w:sz w:val="22"/>
                <w:szCs w:val="22"/>
              </w:rPr>
            </w:pPr>
          </w:p>
          <w:p w14:paraId="02DFB13E" w14:textId="6E4A170B" w:rsidR="4792BE4F" w:rsidRDefault="4792BE4F" w:rsidP="4792BE4F">
            <w:pPr>
              <w:pStyle w:val="Default"/>
              <w:rPr>
                <w:sz w:val="22"/>
                <w:szCs w:val="22"/>
              </w:rPr>
            </w:pPr>
          </w:p>
          <w:p w14:paraId="29B675E1" w14:textId="1C988621" w:rsidR="00E179E7" w:rsidRDefault="00E179E7" w:rsidP="00E179E7">
            <w:pPr>
              <w:pStyle w:val="Default"/>
              <w:rPr>
                <w:sz w:val="22"/>
                <w:szCs w:val="22"/>
              </w:rPr>
            </w:pPr>
            <w:r>
              <w:rPr>
                <w:sz w:val="22"/>
                <w:szCs w:val="22"/>
              </w:rPr>
              <w:t>NZ</w:t>
            </w:r>
          </w:p>
          <w:p w14:paraId="2DF4F70D" w14:textId="77777777" w:rsidR="00E179E7" w:rsidRDefault="00E179E7" w:rsidP="00357CEC">
            <w:pPr>
              <w:pStyle w:val="Default"/>
              <w:rPr>
                <w:sz w:val="22"/>
                <w:szCs w:val="22"/>
              </w:rPr>
            </w:pPr>
          </w:p>
          <w:p w14:paraId="1B6B1844" w14:textId="77777777" w:rsidR="00452B3F" w:rsidRDefault="00452B3F" w:rsidP="00357CEC">
            <w:pPr>
              <w:pStyle w:val="Default"/>
              <w:rPr>
                <w:sz w:val="22"/>
                <w:szCs w:val="22"/>
              </w:rPr>
            </w:pPr>
          </w:p>
          <w:p w14:paraId="5BE735E5" w14:textId="77777777" w:rsidR="00452B3F" w:rsidRDefault="00452B3F" w:rsidP="00357CEC">
            <w:pPr>
              <w:pStyle w:val="Default"/>
              <w:rPr>
                <w:sz w:val="22"/>
                <w:szCs w:val="22"/>
              </w:rPr>
            </w:pPr>
          </w:p>
          <w:p w14:paraId="6175BDFD" w14:textId="77777777" w:rsidR="00452B3F" w:rsidRDefault="00452B3F" w:rsidP="00357CEC">
            <w:pPr>
              <w:pStyle w:val="Default"/>
              <w:rPr>
                <w:sz w:val="22"/>
                <w:szCs w:val="22"/>
              </w:rPr>
            </w:pPr>
          </w:p>
          <w:p w14:paraId="7F5ADBCF" w14:textId="77777777" w:rsidR="00452B3F" w:rsidRDefault="00452B3F" w:rsidP="00357CEC">
            <w:pPr>
              <w:pStyle w:val="Default"/>
              <w:rPr>
                <w:sz w:val="22"/>
                <w:szCs w:val="22"/>
              </w:rPr>
            </w:pPr>
          </w:p>
          <w:p w14:paraId="25E13D74" w14:textId="56B3CD1D" w:rsidR="4792BE4F" w:rsidRDefault="4792BE4F" w:rsidP="4792BE4F">
            <w:pPr>
              <w:pStyle w:val="Default"/>
              <w:rPr>
                <w:sz w:val="22"/>
                <w:szCs w:val="22"/>
              </w:rPr>
            </w:pPr>
          </w:p>
          <w:p w14:paraId="34AF0A83" w14:textId="17AD9D00" w:rsidR="00452B3F" w:rsidRDefault="00452B3F" w:rsidP="00357CEC">
            <w:pPr>
              <w:pStyle w:val="Default"/>
              <w:rPr>
                <w:sz w:val="22"/>
                <w:szCs w:val="22"/>
              </w:rPr>
            </w:pPr>
            <w:r>
              <w:rPr>
                <w:sz w:val="22"/>
                <w:szCs w:val="22"/>
              </w:rPr>
              <w:t>NZ</w:t>
            </w:r>
          </w:p>
          <w:p w14:paraId="5408AD22" w14:textId="77777777" w:rsidR="00452B3F" w:rsidRDefault="00452B3F" w:rsidP="00357CEC">
            <w:pPr>
              <w:pStyle w:val="Default"/>
              <w:rPr>
                <w:sz w:val="22"/>
                <w:szCs w:val="22"/>
              </w:rPr>
            </w:pPr>
          </w:p>
          <w:p w14:paraId="13F63B78" w14:textId="77777777" w:rsidR="00452B3F" w:rsidRDefault="00452B3F" w:rsidP="00357CEC">
            <w:pPr>
              <w:pStyle w:val="Default"/>
              <w:rPr>
                <w:sz w:val="22"/>
                <w:szCs w:val="22"/>
              </w:rPr>
            </w:pPr>
          </w:p>
          <w:p w14:paraId="019341DE" w14:textId="77777777" w:rsidR="00452B3F" w:rsidRDefault="00452B3F" w:rsidP="00357CEC">
            <w:pPr>
              <w:pStyle w:val="Default"/>
              <w:rPr>
                <w:sz w:val="22"/>
                <w:szCs w:val="22"/>
              </w:rPr>
            </w:pPr>
          </w:p>
          <w:p w14:paraId="594ACB0D" w14:textId="2241025B" w:rsidR="21A61628" w:rsidRDefault="21A61628" w:rsidP="21A61628">
            <w:pPr>
              <w:pStyle w:val="Default"/>
              <w:rPr>
                <w:sz w:val="22"/>
                <w:szCs w:val="22"/>
              </w:rPr>
            </w:pPr>
          </w:p>
          <w:p w14:paraId="3F30145F" w14:textId="12BA0C98" w:rsidR="00452B3F" w:rsidRDefault="00452B3F" w:rsidP="00357CEC">
            <w:pPr>
              <w:pStyle w:val="Default"/>
              <w:rPr>
                <w:sz w:val="22"/>
                <w:szCs w:val="22"/>
              </w:rPr>
            </w:pPr>
            <w:r>
              <w:rPr>
                <w:sz w:val="22"/>
                <w:szCs w:val="22"/>
              </w:rPr>
              <w:t>NZ</w:t>
            </w:r>
          </w:p>
          <w:p w14:paraId="001527BE" w14:textId="77777777" w:rsidR="00452B3F" w:rsidRDefault="00452B3F" w:rsidP="00357CEC">
            <w:pPr>
              <w:pStyle w:val="Default"/>
              <w:rPr>
                <w:sz w:val="22"/>
                <w:szCs w:val="22"/>
              </w:rPr>
            </w:pPr>
          </w:p>
          <w:p w14:paraId="5DA773CD" w14:textId="77777777" w:rsidR="00452B3F" w:rsidRDefault="00452B3F" w:rsidP="00357CEC">
            <w:pPr>
              <w:pStyle w:val="Default"/>
              <w:rPr>
                <w:sz w:val="22"/>
                <w:szCs w:val="22"/>
              </w:rPr>
            </w:pPr>
          </w:p>
          <w:p w14:paraId="683DF51E" w14:textId="77777777" w:rsidR="00452B3F" w:rsidRDefault="00452B3F" w:rsidP="00357CEC">
            <w:pPr>
              <w:pStyle w:val="Default"/>
              <w:rPr>
                <w:sz w:val="22"/>
                <w:szCs w:val="22"/>
              </w:rPr>
            </w:pPr>
          </w:p>
          <w:p w14:paraId="69F1C0F2" w14:textId="77777777" w:rsidR="00452B3F" w:rsidRDefault="00452B3F" w:rsidP="00357CEC">
            <w:pPr>
              <w:pStyle w:val="Default"/>
              <w:rPr>
                <w:sz w:val="22"/>
                <w:szCs w:val="22"/>
              </w:rPr>
            </w:pPr>
          </w:p>
          <w:p w14:paraId="30BF3CB3" w14:textId="77777777" w:rsidR="00452B3F" w:rsidRDefault="00452B3F" w:rsidP="00357CEC">
            <w:pPr>
              <w:pStyle w:val="Default"/>
              <w:rPr>
                <w:sz w:val="22"/>
                <w:szCs w:val="22"/>
              </w:rPr>
            </w:pPr>
          </w:p>
          <w:p w14:paraId="1352C830" w14:textId="77777777" w:rsidR="00452B3F" w:rsidRDefault="00452B3F" w:rsidP="00357CEC">
            <w:pPr>
              <w:pStyle w:val="Default"/>
              <w:rPr>
                <w:sz w:val="22"/>
                <w:szCs w:val="22"/>
              </w:rPr>
            </w:pPr>
          </w:p>
          <w:p w14:paraId="69A05F61" w14:textId="77777777" w:rsidR="00452B3F" w:rsidRDefault="00452B3F" w:rsidP="00357CEC">
            <w:pPr>
              <w:pStyle w:val="Default"/>
              <w:rPr>
                <w:sz w:val="22"/>
                <w:szCs w:val="22"/>
              </w:rPr>
            </w:pPr>
          </w:p>
          <w:p w14:paraId="40769D3D" w14:textId="77777777" w:rsidR="00452B3F" w:rsidRDefault="00452B3F" w:rsidP="00357CEC">
            <w:pPr>
              <w:pStyle w:val="Default"/>
              <w:rPr>
                <w:sz w:val="22"/>
                <w:szCs w:val="22"/>
              </w:rPr>
            </w:pPr>
          </w:p>
          <w:p w14:paraId="0A2F8100" w14:textId="77777777" w:rsidR="00452B3F" w:rsidRDefault="00452B3F" w:rsidP="00357CEC">
            <w:pPr>
              <w:pStyle w:val="Default"/>
              <w:rPr>
                <w:sz w:val="22"/>
                <w:szCs w:val="22"/>
              </w:rPr>
            </w:pPr>
          </w:p>
          <w:p w14:paraId="21D769FF" w14:textId="77777777" w:rsidR="00452B3F" w:rsidRDefault="00452B3F" w:rsidP="00357CEC">
            <w:pPr>
              <w:pStyle w:val="Default"/>
              <w:rPr>
                <w:sz w:val="22"/>
                <w:szCs w:val="22"/>
              </w:rPr>
            </w:pPr>
          </w:p>
          <w:p w14:paraId="7CE15DFB" w14:textId="77777777" w:rsidR="00452B3F" w:rsidRDefault="00452B3F" w:rsidP="00357CEC">
            <w:pPr>
              <w:pStyle w:val="Default"/>
              <w:rPr>
                <w:sz w:val="22"/>
                <w:szCs w:val="22"/>
              </w:rPr>
            </w:pPr>
          </w:p>
          <w:p w14:paraId="4F4B4E06" w14:textId="77777777" w:rsidR="00452B3F" w:rsidRDefault="00452B3F" w:rsidP="00357CEC">
            <w:pPr>
              <w:pStyle w:val="Default"/>
              <w:rPr>
                <w:sz w:val="22"/>
                <w:szCs w:val="22"/>
              </w:rPr>
            </w:pPr>
          </w:p>
          <w:p w14:paraId="085EF72E" w14:textId="77777777" w:rsidR="00452B3F" w:rsidRDefault="00452B3F" w:rsidP="00357CEC">
            <w:pPr>
              <w:pStyle w:val="Default"/>
              <w:rPr>
                <w:sz w:val="22"/>
                <w:szCs w:val="22"/>
              </w:rPr>
            </w:pPr>
          </w:p>
          <w:p w14:paraId="507C77D1" w14:textId="77777777" w:rsidR="00452B3F" w:rsidRDefault="00452B3F" w:rsidP="00357CEC">
            <w:pPr>
              <w:pStyle w:val="Default"/>
              <w:rPr>
                <w:sz w:val="22"/>
                <w:szCs w:val="22"/>
              </w:rPr>
            </w:pPr>
          </w:p>
          <w:p w14:paraId="6954260B" w14:textId="77777777" w:rsidR="00452B3F" w:rsidRDefault="00452B3F" w:rsidP="00357CEC">
            <w:pPr>
              <w:pStyle w:val="Default"/>
              <w:rPr>
                <w:sz w:val="22"/>
                <w:szCs w:val="22"/>
              </w:rPr>
            </w:pPr>
          </w:p>
          <w:p w14:paraId="4581845C" w14:textId="77777777" w:rsidR="00452B3F" w:rsidRDefault="00452B3F" w:rsidP="00357CEC">
            <w:pPr>
              <w:pStyle w:val="Default"/>
              <w:rPr>
                <w:sz w:val="22"/>
                <w:szCs w:val="22"/>
              </w:rPr>
            </w:pPr>
          </w:p>
          <w:p w14:paraId="1526367F" w14:textId="77777777" w:rsidR="00452B3F" w:rsidRDefault="00452B3F" w:rsidP="00357CEC">
            <w:pPr>
              <w:pStyle w:val="Default"/>
              <w:rPr>
                <w:sz w:val="22"/>
                <w:szCs w:val="22"/>
              </w:rPr>
            </w:pPr>
          </w:p>
          <w:p w14:paraId="4981C8B8" w14:textId="77777777" w:rsidR="00452B3F" w:rsidRDefault="00452B3F" w:rsidP="00357CEC">
            <w:pPr>
              <w:pStyle w:val="Default"/>
              <w:rPr>
                <w:sz w:val="22"/>
                <w:szCs w:val="22"/>
              </w:rPr>
            </w:pPr>
          </w:p>
          <w:p w14:paraId="39F33DA9" w14:textId="77777777" w:rsidR="00452B3F" w:rsidRDefault="00452B3F" w:rsidP="00357CEC">
            <w:pPr>
              <w:pStyle w:val="Default"/>
              <w:rPr>
                <w:sz w:val="22"/>
                <w:szCs w:val="22"/>
              </w:rPr>
            </w:pPr>
          </w:p>
          <w:p w14:paraId="3613F698" w14:textId="77777777" w:rsidR="00452B3F" w:rsidRDefault="00452B3F" w:rsidP="00357CEC">
            <w:pPr>
              <w:pStyle w:val="Default"/>
              <w:rPr>
                <w:sz w:val="22"/>
                <w:szCs w:val="22"/>
              </w:rPr>
            </w:pPr>
          </w:p>
          <w:p w14:paraId="7E0B2A4A" w14:textId="77777777" w:rsidR="00452B3F" w:rsidRDefault="00452B3F" w:rsidP="00357CEC">
            <w:pPr>
              <w:pStyle w:val="Default"/>
              <w:rPr>
                <w:sz w:val="22"/>
                <w:szCs w:val="22"/>
              </w:rPr>
            </w:pPr>
          </w:p>
          <w:p w14:paraId="0FFDBE62" w14:textId="77777777" w:rsidR="00452B3F" w:rsidRDefault="00452B3F" w:rsidP="00357CEC">
            <w:pPr>
              <w:pStyle w:val="Default"/>
              <w:rPr>
                <w:sz w:val="22"/>
                <w:szCs w:val="22"/>
              </w:rPr>
            </w:pPr>
          </w:p>
          <w:p w14:paraId="294660AC" w14:textId="77777777" w:rsidR="00452B3F" w:rsidRDefault="00452B3F" w:rsidP="00357CEC">
            <w:pPr>
              <w:pStyle w:val="Default"/>
              <w:rPr>
                <w:sz w:val="22"/>
                <w:szCs w:val="22"/>
              </w:rPr>
            </w:pPr>
          </w:p>
          <w:p w14:paraId="3075E82A" w14:textId="77777777" w:rsidR="00452B3F" w:rsidRDefault="00452B3F" w:rsidP="00357CEC">
            <w:pPr>
              <w:pStyle w:val="Default"/>
              <w:rPr>
                <w:sz w:val="22"/>
                <w:szCs w:val="22"/>
              </w:rPr>
            </w:pPr>
          </w:p>
          <w:p w14:paraId="75113B48" w14:textId="77777777" w:rsidR="00452B3F" w:rsidRDefault="00452B3F" w:rsidP="00357CEC">
            <w:pPr>
              <w:pStyle w:val="Default"/>
              <w:rPr>
                <w:sz w:val="22"/>
                <w:szCs w:val="22"/>
              </w:rPr>
            </w:pPr>
          </w:p>
          <w:p w14:paraId="2391E795" w14:textId="77777777" w:rsidR="00452B3F" w:rsidRDefault="00452B3F" w:rsidP="00357CEC">
            <w:pPr>
              <w:pStyle w:val="Default"/>
              <w:rPr>
                <w:sz w:val="22"/>
                <w:szCs w:val="22"/>
              </w:rPr>
            </w:pPr>
          </w:p>
          <w:p w14:paraId="28E40BC4" w14:textId="77777777" w:rsidR="00452B3F" w:rsidRDefault="00452B3F" w:rsidP="00357CEC">
            <w:pPr>
              <w:pStyle w:val="Default"/>
              <w:rPr>
                <w:sz w:val="22"/>
                <w:szCs w:val="22"/>
              </w:rPr>
            </w:pPr>
          </w:p>
          <w:p w14:paraId="6729D0A5" w14:textId="77777777" w:rsidR="00452B3F" w:rsidRDefault="00452B3F" w:rsidP="00357CEC">
            <w:pPr>
              <w:pStyle w:val="Default"/>
              <w:rPr>
                <w:sz w:val="22"/>
                <w:szCs w:val="22"/>
              </w:rPr>
            </w:pPr>
          </w:p>
          <w:p w14:paraId="1C38081D" w14:textId="77777777" w:rsidR="00452B3F" w:rsidRDefault="00452B3F" w:rsidP="00357CEC">
            <w:pPr>
              <w:pStyle w:val="Default"/>
              <w:rPr>
                <w:sz w:val="22"/>
                <w:szCs w:val="22"/>
              </w:rPr>
            </w:pPr>
          </w:p>
          <w:p w14:paraId="7629460B" w14:textId="77777777" w:rsidR="00452B3F" w:rsidRDefault="00452B3F" w:rsidP="00357CEC">
            <w:pPr>
              <w:pStyle w:val="Default"/>
              <w:rPr>
                <w:sz w:val="22"/>
                <w:szCs w:val="22"/>
              </w:rPr>
            </w:pPr>
          </w:p>
          <w:p w14:paraId="1396EC12" w14:textId="77777777" w:rsidR="00452B3F" w:rsidRDefault="00452B3F" w:rsidP="00357CEC">
            <w:pPr>
              <w:pStyle w:val="Default"/>
              <w:rPr>
                <w:sz w:val="22"/>
                <w:szCs w:val="22"/>
              </w:rPr>
            </w:pPr>
          </w:p>
          <w:p w14:paraId="1AE9609A" w14:textId="77777777" w:rsidR="00452B3F" w:rsidRDefault="00452B3F" w:rsidP="00357CEC">
            <w:pPr>
              <w:pStyle w:val="Default"/>
              <w:rPr>
                <w:sz w:val="22"/>
                <w:szCs w:val="22"/>
              </w:rPr>
            </w:pPr>
          </w:p>
          <w:p w14:paraId="5512FCC6" w14:textId="77777777" w:rsidR="00452B3F" w:rsidRDefault="00452B3F" w:rsidP="00357CEC">
            <w:pPr>
              <w:pStyle w:val="Default"/>
              <w:rPr>
                <w:sz w:val="22"/>
                <w:szCs w:val="22"/>
              </w:rPr>
            </w:pPr>
          </w:p>
          <w:p w14:paraId="1FB8886F" w14:textId="77777777" w:rsidR="00452B3F" w:rsidRDefault="00452B3F" w:rsidP="00357CEC">
            <w:pPr>
              <w:pStyle w:val="Default"/>
              <w:rPr>
                <w:sz w:val="22"/>
                <w:szCs w:val="22"/>
              </w:rPr>
            </w:pPr>
          </w:p>
          <w:p w14:paraId="70DDD80A" w14:textId="77777777" w:rsidR="00452B3F" w:rsidRDefault="00452B3F" w:rsidP="00357CEC">
            <w:pPr>
              <w:pStyle w:val="Default"/>
              <w:rPr>
                <w:sz w:val="22"/>
                <w:szCs w:val="22"/>
              </w:rPr>
            </w:pPr>
          </w:p>
          <w:p w14:paraId="2459456C" w14:textId="77777777" w:rsidR="00452B3F" w:rsidRDefault="00452B3F" w:rsidP="00357CEC">
            <w:pPr>
              <w:pStyle w:val="Default"/>
              <w:rPr>
                <w:sz w:val="22"/>
                <w:szCs w:val="22"/>
              </w:rPr>
            </w:pPr>
          </w:p>
          <w:p w14:paraId="2B7C7BD1" w14:textId="77777777" w:rsidR="00452B3F" w:rsidRDefault="00452B3F" w:rsidP="00357CEC">
            <w:pPr>
              <w:pStyle w:val="Default"/>
              <w:rPr>
                <w:sz w:val="22"/>
                <w:szCs w:val="22"/>
              </w:rPr>
            </w:pPr>
          </w:p>
          <w:p w14:paraId="565D62D1" w14:textId="77777777" w:rsidR="00452B3F" w:rsidRDefault="00452B3F" w:rsidP="00357CEC">
            <w:pPr>
              <w:pStyle w:val="Default"/>
              <w:rPr>
                <w:sz w:val="22"/>
                <w:szCs w:val="22"/>
              </w:rPr>
            </w:pPr>
          </w:p>
          <w:p w14:paraId="6A433F58" w14:textId="77777777" w:rsidR="00452B3F" w:rsidRDefault="00452B3F" w:rsidP="00357CEC">
            <w:pPr>
              <w:pStyle w:val="Default"/>
              <w:rPr>
                <w:sz w:val="22"/>
                <w:szCs w:val="22"/>
              </w:rPr>
            </w:pPr>
          </w:p>
          <w:p w14:paraId="6809DE91" w14:textId="77777777" w:rsidR="00452B3F" w:rsidRDefault="00452B3F" w:rsidP="00357CEC">
            <w:pPr>
              <w:pStyle w:val="Default"/>
              <w:rPr>
                <w:sz w:val="22"/>
                <w:szCs w:val="22"/>
              </w:rPr>
            </w:pPr>
          </w:p>
          <w:p w14:paraId="3402C37A" w14:textId="77777777" w:rsidR="00452B3F" w:rsidRDefault="00452B3F" w:rsidP="00357CEC">
            <w:pPr>
              <w:pStyle w:val="Default"/>
              <w:rPr>
                <w:sz w:val="22"/>
                <w:szCs w:val="22"/>
              </w:rPr>
            </w:pPr>
          </w:p>
          <w:p w14:paraId="72D53CF3" w14:textId="77777777" w:rsidR="00452B3F" w:rsidRDefault="00452B3F" w:rsidP="00357CEC">
            <w:pPr>
              <w:pStyle w:val="Default"/>
              <w:rPr>
                <w:sz w:val="22"/>
                <w:szCs w:val="22"/>
              </w:rPr>
            </w:pPr>
          </w:p>
          <w:p w14:paraId="2BA98877" w14:textId="77777777" w:rsidR="00452B3F" w:rsidRDefault="00452B3F" w:rsidP="00357CEC">
            <w:pPr>
              <w:pStyle w:val="Default"/>
              <w:rPr>
                <w:sz w:val="22"/>
                <w:szCs w:val="22"/>
              </w:rPr>
            </w:pPr>
          </w:p>
          <w:p w14:paraId="6A8AF80A" w14:textId="77777777" w:rsidR="00452B3F" w:rsidRDefault="00452B3F" w:rsidP="00357CEC">
            <w:pPr>
              <w:pStyle w:val="Default"/>
              <w:rPr>
                <w:sz w:val="22"/>
                <w:szCs w:val="22"/>
              </w:rPr>
            </w:pPr>
          </w:p>
          <w:p w14:paraId="5C469805" w14:textId="77777777" w:rsidR="00452B3F" w:rsidRDefault="00452B3F" w:rsidP="00357CEC">
            <w:pPr>
              <w:pStyle w:val="Default"/>
              <w:rPr>
                <w:sz w:val="22"/>
                <w:szCs w:val="22"/>
              </w:rPr>
            </w:pPr>
          </w:p>
          <w:p w14:paraId="6EED5AA1" w14:textId="77777777" w:rsidR="00452B3F" w:rsidRDefault="00452B3F" w:rsidP="00357CEC">
            <w:pPr>
              <w:pStyle w:val="Default"/>
              <w:rPr>
                <w:sz w:val="22"/>
                <w:szCs w:val="22"/>
              </w:rPr>
            </w:pPr>
          </w:p>
          <w:p w14:paraId="7317EEB8" w14:textId="77777777" w:rsidR="00452B3F" w:rsidRDefault="00452B3F" w:rsidP="00357CEC">
            <w:pPr>
              <w:pStyle w:val="Default"/>
              <w:rPr>
                <w:sz w:val="22"/>
                <w:szCs w:val="22"/>
              </w:rPr>
            </w:pPr>
          </w:p>
          <w:p w14:paraId="1726C9B2" w14:textId="77777777" w:rsidR="00190F49" w:rsidRDefault="00190F49" w:rsidP="00357CEC">
            <w:pPr>
              <w:pStyle w:val="Default"/>
              <w:rPr>
                <w:sz w:val="22"/>
                <w:szCs w:val="22"/>
              </w:rPr>
            </w:pPr>
          </w:p>
          <w:p w14:paraId="3791F217" w14:textId="009960E4" w:rsidR="00452B3F" w:rsidRPr="001300A9" w:rsidRDefault="00452B3F" w:rsidP="00357CEC">
            <w:pPr>
              <w:pStyle w:val="Default"/>
              <w:rPr>
                <w:sz w:val="22"/>
                <w:szCs w:val="22"/>
              </w:rPr>
            </w:pPr>
            <w:r>
              <w:rPr>
                <w:sz w:val="22"/>
                <w:szCs w:val="22"/>
              </w:rPr>
              <w:t>NZ</w:t>
            </w:r>
          </w:p>
        </w:tc>
        <w:tc>
          <w:tcPr>
            <w:tcW w:w="567" w:type="dxa"/>
          </w:tcPr>
          <w:p w14:paraId="20A98DB8" w14:textId="77777777" w:rsidR="00452B3F" w:rsidRPr="00097813" w:rsidRDefault="00452B3F" w:rsidP="00357CEC">
            <w:pPr>
              <w:pStyle w:val="Default"/>
              <w:rPr>
                <w:sz w:val="22"/>
                <w:szCs w:val="22"/>
              </w:rPr>
            </w:pPr>
            <w:r w:rsidRPr="00097813">
              <w:rPr>
                <w:sz w:val="22"/>
                <w:szCs w:val="22"/>
              </w:rPr>
              <w:lastRenderedPageBreak/>
              <w:t>Č:I §:</w:t>
            </w:r>
            <w:r w:rsidR="002C3C1E" w:rsidRPr="00097813">
              <w:rPr>
                <w:sz w:val="22"/>
                <w:szCs w:val="22"/>
              </w:rPr>
              <w:t>15</w:t>
            </w:r>
            <w:r w:rsidRPr="00097813">
              <w:rPr>
                <w:sz w:val="22"/>
                <w:szCs w:val="22"/>
              </w:rPr>
              <w:t xml:space="preserve"> </w:t>
            </w:r>
          </w:p>
          <w:p w14:paraId="75012482" w14:textId="7845FF3C" w:rsidR="00357CEC" w:rsidRPr="001300A9" w:rsidRDefault="00452B3F" w:rsidP="00357CEC">
            <w:pPr>
              <w:pStyle w:val="Default"/>
              <w:rPr>
                <w:sz w:val="22"/>
                <w:szCs w:val="22"/>
              </w:rPr>
            </w:pPr>
            <w:r w:rsidRPr="00097813">
              <w:rPr>
                <w:sz w:val="22"/>
                <w:szCs w:val="22"/>
              </w:rPr>
              <w:t>O:</w:t>
            </w:r>
            <w:r w:rsidR="005900E4" w:rsidRPr="00097813">
              <w:rPr>
                <w:sz w:val="22"/>
                <w:szCs w:val="22"/>
              </w:rPr>
              <w:t>1</w:t>
            </w:r>
          </w:p>
          <w:p w14:paraId="47E28C5B" w14:textId="77777777" w:rsidR="005900E4" w:rsidRPr="001300A9" w:rsidRDefault="005900E4" w:rsidP="00357CEC">
            <w:pPr>
              <w:pStyle w:val="Default"/>
              <w:rPr>
                <w:sz w:val="22"/>
                <w:szCs w:val="22"/>
              </w:rPr>
            </w:pPr>
          </w:p>
          <w:p w14:paraId="592F6615" w14:textId="77777777" w:rsidR="005900E4" w:rsidRPr="001300A9" w:rsidRDefault="005900E4" w:rsidP="00357CEC">
            <w:pPr>
              <w:pStyle w:val="Default"/>
              <w:rPr>
                <w:sz w:val="22"/>
                <w:szCs w:val="22"/>
              </w:rPr>
            </w:pPr>
          </w:p>
          <w:p w14:paraId="0A6C2A78" w14:textId="77777777" w:rsidR="005900E4" w:rsidRPr="001300A9" w:rsidRDefault="005900E4" w:rsidP="00357CEC">
            <w:pPr>
              <w:pStyle w:val="Default"/>
              <w:rPr>
                <w:sz w:val="22"/>
                <w:szCs w:val="22"/>
              </w:rPr>
            </w:pPr>
          </w:p>
          <w:p w14:paraId="72A5F437" w14:textId="77777777" w:rsidR="005900E4" w:rsidRPr="001300A9" w:rsidRDefault="005900E4" w:rsidP="00357CEC">
            <w:pPr>
              <w:pStyle w:val="Default"/>
              <w:rPr>
                <w:sz w:val="22"/>
                <w:szCs w:val="22"/>
              </w:rPr>
            </w:pPr>
          </w:p>
          <w:p w14:paraId="6396CBC7" w14:textId="77777777" w:rsidR="005900E4" w:rsidRPr="001300A9" w:rsidRDefault="005900E4" w:rsidP="00357CEC">
            <w:pPr>
              <w:pStyle w:val="Default"/>
              <w:rPr>
                <w:sz w:val="22"/>
                <w:szCs w:val="22"/>
              </w:rPr>
            </w:pPr>
          </w:p>
          <w:p w14:paraId="2B147D6B" w14:textId="77777777" w:rsidR="005900E4" w:rsidRPr="001300A9" w:rsidRDefault="005900E4" w:rsidP="00357CEC">
            <w:pPr>
              <w:pStyle w:val="Default"/>
              <w:rPr>
                <w:sz w:val="22"/>
                <w:szCs w:val="22"/>
              </w:rPr>
            </w:pPr>
          </w:p>
          <w:p w14:paraId="4C1C2978" w14:textId="77777777" w:rsidR="005900E4" w:rsidRPr="001300A9" w:rsidRDefault="005900E4" w:rsidP="00357CEC">
            <w:pPr>
              <w:pStyle w:val="Default"/>
              <w:rPr>
                <w:sz w:val="22"/>
                <w:szCs w:val="22"/>
              </w:rPr>
            </w:pPr>
          </w:p>
          <w:p w14:paraId="6F6FB1E3" w14:textId="77777777" w:rsidR="005900E4" w:rsidRPr="001300A9" w:rsidRDefault="005900E4" w:rsidP="00357CEC">
            <w:pPr>
              <w:pStyle w:val="Default"/>
              <w:rPr>
                <w:sz w:val="22"/>
                <w:szCs w:val="22"/>
              </w:rPr>
            </w:pPr>
          </w:p>
          <w:p w14:paraId="2B0854BE" w14:textId="77777777" w:rsidR="005900E4" w:rsidRPr="001300A9" w:rsidRDefault="005900E4" w:rsidP="00357CEC">
            <w:pPr>
              <w:pStyle w:val="Default"/>
              <w:rPr>
                <w:sz w:val="22"/>
                <w:szCs w:val="22"/>
              </w:rPr>
            </w:pPr>
          </w:p>
          <w:p w14:paraId="79A7B97D" w14:textId="77777777" w:rsidR="005900E4" w:rsidRPr="001300A9" w:rsidRDefault="005900E4" w:rsidP="00357CEC">
            <w:pPr>
              <w:pStyle w:val="Default"/>
              <w:rPr>
                <w:sz w:val="22"/>
                <w:szCs w:val="22"/>
              </w:rPr>
            </w:pPr>
          </w:p>
          <w:p w14:paraId="3283E0A7" w14:textId="77777777" w:rsidR="005900E4" w:rsidRPr="001300A9" w:rsidRDefault="005900E4" w:rsidP="00357CEC">
            <w:pPr>
              <w:pStyle w:val="Default"/>
              <w:rPr>
                <w:sz w:val="22"/>
                <w:szCs w:val="22"/>
              </w:rPr>
            </w:pPr>
          </w:p>
          <w:p w14:paraId="084E4468" w14:textId="77777777" w:rsidR="005900E4" w:rsidRPr="001300A9" w:rsidRDefault="005900E4" w:rsidP="00357CEC">
            <w:pPr>
              <w:pStyle w:val="Default"/>
              <w:rPr>
                <w:sz w:val="22"/>
                <w:szCs w:val="22"/>
              </w:rPr>
            </w:pPr>
          </w:p>
          <w:p w14:paraId="3DA3062D" w14:textId="77777777" w:rsidR="005900E4" w:rsidRPr="001300A9" w:rsidRDefault="005900E4" w:rsidP="00357CEC">
            <w:pPr>
              <w:pStyle w:val="Default"/>
              <w:rPr>
                <w:sz w:val="22"/>
                <w:szCs w:val="22"/>
              </w:rPr>
            </w:pPr>
          </w:p>
          <w:p w14:paraId="3230AF43" w14:textId="77777777" w:rsidR="005900E4" w:rsidRPr="001300A9" w:rsidRDefault="005900E4" w:rsidP="00357CEC">
            <w:pPr>
              <w:pStyle w:val="Default"/>
              <w:rPr>
                <w:sz w:val="22"/>
                <w:szCs w:val="22"/>
              </w:rPr>
            </w:pPr>
          </w:p>
          <w:p w14:paraId="10C058B0" w14:textId="77777777" w:rsidR="005900E4" w:rsidRPr="001300A9" w:rsidRDefault="005900E4" w:rsidP="00357CEC">
            <w:pPr>
              <w:pStyle w:val="Default"/>
              <w:rPr>
                <w:sz w:val="22"/>
                <w:szCs w:val="22"/>
              </w:rPr>
            </w:pPr>
          </w:p>
          <w:p w14:paraId="3E170605" w14:textId="77777777" w:rsidR="005900E4" w:rsidRPr="001300A9" w:rsidRDefault="005900E4" w:rsidP="00357CEC">
            <w:pPr>
              <w:pStyle w:val="Default"/>
              <w:rPr>
                <w:sz w:val="22"/>
                <w:szCs w:val="22"/>
              </w:rPr>
            </w:pPr>
          </w:p>
          <w:p w14:paraId="144EBC7E" w14:textId="77777777" w:rsidR="005900E4" w:rsidRPr="001300A9" w:rsidRDefault="005900E4" w:rsidP="00357CEC">
            <w:pPr>
              <w:pStyle w:val="Default"/>
              <w:rPr>
                <w:sz w:val="22"/>
                <w:szCs w:val="22"/>
              </w:rPr>
            </w:pPr>
          </w:p>
          <w:p w14:paraId="2BA1FCF9" w14:textId="77777777" w:rsidR="005900E4" w:rsidRPr="001300A9" w:rsidRDefault="005900E4" w:rsidP="00357CEC">
            <w:pPr>
              <w:pStyle w:val="Default"/>
              <w:rPr>
                <w:sz w:val="22"/>
                <w:szCs w:val="22"/>
              </w:rPr>
            </w:pPr>
          </w:p>
          <w:p w14:paraId="0072B613" w14:textId="77777777" w:rsidR="005900E4" w:rsidRPr="001300A9" w:rsidRDefault="005900E4" w:rsidP="00357CEC">
            <w:pPr>
              <w:pStyle w:val="Default"/>
              <w:rPr>
                <w:sz w:val="22"/>
                <w:szCs w:val="22"/>
              </w:rPr>
            </w:pPr>
          </w:p>
          <w:p w14:paraId="4BBFB3AB" w14:textId="77777777" w:rsidR="005900E4" w:rsidRPr="001300A9" w:rsidRDefault="005900E4" w:rsidP="00357CEC">
            <w:pPr>
              <w:pStyle w:val="Default"/>
              <w:rPr>
                <w:sz w:val="22"/>
                <w:szCs w:val="22"/>
              </w:rPr>
            </w:pPr>
          </w:p>
          <w:p w14:paraId="145C8CE1" w14:textId="77777777" w:rsidR="005900E4" w:rsidRPr="001300A9" w:rsidRDefault="005900E4" w:rsidP="00357CEC">
            <w:pPr>
              <w:pStyle w:val="Default"/>
              <w:rPr>
                <w:sz w:val="22"/>
                <w:szCs w:val="22"/>
              </w:rPr>
            </w:pPr>
          </w:p>
          <w:p w14:paraId="3D9545F1" w14:textId="77777777" w:rsidR="005900E4" w:rsidRPr="001300A9" w:rsidRDefault="005900E4" w:rsidP="00357CEC">
            <w:pPr>
              <w:pStyle w:val="Default"/>
              <w:rPr>
                <w:sz w:val="22"/>
                <w:szCs w:val="22"/>
              </w:rPr>
            </w:pPr>
          </w:p>
          <w:p w14:paraId="22A8FCDA" w14:textId="77777777" w:rsidR="005900E4" w:rsidRPr="001300A9" w:rsidRDefault="005900E4" w:rsidP="00357CEC">
            <w:pPr>
              <w:pStyle w:val="Default"/>
              <w:rPr>
                <w:sz w:val="22"/>
                <w:szCs w:val="22"/>
              </w:rPr>
            </w:pPr>
          </w:p>
          <w:p w14:paraId="47F909EA" w14:textId="77777777" w:rsidR="005900E4" w:rsidRPr="001300A9" w:rsidRDefault="005900E4" w:rsidP="00357CEC">
            <w:pPr>
              <w:pStyle w:val="Default"/>
              <w:rPr>
                <w:sz w:val="22"/>
                <w:szCs w:val="22"/>
              </w:rPr>
            </w:pPr>
          </w:p>
          <w:p w14:paraId="37FE443A" w14:textId="77777777" w:rsidR="005900E4" w:rsidRPr="001300A9" w:rsidRDefault="005900E4" w:rsidP="00357CEC">
            <w:pPr>
              <w:pStyle w:val="Default"/>
              <w:rPr>
                <w:sz w:val="22"/>
                <w:szCs w:val="22"/>
              </w:rPr>
            </w:pPr>
          </w:p>
          <w:p w14:paraId="308C4654" w14:textId="77777777" w:rsidR="005900E4" w:rsidRPr="001300A9" w:rsidRDefault="005900E4" w:rsidP="00357CEC">
            <w:pPr>
              <w:pStyle w:val="Default"/>
              <w:rPr>
                <w:sz w:val="22"/>
                <w:szCs w:val="22"/>
              </w:rPr>
            </w:pPr>
          </w:p>
          <w:p w14:paraId="1072D584" w14:textId="77777777" w:rsidR="005900E4" w:rsidRPr="001300A9" w:rsidRDefault="005900E4" w:rsidP="00357CEC">
            <w:pPr>
              <w:pStyle w:val="Default"/>
              <w:rPr>
                <w:sz w:val="22"/>
                <w:szCs w:val="22"/>
              </w:rPr>
            </w:pPr>
          </w:p>
          <w:p w14:paraId="2075E9FE" w14:textId="77777777" w:rsidR="005900E4" w:rsidRPr="001300A9" w:rsidRDefault="005900E4" w:rsidP="00357CEC">
            <w:pPr>
              <w:pStyle w:val="Default"/>
              <w:rPr>
                <w:sz w:val="22"/>
                <w:szCs w:val="22"/>
              </w:rPr>
            </w:pPr>
          </w:p>
          <w:p w14:paraId="669E8239" w14:textId="77777777" w:rsidR="005900E4" w:rsidRPr="001300A9" w:rsidRDefault="005900E4" w:rsidP="00357CEC">
            <w:pPr>
              <w:pStyle w:val="Default"/>
              <w:rPr>
                <w:sz w:val="22"/>
                <w:szCs w:val="22"/>
              </w:rPr>
            </w:pPr>
          </w:p>
          <w:p w14:paraId="69F6B373" w14:textId="77777777" w:rsidR="005900E4" w:rsidRPr="001300A9" w:rsidRDefault="005900E4" w:rsidP="00357CEC">
            <w:pPr>
              <w:pStyle w:val="Default"/>
              <w:rPr>
                <w:sz w:val="22"/>
                <w:szCs w:val="22"/>
              </w:rPr>
            </w:pPr>
          </w:p>
          <w:p w14:paraId="384F2E73" w14:textId="77777777" w:rsidR="005900E4" w:rsidRPr="001300A9" w:rsidRDefault="005900E4" w:rsidP="00357CEC">
            <w:pPr>
              <w:pStyle w:val="Default"/>
              <w:rPr>
                <w:sz w:val="22"/>
                <w:szCs w:val="22"/>
              </w:rPr>
            </w:pPr>
          </w:p>
          <w:p w14:paraId="50B5CC4A" w14:textId="77777777" w:rsidR="005900E4" w:rsidRPr="001300A9" w:rsidRDefault="005900E4" w:rsidP="00357CEC">
            <w:pPr>
              <w:pStyle w:val="Default"/>
              <w:rPr>
                <w:sz w:val="22"/>
                <w:szCs w:val="22"/>
              </w:rPr>
            </w:pPr>
          </w:p>
          <w:p w14:paraId="696B1CE7" w14:textId="77777777" w:rsidR="005900E4" w:rsidRPr="001300A9" w:rsidRDefault="005900E4" w:rsidP="00357CEC">
            <w:pPr>
              <w:pStyle w:val="Default"/>
              <w:rPr>
                <w:sz w:val="22"/>
                <w:szCs w:val="22"/>
              </w:rPr>
            </w:pPr>
          </w:p>
          <w:p w14:paraId="4D40CAF2" w14:textId="77777777" w:rsidR="005900E4" w:rsidRPr="001300A9" w:rsidRDefault="005900E4" w:rsidP="00357CEC">
            <w:pPr>
              <w:pStyle w:val="Default"/>
              <w:rPr>
                <w:sz w:val="22"/>
                <w:szCs w:val="22"/>
              </w:rPr>
            </w:pPr>
          </w:p>
          <w:p w14:paraId="49B67783" w14:textId="77777777" w:rsidR="005900E4" w:rsidRPr="001300A9" w:rsidRDefault="005900E4" w:rsidP="00357CEC">
            <w:pPr>
              <w:pStyle w:val="Default"/>
              <w:rPr>
                <w:sz w:val="22"/>
                <w:szCs w:val="22"/>
              </w:rPr>
            </w:pPr>
          </w:p>
          <w:p w14:paraId="7813AF02" w14:textId="77777777" w:rsidR="005900E4" w:rsidRPr="001300A9" w:rsidRDefault="005900E4" w:rsidP="00357CEC">
            <w:pPr>
              <w:pStyle w:val="Default"/>
              <w:rPr>
                <w:sz w:val="22"/>
                <w:szCs w:val="22"/>
              </w:rPr>
            </w:pPr>
          </w:p>
          <w:p w14:paraId="262DD870" w14:textId="77777777" w:rsidR="005900E4" w:rsidRPr="001300A9" w:rsidRDefault="005900E4" w:rsidP="00357CEC">
            <w:pPr>
              <w:pStyle w:val="Default"/>
              <w:rPr>
                <w:sz w:val="22"/>
                <w:szCs w:val="22"/>
              </w:rPr>
            </w:pPr>
          </w:p>
          <w:p w14:paraId="47D50C24" w14:textId="77777777" w:rsidR="005900E4" w:rsidRPr="001300A9" w:rsidRDefault="005900E4" w:rsidP="00357CEC">
            <w:pPr>
              <w:pStyle w:val="Default"/>
              <w:rPr>
                <w:sz w:val="22"/>
                <w:szCs w:val="22"/>
              </w:rPr>
            </w:pPr>
          </w:p>
          <w:p w14:paraId="533F978B" w14:textId="77777777" w:rsidR="005900E4" w:rsidRPr="001300A9" w:rsidRDefault="005900E4" w:rsidP="00357CEC">
            <w:pPr>
              <w:pStyle w:val="Default"/>
              <w:rPr>
                <w:sz w:val="22"/>
                <w:szCs w:val="22"/>
              </w:rPr>
            </w:pPr>
          </w:p>
          <w:p w14:paraId="49A5A0DD" w14:textId="77777777" w:rsidR="005900E4" w:rsidRPr="001300A9" w:rsidRDefault="005900E4" w:rsidP="00357CEC">
            <w:pPr>
              <w:pStyle w:val="Default"/>
              <w:rPr>
                <w:sz w:val="22"/>
                <w:szCs w:val="22"/>
              </w:rPr>
            </w:pPr>
          </w:p>
          <w:p w14:paraId="7219114E" w14:textId="77777777" w:rsidR="005900E4" w:rsidRPr="001300A9" w:rsidRDefault="005900E4" w:rsidP="00357CEC">
            <w:pPr>
              <w:pStyle w:val="Default"/>
              <w:rPr>
                <w:sz w:val="22"/>
                <w:szCs w:val="22"/>
              </w:rPr>
            </w:pPr>
          </w:p>
          <w:p w14:paraId="46B9C111" w14:textId="77777777" w:rsidR="005900E4" w:rsidRPr="001300A9" w:rsidRDefault="005900E4" w:rsidP="00357CEC">
            <w:pPr>
              <w:pStyle w:val="Default"/>
              <w:rPr>
                <w:sz w:val="22"/>
                <w:szCs w:val="22"/>
              </w:rPr>
            </w:pPr>
          </w:p>
          <w:p w14:paraId="5F307A06" w14:textId="77777777" w:rsidR="005900E4" w:rsidRPr="001300A9" w:rsidRDefault="005900E4" w:rsidP="00357CEC">
            <w:pPr>
              <w:pStyle w:val="Default"/>
              <w:rPr>
                <w:sz w:val="22"/>
                <w:szCs w:val="22"/>
              </w:rPr>
            </w:pPr>
          </w:p>
          <w:p w14:paraId="61C611A4" w14:textId="77777777" w:rsidR="005900E4" w:rsidRPr="001300A9" w:rsidRDefault="005900E4" w:rsidP="00357CEC">
            <w:pPr>
              <w:pStyle w:val="Default"/>
              <w:rPr>
                <w:sz w:val="22"/>
                <w:szCs w:val="22"/>
              </w:rPr>
            </w:pPr>
          </w:p>
          <w:p w14:paraId="069FBC24" w14:textId="77777777" w:rsidR="005900E4" w:rsidRPr="001300A9" w:rsidRDefault="005900E4" w:rsidP="00357CEC">
            <w:pPr>
              <w:pStyle w:val="Default"/>
              <w:rPr>
                <w:sz w:val="22"/>
                <w:szCs w:val="22"/>
              </w:rPr>
            </w:pPr>
          </w:p>
          <w:p w14:paraId="39015259" w14:textId="77777777" w:rsidR="005900E4" w:rsidRPr="001300A9" w:rsidRDefault="005900E4" w:rsidP="00357CEC">
            <w:pPr>
              <w:pStyle w:val="Default"/>
              <w:rPr>
                <w:sz w:val="22"/>
                <w:szCs w:val="22"/>
              </w:rPr>
            </w:pPr>
          </w:p>
          <w:p w14:paraId="02C0ECB0" w14:textId="77777777" w:rsidR="005900E4" w:rsidRPr="001300A9" w:rsidRDefault="005900E4" w:rsidP="00357CEC">
            <w:pPr>
              <w:pStyle w:val="Default"/>
              <w:rPr>
                <w:sz w:val="22"/>
                <w:szCs w:val="22"/>
              </w:rPr>
            </w:pPr>
          </w:p>
          <w:p w14:paraId="3E44D2EF" w14:textId="77777777" w:rsidR="005900E4" w:rsidRPr="001300A9" w:rsidRDefault="005900E4" w:rsidP="00357CEC">
            <w:pPr>
              <w:pStyle w:val="Default"/>
              <w:rPr>
                <w:sz w:val="22"/>
                <w:szCs w:val="22"/>
              </w:rPr>
            </w:pPr>
          </w:p>
          <w:p w14:paraId="715D011A" w14:textId="77777777" w:rsidR="005900E4" w:rsidRPr="001300A9" w:rsidRDefault="005900E4" w:rsidP="00357CEC">
            <w:pPr>
              <w:pStyle w:val="Default"/>
              <w:rPr>
                <w:sz w:val="22"/>
                <w:szCs w:val="22"/>
              </w:rPr>
            </w:pPr>
          </w:p>
          <w:p w14:paraId="180030F8" w14:textId="77777777" w:rsidR="005900E4" w:rsidRPr="001300A9" w:rsidRDefault="005900E4" w:rsidP="00357CEC">
            <w:pPr>
              <w:pStyle w:val="Default"/>
              <w:rPr>
                <w:sz w:val="22"/>
                <w:szCs w:val="22"/>
              </w:rPr>
            </w:pPr>
          </w:p>
          <w:p w14:paraId="5A634A92" w14:textId="77777777" w:rsidR="005900E4" w:rsidRPr="001300A9" w:rsidRDefault="005900E4" w:rsidP="00357CEC">
            <w:pPr>
              <w:pStyle w:val="Default"/>
              <w:rPr>
                <w:sz w:val="22"/>
                <w:szCs w:val="22"/>
              </w:rPr>
            </w:pPr>
          </w:p>
          <w:p w14:paraId="2E30B0E3" w14:textId="77777777" w:rsidR="005900E4" w:rsidRPr="001300A9" w:rsidRDefault="005900E4" w:rsidP="00357CEC">
            <w:pPr>
              <w:pStyle w:val="Default"/>
              <w:rPr>
                <w:sz w:val="22"/>
                <w:szCs w:val="22"/>
              </w:rPr>
            </w:pPr>
          </w:p>
          <w:p w14:paraId="1CFEB2E2" w14:textId="77777777" w:rsidR="005900E4" w:rsidRPr="001300A9" w:rsidRDefault="005900E4" w:rsidP="00357CEC">
            <w:pPr>
              <w:pStyle w:val="Default"/>
              <w:rPr>
                <w:sz w:val="22"/>
                <w:szCs w:val="22"/>
              </w:rPr>
            </w:pPr>
          </w:p>
          <w:p w14:paraId="72214757" w14:textId="77777777" w:rsidR="005900E4" w:rsidRPr="001300A9" w:rsidRDefault="005900E4" w:rsidP="00357CEC">
            <w:pPr>
              <w:pStyle w:val="Default"/>
              <w:rPr>
                <w:sz w:val="22"/>
                <w:szCs w:val="22"/>
              </w:rPr>
            </w:pPr>
          </w:p>
          <w:p w14:paraId="01BABA23" w14:textId="77777777" w:rsidR="005900E4" w:rsidRPr="001300A9" w:rsidRDefault="005900E4" w:rsidP="00357CEC">
            <w:pPr>
              <w:pStyle w:val="Default"/>
              <w:rPr>
                <w:sz w:val="22"/>
                <w:szCs w:val="22"/>
              </w:rPr>
            </w:pPr>
          </w:p>
          <w:p w14:paraId="738388FC" w14:textId="77777777" w:rsidR="005900E4" w:rsidRPr="001300A9" w:rsidRDefault="005900E4" w:rsidP="00357CEC">
            <w:pPr>
              <w:pStyle w:val="Default"/>
              <w:rPr>
                <w:sz w:val="22"/>
                <w:szCs w:val="22"/>
              </w:rPr>
            </w:pPr>
          </w:p>
          <w:p w14:paraId="182B1533" w14:textId="77777777" w:rsidR="005900E4" w:rsidRPr="001300A9" w:rsidRDefault="005900E4" w:rsidP="00357CEC">
            <w:pPr>
              <w:pStyle w:val="Default"/>
              <w:rPr>
                <w:sz w:val="22"/>
                <w:szCs w:val="22"/>
              </w:rPr>
            </w:pPr>
          </w:p>
          <w:p w14:paraId="47D9146D" w14:textId="77777777" w:rsidR="005900E4" w:rsidRPr="001300A9" w:rsidRDefault="005900E4" w:rsidP="00357CEC">
            <w:pPr>
              <w:pStyle w:val="Default"/>
              <w:rPr>
                <w:sz w:val="22"/>
                <w:szCs w:val="22"/>
              </w:rPr>
            </w:pPr>
          </w:p>
          <w:p w14:paraId="6DF17DB3" w14:textId="77777777" w:rsidR="005900E4" w:rsidRPr="001300A9" w:rsidRDefault="005900E4" w:rsidP="00357CEC">
            <w:pPr>
              <w:pStyle w:val="Default"/>
              <w:rPr>
                <w:sz w:val="22"/>
                <w:szCs w:val="22"/>
              </w:rPr>
            </w:pPr>
          </w:p>
          <w:p w14:paraId="64702FA4" w14:textId="77777777" w:rsidR="005900E4" w:rsidRPr="001300A9" w:rsidRDefault="005900E4" w:rsidP="00357CEC">
            <w:pPr>
              <w:pStyle w:val="Default"/>
              <w:rPr>
                <w:sz w:val="22"/>
                <w:szCs w:val="22"/>
              </w:rPr>
            </w:pPr>
          </w:p>
          <w:p w14:paraId="3EE08AE8" w14:textId="77777777" w:rsidR="005900E4" w:rsidRPr="001300A9" w:rsidRDefault="005900E4" w:rsidP="00357CEC">
            <w:pPr>
              <w:pStyle w:val="Default"/>
              <w:rPr>
                <w:sz w:val="22"/>
                <w:szCs w:val="22"/>
              </w:rPr>
            </w:pPr>
          </w:p>
          <w:p w14:paraId="473DC870" w14:textId="77777777" w:rsidR="005900E4" w:rsidRPr="001300A9" w:rsidRDefault="005900E4" w:rsidP="00357CEC">
            <w:pPr>
              <w:pStyle w:val="Default"/>
              <w:rPr>
                <w:sz w:val="22"/>
                <w:szCs w:val="22"/>
              </w:rPr>
            </w:pPr>
          </w:p>
          <w:p w14:paraId="283F4895" w14:textId="77777777" w:rsidR="005900E4" w:rsidRPr="001300A9" w:rsidRDefault="005900E4" w:rsidP="00357CEC">
            <w:pPr>
              <w:pStyle w:val="Default"/>
              <w:rPr>
                <w:sz w:val="22"/>
                <w:szCs w:val="22"/>
              </w:rPr>
            </w:pPr>
          </w:p>
          <w:p w14:paraId="1ED03214" w14:textId="77777777" w:rsidR="005900E4" w:rsidRPr="001300A9" w:rsidRDefault="005900E4" w:rsidP="00357CEC">
            <w:pPr>
              <w:pStyle w:val="Default"/>
              <w:rPr>
                <w:sz w:val="22"/>
                <w:szCs w:val="22"/>
              </w:rPr>
            </w:pPr>
          </w:p>
          <w:p w14:paraId="341DFAB7" w14:textId="77777777" w:rsidR="005900E4" w:rsidRPr="001300A9" w:rsidRDefault="005900E4" w:rsidP="00357CEC">
            <w:pPr>
              <w:pStyle w:val="Default"/>
              <w:rPr>
                <w:sz w:val="22"/>
                <w:szCs w:val="22"/>
              </w:rPr>
            </w:pPr>
          </w:p>
          <w:p w14:paraId="7D2802F6" w14:textId="77777777" w:rsidR="005900E4" w:rsidRPr="001300A9" w:rsidRDefault="005900E4" w:rsidP="00357CEC">
            <w:pPr>
              <w:pStyle w:val="Default"/>
              <w:rPr>
                <w:sz w:val="22"/>
                <w:szCs w:val="22"/>
              </w:rPr>
            </w:pPr>
          </w:p>
          <w:p w14:paraId="03069853" w14:textId="77777777" w:rsidR="005900E4" w:rsidRPr="001300A9" w:rsidRDefault="005900E4" w:rsidP="00357CEC">
            <w:pPr>
              <w:pStyle w:val="Default"/>
              <w:rPr>
                <w:sz w:val="22"/>
                <w:szCs w:val="22"/>
              </w:rPr>
            </w:pPr>
          </w:p>
          <w:p w14:paraId="2F0E4C7E" w14:textId="77777777" w:rsidR="005900E4" w:rsidRPr="001300A9" w:rsidRDefault="005900E4" w:rsidP="00357CEC">
            <w:pPr>
              <w:pStyle w:val="Default"/>
              <w:rPr>
                <w:sz w:val="22"/>
                <w:szCs w:val="22"/>
              </w:rPr>
            </w:pPr>
          </w:p>
          <w:p w14:paraId="52995B49" w14:textId="77777777" w:rsidR="005900E4" w:rsidRPr="001300A9" w:rsidRDefault="005900E4" w:rsidP="00357CEC">
            <w:pPr>
              <w:pStyle w:val="Default"/>
              <w:rPr>
                <w:sz w:val="22"/>
                <w:szCs w:val="22"/>
              </w:rPr>
            </w:pPr>
          </w:p>
          <w:p w14:paraId="604FE45F" w14:textId="77777777" w:rsidR="005900E4" w:rsidRPr="001300A9" w:rsidRDefault="005900E4" w:rsidP="00357CEC">
            <w:pPr>
              <w:pStyle w:val="Default"/>
              <w:rPr>
                <w:sz w:val="22"/>
                <w:szCs w:val="22"/>
              </w:rPr>
            </w:pPr>
          </w:p>
          <w:p w14:paraId="73F8FD14" w14:textId="77777777" w:rsidR="005900E4" w:rsidRPr="001300A9" w:rsidRDefault="005900E4" w:rsidP="00357CEC">
            <w:pPr>
              <w:pStyle w:val="Default"/>
              <w:rPr>
                <w:sz w:val="22"/>
                <w:szCs w:val="22"/>
              </w:rPr>
            </w:pPr>
          </w:p>
          <w:p w14:paraId="3211F009" w14:textId="77777777" w:rsidR="005900E4" w:rsidRPr="001300A9" w:rsidRDefault="005900E4" w:rsidP="00357CEC">
            <w:pPr>
              <w:pStyle w:val="Default"/>
              <w:rPr>
                <w:sz w:val="22"/>
                <w:szCs w:val="22"/>
              </w:rPr>
            </w:pPr>
          </w:p>
          <w:p w14:paraId="75326833" w14:textId="75385E00" w:rsidR="005900E4" w:rsidRDefault="005900E4" w:rsidP="00357CEC">
            <w:pPr>
              <w:pStyle w:val="Default"/>
              <w:rPr>
                <w:sz w:val="22"/>
                <w:szCs w:val="22"/>
              </w:rPr>
            </w:pPr>
          </w:p>
          <w:p w14:paraId="0E7B2382" w14:textId="3903F1E2" w:rsidR="003367CB" w:rsidRDefault="003367CB" w:rsidP="00357CEC">
            <w:pPr>
              <w:pStyle w:val="Default"/>
              <w:rPr>
                <w:sz w:val="22"/>
                <w:szCs w:val="22"/>
              </w:rPr>
            </w:pPr>
          </w:p>
          <w:p w14:paraId="1DA6AE7C" w14:textId="3B5A1641" w:rsidR="21A61628" w:rsidRDefault="21A61628" w:rsidP="21A61628">
            <w:pPr>
              <w:pStyle w:val="Default"/>
              <w:rPr>
                <w:sz w:val="22"/>
                <w:szCs w:val="22"/>
                <w:highlight w:val="green"/>
              </w:rPr>
            </w:pPr>
          </w:p>
          <w:p w14:paraId="2E1D2EA8" w14:textId="7C5E0BCC" w:rsidR="00452B3F" w:rsidRPr="00A17585" w:rsidRDefault="00452B3F" w:rsidP="00357CEC">
            <w:pPr>
              <w:pStyle w:val="Default"/>
              <w:rPr>
                <w:sz w:val="22"/>
                <w:szCs w:val="22"/>
              </w:rPr>
            </w:pPr>
            <w:r w:rsidRPr="4792BE4F">
              <w:rPr>
                <w:sz w:val="22"/>
                <w:szCs w:val="22"/>
              </w:rPr>
              <w:t>Č:I§:</w:t>
            </w:r>
            <w:r w:rsidR="000243DF" w:rsidRPr="4792BE4F">
              <w:rPr>
                <w:sz w:val="22"/>
                <w:szCs w:val="22"/>
              </w:rPr>
              <w:t>15</w:t>
            </w:r>
            <w:r w:rsidRPr="4792BE4F">
              <w:rPr>
                <w:sz w:val="22"/>
                <w:szCs w:val="22"/>
              </w:rPr>
              <w:t xml:space="preserve"> </w:t>
            </w:r>
          </w:p>
          <w:p w14:paraId="29D4720D" w14:textId="2B51F042" w:rsidR="005900E4" w:rsidRPr="001300A9" w:rsidRDefault="00452B3F" w:rsidP="00357CEC">
            <w:pPr>
              <w:pStyle w:val="Default"/>
              <w:rPr>
                <w:sz w:val="22"/>
                <w:szCs w:val="22"/>
              </w:rPr>
            </w:pPr>
            <w:r w:rsidRPr="00A17585">
              <w:rPr>
                <w:sz w:val="22"/>
                <w:szCs w:val="22"/>
              </w:rPr>
              <w:t>O:</w:t>
            </w:r>
            <w:r w:rsidR="005900E4" w:rsidRPr="00A17585">
              <w:rPr>
                <w:sz w:val="22"/>
                <w:szCs w:val="22"/>
              </w:rPr>
              <w:t>2</w:t>
            </w:r>
          </w:p>
          <w:p w14:paraId="56282A92" w14:textId="77777777" w:rsidR="003237A8" w:rsidRPr="001300A9" w:rsidRDefault="003237A8" w:rsidP="00357CEC">
            <w:pPr>
              <w:pStyle w:val="Default"/>
              <w:rPr>
                <w:sz w:val="22"/>
                <w:szCs w:val="22"/>
              </w:rPr>
            </w:pPr>
          </w:p>
          <w:p w14:paraId="5DF618AD" w14:textId="77777777" w:rsidR="003237A8" w:rsidRPr="001300A9" w:rsidRDefault="003237A8" w:rsidP="00357CEC">
            <w:pPr>
              <w:pStyle w:val="Default"/>
              <w:rPr>
                <w:sz w:val="22"/>
                <w:szCs w:val="22"/>
              </w:rPr>
            </w:pPr>
          </w:p>
          <w:p w14:paraId="451D856E" w14:textId="77777777" w:rsidR="003237A8" w:rsidRPr="001300A9" w:rsidRDefault="003237A8" w:rsidP="00357CEC">
            <w:pPr>
              <w:pStyle w:val="Default"/>
              <w:rPr>
                <w:sz w:val="22"/>
                <w:szCs w:val="22"/>
              </w:rPr>
            </w:pPr>
          </w:p>
          <w:p w14:paraId="1894ABF9" w14:textId="77777777" w:rsidR="003237A8" w:rsidRPr="001300A9" w:rsidRDefault="003237A8" w:rsidP="00357CEC">
            <w:pPr>
              <w:pStyle w:val="Default"/>
              <w:rPr>
                <w:sz w:val="22"/>
                <w:szCs w:val="22"/>
              </w:rPr>
            </w:pPr>
          </w:p>
          <w:p w14:paraId="1A962F39" w14:textId="77777777" w:rsidR="003237A8" w:rsidRPr="001300A9" w:rsidRDefault="003237A8" w:rsidP="00357CEC">
            <w:pPr>
              <w:pStyle w:val="Default"/>
              <w:rPr>
                <w:sz w:val="22"/>
                <w:szCs w:val="22"/>
              </w:rPr>
            </w:pPr>
          </w:p>
          <w:p w14:paraId="0E9E674A" w14:textId="77777777" w:rsidR="003237A8" w:rsidRPr="001300A9" w:rsidRDefault="003237A8" w:rsidP="00357CEC">
            <w:pPr>
              <w:pStyle w:val="Default"/>
              <w:rPr>
                <w:sz w:val="22"/>
                <w:szCs w:val="22"/>
              </w:rPr>
            </w:pPr>
          </w:p>
          <w:p w14:paraId="6DED4398" w14:textId="77777777" w:rsidR="003237A8" w:rsidRPr="001300A9" w:rsidRDefault="003237A8" w:rsidP="00357CEC">
            <w:pPr>
              <w:pStyle w:val="Default"/>
              <w:rPr>
                <w:sz w:val="22"/>
                <w:szCs w:val="22"/>
              </w:rPr>
            </w:pPr>
          </w:p>
          <w:p w14:paraId="42470386" w14:textId="77777777" w:rsidR="003237A8" w:rsidRPr="001300A9" w:rsidRDefault="003237A8" w:rsidP="00357CEC">
            <w:pPr>
              <w:pStyle w:val="Default"/>
              <w:rPr>
                <w:sz w:val="22"/>
                <w:szCs w:val="22"/>
              </w:rPr>
            </w:pPr>
          </w:p>
          <w:p w14:paraId="395EF556" w14:textId="77777777" w:rsidR="003237A8" w:rsidRPr="001300A9" w:rsidRDefault="003237A8" w:rsidP="00357CEC">
            <w:pPr>
              <w:pStyle w:val="Default"/>
              <w:rPr>
                <w:sz w:val="22"/>
                <w:szCs w:val="22"/>
              </w:rPr>
            </w:pPr>
          </w:p>
          <w:p w14:paraId="0AF6ACED" w14:textId="77777777" w:rsidR="003237A8" w:rsidRPr="001300A9" w:rsidRDefault="003237A8" w:rsidP="00357CEC">
            <w:pPr>
              <w:pStyle w:val="Default"/>
              <w:rPr>
                <w:sz w:val="22"/>
                <w:szCs w:val="22"/>
              </w:rPr>
            </w:pPr>
          </w:p>
          <w:p w14:paraId="3454BAEB" w14:textId="77777777" w:rsidR="003237A8" w:rsidRPr="001300A9" w:rsidRDefault="003237A8" w:rsidP="00357CEC">
            <w:pPr>
              <w:pStyle w:val="Default"/>
              <w:rPr>
                <w:sz w:val="22"/>
                <w:szCs w:val="22"/>
              </w:rPr>
            </w:pPr>
          </w:p>
          <w:p w14:paraId="31939367" w14:textId="77777777" w:rsidR="003237A8" w:rsidRPr="001300A9" w:rsidRDefault="003237A8" w:rsidP="00357CEC">
            <w:pPr>
              <w:pStyle w:val="Default"/>
              <w:rPr>
                <w:sz w:val="22"/>
                <w:szCs w:val="22"/>
              </w:rPr>
            </w:pPr>
          </w:p>
          <w:p w14:paraId="058A9B95" w14:textId="77777777" w:rsidR="003237A8" w:rsidRPr="001300A9" w:rsidRDefault="003237A8" w:rsidP="00357CEC">
            <w:pPr>
              <w:pStyle w:val="Default"/>
              <w:rPr>
                <w:sz w:val="22"/>
                <w:szCs w:val="22"/>
              </w:rPr>
            </w:pPr>
          </w:p>
          <w:p w14:paraId="317F4958" w14:textId="77777777" w:rsidR="003237A8" w:rsidRPr="001300A9" w:rsidRDefault="003237A8" w:rsidP="00357CEC">
            <w:pPr>
              <w:pStyle w:val="Default"/>
              <w:rPr>
                <w:sz w:val="22"/>
                <w:szCs w:val="22"/>
              </w:rPr>
            </w:pPr>
          </w:p>
          <w:p w14:paraId="7B2D80DE" w14:textId="77777777" w:rsidR="003237A8" w:rsidRPr="001300A9" w:rsidRDefault="003237A8" w:rsidP="00357CEC">
            <w:pPr>
              <w:pStyle w:val="Default"/>
              <w:rPr>
                <w:sz w:val="22"/>
                <w:szCs w:val="22"/>
              </w:rPr>
            </w:pPr>
          </w:p>
          <w:p w14:paraId="1BB5C4EE" w14:textId="77777777" w:rsidR="003237A8" w:rsidRPr="001300A9" w:rsidRDefault="003237A8" w:rsidP="00357CEC">
            <w:pPr>
              <w:pStyle w:val="Default"/>
              <w:rPr>
                <w:sz w:val="22"/>
                <w:szCs w:val="22"/>
              </w:rPr>
            </w:pPr>
          </w:p>
          <w:p w14:paraId="58CD77ED" w14:textId="3FBF473A" w:rsidR="003237A8" w:rsidRPr="001300A9" w:rsidRDefault="003237A8" w:rsidP="00357CEC">
            <w:pPr>
              <w:pStyle w:val="Default"/>
              <w:rPr>
                <w:sz w:val="22"/>
                <w:szCs w:val="22"/>
              </w:rPr>
            </w:pPr>
          </w:p>
          <w:p w14:paraId="22ADD137" w14:textId="0399A225" w:rsidR="00452B3F" w:rsidRPr="00A17585" w:rsidRDefault="00452B3F" w:rsidP="00357CEC">
            <w:pPr>
              <w:pStyle w:val="Default"/>
              <w:rPr>
                <w:color w:val="auto"/>
                <w:sz w:val="22"/>
                <w:szCs w:val="22"/>
              </w:rPr>
            </w:pPr>
            <w:r w:rsidRPr="4792BE4F">
              <w:rPr>
                <w:color w:val="auto"/>
                <w:sz w:val="22"/>
                <w:szCs w:val="22"/>
              </w:rPr>
              <w:t>Č:I§:</w:t>
            </w:r>
            <w:r w:rsidR="000243DF" w:rsidRPr="4792BE4F">
              <w:rPr>
                <w:color w:val="auto"/>
                <w:sz w:val="22"/>
                <w:szCs w:val="22"/>
              </w:rPr>
              <w:t>15</w:t>
            </w:r>
            <w:r w:rsidRPr="4792BE4F">
              <w:rPr>
                <w:color w:val="auto"/>
                <w:sz w:val="22"/>
                <w:szCs w:val="22"/>
              </w:rPr>
              <w:t xml:space="preserve"> </w:t>
            </w:r>
          </w:p>
          <w:p w14:paraId="7FB9783D" w14:textId="088D40E1" w:rsidR="00AF7521" w:rsidRPr="00621C8C" w:rsidRDefault="00452B3F" w:rsidP="00357CEC">
            <w:pPr>
              <w:pStyle w:val="Default"/>
              <w:rPr>
                <w:color w:val="auto"/>
                <w:sz w:val="22"/>
                <w:szCs w:val="22"/>
              </w:rPr>
            </w:pPr>
            <w:r w:rsidRPr="4792BE4F">
              <w:rPr>
                <w:color w:val="auto"/>
                <w:sz w:val="22"/>
                <w:szCs w:val="22"/>
              </w:rPr>
              <w:t>O:</w:t>
            </w:r>
            <w:r w:rsidR="003237A8" w:rsidRPr="4792BE4F">
              <w:rPr>
                <w:color w:val="auto"/>
                <w:sz w:val="22"/>
                <w:szCs w:val="22"/>
              </w:rPr>
              <w:t>3</w:t>
            </w:r>
            <w:r w:rsidR="00AF7521" w:rsidRPr="4792BE4F">
              <w:rPr>
                <w:color w:val="auto"/>
                <w:sz w:val="22"/>
                <w:szCs w:val="22"/>
              </w:rPr>
              <w:t>V:1</w:t>
            </w:r>
          </w:p>
          <w:p w14:paraId="6FC58DBB" w14:textId="77777777" w:rsidR="003237A8" w:rsidRPr="001300A9" w:rsidRDefault="003237A8" w:rsidP="00357CEC">
            <w:pPr>
              <w:pStyle w:val="Default"/>
              <w:rPr>
                <w:sz w:val="22"/>
                <w:szCs w:val="22"/>
              </w:rPr>
            </w:pPr>
          </w:p>
          <w:p w14:paraId="08DB21B1" w14:textId="77777777" w:rsidR="003237A8" w:rsidRPr="001300A9" w:rsidRDefault="003237A8" w:rsidP="00357CEC">
            <w:pPr>
              <w:pStyle w:val="Default"/>
              <w:rPr>
                <w:sz w:val="22"/>
                <w:szCs w:val="22"/>
              </w:rPr>
            </w:pPr>
          </w:p>
          <w:p w14:paraId="59A8465C" w14:textId="77777777" w:rsidR="003237A8" w:rsidRPr="001300A9" w:rsidRDefault="003237A8" w:rsidP="00357CEC">
            <w:pPr>
              <w:pStyle w:val="Default"/>
              <w:rPr>
                <w:sz w:val="22"/>
                <w:szCs w:val="22"/>
              </w:rPr>
            </w:pPr>
          </w:p>
          <w:p w14:paraId="27A02711" w14:textId="77777777" w:rsidR="003237A8" w:rsidRPr="001300A9" w:rsidRDefault="003237A8" w:rsidP="00357CEC">
            <w:pPr>
              <w:pStyle w:val="Default"/>
              <w:rPr>
                <w:sz w:val="22"/>
                <w:szCs w:val="22"/>
              </w:rPr>
            </w:pPr>
          </w:p>
          <w:p w14:paraId="47C214EA" w14:textId="2EFDC123" w:rsidR="003237A8" w:rsidRPr="001300A9" w:rsidRDefault="003237A8" w:rsidP="00357CEC">
            <w:pPr>
              <w:pStyle w:val="Default"/>
              <w:rPr>
                <w:sz w:val="22"/>
                <w:szCs w:val="22"/>
              </w:rPr>
            </w:pPr>
          </w:p>
          <w:p w14:paraId="1F1DAE63" w14:textId="58A134A5" w:rsidR="4792BE4F" w:rsidRDefault="4792BE4F" w:rsidP="4792BE4F">
            <w:pPr>
              <w:pStyle w:val="Default"/>
              <w:rPr>
                <w:sz w:val="22"/>
                <w:szCs w:val="22"/>
              </w:rPr>
            </w:pPr>
          </w:p>
          <w:p w14:paraId="085C9A16" w14:textId="141F6319" w:rsidR="4792BE4F" w:rsidRDefault="4792BE4F" w:rsidP="4792BE4F">
            <w:pPr>
              <w:pStyle w:val="Default"/>
              <w:rPr>
                <w:sz w:val="22"/>
                <w:szCs w:val="22"/>
              </w:rPr>
            </w:pPr>
          </w:p>
          <w:p w14:paraId="677BB25C" w14:textId="77777777" w:rsidR="00452B3F" w:rsidRDefault="00452B3F" w:rsidP="00357CEC">
            <w:pPr>
              <w:pStyle w:val="Default"/>
              <w:rPr>
                <w:sz w:val="22"/>
                <w:szCs w:val="22"/>
              </w:rPr>
            </w:pPr>
            <w:r w:rsidRPr="00A17585">
              <w:rPr>
                <w:sz w:val="22"/>
                <w:szCs w:val="22"/>
              </w:rPr>
              <w:t>Č:I§:</w:t>
            </w:r>
            <w:r w:rsidR="000243DF" w:rsidRPr="00A17585">
              <w:rPr>
                <w:sz w:val="22"/>
                <w:szCs w:val="22"/>
              </w:rPr>
              <w:t>15</w:t>
            </w:r>
            <w:r>
              <w:rPr>
                <w:sz w:val="22"/>
                <w:szCs w:val="22"/>
              </w:rPr>
              <w:t xml:space="preserve"> </w:t>
            </w:r>
          </w:p>
          <w:p w14:paraId="58BF9FA2" w14:textId="2F0B441D" w:rsidR="00AF7521" w:rsidRPr="001300A9" w:rsidRDefault="00452B3F" w:rsidP="00357CEC">
            <w:pPr>
              <w:pStyle w:val="Default"/>
              <w:rPr>
                <w:sz w:val="22"/>
                <w:szCs w:val="22"/>
              </w:rPr>
            </w:pPr>
            <w:r w:rsidRPr="4792BE4F">
              <w:rPr>
                <w:sz w:val="22"/>
                <w:szCs w:val="22"/>
              </w:rPr>
              <w:t>O:</w:t>
            </w:r>
            <w:r w:rsidR="003237A8" w:rsidRPr="4792BE4F">
              <w:rPr>
                <w:sz w:val="22"/>
                <w:szCs w:val="22"/>
              </w:rPr>
              <w:t>3</w:t>
            </w:r>
            <w:r w:rsidR="00AF7521" w:rsidRPr="4792BE4F">
              <w:rPr>
                <w:sz w:val="22"/>
                <w:szCs w:val="22"/>
              </w:rPr>
              <w:t>V:2 až 4</w:t>
            </w:r>
          </w:p>
          <w:p w14:paraId="240131CF" w14:textId="77777777" w:rsidR="003237A8" w:rsidRPr="001300A9" w:rsidRDefault="003237A8" w:rsidP="00357CEC">
            <w:pPr>
              <w:pStyle w:val="Default"/>
              <w:rPr>
                <w:sz w:val="22"/>
                <w:szCs w:val="22"/>
              </w:rPr>
            </w:pPr>
          </w:p>
          <w:p w14:paraId="5CE094CF" w14:textId="77777777" w:rsidR="003237A8" w:rsidRPr="001300A9" w:rsidRDefault="003237A8" w:rsidP="00357CEC">
            <w:pPr>
              <w:pStyle w:val="Default"/>
              <w:rPr>
                <w:sz w:val="22"/>
                <w:szCs w:val="22"/>
              </w:rPr>
            </w:pPr>
          </w:p>
          <w:p w14:paraId="2EB9B566" w14:textId="77777777" w:rsidR="003237A8" w:rsidRPr="001300A9" w:rsidRDefault="003237A8" w:rsidP="00357CEC">
            <w:pPr>
              <w:pStyle w:val="Default"/>
              <w:rPr>
                <w:sz w:val="22"/>
                <w:szCs w:val="22"/>
              </w:rPr>
            </w:pPr>
          </w:p>
          <w:p w14:paraId="2570C89F" w14:textId="77777777" w:rsidR="003237A8" w:rsidRPr="001300A9" w:rsidRDefault="003237A8" w:rsidP="00357CEC">
            <w:pPr>
              <w:pStyle w:val="Default"/>
              <w:rPr>
                <w:sz w:val="22"/>
                <w:szCs w:val="22"/>
              </w:rPr>
            </w:pPr>
          </w:p>
          <w:p w14:paraId="72CD48EF" w14:textId="77777777" w:rsidR="003237A8" w:rsidRPr="001300A9" w:rsidRDefault="003237A8" w:rsidP="00357CEC">
            <w:pPr>
              <w:pStyle w:val="Default"/>
              <w:rPr>
                <w:sz w:val="22"/>
                <w:szCs w:val="22"/>
              </w:rPr>
            </w:pPr>
          </w:p>
          <w:p w14:paraId="2AF1DFE0" w14:textId="0318BC4B" w:rsidR="000F60BB" w:rsidRDefault="000F60BB" w:rsidP="00357CEC">
            <w:pPr>
              <w:pStyle w:val="Default"/>
              <w:rPr>
                <w:sz w:val="22"/>
                <w:szCs w:val="22"/>
              </w:rPr>
            </w:pPr>
          </w:p>
          <w:p w14:paraId="40B8A129" w14:textId="18CAB7E1" w:rsidR="4792BE4F" w:rsidRDefault="4792BE4F" w:rsidP="4792BE4F">
            <w:pPr>
              <w:pStyle w:val="Default"/>
              <w:rPr>
                <w:sz w:val="22"/>
                <w:szCs w:val="22"/>
              </w:rPr>
            </w:pPr>
          </w:p>
          <w:p w14:paraId="4D5E091C" w14:textId="77777777" w:rsidR="00452B3F" w:rsidRPr="00A17585" w:rsidRDefault="00452B3F" w:rsidP="00357CEC">
            <w:pPr>
              <w:pStyle w:val="Default"/>
              <w:rPr>
                <w:sz w:val="22"/>
                <w:szCs w:val="22"/>
              </w:rPr>
            </w:pPr>
            <w:r w:rsidRPr="00A17585">
              <w:rPr>
                <w:sz w:val="22"/>
                <w:szCs w:val="22"/>
              </w:rPr>
              <w:t>Č:I§:</w:t>
            </w:r>
            <w:r w:rsidR="000243DF" w:rsidRPr="00A17585">
              <w:rPr>
                <w:sz w:val="22"/>
                <w:szCs w:val="22"/>
              </w:rPr>
              <w:t>14</w:t>
            </w:r>
          </w:p>
          <w:p w14:paraId="70C77196" w14:textId="0551AE36" w:rsidR="003237A8" w:rsidRDefault="00452B3F" w:rsidP="00357CEC">
            <w:pPr>
              <w:pStyle w:val="Default"/>
              <w:rPr>
                <w:sz w:val="22"/>
                <w:szCs w:val="22"/>
              </w:rPr>
            </w:pPr>
            <w:r w:rsidRPr="00A17585">
              <w:rPr>
                <w:sz w:val="22"/>
                <w:szCs w:val="22"/>
              </w:rPr>
              <w:t>O:</w:t>
            </w:r>
            <w:r w:rsidR="003237A8" w:rsidRPr="00A17585">
              <w:rPr>
                <w:sz w:val="22"/>
                <w:szCs w:val="22"/>
              </w:rPr>
              <w:t>3</w:t>
            </w:r>
          </w:p>
          <w:p w14:paraId="2994F81A" w14:textId="52FED6E9" w:rsidR="00E179E7" w:rsidRDefault="00E179E7" w:rsidP="00357CEC">
            <w:pPr>
              <w:pStyle w:val="Default"/>
              <w:rPr>
                <w:sz w:val="22"/>
                <w:szCs w:val="22"/>
              </w:rPr>
            </w:pPr>
          </w:p>
          <w:p w14:paraId="15877DD7" w14:textId="09F368BE" w:rsidR="00E179E7" w:rsidRDefault="00E179E7" w:rsidP="00357CEC">
            <w:pPr>
              <w:pStyle w:val="Default"/>
              <w:rPr>
                <w:sz w:val="22"/>
                <w:szCs w:val="22"/>
              </w:rPr>
            </w:pPr>
          </w:p>
          <w:p w14:paraId="5A05E703" w14:textId="2F7C3B74" w:rsidR="00E179E7" w:rsidRDefault="00E179E7" w:rsidP="00357CEC">
            <w:pPr>
              <w:pStyle w:val="Default"/>
              <w:rPr>
                <w:sz w:val="22"/>
                <w:szCs w:val="22"/>
              </w:rPr>
            </w:pPr>
          </w:p>
          <w:p w14:paraId="4C01910E" w14:textId="73269D99" w:rsidR="00E179E7" w:rsidRDefault="00E179E7" w:rsidP="00357CEC">
            <w:pPr>
              <w:pStyle w:val="Default"/>
              <w:rPr>
                <w:sz w:val="22"/>
                <w:szCs w:val="22"/>
              </w:rPr>
            </w:pPr>
          </w:p>
          <w:p w14:paraId="024E9AE2" w14:textId="4E9C45AF" w:rsidR="00AF7521" w:rsidRDefault="00AF7521" w:rsidP="00357CEC">
            <w:pPr>
              <w:pStyle w:val="Default"/>
              <w:rPr>
                <w:sz w:val="22"/>
                <w:szCs w:val="22"/>
              </w:rPr>
            </w:pPr>
          </w:p>
          <w:p w14:paraId="4399E156" w14:textId="5E335F4D" w:rsidR="4792BE4F" w:rsidRDefault="4792BE4F" w:rsidP="4792BE4F">
            <w:pPr>
              <w:pStyle w:val="Default"/>
              <w:rPr>
                <w:sz w:val="22"/>
                <w:szCs w:val="22"/>
              </w:rPr>
            </w:pPr>
          </w:p>
          <w:p w14:paraId="4B176A85" w14:textId="3EC2473F" w:rsidR="4792BE4F" w:rsidRDefault="4792BE4F" w:rsidP="4792BE4F">
            <w:pPr>
              <w:pStyle w:val="Default"/>
              <w:rPr>
                <w:sz w:val="22"/>
                <w:szCs w:val="22"/>
              </w:rPr>
            </w:pPr>
          </w:p>
          <w:p w14:paraId="25A5DEC3" w14:textId="6722E5B4" w:rsidR="00E179E7" w:rsidRPr="004B3A4A" w:rsidRDefault="00E179E7" w:rsidP="00357CEC">
            <w:pPr>
              <w:pStyle w:val="Default"/>
              <w:rPr>
                <w:sz w:val="22"/>
                <w:szCs w:val="22"/>
              </w:rPr>
            </w:pPr>
            <w:r w:rsidRPr="4792BE4F">
              <w:rPr>
                <w:sz w:val="22"/>
                <w:szCs w:val="22"/>
              </w:rPr>
              <w:t>Č:I§:21</w:t>
            </w:r>
          </w:p>
          <w:p w14:paraId="59583280" w14:textId="0D8ED8D7" w:rsidR="00E179E7" w:rsidRPr="004B3A4A" w:rsidRDefault="00E179E7" w:rsidP="00357CEC">
            <w:pPr>
              <w:pStyle w:val="Default"/>
              <w:rPr>
                <w:sz w:val="22"/>
                <w:szCs w:val="22"/>
              </w:rPr>
            </w:pPr>
            <w:r w:rsidRPr="4792BE4F">
              <w:rPr>
                <w:sz w:val="22"/>
                <w:szCs w:val="22"/>
              </w:rPr>
              <w:t>O:5P:a</w:t>
            </w:r>
          </w:p>
          <w:p w14:paraId="2E5D81B4" w14:textId="77777777" w:rsidR="003237A8" w:rsidRPr="004B3A4A" w:rsidRDefault="003237A8" w:rsidP="00357CEC">
            <w:pPr>
              <w:pStyle w:val="Default"/>
              <w:rPr>
                <w:sz w:val="22"/>
                <w:szCs w:val="22"/>
              </w:rPr>
            </w:pPr>
          </w:p>
          <w:p w14:paraId="49BFA8C3" w14:textId="2C33C92F" w:rsidR="004B3A4A" w:rsidRPr="004B3A4A" w:rsidRDefault="004B3A4A" w:rsidP="00357CEC">
            <w:pPr>
              <w:pStyle w:val="Default"/>
              <w:rPr>
                <w:sz w:val="22"/>
                <w:szCs w:val="22"/>
              </w:rPr>
            </w:pPr>
          </w:p>
          <w:p w14:paraId="2C2DC6B4" w14:textId="0CA6842C" w:rsidR="5F673433" w:rsidRDefault="5F673433" w:rsidP="5F673433">
            <w:pPr>
              <w:pStyle w:val="Default"/>
              <w:rPr>
                <w:sz w:val="22"/>
                <w:szCs w:val="22"/>
              </w:rPr>
            </w:pPr>
          </w:p>
          <w:p w14:paraId="4D959FFD" w14:textId="39DD769A" w:rsidR="00452B3F" w:rsidRPr="004B3A4A" w:rsidRDefault="00452B3F" w:rsidP="00357CEC">
            <w:pPr>
              <w:pStyle w:val="Default"/>
              <w:rPr>
                <w:sz w:val="22"/>
                <w:szCs w:val="22"/>
              </w:rPr>
            </w:pPr>
            <w:r w:rsidRPr="004B3A4A">
              <w:rPr>
                <w:sz w:val="22"/>
                <w:szCs w:val="22"/>
              </w:rPr>
              <w:t>Č:I§:</w:t>
            </w:r>
            <w:r w:rsidR="000243DF" w:rsidRPr="004B3A4A">
              <w:rPr>
                <w:sz w:val="22"/>
                <w:szCs w:val="22"/>
              </w:rPr>
              <w:t>14</w:t>
            </w:r>
          </w:p>
          <w:p w14:paraId="4AD62EA3" w14:textId="77777777" w:rsidR="00E179E7" w:rsidRDefault="00452B3F" w:rsidP="00357CEC">
            <w:pPr>
              <w:pStyle w:val="Default"/>
              <w:rPr>
                <w:sz w:val="22"/>
                <w:szCs w:val="22"/>
              </w:rPr>
            </w:pPr>
            <w:r w:rsidRPr="004B3A4A">
              <w:rPr>
                <w:sz w:val="22"/>
                <w:szCs w:val="22"/>
              </w:rPr>
              <w:t>O:</w:t>
            </w:r>
            <w:r w:rsidR="00E179E7" w:rsidRPr="004B3A4A">
              <w:rPr>
                <w:sz w:val="22"/>
                <w:szCs w:val="22"/>
              </w:rPr>
              <w:t>4</w:t>
            </w:r>
          </w:p>
          <w:p w14:paraId="37742F08" w14:textId="77777777" w:rsidR="00E179E7" w:rsidRDefault="00E179E7" w:rsidP="00357CEC">
            <w:pPr>
              <w:pStyle w:val="Default"/>
              <w:rPr>
                <w:sz w:val="22"/>
                <w:szCs w:val="22"/>
              </w:rPr>
            </w:pPr>
          </w:p>
          <w:p w14:paraId="7E801E91" w14:textId="70C1A166" w:rsidR="00E179E7" w:rsidRDefault="00E179E7" w:rsidP="00357CEC">
            <w:pPr>
              <w:pStyle w:val="Default"/>
              <w:rPr>
                <w:sz w:val="22"/>
                <w:szCs w:val="22"/>
              </w:rPr>
            </w:pPr>
          </w:p>
          <w:p w14:paraId="6F039201" w14:textId="1421995F" w:rsidR="003237A8" w:rsidRPr="004B3A4A" w:rsidRDefault="00452B3F" w:rsidP="00357CEC">
            <w:pPr>
              <w:pStyle w:val="Default"/>
              <w:rPr>
                <w:sz w:val="22"/>
                <w:szCs w:val="22"/>
              </w:rPr>
            </w:pPr>
            <w:r w:rsidRPr="004B3A4A">
              <w:rPr>
                <w:sz w:val="22"/>
                <w:szCs w:val="22"/>
              </w:rPr>
              <w:t>Č:I§:</w:t>
            </w:r>
            <w:r w:rsidR="000243DF" w:rsidRPr="004B3A4A">
              <w:rPr>
                <w:sz w:val="22"/>
                <w:szCs w:val="22"/>
              </w:rPr>
              <w:t>14</w:t>
            </w:r>
          </w:p>
          <w:p w14:paraId="770535CF" w14:textId="70FA4005" w:rsidR="003237A8" w:rsidRPr="001300A9" w:rsidRDefault="00452B3F" w:rsidP="00357CEC">
            <w:pPr>
              <w:pStyle w:val="Default"/>
              <w:rPr>
                <w:sz w:val="22"/>
                <w:szCs w:val="22"/>
              </w:rPr>
            </w:pPr>
            <w:r w:rsidRPr="004B3A4A">
              <w:rPr>
                <w:sz w:val="22"/>
                <w:szCs w:val="22"/>
              </w:rPr>
              <w:t>O:</w:t>
            </w:r>
            <w:r w:rsidR="003237A8" w:rsidRPr="004B3A4A">
              <w:rPr>
                <w:sz w:val="22"/>
                <w:szCs w:val="22"/>
              </w:rPr>
              <w:t>1</w:t>
            </w:r>
          </w:p>
          <w:p w14:paraId="1DEE335F" w14:textId="77777777" w:rsidR="00C31279" w:rsidRPr="001300A9" w:rsidRDefault="00C31279" w:rsidP="00357CEC">
            <w:pPr>
              <w:pStyle w:val="Default"/>
              <w:rPr>
                <w:sz w:val="22"/>
                <w:szCs w:val="22"/>
              </w:rPr>
            </w:pPr>
          </w:p>
          <w:p w14:paraId="56359003" w14:textId="77777777" w:rsidR="00C31279" w:rsidRPr="001300A9" w:rsidRDefault="00C31279" w:rsidP="00357CEC">
            <w:pPr>
              <w:pStyle w:val="Default"/>
              <w:rPr>
                <w:sz w:val="22"/>
                <w:szCs w:val="22"/>
              </w:rPr>
            </w:pPr>
          </w:p>
          <w:p w14:paraId="5FE2AE63" w14:textId="77777777" w:rsidR="00C31279" w:rsidRPr="001300A9" w:rsidRDefault="00C31279" w:rsidP="00357CEC">
            <w:pPr>
              <w:pStyle w:val="Default"/>
              <w:rPr>
                <w:sz w:val="22"/>
                <w:szCs w:val="22"/>
              </w:rPr>
            </w:pPr>
          </w:p>
          <w:p w14:paraId="1648EA01" w14:textId="77777777" w:rsidR="00C31279" w:rsidRPr="001300A9" w:rsidRDefault="00C31279" w:rsidP="00357CEC">
            <w:pPr>
              <w:pStyle w:val="Default"/>
              <w:rPr>
                <w:sz w:val="22"/>
                <w:szCs w:val="22"/>
              </w:rPr>
            </w:pPr>
          </w:p>
          <w:p w14:paraId="0645DA45" w14:textId="77777777" w:rsidR="00C31279" w:rsidRPr="001300A9" w:rsidRDefault="00C31279" w:rsidP="00357CEC">
            <w:pPr>
              <w:pStyle w:val="Default"/>
              <w:rPr>
                <w:sz w:val="22"/>
                <w:szCs w:val="22"/>
              </w:rPr>
            </w:pPr>
          </w:p>
          <w:p w14:paraId="40D33B7E" w14:textId="77777777" w:rsidR="00C31279" w:rsidRPr="001300A9" w:rsidRDefault="00C31279" w:rsidP="00357CEC">
            <w:pPr>
              <w:pStyle w:val="Default"/>
              <w:rPr>
                <w:sz w:val="22"/>
                <w:szCs w:val="22"/>
              </w:rPr>
            </w:pPr>
          </w:p>
          <w:p w14:paraId="029E33FC" w14:textId="77777777" w:rsidR="00C31279" w:rsidRPr="001300A9" w:rsidRDefault="00C31279" w:rsidP="00357CEC">
            <w:pPr>
              <w:pStyle w:val="Default"/>
              <w:rPr>
                <w:sz w:val="22"/>
                <w:szCs w:val="22"/>
              </w:rPr>
            </w:pPr>
          </w:p>
          <w:p w14:paraId="0A3CEA8B" w14:textId="77777777" w:rsidR="00C31279" w:rsidRPr="001300A9" w:rsidRDefault="00C31279" w:rsidP="00357CEC">
            <w:pPr>
              <w:pStyle w:val="Default"/>
              <w:rPr>
                <w:sz w:val="22"/>
                <w:szCs w:val="22"/>
              </w:rPr>
            </w:pPr>
          </w:p>
          <w:p w14:paraId="5DFE9F7A" w14:textId="77777777" w:rsidR="00C31279" w:rsidRPr="001300A9" w:rsidRDefault="00C31279" w:rsidP="00357CEC">
            <w:pPr>
              <w:pStyle w:val="Default"/>
              <w:rPr>
                <w:sz w:val="22"/>
                <w:szCs w:val="22"/>
              </w:rPr>
            </w:pPr>
          </w:p>
          <w:p w14:paraId="0C38F902" w14:textId="77777777" w:rsidR="00C31279" w:rsidRPr="001300A9" w:rsidRDefault="00C31279" w:rsidP="00357CEC">
            <w:pPr>
              <w:pStyle w:val="Default"/>
              <w:rPr>
                <w:sz w:val="22"/>
                <w:szCs w:val="22"/>
              </w:rPr>
            </w:pPr>
          </w:p>
          <w:p w14:paraId="00B5894A" w14:textId="77777777" w:rsidR="00C31279" w:rsidRPr="001300A9" w:rsidRDefault="00C31279" w:rsidP="00357CEC">
            <w:pPr>
              <w:pStyle w:val="Default"/>
              <w:rPr>
                <w:sz w:val="22"/>
                <w:szCs w:val="22"/>
              </w:rPr>
            </w:pPr>
          </w:p>
          <w:p w14:paraId="4F607AE7" w14:textId="77777777" w:rsidR="00C31279" w:rsidRPr="001300A9" w:rsidRDefault="00C31279" w:rsidP="00357CEC">
            <w:pPr>
              <w:pStyle w:val="Default"/>
              <w:rPr>
                <w:sz w:val="22"/>
                <w:szCs w:val="22"/>
              </w:rPr>
            </w:pPr>
          </w:p>
          <w:p w14:paraId="4357D167" w14:textId="77777777" w:rsidR="00C31279" w:rsidRPr="001300A9" w:rsidRDefault="00C31279" w:rsidP="00357CEC">
            <w:pPr>
              <w:pStyle w:val="Default"/>
              <w:rPr>
                <w:sz w:val="22"/>
                <w:szCs w:val="22"/>
              </w:rPr>
            </w:pPr>
          </w:p>
          <w:p w14:paraId="1B09276C" w14:textId="77777777" w:rsidR="00C31279" w:rsidRPr="001300A9" w:rsidRDefault="00C31279" w:rsidP="00357CEC">
            <w:pPr>
              <w:pStyle w:val="Default"/>
              <w:rPr>
                <w:sz w:val="22"/>
                <w:szCs w:val="22"/>
              </w:rPr>
            </w:pPr>
          </w:p>
          <w:p w14:paraId="493A2D41" w14:textId="77777777" w:rsidR="00C31279" w:rsidRPr="001300A9" w:rsidRDefault="00C31279" w:rsidP="00357CEC">
            <w:pPr>
              <w:pStyle w:val="Default"/>
              <w:rPr>
                <w:sz w:val="22"/>
                <w:szCs w:val="22"/>
              </w:rPr>
            </w:pPr>
          </w:p>
          <w:p w14:paraId="57E6FA57" w14:textId="77777777" w:rsidR="00C31279" w:rsidRPr="001300A9" w:rsidRDefault="00C31279" w:rsidP="00357CEC">
            <w:pPr>
              <w:pStyle w:val="Default"/>
              <w:rPr>
                <w:sz w:val="22"/>
                <w:szCs w:val="22"/>
              </w:rPr>
            </w:pPr>
          </w:p>
          <w:p w14:paraId="531ED2BE" w14:textId="77777777" w:rsidR="00C31279" w:rsidRPr="001300A9" w:rsidRDefault="00C31279" w:rsidP="00357CEC">
            <w:pPr>
              <w:pStyle w:val="Default"/>
              <w:rPr>
                <w:sz w:val="22"/>
                <w:szCs w:val="22"/>
              </w:rPr>
            </w:pPr>
          </w:p>
          <w:p w14:paraId="60879585" w14:textId="77777777" w:rsidR="00C31279" w:rsidRPr="001300A9" w:rsidRDefault="00C31279" w:rsidP="00357CEC">
            <w:pPr>
              <w:pStyle w:val="Default"/>
              <w:rPr>
                <w:sz w:val="22"/>
                <w:szCs w:val="22"/>
              </w:rPr>
            </w:pPr>
          </w:p>
          <w:p w14:paraId="4C7FE8A1" w14:textId="77777777" w:rsidR="00C31279" w:rsidRPr="001300A9" w:rsidRDefault="00C31279" w:rsidP="00357CEC">
            <w:pPr>
              <w:pStyle w:val="Default"/>
              <w:rPr>
                <w:sz w:val="22"/>
                <w:szCs w:val="22"/>
              </w:rPr>
            </w:pPr>
          </w:p>
          <w:p w14:paraId="620C561B" w14:textId="77777777" w:rsidR="00C31279" w:rsidRPr="001300A9" w:rsidRDefault="00C31279" w:rsidP="00357CEC">
            <w:pPr>
              <w:pStyle w:val="Default"/>
              <w:rPr>
                <w:sz w:val="22"/>
                <w:szCs w:val="22"/>
              </w:rPr>
            </w:pPr>
          </w:p>
          <w:p w14:paraId="0E50400C" w14:textId="77777777" w:rsidR="00C31279" w:rsidRPr="001300A9" w:rsidRDefault="00C31279" w:rsidP="00357CEC">
            <w:pPr>
              <w:pStyle w:val="Default"/>
              <w:rPr>
                <w:sz w:val="22"/>
                <w:szCs w:val="22"/>
              </w:rPr>
            </w:pPr>
          </w:p>
          <w:p w14:paraId="37B5D7F6" w14:textId="77777777" w:rsidR="00C31279" w:rsidRPr="001300A9" w:rsidRDefault="00C31279" w:rsidP="00357CEC">
            <w:pPr>
              <w:pStyle w:val="Default"/>
              <w:rPr>
                <w:sz w:val="22"/>
                <w:szCs w:val="22"/>
              </w:rPr>
            </w:pPr>
          </w:p>
          <w:p w14:paraId="562ADCC5" w14:textId="77777777" w:rsidR="00C31279" w:rsidRPr="001300A9" w:rsidRDefault="00C31279" w:rsidP="00357CEC">
            <w:pPr>
              <w:pStyle w:val="Default"/>
              <w:rPr>
                <w:sz w:val="22"/>
                <w:szCs w:val="22"/>
              </w:rPr>
            </w:pPr>
          </w:p>
          <w:p w14:paraId="45645AB1" w14:textId="77777777" w:rsidR="00C31279" w:rsidRPr="001300A9" w:rsidRDefault="00C31279" w:rsidP="00357CEC">
            <w:pPr>
              <w:pStyle w:val="Default"/>
              <w:rPr>
                <w:sz w:val="22"/>
                <w:szCs w:val="22"/>
              </w:rPr>
            </w:pPr>
          </w:p>
          <w:p w14:paraId="35F80C12" w14:textId="77777777" w:rsidR="00C31279" w:rsidRPr="001300A9" w:rsidRDefault="00C31279" w:rsidP="00357CEC">
            <w:pPr>
              <w:pStyle w:val="Default"/>
              <w:rPr>
                <w:sz w:val="22"/>
                <w:szCs w:val="22"/>
              </w:rPr>
            </w:pPr>
          </w:p>
          <w:p w14:paraId="07F3EB3B" w14:textId="77777777" w:rsidR="00C31279" w:rsidRPr="001300A9" w:rsidRDefault="00C31279" w:rsidP="00357CEC">
            <w:pPr>
              <w:pStyle w:val="Default"/>
              <w:rPr>
                <w:sz w:val="22"/>
                <w:szCs w:val="22"/>
              </w:rPr>
            </w:pPr>
          </w:p>
          <w:p w14:paraId="3393DDFF" w14:textId="77777777" w:rsidR="00C31279" w:rsidRPr="001300A9" w:rsidRDefault="00C31279" w:rsidP="00357CEC">
            <w:pPr>
              <w:pStyle w:val="Default"/>
              <w:rPr>
                <w:sz w:val="22"/>
                <w:szCs w:val="22"/>
              </w:rPr>
            </w:pPr>
          </w:p>
          <w:p w14:paraId="4AB855E1" w14:textId="77777777" w:rsidR="00C31279" w:rsidRPr="001300A9" w:rsidRDefault="00C31279" w:rsidP="00357CEC">
            <w:pPr>
              <w:pStyle w:val="Default"/>
              <w:rPr>
                <w:sz w:val="22"/>
                <w:szCs w:val="22"/>
              </w:rPr>
            </w:pPr>
          </w:p>
          <w:p w14:paraId="1CC37534" w14:textId="77777777" w:rsidR="00C31279" w:rsidRPr="001300A9" w:rsidRDefault="00C31279" w:rsidP="00357CEC">
            <w:pPr>
              <w:pStyle w:val="Default"/>
              <w:rPr>
                <w:sz w:val="22"/>
                <w:szCs w:val="22"/>
              </w:rPr>
            </w:pPr>
          </w:p>
          <w:p w14:paraId="117404EA" w14:textId="77777777" w:rsidR="00C31279" w:rsidRPr="001300A9" w:rsidRDefault="00C31279" w:rsidP="00357CEC">
            <w:pPr>
              <w:pStyle w:val="Default"/>
              <w:rPr>
                <w:sz w:val="22"/>
                <w:szCs w:val="22"/>
              </w:rPr>
            </w:pPr>
          </w:p>
          <w:p w14:paraId="2AED4140" w14:textId="77777777" w:rsidR="00C31279" w:rsidRPr="001300A9" w:rsidRDefault="00C31279" w:rsidP="00357CEC">
            <w:pPr>
              <w:pStyle w:val="Default"/>
              <w:rPr>
                <w:sz w:val="22"/>
                <w:szCs w:val="22"/>
              </w:rPr>
            </w:pPr>
          </w:p>
          <w:p w14:paraId="6AED0F96" w14:textId="77777777" w:rsidR="00C31279" w:rsidRPr="001300A9" w:rsidRDefault="00C31279" w:rsidP="00357CEC">
            <w:pPr>
              <w:pStyle w:val="Default"/>
              <w:rPr>
                <w:sz w:val="22"/>
                <w:szCs w:val="22"/>
              </w:rPr>
            </w:pPr>
          </w:p>
          <w:p w14:paraId="237BD771" w14:textId="77777777" w:rsidR="00C31279" w:rsidRPr="001300A9" w:rsidRDefault="00C31279" w:rsidP="00357CEC">
            <w:pPr>
              <w:pStyle w:val="Default"/>
              <w:rPr>
                <w:sz w:val="22"/>
                <w:szCs w:val="22"/>
              </w:rPr>
            </w:pPr>
          </w:p>
          <w:p w14:paraId="6104DDE5" w14:textId="77777777" w:rsidR="00C31279" w:rsidRPr="001300A9" w:rsidRDefault="00C31279" w:rsidP="00357CEC">
            <w:pPr>
              <w:pStyle w:val="Default"/>
              <w:rPr>
                <w:sz w:val="22"/>
                <w:szCs w:val="22"/>
              </w:rPr>
            </w:pPr>
          </w:p>
          <w:p w14:paraId="12C17DD9" w14:textId="77777777" w:rsidR="00C31279" w:rsidRPr="001300A9" w:rsidRDefault="00C31279" w:rsidP="00357CEC">
            <w:pPr>
              <w:pStyle w:val="Default"/>
              <w:rPr>
                <w:sz w:val="22"/>
                <w:szCs w:val="22"/>
              </w:rPr>
            </w:pPr>
          </w:p>
          <w:p w14:paraId="2405B7A3" w14:textId="77777777" w:rsidR="00C31279" w:rsidRPr="001300A9" w:rsidRDefault="00C31279" w:rsidP="00357CEC">
            <w:pPr>
              <w:pStyle w:val="Default"/>
              <w:rPr>
                <w:sz w:val="22"/>
                <w:szCs w:val="22"/>
              </w:rPr>
            </w:pPr>
          </w:p>
          <w:p w14:paraId="0A62BED6" w14:textId="77777777" w:rsidR="00C31279" w:rsidRPr="001300A9" w:rsidRDefault="00C31279" w:rsidP="00357CEC">
            <w:pPr>
              <w:pStyle w:val="Default"/>
              <w:rPr>
                <w:sz w:val="22"/>
                <w:szCs w:val="22"/>
              </w:rPr>
            </w:pPr>
          </w:p>
          <w:p w14:paraId="093FCA53" w14:textId="77777777" w:rsidR="00C31279" w:rsidRPr="001300A9" w:rsidRDefault="00C31279" w:rsidP="00357CEC">
            <w:pPr>
              <w:pStyle w:val="Default"/>
              <w:rPr>
                <w:sz w:val="22"/>
                <w:szCs w:val="22"/>
              </w:rPr>
            </w:pPr>
          </w:p>
          <w:p w14:paraId="6F417691" w14:textId="77777777" w:rsidR="00C31279" w:rsidRPr="001300A9" w:rsidRDefault="00C31279" w:rsidP="00357CEC">
            <w:pPr>
              <w:pStyle w:val="Default"/>
              <w:rPr>
                <w:sz w:val="22"/>
                <w:szCs w:val="22"/>
              </w:rPr>
            </w:pPr>
          </w:p>
          <w:p w14:paraId="3D6E7D28" w14:textId="77777777" w:rsidR="00C31279" w:rsidRPr="001300A9" w:rsidRDefault="00C31279" w:rsidP="00357CEC">
            <w:pPr>
              <w:pStyle w:val="Default"/>
              <w:rPr>
                <w:sz w:val="22"/>
                <w:szCs w:val="22"/>
              </w:rPr>
            </w:pPr>
          </w:p>
          <w:p w14:paraId="52C43156" w14:textId="77777777" w:rsidR="00C31279" w:rsidRPr="001300A9" w:rsidRDefault="00C31279" w:rsidP="00357CEC">
            <w:pPr>
              <w:pStyle w:val="Default"/>
              <w:rPr>
                <w:sz w:val="22"/>
                <w:szCs w:val="22"/>
              </w:rPr>
            </w:pPr>
          </w:p>
          <w:p w14:paraId="4BA586DC" w14:textId="77777777" w:rsidR="00C31279" w:rsidRPr="001300A9" w:rsidRDefault="00C31279" w:rsidP="00357CEC">
            <w:pPr>
              <w:pStyle w:val="Default"/>
              <w:rPr>
                <w:sz w:val="22"/>
                <w:szCs w:val="22"/>
              </w:rPr>
            </w:pPr>
          </w:p>
          <w:p w14:paraId="28337EDD" w14:textId="77777777" w:rsidR="00C31279" w:rsidRPr="001300A9" w:rsidRDefault="00C31279" w:rsidP="00357CEC">
            <w:pPr>
              <w:pStyle w:val="Default"/>
              <w:rPr>
                <w:sz w:val="22"/>
                <w:szCs w:val="22"/>
              </w:rPr>
            </w:pPr>
          </w:p>
          <w:p w14:paraId="5A96AF10" w14:textId="77777777" w:rsidR="00C31279" w:rsidRPr="001300A9" w:rsidRDefault="00C31279" w:rsidP="00357CEC">
            <w:pPr>
              <w:pStyle w:val="Default"/>
              <w:rPr>
                <w:sz w:val="22"/>
                <w:szCs w:val="22"/>
              </w:rPr>
            </w:pPr>
          </w:p>
          <w:p w14:paraId="5B9B4DA7" w14:textId="108CA411" w:rsidR="00C31279" w:rsidRPr="001300A9" w:rsidRDefault="00C31279" w:rsidP="00357CEC">
            <w:pPr>
              <w:pStyle w:val="Default"/>
              <w:rPr>
                <w:sz w:val="22"/>
                <w:szCs w:val="22"/>
              </w:rPr>
            </w:pPr>
          </w:p>
          <w:p w14:paraId="19C07900" w14:textId="77777777" w:rsidR="00190F49" w:rsidRDefault="00190F49" w:rsidP="00357CEC">
            <w:pPr>
              <w:pStyle w:val="Default"/>
              <w:rPr>
                <w:sz w:val="22"/>
                <w:szCs w:val="22"/>
              </w:rPr>
            </w:pPr>
          </w:p>
          <w:p w14:paraId="6FFEF095" w14:textId="7D13DC57" w:rsidR="00C31279" w:rsidRPr="001300A9" w:rsidRDefault="00452B3F" w:rsidP="00357CEC">
            <w:pPr>
              <w:pStyle w:val="Default"/>
              <w:rPr>
                <w:sz w:val="22"/>
                <w:szCs w:val="22"/>
              </w:rPr>
            </w:pPr>
            <w:r w:rsidRPr="4792BE4F">
              <w:rPr>
                <w:sz w:val="22"/>
                <w:szCs w:val="22"/>
              </w:rPr>
              <w:t>Č:I§:</w:t>
            </w:r>
            <w:r w:rsidR="000243DF" w:rsidRPr="4792BE4F">
              <w:rPr>
                <w:sz w:val="22"/>
                <w:szCs w:val="22"/>
              </w:rPr>
              <w:t>14</w:t>
            </w:r>
            <w:r w:rsidRPr="4792BE4F">
              <w:rPr>
                <w:sz w:val="22"/>
                <w:szCs w:val="22"/>
              </w:rPr>
              <w:t xml:space="preserve"> O:</w:t>
            </w:r>
            <w:r w:rsidR="00C31279" w:rsidRPr="4792BE4F">
              <w:rPr>
                <w:sz w:val="22"/>
                <w:szCs w:val="22"/>
              </w:rPr>
              <w:t>2</w:t>
            </w:r>
          </w:p>
        </w:tc>
        <w:tc>
          <w:tcPr>
            <w:tcW w:w="4253" w:type="dxa"/>
          </w:tcPr>
          <w:p w14:paraId="22607A11" w14:textId="6BA9A8C0" w:rsidR="005900E4" w:rsidRPr="00097813" w:rsidRDefault="00AF7521" w:rsidP="005900E4">
            <w:pPr>
              <w:pStyle w:val="Default"/>
              <w:rPr>
                <w:sz w:val="22"/>
                <w:szCs w:val="22"/>
              </w:rPr>
            </w:pPr>
            <w:r w:rsidRPr="00097813">
              <w:rPr>
                <w:sz w:val="22"/>
                <w:szCs w:val="22"/>
              </w:rPr>
              <w:lastRenderedPageBreak/>
              <w:t xml:space="preserve">(1) </w:t>
            </w:r>
            <w:r w:rsidR="00621C8C" w:rsidRPr="00097813">
              <w:rPr>
                <w:sz w:val="22"/>
                <w:szCs w:val="22"/>
              </w:rPr>
              <w:t>Prideľovanie kvót a uplatňovanie požiadaviek týkajúcich sa ich odovzdávania v súvislosti s činnosťami  podľa prílohy č. 1 tabuľky C sa vzťahuje na</w:t>
            </w:r>
            <w:r w:rsidR="005900E4" w:rsidRPr="00097813">
              <w:rPr>
                <w:sz w:val="22"/>
                <w:szCs w:val="22"/>
              </w:rPr>
              <w:t xml:space="preserve"> </w:t>
            </w:r>
          </w:p>
          <w:p w14:paraId="6A37B46A" w14:textId="4CDCEC1C" w:rsidR="005900E4" w:rsidRPr="00097813" w:rsidRDefault="005900E4" w:rsidP="005900E4">
            <w:pPr>
              <w:pStyle w:val="Default"/>
              <w:rPr>
                <w:sz w:val="22"/>
                <w:szCs w:val="22"/>
              </w:rPr>
            </w:pPr>
            <w:r w:rsidRPr="00097813">
              <w:rPr>
                <w:sz w:val="22"/>
                <w:szCs w:val="22"/>
              </w:rPr>
              <w:t xml:space="preserve">a) </w:t>
            </w:r>
            <w:r w:rsidR="00097813" w:rsidRPr="00097813">
              <w:rPr>
                <w:sz w:val="22"/>
                <w:szCs w:val="22"/>
              </w:rPr>
              <w:t>50 % emisií z námorných lodí vykonávajúcich plavby</w:t>
            </w:r>
            <w:r w:rsidR="00097813" w:rsidRPr="00097813">
              <w:rPr>
                <w:sz w:val="22"/>
                <w:szCs w:val="22"/>
                <w:vertAlign w:val="superscript"/>
              </w:rPr>
              <w:t>1ac</w:t>
            </w:r>
            <w:r w:rsidR="00097813" w:rsidRPr="00097813">
              <w:rPr>
                <w:sz w:val="22"/>
                <w:szCs w:val="22"/>
              </w:rPr>
              <w:t>), ktoré odchádzajú z prístavu zastavenia podliehajúceho právomoci členského štátu a prichádzajú do prístavu zastavenia mimo právomoci členského štát</w:t>
            </w:r>
            <w:r w:rsidRPr="00097813">
              <w:rPr>
                <w:sz w:val="22"/>
                <w:szCs w:val="22"/>
              </w:rPr>
              <w:t>,</w:t>
            </w:r>
          </w:p>
          <w:p w14:paraId="54274302" w14:textId="77777777" w:rsidR="00097813" w:rsidRPr="00097813" w:rsidRDefault="005900E4" w:rsidP="00097813">
            <w:pPr>
              <w:tabs>
                <w:tab w:val="left" w:pos="426"/>
              </w:tabs>
              <w:spacing w:after="0" w:line="240" w:lineRule="auto"/>
              <w:jc w:val="both"/>
              <w:rPr>
                <w:rFonts w:ascii="Times New Roman" w:hAnsi="Times New Roman" w:cs="Times New Roman"/>
              </w:rPr>
            </w:pPr>
            <w:r w:rsidRPr="00097813">
              <w:rPr>
                <w:rFonts w:ascii="Times New Roman" w:hAnsi="Times New Roman" w:cs="Times New Roman"/>
              </w:rPr>
              <w:t xml:space="preserve">b) </w:t>
            </w:r>
            <w:r w:rsidR="00097813" w:rsidRPr="00097813">
              <w:rPr>
                <w:rFonts w:ascii="Times New Roman" w:hAnsi="Times New Roman" w:cs="Times New Roman"/>
              </w:rPr>
              <w:t>50 % emisií z námorných lodí vykonávajúcich plavby</w:t>
            </w:r>
            <w:r w:rsidR="00097813" w:rsidRPr="00097813">
              <w:rPr>
                <w:rFonts w:ascii="Times New Roman" w:hAnsi="Times New Roman" w:cs="Times New Roman"/>
                <w:vertAlign w:val="superscript"/>
              </w:rPr>
              <w:t>1ac</w:t>
            </w:r>
            <w:r w:rsidR="00097813" w:rsidRPr="00097813">
              <w:rPr>
                <w:rFonts w:ascii="Times New Roman" w:hAnsi="Times New Roman" w:cs="Times New Roman"/>
              </w:rPr>
              <w:t>), ktoré odchádzajú z prístavu zastavenia mimo právomoci členského štátu a prichádzajú do prístavu zastavenia podliehajúceho právomoci členského štátu,</w:t>
            </w:r>
          </w:p>
          <w:p w14:paraId="39F68D6A" w14:textId="77777777" w:rsidR="00097813" w:rsidRPr="00097813" w:rsidRDefault="005900E4" w:rsidP="00097813">
            <w:pPr>
              <w:tabs>
                <w:tab w:val="left" w:pos="426"/>
              </w:tabs>
              <w:spacing w:after="0" w:line="240" w:lineRule="auto"/>
              <w:jc w:val="both"/>
              <w:rPr>
                <w:rFonts w:ascii="Times New Roman" w:hAnsi="Times New Roman" w:cs="Times New Roman"/>
              </w:rPr>
            </w:pPr>
            <w:r w:rsidRPr="00097813">
              <w:rPr>
                <w:rFonts w:ascii="Times New Roman" w:hAnsi="Times New Roman" w:cs="Times New Roman"/>
              </w:rPr>
              <w:t xml:space="preserve">c) </w:t>
            </w:r>
            <w:r w:rsidR="00097813" w:rsidRPr="00097813">
              <w:rPr>
                <w:rFonts w:ascii="Times New Roman" w:hAnsi="Times New Roman" w:cs="Times New Roman"/>
              </w:rPr>
              <w:t>100 % emisií z námorných lodí vykonávajúcich plavby</w:t>
            </w:r>
            <w:r w:rsidR="00097813" w:rsidRPr="00097813">
              <w:rPr>
                <w:rFonts w:ascii="Times New Roman" w:hAnsi="Times New Roman" w:cs="Times New Roman"/>
                <w:vertAlign w:val="superscript"/>
              </w:rPr>
              <w:t>1ac</w:t>
            </w:r>
            <w:r w:rsidR="00097813" w:rsidRPr="00097813">
              <w:rPr>
                <w:rFonts w:ascii="Times New Roman" w:hAnsi="Times New Roman" w:cs="Times New Roman"/>
              </w:rPr>
              <w:t xml:space="preserve">), ktoré odchádzajú z prístavu </w:t>
            </w:r>
            <w:r w:rsidR="00097813" w:rsidRPr="00097813">
              <w:rPr>
                <w:rFonts w:ascii="Times New Roman" w:hAnsi="Times New Roman" w:cs="Times New Roman"/>
              </w:rPr>
              <w:lastRenderedPageBreak/>
              <w:t>zastavenia podliehajúceho právomoci členského štátu a prichádzajú do prístavu zastavenia podliehajúceho právomoci členského štátu,</w:t>
            </w:r>
          </w:p>
          <w:p w14:paraId="1DD4CCB9" w14:textId="52469964" w:rsidR="00097813" w:rsidRPr="00097813" w:rsidRDefault="005900E4" w:rsidP="00097813">
            <w:pPr>
              <w:pStyle w:val="Default"/>
              <w:rPr>
                <w:sz w:val="22"/>
                <w:szCs w:val="22"/>
              </w:rPr>
            </w:pPr>
            <w:r w:rsidRPr="00097813">
              <w:rPr>
                <w:sz w:val="22"/>
                <w:szCs w:val="22"/>
              </w:rPr>
              <w:t xml:space="preserve">d) </w:t>
            </w:r>
            <w:r w:rsidR="00097813" w:rsidRPr="00097813">
              <w:rPr>
                <w:sz w:val="22"/>
                <w:szCs w:val="22"/>
              </w:rPr>
              <w:t>100 % emisií z námorných lodí v prístave zastavenia podliehajúceho právomoci členského štátu.</w:t>
            </w:r>
          </w:p>
          <w:p w14:paraId="2E03EA06" w14:textId="12DC05BD" w:rsidR="00357CEC" w:rsidRPr="00097813" w:rsidRDefault="00357CEC" w:rsidP="005900E4">
            <w:pPr>
              <w:pStyle w:val="Default"/>
              <w:rPr>
                <w:sz w:val="22"/>
                <w:szCs w:val="22"/>
              </w:rPr>
            </w:pPr>
          </w:p>
          <w:p w14:paraId="6735A41F" w14:textId="77777777" w:rsidR="005900E4" w:rsidRPr="00097813" w:rsidRDefault="005900E4" w:rsidP="005900E4">
            <w:pPr>
              <w:pStyle w:val="Default"/>
              <w:rPr>
                <w:sz w:val="22"/>
                <w:szCs w:val="22"/>
              </w:rPr>
            </w:pPr>
          </w:p>
          <w:p w14:paraId="0FE61F18" w14:textId="77777777" w:rsidR="005900E4" w:rsidRPr="00097813" w:rsidRDefault="005900E4" w:rsidP="005900E4">
            <w:pPr>
              <w:pStyle w:val="Default"/>
              <w:rPr>
                <w:sz w:val="22"/>
                <w:szCs w:val="22"/>
              </w:rPr>
            </w:pPr>
          </w:p>
          <w:p w14:paraId="0A43896E" w14:textId="77777777" w:rsidR="005900E4" w:rsidRPr="00097813" w:rsidRDefault="005900E4" w:rsidP="005900E4">
            <w:pPr>
              <w:pStyle w:val="Default"/>
              <w:rPr>
                <w:sz w:val="22"/>
                <w:szCs w:val="22"/>
              </w:rPr>
            </w:pPr>
          </w:p>
          <w:p w14:paraId="5BFBECCB" w14:textId="77777777" w:rsidR="005900E4" w:rsidRPr="00097813" w:rsidRDefault="005900E4" w:rsidP="005900E4">
            <w:pPr>
              <w:pStyle w:val="Default"/>
              <w:rPr>
                <w:sz w:val="22"/>
                <w:szCs w:val="22"/>
              </w:rPr>
            </w:pPr>
          </w:p>
          <w:p w14:paraId="6AB80B8C" w14:textId="77777777" w:rsidR="005900E4" w:rsidRPr="00097813" w:rsidRDefault="005900E4" w:rsidP="005900E4">
            <w:pPr>
              <w:pStyle w:val="Default"/>
              <w:rPr>
                <w:sz w:val="22"/>
                <w:szCs w:val="22"/>
              </w:rPr>
            </w:pPr>
          </w:p>
          <w:p w14:paraId="319FF7F7" w14:textId="77777777" w:rsidR="005900E4" w:rsidRPr="00097813" w:rsidRDefault="005900E4" w:rsidP="005900E4">
            <w:pPr>
              <w:pStyle w:val="Default"/>
              <w:rPr>
                <w:sz w:val="22"/>
                <w:szCs w:val="22"/>
              </w:rPr>
            </w:pPr>
          </w:p>
          <w:p w14:paraId="60F88D1B" w14:textId="77777777" w:rsidR="005900E4" w:rsidRPr="00097813" w:rsidRDefault="005900E4" w:rsidP="005900E4">
            <w:pPr>
              <w:pStyle w:val="Default"/>
              <w:rPr>
                <w:sz w:val="22"/>
                <w:szCs w:val="22"/>
              </w:rPr>
            </w:pPr>
          </w:p>
          <w:p w14:paraId="3A4A1E80" w14:textId="77777777" w:rsidR="005900E4" w:rsidRPr="00097813" w:rsidRDefault="005900E4" w:rsidP="005900E4">
            <w:pPr>
              <w:pStyle w:val="Default"/>
              <w:rPr>
                <w:sz w:val="22"/>
                <w:szCs w:val="22"/>
              </w:rPr>
            </w:pPr>
          </w:p>
          <w:p w14:paraId="4880D83C" w14:textId="77777777" w:rsidR="005900E4" w:rsidRPr="00097813" w:rsidRDefault="005900E4" w:rsidP="005900E4">
            <w:pPr>
              <w:pStyle w:val="Default"/>
              <w:rPr>
                <w:sz w:val="22"/>
                <w:szCs w:val="22"/>
              </w:rPr>
            </w:pPr>
          </w:p>
          <w:p w14:paraId="11F4576E" w14:textId="77777777" w:rsidR="005900E4" w:rsidRPr="00097813" w:rsidRDefault="005900E4" w:rsidP="005900E4">
            <w:pPr>
              <w:pStyle w:val="Default"/>
              <w:rPr>
                <w:sz w:val="22"/>
                <w:szCs w:val="22"/>
              </w:rPr>
            </w:pPr>
          </w:p>
          <w:p w14:paraId="65CAE46F" w14:textId="77777777" w:rsidR="005900E4" w:rsidRPr="00097813" w:rsidRDefault="005900E4" w:rsidP="005900E4">
            <w:pPr>
              <w:pStyle w:val="Default"/>
              <w:rPr>
                <w:sz w:val="22"/>
                <w:szCs w:val="22"/>
              </w:rPr>
            </w:pPr>
          </w:p>
          <w:p w14:paraId="33AA6F7C" w14:textId="77777777" w:rsidR="005900E4" w:rsidRPr="00097813" w:rsidRDefault="005900E4" w:rsidP="005900E4">
            <w:pPr>
              <w:pStyle w:val="Default"/>
              <w:rPr>
                <w:sz w:val="22"/>
                <w:szCs w:val="22"/>
              </w:rPr>
            </w:pPr>
          </w:p>
          <w:p w14:paraId="2C83B6DF" w14:textId="77777777" w:rsidR="005900E4" w:rsidRPr="00097813" w:rsidRDefault="005900E4" w:rsidP="005900E4">
            <w:pPr>
              <w:pStyle w:val="Default"/>
              <w:rPr>
                <w:sz w:val="22"/>
                <w:szCs w:val="22"/>
              </w:rPr>
            </w:pPr>
          </w:p>
          <w:p w14:paraId="540B6626" w14:textId="77777777" w:rsidR="005900E4" w:rsidRPr="00097813" w:rsidRDefault="005900E4" w:rsidP="005900E4">
            <w:pPr>
              <w:pStyle w:val="Default"/>
              <w:rPr>
                <w:sz w:val="22"/>
                <w:szCs w:val="22"/>
              </w:rPr>
            </w:pPr>
          </w:p>
          <w:p w14:paraId="545A912D" w14:textId="77777777" w:rsidR="005900E4" w:rsidRPr="00097813" w:rsidRDefault="005900E4" w:rsidP="005900E4">
            <w:pPr>
              <w:pStyle w:val="Default"/>
              <w:rPr>
                <w:sz w:val="22"/>
                <w:szCs w:val="22"/>
              </w:rPr>
            </w:pPr>
          </w:p>
          <w:p w14:paraId="31804F3A" w14:textId="77777777" w:rsidR="005900E4" w:rsidRPr="00097813" w:rsidRDefault="005900E4" w:rsidP="005900E4">
            <w:pPr>
              <w:pStyle w:val="Default"/>
              <w:rPr>
                <w:sz w:val="22"/>
                <w:szCs w:val="22"/>
              </w:rPr>
            </w:pPr>
          </w:p>
          <w:p w14:paraId="226C42C8" w14:textId="77777777" w:rsidR="005900E4" w:rsidRPr="00097813" w:rsidRDefault="005900E4" w:rsidP="005900E4">
            <w:pPr>
              <w:pStyle w:val="Default"/>
              <w:rPr>
                <w:sz w:val="22"/>
                <w:szCs w:val="22"/>
              </w:rPr>
            </w:pPr>
          </w:p>
          <w:p w14:paraId="2E4ABCE9" w14:textId="77777777" w:rsidR="005900E4" w:rsidRPr="00097813" w:rsidRDefault="005900E4" w:rsidP="005900E4">
            <w:pPr>
              <w:pStyle w:val="Default"/>
              <w:rPr>
                <w:sz w:val="22"/>
                <w:szCs w:val="22"/>
              </w:rPr>
            </w:pPr>
          </w:p>
          <w:p w14:paraId="043E10B6" w14:textId="77777777" w:rsidR="005900E4" w:rsidRPr="00097813" w:rsidRDefault="005900E4" w:rsidP="005900E4">
            <w:pPr>
              <w:pStyle w:val="Default"/>
              <w:rPr>
                <w:sz w:val="22"/>
                <w:szCs w:val="22"/>
              </w:rPr>
            </w:pPr>
          </w:p>
          <w:p w14:paraId="5C13D654" w14:textId="77777777" w:rsidR="005900E4" w:rsidRPr="00097813" w:rsidRDefault="005900E4" w:rsidP="005900E4">
            <w:pPr>
              <w:pStyle w:val="Default"/>
              <w:rPr>
                <w:sz w:val="22"/>
                <w:szCs w:val="22"/>
              </w:rPr>
            </w:pPr>
          </w:p>
          <w:p w14:paraId="001247E9" w14:textId="77777777" w:rsidR="005900E4" w:rsidRPr="00097813" w:rsidRDefault="005900E4" w:rsidP="005900E4">
            <w:pPr>
              <w:pStyle w:val="Default"/>
              <w:rPr>
                <w:sz w:val="22"/>
                <w:szCs w:val="22"/>
              </w:rPr>
            </w:pPr>
          </w:p>
          <w:p w14:paraId="585D5EA1" w14:textId="77777777" w:rsidR="005900E4" w:rsidRPr="00097813" w:rsidRDefault="005900E4" w:rsidP="005900E4">
            <w:pPr>
              <w:pStyle w:val="Default"/>
              <w:rPr>
                <w:sz w:val="22"/>
                <w:szCs w:val="22"/>
              </w:rPr>
            </w:pPr>
          </w:p>
          <w:p w14:paraId="11042E0B" w14:textId="77777777" w:rsidR="005900E4" w:rsidRPr="00097813" w:rsidRDefault="005900E4" w:rsidP="005900E4">
            <w:pPr>
              <w:pStyle w:val="Default"/>
              <w:rPr>
                <w:sz w:val="22"/>
                <w:szCs w:val="22"/>
              </w:rPr>
            </w:pPr>
          </w:p>
          <w:p w14:paraId="68671E28" w14:textId="77777777" w:rsidR="005900E4" w:rsidRPr="00097813" w:rsidRDefault="005900E4" w:rsidP="005900E4">
            <w:pPr>
              <w:pStyle w:val="Default"/>
              <w:rPr>
                <w:sz w:val="22"/>
                <w:szCs w:val="22"/>
              </w:rPr>
            </w:pPr>
          </w:p>
          <w:p w14:paraId="56FCCD48" w14:textId="77777777" w:rsidR="005900E4" w:rsidRPr="00097813" w:rsidRDefault="005900E4" w:rsidP="005900E4">
            <w:pPr>
              <w:pStyle w:val="Default"/>
              <w:rPr>
                <w:sz w:val="22"/>
                <w:szCs w:val="22"/>
              </w:rPr>
            </w:pPr>
          </w:p>
          <w:p w14:paraId="3B5C1A73" w14:textId="77777777" w:rsidR="005900E4" w:rsidRPr="00097813" w:rsidRDefault="005900E4" w:rsidP="005900E4">
            <w:pPr>
              <w:pStyle w:val="Default"/>
              <w:rPr>
                <w:sz w:val="22"/>
                <w:szCs w:val="22"/>
              </w:rPr>
            </w:pPr>
          </w:p>
          <w:p w14:paraId="576F78B4" w14:textId="77777777" w:rsidR="005900E4" w:rsidRPr="00097813" w:rsidRDefault="005900E4" w:rsidP="005900E4">
            <w:pPr>
              <w:pStyle w:val="Default"/>
              <w:rPr>
                <w:sz w:val="22"/>
                <w:szCs w:val="22"/>
              </w:rPr>
            </w:pPr>
          </w:p>
          <w:p w14:paraId="6A7683CE" w14:textId="77777777" w:rsidR="005900E4" w:rsidRPr="00097813" w:rsidRDefault="005900E4" w:rsidP="005900E4">
            <w:pPr>
              <w:pStyle w:val="Default"/>
              <w:rPr>
                <w:sz w:val="22"/>
                <w:szCs w:val="22"/>
              </w:rPr>
            </w:pPr>
          </w:p>
          <w:p w14:paraId="5FAB5DAF" w14:textId="77777777" w:rsidR="005900E4" w:rsidRPr="00097813" w:rsidRDefault="005900E4" w:rsidP="005900E4">
            <w:pPr>
              <w:pStyle w:val="Default"/>
              <w:rPr>
                <w:sz w:val="22"/>
                <w:szCs w:val="22"/>
              </w:rPr>
            </w:pPr>
          </w:p>
          <w:p w14:paraId="4C35F956" w14:textId="77777777" w:rsidR="005900E4" w:rsidRPr="00097813" w:rsidRDefault="005900E4" w:rsidP="005900E4">
            <w:pPr>
              <w:pStyle w:val="Default"/>
              <w:rPr>
                <w:sz w:val="22"/>
                <w:szCs w:val="22"/>
              </w:rPr>
            </w:pPr>
          </w:p>
          <w:p w14:paraId="4DAB2E42" w14:textId="77777777" w:rsidR="005900E4" w:rsidRPr="00097813" w:rsidRDefault="005900E4" w:rsidP="005900E4">
            <w:pPr>
              <w:pStyle w:val="Default"/>
              <w:rPr>
                <w:sz w:val="22"/>
                <w:szCs w:val="22"/>
              </w:rPr>
            </w:pPr>
          </w:p>
          <w:p w14:paraId="3B1A87E6" w14:textId="77777777" w:rsidR="005900E4" w:rsidRPr="00097813" w:rsidRDefault="005900E4" w:rsidP="005900E4">
            <w:pPr>
              <w:pStyle w:val="Default"/>
              <w:rPr>
                <w:sz w:val="22"/>
                <w:szCs w:val="22"/>
              </w:rPr>
            </w:pPr>
          </w:p>
          <w:p w14:paraId="03DC47F1" w14:textId="77777777" w:rsidR="005900E4" w:rsidRPr="00097813" w:rsidRDefault="005900E4" w:rsidP="005900E4">
            <w:pPr>
              <w:pStyle w:val="Default"/>
              <w:rPr>
                <w:sz w:val="22"/>
                <w:szCs w:val="22"/>
              </w:rPr>
            </w:pPr>
          </w:p>
          <w:p w14:paraId="34C0A3AC" w14:textId="77777777" w:rsidR="005900E4" w:rsidRPr="00097813" w:rsidRDefault="005900E4" w:rsidP="005900E4">
            <w:pPr>
              <w:pStyle w:val="Default"/>
              <w:rPr>
                <w:sz w:val="22"/>
                <w:szCs w:val="22"/>
              </w:rPr>
            </w:pPr>
          </w:p>
          <w:p w14:paraId="5D53BD06" w14:textId="77777777" w:rsidR="005900E4" w:rsidRPr="00097813" w:rsidRDefault="005900E4" w:rsidP="005900E4">
            <w:pPr>
              <w:pStyle w:val="Default"/>
              <w:rPr>
                <w:sz w:val="22"/>
                <w:szCs w:val="22"/>
              </w:rPr>
            </w:pPr>
          </w:p>
          <w:p w14:paraId="70876A37" w14:textId="77777777" w:rsidR="005900E4" w:rsidRPr="00097813" w:rsidRDefault="005900E4" w:rsidP="005900E4">
            <w:pPr>
              <w:pStyle w:val="Default"/>
              <w:rPr>
                <w:sz w:val="22"/>
                <w:szCs w:val="22"/>
              </w:rPr>
            </w:pPr>
          </w:p>
          <w:p w14:paraId="1602B46C" w14:textId="77777777" w:rsidR="005900E4" w:rsidRPr="00097813" w:rsidRDefault="005900E4" w:rsidP="005900E4">
            <w:pPr>
              <w:pStyle w:val="Default"/>
              <w:rPr>
                <w:sz w:val="22"/>
                <w:szCs w:val="22"/>
              </w:rPr>
            </w:pPr>
          </w:p>
          <w:p w14:paraId="00D05134" w14:textId="77777777" w:rsidR="005900E4" w:rsidRPr="00097813" w:rsidRDefault="005900E4" w:rsidP="005900E4">
            <w:pPr>
              <w:pStyle w:val="Default"/>
              <w:rPr>
                <w:sz w:val="22"/>
                <w:szCs w:val="22"/>
              </w:rPr>
            </w:pPr>
          </w:p>
          <w:p w14:paraId="52C7F3AF" w14:textId="77777777" w:rsidR="005900E4" w:rsidRPr="00097813" w:rsidRDefault="005900E4" w:rsidP="005900E4">
            <w:pPr>
              <w:pStyle w:val="Default"/>
              <w:rPr>
                <w:sz w:val="22"/>
                <w:szCs w:val="22"/>
              </w:rPr>
            </w:pPr>
          </w:p>
          <w:p w14:paraId="5BDC5877" w14:textId="77777777" w:rsidR="005900E4" w:rsidRPr="00097813" w:rsidRDefault="005900E4" w:rsidP="005900E4">
            <w:pPr>
              <w:pStyle w:val="Default"/>
              <w:rPr>
                <w:sz w:val="22"/>
                <w:szCs w:val="22"/>
              </w:rPr>
            </w:pPr>
          </w:p>
          <w:p w14:paraId="2F3AB502" w14:textId="77777777" w:rsidR="005900E4" w:rsidRPr="00097813" w:rsidRDefault="005900E4" w:rsidP="005900E4">
            <w:pPr>
              <w:pStyle w:val="Default"/>
              <w:rPr>
                <w:sz w:val="22"/>
                <w:szCs w:val="22"/>
              </w:rPr>
            </w:pPr>
          </w:p>
          <w:p w14:paraId="7A3ED727" w14:textId="77777777" w:rsidR="005900E4" w:rsidRPr="00097813" w:rsidRDefault="005900E4" w:rsidP="005900E4">
            <w:pPr>
              <w:pStyle w:val="Default"/>
              <w:rPr>
                <w:sz w:val="22"/>
                <w:szCs w:val="22"/>
              </w:rPr>
            </w:pPr>
          </w:p>
          <w:p w14:paraId="57D0F3AB" w14:textId="77777777" w:rsidR="005900E4" w:rsidRPr="00097813" w:rsidRDefault="005900E4" w:rsidP="005900E4">
            <w:pPr>
              <w:pStyle w:val="Default"/>
              <w:rPr>
                <w:sz w:val="22"/>
                <w:szCs w:val="22"/>
              </w:rPr>
            </w:pPr>
          </w:p>
          <w:p w14:paraId="0620D4BF" w14:textId="77777777" w:rsidR="005900E4" w:rsidRPr="00097813" w:rsidRDefault="005900E4" w:rsidP="005900E4">
            <w:pPr>
              <w:pStyle w:val="Default"/>
              <w:rPr>
                <w:sz w:val="22"/>
                <w:szCs w:val="22"/>
              </w:rPr>
            </w:pPr>
          </w:p>
          <w:p w14:paraId="348E4CE6" w14:textId="77777777" w:rsidR="005900E4" w:rsidRPr="00097813" w:rsidRDefault="005900E4" w:rsidP="005900E4">
            <w:pPr>
              <w:pStyle w:val="Default"/>
              <w:rPr>
                <w:sz w:val="22"/>
                <w:szCs w:val="22"/>
              </w:rPr>
            </w:pPr>
          </w:p>
          <w:p w14:paraId="5228DF28" w14:textId="77777777" w:rsidR="005900E4" w:rsidRPr="00097813" w:rsidRDefault="005900E4" w:rsidP="005900E4">
            <w:pPr>
              <w:pStyle w:val="Default"/>
              <w:rPr>
                <w:sz w:val="22"/>
                <w:szCs w:val="22"/>
              </w:rPr>
            </w:pPr>
          </w:p>
          <w:p w14:paraId="0505E5F0" w14:textId="77777777" w:rsidR="005900E4" w:rsidRPr="00097813" w:rsidRDefault="005900E4" w:rsidP="005900E4">
            <w:pPr>
              <w:pStyle w:val="Default"/>
              <w:rPr>
                <w:sz w:val="22"/>
                <w:szCs w:val="22"/>
              </w:rPr>
            </w:pPr>
          </w:p>
          <w:p w14:paraId="4E52EAF3" w14:textId="77777777" w:rsidR="005900E4" w:rsidRPr="00097813" w:rsidRDefault="005900E4" w:rsidP="005900E4">
            <w:pPr>
              <w:pStyle w:val="Default"/>
              <w:rPr>
                <w:sz w:val="22"/>
                <w:szCs w:val="22"/>
              </w:rPr>
            </w:pPr>
          </w:p>
          <w:p w14:paraId="5E0C400C" w14:textId="77777777" w:rsidR="005900E4" w:rsidRPr="00097813" w:rsidRDefault="005900E4" w:rsidP="005900E4">
            <w:pPr>
              <w:pStyle w:val="Default"/>
              <w:rPr>
                <w:sz w:val="22"/>
                <w:szCs w:val="22"/>
              </w:rPr>
            </w:pPr>
          </w:p>
          <w:p w14:paraId="1701E90C" w14:textId="77777777" w:rsidR="005900E4" w:rsidRPr="00097813" w:rsidRDefault="005900E4" w:rsidP="005900E4">
            <w:pPr>
              <w:pStyle w:val="Default"/>
              <w:rPr>
                <w:sz w:val="22"/>
                <w:szCs w:val="22"/>
              </w:rPr>
            </w:pPr>
          </w:p>
          <w:p w14:paraId="3F563F49" w14:textId="77777777" w:rsidR="005900E4" w:rsidRPr="00097813" w:rsidRDefault="005900E4" w:rsidP="005900E4">
            <w:pPr>
              <w:pStyle w:val="Default"/>
              <w:rPr>
                <w:sz w:val="22"/>
                <w:szCs w:val="22"/>
              </w:rPr>
            </w:pPr>
          </w:p>
          <w:p w14:paraId="46831046" w14:textId="546DA425" w:rsidR="4792BE4F" w:rsidRDefault="4792BE4F" w:rsidP="4792BE4F">
            <w:pPr>
              <w:pStyle w:val="Default"/>
              <w:rPr>
                <w:sz w:val="22"/>
                <w:szCs w:val="22"/>
              </w:rPr>
            </w:pPr>
          </w:p>
          <w:p w14:paraId="6AC6A9C2" w14:textId="77777777" w:rsidR="005900E4" w:rsidRPr="00097813" w:rsidRDefault="005900E4" w:rsidP="005900E4">
            <w:pPr>
              <w:pStyle w:val="Default"/>
              <w:rPr>
                <w:sz w:val="22"/>
                <w:szCs w:val="22"/>
              </w:rPr>
            </w:pPr>
          </w:p>
          <w:p w14:paraId="38093468" w14:textId="7DCC5290" w:rsidR="005900E4" w:rsidRPr="00097813" w:rsidRDefault="00AF7521" w:rsidP="005900E4">
            <w:pPr>
              <w:pStyle w:val="Default"/>
              <w:rPr>
                <w:sz w:val="22"/>
                <w:szCs w:val="22"/>
              </w:rPr>
            </w:pPr>
            <w:r w:rsidRPr="00097813">
              <w:rPr>
                <w:sz w:val="22"/>
                <w:szCs w:val="22"/>
              </w:rPr>
              <w:t xml:space="preserve">(2) </w:t>
            </w:r>
            <w:r w:rsidR="000F60BB" w:rsidRPr="00097813">
              <w:rPr>
                <w:sz w:val="22"/>
                <w:szCs w:val="22"/>
              </w:rPr>
              <w:t>Prevádzkovateľ lodnej spoločnosti je povinný</w:t>
            </w:r>
            <w:r w:rsidR="005900E4" w:rsidRPr="00097813">
              <w:rPr>
                <w:sz w:val="22"/>
                <w:szCs w:val="22"/>
              </w:rPr>
              <w:t xml:space="preserve"> odovzdávať kvóty podľa tohto harmonogramu:</w:t>
            </w:r>
          </w:p>
          <w:p w14:paraId="542C4CE0" w14:textId="77777777" w:rsidR="005900E4" w:rsidRPr="00097813" w:rsidRDefault="005900E4" w:rsidP="005900E4">
            <w:pPr>
              <w:pStyle w:val="Default"/>
              <w:rPr>
                <w:sz w:val="22"/>
                <w:szCs w:val="22"/>
              </w:rPr>
            </w:pPr>
            <w:r w:rsidRPr="00097813">
              <w:rPr>
                <w:sz w:val="22"/>
                <w:szCs w:val="22"/>
              </w:rPr>
              <w:t>a) 40 % overených emisií nahlásených za rok 2024, na ktoré by sa vzťahovali požiadavky týkajúce sa odovzdávania kvót podľa § 20,</w:t>
            </w:r>
          </w:p>
          <w:p w14:paraId="428E1813" w14:textId="77777777" w:rsidR="005900E4" w:rsidRPr="00097813" w:rsidRDefault="005900E4" w:rsidP="005900E4">
            <w:pPr>
              <w:pStyle w:val="Default"/>
              <w:rPr>
                <w:sz w:val="22"/>
                <w:szCs w:val="22"/>
              </w:rPr>
            </w:pPr>
            <w:r w:rsidRPr="00097813">
              <w:rPr>
                <w:sz w:val="22"/>
                <w:szCs w:val="22"/>
              </w:rPr>
              <w:t>b) 70 % overených emisií nahlásených za rok 2025, na ktoré by sa vzťahovali požiadavky týkajúce sa odovzdávania kvót podľa § 20,</w:t>
            </w:r>
          </w:p>
          <w:p w14:paraId="603E5D8D" w14:textId="77777777" w:rsidR="005900E4" w:rsidRPr="00097813" w:rsidRDefault="005900E4" w:rsidP="005900E4">
            <w:pPr>
              <w:pStyle w:val="Default"/>
              <w:rPr>
                <w:sz w:val="22"/>
                <w:szCs w:val="22"/>
              </w:rPr>
            </w:pPr>
            <w:r w:rsidRPr="00097813">
              <w:rPr>
                <w:sz w:val="22"/>
                <w:szCs w:val="22"/>
              </w:rPr>
              <w:lastRenderedPageBreak/>
              <w:t>c) 100 % overených emisií nahlásených za rok 2026 a každý ďalší rok podľa § 20.</w:t>
            </w:r>
          </w:p>
          <w:p w14:paraId="5397E375" w14:textId="77777777" w:rsidR="003237A8" w:rsidRPr="00097813" w:rsidRDefault="003237A8" w:rsidP="005900E4">
            <w:pPr>
              <w:pStyle w:val="Default"/>
              <w:rPr>
                <w:sz w:val="22"/>
                <w:szCs w:val="22"/>
              </w:rPr>
            </w:pPr>
          </w:p>
          <w:p w14:paraId="04FDD54D" w14:textId="77777777" w:rsidR="003237A8" w:rsidRPr="00097813" w:rsidRDefault="003237A8" w:rsidP="005900E4">
            <w:pPr>
              <w:pStyle w:val="Default"/>
              <w:rPr>
                <w:sz w:val="22"/>
                <w:szCs w:val="22"/>
              </w:rPr>
            </w:pPr>
          </w:p>
          <w:p w14:paraId="18EC9DA0" w14:textId="77777777" w:rsidR="003237A8" w:rsidRPr="00097813" w:rsidRDefault="003237A8" w:rsidP="005900E4">
            <w:pPr>
              <w:pStyle w:val="Default"/>
              <w:rPr>
                <w:sz w:val="22"/>
                <w:szCs w:val="22"/>
              </w:rPr>
            </w:pPr>
          </w:p>
          <w:p w14:paraId="4867D4DF" w14:textId="77777777" w:rsidR="003237A8" w:rsidRPr="00097813" w:rsidRDefault="003237A8" w:rsidP="005900E4">
            <w:pPr>
              <w:pStyle w:val="Default"/>
              <w:rPr>
                <w:sz w:val="22"/>
                <w:szCs w:val="22"/>
              </w:rPr>
            </w:pPr>
          </w:p>
          <w:p w14:paraId="525E4F5E" w14:textId="77777777" w:rsidR="003237A8" w:rsidRPr="00097813" w:rsidRDefault="003237A8" w:rsidP="005900E4">
            <w:pPr>
              <w:pStyle w:val="Default"/>
              <w:rPr>
                <w:sz w:val="22"/>
                <w:szCs w:val="22"/>
              </w:rPr>
            </w:pPr>
          </w:p>
          <w:p w14:paraId="0717B99F" w14:textId="77777777" w:rsidR="003237A8" w:rsidRPr="00097813" w:rsidRDefault="003237A8" w:rsidP="005900E4">
            <w:pPr>
              <w:pStyle w:val="Default"/>
              <w:rPr>
                <w:sz w:val="22"/>
                <w:szCs w:val="22"/>
              </w:rPr>
            </w:pPr>
          </w:p>
          <w:p w14:paraId="3438AE87" w14:textId="77777777" w:rsidR="003237A8" w:rsidRPr="00097813" w:rsidRDefault="003237A8" w:rsidP="005900E4">
            <w:pPr>
              <w:pStyle w:val="Default"/>
              <w:rPr>
                <w:sz w:val="22"/>
                <w:szCs w:val="22"/>
              </w:rPr>
            </w:pPr>
          </w:p>
          <w:p w14:paraId="7D8C397F" w14:textId="77777777" w:rsidR="003237A8" w:rsidRPr="00097813" w:rsidRDefault="003237A8" w:rsidP="005900E4">
            <w:pPr>
              <w:pStyle w:val="Default"/>
              <w:rPr>
                <w:sz w:val="22"/>
                <w:szCs w:val="22"/>
              </w:rPr>
            </w:pPr>
          </w:p>
          <w:p w14:paraId="0786AFC8" w14:textId="77777777" w:rsidR="003237A8" w:rsidRPr="00097813" w:rsidRDefault="003237A8" w:rsidP="005900E4">
            <w:pPr>
              <w:pStyle w:val="Default"/>
              <w:rPr>
                <w:sz w:val="22"/>
                <w:szCs w:val="22"/>
              </w:rPr>
            </w:pPr>
          </w:p>
          <w:p w14:paraId="55123BD6" w14:textId="77777777" w:rsidR="003237A8" w:rsidRPr="00097813" w:rsidRDefault="003237A8" w:rsidP="005900E4">
            <w:pPr>
              <w:pStyle w:val="Default"/>
              <w:rPr>
                <w:sz w:val="22"/>
                <w:szCs w:val="22"/>
              </w:rPr>
            </w:pPr>
          </w:p>
          <w:p w14:paraId="1A277480" w14:textId="105958D2" w:rsidR="21A61628" w:rsidRPr="00097813" w:rsidRDefault="21A61628" w:rsidP="21A61628">
            <w:pPr>
              <w:pStyle w:val="Default"/>
              <w:rPr>
                <w:sz w:val="22"/>
                <w:szCs w:val="22"/>
              </w:rPr>
            </w:pPr>
          </w:p>
          <w:p w14:paraId="6D3B8338" w14:textId="10F230E5" w:rsidR="003237A8" w:rsidRPr="00097813" w:rsidRDefault="00AF7521" w:rsidP="005900E4">
            <w:pPr>
              <w:pStyle w:val="Default"/>
              <w:rPr>
                <w:sz w:val="22"/>
                <w:szCs w:val="22"/>
              </w:rPr>
            </w:pPr>
            <w:r w:rsidRPr="00097813">
              <w:rPr>
                <w:sz w:val="22"/>
                <w:szCs w:val="22"/>
              </w:rPr>
              <w:t xml:space="preserve">(3) </w:t>
            </w:r>
            <w:r w:rsidR="003237A8" w:rsidRPr="00097813">
              <w:rPr>
                <w:sz w:val="22"/>
                <w:szCs w:val="22"/>
              </w:rPr>
              <w:t>Ak konečnú zodpovednosť za nákup paliva alebo prevádzku lode alebo oboje prevezme podľa zmluvného dojednania iný subjekt ako</w:t>
            </w:r>
            <w:r w:rsidR="000F60BB" w:rsidRPr="00097813">
              <w:rPr>
                <w:sz w:val="22"/>
                <w:szCs w:val="22"/>
              </w:rPr>
              <w:t xml:space="preserve"> lodn</w:t>
            </w:r>
            <w:r w:rsidR="00621C8C" w:rsidRPr="00097813">
              <w:rPr>
                <w:sz w:val="22"/>
                <w:szCs w:val="22"/>
              </w:rPr>
              <w:t>á spoločnosť</w:t>
            </w:r>
            <w:r w:rsidR="003237A8" w:rsidRPr="00097813">
              <w:rPr>
                <w:sz w:val="22"/>
                <w:szCs w:val="22"/>
              </w:rPr>
              <w:t xml:space="preserve">, </w:t>
            </w:r>
            <w:r w:rsidR="00621C8C" w:rsidRPr="00097813">
              <w:rPr>
                <w:sz w:val="22"/>
                <w:szCs w:val="22"/>
              </w:rPr>
              <w:t>lodná spoločnosť</w:t>
            </w:r>
            <w:r w:rsidR="003237A8" w:rsidRPr="00097813">
              <w:rPr>
                <w:sz w:val="22"/>
                <w:szCs w:val="22"/>
              </w:rPr>
              <w:t xml:space="preserve"> má nárok na náhradu nákladov zo strany tohto subjektu vyplývajúcich z odovzdania kvót. </w:t>
            </w:r>
          </w:p>
          <w:p w14:paraId="1F25DF9A" w14:textId="77777777" w:rsidR="003237A8" w:rsidRPr="00097813" w:rsidRDefault="003237A8" w:rsidP="005900E4">
            <w:pPr>
              <w:pStyle w:val="Default"/>
              <w:rPr>
                <w:sz w:val="22"/>
                <w:szCs w:val="22"/>
              </w:rPr>
            </w:pPr>
          </w:p>
          <w:p w14:paraId="39DF350E" w14:textId="07126353" w:rsidR="21A61628" w:rsidRPr="00097813" w:rsidRDefault="21A61628" w:rsidP="21A61628">
            <w:pPr>
              <w:pStyle w:val="Default"/>
              <w:rPr>
                <w:sz w:val="22"/>
                <w:szCs w:val="22"/>
              </w:rPr>
            </w:pPr>
          </w:p>
          <w:p w14:paraId="39B1FB89" w14:textId="4FF1E6F6" w:rsidR="21A61628" w:rsidRPr="00097813" w:rsidRDefault="21A61628" w:rsidP="21A61628">
            <w:pPr>
              <w:pStyle w:val="Default"/>
              <w:rPr>
                <w:sz w:val="22"/>
                <w:szCs w:val="22"/>
              </w:rPr>
            </w:pPr>
          </w:p>
          <w:p w14:paraId="009CA188" w14:textId="4F84A0A2" w:rsidR="21A61628" w:rsidRPr="00097813" w:rsidRDefault="21A61628" w:rsidP="21A61628">
            <w:pPr>
              <w:pStyle w:val="Default"/>
              <w:rPr>
                <w:sz w:val="22"/>
                <w:szCs w:val="22"/>
              </w:rPr>
            </w:pPr>
          </w:p>
          <w:p w14:paraId="77144B10" w14:textId="7CE78BC9" w:rsidR="4792BE4F" w:rsidRDefault="4792BE4F" w:rsidP="4792BE4F">
            <w:pPr>
              <w:pStyle w:val="Default"/>
              <w:rPr>
                <w:sz w:val="22"/>
                <w:szCs w:val="22"/>
              </w:rPr>
            </w:pPr>
          </w:p>
          <w:p w14:paraId="2BBC12D4" w14:textId="5407B1E9" w:rsidR="21A61628" w:rsidRPr="00097813" w:rsidRDefault="21A61628" w:rsidP="21A61628">
            <w:pPr>
              <w:pStyle w:val="Default"/>
              <w:rPr>
                <w:sz w:val="22"/>
                <w:szCs w:val="22"/>
              </w:rPr>
            </w:pPr>
          </w:p>
          <w:p w14:paraId="112AFEFA" w14:textId="143A3940" w:rsidR="00621C8C" w:rsidRPr="00097813" w:rsidRDefault="00AF7521" w:rsidP="005900E4">
            <w:pPr>
              <w:pStyle w:val="Default"/>
              <w:rPr>
                <w:sz w:val="22"/>
                <w:szCs w:val="22"/>
              </w:rPr>
            </w:pPr>
            <w:r w:rsidRPr="00097813">
              <w:rPr>
                <w:sz w:val="22"/>
                <w:szCs w:val="22"/>
              </w:rPr>
              <w:t xml:space="preserve">(3) </w:t>
            </w:r>
            <w:r w:rsidR="00621C8C" w:rsidRPr="00097813">
              <w:rPr>
                <w:sz w:val="22"/>
                <w:szCs w:val="22"/>
              </w:rPr>
              <w:t xml:space="preserve">Prevádzka námornej lode na účely tohto odseku znamená určenie prepravovaného nákladu alebo trasy a rýchlosti námornej lode. Lodná spoločnosť zostáva subjektom zodpovedným za odovzdávanie kvót podľa odseku 2 a § 20, a za  dodržiavanie ustanovení tohto zákona. Riadiaci orgán vo vzťahu k lodnej spoločnosti zabezpečí, aby lodné spoločnosti </w:t>
            </w:r>
            <w:r w:rsidR="00621C8C" w:rsidRPr="00097813">
              <w:rPr>
                <w:sz w:val="22"/>
                <w:szCs w:val="22"/>
              </w:rPr>
              <w:lastRenderedPageBreak/>
              <w:t>plnili povinnosti odovzdať kvóty podľa odseku 2 a § 20 bez ohľadu na nárok takýchto lodných spoločností na náhradu nákladov vyplývajúcich z odovzdania kvót zo strany komerčných prevádzkovateľov</w:t>
            </w:r>
            <w:r w:rsidR="003237A8" w:rsidRPr="00097813">
              <w:rPr>
                <w:sz w:val="22"/>
                <w:szCs w:val="22"/>
              </w:rPr>
              <w:t>.</w:t>
            </w:r>
          </w:p>
          <w:p w14:paraId="6B008FE1" w14:textId="43BB7DA4" w:rsidR="003237A8" w:rsidRPr="00097813" w:rsidRDefault="00AF7521" w:rsidP="005900E4">
            <w:pPr>
              <w:pStyle w:val="Default"/>
              <w:rPr>
                <w:sz w:val="22"/>
                <w:szCs w:val="22"/>
              </w:rPr>
            </w:pPr>
            <w:r w:rsidRPr="169B2D24">
              <w:rPr>
                <w:sz w:val="22"/>
                <w:szCs w:val="22"/>
              </w:rPr>
              <w:t xml:space="preserve">(3) </w:t>
            </w:r>
            <w:r w:rsidR="3E3F3760" w:rsidRPr="169B2D24">
              <w:rPr>
                <w:sz w:val="22"/>
                <w:szCs w:val="22"/>
              </w:rPr>
              <w:t xml:space="preserve">Ak </w:t>
            </w:r>
            <w:r w:rsidR="00621C8C" w:rsidRPr="169B2D24">
              <w:rPr>
                <w:sz w:val="22"/>
                <w:szCs w:val="22"/>
              </w:rPr>
              <w:t>ide o emisie z činností  uvedených v prílohe č. 1 tabuľke C, lodná spoločnosť počas obdobia nahlasovania monitoruje a nahlasuje príslušné parametre a riadiacemu orgánu vo vzťahu k lodnej spoločnosti predkladá údaje o súhrnných emisiách na úrovni lodnej spoločnosti podľa osobitného predpisu</w:t>
            </w:r>
            <w:r w:rsidR="003237A8" w:rsidRPr="169B2D24">
              <w:rPr>
                <w:sz w:val="22"/>
                <w:szCs w:val="22"/>
              </w:rPr>
              <w:t>.</w:t>
            </w:r>
            <w:r w:rsidR="003237A8" w:rsidRPr="169B2D24">
              <w:rPr>
                <w:sz w:val="22"/>
                <w:szCs w:val="22"/>
                <w:vertAlign w:val="superscript"/>
              </w:rPr>
              <w:t>12a</w:t>
            </w:r>
            <w:r w:rsidR="003237A8" w:rsidRPr="169B2D24">
              <w:rPr>
                <w:sz w:val="22"/>
                <w:szCs w:val="22"/>
              </w:rPr>
              <w:t>)</w:t>
            </w:r>
          </w:p>
          <w:p w14:paraId="46EB6F34" w14:textId="26CF6D4E" w:rsidR="00AF7521" w:rsidRPr="00097813" w:rsidRDefault="5EA3CF18" w:rsidP="005900E4">
            <w:pPr>
              <w:pStyle w:val="Default"/>
              <w:rPr>
                <w:sz w:val="22"/>
                <w:szCs w:val="22"/>
              </w:rPr>
            </w:pPr>
            <w:r w:rsidRPr="5F673433">
              <w:rPr>
                <w:sz w:val="22"/>
                <w:szCs w:val="22"/>
                <w:vertAlign w:val="superscript"/>
              </w:rPr>
              <w:t>12a</w:t>
            </w:r>
            <w:r w:rsidRPr="5F673433">
              <w:rPr>
                <w:sz w:val="22"/>
                <w:szCs w:val="22"/>
              </w:rPr>
              <w:t>) Kapitola II nariadenia (EÚ) 2015/757.</w:t>
            </w:r>
          </w:p>
          <w:p w14:paraId="0F9C9EBB" w14:textId="77777777" w:rsidR="003237A8" w:rsidRPr="00097813" w:rsidRDefault="003237A8" w:rsidP="5F673433">
            <w:pPr>
              <w:pStyle w:val="Default"/>
              <w:rPr>
                <w:sz w:val="22"/>
                <w:szCs w:val="22"/>
              </w:rPr>
            </w:pPr>
          </w:p>
          <w:p w14:paraId="3EA08E9C" w14:textId="2B052AD1" w:rsidR="4792BE4F" w:rsidRDefault="4792BE4F" w:rsidP="5F673433">
            <w:pPr>
              <w:pStyle w:val="Default"/>
              <w:rPr>
                <w:sz w:val="22"/>
                <w:szCs w:val="22"/>
              </w:rPr>
            </w:pPr>
          </w:p>
          <w:p w14:paraId="653EDC1C" w14:textId="4C70F6A2" w:rsidR="5F673433" w:rsidRDefault="5F673433" w:rsidP="5F673433">
            <w:pPr>
              <w:pStyle w:val="Default"/>
              <w:rPr>
                <w:sz w:val="22"/>
                <w:szCs w:val="22"/>
              </w:rPr>
            </w:pPr>
          </w:p>
          <w:p w14:paraId="029DF4F1" w14:textId="69A8FB04" w:rsidR="00E179E7" w:rsidRPr="00097813" w:rsidRDefault="00E179E7" w:rsidP="00E179E7">
            <w:pPr>
              <w:pStyle w:val="Default"/>
              <w:rPr>
                <w:sz w:val="22"/>
                <w:szCs w:val="22"/>
              </w:rPr>
            </w:pPr>
            <w:r w:rsidRPr="00097813">
              <w:rPr>
                <w:sz w:val="22"/>
                <w:szCs w:val="22"/>
              </w:rPr>
              <w:t xml:space="preserve">(5) </w:t>
            </w:r>
            <w:r w:rsidR="00FB68B1" w:rsidRPr="00097813">
              <w:rPr>
                <w:sz w:val="22"/>
                <w:szCs w:val="22"/>
              </w:rPr>
              <w:t>Lodná spoločnosť</w:t>
            </w:r>
            <w:r w:rsidRPr="00097813">
              <w:rPr>
                <w:sz w:val="22"/>
                <w:szCs w:val="22"/>
              </w:rPr>
              <w:t xml:space="preserve"> je povinn</w:t>
            </w:r>
            <w:r w:rsidR="7435EF38" w:rsidRPr="00097813">
              <w:rPr>
                <w:sz w:val="22"/>
                <w:szCs w:val="22"/>
              </w:rPr>
              <w:t>á</w:t>
            </w:r>
          </w:p>
          <w:p w14:paraId="00CA69A4" w14:textId="5FF7D362" w:rsidR="00E179E7" w:rsidRPr="00097813" w:rsidRDefault="00E179E7" w:rsidP="00E179E7">
            <w:pPr>
              <w:pStyle w:val="Default"/>
              <w:rPr>
                <w:sz w:val="22"/>
                <w:szCs w:val="22"/>
              </w:rPr>
            </w:pPr>
            <w:r w:rsidRPr="00097813">
              <w:rPr>
                <w:sz w:val="22"/>
                <w:szCs w:val="22"/>
              </w:rPr>
              <w:t>a) predložiť ministerstvu každoročne do 1. marca správu o emisiách skleníkových plynov počas predchádzajúceho kalendárneho roka overenú overovateľom ako správnu v súlade s kritériami podľa osobitného predpisu,</w:t>
            </w:r>
            <w:r w:rsidRPr="00097813">
              <w:rPr>
                <w:sz w:val="22"/>
                <w:szCs w:val="22"/>
                <w:vertAlign w:val="superscript"/>
              </w:rPr>
              <w:t>12b</w:t>
            </w:r>
            <w:r w:rsidRPr="00097813">
              <w:rPr>
                <w:sz w:val="22"/>
                <w:szCs w:val="22"/>
              </w:rPr>
              <w:t>)</w:t>
            </w:r>
          </w:p>
          <w:p w14:paraId="037F9A05" w14:textId="5D249BF3" w:rsidR="21A61628" w:rsidRPr="00097813" w:rsidRDefault="00E179E7" w:rsidP="21A61628">
            <w:pPr>
              <w:pStyle w:val="Default"/>
              <w:rPr>
                <w:sz w:val="22"/>
                <w:szCs w:val="22"/>
              </w:rPr>
            </w:pPr>
            <w:r w:rsidRPr="4792BE4F">
              <w:rPr>
                <w:sz w:val="22"/>
                <w:szCs w:val="22"/>
              </w:rPr>
              <w:t>12b) Kapitola III nariadenia (EÚ) 2015/757.</w:t>
            </w:r>
          </w:p>
          <w:p w14:paraId="1C7E7126" w14:textId="334BEDB7" w:rsidR="4792BE4F" w:rsidRDefault="4792BE4F" w:rsidP="4792BE4F">
            <w:pPr>
              <w:pStyle w:val="Default"/>
              <w:rPr>
                <w:sz w:val="22"/>
                <w:szCs w:val="22"/>
              </w:rPr>
            </w:pPr>
          </w:p>
          <w:p w14:paraId="1E39B34F" w14:textId="5BFFA635" w:rsidR="003237A8" w:rsidRPr="00097813" w:rsidRDefault="00260BC4" w:rsidP="005900E4">
            <w:pPr>
              <w:pStyle w:val="Default"/>
              <w:rPr>
                <w:sz w:val="22"/>
                <w:szCs w:val="22"/>
              </w:rPr>
            </w:pPr>
            <w:r w:rsidRPr="00097813">
              <w:rPr>
                <w:sz w:val="22"/>
                <w:szCs w:val="22"/>
              </w:rPr>
              <w:t xml:space="preserve">(4) </w:t>
            </w:r>
            <w:r w:rsidR="00FB68B1" w:rsidRPr="00097813">
              <w:rPr>
                <w:sz w:val="22"/>
                <w:szCs w:val="22"/>
              </w:rPr>
              <w:t>Lodná spoločnosť predkladá údaje o súhrnných emisiách podľa odseku 3 overené v súlade s pravidlami overovania a akreditácie podľa osobitného predpisu</w:t>
            </w:r>
            <w:r w:rsidR="003237A8" w:rsidRPr="00097813">
              <w:rPr>
                <w:sz w:val="22"/>
                <w:szCs w:val="22"/>
                <w:vertAlign w:val="superscript"/>
              </w:rPr>
              <w:t>12b</w:t>
            </w:r>
            <w:r w:rsidR="003237A8" w:rsidRPr="00097813">
              <w:rPr>
                <w:sz w:val="22"/>
                <w:szCs w:val="22"/>
              </w:rPr>
              <w:t>)</w:t>
            </w:r>
          </w:p>
          <w:p w14:paraId="1F84EE1D" w14:textId="77777777" w:rsidR="00E179E7" w:rsidRPr="00097813" w:rsidRDefault="4D50D412" w:rsidP="00E179E7">
            <w:pPr>
              <w:pStyle w:val="Default"/>
              <w:rPr>
                <w:sz w:val="22"/>
                <w:szCs w:val="22"/>
              </w:rPr>
            </w:pPr>
            <w:r w:rsidRPr="5F673433">
              <w:rPr>
                <w:sz w:val="22"/>
                <w:szCs w:val="22"/>
                <w:vertAlign w:val="superscript"/>
              </w:rPr>
              <w:t>12b</w:t>
            </w:r>
            <w:r w:rsidRPr="5F673433">
              <w:rPr>
                <w:sz w:val="22"/>
                <w:szCs w:val="22"/>
              </w:rPr>
              <w:t>) Kapitola III nariadenia (EÚ) 2015/757.</w:t>
            </w:r>
          </w:p>
          <w:p w14:paraId="68B89482" w14:textId="26D62FCC" w:rsidR="00E179E7" w:rsidRPr="00097813" w:rsidRDefault="00E179E7" w:rsidP="003237A8">
            <w:pPr>
              <w:pStyle w:val="Default"/>
              <w:rPr>
                <w:sz w:val="22"/>
                <w:szCs w:val="22"/>
              </w:rPr>
            </w:pPr>
          </w:p>
          <w:p w14:paraId="0A65793A" w14:textId="1DC4CF97" w:rsidR="003237A8" w:rsidRPr="00097813" w:rsidRDefault="00260BC4" w:rsidP="003237A8">
            <w:pPr>
              <w:pStyle w:val="Default"/>
              <w:rPr>
                <w:sz w:val="22"/>
                <w:szCs w:val="22"/>
              </w:rPr>
            </w:pPr>
            <w:r w:rsidRPr="00097813">
              <w:rPr>
                <w:sz w:val="22"/>
                <w:szCs w:val="22"/>
              </w:rPr>
              <w:t xml:space="preserve">(1) </w:t>
            </w:r>
            <w:r w:rsidR="00FB68B1" w:rsidRPr="00097813">
              <w:rPr>
                <w:sz w:val="22"/>
                <w:szCs w:val="22"/>
              </w:rPr>
              <w:t xml:space="preserve">Ministerstvo je riadiacim orgánom vo vzťahu k lodnej spoločnosti ak je lodná spoločnosť vlastníkom alebo prevádzkovateľom </w:t>
            </w:r>
            <w:r w:rsidR="00FB68B1" w:rsidRPr="00097813">
              <w:rPr>
                <w:sz w:val="22"/>
                <w:szCs w:val="22"/>
              </w:rPr>
              <w:lastRenderedPageBreak/>
              <w:t>námornej lode zapísanej v námornom registri Slovenskej republiky, ktorý vedie ministerstvo dopravy</w:t>
            </w:r>
            <w:r w:rsidR="00432DB8" w:rsidRPr="00097813">
              <w:rPr>
                <w:sz w:val="22"/>
                <w:szCs w:val="22"/>
              </w:rPr>
              <w:t>.</w:t>
            </w:r>
          </w:p>
          <w:p w14:paraId="71E85D71" w14:textId="77777777" w:rsidR="00C31279" w:rsidRPr="00097813" w:rsidRDefault="00C31279" w:rsidP="003237A8">
            <w:pPr>
              <w:pStyle w:val="Default"/>
              <w:rPr>
                <w:sz w:val="22"/>
                <w:szCs w:val="22"/>
              </w:rPr>
            </w:pPr>
          </w:p>
          <w:p w14:paraId="7A559ACE" w14:textId="77777777" w:rsidR="00C31279" w:rsidRPr="00097813" w:rsidRDefault="00C31279" w:rsidP="003237A8">
            <w:pPr>
              <w:pStyle w:val="Default"/>
              <w:rPr>
                <w:sz w:val="22"/>
                <w:szCs w:val="22"/>
              </w:rPr>
            </w:pPr>
          </w:p>
          <w:p w14:paraId="4120BA43" w14:textId="77777777" w:rsidR="00C31279" w:rsidRPr="00097813" w:rsidRDefault="00C31279" w:rsidP="003237A8">
            <w:pPr>
              <w:pStyle w:val="Default"/>
              <w:rPr>
                <w:sz w:val="22"/>
                <w:szCs w:val="22"/>
              </w:rPr>
            </w:pPr>
          </w:p>
          <w:p w14:paraId="1F9665B2" w14:textId="77777777" w:rsidR="00C31279" w:rsidRPr="00097813" w:rsidRDefault="00C31279" w:rsidP="003237A8">
            <w:pPr>
              <w:pStyle w:val="Default"/>
              <w:rPr>
                <w:sz w:val="22"/>
                <w:szCs w:val="22"/>
              </w:rPr>
            </w:pPr>
          </w:p>
          <w:p w14:paraId="67C830D5" w14:textId="77777777" w:rsidR="00C31279" w:rsidRPr="00097813" w:rsidRDefault="00C31279" w:rsidP="003237A8">
            <w:pPr>
              <w:pStyle w:val="Default"/>
              <w:rPr>
                <w:sz w:val="22"/>
                <w:szCs w:val="22"/>
              </w:rPr>
            </w:pPr>
          </w:p>
          <w:p w14:paraId="06064D0D" w14:textId="77777777" w:rsidR="00C31279" w:rsidRPr="00097813" w:rsidRDefault="00C31279" w:rsidP="003237A8">
            <w:pPr>
              <w:pStyle w:val="Default"/>
              <w:rPr>
                <w:sz w:val="22"/>
                <w:szCs w:val="22"/>
              </w:rPr>
            </w:pPr>
          </w:p>
          <w:p w14:paraId="3AC68DE4" w14:textId="77777777" w:rsidR="00C31279" w:rsidRPr="00097813" w:rsidRDefault="00C31279" w:rsidP="003237A8">
            <w:pPr>
              <w:pStyle w:val="Default"/>
              <w:rPr>
                <w:sz w:val="22"/>
                <w:szCs w:val="22"/>
              </w:rPr>
            </w:pPr>
          </w:p>
          <w:p w14:paraId="6E3E3712" w14:textId="77777777" w:rsidR="00C31279" w:rsidRPr="00097813" w:rsidRDefault="00C31279" w:rsidP="003237A8">
            <w:pPr>
              <w:pStyle w:val="Default"/>
              <w:rPr>
                <w:sz w:val="22"/>
                <w:szCs w:val="22"/>
              </w:rPr>
            </w:pPr>
          </w:p>
          <w:p w14:paraId="63D3A62C" w14:textId="77777777" w:rsidR="00C31279" w:rsidRPr="00097813" w:rsidRDefault="00C31279" w:rsidP="003237A8">
            <w:pPr>
              <w:pStyle w:val="Default"/>
              <w:rPr>
                <w:sz w:val="22"/>
                <w:szCs w:val="22"/>
              </w:rPr>
            </w:pPr>
          </w:p>
          <w:p w14:paraId="499AD0E8" w14:textId="77777777" w:rsidR="00C31279" w:rsidRPr="00097813" w:rsidRDefault="00C31279" w:rsidP="003237A8">
            <w:pPr>
              <w:pStyle w:val="Default"/>
              <w:rPr>
                <w:sz w:val="22"/>
                <w:szCs w:val="22"/>
              </w:rPr>
            </w:pPr>
          </w:p>
          <w:p w14:paraId="534D35D6" w14:textId="77777777" w:rsidR="00C31279" w:rsidRPr="00097813" w:rsidRDefault="00C31279" w:rsidP="003237A8">
            <w:pPr>
              <w:pStyle w:val="Default"/>
              <w:rPr>
                <w:sz w:val="22"/>
                <w:szCs w:val="22"/>
              </w:rPr>
            </w:pPr>
          </w:p>
          <w:p w14:paraId="54173F9D" w14:textId="77777777" w:rsidR="00C31279" w:rsidRPr="00097813" w:rsidRDefault="00C31279" w:rsidP="003237A8">
            <w:pPr>
              <w:pStyle w:val="Default"/>
              <w:rPr>
                <w:sz w:val="22"/>
                <w:szCs w:val="22"/>
              </w:rPr>
            </w:pPr>
          </w:p>
          <w:p w14:paraId="1AF040F4" w14:textId="77777777" w:rsidR="00C31279" w:rsidRPr="00097813" w:rsidRDefault="00C31279" w:rsidP="003237A8">
            <w:pPr>
              <w:pStyle w:val="Default"/>
              <w:rPr>
                <w:sz w:val="22"/>
                <w:szCs w:val="22"/>
              </w:rPr>
            </w:pPr>
          </w:p>
          <w:p w14:paraId="0DF89F18" w14:textId="77777777" w:rsidR="00C31279" w:rsidRPr="00097813" w:rsidRDefault="00C31279" w:rsidP="003237A8">
            <w:pPr>
              <w:pStyle w:val="Default"/>
              <w:rPr>
                <w:sz w:val="22"/>
                <w:szCs w:val="22"/>
              </w:rPr>
            </w:pPr>
          </w:p>
          <w:p w14:paraId="15FC1604" w14:textId="77777777" w:rsidR="00C31279" w:rsidRPr="00097813" w:rsidRDefault="00C31279" w:rsidP="003237A8">
            <w:pPr>
              <w:pStyle w:val="Default"/>
              <w:rPr>
                <w:sz w:val="22"/>
                <w:szCs w:val="22"/>
              </w:rPr>
            </w:pPr>
          </w:p>
          <w:p w14:paraId="02E55712" w14:textId="77777777" w:rsidR="00C31279" w:rsidRPr="00097813" w:rsidRDefault="00C31279" w:rsidP="003237A8">
            <w:pPr>
              <w:pStyle w:val="Default"/>
              <w:rPr>
                <w:sz w:val="22"/>
                <w:szCs w:val="22"/>
              </w:rPr>
            </w:pPr>
          </w:p>
          <w:p w14:paraId="334A092F" w14:textId="77777777" w:rsidR="00C31279" w:rsidRPr="00097813" w:rsidRDefault="00C31279" w:rsidP="003237A8">
            <w:pPr>
              <w:pStyle w:val="Default"/>
              <w:rPr>
                <w:sz w:val="22"/>
                <w:szCs w:val="22"/>
              </w:rPr>
            </w:pPr>
          </w:p>
          <w:p w14:paraId="3A4F1A08" w14:textId="77777777" w:rsidR="00C31279" w:rsidRPr="00097813" w:rsidRDefault="00C31279" w:rsidP="003237A8">
            <w:pPr>
              <w:pStyle w:val="Default"/>
              <w:rPr>
                <w:sz w:val="22"/>
                <w:szCs w:val="22"/>
              </w:rPr>
            </w:pPr>
          </w:p>
          <w:p w14:paraId="07A67A1A" w14:textId="77777777" w:rsidR="00C31279" w:rsidRPr="00097813" w:rsidRDefault="00C31279" w:rsidP="003237A8">
            <w:pPr>
              <w:pStyle w:val="Default"/>
              <w:rPr>
                <w:sz w:val="22"/>
                <w:szCs w:val="22"/>
              </w:rPr>
            </w:pPr>
          </w:p>
          <w:p w14:paraId="18A6FF14" w14:textId="77777777" w:rsidR="00C31279" w:rsidRPr="00097813" w:rsidRDefault="00C31279" w:rsidP="003237A8">
            <w:pPr>
              <w:pStyle w:val="Default"/>
              <w:rPr>
                <w:sz w:val="22"/>
                <w:szCs w:val="22"/>
              </w:rPr>
            </w:pPr>
          </w:p>
          <w:p w14:paraId="59946E9E" w14:textId="77777777" w:rsidR="00C31279" w:rsidRPr="00097813" w:rsidRDefault="00C31279" w:rsidP="003237A8">
            <w:pPr>
              <w:pStyle w:val="Default"/>
              <w:rPr>
                <w:sz w:val="22"/>
                <w:szCs w:val="22"/>
              </w:rPr>
            </w:pPr>
          </w:p>
          <w:p w14:paraId="2E6480C3" w14:textId="77777777" w:rsidR="00C31279" w:rsidRPr="00097813" w:rsidRDefault="00C31279" w:rsidP="003237A8">
            <w:pPr>
              <w:pStyle w:val="Default"/>
              <w:rPr>
                <w:sz w:val="22"/>
                <w:szCs w:val="22"/>
              </w:rPr>
            </w:pPr>
          </w:p>
          <w:p w14:paraId="60AC78C1" w14:textId="77777777" w:rsidR="00C31279" w:rsidRPr="00097813" w:rsidRDefault="00C31279" w:rsidP="003237A8">
            <w:pPr>
              <w:pStyle w:val="Default"/>
              <w:rPr>
                <w:sz w:val="22"/>
                <w:szCs w:val="22"/>
              </w:rPr>
            </w:pPr>
          </w:p>
          <w:p w14:paraId="53A15BA1" w14:textId="77777777" w:rsidR="00C31279" w:rsidRPr="00097813" w:rsidRDefault="00C31279" w:rsidP="003237A8">
            <w:pPr>
              <w:pStyle w:val="Default"/>
              <w:rPr>
                <w:sz w:val="22"/>
                <w:szCs w:val="22"/>
              </w:rPr>
            </w:pPr>
          </w:p>
          <w:p w14:paraId="70450F52" w14:textId="77777777" w:rsidR="00C31279" w:rsidRPr="00097813" w:rsidRDefault="00C31279" w:rsidP="003237A8">
            <w:pPr>
              <w:pStyle w:val="Default"/>
              <w:rPr>
                <w:sz w:val="22"/>
                <w:szCs w:val="22"/>
              </w:rPr>
            </w:pPr>
          </w:p>
          <w:p w14:paraId="2469A2D8" w14:textId="77777777" w:rsidR="00C31279" w:rsidRPr="00097813" w:rsidRDefault="00C31279" w:rsidP="003237A8">
            <w:pPr>
              <w:pStyle w:val="Default"/>
              <w:rPr>
                <w:sz w:val="22"/>
                <w:szCs w:val="22"/>
              </w:rPr>
            </w:pPr>
          </w:p>
          <w:p w14:paraId="0398FB3C" w14:textId="77777777" w:rsidR="00C31279" w:rsidRPr="00097813" w:rsidRDefault="00C31279" w:rsidP="003237A8">
            <w:pPr>
              <w:pStyle w:val="Default"/>
              <w:rPr>
                <w:sz w:val="22"/>
                <w:szCs w:val="22"/>
              </w:rPr>
            </w:pPr>
          </w:p>
          <w:p w14:paraId="1EEADA35" w14:textId="77777777" w:rsidR="00C31279" w:rsidRPr="00097813" w:rsidRDefault="00C31279" w:rsidP="003237A8">
            <w:pPr>
              <w:pStyle w:val="Default"/>
              <w:rPr>
                <w:sz w:val="22"/>
                <w:szCs w:val="22"/>
              </w:rPr>
            </w:pPr>
          </w:p>
          <w:p w14:paraId="32C1D994" w14:textId="77777777" w:rsidR="00C31279" w:rsidRPr="00097813" w:rsidRDefault="00C31279" w:rsidP="003237A8">
            <w:pPr>
              <w:pStyle w:val="Default"/>
              <w:rPr>
                <w:sz w:val="22"/>
                <w:szCs w:val="22"/>
              </w:rPr>
            </w:pPr>
          </w:p>
          <w:p w14:paraId="51C4D0B1" w14:textId="77777777" w:rsidR="00C31279" w:rsidRPr="00097813" w:rsidRDefault="00C31279" w:rsidP="003237A8">
            <w:pPr>
              <w:pStyle w:val="Default"/>
              <w:rPr>
                <w:sz w:val="22"/>
                <w:szCs w:val="22"/>
              </w:rPr>
            </w:pPr>
          </w:p>
          <w:p w14:paraId="0686EC8C" w14:textId="77777777" w:rsidR="00C31279" w:rsidRPr="00097813" w:rsidRDefault="00C31279" w:rsidP="003237A8">
            <w:pPr>
              <w:pStyle w:val="Default"/>
              <w:rPr>
                <w:sz w:val="22"/>
                <w:szCs w:val="22"/>
              </w:rPr>
            </w:pPr>
          </w:p>
          <w:p w14:paraId="012D6CF6" w14:textId="77777777" w:rsidR="00C31279" w:rsidRPr="00097813" w:rsidRDefault="00C31279" w:rsidP="003237A8">
            <w:pPr>
              <w:pStyle w:val="Default"/>
              <w:rPr>
                <w:sz w:val="22"/>
                <w:szCs w:val="22"/>
              </w:rPr>
            </w:pPr>
          </w:p>
          <w:p w14:paraId="46B9D263" w14:textId="77777777" w:rsidR="00C31279" w:rsidRPr="00097813" w:rsidRDefault="00C31279" w:rsidP="003237A8">
            <w:pPr>
              <w:pStyle w:val="Default"/>
              <w:rPr>
                <w:sz w:val="22"/>
                <w:szCs w:val="22"/>
              </w:rPr>
            </w:pPr>
          </w:p>
          <w:p w14:paraId="61C90292" w14:textId="77777777" w:rsidR="00C31279" w:rsidRPr="00097813" w:rsidRDefault="00C31279" w:rsidP="003237A8">
            <w:pPr>
              <w:pStyle w:val="Default"/>
              <w:rPr>
                <w:sz w:val="22"/>
                <w:szCs w:val="22"/>
              </w:rPr>
            </w:pPr>
          </w:p>
          <w:p w14:paraId="3902FDB2" w14:textId="2A93ACDB" w:rsidR="00C31279" w:rsidRPr="00097813" w:rsidRDefault="00C31279" w:rsidP="003237A8">
            <w:pPr>
              <w:pStyle w:val="Default"/>
              <w:rPr>
                <w:sz w:val="22"/>
                <w:szCs w:val="22"/>
              </w:rPr>
            </w:pPr>
          </w:p>
          <w:p w14:paraId="029E1308" w14:textId="2BB364CA" w:rsidR="003367CB" w:rsidRPr="00097813" w:rsidRDefault="003367CB" w:rsidP="003237A8">
            <w:pPr>
              <w:pStyle w:val="Default"/>
              <w:rPr>
                <w:sz w:val="22"/>
                <w:szCs w:val="22"/>
              </w:rPr>
            </w:pPr>
          </w:p>
          <w:p w14:paraId="6D00DC9D" w14:textId="77777777" w:rsidR="00190F49" w:rsidRPr="00097813" w:rsidRDefault="00190F49" w:rsidP="003237A8">
            <w:pPr>
              <w:pStyle w:val="Default"/>
              <w:rPr>
                <w:sz w:val="22"/>
                <w:szCs w:val="22"/>
              </w:rPr>
            </w:pPr>
          </w:p>
          <w:p w14:paraId="3F29773F" w14:textId="76C2EB25" w:rsidR="4792BE4F" w:rsidRDefault="4792BE4F" w:rsidP="4792BE4F">
            <w:pPr>
              <w:pStyle w:val="Default"/>
              <w:rPr>
                <w:sz w:val="22"/>
                <w:szCs w:val="22"/>
              </w:rPr>
            </w:pPr>
          </w:p>
          <w:p w14:paraId="380D8A22" w14:textId="08F692E4" w:rsidR="4792BE4F" w:rsidRDefault="4792BE4F" w:rsidP="4792BE4F">
            <w:pPr>
              <w:pStyle w:val="Default"/>
              <w:rPr>
                <w:sz w:val="22"/>
                <w:szCs w:val="22"/>
              </w:rPr>
            </w:pPr>
          </w:p>
          <w:p w14:paraId="1107ADCC" w14:textId="65D3AFF9" w:rsidR="4792BE4F" w:rsidRDefault="4792BE4F" w:rsidP="4792BE4F">
            <w:pPr>
              <w:pStyle w:val="Default"/>
              <w:rPr>
                <w:sz w:val="22"/>
                <w:szCs w:val="22"/>
              </w:rPr>
            </w:pPr>
          </w:p>
          <w:p w14:paraId="47068BB1" w14:textId="750EE807" w:rsidR="4792BE4F" w:rsidRDefault="4792BE4F" w:rsidP="4792BE4F">
            <w:pPr>
              <w:pStyle w:val="Default"/>
              <w:rPr>
                <w:sz w:val="22"/>
                <w:szCs w:val="22"/>
              </w:rPr>
            </w:pPr>
          </w:p>
          <w:p w14:paraId="6246EDB8" w14:textId="203AB94D" w:rsidR="4792BE4F" w:rsidRDefault="4792BE4F" w:rsidP="4792BE4F">
            <w:pPr>
              <w:pStyle w:val="Default"/>
              <w:rPr>
                <w:sz w:val="22"/>
                <w:szCs w:val="22"/>
              </w:rPr>
            </w:pPr>
          </w:p>
          <w:p w14:paraId="29EFFE32" w14:textId="7633E286" w:rsidR="4792BE4F" w:rsidRDefault="4792BE4F" w:rsidP="4792BE4F">
            <w:pPr>
              <w:pStyle w:val="Default"/>
              <w:rPr>
                <w:sz w:val="22"/>
                <w:szCs w:val="22"/>
              </w:rPr>
            </w:pPr>
          </w:p>
          <w:p w14:paraId="1970249F" w14:textId="40BDACA1" w:rsidR="4792BE4F" w:rsidRDefault="4792BE4F" w:rsidP="4792BE4F">
            <w:pPr>
              <w:pStyle w:val="Default"/>
              <w:rPr>
                <w:sz w:val="22"/>
                <w:szCs w:val="22"/>
              </w:rPr>
            </w:pPr>
          </w:p>
          <w:p w14:paraId="68BB38D1" w14:textId="2F1EB464" w:rsidR="4792BE4F" w:rsidRDefault="4792BE4F" w:rsidP="4792BE4F">
            <w:pPr>
              <w:pStyle w:val="Default"/>
              <w:rPr>
                <w:sz w:val="22"/>
                <w:szCs w:val="22"/>
              </w:rPr>
            </w:pPr>
          </w:p>
          <w:p w14:paraId="6D69E09D" w14:textId="414AF02F" w:rsidR="00C31279" w:rsidRPr="00097813" w:rsidRDefault="79BBF508" w:rsidP="003237A8">
            <w:pPr>
              <w:pStyle w:val="Default"/>
              <w:rPr>
                <w:sz w:val="22"/>
                <w:szCs w:val="22"/>
              </w:rPr>
            </w:pPr>
            <w:r w:rsidRPr="169B2D24">
              <w:rPr>
                <w:sz w:val="22"/>
                <w:szCs w:val="22"/>
              </w:rPr>
              <w:t xml:space="preserve">(2) </w:t>
            </w:r>
            <w:r w:rsidR="265D59A4" w:rsidRPr="169B2D24">
              <w:rPr>
                <w:sz w:val="22"/>
                <w:szCs w:val="22"/>
              </w:rPr>
              <w:t>Riadiaci orgán vo vzťahu k lodnej spoločnosti</w:t>
            </w:r>
            <w:r w:rsidR="265D59A4" w:rsidRPr="169B2D24">
              <w:rPr>
                <w:sz w:val="22"/>
                <w:szCs w:val="22"/>
                <w:vertAlign w:val="superscript"/>
              </w:rPr>
              <w:t>12</w:t>
            </w:r>
            <w:r w:rsidR="265D59A4" w:rsidRPr="169B2D24">
              <w:rPr>
                <w:sz w:val="22"/>
                <w:szCs w:val="22"/>
              </w:rPr>
              <w:t>) zodpoved</w:t>
            </w:r>
            <w:r w:rsidR="74EFD4AB" w:rsidRPr="169B2D24">
              <w:rPr>
                <w:sz w:val="22"/>
                <w:szCs w:val="22"/>
              </w:rPr>
              <w:t>á</w:t>
            </w:r>
            <w:r w:rsidR="265D59A4" w:rsidRPr="169B2D24">
              <w:rPr>
                <w:sz w:val="22"/>
                <w:szCs w:val="22"/>
              </w:rPr>
              <w:t xml:space="preserve"> za správu systému obchodovania v súvislosti s lodnou spoločnosťou bez ohľadu na následné zmeny v činnosti lodnej spoločnosti alebo v jej registrácii až do aktualizácie zmien v zozname.</w:t>
            </w:r>
          </w:p>
          <w:p w14:paraId="42CB5EF2" w14:textId="1E1962A9" w:rsidR="00260BC4" w:rsidRPr="00097813" w:rsidRDefault="00260BC4" w:rsidP="003237A8">
            <w:pPr>
              <w:pStyle w:val="Default"/>
              <w:rPr>
                <w:sz w:val="22"/>
                <w:szCs w:val="22"/>
              </w:rPr>
            </w:pPr>
            <w:r w:rsidRPr="4792BE4F">
              <w:rPr>
                <w:sz w:val="22"/>
                <w:szCs w:val="22"/>
                <w:vertAlign w:val="superscript"/>
              </w:rPr>
              <w:t>12</w:t>
            </w:r>
            <w:r w:rsidRPr="4792BE4F">
              <w:rPr>
                <w:sz w:val="22"/>
                <w:szCs w:val="22"/>
              </w:rPr>
              <w:t>) Vykonávacie rozhodnutie Komisie (EÚ) 2024/411 z 30. januára 2024 o zozname lodných spoločností, v ktorom sa určuje riadiaci orgán vo vzťahu k lodnej spoločnosti v súlade so smernicou Európskeho parlamentu a Rady 2003/87/ES (Ú. v. EÚ L, 31. 1. 2024).</w:t>
            </w:r>
          </w:p>
        </w:tc>
        <w:tc>
          <w:tcPr>
            <w:tcW w:w="567" w:type="dxa"/>
          </w:tcPr>
          <w:p w14:paraId="0F06361F" w14:textId="77777777" w:rsidR="00357CEC" w:rsidRPr="001300A9" w:rsidRDefault="005900E4" w:rsidP="00357CEC">
            <w:pPr>
              <w:pStyle w:val="Default"/>
              <w:rPr>
                <w:sz w:val="22"/>
                <w:szCs w:val="22"/>
              </w:rPr>
            </w:pPr>
            <w:r w:rsidRPr="001300A9">
              <w:rPr>
                <w:sz w:val="22"/>
                <w:szCs w:val="22"/>
              </w:rPr>
              <w:lastRenderedPageBreak/>
              <w:t>Ú</w:t>
            </w:r>
          </w:p>
          <w:p w14:paraId="7C56EC52" w14:textId="77777777" w:rsidR="005900E4" w:rsidRPr="001300A9" w:rsidRDefault="005900E4" w:rsidP="00357CEC">
            <w:pPr>
              <w:pStyle w:val="Default"/>
              <w:rPr>
                <w:sz w:val="22"/>
                <w:szCs w:val="22"/>
              </w:rPr>
            </w:pPr>
          </w:p>
          <w:p w14:paraId="2DB4F44F" w14:textId="77777777" w:rsidR="005900E4" w:rsidRPr="001300A9" w:rsidRDefault="005900E4" w:rsidP="00357CEC">
            <w:pPr>
              <w:pStyle w:val="Default"/>
              <w:rPr>
                <w:sz w:val="22"/>
                <w:szCs w:val="22"/>
              </w:rPr>
            </w:pPr>
          </w:p>
          <w:p w14:paraId="120D518B" w14:textId="77777777" w:rsidR="005900E4" w:rsidRPr="001300A9" w:rsidRDefault="005900E4" w:rsidP="00357CEC">
            <w:pPr>
              <w:pStyle w:val="Default"/>
              <w:rPr>
                <w:sz w:val="22"/>
                <w:szCs w:val="22"/>
              </w:rPr>
            </w:pPr>
          </w:p>
          <w:p w14:paraId="23FE08FB" w14:textId="77777777" w:rsidR="005900E4" w:rsidRPr="001300A9" w:rsidRDefault="005900E4" w:rsidP="00357CEC">
            <w:pPr>
              <w:pStyle w:val="Default"/>
              <w:rPr>
                <w:sz w:val="22"/>
                <w:szCs w:val="22"/>
              </w:rPr>
            </w:pPr>
          </w:p>
          <w:p w14:paraId="63AB4399" w14:textId="77777777" w:rsidR="005900E4" w:rsidRPr="001300A9" w:rsidRDefault="005900E4" w:rsidP="00357CEC">
            <w:pPr>
              <w:pStyle w:val="Default"/>
              <w:rPr>
                <w:sz w:val="22"/>
                <w:szCs w:val="22"/>
              </w:rPr>
            </w:pPr>
          </w:p>
          <w:p w14:paraId="3C4D2A2F" w14:textId="77777777" w:rsidR="005900E4" w:rsidRPr="001300A9" w:rsidRDefault="005900E4" w:rsidP="00357CEC">
            <w:pPr>
              <w:pStyle w:val="Default"/>
              <w:rPr>
                <w:sz w:val="22"/>
                <w:szCs w:val="22"/>
              </w:rPr>
            </w:pPr>
          </w:p>
          <w:p w14:paraId="77583299" w14:textId="77777777" w:rsidR="005900E4" w:rsidRPr="001300A9" w:rsidRDefault="005900E4" w:rsidP="00357CEC">
            <w:pPr>
              <w:pStyle w:val="Default"/>
              <w:rPr>
                <w:sz w:val="22"/>
                <w:szCs w:val="22"/>
              </w:rPr>
            </w:pPr>
          </w:p>
          <w:p w14:paraId="0D9A1C82" w14:textId="77777777" w:rsidR="005900E4" w:rsidRPr="001300A9" w:rsidRDefault="005900E4" w:rsidP="00357CEC">
            <w:pPr>
              <w:pStyle w:val="Default"/>
              <w:rPr>
                <w:sz w:val="22"/>
                <w:szCs w:val="22"/>
              </w:rPr>
            </w:pPr>
          </w:p>
          <w:p w14:paraId="6C4463B1" w14:textId="77777777" w:rsidR="005900E4" w:rsidRPr="001300A9" w:rsidRDefault="005900E4" w:rsidP="00357CEC">
            <w:pPr>
              <w:pStyle w:val="Default"/>
              <w:rPr>
                <w:sz w:val="22"/>
                <w:szCs w:val="22"/>
              </w:rPr>
            </w:pPr>
          </w:p>
          <w:p w14:paraId="16B16D8C" w14:textId="77777777" w:rsidR="005900E4" w:rsidRPr="001300A9" w:rsidRDefault="005900E4" w:rsidP="00357CEC">
            <w:pPr>
              <w:pStyle w:val="Default"/>
              <w:rPr>
                <w:sz w:val="22"/>
                <w:szCs w:val="22"/>
              </w:rPr>
            </w:pPr>
          </w:p>
          <w:p w14:paraId="2FC44B3C" w14:textId="77777777" w:rsidR="005900E4" w:rsidRPr="001300A9" w:rsidRDefault="005900E4" w:rsidP="00357CEC">
            <w:pPr>
              <w:pStyle w:val="Default"/>
              <w:rPr>
                <w:sz w:val="22"/>
                <w:szCs w:val="22"/>
              </w:rPr>
            </w:pPr>
          </w:p>
          <w:p w14:paraId="1886F931" w14:textId="77777777" w:rsidR="005900E4" w:rsidRPr="001300A9" w:rsidRDefault="005900E4" w:rsidP="00357CEC">
            <w:pPr>
              <w:pStyle w:val="Default"/>
              <w:rPr>
                <w:sz w:val="22"/>
                <w:szCs w:val="22"/>
              </w:rPr>
            </w:pPr>
          </w:p>
          <w:p w14:paraId="0D128FB7" w14:textId="77777777" w:rsidR="005900E4" w:rsidRPr="001300A9" w:rsidRDefault="005900E4" w:rsidP="00357CEC">
            <w:pPr>
              <w:pStyle w:val="Default"/>
              <w:rPr>
                <w:sz w:val="22"/>
                <w:szCs w:val="22"/>
              </w:rPr>
            </w:pPr>
          </w:p>
          <w:p w14:paraId="1C201AD4" w14:textId="77777777" w:rsidR="005900E4" w:rsidRPr="001300A9" w:rsidRDefault="005900E4" w:rsidP="00357CEC">
            <w:pPr>
              <w:pStyle w:val="Default"/>
              <w:rPr>
                <w:sz w:val="22"/>
                <w:szCs w:val="22"/>
              </w:rPr>
            </w:pPr>
          </w:p>
          <w:p w14:paraId="16B1E519" w14:textId="77777777" w:rsidR="005900E4" w:rsidRPr="001300A9" w:rsidRDefault="005900E4" w:rsidP="00357CEC">
            <w:pPr>
              <w:pStyle w:val="Default"/>
              <w:rPr>
                <w:sz w:val="22"/>
                <w:szCs w:val="22"/>
              </w:rPr>
            </w:pPr>
          </w:p>
          <w:p w14:paraId="41AEBEC2" w14:textId="77777777" w:rsidR="005900E4" w:rsidRPr="001300A9" w:rsidRDefault="005900E4" w:rsidP="00357CEC">
            <w:pPr>
              <w:pStyle w:val="Default"/>
              <w:rPr>
                <w:sz w:val="22"/>
                <w:szCs w:val="22"/>
              </w:rPr>
            </w:pPr>
          </w:p>
          <w:p w14:paraId="67D8E7AC" w14:textId="77777777" w:rsidR="005900E4" w:rsidRPr="001300A9" w:rsidRDefault="005900E4" w:rsidP="00357CEC">
            <w:pPr>
              <w:pStyle w:val="Default"/>
              <w:rPr>
                <w:sz w:val="22"/>
                <w:szCs w:val="22"/>
              </w:rPr>
            </w:pPr>
          </w:p>
          <w:p w14:paraId="073CB177" w14:textId="77777777" w:rsidR="005900E4" w:rsidRPr="001300A9" w:rsidRDefault="005900E4" w:rsidP="00357CEC">
            <w:pPr>
              <w:pStyle w:val="Default"/>
              <w:rPr>
                <w:sz w:val="22"/>
                <w:szCs w:val="22"/>
              </w:rPr>
            </w:pPr>
          </w:p>
          <w:p w14:paraId="3E70DEFF" w14:textId="77777777" w:rsidR="005900E4" w:rsidRPr="001300A9" w:rsidRDefault="005900E4" w:rsidP="00357CEC">
            <w:pPr>
              <w:pStyle w:val="Default"/>
              <w:rPr>
                <w:sz w:val="22"/>
                <w:szCs w:val="22"/>
              </w:rPr>
            </w:pPr>
          </w:p>
          <w:p w14:paraId="0B27C265" w14:textId="77777777" w:rsidR="005900E4" w:rsidRPr="001300A9" w:rsidRDefault="005900E4" w:rsidP="00357CEC">
            <w:pPr>
              <w:pStyle w:val="Default"/>
              <w:rPr>
                <w:sz w:val="22"/>
                <w:szCs w:val="22"/>
              </w:rPr>
            </w:pPr>
          </w:p>
          <w:p w14:paraId="0F59436F" w14:textId="77777777" w:rsidR="005900E4" w:rsidRPr="001300A9" w:rsidRDefault="005900E4" w:rsidP="00357CEC">
            <w:pPr>
              <w:pStyle w:val="Default"/>
              <w:rPr>
                <w:sz w:val="22"/>
                <w:szCs w:val="22"/>
              </w:rPr>
            </w:pPr>
          </w:p>
          <w:p w14:paraId="6E7CA947" w14:textId="77777777" w:rsidR="005900E4" w:rsidRPr="001300A9" w:rsidRDefault="005900E4" w:rsidP="00357CEC">
            <w:pPr>
              <w:pStyle w:val="Default"/>
              <w:rPr>
                <w:sz w:val="22"/>
                <w:szCs w:val="22"/>
              </w:rPr>
            </w:pPr>
          </w:p>
          <w:p w14:paraId="3F76EC39" w14:textId="77777777" w:rsidR="005900E4" w:rsidRPr="001300A9" w:rsidRDefault="005900E4" w:rsidP="00357CEC">
            <w:pPr>
              <w:pStyle w:val="Default"/>
              <w:rPr>
                <w:sz w:val="22"/>
                <w:szCs w:val="22"/>
              </w:rPr>
            </w:pPr>
          </w:p>
          <w:p w14:paraId="5051220B" w14:textId="77777777" w:rsidR="005900E4" w:rsidRPr="001300A9" w:rsidRDefault="005900E4" w:rsidP="00357CEC">
            <w:pPr>
              <w:pStyle w:val="Default"/>
              <w:rPr>
                <w:sz w:val="22"/>
                <w:szCs w:val="22"/>
              </w:rPr>
            </w:pPr>
          </w:p>
          <w:p w14:paraId="5393E9F2" w14:textId="77777777" w:rsidR="005900E4" w:rsidRPr="001300A9" w:rsidRDefault="005900E4" w:rsidP="00357CEC">
            <w:pPr>
              <w:pStyle w:val="Default"/>
              <w:rPr>
                <w:sz w:val="22"/>
                <w:szCs w:val="22"/>
              </w:rPr>
            </w:pPr>
          </w:p>
          <w:p w14:paraId="6C82BC9B" w14:textId="77777777" w:rsidR="005900E4" w:rsidRPr="001300A9" w:rsidRDefault="005900E4" w:rsidP="00357CEC">
            <w:pPr>
              <w:pStyle w:val="Default"/>
              <w:rPr>
                <w:sz w:val="22"/>
                <w:szCs w:val="22"/>
              </w:rPr>
            </w:pPr>
          </w:p>
          <w:p w14:paraId="6E8A8263" w14:textId="77777777" w:rsidR="005900E4" w:rsidRPr="001300A9" w:rsidRDefault="005900E4" w:rsidP="00357CEC">
            <w:pPr>
              <w:pStyle w:val="Default"/>
              <w:rPr>
                <w:sz w:val="22"/>
                <w:szCs w:val="22"/>
              </w:rPr>
            </w:pPr>
          </w:p>
          <w:p w14:paraId="52B90860" w14:textId="77777777" w:rsidR="005900E4" w:rsidRPr="001300A9" w:rsidRDefault="005900E4" w:rsidP="00357CEC">
            <w:pPr>
              <w:pStyle w:val="Default"/>
              <w:rPr>
                <w:sz w:val="22"/>
                <w:szCs w:val="22"/>
              </w:rPr>
            </w:pPr>
          </w:p>
          <w:p w14:paraId="1F8320D2" w14:textId="77777777" w:rsidR="005900E4" w:rsidRPr="001300A9" w:rsidRDefault="005900E4" w:rsidP="00357CEC">
            <w:pPr>
              <w:pStyle w:val="Default"/>
              <w:rPr>
                <w:sz w:val="22"/>
                <w:szCs w:val="22"/>
              </w:rPr>
            </w:pPr>
          </w:p>
          <w:p w14:paraId="048ED8E2" w14:textId="77777777" w:rsidR="005900E4" w:rsidRPr="001300A9" w:rsidRDefault="005900E4" w:rsidP="00357CEC">
            <w:pPr>
              <w:pStyle w:val="Default"/>
              <w:rPr>
                <w:sz w:val="22"/>
                <w:szCs w:val="22"/>
              </w:rPr>
            </w:pPr>
          </w:p>
          <w:p w14:paraId="7722F93D" w14:textId="77777777" w:rsidR="005900E4" w:rsidRPr="001300A9" w:rsidRDefault="005900E4" w:rsidP="00357CEC">
            <w:pPr>
              <w:pStyle w:val="Default"/>
              <w:rPr>
                <w:sz w:val="22"/>
                <w:szCs w:val="22"/>
              </w:rPr>
            </w:pPr>
          </w:p>
          <w:p w14:paraId="13C0A0A2" w14:textId="77777777" w:rsidR="005900E4" w:rsidRPr="001300A9" w:rsidRDefault="005900E4" w:rsidP="00357CEC">
            <w:pPr>
              <w:pStyle w:val="Default"/>
              <w:rPr>
                <w:sz w:val="22"/>
                <w:szCs w:val="22"/>
              </w:rPr>
            </w:pPr>
          </w:p>
          <w:p w14:paraId="5FDF29E9" w14:textId="77777777" w:rsidR="005900E4" w:rsidRPr="001300A9" w:rsidRDefault="005900E4" w:rsidP="00357CEC">
            <w:pPr>
              <w:pStyle w:val="Default"/>
              <w:rPr>
                <w:sz w:val="22"/>
                <w:szCs w:val="22"/>
              </w:rPr>
            </w:pPr>
          </w:p>
          <w:p w14:paraId="0F57BF4A" w14:textId="77777777" w:rsidR="005900E4" w:rsidRPr="001300A9" w:rsidRDefault="005900E4" w:rsidP="00357CEC">
            <w:pPr>
              <w:pStyle w:val="Default"/>
              <w:rPr>
                <w:sz w:val="22"/>
                <w:szCs w:val="22"/>
              </w:rPr>
            </w:pPr>
          </w:p>
          <w:p w14:paraId="34524616" w14:textId="77777777" w:rsidR="005900E4" w:rsidRPr="001300A9" w:rsidRDefault="005900E4" w:rsidP="00357CEC">
            <w:pPr>
              <w:pStyle w:val="Default"/>
              <w:rPr>
                <w:sz w:val="22"/>
                <w:szCs w:val="22"/>
              </w:rPr>
            </w:pPr>
          </w:p>
          <w:p w14:paraId="5357896A" w14:textId="77777777" w:rsidR="005900E4" w:rsidRPr="001300A9" w:rsidRDefault="005900E4" w:rsidP="00357CEC">
            <w:pPr>
              <w:pStyle w:val="Default"/>
              <w:rPr>
                <w:sz w:val="22"/>
                <w:szCs w:val="22"/>
              </w:rPr>
            </w:pPr>
          </w:p>
          <w:p w14:paraId="603F9607" w14:textId="77777777" w:rsidR="005900E4" w:rsidRPr="001300A9" w:rsidRDefault="005900E4" w:rsidP="00357CEC">
            <w:pPr>
              <w:pStyle w:val="Default"/>
              <w:rPr>
                <w:sz w:val="22"/>
                <w:szCs w:val="22"/>
              </w:rPr>
            </w:pPr>
          </w:p>
          <w:p w14:paraId="026B6150" w14:textId="77777777" w:rsidR="005900E4" w:rsidRPr="001300A9" w:rsidRDefault="005900E4" w:rsidP="00357CEC">
            <w:pPr>
              <w:pStyle w:val="Default"/>
              <w:rPr>
                <w:sz w:val="22"/>
                <w:szCs w:val="22"/>
              </w:rPr>
            </w:pPr>
          </w:p>
          <w:p w14:paraId="6C80FA93" w14:textId="77777777" w:rsidR="005900E4" w:rsidRPr="001300A9" w:rsidRDefault="005900E4" w:rsidP="00357CEC">
            <w:pPr>
              <w:pStyle w:val="Default"/>
              <w:rPr>
                <w:sz w:val="22"/>
                <w:szCs w:val="22"/>
              </w:rPr>
            </w:pPr>
          </w:p>
          <w:p w14:paraId="2B19C24E" w14:textId="77777777" w:rsidR="005900E4" w:rsidRPr="001300A9" w:rsidRDefault="005900E4" w:rsidP="00357CEC">
            <w:pPr>
              <w:pStyle w:val="Default"/>
              <w:rPr>
                <w:sz w:val="22"/>
                <w:szCs w:val="22"/>
              </w:rPr>
            </w:pPr>
          </w:p>
          <w:p w14:paraId="16400048" w14:textId="77777777" w:rsidR="005900E4" w:rsidRPr="001300A9" w:rsidRDefault="005900E4" w:rsidP="00357CEC">
            <w:pPr>
              <w:pStyle w:val="Default"/>
              <w:rPr>
                <w:sz w:val="22"/>
                <w:szCs w:val="22"/>
              </w:rPr>
            </w:pPr>
          </w:p>
          <w:p w14:paraId="30578ABF" w14:textId="77777777" w:rsidR="005900E4" w:rsidRPr="001300A9" w:rsidRDefault="005900E4" w:rsidP="00357CEC">
            <w:pPr>
              <w:pStyle w:val="Default"/>
              <w:rPr>
                <w:sz w:val="22"/>
                <w:szCs w:val="22"/>
              </w:rPr>
            </w:pPr>
          </w:p>
          <w:p w14:paraId="29728AE5" w14:textId="77777777" w:rsidR="005900E4" w:rsidRPr="001300A9" w:rsidRDefault="005900E4" w:rsidP="00357CEC">
            <w:pPr>
              <w:pStyle w:val="Default"/>
              <w:rPr>
                <w:sz w:val="22"/>
                <w:szCs w:val="22"/>
              </w:rPr>
            </w:pPr>
          </w:p>
          <w:p w14:paraId="2A472DF0" w14:textId="77777777" w:rsidR="005900E4" w:rsidRPr="001300A9" w:rsidRDefault="005900E4" w:rsidP="00357CEC">
            <w:pPr>
              <w:pStyle w:val="Default"/>
              <w:rPr>
                <w:sz w:val="22"/>
                <w:szCs w:val="22"/>
              </w:rPr>
            </w:pPr>
          </w:p>
          <w:p w14:paraId="07BA1341" w14:textId="77777777" w:rsidR="005900E4" w:rsidRPr="001300A9" w:rsidRDefault="005900E4" w:rsidP="00357CEC">
            <w:pPr>
              <w:pStyle w:val="Default"/>
              <w:rPr>
                <w:sz w:val="22"/>
                <w:szCs w:val="22"/>
              </w:rPr>
            </w:pPr>
          </w:p>
          <w:p w14:paraId="08814789" w14:textId="77777777" w:rsidR="005900E4" w:rsidRPr="001300A9" w:rsidRDefault="005900E4" w:rsidP="00357CEC">
            <w:pPr>
              <w:pStyle w:val="Default"/>
              <w:rPr>
                <w:sz w:val="22"/>
                <w:szCs w:val="22"/>
              </w:rPr>
            </w:pPr>
          </w:p>
          <w:p w14:paraId="62A1F89B" w14:textId="77777777" w:rsidR="005900E4" w:rsidRPr="001300A9" w:rsidRDefault="005900E4" w:rsidP="00357CEC">
            <w:pPr>
              <w:pStyle w:val="Default"/>
              <w:rPr>
                <w:sz w:val="22"/>
                <w:szCs w:val="22"/>
              </w:rPr>
            </w:pPr>
          </w:p>
          <w:p w14:paraId="7ACB4818" w14:textId="77777777" w:rsidR="005900E4" w:rsidRPr="001300A9" w:rsidRDefault="005900E4" w:rsidP="00357CEC">
            <w:pPr>
              <w:pStyle w:val="Default"/>
              <w:rPr>
                <w:sz w:val="22"/>
                <w:szCs w:val="22"/>
              </w:rPr>
            </w:pPr>
          </w:p>
          <w:p w14:paraId="6399AF3C" w14:textId="77777777" w:rsidR="005900E4" w:rsidRPr="001300A9" w:rsidRDefault="005900E4" w:rsidP="00357CEC">
            <w:pPr>
              <w:pStyle w:val="Default"/>
              <w:rPr>
                <w:sz w:val="22"/>
                <w:szCs w:val="22"/>
              </w:rPr>
            </w:pPr>
          </w:p>
          <w:p w14:paraId="19E48E01" w14:textId="77777777" w:rsidR="005900E4" w:rsidRPr="001300A9" w:rsidRDefault="005900E4" w:rsidP="00357CEC">
            <w:pPr>
              <w:pStyle w:val="Default"/>
              <w:rPr>
                <w:sz w:val="22"/>
                <w:szCs w:val="22"/>
              </w:rPr>
            </w:pPr>
          </w:p>
          <w:p w14:paraId="702883D8" w14:textId="77777777" w:rsidR="005900E4" w:rsidRPr="001300A9" w:rsidRDefault="005900E4" w:rsidP="00357CEC">
            <w:pPr>
              <w:pStyle w:val="Default"/>
              <w:rPr>
                <w:sz w:val="22"/>
                <w:szCs w:val="22"/>
              </w:rPr>
            </w:pPr>
          </w:p>
          <w:p w14:paraId="5D56DA3F" w14:textId="77777777" w:rsidR="005900E4" w:rsidRPr="001300A9" w:rsidRDefault="005900E4" w:rsidP="00357CEC">
            <w:pPr>
              <w:pStyle w:val="Default"/>
              <w:rPr>
                <w:sz w:val="22"/>
                <w:szCs w:val="22"/>
              </w:rPr>
            </w:pPr>
          </w:p>
          <w:p w14:paraId="67FF8890" w14:textId="77777777" w:rsidR="005900E4" w:rsidRPr="001300A9" w:rsidRDefault="005900E4" w:rsidP="00357CEC">
            <w:pPr>
              <w:pStyle w:val="Default"/>
              <w:rPr>
                <w:sz w:val="22"/>
                <w:szCs w:val="22"/>
              </w:rPr>
            </w:pPr>
          </w:p>
          <w:p w14:paraId="5126E8CF" w14:textId="77777777" w:rsidR="005900E4" w:rsidRPr="001300A9" w:rsidRDefault="005900E4" w:rsidP="00357CEC">
            <w:pPr>
              <w:pStyle w:val="Default"/>
              <w:rPr>
                <w:sz w:val="22"/>
                <w:szCs w:val="22"/>
              </w:rPr>
            </w:pPr>
          </w:p>
          <w:p w14:paraId="5CBE27A3" w14:textId="77777777" w:rsidR="005900E4" w:rsidRPr="001300A9" w:rsidRDefault="005900E4" w:rsidP="00357CEC">
            <w:pPr>
              <w:pStyle w:val="Default"/>
              <w:rPr>
                <w:sz w:val="22"/>
                <w:szCs w:val="22"/>
              </w:rPr>
            </w:pPr>
          </w:p>
          <w:p w14:paraId="06037B46" w14:textId="77777777" w:rsidR="005900E4" w:rsidRPr="001300A9" w:rsidRDefault="005900E4" w:rsidP="00357CEC">
            <w:pPr>
              <w:pStyle w:val="Default"/>
              <w:rPr>
                <w:sz w:val="22"/>
                <w:szCs w:val="22"/>
              </w:rPr>
            </w:pPr>
          </w:p>
          <w:p w14:paraId="4E9CE4DA" w14:textId="77777777" w:rsidR="005900E4" w:rsidRPr="001300A9" w:rsidRDefault="005900E4" w:rsidP="00357CEC">
            <w:pPr>
              <w:pStyle w:val="Default"/>
              <w:rPr>
                <w:sz w:val="22"/>
                <w:szCs w:val="22"/>
              </w:rPr>
            </w:pPr>
          </w:p>
          <w:p w14:paraId="7404506A" w14:textId="77777777" w:rsidR="005900E4" w:rsidRPr="001300A9" w:rsidRDefault="005900E4" w:rsidP="00357CEC">
            <w:pPr>
              <w:pStyle w:val="Default"/>
              <w:rPr>
                <w:sz w:val="22"/>
                <w:szCs w:val="22"/>
              </w:rPr>
            </w:pPr>
          </w:p>
          <w:p w14:paraId="648DEED0" w14:textId="77777777" w:rsidR="005900E4" w:rsidRPr="001300A9" w:rsidRDefault="005900E4" w:rsidP="00357CEC">
            <w:pPr>
              <w:pStyle w:val="Default"/>
              <w:rPr>
                <w:sz w:val="22"/>
                <w:szCs w:val="22"/>
              </w:rPr>
            </w:pPr>
          </w:p>
          <w:p w14:paraId="340F8897" w14:textId="77777777" w:rsidR="005900E4" w:rsidRPr="001300A9" w:rsidRDefault="005900E4" w:rsidP="00357CEC">
            <w:pPr>
              <w:pStyle w:val="Default"/>
              <w:rPr>
                <w:sz w:val="22"/>
                <w:szCs w:val="22"/>
              </w:rPr>
            </w:pPr>
          </w:p>
          <w:p w14:paraId="52F7D954" w14:textId="77777777" w:rsidR="005900E4" w:rsidRPr="001300A9" w:rsidRDefault="005900E4" w:rsidP="00357CEC">
            <w:pPr>
              <w:pStyle w:val="Default"/>
              <w:rPr>
                <w:sz w:val="22"/>
                <w:szCs w:val="22"/>
              </w:rPr>
            </w:pPr>
          </w:p>
          <w:p w14:paraId="09594881" w14:textId="77777777" w:rsidR="005900E4" w:rsidRPr="001300A9" w:rsidRDefault="005900E4" w:rsidP="00357CEC">
            <w:pPr>
              <w:pStyle w:val="Default"/>
              <w:rPr>
                <w:sz w:val="22"/>
                <w:szCs w:val="22"/>
              </w:rPr>
            </w:pPr>
          </w:p>
          <w:p w14:paraId="413F404D" w14:textId="77777777" w:rsidR="005900E4" w:rsidRPr="001300A9" w:rsidRDefault="005900E4" w:rsidP="00357CEC">
            <w:pPr>
              <w:pStyle w:val="Default"/>
              <w:rPr>
                <w:sz w:val="22"/>
                <w:szCs w:val="22"/>
              </w:rPr>
            </w:pPr>
          </w:p>
          <w:p w14:paraId="32928FBB" w14:textId="77777777" w:rsidR="005900E4" w:rsidRPr="001300A9" w:rsidRDefault="005900E4" w:rsidP="00357CEC">
            <w:pPr>
              <w:pStyle w:val="Default"/>
              <w:rPr>
                <w:sz w:val="22"/>
                <w:szCs w:val="22"/>
              </w:rPr>
            </w:pPr>
          </w:p>
          <w:p w14:paraId="3BA0D6E5" w14:textId="77777777" w:rsidR="005900E4" w:rsidRPr="001300A9" w:rsidRDefault="005900E4" w:rsidP="00357CEC">
            <w:pPr>
              <w:pStyle w:val="Default"/>
              <w:rPr>
                <w:sz w:val="22"/>
                <w:szCs w:val="22"/>
              </w:rPr>
            </w:pPr>
          </w:p>
          <w:p w14:paraId="2460E07E" w14:textId="77777777" w:rsidR="005900E4" w:rsidRPr="001300A9" w:rsidRDefault="005900E4" w:rsidP="00357CEC">
            <w:pPr>
              <w:pStyle w:val="Default"/>
              <w:rPr>
                <w:sz w:val="22"/>
                <w:szCs w:val="22"/>
              </w:rPr>
            </w:pPr>
          </w:p>
          <w:p w14:paraId="3390F853" w14:textId="77777777" w:rsidR="005900E4" w:rsidRPr="001300A9" w:rsidRDefault="005900E4" w:rsidP="00357CEC">
            <w:pPr>
              <w:pStyle w:val="Default"/>
              <w:rPr>
                <w:sz w:val="22"/>
                <w:szCs w:val="22"/>
              </w:rPr>
            </w:pPr>
          </w:p>
          <w:p w14:paraId="5B93449E" w14:textId="77777777" w:rsidR="005900E4" w:rsidRPr="001300A9" w:rsidRDefault="005900E4" w:rsidP="00357CEC">
            <w:pPr>
              <w:pStyle w:val="Default"/>
              <w:rPr>
                <w:sz w:val="22"/>
                <w:szCs w:val="22"/>
              </w:rPr>
            </w:pPr>
          </w:p>
          <w:p w14:paraId="3BBC51A4" w14:textId="77777777" w:rsidR="005900E4" w:rsidRPr="001300A9" w:rsidRDefault="005900E4" w:rsidP="00357CEC">
            <w:pPr>
              <w:pStyle w:val="Default"/>
              <w:rPr>
                <w:sz w:val="22"/>
                <w:szCs w:val="22"/>
              </w:rPr>
            </w:pPr>
          </w:p>
          <w:p w14:paraId="4294DE2A" w14:textId="77777777" w:rsidR="005900E4" w:rsidRPr="001300A9" w:rsidRDefault="005900E4" w:rsidP="00357CEC">
            <w:pPr>
              <w:pStyle w:val="Default"/>
              <w:rPr>
                <w:sz w:val="22"/>
                <w:szCs w:val="22"/>
              </w:rPr>
            </w:pPr>
          </w:p>
          <w:p w14:paraId="641BC613" w14:textId="77777777" w:rsidR="005900E4" w:rsidRPr="001300A9" w:rsidRDefault="005900E4" w:rsidP="00357CEC">
            <w:pPr>
              <w:pStyle w:val="Default"/>
              <w:rPr>
                <w:sz w:val="22"/>
                <w:szCs w:val="22"/>
              </w:rPr>
            </w:pPr>
          </w:p>
          <w:p w14:paraId="188AB86C" w14:textId="77777777" w:rsidR="005900E4" w:rsidRPr="001300A9" w:rsidRDefault="005900E4" w:rsidP="00357CEC">
            <w:pPr>
              <w:pStyle w:val="Default"/>
              <w:rPr>
                <w:sz w:val="22"/>
                <w:szCs w:val="22"/>
              </w:rPr>
            </w:pPr>
          </w:p>
          <w:p w14:paraId="1CD1C1D5" w14:textId="77777777" w:rsidR="005900E4" w:rsidRPr="001300A9" w:rsidRDefault="005900E4" w:rsidP="00357CEC">
            <w:pPr>
              <w:pStyle w:val="Default"/>
              <w:rPr>
                <w:sz w:val="22"/>
                <w:szCs w:val="22"/>
              </w:rPr>
            </w:pPr>
          </w:p>
          <w:p w14:paraId="3605BD81" w14:textId="77777777" w:rsidR="005900E4" w:rsidRPr="001300A9" w:rsidRDefault="005900E4" w:rsidP="00357CEC">
            <w:pPr>
              <w:pStyle w:val="Default"/>
              <w:rPr>
                <w:sz w:val="22"/>
                <w:szCs w:val="22"/>
              </w:rPr>
            </w:pPr>
          </w:p>
          <w:p w14:paraId="1543CF63" w14:textId="77777777" w:rsidR="005900E4" w:rsidRPr="001300A9" w:rsidRDefault="005900E4" w:rsidP="00357CEC">
            <w:pPr>
              <w:pStyle w:val="Default"/>
              <w:rPr>
                <w:sz w:val="22"/>
                <w:szCs w:val="22"/>
              </w:rPr>
            </w:pPr>
          </w:p>
          <w:p w14:paraId="411CE357" w14:textId="7B2556C3" w:rsidR="005900E4" w:rsidRPr="001300A9" w:rsidRDefault="005900E4" w:rsidP="00357CEC">
            <w:pPr>
              <w:pStyle w:val="Default"/>
              <w:rPr>
                <w:sz w:val="22"/>
                <w:szCs w:val="22"/>
              </w:rPr>
            </w:pPr>
          </w:p>
          <w:p w14:paraId="4C1330CA" w14:textId="751BDF1F" w:rsidR="0006236A" w:rsidRDefault="0006236A" w:rsidP="00357CEC">
            <w:pPr>
              <w:pStyle w:val="Default"/>
              <w:rPr>
                <w:sz w:val="22"/>
                <w:szCs w:val="22"/>
              </w:rPr>
            </w:pPr>
          </w:p>
          <w:p w14:paraId="3B3BBE23" w14:textId="5EF85554" w:rsidR="4792BE4F" w:rsidRDefault="4792BE4F" w:rsidP="4792BE4F">
            <w:pPr>
              <w:pStyle w:val="Default"/>
              <w:rPr>
                <w:sz w:val="22"/>
                <w:szCs w:val="22"/>
              </w:rPr>
            </w:pPr>
          </w:p>
          <w:p w14:paraId="47010958" w14:textId="2F451989" w:rsidR="4792BE4F" w:rsidRDefault="4792BE4F" w:rsidP="4792BE4F">
            <w:pPr>
              <w:pStyle w:val="Default"/>
              <w:rPr>
                <w:sz w:val="22"/>
                <w:szCs w:val="22"/>
              </w:rPr>
            </w:pPr>
          </w:p>
          <w:p w14:paraId="0C4A4B9D" w14:textId="32038507" w:rsidR="005900E4" w:rsidRPr="001300A9" w:rsidRDefault="005900E4" w:rsidP="00357CEC">
            <w:pPr>
              <w:pStyle w:val="Default"/>
              <w:rPr>
                <w:sz w:val="22"/>
                <w:szCs w:val="22"/>
              </w:rPr>
            </w:pPr>
            <w:r w:rsidRPr="001300A9">
              <w:rPr>
                <w:sz w:val="22"/>
                <w:szCs w:val="22"/>
              </w:rPr>
              <w:t>Ú</w:t>
            </w:r>
          </w:p>
          <w:p w14:paraId="194372B2" w14:textId="77777777" w:rsidR="003237A8" w:rsidRPr="001300A9" w:rsidRDefault="003237A8" w:rsidP="00357CEC">
            <w:pPr>
              <w:pStyle w:val="Default"/>
              <w:rPr>
                <w:sz w:val="22"/>
                <w:szCs w:val="22"/>
              </w:rPr>
            </w:pPr>
          </w:p>
          <w:p w14:paraId="4B93D408" w14:textId="77777777" w:rsidR="003237A8" w:rsidRPr="001300A9" w:rsidRDefault="003237A8" w:rsidP="00357CEC">
            <w:pPr>
              <w:pStyle w:val="Default"/>
              <w:rPr>
                <w:sz w:val="22"/>
                <w:szCs w:val="22"/>
              </w:rPr>
            </w:pPr>
          </w:p>
          <w:p w14:paraId="013A07AF" w14:textId="77777777" w:rsidR="003237A8" w:rsidRPr="001300A9" w:rsidRDefault="003237A8" w:rsidP="00357CEC">
            <w:pPr>
              <w:pStyle w:val="Default"/>
              <w:rPr>
                <w:sz w:val="22"/>
                <w:szCs w:val="22"/>
              </w:rPr>
            </w:pPr>
          </w:p>
          <w:p w14:paraId="2A4570B5" w14:textId="77777777" w:rsidR="003237A8" w:rsidRPr="001300A9" w:rsidRDefault="003237A8" w:rsidP="00357CEC">
            <w:pPr>
              <w:pStyle w:val="Default"/>
              <w:rPr>
                <w:sz w:val="22"/>
                <w:szCs w:val="22"/>
              </w:rPr>
            </w:pPr>
          </w:p>
          <w:p w14:paraId="4501A912" w14:textId="77777777" w:rsidR="003237A8" w:rsidRPr="001300A9" w:rsidRDefault="003237A8" w:rsidP="00357CEC">
            <w:pPr>
              <w:pStyle w:val="Default"/>
              <w:rPr>
                <w:sz w:val="22"/>
                <w:szCs w:val="22"/>
              </w:rPr>
            </w:pPr>
          </w:p>
          <w:p w14:paraId="6BBFEA4C" w14:textId="77777777" w:rsidR="003237A8" w:rsidRPr="001300A9" w:rsidRDefault="003237A8" w:rsidP="00357CEC">
            <w:pPr>
              <w:pStyle w:val="Default"/>
              <w:rPr>
                <w:sz w:val="22"/>
                <w:szCs w:val="22"/>
              </w:rPr>
            </w:pPr>
          </w:p>
          <w:p w14:paraId="3C8C442B" w14:textId="77777777" w:rsidR="003237A8" w:rsidRPr="001300A9" w:rsidRDefault="003237A8" w:rsidP="00357CEC">
            <w:pPr>
              <w:pStyle w:val="Default"/>
              <w:rPr>
                <w:sz w:val="22"/>
                <w:szCs w:val="22"/>
              </w:rPr>
            </w:pPr>
          </w:p>
          <w:p w14:paraId="6C200873" w14:textId="77777777" w:rsidR="003237A8" w:rsidRPr="001300A9" w:rsidRDefault="003237A8" w:rsidP="00357CEC">
            <w:pPr>
              <w:pStyle w:val="Default"/>
              <w:rPr>
                <w:sz w:val="22"/>
                <w:szCs w:val="22"/>
              </w:rPr>
            </w:pPr>
          </w:p>
          <w:p w14:paraId="23F11406" w14:textId="77777777" w:rsidR="003237A8" w:rsidRPr="001300A9" w:rsidRDefault="003237A8" w:rsidP="00357CEC">
            <w:pPr>
              <w:pStyle w:val="Default"/>
              <w:rPr>
                <w:sz w:val="22"/>
                <w:szCs w:val="22"/>
              </w:rPr>
            </w:pPr>
          </w:p>
          <w:p w14:paraId="7299E18D" w14:textId="77777777" w:rsidR="003237A8" w:rsidRPr="001300A9" w:rsidRDefault="003237A8" w:rsidP="00357CEC">
            <w:pPr>
              <w:pStyle w:val="Default"/>
              <w:rPr>
                <w:sz w:val="22"/>
                <w:szCs w:val="22"/>
              </w:rPr>
            </w:pPr>
          </w:p>
          <w:p w14:paraId="146EC0FB" w14:textId="77777777" w:rsidR="003237A8" w:rsidRPr="001300A9" w:rsidRDefault="003237A8" w:rsidP="00357CEC">
            <w:pPr>
              <w:pStyle w:val="Default"/>
              <w:rPr>
                <w:sz w:val="22"/>
                <w:szCs w:val="22"/>
              </w:rPr>
            </w:pPr>
          </w:p>
          <w:p w14:paraId="77EE203E" w14:textId="77777777" w:rsidR="003237A8" w:rsidRPr="001300A9" w:rsidRDefault="003237A8" w:rsidP="00357CEC">
            <w:pPr>
              <w:pStyle w:val="Default"/>
              <w:rPr>
                <w:sz w:val="22"/>
                <w:szCs w:val="22"/>
              </w:rPr>
            </w:pPr>
          </w:p>
          <w:p w14:paraId="0557DA2C" w14:textId="77777777" w:rsidR="003237A8" w:rsidRPr="001300A9" w:rsidRDefault="003237A8" w:rsidP="00357CEC">
            <w:pPr>
              <w:pStyle w:val="Default"/>
              <w:rPr>
                <w:sz w:val="22"/>
                <w:szCs w:val="22"/>
              </w:rPr>
            </w:pPr>
          </w:p>
          <w:p w14:paraId="16596FFA" w14:textId="77777777" w:rsidR="003237A8" w:rsidRPr="001300A9" w:rsidRDefault="003237A8" w:rsidP="00357CEC">
            <w:pPr>
              <w:pStyle w:val="Default"/>
              <w:rPr>
                <w:sz w:val="22"/>
                <w:szCs w:val="22"/>
              </w:rPr>
            </w:pPr>
          </w:p>
          <w:p w14:paraId="002980D2" w14:textId="77777777" w:rsidR="003237A8" w:rsidRPr="001300A9" w:rsidRDefault="003237A8" w:rsidP="00357CEC">
            <w:pPr>
              <w:pStyle w:val="Default"/>
              <w:rPr>
                <w:sz w:val="22"/>
                <w:szCs w:val="22"/>
              </w:rPr>
            </w:pPr>
          </w:p>
          <w:p w14:paraId="533FB834" w14:textId="77777777" w:rsidR="003237A8" w:rsidRPr="001300A9" w:rsidRDefault="003237A8" w:rsidP="00357CEC">
            <w:pPr>
              <w:pStyle w:val="Default"/>
              <w:rPr>
                <w:sz w:val="22"/>
                <w:szCs w:val="22"/>
              </w:rPr>
            </w:pPr>
          </w:p>
          <w:p w14:paraId="4E8A7A68" w14:textId="77777777" w:rsidR="003237A8" w:rsidRPr="001300A9" w:rsidRDefault="003237A8" w:rsidP="00357CEC">
            <w:pPr>
              <w:pStyle w:val="Default"/>
              <w:rPr>
                <w:sz w:val="22"/>
                <w:szCs w:val="22"/>
              </w:rPr>
            </w:pPr>
          </w:p>
          <w:p w14:paraId="3186D601" w14:textId="77777777" w:rsidR="003237A8" w:rsidRPr="001300A9" w:rsidRDefault="003237A8" w:rsidP="00357CEC">
            <w:pPr>
              <w:pStyle w:val="Default"/>
              <w:rPr>
                <w:sz w:val="22"/>
                <w:szCs w:val="22"/>
              </w:rPr>
            </w:pPr>
          </w:p>
          <w:p w14:paraId="1CCC9F42" w14:textId="17F14056" w:rsidR="003237A8" w:rsidRPr="001300A9" w:rsidRDefault="003237A8" w:rsidP="00357CEC">
            <w:pPr>
              <w:pStyle w:val="Default"/>
              <w:rPr>
                <w:sz w:val="22"/>
                <w:szCs w:val="22"/>
              </w:rPr>
            </w:pPr>
          </w:p>
          <w:p w14:paraId="1D3DDB11" w14:textId="77777777" w:rsidR="001166A4" w:rsidRPr="001300A9" w:rsidRDefault="001166A4" w:rsidP="00357CEC">
            <w:pPr>
              <w:pStyle w:val="Default"/>
              <w:rPr>
                <w:sz w:val="22"/>
                <w:szCs w:val="22"/>
              </w:rPr>
            </w:pPr>
          </w:p>
          <w:p w14:paraId="1DFD8100" w14:textId="2023D800" w:rsidR="21A61628" w:rsidRDefault="21A61628" w:rsidP="21A61628">
            <w:pPr>
              <w:pStyle w:val="Default"/>
              <w:rPr>
                <w:sz w:val="22"/>
                <w:szCs w:val="22"/>
              </w:rPr>
            </w:pPr>
          </w:p>
          <w:p w14:paraId="13070FC2" w14:textId="0B47330B" w:rsidR="003237A8" w:rsidRPr="001300A9" w:rsidRDefault="003237A8" w:rsidP="00357CEC">
            <w:pPr>
              <w:pStyle w:val="Default"/>
              <w:rPr>
                <w:sz w:val="22"/>
                <w:szCs w:val="22"/>
              </w:rPr>
            </w:pPr>
            <w:r w:rsidRPr="001300A9">
              <w:rPr>
                <w:sz w:val="22"/>
                <w:szCs w:val="22"/>
              </w:rPr>
              <w:t>Ú</w:t>
            </w:r>
          </w:p>
          <w:p w14:paraId="10F44ACA" w14:textId="77777777" w:rsidR="003237A8" w:rsidRPr="001300A9" w:rsidRDefault="003237A8" w:rsidP="00357CEC">
            <w:pPr>
              <w:pStyle w:val="Default"/>
              <w:rPr>
                <w:sz w:val="22"/>
                <w:szCs w:val="22"/>
              </w:rPr>
            </w:pPr>
          </w:p>
          <w:p w14:paraId="06E5DB89" w14:textId="77777777" w:rsidR="003237A8" w:rsidRPr="001300A9" w:rsidRDefault="003237A8" w:rsidP="00357CEC">
            <w:pPr>
              <w:pStyle w:val="Default"/>
              <w:rPr>
                <w:sz w:val="22"/>
                <w:szCs w:val="22"/>
              </w:rPr>
            </w:pPr>
          </w:p>
          <w:p w14:paraId="3B23DA6E" w14:textId="77777777" w:rsidR="003237A8" w:rsidRPr="001300A9" w:rsidRDefault="003237A8" w:rsidP="00357CEC">
            <w:pPr>
              <w:pStyle w:val="Default"/>
              <w:rPr>
                <w:sz w:val="22"/>
                <w:szCs w:val="22"/>
              </w:rPr>
            </w:pPr>
          </w:p>
          <w:p w14:paraId="697F889F" w14:textId="77777777" w:rsidR="003237A8" w:rsidRPr="001300A9" w:rsidRDefault="003237A8" w:rsidP="00357CEC">
            <w:pPr>
              <w:pStyle w:val="Default"/>
              <w:rPr>
                <w:sz w:val="22"/>
                <w:szCs w:val="22"/>
              </w:rPr>
            </w:pPr>
          </w:p>
          <w:p w14:paraId="5CA933B8" w14:textId="77777777" w:rsidR="003237A8" w:rsidRPr="001300A9" w:rsidRDefault="003237A8" w:rsidP="00357CEC">
            <w:pPr>
              <w:pStyle w:val="Default"/>
              <w:rPr>
                <w:sz w:val="22"/>
                <w:szCs w:val="22"/>
              </w:rPr>
            </w:pPr>
          </w:p>
          <w:p w14:paraId="623212A0" w14:textId="77777777" w:rsidR="003237A8" w:rsidRPr="001300A9" w:rsidRDefault="003237A8" w:rsidP="00357CEC">
            <w:pPr>
              <w:pStyle w:val="Default"/>
              <w:rPr>
                <w:sz w:val="22"/>
                <w:szCs w:val="22"/>
              </w:rPr>
            </w:pPr>
          </w:p>
          <w:p w14:paraId="36017CD6" w14:textId="77777777" w:rsidR="003237A8" w:rsidRPr="001300A9" w:rsidRDefault="003237A8" w:rsidP="00357CEC">
            <w:pPr>
              <w:pStyle w:val="Default"/>
              <w:rPr>
                <w:sz w:val="22"/>
                <w:szCs w:val="22"/>
              </w:rPr>
            </w:pPr>
          </w:p>
          <w:p w14:paraId="721EE91E" w14:textId="77777777" w:rsidR="003237A8" w:rsidRPr="001300A9" w:rsidRDefault="003237A8" w:rsidP="00357CEC">
            <w:pPr>
              <w:pStyle w:val="Default"/>
              <w:rPr>
                <w:sz w:val="22"/>
                <w:szCs w:val="22"/>
              </w:rPr>
            </w:pPr>
          </w:p>
          <w:p w14:paraId="169D8526" w14:textId="54D4CB89" w:rsidR="21A61628" w:rsidRDefault="21A61628" w:rsidP="21A61628">
            <w:pPr>
              <w:pStyle w:val="Default"/>
              <w:rPr>
                <w:sz w:val="22"/>
                <w:szCs w:val="22"/>
              </w:rPr>
            </w:pPr>
          </w:p>
          <w:p w14:paraId="02911E71" w14:textId="77777777" w:rsidR="00097813" w:rsidRDefault="00097813" w:rsidP="21A61628">
            <w:pPr>
              <w:pStyle w:val="Default"/>
              <w:rPr>
                <w:sz w:val="22"/>
                <w:szCs w:val="22"/>
              </w:rPr>
            </w:pPr>
          </w:p>
          <w:p w14:paraId="293A3847" w14:textId="1BEC55AB" w:rsidR="4792BE4F" w:rsidRDefault="4792BE4F" w:rsidP="4792BE4F">
            <w:pPr>
              <w:pStyle w:val="Default"/>
              <w:rPr>
                <w:sz w:val="22"/>
                <w:szCs w:val="22"/>
              </w:rPr>
            </w:pPr>
          </w:p>
          <w:p w14:paraId="25C917BD" w14:textId="09C5B844" w:rsidR="4792BE4F" w:rsidRDefault="4792BE4F" w:rsidP="4792BE4F">
            <w:pPr>
              <w:pStyle w:val="Default"/>
              <w:rPr>
                <w:sz w:val="22"/>
                <w:szCs w:val="22"/>
              </w:rPr>
            </w:pPr>
          </w:p>
          <w:p w14:paraId="655D6E04" w14:textId="77777777" w:rsidR="003237A8" w:rsidRPr="001300A9" w:rsidRDefault="003237A8" w:rsidP="00357CEC">
            <w:pPr>
              <w:pStyle w:val="Default"/>
              <w:rPr>
                <w:sz w:val="22"/>
                <w:szCs w:val="22"/>
              </w:rPr>
            </w:pPr>
            <w:r w:rsidRPr="001300A9">
              <w:rPr>
                <w:sz w:val="22"/>
                <w:szCs w:val="22"/>
              </w:rPr>
              <w:t>Ú</w:t>
            </w:r>
          </w:p>
          <w:p w14:paraId="4C527535" w14:textId="77777777" w:rsidR="003237A8" w:rsidRPr="001300A9" w:rsidRDefault="003237A8" w:rsidP="00357CEC">
            <w:pPr>
              <w:pStyle w:val="Default"/>
              <w:rPr>
                <w:sz w:val="22"/>
                <w:szCs w:val="22"/>
              </w:rPr>
            </w:pPr>
          </w:p>
          <w:p w14:paraId="12673F5C" w14:textId="77777777" w:rsidR="003237A8" w:rsidRPr="001300A9" w:rsidRDefault="003237A8" w:rsidP="00357CEC">
            <w:pPr>
              <w:pStyle w:val="Default"/>
              <w:rPr>
                <w:sz w:val="22"/>
                <w:szCs w:val="22"/>
              </w:rPr>
            </w:pPr>
          </w:p>
          <w:p w14:paraId="1DF65C61" w14:textId="77777777" w:rsidR="003237A8" w:rsidRPr="001300A9" w:rsidRDefault="003237A8" w:rsidP="00357CEC">
            <w:pPr>
              <w:pStyle w:val="Default"/>
              <w:rPr>
                <w:sz w:val="22"/>
                <w:szCs w:val="22"/>
              </w:rPr>
            </w:pPr>
          </w:p>
          <w:p w14:paraId="0F42B24F" w14:textId="77777777" w:rsidR="003237A8" w:rsidRPr="001300A9" w:rsidRDefault="003237A8" w:rsidP="00357CEC">
            <w:pPr>
              <w:pStyle w:val="Default"/>
              <w:rPr>
                <w:sz w:val="22"/>
                <w:szCs w:val="22"/>
              </w:rPr>
            </w:pPr>
          </w:p>
          <w:p w14:paraId="0CBF359A" w14:textId="77777777" w:rsidR="003237A8" w:rsidRPr="001300A9" w:rsidRDefault="003237A8" w:rsidP="00357CEC">
            <w:pPr>
              <w:pStyle w:val="Default"/>
              <w:rPr>
                <w:sz w:val="22"/>
                <w:szCs w:val="22"/>
              </w:rPr>
            </w:pPr>
          </w:p>
          <w:p w14:paraId="1E781191" w14:textId="77777777" w:rsidR="003237A8" w:rsidRPr="001300A9" w:rsidRDefault="003237A8" w:rsidP="00357CEC">
            <w:pPr>
              <w:pStyle w:val="Default"/>
              <w:rPr>
                <w:sz w:val="22"/>
                <w:szCs w:val="22"/>
              </w:rPr>
            </w:pPr>
          </w:p>
          <w:p w14:paraId="7F469920" w14:textId="77777777" w:rsidR="003237A8" w:rsidRPr="001300A9" w:rsidRDefault="003237A8" w:rsidP="00357CEC">
            <w:pPr>
              <w:pStyle w:val="Default"/>
              <w:rPr>
                <w:sz w:val="22"/>
                <w:szCs w:val="22"/>
              </w:rPr>
            </w:pPr>
          </w:p>
          <w:p w14:paraId="526D5C55" w14:textId="2D091A60" w:rsidR="003237A8" w:rsidRDefault="003237A8" w:rsidP="00357CEC">
            <w:pPr>
              <w:pStyle w:val="Default"/>
              <w:rPr>
                <w:sz w:val="22"/>
                <w:szCs w:val="22"/>
              </w:rPr>
            </w:pPr>
          </w:p>
          <w:p w14:paraId="5145B30F" w14:textId="3127C903" w:rsidR="00097813" w:rsidRDefault="00097813" w:rsidP="00357CEC">
            <w:pPr>
              <w:pStyle w:val="Default"/>
              <w:rPr>
                <w:sz w:val="22"/>
                <w:szCs w:val="22"/>
              </w:rPr>
            </w:pPr>
          </w:p>
          <w:p w14:paraId="5E573E5F" w14:textId="156BBFC6" w:rsidR="00097813" w:rsidRDefault="00097813" w:rsidP="00357CEC">
            <w:pPr>
              <w:pStyle w:val="Default"/>
              <w:rPr>
                <w:sz w:val="22"/>
                <w:szCs w:val="22"/>
              </w:rPr>
            </w:pPr>
          </w:p>
          <w:p w14:paraId="61A8C4A7" w14:textId="77777777" w:rsidR="00097813" w:rsidRPr="001300A9" w:rsidRDefault="00097813" w:rsidP="00357CEC">
            <w:pPr>
              <w:pStyle w:val="Default"/>
              <w:rPr>
                <w:sz w:val="22"/>
                <w:szCs w:val="22"/>
              </w:rPr>
            </w:pPr>
          </w:p>
          <w:p w14:paraId="207A9FF8" w14:textId="6026B19C" w:rsidR="4792BE4F" w:rsidRDefault="4792BE4F" w:rsidP="4792BE4F">
            <w:pPr>
              <w:pStyle w:val="Default"/>
              <w:rPr>
                <w:sz w:val="22"/>
                <w:szCs w:val="22"/>
              </w:rPr>
            </w:pPr>
          </w:p>
          <w:p w14:paraId="43E5812E" w14:textId="77777777" w:rsidR="000F60BB" w:rsidRDefault="000F60BB" w:rsidP="00357CEC">
            <w:pPr>
              <w:pStyle w:val="Default"/>
              <w:rPr>
                <w:sz w:val="22"/>
                <w:szCs w:val="22"/>
              </w:rPr>
            </w:pPr>
          </w:p>
          <w:p w14:paraId="327B7241" w14:textId="4BCAF352" w:rsidR="003237A8" w:rsidRPr="001300A9" w:rsidRDefault="003237A8" w:rsidP="00357CEC">
            <w:pPr>
              <w:pStyle w:val="Default"/>
              <w:rPr>
                <w:sz w:val="22"/>
                <w:szCs w:val="22"/>
              </w:rPr>
            </w:pPr>
            <w:r w:rsidRPr="001300A9">
              <w:rPr>
                <w:sz w:val="22"/>
                <w:szCs w:val="22"/>
              </w:rPr>
              <w:t>Ú</w:t>
            </w:r>
          </w:p>
          <w:p w14:paraId="44DAF696" w14:textId="77777777" w:rsidR="003237A8" w:rsidRPr="001300A9" w:rsidRDefault="003237A8" w:rsidP="00357CEC">
            <w:pPr>
              <w:pStyle w:val="Default"/>
              <w:rPr>
                <w:sz w:val="22"/>
                <w:szCs w:val="22"/>
              </w:rPr>
            </w:pPr>
          </w:p>
          <w:p w14:paraId="1F32C391" w14:textId="77777777" w:rsidR="003237A8" w:rsidRPr="001300A9" w:rsidRDefault="003237A8" w:rsidP="00357CEC">
            <w:pPr>
              <w:pStyle w:val="Default"/>
              <w:rPr>
                <w:sz w:val="22"/>
                <w:szCs w:val="22"/>
              </w:rPr>
            </w:pPr>
          </w:p>
          <w:p w14:paraId="79855ACD" w14:textId="77777777" w:rsidR="003237A8" w:rsidRPr="001300A9" w:rsidRDefault="003237A8" w:rsidP="00357CEC">
            <w:pPr>
              <w:pStyle w:val="Default"/>
              <w:rPr>
                <w:sz w:val="22"/>
                <w:szCs w:val="22"/>
              </w:rPr>
            </w:pPr>
          </w:p>
          <w:p w14:paraId="0BF97578" w14:textId="77777777" w:rsidR="003237A8" w:rsidRPr="001300A9" w:rsidRDefault="003237A8" w:rsidP="00357CEC">
            <w:pPr>
              <w:pStyle w:val="Default"/>
              <w:rPr>
                <w:sz w:val="22"/>
                <w:szCs w:val="22"/>
              </w:rPr>
            </w:pPr>
          </w:p>
          <w:p w14:paraId="7C1C2DF8" w14:textId="77777777" w:rsidR="003237A8" w:rsidRPr="001300A9" w:rsidRDefault="003237A8" w:rsidP="00357CEC">
            <w:pPr>
              <w:pStyle w:val="Default"/>
              <w:rPr>
                <w:sz w:val="22"/>
                <w:szCs w:val="22"/>
              </w:rPr>
            </w:pPr>
          </w:p>
          <w:p w14:paraId="601C77D5" w14:textId="77777777" w:rsidR="003237A8" w:rsidRPr="001300A9" w:rsidRDefault="003237A8" w:rsidP="00357CEC">
            <w:pPr>
              <w:pStyle w:val="Default"/>
              <w:rPr>
                <w:sz w:val="22"/>
                <w:szCs w:val="22"/>
              </w:rPr>
            </w:pPr>
          </w:p>
          <w:p w14:paraId="3F2E0038" w14:textId="77777777" w:rsidR="003237A8" w:rsidRPr="001300A9" w:rsidRDefault="003237A8" w:rsidP="00357CEC">
            <w:pPr>
              <w:pStyle w:val="Default"/>
              <w:rPr>
                <w:sz w:val="22"/>
                <w:szCs w:val="22"/>
              </w:rPr>
            </w:pPr>
          </w:p>
          <w:p w14:paraId="28E410D8" w14:textId="423482A5" w:rsidR="003237A8" w:rsidRPr="001300A9" w:rsidRDefault="003237A8" w:rsidP="00357CEC">
            <w:pPr>
              <w:pStyle w:val="Default"/>
              <w:rPr>
                <w:sz w:val="22"/>
                <w:szCs w:val="22"/>
              </w:rPr>
            </w:pPr>
          </w:p>
          <w:p w14:paraId="427E527A" w14:textId="585155AE" w:rsidR="4792BE4F" w:rsidRDefault="4792BE4F" w:rsidP="4792BE4F">
            <w:pPr>
              <w:pStyle w:val="Default"/>
              <w:rPr>
                <w:sz w:val="22"/>
                <w:szCs w:val="22"/>
              </w:rPr>
            </w:pPr>
          </w:p>
          <w:p w14:paraId="1D1C1EB1" w14:textId="22DA1B00" w:rsidR="4792BE4F" w:rsidRDefault="4792BE4F" w:rsidP="4792BE4F">
            <w:pPr>
              <w:pStyle w:val="Default"/>
              <w:rPr>
                <w:sz w:val="22"/>
                <w:szCs w:val="22"/>
              </w:rPr>
            </w:pPr>
          </w:p>
          <w:p w14:paraId="647226C1" w14:textId="1A6D6DEE" w:rsidR="4792BE4F" w:rsidRDefault="4792BE4F" w:rsidP="4792BE4F">
            <w:pPr>
              <w:pStyle w:val="Default"/>
              <w:rPr>
                <w:sz w:val="22"/>
                <w:szCs w:val="22"/>
              </w:rPr>
            </w:pPr>
          </w:p>
          <w:p w14:paraId="5066FCB1" w14:textId="3A649997" w:rsidR="003237A8" w:rsidRPr="001300A9" w:rsidRDefault="00260BC4" w:rsidP="00357CEC">
            <w:pPr>
              <w:pStyle w:val="Default"/>
              <w:rPr>
                <w:sz w:val="22"/>
                <w:szCs w:val="22"/>
              </w:rPr>
            </w:pPr>
            <w:r w:rsidRPr="001300A9">
              <w:rPr>
                <w:sz w:val="22"/>
                <w:szCs w:val="22"/>
              </w:rPr>
              <w:t>Ú</w:t>
            </w:r>
          </w:p>
          <w:p w14:paraId="19F9046B" w14:textId="77777777" w:rsidR="003237A8" w:rsidRPr="001300A9" w:rsidRDefault="003237A8" w:rsidP="00357CEC">
            <w:pPr>
              <w:pStyle w:val="Default"/>
              <w:rPr>
                <w:sz w:val="22"/>
                <w:szCs w:val="22"/>
              </w:rPr>
            </w:pPr>
          </w:p>
          <w:p w14:paraId="38E5218B" w14:textId="77777777" w:rsidR="00E179E7" w:rsidRDefault="00E179E7" w:rsidP="00357CEC">
            <w:pPr>
              <w:pStyle w:val="Default"/>
              <w:rPr>
                <w:sz w:val="22"/>
                <w:szCs w:val="22"/>
              </w:rPr>
            </w:pPr>
          </w:p>
          <w:p w14:paraId="6A0378B2" w14:textId="77777777" w:rsidR="00E179E7" w:rsidRDefault="00E179E7" w:rsidP="00357CEC">
            <w:pPr>
              <w:pStyle w:val="Default"/>
              <w:rPr>
                <w:sz w:val="22"/>
                <w:szCs w:val="22"/>
              </w:rPr>
            </w:pPr>
          </w:p>
          <w:p w14:paraId="303A2CC7" w14:textId="77777777" w:rsidR="00E179E7" w:rsidRDefault="00E179E7" w:rsidP="00357CEC">
            <w:pPr>
              <w:pStyle w:val="Default"/>
              <w:rPr>
                <w:sz w:val="22"/>
                <w:szCs w:val="22"/>
              </w:rPr>
            </w:pPr>
          </w:p>
          <w:p w14:paraId="736E1015" w14:textId="77777777" w:rsidR="00E179E7" w:rsidRDefault="00E179E7" w:rsidP="00357CEC">
            <w:pPr>
              <w:pStyle w:val="Default"/>
              <w:rPr>
                <w:sz w:val="22"/>
                <w:szCs w:val="22"/>
              </w:rPr>
            </w:pPr>
          </w:p>
          <w:p w14:paraId="252DC74F" w14:textId="77777777" w:rsidR="00E179E7" w:rsidRDefault="00E179E7" w:rsidP="00357CEC">
            <w:pPr>
              <w:pStyle w:val="Default"/>
              <w:rPr>
                <w:sz w:val="22"/>
                <w:szCs w:val="22"/>
              </w:rPr>
            </w:pPr>
          </w:p>
          <w:p w14:paraId="0ECE8015" w14:textId="77777777" w:rsidR="00E179E7" w:rsidRDefault="00E179E7" w:rsidP="00357CEC">
            <w:pPr>
              <w:pStyle w:val="Default"/>
              <w:rPr>
                <w:sz w:val="22"/>
                <w:szCs w:val="22"/>
              </w:rPr>
            </w:pPr>
          </w:p>
          <w:p w14:paraId="46F8C5ED" w14:textId="538BE82B" w:rsidR="00E179E7" w:rsidRDefault="00E179E7" w:rsidP="00357CEC">
            <w:pPr>
              <w:pStyle w:val="Default"/>
              <w:rPr>
                <w:sz w:val="22"/>
                <w:szCs w:val="22"/>
              </w:rPr>
            </w:pPr>
          </w:p>
          <w:p w14:paraId="012B48DA" w14:textId="43C0653E" w:rsidR="003237A8" w:rsidRPr="001300A9" w:rsidRDefault="003237A8" w:rsidP="00357CEC">
            <w:pPr>
              <w:pStyle w:val="Default"/>
              <w:rPr>
                <w:sz w:val="22"/>
                <w:szCs w:val="22"/>
              </w:rPr>
            </w:pPr>
            <w:r w:rsidRPr="001300A9">
              <w:rPr>
                <w:sz w:val="22"/>
                <w:szCs w:val="22"/>
              </w:rPr>
              <w:t>Ú</w:t>
            </w:r>
          </w:p>
          <w:p w14:paraId="74968DB6" w14:textId="77777777" w:rsidR="00C31279" w:rsidRPr="001300A9" w:rsidRDefault="00C31279" w:rsidP="00357CEC">
            <w:pPr>
              <w:pStyle w:val="Default"/>
              <w:rPr>
                <w:sz w:val="22"/>
                <w:szCs w:val="22"/>
              </w:rPr>
            </w:pPr>
          </w:p>
          <w:p w14:paraId="4EC77A00" w14:textId="77777777" w:rsidR="00C31279" w:rsidRPr="001300A9" w:rsidRDefault="00C31279" w:rsidP="00357CEC">
            <w:pPr>
              <w:pStyle w:val="Default"/>
              <w:rPr>
                <w:sz w:val="22"/>
                <w:szCs w:val="22"/>
              </w:rPr>
            </w:pPr>
          </w:p>
          <w:p w14:paraId="55A0332E" w14:textId="77777777" w:rsidR="00C31279" w:rsidRPr="001300A9" w:rsidRDefault="00C31279" w:rsidP="00357CEC">
            <w:pPr>
              <w:pStyle w:val="Default"/>
              <w:rPr>
                <w:sz w:val="22"/>
                <w:szCs w:val="22"/>
              </w:rPr>
            </w:pPr>
          </w:p>
          <w:p w14:paraId="7DD85C1A" w14:textId="77777777" w:rsidR="00C31279" w:rsidRPr="001300A9" w:rsidRDefault="00C31279" w:rsidP="00357CEC">
            <w:pPr>
              <w:pStyle w:val="Default"/>
              <w:rPr>
                <w:sz w:val="22"/>
                <w:szCs w:val="22"/>
              </w:rPr>
            </w:pPr>
          </w:p>
          <w:p w14:paraId="564D4979" w14:textId="04761EA2" w:rsidR="00C31279" w:rsidRPr="001300A9" w:rsidRDefault="00C31279" w:rsidP="00357CEC">
            <w:pPr>
              <w:pStyle w:val="Default"/>
              <w:rPr>
                <w:sz w:val="22"/>
                <w:szCs w:val="22"/>
              </w:rPr>
            </w:pPr>
          </w:p>
          <w:p w14:paraId="560D0ED2" w14:textId="2E123014" w:rsidR="00E179E7" w:rsidRDefault="00E179E7" w:rsidP="00357CEC">
            <w:pPr>
              <w:pStyle w:val="Default"/>
              <w:rPr>
                <w:sz w:val="22"/>
                <w:szCs w:val="22"/>
              </w:rPr>
            </w:pPr>
          </w:p>
          <w:p w14:paraId="5619D11A" w14:textId="77777777" w:rsidR="00C31279" w:rsidRPr="001300A9" w:rsidRDefault="00C31279" w:rsidP="00357CEC">
            <w:pPr>
              <w:pStyle w:val="Default"/>
              <w:rPr>
                <w:sz w:val="22"/>
                <w:szCs w:val="22"/>
              </w:rPr>
            </w:pPr>
            <w:r w:rsidRPr="001300A9">
              <w:rPr>
                <w:sz w:val="22"/>
                <w:szCs w:val="22"/>
              </w:rPr>
              <w:lastRenderedPageBreak/>
              <w:t>Ú</w:t>
            </w:r>
          </w:p>
          <w:p w14:paraId="3777AE62" w14:textId="77777777" w:rsidR="00C31279" w:rsidRPr="001300A9" w:rsidRDefault="00C31279" w:rsidP="00357CEC">
            <w:pPr>
              <w:pStyle w:val="Default"/>
              <w:rPr>
                <w:sz w:val="22"/>
                <w:szCs w:val="22"/>
              </w:rPr>
            </w:pPr>
          </w:p>
          <w:p w14:paraId="0569BA93" w14:textId="77777777" w:rsidR="00C31279" w:rsidRPr="001300A9" w:rsidRDefault="00C31279" w:rsidP="00357CEC">
            <w:pPr>
              <w:pStyle w:val="Default"/>
              <w:rPr>
                <w:sz w:val="22"/>
                <w:szCs w:val="22"/>
              </w:rPr>
            </w:pPr>
          </w:p>
          <w:p w14:paraId="44274C21" w14:textId="77777777" w:rsidR="00C31279" w:rsidRPr="001300A9" w:rsidRDefault="00C31279" w:rsidP="00357CEC">
            <w:pPr>
              <w:pStyle w:val="Default"/>
              <w:rPr>
                <w:sz w:val="22"/>
                <w:szCs w:val="22"/>
              </w:rPr>
            </w:pPr>
          </w:p>
          <w:p w14:paraId="32A066B4" w14:textId="77777777" w:rsidR="00C31279" w:rsidRPr="001300A9" w:rsidRDefault="00C31279" w:rsidP="00357CEC">
            <w:pPr>
              <w:pStyle w:val="Default"/>
              <w:rPr>
                <w:sz w:val="22"/>
                <w:szCs w:val="22"/>
              </w:rPr>
            </w:pPr>
          </w:p>
          <w:p w14:paraId="4E90E3A0" w14:textId="77777777" w:rsidR="00C31279" w:rsidRPr="001300A9" w:rsidRDefault="00C31279" w:rsidP="00357CEC">
            <w:pPr>
              <w:pStyle w:val="Default"/>
              <w:rPr>
                <w:sz w:val="22"/>
                <w:szCs w:val="22"/>
              </w:rPr>
            </w:pPr>
          </w:p>
          <w:p w14:paraId="277961F8" w14:textId="77777777" w:rsidR="00C31279" w:rsidRPr="001300A9" w:rsidRDefault="00C31279" w:rsidP="00357CEC">
            <w:pPr>
              <w:pStyle w:val="Default"/>
              <w:rPr>
                <w:sz w:val="22"/>
                <w:szCs w:val="22"/>
              </w:rPr>
            </w:pPr>
          </w:p>
          <w:p w14:paraId="76B02FB2" w14:textId="77777777" w:rsidR="00C31279" w:rsidRPr="001300A9" w:rsidRDefault="00C31279" w:rsidP="00357CEC">
            <w:pPr>
              <w:pStyle w:val="Default"/>
              <w:rPr>
                <w:sz w:val="22"/>
                <w:szCs w:val="22"/>
              </w:rPr>
            </w:pPr>
          </w:p>
          <w:p w14:paraId="6022C03D" w14:textId="77777777" w:rsidR="00C31279" w:rsidRPr="001300A9" w:rsidRDefault="00C31279" w:rsidP="00357CEC">
            <w:pPr>
              <w:pStyle w:val="Default"/>
              <w:rPr>
                <w:sz w:val="22"/>
                <w:szCs w:val="22"/>
              </w:rPr>
            </w:pPr>
          </w:p>
          <w:p w14:paraId="3035D8AD" w14:textId="77777777" w:rsidR="00C31279" w:rsidRPr="001300A9" w:rsidRDefault="00C31279" w:rsidP="00357CEC">
            <w:pPr>
              <w:pStyle w:val="Default"/>
              <w:rPr>
                <w:sz w:val="22"/>
                <w:szCs w:val="22"/>
              </w:rPr>
            </w:pPr>
          </w:p>
          <w:p w14:paraId="1CC629A2" w14:textId="77777777" w:rsidR="00C31279" w:rsidRPr="001300A9" w:rsidRDefault="00C31279" w:rsidP="00357CEC">
            <w:pPr>
              <w:pStyle w:val="Default"/>
              <w:rPr>
                <w:sz w:val="22"/>
                <w:szCs w:val="22"/>
              </w:rPr>
            </w:pPr>
          </w:p>
          <w:p w14:paraId="7937FBF2" w14:textId="77777777" w:rsidR="00C31279" w:rsidRPr="001300A9" w:rsidRDefault="00C31279" w:rsidP="00357CEC">
            <w:pPr>
              <w:pStyle w:val="Default"/>
              <w:rPr>
                <w:sz w:val="22"/>
                <w:szCs w:val="22"/>
              </w:rPr>
            </w:pPr>
          </w:p>
          <w:p w14:paraId="73C979C8" w14:textId="77777777" w:rsidR="00C31279" w:rsidRPr="001300A9" w:rsidRDefault="00C31279" w:rsidP="00357CEC">
            <w:pPr>
              <w:pStyle w:val="Default"/>
              <w:rPr>
                <w:sz w:val="22"/>
                <w:szCs w:val="22"/>
              </w:rPr>
            </w:pPr>
          </w:p>
          <w:p w14:paraId="1351EC10" w14:textId="77777777" w:rsidR="00C31279" w:rsidRPr="001300A9" w:rsidRDefault="00C31279" w:rsidP="00357CEC">
            <w:pPr>
              <w:pStyle w:val="Default"/>
              <w:rPr>
                <w:sz w:val="22"/>
                <w:szCs w:val="22"/>
              </w:rPr>
            </w:pPr>
          </w:p>
          <w:p w14:paraId="48D9E5C6" w14:textId="77777777" w:rsidR="00C31279" w:rsidRPr="001300A9" w:rsidRDefault="00C31279" w:rsidP="00357CEC">
            <w:pPr>
              <w:pStyle w:val="Default"/>
              <w:rPr>
                <w:sz w:val="22"/>
                <w:szCs w:val="22"/>
              </w:rPr>
            </w:pPr>
          </w:p>
          <w:p w14:paraId="6A50AD1A" w14:textId="77777777" w:rsidR="00C31279" w:rsidRPr="001300A9" w:rsidRDefault="00C31279" w:rsidP="00357CEC">
            <w:pPr>
              <w:pStyle w:val="Default"/>
              <w:rPr>
                <w:sz w:val="22"/>
                <w:szCs w:val="22"/>
              </w:rPr>
            </w:pPr>
          </w:p>
          <w:p w14:paraId="340DA5EC" w14:textId="77777777" w:rsidR="00C31279" w:rsidRPr="001300A9" w:rsidRDefault="00C31279" w:rsidP="00357CEC">
            <w:pPr>
              <w:pStyle w:val="Default"/>
              <w:rPr>
                <w:sz w:val="22"/>
                <w:szCs w:val="22"/>
              </w:rPr>
            </w:pPr>
          </w:p>
          <w:p w14:paraId="0AA322A8" w14:textId="77777777" w:rsidR="00C31279" w:rsidRPr="001300A9" w:rsidRDefault="00C31279" w:rsidP="00357CEC">
            <w:pPr>
              <w:pStyle w:val="Default"/>
              <w:rPr>
                <w:sz w:val="22"/>
                <w:szCs w:val="22"/>
              </w:rPr>
            </w:pPr>
          </w:p>
          <w:p w14:paraId="2F754B4B" w14:textId="77777777" w:rsidR="00C31279" w:rsidRPr="001300A9" w:rsidRDefault="00C31279" w:rsidP="00357CEC">
            <w:pPr>
              <w:pStyle w:val="Default"/>
              <w:rPr>
                <w:sz w:val="22"/>
                <w:szCs w:val="22"/>
              </w:rPr>
            </w:pPr>
          </w:p>
          <w:p w14:paraId="41D641EE" w14:textId="77777777" w:rsidR="00C31279" w:rsidRPr="001300A9" w:rsidRDefault="00C31279" w:rsidP="00357CEC">
            <w:pPr>
              <w:pStyle w:val="Default"/>
              <w:rPr>
                <w:sz w:val="22"/>
                <w:szCs w:val="22"/>
              </w:rPr>
            </w:pPr>
          </w:p>
          <w:p w14:paraId="53AC1E74" w14:textId="77777777" w:rsidR="00C31279" w:rsidRPr="001300A9" w:rsidRDefault="00C31279" w:rsidP="00357CEC">
            <w:pPr>
              <w:pStyle w:val="Default"/>
              <w:rPr>
                <w:sz w:val="22"/>
                <w:szCs w:val="22"/>
              </w:rPr>
            </w:pPr>
          </w:p>
          <w:p w14:paraId="0D191D90" w14:textId="77777777" w:rsidR="00C31279" w:rsidRPr="001300A9" w:rsidRDefault="00C31279" w:rsidP="00357CEC">
            <w:pPr>
              <w:pStyle w:val="Default"/>
              <w:rPr>
                <w:sz w:val="22"/>
                <w:szCs w:val="22"/>
              </w:rPr>
            </w:pPr>
          </w:p>
          <w:p w14:paraId="178FD37D" w14:textId="77777777" w:rsidR="00C31279" w:rsidRPr="001300A9" w:rsidRDefault="00C31279" w:rsidP="00357CEC">
            <w:pPr>
              <w:pStyle w:val="Default"/>
              <w:rPr>
                <w:sz w:val="22"/>
                <w:szCs w:val="22"/>
              </w:rPr>
            </w:pPr>
          </w:p>
          <w:p w14:paraId="03B12267" w14:textId="77777777" w:rsidR="00C31279" w:rsidRPr="001300A9" w:rsidRDefault="00C31279" w:rsidP="00357CEC">
            <w:pPr>
              <w:pStyle w:val="Default"/>
              <w:rPr>
                <w:sz w:val="22"/>
                <w:szCs w:val="22"/>
              </w:rPr>
            </w:pPr>
          </w:p>
          <w:p w14:paraId="3D81818A" w14:textId="77777777" w:rsidR="00C31279" w:rsidRPr="001300A9" w:rsidRDefault="00C31279" w:rsidP="00357CEC">
            <w:pPr>
              <w:pStyle w:val="Default"/>
              <w:rPr>
                <w:sz w:val="22"/>
                <w:szCs w:val="22"/>
              </w:rPr>
            </w:pPr>
          </w:p>
          <w:p w14:paraId="2C5366D9" w14:textId="77777777" w:rsidR="00C31279" w:rsidRPr="001300A9" w:rsidRDefault="00C31279" w:rsidP="00357CEC">
            <w:pPr>
              <w:pStyle w:val="Default"/>
              <w:rPr>
                <w:sz w:val="22"/>
                <w:szCs w:val="22"/>
              </w:rPr>
            </w:pPr>
          </w:p>
          <w:p w14:paraId="169D52E6" w14:textId="77777777" w:rsidR="00C31279" w:rsidRPr="001300A9" w:rsidRDefault="00C31279" w:rsidP="00357CEC">
            <w:pPr>
              <w:pStyle w:val="Default"/>
              <w:rPr>
                <w:sz w:val="22"/>
                <w:szCs w:val="22"/>
              </w:rPr>
            </w:pPr>
          </w:p>
          <w:p w14:paraId="2C8200A5" w14:textId="77777777" w:rsidR="00C31279" w:rsidRPr="001300A9" w:rsidRDefault="00C31279" w:rsidP="00357CEC">
            <w:pPr>
              <w:pStyle w:val="Default"/>
              <w:rPr>
                <w:sz w:val="22"/>
                <w:szCs w:val="22"/>
              </w:rPr>
            </w:pPr>
          </w:p>
          <w:p w14:paraId="125F9189" w14:textId="77777777" w:rsidR="00C31279" w:rsidRPr="001300A9" w:rsidRDefault="00C31279" w:rsidP="00357CEC">
            <w:pPr>
              <w:pStyle w:val="Default"/>
              <w:rPr>
                <w:sz w:val="22"/>
                <w:szCs w:val="22"/>
              </w:rPr>
            </w:pPr>
          </w:p>
          <w:p w14:paraId="775EF534" w14:textId="77777777" w:rsidR="00C31279" w:rsidRPr="001300A9" w:rsidRDefault="00C31279" w:rsidP="00357CEC">
            <w:pPr>
              <w:pStyle w:val="Default"/>
              <w:rPr>
                <w:sz w:val="22"/>
                <w:szCs w:val="22"/>
              </w:rPr>
            </w:pPr>
          </w:p>
          <w:p w14:paraId="10F1D430" w14:textId="77777777" w:rsidR="00C31279" w:rsidRPr="001300A9" w:rsidRDefault="00C31279" w:rsidP="00357CEC">
            <w:pPr>
              <w:pStyle w:val="Default"/>
              <w:rPr>
                <w:sz w:val="22"/>
                <w:szCs w:val="22"/>
              </w:rPr>
            </w:pPr>
          </w:p>
          <w:p w14:paraId="2865F880" w14:textId="77777777" w:rsidR="00C31279" w:rsidRPr="001300A9" w:rsidRDefault="00C31279" w:rsidP="00357CEC">
            <w:pPr>
              <w:pStyle w:val="Default"/>
              <w:rPr>
                <w:sz w:val="22"/>
                <w:szCs w:val="22"/>
              </w:rPr>
            </w:pPr>
          </w:p>
          <w:p w14:paraId="6AFB0FC7" w14:textId="77777777" w:rsidR="00C31279" w:rsidRPr="001300A9" w:rsidRDefault="00C31279" w:rsidP="00357CEC">
            <w:pPr>
              <w:pStyle w:val="Default"/>
              <w:rPr>
                <w:sz w:val="22"/>
                <w:szCs w:val="22"/>
              </w:rPr>
            </w:pPr>
          </w:p>
          <w:p w14:paraId="3C9937DC" w14:textId="77777777" w:rsidR="00C31279" w:rsidRPr="001300A9" w:rsidRDefault="00C31279" w:rsidP="00357CEC">
            <w:pPr>
              <w:pStyle w:val="Default"/>
              <w:rPr>
                <w:sz w:val="22"/>
                <w:szCs w:val="22"/>
              </w:rPr>
            </w:pPr>
          </w:p>
          <w:p w14:paraId="5D00C26B" w14:textId="77777777" w:rsidR="00C31279" w:rsidRPr="001300A9" w:rsidRDefault="00C31279" w:rsidP="00357CEC">
            <w:pPr>
              <w:pStyle w:val="Default"/>
              <w:rPr>
                <w:sz w:val="22"/>
                <w:szCs w:val="22"/>
              </w:rPr>
            </w:pPr>
          </w:p>
          <w:p w14:paraId="012F785D" w14:textId="77777777" w:rsidR="00C31279" w:rsidRPr="001300A9" w:rsidRDefault="00C31279" w:rsidP="00357CEC">
            <w:pPr>
              <w:pStyle w:val="Default"/>
              <w:rPr>
                <w:sz w:val="22"/>
                <w:szCs w:val="22"/>
              </w:rPr>
            </w:pPr>
          </w:p>
          <w:p w14:paraId="15293412" w14:textId="77777777" w:rsidR="00C31279" w:rsidRPr="001300A9" w:rsidRDefault="00C31279" w:rsidP="00357CEC">
            <w:pPr>
              <w:pStyle w:val="Default"/>
              <w:rPr>
                <w:sz w:val="22"/>
                <w:szCs w:val="22"/>
              </w:rPr>
            </w:pPr>
          </w:p>
          <w:p w14:paraId="68BF576D" w14:textId="77777777" w:rsidR="00C31279" w:rsidRPr="001300A9" w:rsidRDefault="00C31279" w:rsidP="00357CEC">
            <w:pPr>
              <w:pStyle w:val="Default"/>
              <w:rPr>
                <w:sz w:val="22"/>
                <w:szCs w:val="22"/>
              </w:rPr>
            </w:pPr>
          </w:p>
          <w:p w14:paraId="0F89E17B" w14:textId="77777777" w:rsidR="00C31279" w:rsidRPr="001300A9" w:rsidRDefault="00C31279" w:rsidP="00357CEC">
            <w:pPr>
              <w:pStyle w:val="Default"/>
              <w:rPr>
                <w:sz w:val="22"/>
                <w:szCs w:val="22"/>
              </w:rPr>
            </w:pPr>
          </w:p>
          <w:p w14:paraId="379BE4A1" w14:textId="77777777" w:rsidR="00C31279" w:rsidRPr="001300A9" w:rsidRDefault="00C31279" w:rsidP="00357CEC">
            <w:pPr>
              <w:pStyle w:val="Default"/>
              <w:rPr>
                <w:sz w:val="22"/>
                <w:szCs w:val="22"/>
              </w:rPr>
            </w:pPr>
          </w:p>
          <w:p w14:paraId="729ED01F" w14:textId="77777777" w:rsidR="00C31279" w:rsidRPr="001300A9" w:rsidRDefault="00C31279" w:rsidP="00357CEC">
            <w:pPr>
              <w:pStyle w:val="Default"/>
              <w:rPr>
                <w:sz w:val="22"/>
                <w:szCs w:val="22"/>
              </w:rPr>
            </w:pPr>
          </w:p>
          <w:p w14:paraId="51A33B15" w14:textId="77777777" w:rsidR="00C31279" w:rsidRPr="001300A9" w:rsidRDefault="00C31279" w:rsidP="00357CEC">
            <w:pPr>
              <w:pStyle w:val="Default"/>
              <w:rPr>
                <w:sz w:val="22"/>
                <w:szCs w:val="22"/>
              </w:rPr>
            </w:pPr>
          </w:p>
          <w:p w14:paraId="7E1E7E59" w14:textId="77777777" w:rsidR="00C31279" w:rsidRPr="001300A9" w:rsidRDefault="00C31279" w:rsidP="00357CEC">
            <w:pPr>
              <w:pStyle w:val="Default"/>
              <w:rPr>
                <w:sz w:val="22"/>
                <w:szCs w:val="22"/>
              </w:rPr>
            </w:pPr>
          </w:p>
          <w:p w14:paraId="72E227D9" w14:textId="77777777" w:rsidR="00C31279" w:rsidRPr="001300A9" w:rsidRDefault="00C31279" w:rsidP="00357CEC">
            <w:pPr>
              <w:pStyle w:val="Default"/>
              <w:rPr>
                <w:sz w:val="22"/>
                <w:szCs w:val="22"/>
              </w:rPr>
            </w:pPr>
          </w:p>
          <w:p w14:paraId="691F9210" w14:textId="77777777" w:rsidR="00C31279" w:rsidRPr="001300A9" w:rsidRDefault="00C31279" w:rsidP="00357CEC">
            <w:pPr>
              <w:pStyle w:val="Default"/>
              <w:rPr>
                <w:sz w:val="22"/>
                <w:szCs w:val="22"/>
              </w:rPr>
            </w:pPr>
          </w:p>
          <w:p w14:paraId="7B334EBE" w14:textId="77777777" w:rsidR="00C31279" w:rsidRPr="001300A9" w:rsidRDefault="00C31279" w:rsidP="00357CEC">
            <w:pPr>
              <w:pStyle w:val="Default"/>
              <w:rPr>
                <w:sz w:val="22"/>
                <w:szCs w:val="22"/>
              </w:rPr>
            </w:pPr>
          </w:p>
          <w:p w14:paraId="7A60D48B" w14:textId="77777777" w:rsidR="00C31279" w:rsidRPr="001300A9" w:rsidRDefault="00C31279" w:rsidP="00357CEC">
            <w:pPr>
              <w:pStyle w:val="Default"/>
              <w:rPr>
                <w:sz w:val="22"/>
                <w:szCs w:val="22"/>
              </w:rPr>
            </w:pPr>
          </w:p>
          <w:p w14:paraId="6FC6CCB5" w14:textId="77777777" w:rsidR="00C31279" w:rsidRPr="001300A9" w:rsidRDefault="00C31279" w:rsidP="00357CEC">
            <w:pPr>
              <w:pStyle w:val="Default"/>
              <w:rPr>
                <w:sz w:val="22"/>
                <w:szCs w:val="22"/>
              </w:rPr>
            </w:pPr>
          </w:p>
          <w:p w14:paraId="6DAC8311" w14:textId="1C2E71E0" w:rsidR="003367CB" w:rsidRDefault="003367CB" w:rsidP="00357CEC">
            <w:pPr>
              <w:pStyle w:val="Default"/>
              <w:rPr>
                <w:sz w:val="22"/>
                <w:szCs w:val="22"/>
              </w:rPr>
            </w:pPr>
          </w:p>
          <w:p w14:paraId="3F2A60BC" w14:textId="77777777" w:rsidR="00190F49" w:rsidRDefault="00190F49" w:rsidP="00357CEC">
            <w:pPr>
              <w:pStyle w:val="Default"/>
              <w:rPr>
                <w:sz w:val="22"/>
                <w:szCs w:val="22"/>
              </w:rPr>
            </w:pPr>
          </w:p>
          <w:p w14:paraId="2D199621" w14:textId="319BDB39" w:rsidR="4792BE4F" w:rsidRDefault="4792BE4F" w:rsidP="4792BE4F">
            <w:pPr>
              <w:pStyle w:val="Default"/>
              <w:rPr>
                <w:sz w:val="22"/>
                <w:szCs w:val="22"/>
              </w:rPr>
            </w:pPr>
          </w:p>
          <w:p w14:paraId="66435D42" w14:textId="551C7110" w:rsidR="00C31279" w:rsidRPr="001300A9" w:rsidRDefault="00C31279" w:rsidP="00357CEC">
            <w:pPr>
              <w:pStyle w:val="Default"/>
              <w:rPr>
                <w:sz w:val="22"/>
                <w:szCs w:val="22"/>
              </w:rPr>
            </w:pPr>
            <w:r w:rsidRPr="001300A9">
              <w:rPr>
                <w:sz w:val="22"/>
                <w:szCs w:val="22"/>
              </w:rPr>
              <w:t>Ú</w:t>
            </w:r>
          </w:p>
        </w:tc>
        <w:tc>
          <w:tcPr>
            <w:tcW w:w="1276" w:type="dxa"/>
          </w:tcPr>
          <w:p w14:paraId="415DA34A" w14:textId="77777777" w:rsidR="00357CEC" w:rsidRPr="001300A9" w:rsidRDefault="00357CEC" w:rsidP="00357CEC">
            <w:pPr>
              <w:pStyle w:val="Default"/>
              <w:rPr>
                <w:sz w:val="22"/>
                <w:szCs w:val="22"/>
              </w:rPr>
            </w:pPr>
          </w:p>
        </w:tc>
        <w:tc>
          <w:tcPr>
            <w:tcW w:w="850" w:type="dxa"/>
          </w:tcPr>
          <w:p w14:paraId="404E2074" w14:textId="77777777" w:rsidR="00357CEC" w:rsidRPr="001300A9" w:rsidRDefault="005900E4" w:rsidP="00357CEC">
            <w:pPr>
              <w:pStyle w:val="Default"/>
              <w:rPr>
                <w:sz w:val="22"/>
                <w:szCs w:val="22"/>
              </w:rPr>
            </w:pPr>
            <w:r w:rsidRPr="001300A9">
              <w:rPr>
                <w:sz w:val="22"/>
                <w:szCs w:val="22"/>
              </w:rPr>
              <w:t>GP - N</w:t>
            </w:r>
          </w:p>
          <w:p w14:paraId="103FE26D" w14:textId="77777777" w:rsidR="003237A8" w:rsidRPr="001300A9" w:rsidRDefault="003237A8" w:rsidP="00357CEC">
            <w:pPr>
              <w:pStyle w:val="Default"/>
              <w:rPr>
                <w:sz w:val="22"/>
                <w:szCs w:val="22"/>
              </w:rPr>
            </w:pPr>
          </w:p>
          <w:p w14:paraId="7DDE32BB" w14:textId="77777777" w:rsidR="003237A8" w:rsidRPr="001300A9" w:rsidRDefault="003237A8" w:rsidP="00357CEC">
            <w:pPr>
              <w:pStyle w:val="Default"/>
              <w:rPr>
                <w:sz w:val="22"/>
                <w:szCs w:val="22"/>
              </w:rPr>
            </w:pPr>
          </w:p>
          <w:p w14:paraId="504D268B" w14:textId="77777777" w:rsidR="003237A8" w:rsidRPr="001300A9" w:rsidRDefault="003237A8" w:rsidP="00357CEC">
            <w:pPr>
              <w:pStyle w:val="Default"/>
              <w:rPr>
                <w:sz w:val="22"/>
                <w:szCs w:val="22"/>
              </w:rPr>
            </w:pPr>
          </w:p>
          <w:p w14:paraId="3ACC9104" w14:textId="77777777" w:rsidR="003237A8" w:rsidRPr="001300A9" w:rsidRDefault="003237A8" w:rsidP="00357CEC">
            <w:pPr>
              <w:pStyle w:val="Default"/>
              <w:rPr>
                <w:sz w:val="22"/>
                <w:szCs w:val="22"/>
              </w:rPr>
            </w:pPr>
          </w:p>
          <w:p w14:paraId="54E41D38" w14:textId="77777777" w:rsidR="003237A8" w:rsidRPr="001300A9" w:rsidRDefault="003237A8" w:rsidP="00357CEC">
            <w:pPr>
              <w:pStyle w:val="Default"/>
              <w:rPr>
                <w:sz w:val="22"/>
                <w:szCs w:val="22"/>
              </w:rPr>
            </w:pPr>
          </w:p>
          <w:p w14:paraId="4E41D438" w14:textId="77777777" w:rsidR="003237A8" w:rsidRPr="001300A9" w:rsidRDefault="003237A8" w:rsidP="00357CEC">
            <w:pPr>
              <w:pStyle w:val="Default"/>
              <w:rPr>
                <w:sz w:val="22"/>
                <w:szCs w:val="22"/>
              </w:rPr>
            </w:pPr>
          </w:p>
          <w:p w14:paraId="4E77513E" w14:textId="77777777" w:rsidR="003237A8" w:rsidRPr="001300A9" w:rsidRDefault="003237A8" w:rsidP="00357CEC">
            <w:pPr>
              <w:pStyle w:val="Default"/>
              <w:rPr>
                <w:sz w:val="22"/>
                <w:szCs w:val="22"/>
              </w:rPr>
            </w:pPr>
          </w:p>
          <w:p w14:paraId="52749CC0" w14:textId="77777777" w:rsidR="003237A8" w:rsidRPr="001300A9" w:rsidRDefault="003237A8" w:rsidP="00357CEC">
            <w:pPr>
              <w:pStyle w:val="Default"/>
              <w:rPr>
                <w:sz w:val="22"/>
                <w:szCs w:val="22"/>
              </w:rPr>
            </w:pPr>
          </w:p>
          <w:p w14:paraId="5EAE5ACC" w14:textId="77777777" w:rsidR="003237A8" w:rsidRPr="001300A9" w:rsidRDefault="003237A8" w:rsidP="00357CEC">
            <w:pPr>
              <w:pStyle w:val="Default"/>
              <w:rPr>
                <w:sz w:val="22"/>
                <w:szCs w:val="22"/>
              </w:rPr>
            </w:pPr>
          </w:p>
          <w:p w14:paraId="61DE3746" w14:textId="77777777" w:rsidR="003237A8" w:rsidRPr="001300A9" w:rsidRDefault="003237A8" w:rsidP="00357CEC">
            <w:pPr>
              <w:pStyle w:val="Default"/>
              <w:rPr>
                <w:sz w:val="22"/>
                <w:szCs w:val="22"/>
              </w:rPr>
            </w:pPr>
          </w:p>
          <w:p w14:paraId="24FB593D" w14:textId="77777777" w:rsidR="003237A8" w:rsidRPr="001300A9" w:rsidRDefault="003237A8" w:rsidP="00357CEC">
            <w:pPr>
              <w:pStyle w:val="Default"/>
              <w:rPr>
                <w:sz w:val="22"/>
                <w:szCs w:val="22"/>
              </w:rPr>
            </w:pPr>
          </w:p>
          <w:p w14:paraId="599B46B6" w14:textId="77777777" w:rsidR="003237A8" w:rsidRPr="001300A9" w:rsidRDefault="003237A8" w:rsidP="00357CEC">
            <w:pPr>
              <w:pStyle w:val="Default"/>
              <w:rPr>
                <w:sz w:val="22"/>
                <w:szCs w:val="22"/>
              </w:rPr>
            </w:pPr>
          </w:p>
          <w:p w14:paraId="34F48DE2" w14:textId="77777777" w:rsidR="003237A8" w:rsidRPr="001300A9" w:rsidRDefault="003237A8" w:rsidP="00357CEC">
            <w:pPr>
              <w:pStyle w:val="Default"/>
              <w:rPr>
                <w:sz w:val="22"/>
                <w:szCs w:val="22"/>
              </w:rPr>
            </w:pPr>
          </w:p>
          <w:p w14:paraId="24F3E1CF" w14:textId="77777777" w:rsidR="003237A8" w:rsidRPr="001300A9" w:rsidRDefault="003237A8" w:rsidP="00357CEC">
            <w:pPr>
              <w:pStyle w:val="Default"/>
              <w:rPr>
                <w:sz w:val="22"/>
                <w:szCs w:val="22"/>
              </w:rPr>
            </w:pPr>
          </w:p>
          <w:p w14:paraId="3B2A7959" w14:textId="77777777" w:rsidR="003237A8" w:rsidRPr="001300A9" w:rsidRDefault="003237A8" w:rsidP="00357CEC">
            <w:pPr>
              <w:pStyle w:val="Default"/>
              <w:rPr>
                <w:sz w:val="22"/>
                <w:szCs w:val="22"/>
              </w:rPr>
            </w:pPr>
          </w:p>
          <w:p w14:paraId="677E192E" w14:textId="77777777" w:rsidR="003237A8" w:rsidRPr="001300A9" w:rsidRDefault="003237A8" w:rsidP="00357CEC">
            <w:pPr>
              <w:pStyle w:val="Default"/>
              <w:rPr>
                <w:sz w:val="22"/>
                <w:szCs w:val="22"/>
              </w:rPr>
            </w:pPr>
          </w:p>
          <w:p w14:paraId="6B98EF59" w14:textId="77777777" w:rsidR="003237A8" w:rsidRPr="001300A9" w:rsidRDefault="003237A8" w:rsidP="00357CEC">
            <w:pPr>
              <w:pStyle w:val="Default"/>
              <w:rPr>
                <w:sz w:val="22"/>
                <w:szCs w:val="22"/>
              </w:rPr>
            </w:pPr>
          </w:p>
          <w:p w14:paraId="652309EA" w14:textId="77777777" w:rsidR="003237A8" w:rsidRPr="001300A9" w:rsidRDefault="003237A8" w:rsidP="00357CEC">
            <w:pPr>
              <w:pStyle w:val="Default"/>
              <w:rPr>
                <w:sz w:val="22"/>
                <w:szCs w:val="22"/>
              </w:rPr>
            </w:pPr>
          </w:p>
          <w:p w14:paraId="0C403518" w14:textId="77777777" w:rsidR="003237A8" w:rsidRPr="001300A9" w:rsidRDefault="003237A8" w:rsidP="00357CEC">
            <w:pPr>
              <w:pStyle w:val="Default"/>
              <w:rPr>
                <w:sz w:val="22"/>
                <w:szCs w:val="22"/>
              </w:rPr>
            </w:pPr>
          </w:p>
          <w:p w14:paraId="1641A074" w14:textId="77777777" w:rsidR="003237A8" w:rsidRPr="001300A9" w:rsidRDefault="003237A8" w:rsidP="00357CEC">
            <w:pPr>
              <w:pStyle w:val="Default"/>
              <w:rPr>
                <w:sz w:val="22"/>
                <w:szCs w:val="22"/>
              </w:rPr>
            </w:pPr>
          </w:p>
          <w:p w14:paraId="6EB54799" w14:textId="77777777" w:rsidR="003237A8" w:rsidRPr="001300A9" w:rsidRDefault="003237A8" w:rsidP="00357CEC">
            <w:pPr>
              <w:pStyle w:val="Default"/>
              <w:rPr>
                <w:sz w:val="22"/>
                <w:szCs w:val="22"/>
              </w:rPr>
            </w:pPr>
          </w:p>
          <w:p w14:paraId="3B88A108" w14:textId="77777777" w:rsidR="003237A8" w:rsidRPr="001300A9" w:rsidRDefault="003237A8" w:rsidP="00357CEC">
            <w:pPr>
              <w:pStyle w:val="Default"/>
              <w:rPr>
                <w:sz w:val="22"/>
                <w:szCs w:val="22"/>
              </w:rPr>
            </w:pPr>
          </w:p>
          <w:p w14:paraId="039691D7" w14:textId="77777777" w:rsidR="003237A8" w:rsidRPr="001300A9" w:rsidRDefault="003237A8" w:rsidP="00357CEC">
            <w:pPr>
              <w:pStyle w:val="Default"/>
              <w:rPr>
                <w:sz w:val="22"/>
                <w:szCs w:val="22"/>
              </w:rPr>
            </w:pPr>
          </w:p>
          <w:p w14:paraId="4265A817" w14:textId="77777777" w:rsidR="003237A8" w:rsidRPr="001300A9" w:rsidRDefault="003237A8" w:rsidP="00357CEC">
            <w:pPr>
              <w:pStyle w:val="Default"/>
              <w:rPr>
                <w:sz w:val="22"/>
                <w:szCs w:val="22"/>
              </w:rPr>
            </w:pPr>
          </w:p>
          <w:p w14:paraId="50EE6308" w14:textId="77777777" w:rsidR="003237A8" w:rsidRPr="001300A9" w:rsidRDefault="003237A8" w:rsidP="00357CEC">
            <w:pPr>
              <w:pStyle w:val="Default"/>
              <w:rPr>
                <w:sz w:val="22"/>
                <w:szCs w:val="22"/>
              </w:rPr>
            </w:pPr>
          </w:p>
          <w:p w14:paraId="6459FA3A" w14:textId="77777777" w:rsidR="003237A8" w:rsidRPr="001300A9" w:rsidRDefault="003237A8" w:rsidP="00357CEC">
            <w:pPr>
              <w:pStyle w:val="Default"/>
              <w:rPr>
                <w:sz w:val="22"/>
                <w:szCs w:val="22"/>
              </w:rPr>
            </w:pPr>
          </w:p>
          <w:p w14:paraId="6AE1787B" w14:textId="77777777" w:rsidR="003237A8" w:rsidRPr="001300A9" w:rsidRDefault="003237A8" w:rsidP="00357CEC">
            <w:pPr>
              <w:pStyle w:val="Default"/>
              <w:rPr>
                <w:sz w:val="22"/>
                <w:szCs w:val="22"/>
              </w:rPr>
            </w:pPr>
          </w:p>
          <w:p w14:paraId="66D7F8B9" w14:textId="77777777" w:rsidR="003237A8" w:rsidRPr="001300A9" w:rsidRDefault="003237A8" w:rsidP="00357CEC">
            <w:pPr>
              <w:pStyle w:val="Default"/>
              <w:rPr>
                <w:sz w:val="22"/>
                <w:szCs w:val="22"/>
              </w:rPr>
            </w:pPr>
          </w:p>
          <w:p w14:paraId="066DBCBC" w14:textId="77777777" w:rsidR="003237A8" w:rsidRPr="001300A9" w:rsidRDefault="003237A8" w:rsidP="00357CEC">
            <w:pPr>
              <w:pStyle w:val="Default"/>
              <w:rPr>
                <w:sz w:val="22"/>
                <w:szCs w:val="22"/>
              </w:rPr>
            </w:pPr>
          </w:p>
          <w:p w14:paraId="3AEE1E83" w14:textId="77777777" w:rsidR="003237A8" w:rsidRPr="001300A9" w:rsidRDefault="003237A8" w:rsidP="00357CEC">
            <w:pPr>
              <w:pStyle w:val="Default"/>
              <w:rPr>
                <w:sz w:val="22"/>
                <w:szCs w:val="22"/>
              </w:rPr>
            </w:pPr>
          </w:p>
          <w:p w14:paraId="5C15537E" w14:textId="77777777" w:rsidR="003237A8" w:rsidRPr="001300A9" w:rsidRDefault="003237A8" w:rsidP="00357CEC">
            <w:pPr>
              <w:pStyle w:val="Default"/>
              <w:rPr>
                <w:sz w:val="22"/>
                <w:szCs w:val="22"/>
              </w:rPr>
            </w:pPr>
          </w:p>
          <w:p w14:paraId="3930E2B0" w14:textId="77777777" w:rsidR="003237A8" w:rsidRPr="001300A9" w:rsidRDefault="003237A8" w:rsidP="00357CEC">
            <w:pPr>
              <w:pStyle w:val="Default"/>
              <w:rPr>
                <w:sz w:val="22"/>
                <w:szCs w:val="22"/>
              </w:rPr>
            </w:pPr>
          </w:p>
          <w:p w14:paraId="23755294" w14:textId="77777777" w:rsidR="003237A8" w:rsidRPr="001300A9" w:rsidRDefault="003237A8" w:rsidP="00357CEC">
            <w:pPr>
              <w:pStyle w:val="Default"/>
              <w:rPr>
                <w:sz w:val="22"/>
                <w:szCs w:val="22"/>
              </w:rPr>
            </w:pPr>
          </w:p>
          <w:p w14:paraId="66EDCD08" w14:textId="77777777" w:rsidR="003237A8" w:rsidRPr="001300A9" w:rsidRDefault="003237A8" w:rsidP="00357CEC">
            <w:pPr>
              <w:pStyle w:val="Default"/>
              <w:rPr>
                <w:sz w:val="22"/>
                <w:szCs w:val="22"/>
              </w:rPr>
            </w:pPr>
          </w:p>
          <w:p w14:paraId="4BDFA0DE" w14:textId="77777777" w:rsidR="003237A8" w:rsidRPr="001300A9" w:rsidRDefault="003237A8" w:rsidP="00357CEC">
            <w:pPr>
              <w:pStyle w:val="Default"/>
              <w:rPr>
                <w:sz w:val="22"/>
                <w:szCs w:val="22"/>
              </w:rPr>
            </w:pPr>
          </w:p>
          <w:p w14:paraId="5D2B533E" w14:textId="77777777" w:rsidR="003237A8" w:rsidRPr="001300A9" w:rsidRDefault="003237A8" w:rsidP="00357CEC">
            <w:pPr>
              <w:pStyle w:val="Default"/>
              <w:rPr>
                <w:sz w:val="22"/>
                <w:szCs w:val="22"/>
              </w:rPr>
            </w:pPr>
          </w:p>
          <w:p w14:paraId="62254F42" w14:textId="77777777" w:rsidR="003237A8" w:rsidRPr="001300A9" w:rsidRDefault="003237A8" w:rsidP="00357CEC">
            <w:pPr>
              <w:pStyle w:val="Default"/>
              <w:rPr>
                <w:sz w:val="22"/>
                <w:szCs w:val="22"/>
              </w:rPr>
            </w:pPr>
          </w:p>
          <w:p w14:paraId="4C5E79BB" w14:textId="77777777" w:rsidR="003237A8" w:rsidRPr="001300A9" w:rsidRDefault="003237A8" w:rsidP="00357CEC">
            <w:pPr>
              <w:pStyle w:val="Default"/>
              <w:rPr>
                <w:sz w:val="22"/>
                <w:szCs w:val="22"/>
              </w:rPr>
            </w:pPr>
          </w:p>
          <w:p w14:paraId="5F70E435" w14:textId="77777777" w:rsidR="003237A8" w:rsidRPr="001300A9" w:rsidRDefault="003237A8" w:rsidP="00357CEC">
            <w:pPr>
              <w:pStyle w:val="Default"/>
              <w:rPr>
                <w:sz w:val="22"/>
                <w:szCs w:val="22"/>
              </w:rPr>
            </w:pPr>
          </w:p>
          <w:p w14:paraId="08EFA6F7" w14:textId="77777777" w:rsidR="003237A8" w:rsidRPr="001300A9" w:rsidRDefault="003237A8" w:rsidP="00357CEC">
            <w:pPr>
              <w:pStyle w:val="Default"/>
              <w:rPr>
                <w:sz w:val="22"/>
                <w:szCs w:val="22"/>
              </w:rPr>
            </w:pPr>
          </w:p>
          <w:p w14:paraId="6CE4FFCF" w14:textId="77777777" w:rsidR="003237A8" w:rsidRPr="001300A9" w:rsidRDefault="003237A8" w:rsidP="00357CEC">
            <w:pPr>
              <w:pStyle w:val="Default"/>
              <w:rPr>
                <w:sz w:val="22"/>
                <w:szCs w:val="22"/>
              </w:rPr>
            </w:pPr>
          </w:p>
          <w:p w14:paraId="28369D3D" w14:textId="77777777" w:rsidR="003237A8" w:rsidRPr="001300A9" w:rsidRDefault="003237A8" w:rsidP="00357CEC">
            <w:pPr>
              <w:pStyle w:val="Default"/>
              <w:rPr>
                <w:sz w:val="22"/>
                <w:szCs w:val="22"/>
              </w:rPr>
            </w:pPr>
          </w:p>
          <w:p w14:paraId="523AFC82" w14:textId="77777777" w:rsidR="003237A8" w:rsidRPr="001300A9" w:rsidRDefault="003237A8" w:rsidP="00357CEC">
            <w:pPr>
              <w:pStyle w:val="Default"/>
              <w:rPr>
                <w:sz w:val="22"/>
                <w:szCs w:val="22"/>
              </w:rPr>
            </w:pPr>
          </w:p>
          <w:p w14:paraId="3BF5EEC7" w14:textId="77777777" w:rsidR="003237A8" w:rsidRPr="001300A9" w:rsidRDefault="003237A8" w:rsidP="00357CEC">
            <w:pPr>
              <w:pStyle w:val="Default"/>
              <w:rPr>
                <w:sz w:val="22"/>
                <w:szCs w:val="22"/>
              </w:rPr>
            </w:pPr>
          </w:p>
          <w:p w14:paraId="64D6232E" w14:textId="77777777" w:rsidR="003237A8" w:rsidRPr="001300A9" w:rsidRDefault="003237A8" w:rsidP="00357CEC">
            <w:pPr>
              <w:pStyle w:val="Default"/>
              <w:rPr>
                <w:sz w:val="22"/>
                <w:szCs w:val="22"/>
              </w:rPr>
            </w:pPr>
          </w:p>
          <w:p w14:paraId="06108237" w14:textId="77777777" w:rsidR="003237A8" w:rsidRPr="001300A9" w:rsidRDefault="003237A8" w:rsidP="00357CEC">
            <w:pPr>
              <w:pStyle w:val="Default"/>
              <w:rPr>
                <w:sz w:val="22"/>
                <w:szCs w:val="22"/>
              </w:rPr>
            </w:pPr>
          </w:p>
          <w:p w14:paraId="42603E0A" w14:textId="77777777" w:rsidR="003237A8" w:rsidRPr="001300A9" w:rsidRDefault="003237A8" w:rsidP="00357CEC">
            <w:pPr>
              <w:pStyle w:val="Default"/>
              <w:rPr>
                <w:sz w:val="22"/>
                <w:szCs w:val="22"/>
              </w:rPr>
            </w:pPr>
          </w:p>
          <w:p w14:paraId="0138D91B" w14:textId="77777777" w:rsidR="003237A8" w:rsidRPr="001300A9" w:rsidRDefault="003237A8" w:rsidP="00357CEC">
            <w:pPr>
              <w:pStyle w:val="Default"/>
              <w:rPr>
                <w:sz w:val="22"/>
                <w:szCs w:val="22"/>
              </w:rPr>
            </w:pPr>
          </w:p>
          <w:p w14:paraId="7CEDA19E" w14:textId="77777777" w:rsidR="003237A8" w:rsidRPr="001300A9" w:rsidRDefault="003237A8" w:rsidP="00357CEC">
            <w:pPr>
              <w:pStyle w:val="Default"/>
              <w:rPr>
                <w:sz w:val="22"/>
                <w:szCs w:val="22"/>
              </w:rPr>
            </w:pPr>
          </w:p>
          <w:p w14:paraId="435E2F2C" w14:textId="77777777" w:rsidR="003237A8" w:rsidRPr="001300A9" w:rsidRDefault="003237A8" w:rsidP="00357CEC">
            <w:pPr>
              <w:pStyle w:val="Default"/>
              <w:rPr>
                <w:sz w:val="22"/>
                <w:szCs w:val="22"/>
              </w:rPr>
            </w:pPr>
          </w:p>
          <w:p w14:paraId="0F448B45" w14:textId="77777777" w:rsidR="003237A8" w:rsidRPr="001300A9" w:rsidRDefault="003237A8" w:rsidP="00357CEC">
            <w:pPr>
              <w:pStyle w:val="Default"/>
              <w:rPr>
                <w:sz w:val="22"/>
                <w:szCs w:val="22"/>
              </w:rPr>
            </w:pPr>
          </w:p>
          <w:p w14:paraId="539F9934" w14:textId="77777777" w:rsidR="003237A8" w:rsidRPr="001300A9" w:rsidRDefault="003237A8" w:rsidP="00357CEC">
            <w:pPr>
              <w:pStyle w:val="Default"/>
              <w:rPr>
                <w:sz w:val="22"/>
                <w:szCs w:val="22"/>
              </w:rPr>
            </w:pPr>
          </w:p>
          <w:p w14:paraId="2CC53024" w14:textId="77777777" w:rsidR="003237A8" w:rsidRPr="001300A9" w:rsidRDefault="003237A8" w:rsidP="00357CEC">
            <w:pPr>
              <w:pStyle w:val="Default"/>
              <w:rPr>
                <w:sz w:val="22"/>
                <w:szCs w:val="22"/>
              </w:rPr>
            </w:pPr>
          </w:p>
          <w:p w14:paraId="23D49D29" w14:textId="77777777" w:rsidR="003237A8" w:rsidRPr="001300A9" w:rsidRDefault="003237A8" w:rsidP="00357CEC">
            <w:pPr>
              <w:pStyle w:val="Default"/>
              <w:rPr>
                <w:sz w:val="22"/>
                <w:szCs w:val="22"/>
              </w:rPr>
            </w:pPr>
          </w:p>
          <w:p w14:paraId="2E9DFDB2" w14:textId="77777777" w:rsidR="003237A8" w:rsidRPr="001300A9" w:rsidRDefault="003237A8" w:rsidP="00357CEC">
            <w:pPr>
              <w:pStyle w:val="Default"/>
              <w:rPr>
                <w:sz w:val="22"/>
                <w:szCs w:val="22"/>
              </w:rPr>
            </w:pPr>
          </w:p>
          <w:p w14:paraId="7E1A5A4B" w14:textId="77777777" w:rsidR="003237A8" w:rsidRPr="001300A9" w:rsidRDefault="003237A8" w:rsidP="00357CEC">
            <w:pPr>
              <w:pStyle w:val="Default"/>
              <w:rPr>
                <w:sz w:val="22"/>
                <w:szCs w:val="22"/>
              </w:rPr>
            </w:pPr>
          </w:p>
          <w:p w14:paraId="5406FE22" w14:textId="77777777" w:rsidR="003237A8" w:rsidRPr="001300A9" w:rsidRDefault="003237A8" w:rsidP="00357CEC">
            <w:pPr>
              <w:pStyle w:val="Default"/>
              <w:rPr>
                <w:sz w:val="22"/>
                <w:szCs w:val="22"/>
              </w:rPr>
            </w:pPr>
          </w:p>
          <w:p w14:paraId="2B50472E" w14:textId="77777777" w:rsidR="003237A8" w:rsidRPr="001300A9" w:rsidRDefault="003237A8" w:rsidP="00357CEC">
            <w:pPr>
              <w:pStyle w:val="Default"/>
              <w:rPr>
                <w:sz w:val="22"/>
                <w:szCs w:val="22"/>
              </w:rPr>
            </w:pPr>
          </w:p>
          <w:p w14:paraId="41C7679C" w14:textId="77777777" w:rsidR="003237A8" w:rsidRPr="001300A9" w:rsidRDefault="003237A8" w:rsidP="00357CEC">
            <w:pPr>
              <w:pStyle w:val="Default"/>
              <w:rPr>
                <w:sz w:val="22"/>
                <w:szCs w:val="22"/>
              </w:rPr>
            </w:pPr>
          </w:p>
          <w:p w14:paraId="19DE927B" w14:textId="77777777" w:rsidR="003237A8" w:rsidRPr="001300A9" w:rsidRDefault="003237A8" w:rsidP="00357CEC">
            <w:pPr>
              <w:pStyle w:val="Default"/>
              <w:rPr>
                <w:sz w:val="22"/>
                <w:szCs w:val="22"/>
              </w:rPr>
            </w:pPr>
          </w:p>
          <w:p w14:paraId="0AA6451D" w14:textId="77777777" w:rsidR="003237A8" w:rsidRPr="001300A9" w:rsidRDefault="003237A8" w:rsidP="00357CEC">
            <w:pPr>
              <w:pStyle w:val="Default"/>
              <w:rPr>
                <w:sz w:val="22"/>
                <w:szCs w:val="22"/>
              </w:rPr>
            </w:pPr>
          </w:p>
          <w:p w14:paraId="27B62781" w14:textId="77777777" w:rsidR="003237A8" w:rsidRPr="001300A9" w:rsidRDefault="003237A8" w:rsidP="00357CEC">
            <w:pPr>
              <w:pStyle w:val="Default"/>
              <w:rPr>
                <w:sz w:val="22"/>
                <w:szCs w:val="22"/>
              </w:rPr>
            </w:pPr>
          </w:p>
          <w:p w14:paraId="12163BA9" w14:textId="77777777" w:rsidR="003237A8" w:rsidRPr="001300A9" w:rsidRDefault="003237A8" w:rsidP="00357CEC">
            <w:pPr>
              <w:pStyle w:val="Default"/>
              <w:rPr>
                <w:sz w:val="22"/>
                <w:szCs w:val="22"/>
              </w:rPr>
            </w:pPr>
          </w:p>
          <w:p w14:paraId="79FB73EB" w14:textId="77777777" w:rsidR="003237A8" w:rsidRPr="001300A9" w:rsidRDefault="003237A8" w:rsidP="00357CEC">
            <w:pPr>
              <w:pStyle w:val="Default"/>
              <w:rPr>
                <w:sz w:val="22"/>
                <w:szCs w:val="22"/>
              </w:rPr>
            </w:pPr>
          </w:p>
          <w:p w14:paraId="3E9B010C" w14:textId="77777777" w:rsidR="003237A8" w:rsidRPr="001300A9" w:rsidRDefault="003237A8" w:rsidP="00357CEC">
            <w:pPr>
              <w:pStyle w:val="Default"/>
              <w:rPr>
                <w:sz w:val="22"/>
                <w:szCs w:val="22"/>
              </w:rPr>
            </w:pPr>
          </w:p>
          <w:p w14:paraId="5B83FACE" w14:textId="77777777" w:rsidR="003237A8" w:rsidRPr="001300A9" w:rsidRDefault="003237A8" w:rsidP="00357CEC">
            <w:pPr>
              <w:pStyle w:val="Default"/>
              <w:rPr>
                <w:sz w:val="22"/>
                <w:szCs w:val="22"/>
              </w:rPr>
            </w:pPr>
          </w:p>
          <w:p w14:paraId="71399BAE" w14:textId="77777777" w:rsidR="003237A8" w:rsidRPr="001300A9" w:rsidRDefault="003237A8" w:rsidP="00357CEC">
            <w:pPr>
              <w:pStyle w:val="Default"/>
              <w:rPr>
                <w:sz w:val="22"/>
                <w:szCs w:val="22"/>
              </w:rPr>
            </w:pPr>
          </w:p>
          <w:p w14:paraId="4A16632A" w14:textId="77777777" w:rsidR="003237A8" w:rsidRPr="001300A9" w:rsidRDefault="003237A8" w:rsidP="00357CEC">
            <w:pPr>
              <w:pStyle w:val="Default"/>
              <w:rPr>
                <w:sz w:val="22"/>
                <w:szCs w:val="22"/>
              </w:rPr>
            </w:pPr>
          </w:p>
          <w:p w14:paraId="57E70CF6" w14:textId="77777777" w:rsidR="003237A8" w:rsidRPr="001300A9" w:rsidRDefault="003237A8" w:rsidP="00357CEC">
            <w:pPr>
              <w:pStyle w:val="Default"/>
              <w:rPr>
                <w:sz w:val="22"/>
                <w:szCs w:val="22"/>
              </w:rPr>
            </w:pPr>
          </w:p>
          <w:p w14:paraId="55E916E0" w14:textId="77777777" w:rsidR="003237A8" w:rsidRPr="001300A9" w:rsidRDefault="003237A8" w:rsidP="00357CEC">
            <w:pPr>
              <w:pStyle w:val="Default"/>
              <w:rPr>
                <w:sz w:val="22"/>
                <w:szCs w:val="22"/>
              </w:rPr>
            </w:pPr>
          </w:p>
          <w:p w14:paraId="6A1F8396" w14:textId="77777777" w:rsidR="003237A8" w:rsidRPr="001300A9" w:rsidRDefault="003237A8" w:rsidP="00357CEC">
            <w:pPr>
              <w:pStyle w:val="Default"/>
              <w:rPr>
                <w:sz w:val="22"/>
                <w:szCs w:val="22"/>
              </w:rPr>
            </w:pPr>
          </w:p>
          <w:p w14:paraId="56080721" w14:textId="77777777" w:rsidR="003237A8" w:rsidRPr="001300A9" w:rsidRDefault="003237A8" w:rsidP="00357CEC">
            <w:pPr>
              <w:pStyle w:val="Default"/>
              <w:rPr>
                <w:sz w:val="22"/>
                <w:szCs w:val="22"/>
              </w:rPr>
            </w:pPr>
          </w:p>
          <w:p w14:paraId="0D065D93" w14:textId="77777777" w:rsidR="003237A8" w:rsidRPr="001300A9" w:rsidRDefault="003237A8" w:rsidP="00357CEC">
            <w:pPr>
              <w:pStyle w:val="Default"/>
              <w:rPr>
                <w:sz w:val="22"/>
                <w:szCs w:val="22"/>
              </w:rPr>
            </w:pPr>
          </w:p>
          <w:p w14:paraId="4840890C" w14:textId="77777777" w:rsidR="003237A8" w:rsidRPr="001300A9" w:rsidRDefault="003237A8" w:rsidP="00357CEC">
            <w:pPr>
              <w:pStyle w:val="Default"/>
              <w:rPr>
                <w:sz w:val="22"/>
                <w:szCs w:val="22"/>
              </w:rPr>
            </w:pPr>
          </w:p>
          <w:p w14:paraId="6ED6777C" w14:textId="77777777" w:rsidR="003237A8" w:rsidRPr="001300A9" w:rsidRDefault="003237A8" w:rsidP="00357CEC">
            <w:pPr>
              <w:pStyle w:val="Default"/>
              <w:rPr>
                <w:sz w:val="22"/>
                <w:szCs w:val="22"/>
              </w:rPr>
            </w:pPr>
          </w:p>
          <w:p w14:paraId="487C3523" w14:textId="627E7072" w:rsidR="003237A8" w:rsidRPr="001300A9" w:rsidRDefault="003237A8" w:rsidP="00357CEC">
            <w:pPr>
              <w:pStyle w:val="Default"/>
              <w:rPr>
                <w:sz w:val="22"/>
                <w:szCs w:val="22"/>
              </w:rPr>
            </w:pPr>
          </w:p>
          <w:p w14:paraId="7D42EB3B" w14:textId="494BA445" w:rsidR="0006236A" w:rsidRDefault="0006236A" w:rsidP="00357CEC">
            <w:pPr>
              <w:pStyle w:val="Default"/>
              <w:rPr>
                <w:sz w:val="22"/>
                <w:szCs w:val="22"/>
              </w:rPr>
            </w:pPr>
          </w:p>
          <w:p w14:paraId="206242E2" w14:textId="0ECF27DE" w:rsidR="21A61628" w:rsidRDefault="21A61628" w:rsidP="21A61628">
            <w:pPr>
              <w:pStyle w:val="Default"/>
              <w:rPr>
                <w:sz w:val="22"/>
                <w:szCs w:val="22"/>
              </w:rPr>
            </w:pPr>
          </w:p>
          <w:p w14:paraId="600F4C97" w14:textId="715C4EAB" w:rsidR="003237A8" w:rsidRPr="001300A9" w:rsidRDefault="003237A8" w:rsidP="00357CEC">
            <w:pPr>
              <w:pStyle w:val="Default"/>
              <w:rPr>
                <w:sz w:val="22"/>
                <w:szCs w:val="22"/>
              </w:rPr>
            </w:pPr>
            <w:r w:rsidRPr="001300A9">
              <w:rPr>
                <w:sz w:val="22"/>
                <w:szCs w:val="22"/>
              </w:rPr>
              <w:t>GP - N</w:t>
            </w:r>
          </w:p>
          <w:p w14:paraId="45FA24A2" w14:textId="77777777" w:rsidR="003237A8" w:rsidRPr="001300A9" w:rsidRDefault="003237A8" w:rsidP="00357CEC">
            <w:pPr>
              <w:pStyle w:val="Default"/>
              <w:rPr>
                <w:sz w:val="22"/>
                <w:szCs w:val="22"/>
              </w:rPr>
            </w:pPr>
          </w:p>
          <w:p w14:paraId="285C2448" w14:textId="77777777" w:rsidR="003237A8" w:rsidRPr="001300A9" w:rsidRDefault="003237A8" w:rsidP="00357CEC">
            <w:pPr>
              <w:pStyle w:val="Default"/>
              <w:rPr>
                <w:sz w:val="22"/>
                <w:szCs w:val="22"/>
              </w:rPr>
            </w:pPr>
          </w:p>
          <w:p w14:paraId="71E8B84B" w14:textId="77777777" w:rsidR="003237A8" w:rsidRPr="001300A9" w:rsidRDefault="003237A8" w:rsidP="00357CEC">
            <w:pPr>
              <w:pStyle w:val="Default"/>
              <w:rPr>
                <w:sz w:val="22"/>
                <w:szCs w:val="22"/>
              </w:rPr>
            </w:pPr>
          </w:p>
          <w:p w14:paraId="07F302CC" w14:textId="77777777" w:rsidR="003237A8" w:rsidRPr="001300A9" w:rsidRDefault="003237A8" w:rsidP="00357CEC">
            <w:pPr>
              <w:pStyle w:val="Default"/>
              <w:rPr>
                <w:sz w:val="22"/>
                <w:szCs w:val="22"/>
              </w:rPr>
            </w:pPr>
          </w:p>
          <w:p w14:paraId="10BEEECE" w14:textId="77777777" w:rsidR="003237A8" w:rsidRPr="001300A9" w:rsidRDefault="003237A8" w:rsidP="00357CEC">
            <w:pPr>
              <w:pStyle w:val="Default"/>
              <w:rPr>
                <w:sz w:val="22"/>
                <w:szCs w:val="22"/>
              </w:rPr>
            </w:pPr>
          </w:p>
          <w:p w14:paraId="07DC0C23" w14:textId="77777777" w:rsidR="003237A8" w:rsidRPr="001300A9" w:rsidRDefault="003237A8" w:rsidP="00357CEC">
            <w:pPr>
              <w:pStyle w:val="Default"/>
              <w:rPr>
                <w:sz w:val="22"/>
                <w:szCs w:val="22"/>
              </w:rPr>
            </w:pPr>
          </w:p>
          <w:p w14:paraId="1FCA5024" w14:textId="77777777" w:rsidR="003237A8" w:rsidRPr="001300A9" w:rsidRDefault="003237A8" w:rsidP="00357CEC">
            <w:pPr>
              <w:pStyle w:val="Default"/>
              <w:rPr>
                <w:sz w:val="22"/>
                <w:szCs w:val="22"/>
              </w:rPr>
            </w:pPr>
          </w:p>
          <w:p w14:paraId="2F713C1D" w14:textId="77777777" w:rsidR="003237A8" w:rsidRPr="001300A9" w:rsidRDefault="003237A8" w:rsidP="00357CEC">
            <w:pPr>
              <w:pStyle w:val="Default"/>
              <w:rPr>
                <w:sz w:val="22"/>
                <w:szCs w:val="22"/>
              </w:rPr>
            </w:pPr>
          </w:p>
          <w:p w14:paraId="261BDF81" w14:textId="77777777" w:rsidR="003237A8" w:rsidRPr="001300A9" w:rsidRDefault="003237A8" w:rsidP="00357CEC">
            <w:pPr>
              <w:pStyle w:val="Default"/>
              <w:rPr>
                <w:sz w:val="22"/>
                <w:szCs w:val="22"/>
              </w:rPr>
            </w:pPr>
          </w:p>
          <w:p w14:paraId="165A2FD5" w14:textId="77777777" w:rsidR="003237A8" w:rsidRPr="001300A9" w:rsidRDefault="003237A8" w:rsidP="00357CEC">
            <w:pPr>
              <w:pStyle w:val="Default"/>
              <w:rPr>
                <w:sz w:val="22"/>
                <w:szCs w:val="22"/>
              </w:rPr>
            </w:pPr>
          </w:p>
          <w:p w14:paraId="1CE9BB4C" w14:textId="77777777" w:rsidR="003237A8" w:rsidRPr="001300A9" w:rsidRDefault="003237A8" w:rsidP="00357CEC">
            <w:pPr>
              <w:pStyle w:val="Default"/>
              <w:rPr>
                <w:sz w:val="22"/>
                <w:szCs w:val="22"/>
              </w:rPr>
            </w:pPr>
          </w:p>
          <w:p w14:paraId="4DC31FEF" w14:textId="77777777" w:rsidR="003237A8" w:rsidRPr="001300A9" w:rsidRDefault="003237A8" w:rsidP="00357CEC">
            <w:pPr>
              <w:pStyle w:val="Default"/>
              <w:rPr>
                <w:sz w:val="22"/>
                <w:szCs w:val="22"/>
              </w:rPr>
            </w:pPr>
          </w:p>
          <w:p w14:paraId="51ACFF0C" w14:textId="77777777" w:rsidR="003237A8" w:rsidRPr="001300A9" w:rsidRDefault="003237A8" w:rsidP="00357CEC">
            <w:pPr>
              <w:pStyle w:val="Default"/>
              <w:rPr>
                <w:sz w:val="22"/>
                <w:szCs w:val="22"/>
              </w:rPr>
            </w:pPr>
          </w:p>
          <w:p w14:paraId="74C1466C" w14:textId="77777777" w:rsidR="003237A8" w:rsidRPr="001300A9" w:rsidRDefault="003237A8" w:rsidP="00357CEC">
            <w:pPr>
              <w:pStyle w:val="Default"/>
              <w:rPr>
                <w:sz w:val="22"/>
                <w:szCs w:val="22"/>
              </w:rPr>
            </w:pPr>
          </w:p>
          <w:p w14:paraId="35B79FFC" w14:textId="77777777" w:rsidR="003237A8" w:rsidRPr="001300A9" w:rsidRDefault="003237A8" w:rsidP="00357CEC">
            <w:pPr>
              <w:pStyle w:val="Default"/>
              <w:rPr>
                <w:sz w:val="22"/>
                <w:szCs w:val="22"/>
              </w:rPr>
            </w:pPr>
          </w:p>
          <w:p w14:paraId="60815F09" w14:textId="77777777" w:rsidR="003237A8" w:rsidRPr="001300A9" w:rsidRDefault="003237A8" w:rsidP="00357CEC">
            <w:pPr>
              <w:pStyle w:val="Default"/>
              <w:rPr>
                <w:sz w:val="22"/>
                <w:szCs w:val="22"/>
              </w:rPr>
            </w:pPr>
          </w:p>
          <w:p w14:paraId="5E27C9F7" w14:textId="77777777" w:rsidR="003237A8" w:rsidRPr="001300A9" w:rsidRDefault="003237A8" w:rsidP="00357CEC">
            <w:pPr>
              <w:pStyle w:val="Default"/>
              <w:rPr>
                <w:sz w:val="22"/>
                <w:szCs w:val="22"/>
              </w:rPr>
            </w:pPr>
          </w:p>
          <w:p w14:paraId="377BDF93" w14:textId="77777777" w:rsidR="003237A8" w:rsidRPr="001300A9" w:rsidRDefault="003237A8" w:rsidP="00357CEC">
            <w:pPr>
              <w:pStyle w:val="Default"/>
              <w:rPr>
                <w:sz w:val="22"/>
                <w:szCs w:val="22"/>
              </w:rPr>
            </w:pPr>
          </w:p>
          <w:p w14:paraId="263CD1E3" w14:textId="6909DB03" w:rsidR="003237A8" w:rsidRPr="001300A9" w:rsidRDefault="003237A8" w:rsidP="00357CEC">
            <w:pPr>
              <w:pStyle w:val="Default"/>
              <w:rPr>
                <w:sz w:val="22"/>
                <w:szCs w:val="22"/>
              </w:rPr>
            </w:pPr>
          </w:p>
          <w:p w14:paraId="58C82F88" w14:textId="4FF22575" w:rsidR="21A61628" w:rsidRDefault="21A61628" w:rsidP="21A61628">
            <w:pPr>
              <w:pStyle w:val="Default"/>
              <w:rPr>
                <w:sz w:val="22"/>
                <w:szCs w:val="22"/>
              </w:rPr>
            </w:pPr>
          </w:p>
          <w:p w14:paraId="76B179E8" w14:textId="0980CEFA" w:rsidR="003237A8" w:rsidRPr="001300A9" w:rsidRDefault="003237A8" w:rsidP="00357CEC">
            <w:pPr>
              <w:pStyle w:val="Default"/>
              <w:rPr>
                <w:sz w:val="22"/>
                <w:szCs w:val="22"/>
              </w:rPr>
            </w:pPr>
            <w:r w:rsidRPr="001300A9">
              <w:rPr>
                <w:sz w:val="22"/>
                <w:szCs w:val="22"/>
              </w:rPr>
              <w:t>GP - N</w:t>
            </w:r>
          </w:p>
          <w:p w14:paraId="119EC254" w14:textId="77777777" w:rsidR="003237A8" w:rsidRPr="001300A9" w:rsidRDefault="003237A8" w:rsidP="00357CEC">
            <w:pPr>
              <w:pStyle w:val="Default"/>
              <w:rPr>
                <w:sz w:val="22"/>
                <w:szCs w:val="22"/>
              </w:rPr>
            </w:pPr>
          </w:p>
          <w:p w14:paraId="1291CC89" w14:textId="77777777" w:rsidR="003237A8" w:rsidRPr="001300A9" w:rsidRDefault="003237A8" w:rsidP="00357CEC">
            <w:pPr>
              <w:pStyle w:val="Default"/>
              <w:rPr>
                <w:sz w:val="22"/>
                <w:szCs w:val="22"/>
              </w:rPr>
            </w:pPr>
          </w:p>
          <w:p w14:paraId="7E606A33" w14:textId="77777777" w:rsidR="003237A8" w:rsidRPr="001300A9" w:rsidRDefault="003237A8" w:rsidP="00357CEC">
            <w:pPr>
              <w:pStyle w:val="Default"/>
              <w:rPr>
                <w:sz w:val="22"/>
                <w:szCs w:val="22"/>
              </w:rPr>
            </w:pPr>
          </w:p>
          <w:p w14:paraId="53D71CD7" w14:textId="77777777" w:rsidR="003237A8" w:rsidRPr="001300A9" w:rsidRDefault="003237A8" w:rsidP="00357CEC">
            <w:pPr>
              <w:pStyle w:val="Default"/>
              <w:rPr>
                <w:sz w:val="22"/>
                <w:szCs w:val="22"/>
              </w:rPr>
            </w:pPr>
          </w:p>
          <w:p w14:paraId="7E7A36BF" w14:textId="77777777" w:rsidR="003237A8" w:rsidRPr="001300A9" w:rsidRDefault="003237A8" w:rsidP="00357CEC">
            <w:pPr>
              <w:pStyle w:val="Default"/>
              <w:rPr>
                <w:sz w:val="22"/>
                <w:szCs w:val="22"/>
              </w:rPr>
            </w:pPr>
          </w:p>
          <w:p w14:paraId="31934B01" w14:textId="77777777" w:rsidR="003237A8" w:rsidRPr="001300A9" w:rsidRDefault="003237A8" w:rsidP="00357CEC">
            <w:pPr>
              <w:pStyle w:val="Default"/>
              <w:rPr>
                <w:sz w:val="22"/>
                <w:szCs w:val="22"/>
              </w:rPr>
            </w:pPr>
          </w:p>
          <w:p w14:paraId="7AB12486" w14:textId="77777777" w:rsidR="003237A8" w:rsidRPr="001300A9" w:rsidRDefault="003237A8" w:rsidP="00357CEC">
            <w:pPr>
              <w:pStyle w:val="Default"/>
              <w:rPr>
                <w:sz w:val="22"/>
                <w:szCs w:val="22"/>
              </w:rPr>
            </w:pPr>
          </w:p>
          <w:p w14:paraId="78D32D99" w14:textId="77777777" w:rsidR="003237A8" w:rsidRPr="001300A9" w:rsidRDefault="003237A8" w:rsidP="00357CEC">
            <w:pPr>
              <w:pStyle w:val="Default"/>
              <w:rPr>
                <w:sz w:val="22"/>
                <w:szCs w:val="22"/>
              </w:rPr>
            </w:pPr>
          </w:p>
          <w:p w14:paraId="3653F990" w14:textId="67083067" w:rsidR="21A61628" w:rsidRDefault="21A61628" w:rsidP="21A61628">
            <w:pPr>
              <w:pStyle w:val="Default"/>
              <w:rPr>
                <w:sz w:val="22"/>
                <w:szCs w:val="22"/>
              </w:rPr>
            </w:pPr>
          </w:p>
          <w:p w14:paraId="532594A6" w14:textId="54D58C6D" w:rsidR="21A61628" w:rsidRDefault="21A61628" w:rsidP="21A61628">
            <w:pPr>
              <w:pStyle w:val="Default"/>
              <w:rPr>
                <w:sz w:val="22"/>
                <w:szCs w:val="22"/>
              </w:rPr>
            </w:pPr>
          </w:p>
          <w:p w14:paraId="20DB0871" w14:textId="7DC1FEDC" w:rsidR="003237A8" w:rsidRPr="001300A9" w:rsidRDefault="003237A8" w:rsidP="00357CEC">
            <w:pPr>
              <w:pStyle w:val="Default"/>
              <w:rPr>
                <w:sz w:val="22"/>
                <w:szCs w:val="22"/>
              </w:rPr>
            </w:pPr>
          </w:p>
          <w:p w14:paraId="0DDFA7C0" w14:textId="77777777" w:rsidR="003237A8" w:rsidRPr="001300A9" w:rsidRDefault="003237A8" w:rsidP="00357CEC">
            <w:pPr>
              <w:pStyle w:val="Default"/>
              <w:rPr>
                <w:sz w:val="22"/>
                <w:szCs w:val="22"/>
              </w:rPr>
            </w:pPr>
            <w:r w:rsidRPr="001300A9">
              <w:rPr>
                <w:sz w:val="22"/>
                <w:szCs w:val="22"/>
              </w:rPr>
              <w:t>GP - N</w:t>
            </w:r>
          </w:p>
          <w:p w14:paraId="58333C47" w14:textId="77777777" w:rsidR="003237A8" w:rsidRPr="001300A9" w:rsidRDefault="003237A8" w:rsidP="00357CEC">
            <w:pPr>
              <w:pStyle w:val="Default"/>
              <w:rPr>
                <w:sz w:val="22"/>
                <w:szCs w:val="22"/>
              </w:rPr>
            </w:pPr>
          </w:p>
          <w:p w14:paraId="409C4D3B" w14:textId="77777777" w:rsidR="003237A8" w:rsidRPr="001300A9" w:rsidRDefault="003237A8" w:rsidP="00357CEC">
            <w:pPr>
              <w:pStyle w:val="Default"/>
              <w:rPr>
                <w:sz w:val="22"/>
                <w:szCs w:val="22"/>
              </w:rPr>
            </w:pPr>
          </w:p>
          <w:p w14:paraId="474B9751" w14:textId="77777777" w:rsidR="003237A8" w:rsidRPr="001300A9" w:rsidRDefault="003237A8" w:rsidP="00357CEC">
            <w:pPr>
              <w:pStyle w:val="Default"/>
              <w:rPr>
                <w:sz w:val="22"/>
                <w:szCs w:val="22"/>
              </w:rPr>
            </w:pPr>
          </w:p>
          <w:p w14:paraId="39F8D1D2" w14:textId="77777777" w:rsidR="003237A8" w:rsidRPr="001300A9" w:rsidRDefault="003237A8" w:rsidP="00357CEC">
            <w:pPr>
              <w:pStyle w:val="Default"/>
              <w:rPr>
                <w:sz w:val="22"/>
                <w:szCs w:val="22"/>
              </w:rPr>
            </w:pPr>
          </w:p>
          <w:p w14:paraId="19964580" w14:textId="77777777" w:rsidR="003237A8" w:rsidRPr="001300A9" w:rsidRDefault="003237A8" w:rsidP="00357CEC">
            <w:pPr>
              <w:pStyle w:val="Default"/>
              <w:rPr>
                <w:sz w:val="22"/>
                <w:szCs w:val="22"/>
              </w:rPr>
            </w:pPr>
          </w:p>
          <w:p w14:paraId="34F4FBAB" w14:textId="77777777" w:rsidR="003237A8" w:rsidRPr="001300A9" w:rsidRDefault="003237A8" w:rsidP="00357CEC">
            <w:pPr>
              <w:pStyle w:val="Default"/>
              <w:rPr>
                <w:sz w:val="22"/>
                <w:szCs w:val="22"/>
              </w:rPr>
            </w:pPr>
          </w:p>
          <w:p w14:paraId="3567A37E" w14:textId="77777777" w:rsidR="003237A8" w:rsidRPr="001300A9" w:rsidRDefault="003237A8" w:rsidP="00357CEC">
            <w:pPr>
              <w:pStyle w:val="Default"/>
              <w:rPr>
                <w:sz w:val="22"/>
                <w:szCs w:val="22"/>
              </w:rPr>
            </w:pPr>
          </w:p>
          <w:p w14:paraId="63F7E07A" w14:textId="77777777" w:rsidR="003237A8" w:rsidRPr="001300A9" w:rsidRDefault="003237A8" w:rsidP="00357CEC">
            <w:pPr>
              <w:pStyle w:val="Default"/>
              <w:rPr>
                <w:sz w:val="22"/>
                <w:szCs w:val="22"/>
              </w:rPr>
            </w:pPr>
          </w:p>
          <w:p w14:paraId="376BA201" w14:textId="77777777" w:rsidR="003237A8" w:rsidRPr="001300A9" w:rsidRDefault="003237A8" w:rsidP="00357CEC">
            <w:pPr>
              <w:pStyle w:val="Default"/>
              <w:rPr>
                <w:sz w:val="22"/>
                <w:szCs w:val="22"/>
              </w:rPr>
            </w:pPr>
          </w:p>
          <w:p w14:paraId="3732D99B" w14:textId="77777777" w:rsidR="003237A8" w:rsidRPr="001300A9" w:rsidRDefault="003237A8" w:rsidP="00357CEC">
            <w:pPr>
              <w:pStyle w:val="Default"/>
              <w:rPr>
                <w:sz w:val="22"/>
                <w:szCs w:val="22"/>
              </w:rPr>
            </w:pPr>
          </w:p>
          <w:p w14:paraId="34D2CF99" w14:textId="77777777" w:rsidR="003237A8" w:rsidRPr="001300A9" w:rsidRDefault="003237A8" w:rsidP="00357CEC">
            <w:pPr>
              <w:pStyle w:val="Default"/>
              <w:rPr>
                <w:sz w:val="22"/>
                <w:szCs w:val="22"/>
              </w:rPr>
            </w:pPr>
          </w:p>
          <w:p w14:paraId="6097A35F" w14:textId="5870AA17" w:rsidR="000F60BB" w:rsidRDefault="000F60BB" w:rsidP="00357CEC">
            <w:pPr>
              <w:pStyle w:val="Default"/>
              <w:rPr>
                <w:sz w:val="22"/>
                <w:szCs w:val="22"/>
              </w:rPr>
            </w:pPr>
          </w:p>
          <w:p w14:paraId="531D9CFE" w14:textId="5699AD3B" w:rsidR="003237A8" w:rsidRPr="001300A9" w:rsidRDefault="003237A8" w:rsidP="00357CEC">
            <w:pPr>
              <w:pStyle w:val="Default"/>
              <w:rPr>
                <w:sz w:val="22"/>
                <w:szCs w:val="22"/>
              </w:rPr>
            </w:pPr>
            <w:r w:rsidRPr="001300A9">
              <w:rPr>
                <w:sz w:val="22"/>
                <w:szCs w:val="22"/>
              </w:rPr>
              <w:t>GP - N</w:t>
            </w:r>
          </w:p>
          <w:p w14:paraId="321CA433" w14:textId="77777777" w:rsidR="003237A8" w:rsidRPr="001300A9" w:rsidRDefault="003237A8" w:rsidP="00357CEC">
            <w:pPr>
              <w:pStyle w:val="Default"/>
              <w:rPr>
                <w:sz w:val="22"/>
                <w:szCs w:val="22"/>
              </w:rPr>
            </w:pPr>
          </w:p>
          <w:p w14:paraId="0FD40FE6" w14:textId="77777777" w:rsidR="003237A8" w:rsidRPr="001300A9" w:rsidRDefault="003237A8" w:rsidP="00357CEC">
            <w:pPr>
              <w:pStyle w:val="Default"/>
              <w:rPr>
                <w:sz w:val="22"/>
                <w:szCs w:val="22"/>
              </w:rPr>
            </w:pPr>
          </w:p>
          <w:p w14:paraId="55729616" w14:textId="77777777" w:rsidR="003237A8" w:rsidRPr="001300A9" w:rsidRDefault="003237A8" w:rsidP="00357CEC">
            <w:pPr>
              <w:pStyle w:val="Default"/>
              <w:rPr>
                <w:sz w:val="22"/>
                <w:szCs w:val="22"/>
              </w:rPr>
            </w:pPr>
          </w:p>
          <w:p w14:paraId="27F4B84A" w14:textId="77777777" w:rsidR="003237A8" w:rsidRPr="001300A9" w:rsidRDefault="003237A8" w:rsidP="00357CEC">
            <w:pPr>
              <w:pStyle w:val="Default"/>
              <w:rPr>
                <w:sz w:val="22"/>
                <w:szCs w:val="22"/>
              </w:rPr>
            </w:pPr>
          </w:p>
          <w:p w14:paraId="724EB0BE" w14:textId="77777777" w:rsidR="003237A8" w:rsidRPr="001300A9" w:rsidRDefault="003237A8" w:rsidP="00357CEC">
            <w:pPr>
              <w:pStyle w:val="Default"/>
              <w:rPr>
                <w:sz w:val="22"/>
                <w:szCs w:val="22"/>
              </w:rPr>
            </w:pPr>
          </w:p>
          <w:p w14:paraId="4FDF5C43" w14:textId="77777777" w:rsidR="003237A8" w:rsidRPr="001300A9" w:rsidRDefault="003237A8" w:rsidP="00357CEC">
            <w:pPr>
              <w:pStyle w:val="Default"/>
              <w:rPr>
                <w:sz w:val="22"/>
                <w:szCs w:val="22"/>
              </w:rPr>
            </w:pPr>
          </w:p>
          <w:p w14:paraId="46E35E44" w14:textId="77777777" w:rsidR="003237A8" w:rsidRPr="001300A9" w:rsidRDefault="003237A8" w:rsidP="00357CEC">
            <w:pPr>
              <w:pStyle w:val="Default"/>
              <w:rPr>
                <w:sz w:val="22"/>
                <w:szCs w:val="22"/>
              </w:rPr>
            </w:pPr>
          </w:p>
          <w:p w14:paraId="04883A71" w14:textId="68FC5F09" w:rsidR="003237A8" w:rsidRPr="001300A9" w:rsidRDefault="003237A8" w:rsidP="00357CEC">
            <w:pPr>
              <w:pStyle w:val="Default"/>
              <w:rPr>
                <w:sz w:val="22"/>
                <w:szCs w:val="22"/>
              </w:rPr>
            </w:pPr>
          </w:p>
          <w:p w14:paraId="265FC5C7" w14:textId="0EC76E42" w:rsidR="4792BE4F" w:rsidRDefault="4792BE4F" w:rsidP="4792BE4F">
            <w:pPr>
              <w:pStyle w:val="Default"/>
              <w:rPr>
                <w:sz w:val="22"/>
                <w:szCs w:val="22"/>
              </w:rPr>
            </w:pPr>
          </w:p>
          <w:p w14:paraId="2B7CA20C" w14:textId="2D49C124" w:rsidR="4792BE4F" w:rsidRDefault="4792BE4F" w:rsidP="4792BE4F">
            <w:pPr>
              <w:pStyle w:val="Default"/>
              <w:rPr>
                <w:sz w:val="22"/>
                <w:szCs w:val="22"/>
              </w:rPr>
            </w:pPr>
          </w:p>
          <w:p w14:paraId="7936A29E" w14:textId="63E0F21E" w:rsidR="003237A8" w:rsidRPr="001300A9" w:rsidRDefault="00260BC4" w:rsidP="00357CEC">
            <w:pPr>
              <w:pStyle w:val="Default"/>
              <w:rPr>
                <w:sz w:val="22"/>
                <w:szCs w:val="22"/>
              </w:rPr>
            </w:pPr>
            <w:r>
              <w:rPr>
                <w:sz w:val="22"/>
                <w:szCs w:val="22"/>
              </w:rPr>
              <w:t>GP - N</w:t>
            </w:r>
          </w:p>
          <w:p w14:paraId="40096FA0" w14:textId="77777777" w:rsidR="003237A8" w:rsidRPr="001300A9" w:rsidRDefault="003237A8" w:rsidP="00357CEC">
            <w:pPr>
              <w:pStyle w:val="Default"/>
              <w:rPr>
                <w:sz w:val="22"/>
                <w:szCs w:val="22"/>
              </w:rPr>
            </w:pPr>
          </w:p>
          <w:p w14:paraId="0973866C" w14:textId="77777777" w:rsidR="00E179E7" w:rsidRDefault="00E179E7" w:rsidP="00357CEC">
            <w:pPr>
              <w:pStyle w:val="Default"/>
              <w:rPr>
                <w:sz w:val="22"/>
                <w:szCs w:val="22"/>
              </w:rPr>
            </w:pPr>
          </w:p>
          <w:p w14:paraId="6C059C9C" w14:textId="77777777" w:rsidR="00E179E7" w:rsidRDefault="00E179E7" w:rsidP="00357CEC">
            <w:pPr>
              <w:pStyle w:val="Default"/>
              <w:rPr>
                <w:sz w:val="22"/>
                <w:szCs w:val="22"/>
              </w:rPr>
            </w:pPr>
          </w:p>
          <w:p w14:paraId="3219CE83" w14:textId="77777777" w:rsidR="00E179E7" w:rsidRDefault="00E179E7" w:rsidP="00357CEC">
            <w:pPr>
              <w:pStyle w:val="Default"/>
              <w:rPr>
                <w:sz w:val="22"/>
                <w:szCs w:val="22"/>
              </w:rPr>
            </w:pPr>
          </w:p>
          <w:p w14:paraId="5A23818F" w14:textId="77777777" w:rsidR="00E179E7" w:rsidRDefault="00E179E7" w:rsidP="00357CEC">
            <w:pPr>
              <w:pStyle w:val="Default"/>
              <w:rPr>
                <w:sz w:val="22"/>
                <w:szCs w:val="22"/>
              </w:rPr>
            </w:pPr>
          </w:p>
          <w:p w14:paraId="4A2075B7" w14:textId="77777777" w:rsidR="00E179E7" w:rsidRDefault="00E179E7" w:rsidP="00357CEC">
            <w:pPr>
              <w:pStyle w:val="Default"/>
              <w:rPr>
                <w:sz w:val="22"/>
                <w:szCs w:val="22"/>
              </w:rPr>
            </w:pPr>
          </w:p>
          <w:p w14:paraId="76DA0BC3" w14:textId="23413579" w:rsidR="00E179E7" w:rsidRDefault="00E179E7" w:rsidP="00357CEC">
            <w:pPr>
              <w:pStyle w:val="Default"/>
              <w:rPr>
                <w:sz w:val="22"/>
                <w:szCs w:val="22"/>
              </w:rPr>
            </w:pPr>
          </w:p>
          <w:p w14:paraId="450C1A14" w14:textId="75847DC6" w:rsidR="003237A8" w:rsidRPr="001300A9" w:rsidRDefault="003237A8" w:rsidP="00357CEC">
            <w:pPr>
              <w:pStyle w:val="Default"/>
              <w:rPr>
                <w:sz w:val="22"/>
                <w:szCs w:val="22"/>
              </w:rPr>
            </w:pPr>
            <w:r w:rsidRPr="001300A9">
              <w:rPr>
                <w:sz w:val="22"/>
                <w:szCs w:val="22"/>
              </w:rPr>
              <w:t>GP - N</w:t>
            </w:r>
          </w:p>
          <w:p w14:paraId="7C5139A5" w14:textId="77777777" w:rsidR="00C31279" w:rsidRPr="001300A9" w:rsidRDefault="00C31279" w:rsidP="00357CEC">
            <w:pPr>
              <w:pStyle w:val="Default"/>
              <w:rPr>
                <w:sz w:val="22"/>
                <w:szCs w:val="22"/>
              </w:rPr>
            </w:pPr>
          </w:p>
          <w:p w14:paraId="531D5A9D" w14:textId="77777777" w:rsidR="00C31279" w:rsidRPr="001300A9" w:rsidRDefault="00C31279" w:rsidP="00357CEC">
            <w:pPr>
              <w:pStyle w:val="Default"/>
              <w:rPr>
                <w:sz w:val="22"/>
                <w:szCs w:val="22"/>
              </w:rPr>
            </w:pPr>
          </w:p>
          <w:p w14:paraId="282A13A0" w14:textId="77777777" w:rsidR="00C31279" w:rsidRPr="001300A9" w:rsidRDefault="00C31279" w:rsidP="00357CEC">
            <w:pPr>
              <w:pStyle w:val="Default"/>
              <w:rPr>
                <w:sz w:val="22"/>
                <w:szCs w:val="22"/>
              </w:rPr>
            </w:pPr>
          </w:p>
          <w:p w14:paraId="713FABC0" w14:textId="77777777" w:rsidR="00C31279" w:rsidRPr="001300A9" w:rsidRDefault="00C31279" w:rsidP="00357CEC">
            <w:pPr>
              <w:pStyle w:val="Default"/>
              <w:rPr>
                <w:sz w:val="22"/>
                <w:szCs w:val="22"/>
              </w:rPr>
            </w:pPr>
          </w:p>
          <w:p w14:paraId="48C8F12E" w14:textId="17CF48D8" w:rsidR="00E179E7" w:rsidRPr="001300A9" w:rsidRDefault="00E179E7" w:rsidP="00357CEC">
            <w:pPr>
              <w:pStyle w:val="Default"/>
              <w:rPr>
                <w:sz w:val="22"/>
                <w:szCs w:val="22"/>
              </w:rPr>
            </w:pPr>
          </w:p>
          <w:p w14:paraId="1C54E030" w14:textId="77777777" w:rsidR="00C31279" w:rsidRPr="001300A9" w:rsidRDefault="00C31279" w:rsidP="00357CEC">
            <w:pPr>
              <w:pStyle w:val="Default"/>
              <w:rPr>
                <w:sz w:val="22"/>
                <w:szCs w:val="22"/>
              </w:rPr>
            </w:pPr>
            <w:r w:rsidRPr="001300A9">
              <w:rPr>
                <w:sz w:val="22"/>
                <w:szCs w:val="22"/>
              </w:rPr>
              <w:t>GP - N</w:t>
            </w:r>
          </w:p>
          <w:p w14:paraId="7F2948F5" w14:textId="77777777" w:rsidR="00C31279" w:rsidRPr="001300A9" w:rsidRDefault="00C31279" w:rsidP="00357CEC">
            <w:pPr>
              <w:pStyle w:val="Default"/>
              <w:rPr>
                <w:sz w:val="22"/>
                <w:szCs w:val="22"/>
              </w:rPr>
            </w:pPr>
          </w:p>
          <w:p w14:paraId="6DE0CFB2" w14:textId="77777777" w:rsidR="00C31279" w:rsidRPr="001300A9" w:rsidRDefault="00C31279" w:rsidP="00357CEC">
            <w:pPr>
              <w:pStyle w:val="Default"/>
              <w:rPr>
                <w:sz w:val="22"/>
                <w:szCs w:val="22"/>
              </w:rPr>
            </w:pPr>
          </w:p>
          <w:p w14:paraId="648CC0B2" w14:textId="77777777" w:rsidR="00C31279" w:rsidRPr="001300A9" w:rsidRDefault="00C31279" w:rsidP="00357CEC">
            <w:pPr>
              <w:pStyle w:val="Default"/>
              <w:rPr>
                <w:sz w:val="22"/>
                <w:szCs w:val="22"/>
              </w:rPr>
            </w:pPr>
          </w:p>
          <w:p w14:paraId="06C94F33" w14:textId="77777777" w:rsidR="00C31279" w:rsidRPr="001300A9" w:rsidRDefault="00C31279" w:rsidP="00357CEC">
            <w:pPr>
              <w:pStyle w:val="Default"/>
              <w:rPr>
                <w:sz w:val="22"/>
                <w:szCs w:val="22"/>
              </w:rPr>
            </w:pPr>
          </w:p>
          <w:p w14:paraId="73F00588" w14:textId="77777777" w:rsidR="00C31279" w:rsidRPr="001300A9" w:rsidRDefault="00C31279" w:rsidP="00357CEC">
            <w:pPr>
              <w:pStyle w:val="Default"/>
              <w:rPr>
                <w:sz w:val="22"/>
                <w:szCs w:val="22"/>
              </w:rPr>
            </w:pPr>
          </w:p>
          <w:p w14:paraId="5A11207A" w14:textId="77777777" w:rsidR="00C31279" w:rsidRPr="001300A9" w:rsidRDefault="00C31279" w:rsidP="00357CEC">
            <w:pPr>
              <w:pStyle w:val="Default"/>
              <w:rPr>
                <w:sz w:val="22"/>
                <w:szCs w:val="22"/>
              </w:rPr>
            </w:pPr>
          </w:p>
          <w:p w14:paraId="5E17BBB7" w14:textId="77777777" w:rsidR="00C31279" w:rsidRPr="001300A9" w:rsidRDefault="00C31279" w:rsidP="00357CEC">
            <w:pPr>
              <w:pStyle w:val="Default"/>
              <w:rPr>
                <w:sz w:val="22"/>
                <w:szCs w:val="22"/>
              </w:rPr>
            </w:pPr>
          </w:p>
          <w:p w14:paraId="4F893BB0" w14:textId="77777777" w:rsidR="00C31279" w:rsidRPr="001300A9" w:rsidRDefault="00C31279" w:rsidP="00357CEC">
            <w:pPr>
              <w:pStyle w:val="Default"/>
              <w:rPr>
                <w:sz w:val="22"/>
                <w:szCs w:val="22"/>
              </w:rPr>
            </w:pPr>
          </w:p>
          <w:p w14:paraId="5EC3B177" w14:textId="77777777" w:rsidR="00C31279" w:rsidRPr="001300A9" w:rsidRDefault="00C31279" w:rsidP="00357CEC">
            <w:pPr>
              <w:pStyle w:val="Default"/>
              <w:rPr>
                <w:sz w:val="22"/>
                <w:szCs w:val="22"/>
              </w:rPr>
            </w:pPr>
          </w:p>
          <w:p w14:paraId="147C1CF7" w14:textId="77777777" w:rsidR="00C31279" w:rsidRPr="001300A9" w:rsidRDefault="00C31279" w:rsidP="00357CEC">
            <w:pPr>
              <w:pStyle w:val="Default"/>
              <w:rPr>
                <w:sz w:val="22"/>
                <w:szCs w:val="22"/>
              </w:rPr>
            </w:pPr>
          </w:p>
          <w:p w14:paraId="786FF76F" w14:textId="77777777" w:rsidR="00C31279" w:rsidRPr="001300A9" w:rsidRDefault="00C31279" w:rsidP="00357CEC">
            <w:pPr>
              <w:pStyle w:val="Default"/>
              <w:rPr>
                <w:sz w:val="22"/>
                <w:szCs w:val="22"/>
              </w:rPr>
            </w:pPr>
          </w:p>
          <w:p w14:paraId="7A745701" w14:textId="77777777" w:rsidR="00C31279" w:rsidRPr="001300A9" w:rsidRDefault="00C31279" w:rsidP="00357CEC">
            <w:pPr>
              <w:pStyle w:val="Default"/>
              <w:rPr>
                <w:sz w:val="22"/>
                <w:szCs w:val="22"/>
              </w:rPr>
            </w:pPr>
          </w:p>
          <w:p w14:paraId="5C3AC0F7" w14:textId="77777777" w:rsidR="00C31279" w:rsidRPr="001300A9" w:rsidRDefault="00C31279" w:rsidP="00357CEC">
            <w:pPr>
              <w:pStyle w:val="Default"/>
              <w:rPr>
                <w:sz w:val="22"/>
                <w:szCs w:val="22"/>
              </w:rPr>
            </w:pPr>
          </w:p>
          <w:p w14:paraId="5509AA75" w14:textId="77777777" w:rsidR="00C31279" w:rsidRPr="001300A9" w:rsidRDefault="00C31279" w:rsidP="00357CEC">
            <w:pPr>
              <w:pStyle w:val="Default"/>
              <w:rPr>
                <w:sz w:val="22"/>
                <w:szCs w:val="22"/>
              </w:rPr>
            </w:pPr>
          </w:p>
          <w:p w14:paraId="6EDD2577" w14:textId="77777777" w:rsidR="00C31279" w:rsidRPr="001300A9" w:rsidRDefault="00C31279" w:rsidP="00357CEC">
            <w:pPr>
              <w:pStyle w:val="Default"/>
              <w:rPr>
                <w:sz w:val="22"/>
                <w:szCs w:val="22"/>
              </w:rPr>
            </w:pPr>
          </w:p>
          <w:p w14:paraId="34F333B4" w14:textId="77777777" w:rsidR="00C31279" w:rsidRPr="001300A9" w:rsidRDefault="00C31279" w:rsidP="00357CEC">
            <w:pPr>
              <w:pStyle w:val="Default"/>
              <w:rPr>
                <w:sz w:val="22"/>
                <w:szCs w:val="22"/>
              </w:rPr>
            </w:pPr>
          </w:p>
          <w:p w14:paraId="71134266" w14:textId="77777777" w:rsidR="00C31279" w:rsidRPr="001300A9" w:rsidRDefault="00C31279" w:rsidP="00357CEC">
            <w:pPr>
              <w:pStyle w:val="Default"/>
              <w:rPr>
                <w:sz w:val="22"/>
                <w:szCs w:val="22"/>
              </w:rPr>
            </w:pPr>
          </w:p>
          <w:p w14:paraId="0AE7443C" w14:textId="77777777" w:rsidR="00C31279" w:rsidRPr="001300A9" w:rsidRDefault="00C31279" w:rsidP="00357CEC">
            <w:pPr>
              <w:pStyle w:val="Default"/>
              <w:rPr>
                <w:sz w:val="22"/>
                <w:szCs w:val="22"/>
              </w:rPr>
            </w:pPr>
          </w:p>
          <w:p w14:paraId="65316AF7" w14:textId="77777777" w:rsidR="00C31279" w:rsidRPr="001300A9" w:rsidRDefault="00C31279" w:rsidP="00357CEC">
            <w:pPr>
              <w:pStyle w:val="Default"/>
              <w:rPr>
                <w:sz w:val="22"/>
                <w:szCs w:val="22"/>
              </w:rPr>
            </w:pPr>
          </w:p>
          <w:p w14:paraId="33E17646" w14:textId="77777777" w:rsidR="00C31279" w:rsidRPr="001300A9" w:rsidRDefault="00C31279" w:rsidP="00357CEC">
            <w:pPr>
              <w:pStyle w:val="Default"/>
              <w:rPr>
                <w:sz w:val="22"/>
                <w:szCs w:val="22"/>
              </w:rPr>
            </w:pPr>
          </w:p>
          <w:p w14:paraId="6B832E86" w14:textId="77777777" w:rsidR="00C31279" w:rsidRPr="001300A9" w:rsidRDefault="00C31279" w:rsidP="00357CEC">
            <w:pPr>
              <w:pStyle w:val="Default"/>
              <w:rPr>
                <w:sz w:val="22"/>
                <w:szCs w:val="22"/>
              </w:rPr>
            </w:pPr>
          </w:p>
          <w:p w14:paraId="229CB561" w14:textId="77777777" w:rsidR="00C31279" w:rsidRPr="001300A9" w:rsidRDefault="00C31279" w:rsidP="00357CEC">
            <w:pPr>
              <w:pStyle w:val="Default"/>
              <w:rPr>
                <w:sz w:val="22"/>
                <w:szCs w:val="22"/>
              </w:rPr>
            </w:pPr>
          </w:p>
          <w:p w14:paraId="70E716E3" w14:textId="77777777" w:rsidR="00C31279" w:rsidRPr="001300A9" w:rsidRDefault="00C31279" w:rsidP="00357CEC">
            <w:pPr>
              <w:pStyle w:val="Default"/>
              <w:rPr>
                <w:sz w:val="22"/>
                <w:szCs w:val="22"/>
              </w:rPr>
            </w:pPr>
          </w:p>
          <w:p w14:paraId="6C65FBB2" w14:textId="77777777" w:rsidR="00C31279" w:rsidRPr="001300A9" w:rsidRDefault="00C31279" w:rsidP="00357CEC">
            <w:pPr>
              <w:pStyle w:val="Default"/>
              <w:rPr>
                <w:sz w:val="22"/>
                <w:szCs w:val="22"/>
              </w:rPr>
            </w:pPr>
          </w:p>
          <w:p w14:paraId="1F75D7F9" w14:textId="77777777" w:rsidR="00C31279" w:rsidRPr="001300A9" w:rsidRDefault="00C31279" w:rsidP="00357CEC">
            <w:pPr>
              <w:pStyle w:val="Default"/>
              <w:rPr>
                <w:sz w:val="22"/>
                <w:szCs w:val="22"/>
              </w:rPr>
            </w:pPr>
          </w:p>
          <w:p w14:paraId="06EB2C20" w14:textId="77777777" w:rsidR="00C31279" w:rsidRPr="001300A9" w:rsidRDefault="00C31279" w:rsidP="00357CEC">
            <w:pPr>
              <w:pStyle w:val="Default"/>
              <w:rPr>
                <w:sz w:val="22"/>
                <w:szCs w:val="22"/>
              </w:rPr>
            </w:pPr>
          </w:p>
          <w:p w14:paraId="070871BD" w14:textId="77777777" w:rsidR="00C31279" w:rsidRPr="001300A9" w:rsidRDefault="00C31279" w:rsidP="00357CEC">
            <w:pPr>
              <w:pStyle w:val="Default"/>
              <w:rPr>
                <w:sz w:val="22"/>
                <w:szCs w:val="22"/>
              </w:rPr>
            </w:pPr>
          </w:p>
          <w:p w14:paraId="6A001648" w14:textId="77777777" w:rsidR="00C31279" w:rsidRPr="001300A9" w:rsidRDefault="00C31279" w:rsidP="00357CEC">
            <w:pPr>
              <w:pStyle w:val="Default"/>
              <w:rPr>
                <w:sz w:val="22"/>
                <w:szCs w:val="22"/>
              </w:rPr>
            </w:pPr>
          </w:p>
          <w:p w14:paraId="2063B1F5" w14:textId="77777777" w:rsidR="00C31279" w:rsidRPr="001300A9" w:rsidRDefault="00C31279" w:rsidP="00357CEC">
            <w:pPr>
              <w:pStyle w:val="Default"/>
              <w:rPr>
                <w:sz w:val="22"/>
                <w:szCs w:val="22"/>
              </w:rPr>
            </w:pPr>
          </w:p>
          <w:p w14:paraId="2BAEC9C4" w14:textId="77777777" w:rsidR="00C31279" w:rsidRPr="001300A9" w:rsidRDefault="00C31279" w:rsidP="00357CEC">
            <w:pPr>
              <w:pStyle w:val="Default"/>
              <w:rPr>
                <w:sz w:val="22"/>
                <w:szCs w:val="22"/>
              </w:rPr>
            </w:pPr>
          </w:p>
          <w:p w14:paraId="6B7F1BCC" w14:textId="77777777" w:rsidR="00C31279" w:rsidRPr="001300A9" w:rsidRDefault="00C31279" w:rsidP="00357CEC">
            <w:pPr>
              <w:pStyle w:val="Default"/>
              <w:rPr>
                <w:sz w:val="22"/>
                <w:szCs w:val="22"/>
              </w:rPr>
            </w:pPr>
          </w:p>
          <w:p w14:paraId="065A58C6" w14:textId="77777777" w:rsidR="00C31279" w:rsidRPr="001300A9" w:rsidRDefault="00C31279" w:rsidP="00357CEC">
            <w:pPr>
              <w:pStyle w:val="Default"/>
              <w:rPr>
                <w:sz w:val="22"/>
                <w:szCs w:val="22"/>
              </w:rPr>
            </w:pPr>
          </w:p>
          <w:p w14:paraId="530C5A8D" w14:textId="77777777" w:rsidR="00C31279" w:rsidRPr="001300A9" w:rsidRDefault="00C31279" w:rsidP="00357CEC">
            <w:pPr>
              <w:pStyle w:val="Default"/>
              <w:rPr>
                <w:sz w:val="22"/>
                <w:szCs w:val="22"/>
              </w:rPr>
            </w:pPr>
          </w:p>
          <w:p w14:paraId="1BFABD06" w14:textId="77777777" w:rsidR="00C31279" w:rsidRPr="001300A9" w:rsidRDefault="00C31279" w:rsidP="00357CEC">
            <w:pPr>
              <w:pStyle w:val="Default"/>
              <w:rPr>
                <w:sz w:val="22"/>
                <w:szCs w:val="22"/>
              </w:rPr>
            </w:pPr>
          </w:p>
          <w:p w14:paraId="7D3254EF" w14:textId="77777777" w:rsidR="00C31279" w:rsidRPr="001300A9" w:rsidRDefault="00C31279" w:rsidP="00357CEC">
            <w:pPr>
              <w:pStyle w:val="Default"/>
              <w:rPr>
                <w:sz w:val="22"/>
                <w:szCs w:val="22"/>
              </w:rPr>
            </w:pPr>
          </w:p>
          <w:p w14:paraId="0EF15927" w14:textId="77777777" w:rsidR="00C31279" w:rsidRPr="001300A9" w:rsidRDefault="00C31279" w:rsidP="00357CEC">
            <w:pPr>
              <w:pStyle w:val="Default"/>
              <w:rPr>
                <w:sz w:val="22"/>
                <w:szCs w:val="22"/>
              </w:rPr>
            </w:pPr>
          </w:p>
          <w:p w14:paraId="5BF5D840" w14:textId="77777777" w:rsidR="00C31279" w:rsidRPr="001300A9" w:rsidRDefault="00C31279" w:rsidP="00357CEC">
            <w:pPr>
              <w:pStyle w:val="Default"/>
              <w:rPr>
                <w:sz w:val="22"/>
                <w:szCs w:val="22"/>
              </w:rPr>
            </w:pPr>
          </w:p>
          <w:p w14:paraId="0175FA1A" w14:textId="77777777" w:rsidR="00C31279" w:rsidRPr="001300A9" w:rsidRDefault="00C31279" w:rsidP="00357CEC">
            <w:pPr>
              <w:pStyle w:val="Default"/>
              <w:rPr>
                <w:sz w:val="22"/>
                <w:szCs w:val="22"/>
              </w:rPr>
            </w:pPr>
          </w:p>
          <w:p w14:paraId="26086BAC" w14:textId="77777777" w:rsidR="00C31279" w:rsidRPr="001300A9" w:rsidRDefault="00C31279" w:rsidP="00357CEC">
            <w:pPr>
              <w:pStyle w:val="Default"/>
              <w:rPr>
                <w:sz w:val="22"/>
                <w:szCs w:val="22"/>
              </w:rPr>
            </w:pPr>
          </w:p>
          <w:p w14:paraId="2C17701E" w14:textId="77777777" w:rsidR="00C31279" w:rsidRPr="001300A9" w:rsidRDefault="00C31279" w:rsidP="00357CEC">
            <w:pPr>
              <w:pStyle w:val="Default"/>
              <w:rPr>
                <w:sz w:val="22"/>
                <w:szCs w:val="22"/>
              </w:rPr>
            </w:pPr>
          </w:p>
          <w:p w14:paraId="1A34EA95" w14:textId="77777777" w:rsidR="00C31279" w:rsidRPr="001300A9" w:rsidRDefault="00C31279" w:rsidP="00357CEC">
            <w:pPr>
              <w:pStyle w:val="Default"/>
              <w:rPr>
                <w:sz w:val="22"/>
                <w:szCs w:val="22"/>
              </w:rPr>
            </w:pPr>
          </w:p>
          <w:p w14:paraId="7B181062" w14:textId="77777777" w:rsidR="00C31279" w:rsidRPr="001300A9" w:rsidRDefault="00C31279" w:rsidP="00357CEC">
            <w:pPr>
              <w:pStyle w:val="Default"/>
              <w:rPr>
                <w:sz w:val="22"/>
                <w:szCs w:val="22"/>
              </w:rPr>
            </w:pPr>
          </w:p>
          <w:p w14:paraId="65397546" w14:textId="77777777" w:rsidR="00C31279" w:rsidRPr="001300A9" w:rsidRDefault="00C31279" w:rsidP="00357CEC">
            <w:pPr>
              <w:pStyle w:val="Default"/>
              <w:rPr>
                <w:sz w:val="22"/>
                <w:szCs w:val="22"/>
              </w:rPr>
            </w:pPr>
          </w:p>
          <w:p w14:paraId="6854F5CA" w14:textId="77777777" w:rsidR="00C31279" w:rsidRPr="001300A9" w:rsidRDefault="00C31279" w:rsidP="00357CEC">
            <w:pPr>
              <w:pStyle w:val="Default"/>
              <w:rPr>
                <w:sz w:val="22"/>
                <w:szCs w:val="22"/>
              </w:rPr>
            </w:pPr>
          </w:p>
          <w:p w14:paraId="1E662DC9" w14:textId="77777777" w:rsidR="00C31279" w:rsidRPr="001300A9" w:rsidRDefault="00C31279" w:rsidP="00357CEC">
            <w:pPr>
              <w:pStyle w:val="Default"/>
              <w:rPr>
                <w:sz w:val="22"/>
                <w:szCs w:val="22"/>
              </w:rPr>
            </w:pPr>
          </w:p>
          <w:p w14:paraId="50F744F8" w14:textId="77777777" w:rsidR="00C31279" w:rsidRPr="001300A9" w:rsidRDefault="00C31279" w:rsidP="00357CEC">
            <w:pPr>
              <w:pStyle w:val="Default"/>
              <w:rPr>
                <w:sz w:val="22"/>
                <w:szCs w:val="22"/>
              </w:rPr>
            </w:pPr>
          </w:p>
          <w:p w14:paraId="391DCCD7" w14:textId="77777777" w:rsidR="00C31279" w:rsidRPr="001300A9" w:rsidRDefault="00C31279" w:rsidP="00357CEC">
            <w:pPr>
              <w:pStyle w:val="Default"/>
              <w:rPr>
                <w:sz w:val="22"/>
                <w:szCs w:val="22"/>
              </w:rPr>
            </w:pPr>
          </w:p>
          <w:p w14:paraId="74149D28" w14:textId="3CD365B5" w:rsidR="003367CB" w:rsidRDefault="003367CB" w:rsidP="00357CEC">
            <w:pPr>
              <w:pStyle w:val="Default"/>
              <w:rPr>
                <w:sz w:val="22"/>
                <w:szCs w:val="22"/>
              </w:rPr>
            </w:pPr>
          </w:p>
          <w:p w14:paraId="0DF1E1B2" w14:textId="77777777" w:rsidR="00190F49" w:rsidRDefault="00190F49" w:rsidP="00357CEC">
            <w:pPr>
              <w:pStyle w:val="Default"/>
              <w:rPr>
                <w:sz w:val="22"/>
                <w:szCs w:val="22"/>
              </w:rPr>
            </w:pPr>
          </w:p>
          <w:p w14:paraId="2BD7AC2A" w14:textId="57CDD1AE" w:rsidR="00C31279" w:rsidRPr="001300A9" w:rsidRDefault="00C31279" w:rsidP="00357CEC">
            <w:pPr>
              <w:pStyle w:val="Default"/>
              <w:rPr>
                <w:sz w:val="22"/>
                <w:szCs w:val="22"/>
              </w:rPr>
            </w:pPr>
            <w:r w:rsidRPr="001300A9">
              <w:rPr>
                <w:sz w:val="22"/>
                <w:szCs w:val="22"/>
              </w:rPr>
              <w:t>GP - N</w:t>
            </w:r>
          </w:p>
        </w:tc>
        <w:tc>
          <w:tcPr>
            <w:tcW w:w="815" w:type="dxa"/>
          </w:tcPr>
          <w:p w14:paraId="0BF499AF" w14:textId="77777777" w:rsidR="00357CEC" w:rsidRPr="001300A9" w:rsidRDefault="00357CEC" w:rsidP="00357CEC">
            <w:pPr>
              <w:pStyle w:val="Default"/>
              <w:rPr>
                <w:sz w:val="22"/>
                <w:szCs w:val="22"/>
              </w:rPr>
            </w:pPr>
          </w:p>
        </w:tc>
      </w:tr>
      <w:tr w:rsidR="00DD6EDC" w:rsidRPr="001300A9" w14:paraId="61941510" w14:textId="77777777" w:rsidTr="360410BC">
        <w:tc>
          <w:tcPr>
            <w:tcW w:w="562" w:type="dxa"/>
          </w:tcPr>
          <w:p w14:paraId="5D428B53" w14:textId="77777777" w:rsidR="00357CEC" w:rsidRPr="001300A9" w:rsidRDefault="00357CEC" w:rsidP="00357CEC">
            <w:pPr>
              <w:pStyle w:val="Default"/>
              <w:rPr>
                <w:sz w:val="22"/>
                <w:szCs w:val="22"/>
              </w:rPr>
            </w:pPr>
            <w:r w:rsidRPr="001300A9">
              <w:rPr>
                <w:sz w:val="22"/>
                <w:szCs w:val="22"/>
              </w:rPr>
              <w:lastRenderedPageBreak/>
              <w:t>Č: 1</w:t>
            </w:r>
          </w:p>
          <w:p w14:paraId="5CE7E503" w14:textId="77777777" w:rsidR="00357CEC" w:rsidRPr="001300A9" w:rsidRDefault="00357CEC" w:rsidP="00357CEC">
            <w:pPr>
              <w:pStyle w:val="Default"/>
              <w:rPr>
                <w:sz w:val="22"/>
                <w:szCs w:val="22"/>
              </w:rPr>
            </w:pPr>
            <w:r w:rsidRPr="001300A9">
              <w:rPr>
                <w:sz w:val="22"/>
                <w:szCs w:val="22"/>
              </w:rPr>
              <w:lastRenderedPageBreak/>
              <w:t>O: 8</w:t>
            </w:r>
          </w:p>
        </w:tc>
        <w:tc>
          <w:tcPr>
            <w:tcW w:w="4820" w:type="dxa"/>
          </w:tcPr>
          <w:p w14:paraId="47499994" w14:textId="77777777" w:rsidR="00357CEC" w:rsidRPr="001300A9" w:rsidRDefault="00357CEC" w:rsidP="00357CEC">
            <w:pPr>
              <w:pStyle w:val="Default"/>
              <w:rPr>
                <w:i/>
                <w:sz w:val="22"/>
                <w:szCs w:val="22"/>
              </w:rPr>
            </w:pPr>
            <w:r w:rsidRPr="001300A9">
              <w:rPr>
                <w:i/>
                <w:sz w:val="22"/>
                <w:szCs w:val="22"/>
              </w:rPr>
              <w:lastRenderedPageBreak/>
              <w:t xml:space="preserve">Článok 3h </w:t>
            </w:r>
          </w:p>
          <w:p w14:paraId="6D959569" w14:textId="77777777" w:rsidR="00357CEC" w:rsidRPr="001300A9" w:rsidRDefault="00357CEC" w:rsidP="00357CEC">
            <w:pPr>
              <w:pStyle w:val="Default"/>
              <w:rPr>
                <w:i/>
                <w:sz w:val="22"/>
                <w:szCs w:val="22"/>
              </w:rPr>
            </w:pPr>
            <w:r w:rsidRPr="001300A9">
              <w:rPr>
                <w:i/>
                <w:sz w:val="22"/>
                <w:szCs w:val="22"/>
              </w:rPr>
              <w:t>Rozsah pôsobnosti</w:t>
            </w:r>
          </w:p>
          <w:p w14:paraId="1E91C466" w14:textId="77777777" w:rsidR="00357CEC" w:rsidRPr="001300A9" w:rsidRDefault="00357CEC" w:rsidP="00357CEC">
            <w:pPr>
              <w:pStyle w:val="Default"/>
              <w:rPr>
                <w:sz w:val="22"/>
                <w:szCs w:val="22"/>
              </w:rPr>
            </w:pPr>
            <w:r w:rsidRPr="001300A9">
              <w:rPr>
                <w:sz w:val="22"/>
                <w:szCs w:val="22"/>
              </w:rPr>
              <w:lastRenderedPageBreak/>
              <w:t>Ustanovenia tejto kapitoly sa vzťahujú na povolenia na emisie skleníkových plynov a na prideľovanie a vydávanie kvót v súvislosti s činnosťami uvedenými v prílohe I, ktoré sú iné ako činnosti leteckej a činnosti námornej dopravy.</w:t>
            </w:r>
          </w:p>
        </w:tc>
        <w:tc>
          <w:tcPr>
            <w:tcW w:w="567" w:type="dxa"/>
          </w:tcPr>
          <w:p w14:paraId="59283C38" w14:textId="77777777" w:rsidR="00357CEC" w:rsidRPr="001300A9" w:rsidRDefault="00357CEC" w:rsidP="00357CEC">
            <w:pPr>
              <w:pStyle w:val="Default"/>
              <w:rPr>
                <w:sz w:val="22"/>
                <w:szCs w:val="22"/>
              </w:rPr>
            </w:pPr>
            <w:proofErr w:type="spellStart"/>
            <w:r w:rsidRPr="001300A9">
              <w:rPr>
                <w:sz w:val="22"/>
                <w:szCs w:val="22"/>
              </w:rPr>
              <w:lastRenderedPageBreak/>
              <w:t>n.a</w:t>
            </w:r>
            <w:proofErr w:type="spellEnd"/>
            <w:r w:rsidRPr="001300A9">
              <w:rPr>
                <w:sz w:val="22"/>
                <w:szCs w:val="22"/>
              </w:rPr>
              <w:t>.</w:t>
            </w:r>
          </w:p>
        </w:tc>
        <w:tc>
          <w:tcPr>
            <w:tcW w:w="283" w:type="dxa"/>
          </w:tcPr>
          <w:p w14:paraId="779B0EE6" w14:textId="77777777" w:rsidR="00357CEC" w:rsidRPr="001300A9" w:rsidRDefault="00357CEC" w:rsidP="00357CEC">
            <w:pPr>
              <w:pStyle w:val="Default"/>
              <w:rPr>
                <w:sz w:val="22"/>
                <w:szCs w:val="22"/>
              </w:rPr>
            </w:pPr>
          </w:p>
        </w:tc>
        <w:tc>
          <w:tcPr>
            <w:tcW w:w="567" w:type="dxa"/>
          </w:tcPr>
          <w:p w14:paraId="1297969A" w14:textId="77777777" w:rsidR="00357CEC" w:rsidRPr="001300A9" w:rsidRDefault="00357CEC" w:rsidP="00357CEC">
            <w:pPr>
              <w:pStyle w:val="Default"/>
              <w:rPr>
                <w:sz w:val="22"/>
                <w:szCs w:val="22"/>
              </w:rPr>
            </w:pPr>
          </w:p>
        </w:tc>
        <w:tc>
          <w:tcPr>
            <w:tcW w:w="4253" w:type="dxa"/>
          </w:tcPr>
          <w:p w14:paraId="5C794DF6" w14:textId="77777777" w:rsidR="00357CEC" w:rsidRPr="001300A9" w:rsidRDefault="00357CEC" w:rsidP="00357CEC">
            <w:pPr>
              <w:pStyle w:val="Default"/>
              <w:rPr>
                <w:sz w:val="22"/>
                <w:szCs w:val="22"/>
              </w:rPr>
            </w:pPr>
          </w:p>
        </w:tc>
        <w:tc>
          <w:tcPr>
            <w:tcW w:w="567" w:type="dxa"/>
          </w:tcPr>
          <w:p w14:paraId="34B0C32A" w14:textId="77777777" w:rsidR="00357CEC" w:rsidRPr="001300A9" w:rsidRDefault="00357CEC" w:rsidP="00357CEC">
            <w:pPr>
              <w:pStyle w:val="Default"/>
              <w:rPr>
                <w:sz w:val="22"/>
                <w:szCs w:val="22"/>
              </w:rPr>
            </w:pPr>
          </w:p>
        </w:tc>
        <w:tc>
          <w:tcPr>
            <w:tcW w:w="1276" w:type="dxa"/>
          </w:tcPr>
          <w:p w14:paraId="7C3BF234" w14:textId="77777777" w:rsidR="00357CEC" w:rsidRPr="001300A9" w:rsidRDefault="00357CEC" w:rsidP="00357CEC">
            <w:pPr>
              <w:pStyle w:val="Default"/>
              <w:rPr>
                <w:sz w:val="22"/>
                <w:szCs w:val="22"/>
              </w:rPr>
            </w:pPr>
          </w:p>
        </w:tc>
        <w:tc>
          <w:tcPr>
            <w:tcW w:w="850" w:type="dxa"/>
          </w:tcPr>
          <w:p w14:paraId="22C7ADD4" w14:textId="77777777" w:rsidR="00357CEC" w:rsidRPr="001300A9" w:rsidRDefault="00357CEC" w:rsidP="00357CEC">
            <w:pPr>
              <w:pStyle w:val="Default"/>
              <w:rPr>
                <w:sz w:val="22"/>
                <w:szCs w:val="22"/>
              </w:rPr>
            </w:pPr>
          </w:p>
        </w:tc>
        <w:tc>
          <w:tcPr>
            <w:tcW w:w="815" w:type="dxa"/>
          </w:tcPr>
          <w:p w14:paraId="61645815" w14:textId="77777777" w:rsidR="00357CEC" w:rsidRPr="001300A9" w:rsidRDefault="00357CEC" w:rsidP="00357CEC">
            <w:pPr>
              <w:pStyle w:val="Default"/>
              <w:rPr>
                <w:sz w:val="22"/>
                <w:szCs w:val="22"/>
              </w:rPr>
            </w:pPr>
          </w:p>
        </w:tc>
      </w:tr>
      <w:tr w:rsidR="00DD6EDC" w:rsidRPr="001300A9" w14:paraId="778A07F6" w14:textId="77777777" w:rsidTr="360410BC">
        <w:tc>
          <w:tcPr>
            <w:tcW w:w="562" w:type="dxa"/>
          </w:tcPr>
          <w:p w14:paraId="08F8F530" w14:textId="77777777" w:rsidR="00357CEC" w:rsidRPr="001300A9" w:rsidRDefault="00357CEC" w:rsidP="00357CEC">
            <w:pPr>
              <w:pStyle w:val="Default"/>
              <w:rPr>
                <w:sz w:val="22"/>
                <w:szCs w:val="22"/>
              </w:rPr>
            </w:pPr>
            <w:r w:rsidRPr="001300A9">
              <w:rPr>
                <w:sz w:val="22"/>
                <w:szCs w:val="22"/>
              </w:rPr>
              <w:t>Č: 1</w:t>
            </w:r>
          </w:p>
          <w:p w14:paraId="51E2D4E7" w14:textId="77777777" w:rsidR="00357CEC" w:rsidRPr="001300A9" w:rsidRDefault="00357CEC" w:rsidP="00357CEC">
            <w:pPr>
              <w:pStyle w:val="Default"/>
              <w:rPr>
                <w:sz w:val="22"/>
                <w:szCs w:val="22"/>
              </w:rPr>
            </w:pPr>
            <w:r w:rsidRPr="001300A9">
              <w:rPr>
                <w:sz w:val="22"/>
                <w:szCs w:val="22"/>
              </w:rPr>
              <w:t>O: 9</w:t>
            </w:r>
          </w:p>
        </w:tc>
        <w:tc>
          <w:tcPr>
            <w:tcW w:w="4820" w:type="dxa"/>
          </w:tcPr>
          <w:p w14:paraId="67C920F6" w14:textId="77777777" w:rsidR="00EE4DBD" w:rsidRDefault="00EE4DBD" w:rsidP="00357CEC">
            <w:pPr>
              <w:pStyle w:val="Default"/>
              <w:rPr>
                <w:sz w:val="22"/>
                <w:szCs w:val="22"/>
              </w:rPr>
            </w:pPr>
            <w:r>
              <w:rPr>
                <w:sz w:val="22"/>
                <w:szCs w:val="22"/>
              </w:rPr>
              <w:t>V článku 6 ods. 2 sa písmeno e) nahrádza takto:</w:t>
            </w:r>
          </w:p>
          <w:p w14:paraId="060E910A" w14:textId="74D9EF95" w:rsidR="00357CEC" w:rsidRPr="001300A9" w:rsidRDefault="00357CEC" w:rsidP="00357CEC">
            <w:pPr>
              <w:pStyle w:val="Default"/>
              <w:rPr>
                <w:sz w:val="22"/>
                <w:szCs w:val="22"/>
              </w:rPr>
            </w:pPr>
            <w:r w:rsidRPr="001300A9">
              <w:rPr>
                <w:sz w:val="22"/>
                <w:szCs w:val="22"/>
              </w:rPr>
              <w:t>e) záväzok odovzdať kvóty v množstve rovnajúcom sa celkovým emisiám zariadenia v každom kalendárnom roku, ktoré sa overili v súlade s článkom 15, v lehote stanovenej v článku 12 ods. 3.</w:t>
            </w:r>
          </w:p>
        </w:tc>
        <w:tc>
          <w:tcPr>
            <w:tcW w:w="567" w:type="dxa"/>
          </w:tcPr>
          <w:p w14:paraId="77DEEE6B" w14:textId="77777777" w:rsidR="00357CEC" w:rsidRPr="001300A9" w:rsidRDefault="00357CEC" w:rsidP="00357CEC">
            <w:pPr>
              <w:pStyle w:val="Default"/>
              <w:rPr>
                <w:sz w:val="22"/>
                <w:szCs w:val="22"/>
              </w:rPr>
            </w:pPr>
            <w:r w:rsidRPr="001300A9">
              <w:rPr>
                <w:sz w:val="22"/>
                <w:szCs w:val="22"/>
              </w:rPr>
              <w:t>N</w:t>
            </w:r>
          </w:p>
          <w:p w14:paraId="3E6D6B25" w14:textId="77777777" w:rsidR="00357CEC" w:rsidRPr="001300A9" w:rsidRDefault="00357CEC" w:rsidP="00357CEC">
            <w:pPr>
              <w:pStyle w:val="Default"/>
              <w:rPr>
                <w:sz w:val="22"/>
                <w:szCs w:val="22"/>
              </w:rPr>
            </w:pPr>
          </w:p>
        </w:tc>
        <w:tc>
          <w:tcPr>
            <w:tcW w:w="283" w:type="dxa"/>
          </w:tcPr>
          <w:p w14:paraId="06B4300E" w14:textId="06F73B79" w:rsidR="00357CEC" w:rsidRPr="001300A9" w:rsidRDefault="002C79F4" w:rsidP="00357CEC">
            <w:pPr>
              <w:pStyle w:val="Default"/>
              <w:rPr>
                <w:sz w:val="22"/>
                <w:szCs w:val="22"/>
              </w:rPr>
            </w:pPr>
            <w:r>
              <w:rPr>
                <w:sz w:val="22"/>
                <w:szCs w:val="22"/>
              </w:rPr>
              <w:t>NZ</w:t>
            </w:r>
          </w:p>
        </w:tc>
        <w:tc>
          <w:tcPr>
            <w:tcW w:w="567" w:type="dxa"/>
          </w:tcPr>
          <w:p w14:paraId="49A432BF" w14:textId="2BCAA244" w:rsidR="00357CEC" w:rsidRPr="001300A9" w:rsidRDefault="00452B3F" w:rsidP="00357CEC">
            <w:pPr>
              <w:pStyle w:val="Default"/>
              <w:rPr>
                <w:sz w:val="22"/>
                <w:szCs w:val="22"/>
              </w:rPr>
            </w:pPr>
            <w:r w:rsidRPr="004B3A4A">
              <w:rPr>
                <w:sz w:val="22"/>
                <w:szCs w:val="22"/>
              </w:rPr>
              <w:t>Č:I§:4 O:3 P:e</w:t>
            </w:r>
          </w:p>
        </w:tc>
        <w:tc>
          <w:tcPr>
            <w:tcW w:w="4253" w:type="dxa"/>
          </w:tcPr>
          <w:p w14:paraId="46647A18" w14:textId="77777777" w:rsidR="00134F85" w:rsidRDefault="00134F85" w:rsidP="00134F85">
            <w:pPr>
              <w:pStyle w:val="Default"/>
              <w:rPr>
                <w:sz w:val="22"/>
                <w:szCs w:val="22"/>
              </w:rPr>
            </w:pPr>
            <w:r>
              <w:rPr>
                <w:sz w:val="22"/>
                <w:szCs w:val="22"/>
              </w:rPr>
              <w:t xml:space="preserve">(3) </w:t>
            </w:r>
            <w:r w:rsidRPr="00134F85">
              <w:rPr>
                <w:sz w:val="22"/>
                <w:szCs w:val="22"/>
              </w:rPr>
              <w:t>Povolenie na vypúšťanie emisií skleníkových plynov okrem všeobecných náležitostí rozhodnutia</w:t>
            </w:r>
            <w:r w:rsidRPr="00134F85">
              <w:rPr>
                <w:sz w:val="22"/>
                <w:szCs w:val="22"/>
                <w:vertAlign w:val="superscript"/>
              </w:rPr>
              <w:t>3</w:t>
            </w:r>
            <w:r w:rsidRPr="00134F85">
              <w:rPr>
                <w:sz w:val="22"/>
                <w:szCs w:val="22"/>
              </w:rPr>
              <w:t>) obsahuje</w:t>
            </w:r>
          </w:p>
          <w:p w14:paraId="55FF45A5" w14:textId="77777777" w:rsidR="00357CEC" w:rsidRDefault="00134F85" w:rsidP="00357CEC">
            <w:pPr>
              <w:pStyle w:val="Default"/>
              <w:rPr>
                <w:sz w:val="22"/>
                <w:szCs w:val="22"/>
              </w:rPr>
            </w:pPr>
            <w:r>
              <w:rPr>
                <w:sz w:val="22"/>
                <w:szCs w:val="22"/>
              </w:rPr>
              <w:t xml:space="preserve">e) </w:t>
            </w:r>
            <w:r w:rsidR="00C31279" w:rsidRPr="001300A9">
              <w:rPr>
                <w:sz w:val="22"/>
                <w:szCs w:val="22"/>
              </w:rPr>
              <w:t xml:space="preserve">záväzok odovzdávať kvóty </w:t>
            </w:r>
            <w:r w:rsidR="00432DB8" w:rsidRPr="00432DB8">
              <w:rPr>
                <w:sz w:val="22"/>
                <w:szCs w:val="22"/>
              </w:rPr>
              <w:t>podľa § 20 ods. 8</w:t>
            </w:r>
            <w:r w:rsidR="00C31279" w:rsidRPr="001300A9">
              <w:rPr>
                <w:sz w:val="22"/>
                <w:szCs w:val="22"/>
              </w:rPr>
              <w:t>.</w:t>
            </w:r>
          </w:p>
          <w:p w14:paraId="3B3BA2ED" w14:textId="581278C8" w:rsidR="00134F85" w:rsidRPr="001300A9" w:rsidRDefault="33C58BC9" w:rsidP="00357CEC">
            <w:pPr>
              <w:pStyle w:val="Default"/>
              <w:rPr>
                <w:sz w:val="22"/>
                <w:szCs w:val="22"/>
              </w:rPr>
            </w:pPr>
            <w:r w:rsidRPr="5F673433">
              <w:rPr>
                <w:sz w:val="22"/>
                <w:szCs w:val="22"/>
                <w:vertAlign w:val="superscript"/>
              </w:rPr>
              <w:t>3</w:t>
            </w:r>
            <w:r w:rsidRPr="5F673433">
              <w:rPr>
                <w:sz w:val="22"/>
                <w:szCs w:val="22"/>
              </w:rPr>
              <w:t>) § 47 zákona č. 71/1967 Zb. o správnom konaní (správny poriadok) v znení zákona č. 527/2003 Z. z.</w:t>
            </w:r>
          </w:p>
        </w:tc>
        <w:tc>
          <w:tcPr>
            <w:tcW w:w="567" w:type="dxa"/>
          </w:tcPr>
          <w:p w14:paraId="79E63A42" w14:textId="77777777" w:rsidR="00357CEC" w:rsidRPr="001300A9" w:rsidRDefault="00C31279" w:rsidP="00357CEC">
            <w:pPr>
              <w:pStyle w:val="Default"/>
              <w:rPr>
                <w:sz w:val="22"/>
                <w:szCs w:val="22"/>
              </w:rPr>
            </w:pPr>
            <w:r w:rsidRPr="001300A9">
              <w:rPr>
                <w:sz w:val="22"/>
                <w:szCs w:val="22"/>
              </w:rPr>
              <w:t>Ú</w:t>
            </w:r>
          </w:p>
        </w:tc>
        <w:tc>
          <w:tcPr>
            <w:tcW w:w="1276" w:type="dxa"/>
          </w:tcPr>
          <w:p w14:paraId="1055DFDA" w14:textId="77777777" w:rsidR="00357CEC" w:rsidRPr="001300A9" w:rsidRDefault="00357CEC" w:rsidP="00357CEC">
            <w:pPr>
              <w:pStyle w:val="Default"/>
              <w:rPr>
                <w:sz w:val="22"/>
                <w:szCs w:val="22"/>
              </w:rPr>
            </w:pPr>
          </w:p>
        </w:tc>
        <w:tc>
          <w:tcPr>
            <w:tcW w:w="850" w:type="dxa"/>
          </w:tcPr>
          <w:p w14:paraId="49797AFF" w14:textId="77777777" w:rsidR="00357CEC" w:rsidRPr="001300A9" w:rsidRDefault="00C31279" w:rsidP="00357CEC">
            <w:pPr>
              <w:pStyle w:val="Default"/>
              <w:rPr>
                <w:sz w:val="22"/>
                <w:szCs w:val="22"/>
              </w:rPr>
            </w:pPr>
            <w:r w:rsidRPr="001300A9">
              <w:rPr>
                <w:sz w:val="22"/>
                <w:szCs w:val="22"/>
              </w:rPr>
              <w:t>GP - N</w:t>
            </w:r>
          </w:p>
        </w:tc>
        <w:tc>
          <w:tcPr>
            <w:tcW w:w="815" w:type="dxa"/>
          </w:tcPr>
          <w:p w14:paraId="54706971" w14:textId="77777777" w:rsidR="00357CEC" w:rsidRPr="001300A9" w:rsidRDefault="00357CEC" w:rsidP="00357CEC">
            <w:pPr>
              <w:pStyle w:val="Default"/>
              <w:rPr>
                <w:sz w:val="22"/>
                <w:szCs w:val="22"/>
              </w:rPr>
            </w:pPr>
          </w:p>
        </w:tc>
      </w:tr>
      <w:tr w:rsidR="00DD6EDC" w:rsidRPr="001300A9" w14:paraId="1AD0C566" w14:textId="77777777" w:rsidTr="360410BC">
        <w:tc>
          <w:tcPr>
            <w:tcW w:w="562" w:type="dxa"/>
          </w:tcPr>
          <w:p w14:paraId="05606880" w14:textId="77777777" w:rsidR="00357CEC" w:rsidRPr="001300A9" w:rsidRDefault="00357CEC" w:rsidP="00357CEC">
            <w:pPr>
              <w:pStyle w:val="Default"/>
              <w:rPr>
                <w:sz w:val="22"/>
                <w:szCs w:val="22"/>
              </w:rPr>
            </w:pPr>
            <w:r w:rsidRPr="001300A9">
              <w:rPr>
                <w:sz w:val="22"/>
                <w:szCs w:val="22"/>
              </w:rPr>
              <w:t>Č: 1</w:t>
            </w:r>
          </w:p>
          <w:p w14:paraId="5E959AFD" w14:textId="77777777" w:rsidR="00357CEC" w:rsidRPr="001300A9" w:rsidRDefault="00357CEC" w:rsidP="00357CEC">
            <w:pPr>
              <w:pStyle w:val="Default"/>
              <w:rPr>
                <w:sz w:val="22"/>
                <w:szCs w:val="22"/>
              </w:rPr>
            </w:pPr>
            <w:r w:rsidRPr="001300A9">
              <w:rPr>
                <w:sz w:val="22"/>
                <w:szCs w:val="22"/>
              </w:rPr>
              <w:t>O: 10</w:t>
            </w:r>
          </w:p>
        </w:tc>
        <w:tc>
          <w:tcPr>
            <w:tcW w:w="4820" w:type="dxa"/>
          </w:tcPr>
          <w:p w14:paraId="2C67C75C" w14:textId="77777777" w:rsidR="00357CEC" w:rsidRPr="001300A9" w:rsidRDefault="00357CEC" w:rsidP="00357CEC">
            <w:pPr>
              <w:pStyle w:val="Default"/>
              <w:rPr>
                <w:i/>
                <w:sz w:val="22"/>
                <w:szCs w:val="22"/>
              </w:rPr>
            </w:pPr>
            <w:r w:rsidRPr="001300A9">
              <w:rPr>
                <w:i/>
                <w:sz w:val="22"/>
                <w:szCs w:val="22"/>
              </w:rPr>
              <w:t xml:space="preserve">Článok 8 </w:t>
            </w:r>
          </w:p>
          <w:p w14:paraId="2457DA08" w14:textId="77777777" w:rsidR="00357CEC" w:rsidRPr="001300A9" w:rsidRDefault="00357CEC" w:rsidP="00357CEC">
            <w:pPr>
              <w:pStyle w:val="Default"/>
              <w:rPr>
                <w:i/>
                <w:sz w:val="22"/>
                <w:szCs w:val="22"/>
              </w:rPr>
            </w:pPr>
            <w:r w:rsidRPr="001300A9">
              <w:rPr>
                <w:i/>
                <w:sz w:val="22"/>
                <w:szCs w:val="22"/>
              </w:rPr>
              <w:t>Koordinácia so smernicou 2010/75/EÚ</w:t>
            </w:r>
          </w:p>
          <w:p w14:paraId="595434EE" w14:textId="77777777" w:rsidR="00357CEC" w:rsidRPr="001300A9" w:rsidRDefault="00357CEC" w:rsidP="00357CEC">
            <w:pPr>
              <w:pStyle w:val="Default"/>
              <w:rPr>
                <w:sz w:val="22"/>
                <w:szCs w:val="22"/>
              </w:rPr>
            </w:pPr>
            <w:r w:rsidRPr="001300A9">
              <w:rPr>
                <w:sz w:val="22"/>
                <w:szCs w:val="22"/>
              </w:rPr>
              <w:t>Členské štáty prijmú potrebné opatrenia, aby sa zabezpečilo, že ak zariadenia vykonávajú činnosti uvedené v prílohe I k smernici 2010/75/EÚ, podmienky a postup na vydanie povolenia na emisie skleníkových plynov sa skoordinujú s tými, ktoré na vydanie povolenia stanovuje uvedená smernica. Požiadavky stanovené v článkoch 5, 6 a 7 tejto smernice možno zahrnúť do postupov stanovených smernicou 2010/75/EÚ.</w:t>
            </w:r>
          </w:p>
          <w:p w14:paraId="0E7F6801" w14:textId="77777777" w:rsidR="00357CEC" w:rsidRPr="001300A9" w:rsidRDefault="00357CEC" w:rsidP="00357CEC">
            <w:pPr>
              <w:pStyle w:val="Default"/>
              <w:rPr>
                <w:sz w:val="22"/>
                <w:szCs w:val="22"/>
              </w:rPr>
            </w:pPr>
          </w:p>
          <w:p w14:paraId="48C5A429" w14:textId="77777777" w:rsidR="00357CEC" w:rsidRPr="001300A9" w:rsidRDefault="00357CEC" w:rsidP="00357CEC">
            <w:pPr>
              <w:pStyle w:val="Default"/>
              <w:rPr>
                <w:sz w:val="22"/>
                <w:szCs w:val="22"/>
              </w:rPr>
            </w:pPr>
            <w:r w:rsidRPr="001300A9">
              <w:rPr>
                <w:sz w:val="22"/>
                <w:szCs w:val="22"/>
              </w:rPr>
              <w:t>Komisia preskúma účinnosť synergií so smernicou 2010/75/EÚ. Povolenia relevantné z hľadiska životného prostredia a klímy sa koordinujú s cieľom zabezpečiť účinné a rýchlejšie vykonávanie opatrení potrebných na dosiahnutie cieľov Únie v oblasti klímy a energetiky. Komisia môže predložiť správu Európskemu parlamentu a Rade v súvislosti s každým budúcim preskúmaním tejto smernice</w:t>
            </w:r>
          </w:p>
        </w:tc>
        <w:tc>
          <w:tcPr>
            <w:tcW w:w="567" w:type="dxa"/>
          </w:tcPr>
          <w:p w14:paraId="6137A2C4" w14:textId="0FA34E54" w:rsidR="00357CEC" w:rsidRPr="001300A9" w:rsidRDefault="009215E3" w:rsidP="00357CEC">
            <w:pPr>
              <w:pStyle w:val="Default"/>
              <w:rPr>
                <w:sz w:val="22"/>
                <w:szCs w:val="22"/>
              </w:rPr>
            </w:pPr>
            <w:r>
              <w:rPr>
                <w:sz w:val="22"/>
                <w:szCs w:val="22"/>
              </w:rPr>
              <w:t>N</w:t>
            </w:r>
          </w:p>
        </w:tc>
        <w:tc>
          <w:tcPr>
            <w:tcW w:w="283" w:type="dxa"/>
          </w:tcPr>
          <w:p w14:paraId="2E6C2C4B" w14:textId="0B5C165B" w:rsidR="00357CEC" w:rsidRPr="001300A9" w:rsidRDefault="002C79F4" w:rsidP="00357CEC">
            <w:pPr>
              <w:pStyle w:val="Default"/>
              <w:rPr>
                <w:sz w:val="22"/>
                <w:szCs w:val="22"/>
              </w:rPr>
            </w:pPr>
            <w:r>
              <w:rPr>
                <w:sz w:val="22"/>
                <w:szCs w:val="22"/>
              </w:rPr>
              <w:t>NZ</w:t>
            </w:r>
          </w:p>
        </w:tc>
        <w:tc>
          <w:tcPr>
            <w:tcW w:w="567" w:type="dxa"/>
          </w:tcPr>
          <w:p w14:paraId="06EC1317" w14:textId="4B7E4090" w:rsidR="00357CEC" w:rsidRPr="001300A9" w:rsidRDefault="00134F85" w:rsidP="00357CEC">
            <w:pPr>
              <w:pStyle w:val="Default"/>
              <w:rPr>
                <w:sz w:val="22"/>
                <w:szCs w:val="22"/>
              </w:rPr>
            </w:pPr>
            <w:r w:rsidRPr="004B3A4A">
              <w:rPr>
                <w:sz w:val="22"/>
                <w:szCs w:val="22"/>
              </w:rPr>
              <w:t>Č:I</w:t>
            </w:r>
            <w:r w:rsidR="009215E3" w:rsidRPr="004B3A4A">
              <w:rPr>
                <w:sz w:val="22"/>
                <w:szCs w:val="22"/>
              </w:rPr>
              <w:t>§</w:t>
            </w:r>
            <w:r w:rsidRPr="004B3A4A">
              <w:rPr>
                <w:sz w:val="22"/>
                <w:szCs w:val="22"/>
              </w:rPr>
              <w:t>:4 O:</w:t>
            </w:r>
            <w:r w:rsidR="009215E3" w:rsidRPr="004B3A4A">
              <w:rPr>
                <w:sz w:val="22"/>
                <w:szCs w:val="22"/>
              </w:rPr>
              <w:t>6</w:t>
            </w:r>
          </w:p>
        </w:tc>
        <w:tc>
          <w:tcPr>
            <w:tcW w:w="4253" w:type="dxa"/>
          </w:tcPr>
          <w:p w14:paraId="0EDD1534" w14:textId="43BB102D" w:rsidR="004E213F" w:rsidRDefault="009215E3" w:rsidP="00357CEC">
            <w:pPr>
              <w:pStyle w:val="Default"/>
              <w:rPr>
                <w:sz w:val="22"/>
                <w:szCs w:val="22"/>
              </w:rPr>
            </w:pPr>
            <w:r w:rsidRPr="4792BE4F">
              <w:rPr>
                <w:sz w:val="22"/>
                <w:szCs w:val="22"/>
              </w:rPr>
              <w:t xml:space="preserve">(6) </w:t>
            </w:r>
            <w:r w:rsidR="00745E3A" w:rsidRPr="4792BE4F">
              <w:rPr>
                <w:sz w:val="22"/>
                <w:szCs w:val="22"/>
              </w:rPr>
              <w:t>Povolenie na vypúšťanie emisií skleníkových plynov, na ktorú bol</w:t>
            </w:r>
            <w:r w:rsidR="00410BF7" w:rsidRPr="4792BE4F">
              <w:rPr>
                <w:sz w:val="22"/>
                <w:szCs w:val="22"/>
              </w:rPr>
              <w:t>o vydané integrované povolenie,</w:t>
            </w:r>
            <w:r w:rsidR="662AB41E" w:rsidRPr="4792BE4F">
              <w:rPr>
                <w:sz w:val="22"/>
                <w:szCs w:val="22"/>
                <w:vertAlign w:val="superscript"/>
              </w:rPr>
              <w:t>7</w:t>
            </w:r>
            <w:r w:rsidR="00745E3A" w:rsidRPr="4792BE4F">
              <w:rPr>
                <w:sz w:val="22"/>
                <w:szCs w:val="22"/>
              </w:rPr>
              <w:t>) musí zohľadňovať podmienky a postupy určené v integrovanom povolení. Pri zmene, ktorá je dôvodom aj na zmenu povolenia na vypúšťanie skleníkových plynov alebo pri vydaní nového integrovaného povolenia sa zmení aj povolenie na vypúšťanie emisií skleníkových plynov tak, aby toto povolenie v celom rozsahu zohľadňovalo podmienky a postupy určené v integrovanom povolení.</w:t>
            </w:r>
          </w:p>
          <w:p w14:paraId="62FFB38F" w14:textId="05F18967" w:rsidR="004E213F" w:rsidRPr="001300A9" w:rsidRDefault="3DB71207" w:rsidP="5F673433">
            <w:pPr>
              <w:pStyle w:val="Default"/>
              <w:rPr>
                <w:sz w:val="22"/>
                <w:szCs w:val="22"/>
              </w:rPr>
            </w:pPr>
            <w:r w:rsidRPr="5F673433">
              <w:rPr>
                <w:sz w:val="22"/>
                <w:szCs w:val="22"/>
                <w:vertAlign w:val="superscript"/>
              </w:rPr>
              <w:t>7</w:t>
            </w:r>
            <w:r w:rsidRPr="5F673433">
              <w:rPr>
                <w:sz w:val="22"/>
                <w:szCs w:val="22"/>
              </w:rPr>
              <w:t>) Príloha č. 1 k zákonu č. 245/2003 Z. z. o integrovanej prevencii a kontrole znečisťovania životného prostredia a o zmene a doplnení niektorých zákonov v znení neskorších predpisov.</w:t>
            </w:r>
          </w:p>
          <w:p w14:paraId="29A504AA" w14:textId="12E3926D" w:rsidR="004E213F" w:rsidRPr="001300A9" w:rsidRDefault="004E213F" w:rsidP="004E213F">
            <w:pPr>
              <w:pStyle w:val="Default"/>
              <w:rPr>
                <w:sz w:val="22"/>
                <w:szCs w:val="22"/>
              </w:rPr>
            </w:pPr>
          </w:p>
        </w:tc>
        <w:tc>
          <w:tcPr>
            <w:tcW w:w="567" w:type="dxa"/>
          </w:tcPr>
          <w:p w14:paraId="3AB0C726" w14:textId="3762C5EF" w:rsidR="00357CEC" w:rsidRPr="001300A9" w:rsidRDefault="009215E3" w:rsidP="00357CEC">
            <w:pPr>
              <w:pStyle w:val="Default"/>
              <w:rPr>
                <w:sz w:val="22"/>
                <w:szCs w:val="22"/>
              </w:rPr>
            </w:pPr>
            <w:r>
              <w:rPr>
                <w:sz w:val="22"/>
                <w:szCs w:val="22"/>
              </w:rPr>
              <w:t>Ú</w:t>
            </w:r>
          </w:p>
        </w:tc>
        <w:tc>
          <w:tcPr>
            <w:tcW w:w="1276" w:type="dxa"/>
          </w:tcPr>
          <w:p w14:paraId="2AD4CB08" w14:textId="77777777" w:rsidR="00357CEC" w:rsidRPr="001300A9" w:rsidRDefault="00357CEC" w:rsidP="00357CEC">
            <w:pPr>
              <w:pStyle w:val="Default"/>
              <w:rPr>
                <w:sz w:val="22"/>
                <w:szCs w:val="22"/>
              </w:rPr>
            </w:pPr>
          </w:p>
        </w:tc>
        <w:tc>
          <w:tcPr>
            <w:tcW w:w="850" w:type="dxa"/>
          </w:tcPr>
          <w:p w14:paraId="407DBDA9" w14:textId="514F3E4A" w:rsidR="00357CEC" w:rsidRPr="001300A9" w:rsidRDefault="009215E3" w:rsidP="00357CEC">
            <w:pPr>
              <w:pStyle w:val="Default"/>
              <w:rPr>
                <w:sz w:val="22"/>
                <w:szCs w:val="22"/>
              </w:rPr>
            </w:pPr>
            <w:r>
              <w:rPr>
                <w:sz w:val="22"/>
                <w:szCs w:val="22"/>
              </w:rPr>
              <w:t>GP - N</w:t>
            </w:r>
          </w:p>
        </w:tc>
        <w:tc>
          <w:tcPr>
            <w:tcW w:w="815" w:type="dxa"/>
          </w:tcPr>
          <w:p w14:paraId="32E1C85F" w14:textId="77777777" w:rsidR="00357CEC" w:rsidRPr="001300A9" w:rsidRDefault="00357CEC" w:rsidP="00357CEC">
            <w:pPr>
              <w:pStyle w:val="Default"/>
              <w:rPr>
                <w:sz w:val="22"/>
                <w:szCs w:val="22"/>
              </w:rPr>
            </w:pPr>
          </w:p>
        </w:tc>
      </w:tr>
      <w:tr w:rsidR="00DD6EDC" w:rsidRPr="001300A9" w14:paraId="2C740980" w14:textId="77777777" w:rsidTr="360410BC">
        <w:tc>
          <w:tcPr>
            <w:tcW w:w="562" w:type="dxa"/>
          </w:tcPr>
          <w:p w14:paraId="56318836" w14:textId="77777777" w:rsidR="00357CEC" w:rsidRPr="001300A9" w:rsidRDefault="00357CEC" w:rsidP="00357CEC">
            <w:pPr>
              <w:pStyle w:val="Default"/>
              <w:rPr>
                <w:sz w:val="22"/>
                <w:szCs w:val="22"/>
              </w:rPr>
            </w:pPr>
            <w:r w:rsidRPr="001300A9">
              <w:rPr>
                <w:sz w:val="22"/>
                <w:szCs w:val="22"/>
              </w:rPr>
              <w:t>Č: 1</w:t>
            </w:r>
          </w:p>
          <w:p w14:paraId="45435543" w14:textId="77777777" w:rsidR="00357CEC" w:rsidRPr="001300A9" w:rsidRDefault="00357CEC" w:rsidP="00357CEC">
            <w:pPr>
              <w:pStyle w:val="Default"/>
              <w:rPr>
                <w:sz w:val="22"/>
                <w:szCs w:val="22"/>
              </w:rPr>
            </w:pPr>
            <w:r w:rsidRPr="001300A9">
              <w:rPr>
                <w:sz w:val="22"/>
                <w:szCs w:val="22"/>
              </w:rPr>
              <w:lastRenderedPageBreak/>
              <w:t>O: 11</w:t>
            </w:r>
          </w:p>
        </w:tc>
        <w:tc>
          <w:tcPr>
            <w:tcW w:w="4820" w:type="dxa"/>
          </w:tcPr>
          <w:p w14:paraId="432AB66B" w14:textId="77777777" w:rsidR="00357CEC" w:rsidRPr="001300A9" w:rsidRDefault="00357CEC" w:rsidP="00357CEC">
            <w:pPr>
              <w:pStyle w:val="Default"/>
              <w:rPr>
                <w:sz w:val="22"/>
                <w:szCs w:val="22"/>
              </w:rPr>
            </w:pPr>
            <w:r w:rsidRPr="001300A9">
              <w:rPr>
                <w:sz w:val="22"/>
                <w:szCs w:val="22"/>
              </w:rPr>
              <w:lastRenderedPageBreak/>
              <w:t xml:space="preserve">V roku 2024 sa zníži </w:t>
            </w:r>
            <w:proofErr w:type="spellStart"/>
            <w:r w:rsidRPr="001300A9">
              <w:rPr>
                <w:sz w:val="22"/>
                <w:szCs w:val="22"/>
              </w:rPr>
              <w:t>celoúnijné</w:t>
            </w:r>
            <w:proofErr w:type="spellEnd"/>
            <w:r w:rsidRPr="001300A9">
              <w:rPr>
                <w:sz w:val="22"/>
                <w:szCs w:val="22"/>
              </w:rPr>
              <w:t xml:space="preserve"> množstvo kvót o 90 miliónov kvót. V roku 2026 sa </w:t>
            </w:r>
            <w:proofErr w:type="spellStart"/>
            <w:r w:rsidRPr="001300A9">
              <w:rPr>
                <w:sz w:val="22"/>
                <w:szCs w:val="22"/>
              </w:rPr>
              <w:t>celoúnijné</w:t>
            </w:r>
            <w:proofErr w:type="spellEnd"/>
            <w:r w:rsidRPr="001300A9">
              <w:rPr>
                <w:sz w:val="22"/>
                <w:szCs w:val="22"/>
              </w:rPr>
              <w:t xml:space="preserve"> množstvo </w:t>
            </w:r>
            <w:r w:rsidRPr="001300A9">
              <w:rPr>
                <w:sz w:val="22"/>
                <w:szCs w:val="22"/>
              </w:rPr>
              <w:lastRenderedPageBreak/>
              <w:t xml:space="preserve">kvót zníži o 27 miliónov kvót. V roku 2024 sa </w:t>
            </w:r>
            <w:proofErr w:type="spellStart"/>
            <w:r w:rsidRPr="001300A9">
              <w:rPr>
                <w:sz w:val="22"/>
                <w:szCs w:val="22"/>
              </w:rPr>
              <w:t>celoúnijné</w:t>
            </w:r>
            <w:proofErr w:type="spellEnd"/>
            <w:r w:rsidRPr="001300A9">
              <w:rPr>
                <w:sz w:val="22"/>
                <w:szCs w:val="22"/>
              </w:rPr>
              <w:t xml:space="preserve"> množstvo kvót zvýši o 78,4 miliónov kvót pre námornú dopravu. Lineárny koeficient predstavuje 4,3 % od roku 2024 do roku 2027 a 4,4 % od roku 2028. Lineárny koeficient sa uplatňuje aj na kvóty zodpovedajúce priemerným emisiám z námornej dopravy nahláseným v súlade s nariadením (EÚ) 2015/757 za roky 2018 a 2019, ktoré sú uvedené v článku 3ga. Komisia zverejní </w:t>
            </w:r>
            <w:proofErr w:type="spellStart"/>
            <w:r w:rsidRPr="001300A9">
              <w:rPr>
                <w:sz w:val="22"/>
                <w:szCs w:val="22"/>
              </w:rPr>
              <w:t>celoúnijné</w:t>
            </w:r>
            <w:proofErr w:type="spellEnd"/>
            <w:r w:rsidRPr="001300A9">
              <w:rPr>
                <w:sz w:val="22"/>
                <w:szCs w:val="22"/>
              </w:rPr>
              <w:t xml:space="preserve"> množstvo kvót do ... [tri mesiace odo dňa nadobudnutia účinnosti tejto pozmeňujúcej smernice].</w:t>
            </w:r>
          </w:p>
          <w:p w14:paraId="58A500DC" w14:textId="77777777" w:rsidR="00357CEC" w:rsidRPr="001300A9" w:rsidRDefault="00357CEC" w:rsidP="00357CEC">
            <w:pPr>
              <w:pStyle w:val="Default"/>
              <w:rPr>
                <w:sz w:val="22"/>
                <w:szCs w:val="22"/>
              </w:rPr>
            </w:pPr>
          </w:p>
          <w:p w14:paraId="4D1ED788" w14:textId="77777777" w:rsidR="00357CEC" w:rsidRPr="001300A9" w:rsidRDefault="00357CEC" w:rsidP="00357CEC">
            <w:pPr>
              <w:pStyle w:val="Default"/>
              <w:rPr>
                <w:sz w:val="22"/>
                <w:szCs w:val="22"/>
              </w:rPr>
            </w:pPr>
            <w:r w:rsidRPr="001300A9">
              <w:rPr>
                <w:sz w:val="22"/>
                <w:szCs w:val="22"/>
              </w:rPr>
              <w:t xml:space="preserve">Od 1. januára 2026 a 1. januára 2027 sa množstvo kvót zvýši, aby sa zohľadnilo pokrytie iných emisií skleníkových plynov než emisií CO2 z činností námornej dopravy a pokrytie emisií z </w:t>
            </w:r>
            <w:proofErr w:type="spellStart"/>
            <w:r w:rsidRPr="001300A9">
              <w:rPr>
                <w:sz w:val="22"/>
                <w:szCs w:val="22"/>
              </w:rPr>
              <w:t>príbrežných</w:t>
            </w:r>
            <w:proofErr w:type="spellEnd"/>
            <w:r w:rsidRPr="001300A9">
              <w:rPr>
                <w:sz w:val="22"/>
                <w:szCs w:val="22"/>
              </w:rPr>
              <w:t xml:space="preserve"> plavidiel na základe ich emisií za posledný rok, za ktorý sú k dispozícii údaje. Bez ohľadu na článok 10 ods. 1 sa kvóty vyplývajúce z tohto zvýšenia sprístupnia na účely podpory inovácií v súlade s článkom 10a ods. 8.</w:t>
            </w:r>
          </w:p>
        </w:tc>
        <w:tc>
          <w:tcPr>
            <w:tcW w:w="567" w:type="dxa"/>
          </w:tcPr>
          <w:p w14:paraId="333F4D8E" w14:textId="77777777" w:rsidR="00357CEC" w:rsidRPr="001300A9" w:rsidRDefault="00357CEC" w:rsidP="00357CEC">
            <w:pPr>
              <w:pStyle w:val="Default"/>
              <w:rPr>
                <w:sz w:val="22"/>
                <w:szCs w:val="22"/>
              </w:rPr>
            </w:pPr>
            <w:proofErr w:type="spellStart"/>
            <w:r w:rsidRPr="001300A9">
              <w:rPr>
                <w:sz w:val="22"/>
                <w:szCs w:val="22"/>
              </w:rPr>
              <w:lastRenderedPageBreak/>
              <w:t>n.a</w:t>
            </w:r>
            <w:proofErr w:type="spellEnd"/>
            <w:r w:rsidRPr="001300A9">
              <w:rPr>
                <w:sz w:val="22"/>
                <w:szCs w:val="22"/>
              </w:rPr>
              <w:t>.</w:t>
            </w:r>
          </w:p>
        </w:tc>
        <w:tc>
          <w:tcPr>
            <w:tcW w:w="283" w:type="dxa"/>
          </w:tcPr>
          <w:p w14:paraId="1E8F0F90" w14:textId="77777777" w:rsidR="00357CEC" w:rsidRPr="001300A9" w:rsidRDefault="00357CEC" w:rsidP="00357CEC">
            <w:pPr>
              <w:pStyle w:val="Default"/>
              <w:rPr>
                <w:sz w:val="22"/>
                <w:szCs w:val="22"/>
              </w:rPr>
            </w:pPr>
          </w:p>
        </w:tc>
        <w:tc>
          <w:tcPr>
            <w:tcW w:w="567" w:type="dxa"/>
          </w:tcPr>
          <w:p w14:paraId="7154CC05" w14:textId="77777777" w:rsidR="00357CEC" w:rsidRPr="001300A9" w:rsidRDefault="00357CEC" w:rsidP="00357CEC">
            <w:pPr>
              <w:pStyle w:val="Default"/>
              <w:rPr>
                <w:sz w:val="22"/>
                <w:szCs w:val="22"/>
              </w:rPr>
            </w:pPr>
          </w:p>
        </w:tc>
        <w:tc>
          <w:tcPr>
            <w:tcW w:w="4253" w:type="dxa"/>
          </w:tcPr>
          <w:p w14:paraId="5D23CB4F" w14:textId="77777777" w:rsidR="00357CEC" w:rsidRPr="001300A9" w:rsidRDefault="00357CEC" w:rsidP="00357CEC">
            <w:pPr>
              <w:pStyle w:val="Default"/>
              <w:rPr>
                <w:sz w:val="22"/>
                <w:szCs w:val="22"/>
              </w:rPr>
            </w:pPr>
          </w:p>
        </w:tc>
        <w:tc>
          <w:tcPr>
            <w:tcW w:w="567" w:type="dxa"/>
          </w:tcPr>
          <w:p w14:paraId="413B7A54" w14:textId="77777777" w:rsidR="00357CEC" w:rsidRPr="001300A9" w:rsidRDefault="00357CEC" w:rsidP="00357CEC">
            <w:pPr>
              <w:pStyle w:val="Default"/>
              <w:rPr>
                <w:sz w:val="22"/>
                <w:szCs w:val="22"/>
              </w:rPr>
            </w:pPr>
          </w:p>
        </w:tc>
        <w:tc>
          <w:tcPr>
            <w:tcW w:w="1276" w:type="dxa"/>
          </w:tcPr>
          <w:p w14:paraId="21D0C02F" w14:textId="77777777" w:rsidR="00357CEC" w:rsidRPr="001300A9" w:rsidRDefault="00357CEC" w:rsidP="00357CEC">
            <w:pPr>
              <w:pStyle w:val="Default"/>
              <w:rPr>
                <w:sz w:val="22"/>
                <w:szCs w:val="22"/>
              </w:rPr>
            </w:pPr>
          </w:p>
        </w:tc>
        <w:tc>
          <w:tcPr>
            <w:tcW w:w="850" w:type="dxa"/>
          </w:tcPr>
          <w:p w14:paraId="6069927B" w14:textId="77777777" w:rsidR="00357CEC" w:rsidRPr="001300A9" w:rsidRDefault="00357CEC" w:rsidP="00357CEC">
            <w:pPr>
              <w:pStyle w:val="Default"/>
              <w:rPr>
                <w:sz w:val="22"/>
                <w:szCs w:val="22"/>
              </w:rPr>
            </w:pPr>
          </w:p>
        </w:tc>
        <w:tc>
          <w:tcPr>
            <w:tcW w:w="815" w:type="dxa"/>
          </w:tcPr>
          <w:p w14:paraId="4D25567E" w14:textId="77777777" w:rsidR="00357CEC" w:rsidRPr="001300A9" w:rsidRDefault="00357CEC" w:rsidP="00357CEC">
            <w:pPr>
              <w:pStyle w:val="Default"/>
              <w:rPr>
                <w:sz w:val="22"/>
                <w:szCs w:val="22"/>
              </w:rPr>
            </w:pPr>
          </w:p>
        </w:tc>
      </w:tr>
      <w:tr w:rsidR="00DD6EDC" w:rsidRPr="001300A9" w14:paraId="1413386D" w14:textId="77777777" w:rsidTr="360410BC">
        <w:tc>
          <w:tcPr>
            <w:tcW w:w="562" w:type="dxa"/>
          </w:tcPr>
          <w:p w14:paraId="7A9D3249" w14:textId="77777777" w:rsidR="00357CEC" w:rsidRPr="001300A9" w:rsidRDefault="00357CEC" w:rsidP="00357CEC">
            <w:pPr>
              <w:pStyle w:val="Default"/>
              <w:rPr>
                <w:sz w:val="22"/>
                <w:szCs w:val="22"/>
              </w:rPr>
            </w:pPr>
            <w:r w:rsidRPr="001300A9">
              <w:rPr>
                <w:sz w:val="22"/>
                <w:szCs w:val="22"/>
              </w:rPr>
              <w:t>Č: 1</w:t>
            </w:r>
          </w:p>
          <w:p w14:paraId="7B9F22F6" w14:textId="77777777" w:rsidR="00357CEC" w:rsidRPr="001300A9" w:rsidRDefault="00357CEC" w:rsidP="00357CEC">
            <w:pPr>
              <w:pStyle w:val="Default"/>
              <w:rPr>
                <w:sz w:val="22"/>
                <w:szCs w:val="22"/>
              </w:rPr>
            </w:pPr>
            <w:r w:rsidRPr="001300A9">
              <w:rPr>
                <w:sz w:val="22"/>
                <w:szCs w:val="22"/>
              </w:rPr>
              <w:t>O: 12</w:t>
            </w:r>
          </w:p>
          <w:p w14:paraId="230D2EBB" w14:textId="77777777" w:rsidR="00357CEC" w:rsidRPr="001300A9" w:rsidRDefault="00357CEC" w:rsidP="00357CEC">
            <w:pPr>
              <w:pStyle w:val="Default"/>
              <w:rPr>
                <w:sz w:val="22"/>
                <w:szCs w:val="22"/>
              </w:rPr>
            </w:pPr>
            <w:r w:rsidRPr="001300A9">
              <w:rPr>
                <w:sz w:val="22"/>
                <w:szCs w:val="22"/>
              </w:rPr>
              <w:t>P: a)</w:t>
            </w:r>
          </w:p>
        </w:tc>
        <w:tc>
          <w:tcPr>
            <w:tcW w:w="4820" w:type="dxa"/>
          </w:tcPr>
          <w:p w14:paraId="4BC67D0C" w14:textId="77777777" w:rsidR="00357CEC" w:rsidRPr="001300A9" w:rsidRDefault="00357CEC" w:rsidP="00357CEC">
            <w:pPr>
              <w:pStyle w:val="Default"/>
              <w:rPr>
                <w:sz w:val="22"/>
                <w:szCs w:val="22"/>
              </w:rPr>
            </w:pPr>
            <w:r w:rsidRPr="001300A9">
              <w:rPr>
                <w:sz w:val="22"/>
                <w:szCs w:val="22"/>
              </w:rPr>
              <w:t xml:space="preserve">2 % celkového množstva kvót v období rokov 2021 až 2030 sa vydražia formou aukcie s cieľom vytvoriť fond na zlepšenie energetickej efektívnosti a modernizáciu energetických systémov určitých členských štátov („prijímajúce členské štáty“), ako sa stanovuje v článku 10d („modernizačný fond“). V prípade uvedeného množstva kvót sú prijímajúcimi členskými štátmi členské štáty, ktorých HDP na obyvateľa v trhových cenách je nižší ako 60 % priemeru Únie v roku 2013. Finančné prostriedky zodpovedajúce uvedenému množstvu kvót sa rozdelia v súlade s časťou A prílohy </w:t>
            </w:r>
            <w:proofErr w:type="spellStart"/>
            <w:r w:rsidRPr="001300A9">
              <w:rPr>
                <w:sz w:val="22"/>
                <w:szCs w:val="22"/>
              </w:rPr>
              <w:t>IIb</w:t>
            </w:r>
            <w:proofErr w:type="spellEnd"/>
            <w:r w:rsidRPr="001300A9">
              <w:rPr>
                <w:sz w:val="22"/>
                <w:szCs w:val="22"/>
              </w:rPr>
              <w:t>.</w:t>
            </w:r>
          </w:p>
          <w:p w14:paraId="18B80948" w14:textId="77777777" w:rsidR="00357CEC" w:rsidRPr="001300A9" w:rsidRDefault="00357CEC" w:rsidP="00357CEC">
            <w:pPr>
              <w:pStyle w:val="Default"/>
              <w:rPr>
                <w:sz w:val="22"/>
                <w:szCs w:val="22"/>
              </w:rPr>
            </w:pPr>
          </w:p>
          <w:p w14:paraId="6748D36A" w14:textId="77777777" w:rsidR="00357CEC" w:rsidRPr="001300A9" w:rsidRDefault="00357CEC" w:rsidP="00357CEC">
            <w:pPr>
              <w:pStyle w:val="Default"/>
              <w:rPr>
                <w:sz w:val="22"/>
                <w:szCs w:val="22"/>
              </w:rPr>
            </w:pPr>
            <w:r w:rsidRPr="001300A9">
              <w:rPr>
                <w:sz w:val="22"/>
                <w:szCs w:val="22"/>
              </w:rPr>
              <w:lastRenderedPageBreak/>
              <w:t xml:space="preserve">Okrem toho sa 2,5 % celkového množstva kvót v období od roku 2024 do roku 2030 vydraží formou aukcie na účely modernizačného fondu. V prípade uvedeného množstva kvót sú prijímajúcimi členskými štátmi členské štáty, ktorých HDP na obyvateľa v trhových cenách je nižší ako 75 % priemeru Únie v období rokov 2016 až 2018. Finančné prostriedky zodpovedajúce uvedenému množstvu kvót sa rozdelia v súlade s časťou B prílohy </w:t>
            </w:r>
            <w:proofErr w:type="spellStart"/>
            <w:r w:rsidRPr="001300A9">
              <w:rPr>
                <w:sz w:val="22"/>
                <w:szCs w:val="22"/>
              </w:rPr>
              <w:t>IIb</w:t>
            </w:r>
            <w:proofErr w:type="spellEnd"/>
            <w:r w:rsidRPr="001300A9">
              <w:rPr>
                <w:sz w:val="22"/>
                <w:szCs w:val="22"/>
              </w:rPr>
              <w:t>.</w:t>
            </w:r>
          </w:p>
        </w:tc>
        <w:tc>
          <w:tcPr>
            <w:tcW w:w="567" w:type="dxa"/>
          </w:tcPr>
          <w:p w14:paraId="6FE3758D" w14:textId="77777777" w:rsidR="00357CEC" w:rsidRPr="001300A9" w:rsidRDefault="00357CEC" w:rsidP="00357CEC">
            <w:pPr>
              <w:pStyle w:val="Default"/>
              <w:rPr>
                <w:sz w:val="22"/>
                <w:szCs w:val="22"/>
              </w:rPr>
            </w:pPr>
            <w:proofErr w:type="spellStart"/>
            <w:r w:rsidRPr="001300A9">
              <w:rPr>
                <w:sz w:val="22"/>
                <w:szCs w:val="22"/>
              </w:rPr>
              <w:lastRenderedPageBreak/>
              <w:t>n.a</w:t>
            </w:r>
            <w:proofErr w:type="spellEnd"/>
            <w:r w:rsidRPr="001300A9">
              <w:rPr>
                <w:sz w:val="22"/>
                <w:szCs w:val="22"/>
              </w:rPr>
              <w:t>.</w:t>
            </w:r>
          </w:p>
        </w:tc>
        <w:tc>
          <w:tcPr>
            <w:tcW w:w="283" w:type="dxa"/>
          </w:tcPr>
          <w:p w14:paraId="04219F95" w14:textId="77777777" w:rsidR="00357CEC" w:rsidRPr="001300A9" w:rsidRDefault="00357CEC" w:rsidP="00357CEC">
            <w:pPr>
              <w:pStyle w:val="Default"/>
              <w:rPr>
                <w:sz w:val="22"/>
                <w:szCs w:val="22"/>
              </w:rPr>
            </w:pPr>
          </w:p>
        </w:tc>
        <w:tc>
          <w:tcPr>
            <w:tcW w:w="567" w:type="dxa"/>
          </w:tcPr>
          <w:p w14:paraId="18F3C643" w14:textId="77777777" w:rsidR="00357CEC" w:rsidRPr="001300A9" w:rsidRDefault="00357CEC" w:rsidP="00357CEC">
            <w:pPr>
              <w:pStyle w:val="Default"/>
              <w:rPr>
                <w:sz w:val="22"/>
                <w:szCs w:val="22"/>
              </w:rPr>
            </w:pPr>
          </w:p>
        </w:tc>
        <w:tc>
          <w:tcPr>
            <w:tcW w:w="4253" w:type="dxa"/>
          </w:tcPr>
          <w:p w14:paraId="5B09B57B" w14:textId="77777777" w:rsidR="00357CEC" w:rsidRPr="001300A9" w:rsidRDefault="00357CEC" w:rsidP="00357CEC">
            <w:pPr>
              <w:pStyle w:val="Default"/>
              <w:rPr>
                <w:sz w:val="22"/>
                <w:szCs w:val="22"/>
              </w:rPr>
            </w:pPr>
          </w:p>
        </w:tc>
        <w:tc>
          <w:tcPr>
            <w:tcW w:w="567" w:type="dxa"/>
          </w:tcPr>
          <w:p w14:paraId="1E8411EB" w14:textId="77777777" w:rsidR="00357CEC" w:rsidRPr="001300A9" w:rsidRDefault="00357CEC" w:rsidP="00357CEC">
            <w:pPr>
              <w:pStyle w:val="Default"/>
              <w:rPr>
                <w:sz w:val="22"/>
                <w:szCs w:val="22"/>
              </w:rPr>
            </w:pPr>
          </w:p>
        </w:tc>
        <w:tc>
          <w:tcPr>
            <w:tcW w:w="1276" w:type="dxa"/>
          </w:tcPr>
          <w:p w14:paraId="4BB01CDE" w14:textId="77777777" w:rsidR="00357CEC" w:rsidRPr="001300A9" w:rsidRDefault="00357CEC" w:rsidP="00357CEC">
            <w:pPr>
              <w:pStyle w:val="Default"/>
              <w:rPr>
                <w:sz w:val="22"/>
                <w:szCs w:val="22"/>
              </w:rPr>
            </w:pPr>
          </w:p>
        </w:tc>
        <w:tc>
          <w:tcPr>
            <w:tcW w:w="850" w:type="dxa"/>
          </w:tcPr>
          <w:p w14:paraId="3E5048D7" w14:textId="77777777" w:rsidR="00357CEC" w:rsidRPr="001300A9" w:rsidRDefault="00357CEC" w:rsidP="00357CEC">
            <w:pPr>
              <w:pStyle w:val="Default"/>
              <w:rPr>
                <w:sz w:val="22"/>
                <w:szCs w:val="22"/>
              </w:rPr>
            </w:pPr>
          </w:p>
        </w:tc>
        <w:tc>
          <w:tcPr>
            <w:tcW w:w="815" w:type="dxa"/>
          </w:tcPr>
          <w:p w14:paraId="290731EE" w14:textId="77777777" w:rsidR="00357CEC" w:rsidRPr="001300A9" w:rsidRDefault="00357CEC" w:rsidP="00357CEC">
            <w:pPr>
              <w:pStyle w:val="Default"/>
              <w:rPr>
                <w:sz w:val="22"/>
                <w:szCs w:val="22"/>
              </w:rPr>
            </w:pPr>
          </w:p>
        </w:tc>
      </w:tr>
      <w:tr w:rsidR="00DD6EDC" w:rsidRPr="001300A9" w14:paraId="113624F5" w14:textId="77777777" w:rsidTr="360410BC">
        <w:tc>
          <w:tcPr>
            <w:tcW w:w="562" w:type="dxa"/>
          </w:tcPr>
          <w:p w14:paraId="40687395" w14:textId="77777777" w:rsidR="00357CEC" w:rsidRPr="001300A9" w:rsidRDefault="00357CEC" w:rsidP="00357CEC">
            <w:pPr>
              <w:pStyle w:val="Default"/>
              <w:rPr>
                <w:sz w:val="22"/>
                <w:szCs w:val="22"/>
              </w:rPr>
            </w:pPr>
            <w:r w:rsidRPr="001300A9">
              <w:rPr>
                <w:sz w:val="22"/>
                <w:szCs w:val="22"/>
              </w:rPr>
              <w:t>Č: 1</w:t>
            </w:r>
          </w:p>
          <w:p w14:paraId="0226E7A3" w14:textId="77777777" w:rsidR="00357CEC" w:rsidRPr="001300A9" w:rsidRDefault="00357CEC" w:rsidP="00357CEC">
            <w:pPr>
              <w:pStyle w:val="Default"/>
              <w:rPr>
                <w:sz w:val="22"/>
                <w:szCs w:val="22"/>
              </w:rPr>
            </w:pPr>
            <w:r w:rsidRPr="001300A9">
              <w:rPr>
                <w:sz w:val="22"/>
                <w:szCs w:val="22"/>
              </w:rPr>
              <w:t>O: 12</w:t>
            </w:r>
          </w:p>
          <w:p w14:paraId="2990F6CA" w14:textId="77777777" w:rsidR="00357CEC" w:rsidRPr="001300A9" w:rsidRDefault="00357CEC" w:rsidP="00357CEC">
            <w:pPr>
              <w:pStyle w:val="Default"/>
              <w:rPr>
                <w:sz w:val="22"/>
                <w:szCs w:val="22"/>
              </w:rPr>
            </w:pPr>
            <w:r w:rsidRPr="001300A9">
              <w:rPr>
                <w:sz w:val="22"/>
                <w:szCs w:val="22"/>
              </w:rPr>
              <w:t>P: b)</w:t>
            </w:r>
          </w:p>
        </w:tc>
        <w:tc>
          <w:tcPr>
            <w:tcW w:w="4820" w:type="dxa"/>
          </w:tcPr>
          <w:p w14:paraId="39585B0F" w14:textId="77777777" w:rsidR="00357CEC" w:rsidRPr="001300A9" w:rsidRDefault="00357CEC" w:rsidP="00357CEC">
            <w:pPr>
              <w:pStyle w:val="Default"/>
              <w:rPr>
                <w:sz w:val="22"/>
                <w:szCs w:val="22"/>
              </w:rPr>
            </w:pPr>
            <w:r w:rsidRPr="001300A9">
              <w:rPr>
                <w:sz w:val="22"/>
                <w:szCs w:val="22"/>
              </w:rPr>
              <w:t>3. Členské štáty určia, ako sa použijú príjmy pochádzajúce z obchodovania s kvótami formou aukcie uvedenými v odseku 2 tohto článku, s výnimkou príjmov stanovených ako vlastné zdroje v súlade s článkom 311 tretím odsekom ZFEÚ a zahrnutých do rozpočtu Únie. Členské štáty použijú tieto príjmy s výnimkou príjmov použitých na kompenzáciu nepriamych nákladov na uhlík, ktoré sa uvádzajú v článku 10a ods. 6, alebo ekvivalent vo finančnej hodnote uvedených príjmov, na účely plnenia jedného alebo viacerých z týchto cieľov:</w:t>
            </w:r>
          </w:p>
        </w:tc>
        <w:tc>
          <w:tcPr>
            <w:tcW w:w="567" w:type="dxa"/>
          </w:tcPr>
          <w:p w14:paraId="0DAA175C" w14:textId="62371499" w:rsidR="00357CEC" w:rsidRPr="001300A9" w:rsidRDefault="00E22288" w:rsidP="00357CEC">
            <w:pPr>
              <w:pStyle w:val="Default"/>
              <w:rPr>
                <w:sz w:val="22"/>
                <w:szCs w:val="22"/>
              </w:rPr>
            </w:pPr>
            <w:r w:rsidRPr="001300A9">
              <w:rPr>
                <w:sz w:val="22"/>
                <w:szCs w:val="22"/>
              </w:rPr>
              <w:t xml:space="preserve">N </w:t>
            </w:r>
          </w:p>
        </w:tc>
        <w:tc>
          <w:tcPr>
            <w:tcW w:w="283" w:type="dxa"/>
          </w:tcPr>
          <w:p w14:paraId="514ECDC8" w14:textId="2D808343" w:rsidR="00357CEC" w:rsidRPr="001300A9" w:rsidRDefault="002C79F4" w:rsidP="00357CEC">
            <w:pPr>
              <w:pStyle w:val="Default"/>
              <w:rPr>
                <w:sz w:val="22"/>
                <w:szCs w:val="22"/>
              </w:rPr>
            </w:pPr>
            <w:r>
              <w:rPr>
                <w:sz w:val="22"/>
                <w:szCs w:val="22"/>
              </w:rPr>
              <w:t>NZ</w:t>
            </w:r>
          </w:p>
        </w:tc>
        <w:tc>
          <w:tcPr>
            <w:tcW w:w="567" w:type="dxa"/>
          </w:tcPr>
          <w:p w14:paraId="56E55017" w14:textId="6405A4B7" w:rsidR="00357CEC" w:rsidRPr="00223C49" w:rsidRDefault="524E30F6" w:rsidP="169B2D24">
            <w:pPr>
              <w:tabs>
                <w:tab w:val="left" w:pos="161"/>
              </w:tabs>
              <w:jc w:val="both"/>
            </w:pPr>
            <w:r w:rsidRPr="169B2D24">
              <w:rPr>
                <w:rFonts w:ascii="Times New Roman" w:eastAsia="Times New Roman" w:hAnsi="Times New Roman" w:cs="Times New Roman"/>
                <w:color w:val="000000" w:themeColor="text1"/>
              </w:rPr>
              <w:t>§ 18 ods. 7 a ods. 8</w:t>
            </w:r>
            <w:r w:rsidRPr="169B2D24">
              <w:t xml:space="preserve"> </w:t>
            </w:r>
          </w:p>
          <w:p w14:paraId="2A0A0934" w14:textId="2826B010" w:rsidR="00357CEC" w:rsidRPr="00223C49" w:rsidRDefault="00357CEC" w:rsidP="00357CEC">
            <w:pPr>
              <w:pStyle w:val="Default"/>
              <w:rPr>
                <w:sz w:val="22"/>
                <w:szCs w:val="22"/>
              </w:rPr>
            </w:pPr>
          </w:p>
          <w:p w14:paraId="1F592CB8" w14:textId="77777777" w:rsidR="00D65729" w:rsidRPr="00223C49" w:rsidRDefault="00D65729" w:rsidP="00357CEC">
            <w:pPr>
              <w:pStyle w:val="Default"/>
              <w:rPr>
                <w:sz w:val="22"/>
                <w:szCs w:val="22"/>
              </w:rPr>
            </w:pPr>
          </w:p>
          <w:p w14:paraId="395358D3" w14:textId="77777777" w:rsidR="00D65729" w:rsidRPr="00223C49" w:rsidRDefault="00D65729" w:rsidP="00357CEC">
            <w:pPr>
              <w:pStyle w:val="Default"/>
              <w:rPr>
                <w:sz w:val="22"/>
                <w:szCs w:val="22"/>
              </w:rPr>
            </w:pPr>
          </w:p>
          <w:p w14:paraId="453D71EE" w14:textId="77777777" w:rsidR="00D65729" w:rsidRPr="00223C49" w:rsidRDefault="00D65729" w:rsidP="00357CEC">
            <w:pPr>
              <w:pStyle w:val="Default"/>
              <w:rPr>
                <w:sz w:val="22"/>
                <w:szCs w:val="22"/>
              </w:rPr>
            </w:pPr>
          </w:p>
          <w:p w14:paraId="3817C75A" w14:textId="77777777" w:rsidR="00D65729" w:rsidRPr="00223C49" w:rsidRDefault="00D65729" w:rsidP="00357CEC">
            <w:pPr>
              <w:pStyle w:val="Default"/>
              <w:rPr>
                <w:sz w:val="22"/>
                <w:szCs w:val="22"/>
              </w:rPr>
            </w:pPr>
          </w:p>
          <w:p w14:paraId="6D8E5C21" w14:textId="77777777" w:rsidR="00D65729" w:rsidRPr="00223C49" w:rsidRDefault="00D65729" w:rsidP="00357CEC">
            <w:pPr>
              <w:pStyle w:val="Default"/>
              <w:rPr>
                <w:sz w:val="22"/>
                <w:szCs w:val="22"/>
              </w:rPr>
            </w:pPr>
          </w:p>
          <w:p w14:paraId="5B93B95B" w14:textId="77777777" w:rsidR="00D65729" w:rsidRPr="00223C49" w:rsidRDefault="00D65729" w:rsidP="00357CEC">
            <w:pPr>
              <w:pStyle w:val="Default"/>
              <w:rPr>
                <w:sz w:val="22"/>
                <w:szCs w:val="22"/>
              </w:rPr>
            </w:pPr>
          </w:p>
          <w:p w14:paraId="62489963" w14:textId="77777777" w:rsidR="00D65729" w:rsidRPr="00223C49" w:rsidRDefault="00D65729" w:rsidP="00357CEC">
            <w:pPr>
              <w:pStyle w:val="Default"/>
              <w:rPr>
                <w:sz w:val="22"/>
                <w:szCs w:val="22"/>
              </w:rPr>
            </w:pPr>
          </w:p>
          <w:p w14:paraId="7B5A424E" w14:textId="77777777" w:rsidR="00D65729" w:rsidRPr="00223C49" w:rsidRDefault="00D65729" w:rsidP="00357CEC">
            <w:pPr>
              <w:pStyle w:val="Default"/>
              <w:rPr>
                <w:sz w:val="22"/>
                <w:szCs w:val="22"/>
              </w:rPr>
            </w:pPr>
          </w:p>
          <w:p w14:paraId="58BFD738" w14:textId="77777777" w:rsidR="00D65729" w:rsidRPr="00223C49" w:rsidRDefault="00D65729" w:rsidP="00357CEC">
            <w:pPr>
              <w:pStyle w:val="Default"/>
              <w:rPr>
                <w:sz w:val="22"/>
                <w:szCs w:val="22"/>
              </w:rPr>
            </w:pPr>
          </w:p>
          <w:p w14:paraId="54DB34E8" w14:textId="77777777" w:rsidR="00D65729" w:rsidRPr="00223C49" w:rsidRDefault="00D65729" w:rsidP="00357CEC">
            <w:pPr>
              <w:pStyle w:val="Default"/>
              <w:rPr>
                <w:sz w:val="22"/>
                <w:szCs w:val="22"/>
              </w:rPr>
            </w:pPr>
          </w:p>
          <w:p w14:paraId="4E828EBC" w14:textId="77777777" w:rsidR="00D65729" w:rsidRPr="00223C49" w:rsidRDefault="00D65729" w:rsidP="00357CEC">
            <w:pPr>
              <w:pStyle w:val="Default"/>
              <w:rPr>
                <w:sz w:val="22"/>
                <w:szCs w:val="22"/>
              </w:rPr>
            </w:pPr>
          </w:p>
          <w:p w14:paraId="0A263187" w14:textId="77777777" w:rsidR="00D65729" w:rsidRPr="00223C49" w:rsidRDefault="00D65729" w:rsidP="00357CEC">
            <w:pPr>
              <w:pStyle w:val="Default"/>
              <w:rPr>
                <w:sz w:val="22"/>
                <w:szCs w:val="22"/>
              </w:rPr>
            </w:pPr>
          </w:p>
          <w:p w14:paraId="12610850" w14:textId="77777777" w:rsidR="00D65729" w:rsidRPr="00223C49" w:rsidRDefault="00D65729" w:rsidP="00357CEC">
            <w:pPr>
              <w:pStyle w:val="Default"/>
              <w:rPr>
                <w:sz w:val="22"/>
                <w:szCs w:val="22"/>
              </w:rPr>
            </w:pPr>
          </w:p>
          <w:p w14:paraId="27FA24AB" w14:textId="77777777" w:rsidR="00D65729" w:rsidRPr="00223C49" w:rsidRDefault="00D65729" w:rsidP="00357CEC">
            <w:pPr>
              <w:pStyle w:val="Default"/>
              <w:rPr>
                <w:sz w:val="22"/>
                <w:szCs w:val="22"/>
              </w:rPr>
            </w:pPr>
          </w:p>
          <w:p w14:paraId="14E0644F" w14:textId="77777777" w:rsidR="00D65729" w:rsidRPr="00223C49" w:rsidRDefault="00D65729" w:rsidP="00357CEC">
            <w:pPr>
              <w:pStyle w:val="Default"/>
              <w:rPr>
                <w:sz w:val="22"/>
                <w:szCs w:val="22"/>
              </w:rPr>
            </w:pPr>
          </w:p>
          <w:p w14:paraId="41C132EA" w14:textId="77777777" w:rsidR="00D65729" w:rsidRPr="00223C49" w:rsidRDefault="00D65729" w:rsidP="00357CEC">
            <w:pPr>
              <w:pStyle w:val="Default"/>
              <w:rPr>
                <w:sz w:val="22"/>
                <w:szCs w:val="22"/>
              </w:rPr>
            </w:pPr>
          </w:p>
          <w:p w14:paraId="2B4CFF17" w14:textId="77777777" w:rsidR="00D65729" w:rsidRPr="00223C49" w:rsidRDefault="00D65729" w:rsidP="00357CEC">
            <w:pPr>
              <w:pStyle w:val="Default"/>
              <w:rPr>
                <w:sz w:val="22"/>
                <w:szCs w:val="22"/>
              </w:rPr>
            </w:pPr>
          </w:p>
          <w:p w14:paraId="6F7B96D3" w14:textId="77777777" w:rsidR="00D65729" w:rsidRPr="00223C49" w:rsidRDefault="00D65729" w:rsidP="00357CEC">
            <w:pPr>
              <w:pStyle w:val="Default"/>
              <w:rPr>
                <w:sz w:val="22"/>
                <w:szCs w:val="22"/>
              </w:rPr>
            </w:pPr>
          </w:p>
          <w:p w14:paraId="44DB0624" w14:textId="77777777" w:rsidR="00D65729" w:rsidRPr="00223C49" w:rsidRDefault="00D65729" w:rsidP="00357CEC">
            <w:pPr>
              <w:pStyle w:val="Default"/>
              <w:rPr>
                <w:sz w:val="22"/>
                <w:szCs w:val="22"/>
              </w:rPr>
            </w:pPr>
          </w:p>
          <w:p w14:paraId="61CC57AA" w14:textId="77777777" w:rsidR="00D65729" w:rsidRPr="00223C49" w:rsidRDefault="00D65729" w:rsidP="00357CEC">
            <w:pPr>
              <w:pStyle w:val="Default"/>
              <w:rPr>
                <w:sz w:val="22"/>
                <w:szCs w:val="22"/>
              </w:rPr>
            </w:pPr>
          </w:p>
          <w:p w14:paraId="39ADD6FE" w14:textId="77777777" w:rsidR="00D65729" w:rsidRPr="00223C49" w:rsidRDefault="00D65729" w:rsidP="00357CEC">
            <w:pPr>
              <w:pStyle w:val="Default"/>
              <w:rPr>
                <w:sz w:val="22"/>
                <w:szCs w:val="22"/>
              </w:rPr>
            </w:pPr>
          </w:p>
          <w:p w14:paraId="54ECBC09" w14:textId="77777777" w:rsidR="00D65729" w:rsidRPr="00223C49" w:rsidRDefault="00D65729" w:rsidP="00357CEC">
            <w:pPr>
              <w:pStyle w:val="Default"/>
              <w:rPr>
                <w:sz w:val="22"/>
                <w:szCs w:val="22"/>
              </w:rPr>
            </w:pPr>
          </w:p>
          <w:p w14:paraId="44575CC2" w14:textId="77777777" w:rsidR="00D65729" w:rsidRPr="00223C49" w:rsidRDefault="00D65729" w:rsidP="00357CEC">
            <w:pPr>
              <w:pStyle w:val="Default"/>
              <w:rPr>
                <w:sz w:val="22"/>
                <w:szCs w:val="22"/>
              </w:rPr>
            </w:pPr>
          </w:p>
          <w:p w14:paraId="7BA006F6" w14:textId="77777777" w:rsidR="00D65729" w:rsidRPr="00223C49" w:rsidRDefault="00D65729" w:rsidP="00357CEC">
            <w:pPr>
              <w:pStyle w:val="Default"/>
              <w:rPr>
                <w:sz w:val="22"/>
                <w:szCs w:val="22"/>
              </w:rPr>
            </w:pPr>
          </w:p>
          <w:p w14:paraId="0F1894B5" w14:textId="77777777" w:rsidR="00D65729" w:rsidRPr="00223C49" w:rsidRDefault="00D65729" w:rsidP="00357CEC">
            <w:pPr>
              <w:pStyle w:val="Default"/>
              <w:rPr>
                <w:sz w:val="22"/>
                <w:szCs w:val="22"/>
              </w:rPr>
            </w:pPr>
          </w:p>
          <w:p w14:paraId="4E6F5898" w14:textId="77777777" w:rsidR="00D65729" w:rsidRPr="00223C49" w:rsidRDefault="00D65729" w:rsidP="00357CEC">
            <w:pPr>
              <w:pStyle w:val="Default"/>
              <w:rPr>
                <w:sz w:val="22"/>
                <w:szCs w:val="22"/>
              </w:rPr>
            </w:pPr>
          </w:p>
          <w:p w14:paraId="34C029CD" w14:textId="77777777" w:rsidR="00D65729" w:rsidRPr="00223C49" w:rsidRDefault="00D65729" w:rsidP="00357CEC">
            <w:pPr>
              <w:pStyle w:val="Default"/>
              <w:rPr>
                <w:sz w:val="22"/>
                <w:szCs w:val="22"/>
              </w:rPr>
            </w:pPr>
          </w:p>
          <w:p w14:paraId="4EA78D4C" w14:textId="77777777" w:rsidR="00D65729" w:rsidRPr="00223C49" w:rsidRDefault="00D65729" w:rsidP="00357CEC">
            <w:pPr>
              <w:pStyle w:val="Default"/>
              <w:rPr>
                <w:sz w:val="22"/>
                <w:szCs w:val="22"/>
              </w:rPr>
            </w:pPr>
          </w:p>
          <w:p w14:paraId="36ABE867" w14:textId="77777777" w:rsidR="00D65729" w:rsidRPr="00223C49" w:rsidRDefault="00D65729" w:rsidP="00357CEC">
            <w:pPr>
              <w:pStyle w:val="Default"/>
              <w:rPr>
                <w:sz w:val="22"/>
                <w:szCs w:val="22"/>
              </w:rPr>
            </w:pPr>
          </w:p>
          <w:p w14:paraId="15BF4ACD" w14:textId="77777777" w:rsidR="00D65729" w:rsidRPr="00223C49" w:rsidRDefault="00D65729" w:rsidP="00357CEC">
            <w:pPr>
              <w:pStyle w:val="Default"/>
              <w:rPr>
                <w:sz w:val="22"/>
                <w:szCs w:val="22"/>
              </w:rPr>
            </w:pPr>
          </w:p>
          <w:p w14:paraId="6D47C4FC" w14:textId="77777777" w:rsidR="00D65729" w:rsidRPr="00223C49" w:rsidRDefault="00D65729" w:rsidP="00357CEC">
            <w:pPr>
              <w:pStyle w:val="Default"/>
              <w:rPr>
                <w:sz w:val="22"/>
                <w:szCs w:val="22"/>
              </w:rPr>
            </w:pPr>
          </w:p>
          <w:p w14:paraId="573955AF" w14:textId="471C3170" w:rsidR="00D65729" w:rsidRPr="00223C49" w:rsidRDefault="00D65729" w:rsidP="00357CEC">
            <w:pPr>
              <w:pStyle w:val="Default"/>
              <w:rPr>
                <w:sz w:val="22"/>
                <w:szCs w:val="22"/>
              </w:rPr>
            </w:pPr>
          </w:p>
        </w:tc>
        <w:tc>
          <w:tcPr>
            <w:tcW w:w="4253" w:type="dxa"/>
          </w:tcPr>
          <w:p w14:paraId="6930E73A" w14:textId="131FCE9B" w:rsidR="003367CB" w:rsidRPr="003367CB" w:rsidRDefault="00260BC4" w:rsidP="169B2D24">
            <w:pPr>
              <w:pStyle w:val="Default"/>
              <w:ind w:firstLine="90"/>
              <w:rPr>
                <w:sz w:val="22"/>
                <w:szCs w:val="22"/>
              </w:rPr>
            </w:pPr>
            <w:r w:rsidRPr="169B2D24">
              <w:rPr>
                <w:sz w:val="22"/>
                <w:szCs w:val="22"/>
              </w:rPr>
              <w:lastRenderedPageBreak/>
              <w:t>(</w:t>
            </w:r>
            <w:r w:rsidR="0BDA0D86" w:rsidRPr="169B2D24">
              <w:rPr>
                <w:rFonts w:asciiTheme="minorHAnsi" w:eastAsiaTheme="minorEastAsia" w:hAnsiTheme="minorHAnsi" w:cstheme="minorBidi"/>
                <w:color w:val="auto"/>
                <w:sz w:val="22"/>
                <w:szCs w:val="22"/>
              </w:rPr>
              <w:t>7</w:t>
            </w:r>
            <w:r w:rsidRPr="169B2D24">
              <w:rPr>
                <w:rFonts w:asciiTheme="minorHAnsi" w:eastAsiaTheme="minorEastAsia" w:hAnsiTheme="minorHAnsi" w:cstheme="minorBidi"/>
                <w:color w:val="auto"/>
                <w:sz w:val="22"/>
                <w:szCs w:val="22"/>
              </w:rPr>
              <w:t>)</w:t>
            </w:r>
            <w:r w:rsidR="27F8DC63" w:rsidRPr="169B2D24">
              <w:rPr>
                <w:rFonts w:asciiTheme="minorHAnsi" w:eastAsiaTheme="minorEastAsia" w:hAnsiTheme="minorHAnsi" w:cstheme="minorBidi"/>
                <w:color w:val="auto"/>
                <w:sz w:val="22"/>
                <w:szCs w:val="22"/>
              </w:rPr>
              <w:t xml:space="preserve"> Výnos získaný z dražieb kvót podľa odsekov 1 a 2 je príjmom Environmentálneho fondu, pričom prostriedky z výnosu sa: </w:t>
            </w:r>
          </w:p>
          <w:p w14:paraId="0E010E6B" w14:textId="21036042" w:rsidR="003367CB" w:rsidRPr="003367CB" w:rsidRDefault="27F8DC63" w:rsidP="169B2D24">
            <w:pPr>
              <w:pStyle w:val="Odsekzoznamu"/>
              <w:numPr>
                <w:ilvl w:val="0"/>
                <w:numId w:val="17"/>
              </w:numPr>
              <w:spacing w:after="0" w:line="240" w:lineRule="auto"/>
              <w:ind w:left="0" w:hanging="90"/>
            </w:pPr>
            <w:r>
              <w:t xml:space="preserve">použijú na podporu činností na účely ustanovené osobitným predpisom,16c), </w:t>
            </w:r>
          </w:p>
          <w:p w14:paraId="21A45C15" w14:textId="4EED2857" w:rsidR="003367CB" w:rsidRPr="003367CB" w:rsidRDefault="27F8DC63" w:rsidP="169B2D24">
            <w:pPr>
              <w:pStyle w:val="Odsekzoznamu"/>
              <w:numPr>
                <w:ilvl w:val="0"/>
                <w:numId w:val="17"/>
              </w:numPr>
              <w:spacing w:after="0" w:line="240" w:lineRule="auto"/>
              <w:ind w:left="0" w:hanging="90"/>
            </w:pPr>
            <w:r>
              <w:t xml:space="preserve">použijú na úhradu nákladov súvisiacich so zabezpečením zvýšených záchytov uhlíka v lesnej pôde a biomase uskutočnením opatrení ochrany a starostlivosti o chránené územia16d) prostredníctvom organizácie ochrany prírody a krajiny zriadenej osobitným predpisom16e), financovanie opatrení na zadržiavanie vody v krajine s dôrazom na zachytávanie, ukladanie a využitie organického uhlíka a na financovanie projektov opatrení zameraných na ochranu lesov, pôdy vrátane financovania opatrení zameraných na zvyšovanie zalesňovania a obnovy lesov šetrných k biodiverzite a prospievajúcich k zachytávaniu uhlíka v pôde podľa § 26 ods. 6,   </w:t>
            </w:r>
          </w:p>
          <w:p w14:paraId="46712382" w14:textId="2144D668" w:rsidR="003367CB" w:rsidRPr="003367CB" w:rsidRDefault="27F8DC63" w:rsidP="169B2D24">
            <w:pPr>
              <w:pStyle w:val="Odsekzoznamu"/>
              <w:numPr>
                <w:ilvl w:val="0"/>
                <w:numId w:val="17"/>
              </w:numPr>
              <w:spacing w:after="0" w:line="240" w:lineRule="auto"/>
              <w:ind w:left="0" w:hanging="90"/>
            </w:pPr>
            <w:r>
              <w:t xml:space="preserve">použijú na financovanie schémy štátnej pomoci prevádzkam podľa § 26 ods. 3, v prípade ktorých sa predpokladá značné riziko </w:t>
            </w:r>
            <w:r>
              <w:lastRenderedPageBreak/>
              <w:t xml:space="preserve">úniku uhlíka v súvislosti s premietnutím nákladov kvót do cien elektrickej energie, </w:t>
            </w:r>
          </w:p>
          <w:p w14:paraId="044507B2" w14:textId="01C167D0" w:rsidR="003367CB" w:rsidRPr="003367CB" w:rsidRDefault="27F8DC63" w:rsidP="169B2D24">
            <w:pPr>
              <w:pStyle w:val="Odsekzoznamu"/>
              <w:numPr>
                <w:ilvl w:val="0"/>
                <w:numId w:val="17"/>
              </w:numPr>
              <w:spacing w:after="0" w:line="240" w:lineRule="auto"/>
              <w:ind w:left="0" w:hanging="90"/>
            </w:pPr>
            <w:r>
              <w:t>použijú na podporu činností na dosiahnutie cieľov stratégie environmentálnej politiky Slovenskej republiky v súvislosti s realizáciou opatrení v oblasti riešenia zmeny klímy,16f)</w:t>
            </w:r>
          </w:p>
          <w:p w14:paraId="1B73AD83" w14:textId="0C2F7383" w:rsidR="003367CB" w:rsidRPr="003367CB" w:rsidRDefault="27F8DC63" w:rsidP="169B2D24">
            <w:pPr>
              <w:pStyle w:val="Odsekzoznamu"/>
              <w:numPr>
                <w:ilvl w:val="0"/>
                <w:numId w:val="17"/>
              </w:numPr>
              <w:spacing w:after="0" w:line="240" w:lineRule="auto"/>
              <w:ind w:left="0" w:hanging="90"/>
            </w:pPr>
            <w:r>
              <w:t>použijú na úhradu nákladov spojených s odborným a administratívnym zabezpečením plnenia záväzkov Slovenskej republiky v oblasti znižovania emisií skleníkových plynov a v oblasti podpory investícií z prostriedkov Modernizačného fondu.16f)</w:t>
            </w:r>
          </w:p>
          <w:p w14:paraId="69FF3691" w14:textId="3B655408" w:rsidR="003367CB" w:rsidRPr="003367CB" w:rsidRDefault="27F8DC63" w:rsidP="169B2D24">
            <w:pPr>
              <w:pStyle w:val="Odsekzoznamu"/>
              <w:numPr>
                <w:ilvl w:val="0"/>
                <w:numId w:val="17"/>
              </w:numPr>
              <w:spacing w:after="0" w:line="240" w:lineRule="auto"/>
              <w:ind w:left="0" w:hanging="90"/>
            </w:pPr>
            <w:r>
              <w:t xml:space="preserve">poukážu na samostatné účty ministerstva dopravy, Ministerstva hospodárstva Slovenskej republiky a Ministerstva pôdohospodárstva a rozvoja vidieka Slovenskej republiky, a to vo výške maximálne 50 % z výnosu, ktoré ich použijú na účely ustanovené v odseku 8. </w:t>
            </w:r>
          </w:p>
          <w:p w14:paraId="096ABF4A" w14:textId="041198CC" w:rsidR="003367CB" w:rsidRPr="003367CB" w:rsidRDefault="545C1B1C" w:rsidP="169B2D24">
            <w:pPr>
              <w:spacing w:after="0" w:line="240" w:lineRule="auto"/>
            </w:pPr>
            <w:r>
              <w:t xml:space="preserve">(8) </w:t>
            </w:r>
            <w:r w:rsidR="27F8DC63">
              <w:t xml:space="preserve">Ministerstvo dopravy, Ministerstvo hospodárstva Slovenskej republiky a Ministerstvo pôdohospodárstva a rozvoja vidieka Slovenskej republiky je oprávnené podľa osobitného predpisu16g) použiť alebo poskytnúť prostriedky z výnosu podľa odseku 7 písm. f) na nasledovný účel: </w:t>
            </w:r>
          </w:p>
          <w:p w14:paraId="65FE940F" w14:textId="0D648933" w:rsidR="003367CB" w:rsidRPr="003367CB" w:rsidRDefault="27F8DC63" w:rsidP="169B2D24">
            <w:pPr>
              <w:pStyle w:val="Odsekzoznamu"/>
              <w:numPr>
                <w:ilvl w:val="0"/>
                <w:numId w:val="1"/>
              </w:numPr>
              <w:spacing w:after="0" w:line="240" w:lineRule="auto"/>
              <w:ind w:left="450"/>
            </w:pPr>
            <w:r>
              <w:t>zníženie emisií skleníkových plynov vrátane príspevku do Globálneho fondu energetickej účinnosti a obnoviteľnej energie a do adaptačného fondu, ktorého podmienky fungovania boli stano</w:t>
            </w:r>
            <w:r>
              <w:lastRenderedPageBreak/>
              <w:t xml:space="preserve">vené na konferencii o zmene klímy, prispôsobenie sa dôsledkom zmeny klímy a financovanie výskumu a vývoja, ako aj demonštračných projektov v oblasti znižovania emisií a prispôsobovania sa zmene klímy vrátane účasti na iniciatívach v rámci európskeho strategického plánu pre energetické technológie a európskych technologických platforiem; </w:t>
            </w:r>
          </w:p>
          <w:p w14:paraId="3F828F1A" w14:textId="059B296E" w:rsidR="003367CB" w:rsidRPr="003367CB" w:rsidRDefault="27F8DC63" w:rsidP="169B2D24">
            <w:pPr>
              <w:pStyle w:val="Odsekzoznamu"/>
              <w:numPr>
                <w:ilvl w:val="0"/>
                <w:numId w:val="1"/>
              </w:numPr>
              <w:spacing w:after="0" w:line="240" w:lineRule="auto"/>
              <w:ind w:left="450"/>
            </w:pPr>
            <w:r>
              <w:t xml:space="preserve">vývoj obnoviteľných energií a sietí na prenos elektrickej energie s cieľom splniť záväzok Európskej únie v oblasti obnoviteľných energií a ciele Únie v oblasti prepojiteľnosti, ako aj vývoj ďalších technológií, ktoré prispievajú k prechodu na bezpečné a udržateľné </w:t>
            </w:r>
            <w:proofErr w:type="spellStart"/>
            <w:r>
              <w:t>nízkouhlíkové</w:t>
            </w:r>
            <w:proofErr w:type="spellEnd"/>
            <w:r>
              <w:t xml:space="preserve"> hospodárstvo, a pomoc pri plnení záväzku Európskej únie zvýšiť energetickú efektívnosť podľa úrovní stanovených v príslušných legislatívnych aktoch vrátane výroby elektrickej energie z obnoviteľných zdrojov od </w:t>
            </w:r>
            <w:proofErr w:type="spellStart"/>
            <w:r>
              <w:t>samospotrebiteľov</w:t>
            </w:r>
            <w:proofErr w:type="spellEnd"/>
            <w:r>
              <w:t xml:space="preserve"> a komunít vyrábajúcich energiu z obnoviteľných zdrojov; </w:t>
            </w:r>
          </w:p>
          <w:p w14:paraId="76536A58" w14:textId="70F8C392" w:rsidR="003367CB" w:rsidRPr="003367CB" w:rsidRDefault="27F8DC63" w:rsidP="169B2D24">
            <w:pPr>
              <w:pStyle w:val="Odsekzoznamu"/>
              <w:numPr>
                <w:ilvl w:val="0"/>
                <w:numId w:val="1"/>
              </w:numPr>
              <w:spacing w:after="0" w:line="240" w:lineRule="auto"/>
              <w:ind w:left="450"/>
            </w:pPr>
            <w:r>
              <w:t xml:space="preserve">opatrenia na zabránenie odlesňovaniu a podporu ochrany a obnovy rašelinísk, lesov a iných suchozemských alebo morských ekosystémov vrátane opatrení, ktoré prispievajú k ich ochrane, obnove a lepšiemu riadeniu, najmä pokiaľ ide o chránené morské oblasti, a na zvyšovanie zalesňovania a obnovy lesov </w:t>
            </w:r>
            <w:r>
              <w:lastRenderedPageBreak/>
              <w:t xml:space="preserve">šetrných k biodiverzite, a to aj v rozvojových krajinách, ktoré ratifikovali Parížsku dohodu, a opatrenia na prenos technológií a uľahčenie prispôsobovania sa nepriaznivým dôsledkom zmeny klímy v týchto krajinách; </w:t>
            </w:r>
          </w:p>
          <w:p w14:paraId="0961F242" w14:textId="4F75FB7A" w:rsidR="003367CB" w:rsidRPr="003367CB" w:rsidRDefault="27F8DC63" w:rsidP="169B2D24">
            <w:pPr>
              <w:pStyle w:val="Odsekzoznamu"/>
              <w:numPr>
                <w:ilvl w:val="0"/>
                <w:numId w:val="1"/>
              </w:numPr>
              <w:spacing w:after="0" w:line="240" w:lineRule="auto"/>
              <w:ind w:left="450"/>
            </w:pPr>
            <w:r>
              <w:t xml:space="preserve">sekvestrácia prostredníctvom lesníctva a pôdy v Európskej únii; </w:t>
            </w:r>
          </w:p>
          <w:p w14:paraId="7DB6DAEE" w14:textId="6DCEAFD9" w:rsidR="003367CB" w:rsidRPr="003367CB" w:rsidRDefault="27F8DC63" w:rsidP="169B2D24">
            <w:pPr>
              <w:pStyle w:val="Odsekzoznamu"/>
              <w:numPr>
                <w:ilvl w:val="0"/>
                <w:numId w:val="1"/>
              </w:numPr>
              <w:spacing w:after="0" w:line="240" w:lineRule="auto"/>
              <w:ind w:left="450"/>
            </w:pPr>
            <w:r>
              <w:t xml:space="preserve">environmentálne bezpečné zachytávanie a geologické ukladanie oxidu uhličitého, najmä z elektrární na fosílne palivá tuhého skupenstva a z celého radu priemyselných odvetví a pododvetví vrátane zachytávania a ukladania v tretích krajinách a inovatívne technologické metódy odstraňovania uhlíka, ako je priame zachytávanie vo vzduchu a ukladanie; </w:t>
            </w:r>
          </w:p>
          <w:p w14:paraId="3D8D6115" w14:textId="58CA0437" w:rsidR="003367CB" w:rsidRPr="003367CB" w:rsidRDefault="27F8DC63" w:rsidP="169B2D24">
            <w:pPr>
              <w:pStyle w:val="Odsekzoznamu"/>
              <w:numPr>
                <w:ilvl w:val="0"/>
                <w:numId w:val="1"/>
              </w:numPr>
              <w:spacing w:after="0" w:line="240" w:lineRule="auto"/>
              <w:ind w:left="450"/>
            </w:pPr>
            <w:r>
              <w:t xml:space="preserve">investovanie do foriem dopravy, ktoré významne prispievajú k dekarbonizácii odvetvia, a urýchlenie prechodu na tieto formy dopravy vrátane rozvoja služieb a technológií osobnej a nákladnej železničnej dopravy a autobusovej dopravy, ktoré sú šetrné k životnému prostrediu, opatrení na dekarbonizáciu námorného odvetvia vrátane zlepšenia energetickej efektívnosti lodí, prístavov, inovačných technológií a infraštruktúry a udržateľných alternatívnych palív, ako je vodík a amoniak, ktoré sa vyrábajú z obnoviteľných zdrojov, a </w:t>
            </w:r>
            <w:proofErr w:type="spellStart"/>
            <w:r>
              <w:t>bezemisných</w:t>
            </w:r>
            <w:proofErr w:type="spellEnd"/>
            <w:r>
              <w:t xml:space="preserve"> pohonných technológií, a financovanie </w:t>
            </w:r>
            <w:r>
              <w:lastRenderedPageBreak/>
              <w:t xml:space="preserve">opatrení na podporu dekarbonizácie letísk v súlade s osobitným predpisom16a); </w:t>
            </w:r>
          </w:p>
          <w:p w14:paraId="65329E3D" w14:textId="4872304C" w:rsidR="003367CB" w:rsidRPr="003367CB" w:rsidRDefault="27F8DC63" w:rsidP="169B2D24">
            <w:pPr>
              <w:pStyle w:val="Odsekzoznamu"/>
              <w:numPr>
                <w:ilvl w:val="0"/>
                <w:numId w:val="1"/>
              </w:numPr>
              <w:spacing w:after="0" w:line="240" w:lineRule="auto"/>
              <w:ind w:left="450"/>
            </w:pPr>
            <w:r>
              <w:t xml:space="preserve">financovanie výskumu a vývoja v oblasti energetickej účinnosti a čistých technológií v odvetviach, na ktoré sa vzťahuje príloha č. 1 tabuľky A, B, C a D; </w:t>
            </w:r>
          </w:p>
          <w:p w14:paraId="648FCCCE" w14:textId="4F9C1B98" w:rsidR="003367CB" w:rsidRPr="003367CB" w:rsidRDefault="27F8DC63" w:rsidP="169B2D24">
            <w:pPr>
              <w:pStyle w:val="Odsekzoznamu"/>
              <w:numPr>
                <w:ilvl w:val="0"/>
                <w:numId w:val="1"/>
              </w:numPr>
              <w:spacing w:after="0" w:line="240" w:lineRule="auto"/>
              <w:ind w:left="450"/>
            </w:pPr>
            <w:r>
              <w:t xml:space="preserve">opatrenia, ktorých cieľom je zlepšiť energetickú efektívnosť, zlepšiť systémy diaľkového vykurovania a izoláciu, podporiť účinné a obnoviteľné systémy vykurovania a chladenia alebo podporiť hĺbkovú a viacstupňovú hĺbkovú obnovu budov v súlade s osobitným predpisom16h), počnúc obnovou budov s najhoršou výkonnosťou; </w:t>
            </w:r>
          </w:p>
          <w:p w14:paraId="331EDD2D" w14:textId="229C38A4" w:rsidR="003367CB" w:rsidRPr="003367CB" w:rsidRDefault="27F8DC63" w:rsidP="169B2D24">
            <w:pPr>
              <w:pStyle w:val="Odsekzoznamu"/>
              <w:numPr>
                <w:ilvl w:val="0"/>
                <w:numId w:val="1"/>
              </w:numPr>
              <w:spacing w:after="0" w:line="240" w:lineRule="auto"/>
              <w:ind w:left="450"/>
            </w:pPr>
            <w:r>
              <w:t xml:space="preserve">poskytovanie finančnej podpory na riešenie sociálnych aspektov v prípade domácností s nižšími a strednými príjmami, a to aj prostredníctvom zníženia rušivých daní a cieleným znížením ciel a poplatkov za elektrickú energiu z obnoviteľných zdrojov; </w:t>
            </w:r>
          </w:p>
          <w:p w14:paraId="0A47780F" w14:textId="52BE24F3" w:rsidR="003367CB" w:rsidRPr="003367CB" w:rsidRDefault="27F8DC63" w:rsidP="169B2D24">
            <w:pPr>
              <w:pStyle w:val="Odsekzoznamu"/>
              <w:numPr>
                <w:ilvl w:val="0"/>
                <w:numId w:val="1"/>
              </w:numPr>
              <w:spacing w:after="0" w:line="240" w:lineRule="auto"/>
              <w:ind w:left="450"/>
            </w:pPr>
            <w:r>
              <w:t xml:space="preserve">financovanie národných programov klimatických dividend s preukázaným pozitívnym vplyvom na životné prostredie, ako sa uvádza vo výročnej správe podľa osobitného predpisu16i). </w:t>
            </w:r>
          </w:p>
          <w:p w14:paraId="44CA56CE" w14:textId="074FE8E0" w:rsidR="003367CB" w:rsidRPr="003367CB" w:rsidRDefault="27F8DC63" w:rsidP="169B2D24">
            <w:pPr>
              <w:pStyle w:val="Odsekzoznamu"/>
              <w:numPr>
                <w:ilvl w:val="0"/>
                <w:numId w:val="1"/>
              </w:numPr>
              <w:spacing w:after="0" w:line="240" w:lineRule="auto"/>
              <w:ind w:left="450"/>
            </w:pPr>
            <w:r>
              <w:t xml:space="preserve">pokrytie správnych výdavkov na riadenie systému obchodovania; </w:t>
            </w:r>
          </w:p>
          <w:p w14:paraId="59B48B85" w14:textId="52ECC801" w:rsidR="003367CB" w:rsidRPr="003367CB" w:rsidRDefault="27F8DC63" w:rsidP="169B2D24">
            <w:pPr>
              <w:pStyle w:val="Odsekzoznamu"/>
              <w:numPr>
                <w:ilvl w:val="0"/>
                <w:numId w:val="1"/>
              </w:numPr>
              <w:spacing w:after="0" w:line="240" w:lineRule="auto"/>
              <w:ind w:left="450"/>
            </w:pPr>
            <w:r>
              <w:t xml:space="preserve">financovanie opatrení v oblasti klímy v zraniteľných tretích krajinách vrátane </w:t>
            </w:r>
            <w:r>
              <w:lastRenderedPageBreak/>
              <w:t xml:space="preserve">opatrení na prispôsobenie sa vplyvom zmeny klímy; </w:t>
            </w:r>
          </w:p>
          <w:p w14:paraId="46EB6D56" w14:textId="01A32D27" w:rsidR="003367CB" w:rsidRPr="003367CB" w:rsidRDefault="27F8DC63" w:rsidP="169B2D24">
            <w:pPr>
              <w:pStyle w:val="Odsekzoznamu"/>
              <w:numPr>
                <w:ilvl w:val="0"/>
                <w:numId w:val="1"/>
              </w:numPr>
              <w:spacing w:after="0" w:line="240" w:lineRule="auto"/>
              <w:ind w:left="450"/>
            </w:pPr>
            <w:r>
              <w:t xml:space="preserve">podpora budovania zručností a prerozdelenia pracovnej sily s cieľom prispieť k spravodlivému prechodu na klimaticky neutrálne hospodárstvo, najmä v regiónoch, ktorých sa najviac dotkne zmena pracovných miest, a to v intenzívnej koordinácii so sociálnymi partnermi, a investície do zvyšovania kvalifikácie a rekvalifikácie pracovníkov potenciálne zasiahnutých transformáciou vrátane pracovníkov v námornej doprave; </w:t>
            </w:r>
          </w:p>
          <w:p w14:paraId="329B6CBA" w14:textId="11CF5463" w:rsidR="003367CB" w:rsidRPr="003367CB" w:rsidRDefault="0FE696CF" w:rsidP="169B2D24">
            <w:pPr>
              <w:pStyle w:val="Odsekzoznamu"/>
              <w:numPr>
                <w:ilvl w:val="0"/>
                <w:numId w:val="1"/>
              </w:numPr>
              <w:spacing w:after="0" w:line="240" w:lineRule="auto"/>
              <w:ind w:left="450"/>
            </w:pPr>
            <w:r>
              <w:t>r</w:t>
            </w:r>
            <w:r w:rsidR="27F8DC63">
              <w:t>iešenie akéhokoľvek zostávajúceho rizika úniku uhlíka v odvetviach, na ktoré sa vzťahuje osobitný predpis16j), pričom sa bude podporovať prechod a presadzovať ich dekarbonizácia v súlade s pravidlami štátnej pomoci.</w:t>
            </w:r>
          </w:p>
          <w:p w14:paraId="29F7D095" w14:textId="59A81EE1" w:rsidR="003367CB" w:rsidRPr="003367CB" w:rsidRDefault="003367CB" w:rsidP="169B2D24">
            <w:pPr>
              <w:pStyle w:val="Odsekzoznamu"/>
              <w:numPr>
                <w:ilvl w:val="0"/>
                <w:numId w:val="1"/>
              </w:numPr>
              <w:spacing w:after="0" w:line="240" w:lineRule="auto"/>
              <w:ind w:left="450"/>
              <w:rPr>
                <w:rFonts w:ascii="Times New Roman" w:hAnsi="Times New Roman" w:cs="Times New Roman"/>
              </w:rPr>
            </w:pPr>
            <w:r w:rsidRPr="169B2D24">
              <w:rPr>
                <w:rFonts w:eastAsiaTheme="minorEastAsia"/>
              </w:rPr>
              <w:t>úhradu nákladov spojených s odborným a administratívnym zabezpečením plnenia záväzkov Slovenskej republiky v oblasti znižovania emisií skleníkových plynov a v oblasti podpory investícií z prostriedkov Modernizačného fondu.16f)</w:t>
            </w:r>
          </w:p>
          <w:p w14:paraId="4D990738" w14:textId="30C79965" w:rsidR="00CA4196" w:rsidRPr="00A4421B" w:rsidRDefault="00CA4196" w:rsidP="169B2D24">
            <w:pPr>
              <w:pStyle w:val="Odsekzoznamu"/>
              <w:tabs>
                <w:tab w:val="left" w:pos="32"/>
              </w:tabs>
              <w:spacing w:after="0" w:line="240" w:lineRule="auto"/>
              <w:ind w:left="0" w:firstLine="32"/>
              <w:jc w:val="both"/>
              <w:rPr>
                <w:rFonts w:ascii="Times New Roman" w:hAnsi="Times New Roman" w:cs="Times New Roman"/>
                <w:sz w:val="24"/>
                <w:szCs w:val="24"/>
              </w:rPr>
            </w:pPr>
          </w:p>
        </w:tc>
        <w:tc>
          <w:tcPr>
            <w:tcW w:w="567" w:type="dxa"/>
          </w:tcPr>
          <w:p w14:paraId="02B6D7B9" w14:textId="14083903" w:rsidR="00357CEC" w:rsidRPr="001300A9" w:rsidRDefault="008703B8" w:rsidP="00357CEC">
            <w:pPr>
              <w:pStyle w:val="Default"/>
              <w:rPr>
                <w:sz w:val="22"/>
                <w:szCs w:val="22"/>
              </w:rPr>
            </w:pPr>
            <w:r w:rsidRPr="001300A9">
              <w:rPr>
                <w:sz w:val="22"/>
                <w:szCs w:val="22"/>
              </w:rPr>
              <w:lastRenderedPageBreak/>
              <w:t>Ú</w:t>
            </w:r>
          </w:p>
        </w:tc>
        <w:tc>
          <w:tcPr>
            <w:tcW w:w="1276" w:type="dxa"/>
          </w:tcPr>
          <w:p w14:paraId="3B7E88A8" w14:textId="77777777" w:rsidR="00357CEC" w:rsidRPr="001300A9" w:rsidRDefault="00357CEC" w:rsidP="00357CEC">
            <w:pPr>
              <w:pStyle w:val="Default"/>
              <w:rPr>
                <w:sz w:val="22"/>
                <w:szCs w:val="22"/>
              </w:rPr>
            </w:pPr>
          </w:p>
        </w:tc>
        <w:tc>
          <w:tcPr>
            <w:tcW w:w="850" w:type="dxa"/>
          </w:tcPr>
          <w:p w14:paraId="004D7492" w14:textId="335DA213" w:rsidR="00357CEC" w:rsidRPr="001300A9" w:rsidRDefault="008703B8" w:rsidP="00357CEC">
            <w:pPr>
              <w:pStyle w:val="Default"/>
              <w:rPr>
                <w:sz w:val="22"/>
                <w:szCs w:val="22"/>
              </w:rPr>
            </w:pPr>
            <w:r w:rsidRPr="001300A9">
              <w:rPr>
                <w:sz w:val="22"/>
                <w:szCs w:val="22"/>
              </w:rPr>
              <w:t>GP - N</w:t>
            </w:r>
          </w:p>
        </w:tc>
        <w:tc>
          <w:tcPr>
            <w:tcW w:w="815" w:type="dxa"/>
          </w:tcPr>
          <w:p w14:paraId="367DBFDC" w14:textId="77777777" w:rsidR="00357CEC" w:rsidRPr="001300A9" w:rsidRDefault="00357CEC" w:rsidP="00357CEC">
            <w:pPr>
              <w:pStyle w:val="Default"/>
              <w:rPr>
                <w:sz w:val="22"/>
                <w:szCs w:val="22"/>
              </w:rPr>
            </w:pPr>
          </w:p>
        </w:tc>
      </w:tr>
      <w:tr w:rsidR="00DD6EDC" w:rsidRPr="001300A9" w14:paraId="28A13E74" w14:textId="77777777" w:rsidTr="360410BC">
        <w:tc>
          <w:tcPr>
            <w:tcW w:w="562" w:type="dxa"/>
          </w:tcPr>
          <w:p w14:paraId="6534782F" w14:textId="77777777" w:rsidR="00357CEC" w:rsidRPr="001300A9" w:rsidRDefault="00357CEC" w:rsidP="00357CEC">
            <w:pPr>
              <w:pStyle w:val="Default"/>
              <w:rPr>
                <w:sz w:val="22"/>
                <w:szCs w:val="22"/>
              </w:rPr>
            </w:pPr>
            <w:r w:rsidRPr="001300A9">
              <w:rPr>
                <w:sz w:val="22"/>
                <w:szCs w:val="22"/>
              </w:rPr>
              <w:lastRenderedPageBreak/>
              <w:t>Č: 1</w:t>
            </w:r>
          </w:p>
          <w:p w14:paraId="28F39138" w14:textId="77777777" w:rsidR="00357CEC" w:rsidRPr="001300A9" w:rsidRDefault="00357CEC" w:rsidP="00357CEC">
            <w:pPr>
              <w:pStyle w:val="Default"/>
              <w:rPr>
                <w:sz w:val="22"/>
                <w:szCs w:val="22"/>
              </w:rPr>
            </w:pPr>
            <w:r w:rsidRPr="001300A9">
              <w:rPr>
                <w:sz w:val="22"/>
                <w:szCs w:val="22"/>
              </w:rPr>
              <w:t>O: 12</w:t>
            </w:r>
          </w:p>
          <w:p w14:paraId="2316EBA2" w14:textId="77777777" w:rsidR="00357CEC" w:rsidRPr="001300A9" w:rsidRDefault="00357CEC" w:rsidP="00357CEC">
            <w:pPr>
              <w:pStyle w:val="Default"/>
              <w:rPr>
                <w:sz w:val="22"/>
                <w:szCs w:val="22"/>
              </w:rPr>
            </w:pPr>
            <w:r w:rsidRPr="001300A9">
              <w:rPr>
                <w:sz w:val="22"/>
                <w:szCs w:val="22"/>
              </w:rPr>
              <w:t>P: c)</w:t>
            </w:r>
          </w:p>
        </w:tc>
        <w:tc>
          <w:tcPr>
            <w:tcW w:w="4820" w:type="dxa"/>
          </w:tcPr>
          <w:p w14:paraId="415A7AF8" w14:textId="77777777" w:rsidR="00357CEC" w:rsidRPr="001300A9" w:rsidRDefault="00357CEC" w:rsidP="00357CEC">
            <w:pPr>
              <w:pStyle w:val="Default"/>
              <w:rPr>
                <w:sz w:val="22"/>
                <w:szCs w:val="22"/>
              </w:rPr>
            </w:pPr>
            <w:r w:rsidRPr="001300A9">
              <w:rPr>
                <w:sz w:val="22"/>
                <w:szCs w:val="22"/>
              </w:rPr>
              <w:t>b) vývoj obnoviteľných energií a sietí na prenos elektrickej energie s cieľom splniť záväzok Únie v oblasti obnoviteľných energií a ciele Únie v oblasti prepojiteľnosti, ako aj vývoj ďalších technológií, ktoré prispievajú k prechodu na bezpečné a udrža</w:t>
            </w:r>
            <w:r w:rsidRPr="001300A9">
              <w:rPr>
                <w:sz w:val="22"/>
                <w:szCs w:val="22"/>
              </w:rPr>
              <w:lastRenderedPageBreak/>
              <w:t xml:space="preserve">teľné </w:t>
            </w:r>
            <w:proofErr w:type="spellStart"/>
            <w:r w:rsidRPr="001300A9">
              <w:rPr>
                <w:sz w:val="22"/>
                <w:szCs w:val="22"/>
              </w:rPr>
              <w:t>nízkouhlíkové</w:t>
            </w:r>
            <w:proofErr w:type="spellEnd"/>
            <w:r w:rsidRPr="001300A9">
              <w:rPr>
                <w:sz w:val="22"/>
                <w:szCs w:val="22"/>
              </w:rPr>
              <w:t xml:space="preserve"> hospodárstvo, a pomoc pri plnení záväzku Únie zvýšiť energetickú efektívnosť podľa úrovní stanovených v príslušných legislatívnych aktoch vrátane výroby elektrickej energie z obnoviteľných zdrojov od </w:t>
            </w:r>
            <w:proofErr w:type="spellStart"/>
            <w:r w:rsidRPr="001300A9">
              <w:rPr>
                <w:sz w:val="22"/>
                <w:szCs w:val="22"/>
              </w:rPr>
              <w:t>samospotrebiteľov</w:t>
            </w:r>
            <w:proofErr w:type="spellEnd"/>
            <w:r w:rsidRPr="001300A9">
              <w:rPr>
                <w:sz w:val="22"/>
                <w:szCs w:val="22"/>
              </w:rPr>
              <w:t xml:space="preserve"> a komunít vyrábajúcich energiu z obnoviteľných zdrojov;</w:t>
            </w:r>
          </w:p>
          <w:p w14:paraId="472C631F" w14:textId="77777777" w:rsidR="00357CEC" w:rsidRPr="001300A9" w:rsidRDefault="00357CEC" w:rsidP="00357CEC">
            <w:pPr>
              <w:pStyle w:val="Default"/>
              <w:rPr>
                <w:sz w:val="22"/>
                <w:szCs w:val="22"/>
              </w:rPr>
            </w:pPr>
            <w:r w:rsidRPr="001300A9">
              <w:rPr>
                <w:sz w:val="22"/>
                <w:szCs w:val="22"/>
              </w:rPr>
              <w:t>c) opatrenia na zabránenie odlesňovaniu a podporu ochrany a obnovy rašelinísk, lesov a iných suchozemských alebo morských ekosystémov vrátane opatrení, ktoré prispievajú k ich ochrane, obnove a lepšiemu riadeniu, najmä pokiaľ ide o chránené morské oblasti, a na zvyšovanie zalesňovania a obnovy lesov šetrných k biodiverzite, a to aj v rozvojových krajinách, ktoré ratifikovali Parížsku dohodu, a opatrenia na prenos technológií a uľahčenie prispôsobovania sa nepriaznivým dôsledkom zmeny klímy v týchto krajinách;</w:t>
            </w:r>
          </w:p>
          <w:p w14:paraId="0CE36CBD" w14:textId="77777777" w:rsidR="00357CEC" w:rsidRPr="001300A9" w:rsidRDefault="00357CEC" w:rsidP="00357CEC">
            <w:pPr>
              <w:pStyle w:val="Default"/>
              <w:rPr>
                <w:sz w:val="22"/>
                <w:szCs w:val="22"/>
              </w:rPr>
            </w:pPr>
            <w:r w:rsidRPr="001300A9">
              <w:rPr>
                <w:sz w:val="22"/>
                <w:szCs w:val="22"/>
              </w:rPr>
              <w:t>d) sekvestrácia prostredníctvom lesníctva a pôdy v Únii;</w:t>
            </w:r>
          </w:p>
          <w:p w14:paraId="0BCF4549" w14:textId="77777777" w:rsidR="00357CEC" w:rsidRPr="001300A9" w:rsidRDefault="00357CEC" w:rsidP="00357CEC">
            <w:pPr>
              <w:pStyle w:val="Default"/>
              <w:rPr>
                <w:sz w:val="22"/>
                <w:szCs w:val="22"/>
              </w:rPr>
            </w:pPr>
            <w:r w:rsidRPr="001300A9">
              <w:rPr>
                <w:sz w:val="22"/>
                <w:szCs w:val="22"/>
              </w:rPr>
              <w:t>e) environmentálne bezpečné zachytávanie a geologické ukladanie CO2, najmä z elektrární na fosílne palivá tuhého skupenstva a z celého radu priemyselných odvetví a pododvetví vrátane zachytávania a ukladania v tretích krajinách a inovatívne technologické metódy odstraňovania uhlíka, ako je priame zachytávanie vo vzduchu a ukladanie;</w:t>
            </w:r>
          </w:p>
          <w:p w14:paraId="29A1C4F5" w14:textId="77777777" w:rsidR="00357CEC" w:rsidRPr="001300A9" w:rsidRDefault="00357CEC" w:rsidP="00357CEC">
            <w:pPr>
              <w:pStyle w:val="Default"/>
              <w:rPr>
                <w:sz w:val="22"/>
                <w:szCs w:val="22"/>
              </w:rPr>
            </w:pPr>
            <w:r w:rsidRPr="001300A9">
              <w:rPr>
                <w:sz w:val="22"/>
                <w:szCs w:val="22"/>
              </w:rPr>
              <w:t xml:space="preserve">f) investovanie do foriem dopravy, ktoré významne prispievajú k dekarbonizácii odvetvia, a urýchlenie prechodu na tieto formy dopravy vrátane rozvoja služieb a technológií osobnej a nákladnej železničnej dopravy a autobusovej dopravy, ktoré sú šetrné k životnému prostrediu, opatrení na dekarbonizáciu námorného odvetvia vrátane zlepšenia energetickej efektívnosti lodí, prístavov, inovačných technológií </w:t>
            </w:r>
            <w:r w:rsidRPr="001300A9">
              <w:rPr>
                <w:sz w:val="22"/>
                <w:szCs w:val="22"/>
              </w:rPr>
              <w:lastRenderedPageBreak/>
              <w:t xml:space="preserve">a infraštruktúry a udržateľných alternatívnych palív, ako je vodík a amoniak, ktoré sa vyrábajú z obnoviteľných zdrojov, a </w:t>
            </w:r>
            <w:proofErr w:type="spellStart"/>
            <w:r w:rsidRPr="001300A9">
              <w:rPr>
                <w:sz w:val="22"/>
                <w:szCs w:val="22"/>
              </w:rPr>
              <w:t>bezemisných</w:t>
            </w:r>
            <w:proofErr w:type="spellEnd"/>
            <w:r w:rsidRPr="001300A9">
              <w:rPr>
                <w:sz w:val="22"/>
                <w:szCs w:val="22"/>
              </w:rPr>
              <w:t xml:space="preserve"> pohonných technológií, a financovanie opatrení na podporu dekarbonizácie letísk v súlade s nariadením Európskeho parlamentu a Rady o zavádzaní infraštruktúry pre alternatívne palivá a o zrušení smernice Európskeho parlamentu a Rady 2014/94/EÚ a s nariadením Európskeho parlamentu a Rady o zaistení rovnakých podmienok pre udržateľnú leteckú dopravu;</w:t>
            </w:r>
          </w:p>
        </w:tc>
        <w:tc>
          <w:tcPr>
            <w:tcW w:w="567" w:type="dxa"/>
          </w:tcPr>
          <w:p w14:paraId="3E0DB0C3" w14:textId="7F8695A3" w:rsidR="00357CEC" w:rsidRPr="001300A9" w:rsidRDefault="00E22288" w:rsidP="00357CEC">
            <w:pPr>
              <w:pStyle w:val="Default"/>
              <w:rPr>
                <w:sz w:val="22"/>
                <w:szCs w:val="22"/>
              </w:rPr>
            </w:pPr>
            <w:proofErr w:type="spellStart"/>
            <w:r w:rsidRPr="001300A9">
              <w:rPr>
                <w:sz w:val="22"/>
                <w:szCs w:val="22"/>
              </w:rPr>
              <w:lastRenderedPageBreak/>
              <w:t>n.a</w:t>
            </w:r>
            <w:proofErr w:type="spellEnd"/>
            <w:r w:rsidRPr="001300A9">
              <w:rPr>
                <w:sz w:val="22"/>
                <w:szCs w:val="22"/>
              </w:rPr>
              <w:t>.</w:t>
            </w:r>
          </w:p>
        </w:tc>
        <w:tc>
          <w:tcPr>
            <w:tcW w:w="283" w:type="dxa"/>
          </w:tcPr>
          <w:p w14:paraId="2E4306CD" w14:textId="77777777" w:rsidR="00357CEC" w:rsidRPr="001300A9" w:rsidRDefault="00357CEC" w:rsidP="00357CEC">
            <w:pPr>
              <w:pStyle w:val="Default"/>
              <w:rPr>
                <w:sz w:val="22"/>
                <w:szCs w:val="22"/>
              </w:rPr>
            </w:pPr>
          </w:p>
        </w:tc>
        <w:tc>
          <w:tcPr>
            <w:tcW w:w="567" w:type="dxa"/>
          </w:tcPr>
          <w:p w14:paraId="5C68B7C5" w14:textId="77777777" w:rsidR="00357CEC" w:rsidRPr="001300A9" w:rsidRDefault="00357CEC" w:rsidP="00357CEC">
            <w:pPr>
              <w:pStyle w:val="Default"/>
              <w:rPr>
                <w:sz w:val="22"/>
                <w:szCs w:val="22"/>
              </w:rPr>
            </w:pPr>
          </w:p>
        </w:tc>
        <w:tc>
          <w:tcPr>
            <w:tcW w:w="4253" w:type="dxa"/>
          </w:tcPr>
          <w:p w14:paraId="385EDD7A" w14:textId="77777777" w:rsidR="00357CEC" w:rsidRPr="001300A9" w:rsidRDefault="00357CEC" w:rsidP="00357CEC">
            <w:pPr>
              <w:pStyle w:val="Default"/>
              <w:rPr>
                <w:sz w:val="22"/>
                <w:szCs w:val="22"/>
              </w:rPr>
            </w:pPr>
          </w:p>
        </w:tc>
        <w:tc>
          <w:tcPr>
            <w:tcW w:w="567" w:type="dxa"/>
          </w:tcPr>
          <w:p w14:paraId="2A637427" w14:textId="77777777" w:rsidR="00357CEC" w:rsidRPr="001300A9" w:rsidRDefault="00357CEC" w:rsidP="00357CEC">
            <w:pPr>
              <w:pStyle w:val="Default"/>
              <w:rPr>
                <w:sz w:val="22"/>
                <w:szCs w:val="22"/>
              </w:rPr>
            </w:pPr>
          </w:p>
        </w:tc>
        <w:tc>
          <w:tcPr>
            <w:tcW w:w="1276" w:type="dxa"/>
          </w:tcPr>
          <w:p w14:paraId="446BC60C" w14:textId="77777777" w:rsidR="00357CEC" w:rsidRPr="001300A9" w:rsidRDefault="00357CEC" w:rsidP="00357CEC">
            <w:pPr>
              <w:pStyle w:val="Default"/>
              <w:rPr>
                <w:sz w:val="22"/>
                <w:szCs w:val="22"/>
              </w:rPr>
            </w:pPr>
          </w:p>
        </w:tc>
        <w:tc>
          <w:tcPr>
            <w:tcW w:w="850" w:type="dxa"/>
          </w:tcPr>
          <w:p w14:paraId="759997F1" w14:textId="77777777" w:rsidR="00357CEC" w:rsidRPr="001300A9" w:rsidRDefault="00357CEC" w:rsidP="00357CEC">
            <w:pPr>
              <w:pStyle w:val="Default"/>
              <w:rPr>
                <w:sz w:val="22"/>
                <w:szCs w:val="22"/>
              </w:rPr>
            </w:pPr>
          </w:p>
        </w:tc>
        <w:tc>
          <w:tcPr>
            <w:tcW w:w="815" w:type="dxa"/>
          </w:tcPr>
          <w:p w14:paraId="2066F3BC" w14:textId="77777777" w:rsidR="00357CEC" w:rsidRPr="001300A9" w:rsidRDefault="00357CEC" w:rsidP="00357CEC">
            <w:pPr>
              <w:pStyle w:val="Default"/>
              <w:rPr>
                <w:sz w:val="22"/>
                <w:szCs w:val="22"/>
              </w:rPr>
            </w:pPr>
          </w:p>
        </w:tc>
      </w:tr>
      <w:tr w:rsidR="00DD6EDC" w:rsidRPr="001300A9" w14:paraId="51108E15" w14:textId="77777777" w:rsidTr="360410BC">
        <w:tc>
          <w:tcPr>
            <w:tcW w:w="562" w:type="dxa"/>
          </w:tcPr>
          <w:p w14:paraId="4CE5A2BC" w14:textId="77777777" w:rsidR="00357CEC" w:rsidRPr="001300A9" w:rsidRDefault="00357CEC" w:rsidP="00357CEC">
            <w:pPr>
              <w:pStyle w:val="Default"/>
              <w:rPr>
                <w:sz w:val="22"/>
                <w:szCs w:val="22"/>
              </w:rPr>
            </w:pPr>
            <w:r w:rsidRPr="001300A9">
              <w:rPr>
                <w:sz w:val="22"/>
                <w:szCs w:val="22"/>
              </w:rPr>
              <w:lastRenderedPageBreak/>
              <w:t>Č: 1</w:t>
            </w:r>
          </w:p>
          <w:p w14:paraId="20A0E1C9" w14:textId="77777777" w:rsidR="00357CEC" w:rsidRPr="001300A9" w:rsidRDefault="00357CEC" w:rsidP="00357CEC">
            <w:pPr>
              <w:pStyle w:val="Default"/>
              <w:rPr>
                <w:sz w:val="22"/>
                <w:szCs w:val="22"/>
              </w:rPr>
            </w:pPr>
            <w:r w:rsidRPr="001300A9">
              <w:rPr>
                <w:sz w:val="22"/>
                <w:szCs w:val="22"/>
              </w:rPr>
              <w:t>O: 12</w:t>
            </w:r>
          </w:p>
          <w:p w14:paraId="5702AD8A" w14:textId="77777777" w:rsidR="00357CEC" w:rsidRPr="001300A9" w:rsidRDefault="00357CEC" w:rsidP="00357CEC">
            <w:pPr>
              <w:pStyle w:val="Default"/>
              <w:rPr>
                <w:sz w:val="22"/>
                <w:szCs w:val="22"/>
              </w:rPr>
            </w:pPr>
            <w:r w:rsidRPr="001300A9">
              <w:rPr>
                <w:sz w:val="22"/>
                <w:szCs w:val="22"/>
              </w:rPr>
              <w:t>P: d)</w:t>
            </w:r>
          </w:p>
        </w:tc>
        <w:tc>
          <w:tcPr>
            <w:tcW w:w="4820" w:type="dxa"/>
          </w:tcPr>
          <w:p w14:paraId="1CC878F4" w14:textId="77777777" w:rsidR="00357CEC" w:rsidRPr="001300A9" w:rsidRDefault="00357CEC" w:rsidP="00357CEC">
            <w:pPr>
              <w:pStyle w:val="Default"/>
              <w:rPr>
                <w:sz w:val="22"/>
                <w:szCs w:val="22"/>
              </w:rPr>
            </w:pPr>
            <w:r w:rsidRPr="001300A9">
              <w:rPr>
                <w:sz w:val="22"/>
                <w:szCs w:val="22"/>
              </w:rPr>
              <w:t>h) opatrenia, ktorých cieľom je zlepšiť energetickú efektívnosť, zlepšiť systémy diaľkového vykurovania a izoláciu, podporiť účinné a obnoviteľné systémy vykurovania a chladenia alebo podporiť hĺbkovú a viacstupňovú hĺbkovú obnovu budov v súlade so smernicou Európskeho parlamentu a Rady*, počnúc obnovou budov s najhoršou výkonnosťou;</w:t>
            </w:r>
          </w:p>
          <w:p w14:paraId="51D4D8BE" w14:textId="77777777" w:rsidR="00357CEC" w:rsidRPr="001300A9" w:rsidRDefault="00357CEC" w:rsidP="00357CEC">
            <w:pPr>
              <w:pStyle w:val="Default"/>
              <w:rPr>
                <w:sz w:val="22"/>
                <w:szCs w:val="22"/>
              </w:rPr>
            </w:pPr>
          </w:p>
          <w:p w14:paraId="6D8BE263" w14:textId="77777777" w:rsidR="00357CEC" w:rsidRPr="001300A9" w:rsidRDefault="00357CEC" w:rsidP="00357CEC">
            <w:pPr>
              <w:pStyle w:val="Default"/>
              <w:rPr>
                <w:sz w:val="22"/>
                <w:szCs w:val="22"/>
              </w:rPr>
            </w:pPr>
            <w:r w:rsidRPr="001300A9">
              <w:rPr>
                <w:sz w:val="22"/>
                <w:szCs w:val="22"/>
              </w:rPr>
              <w:t>* Smernica Európskeho parlamentu a Rady 2010/31/EÚ z 19. mája 2010 o energetickej hospodárnosti budov (Ú. v. EÚ L 153, 18.6.2010, s. 13).</w:t>
            </w:r>
          </w:p>
        </w:tc>
        <w:tc>
          <w:tcPr>
            <w:tcW w:w="567" w:type="dxa"/>
          </w:tcPr>
          <w:p w14:paraId="2A78E95A" w14:textId="2B958761" w:rsidR="00357CEC" w:rsidRPr="001300A9" w:rsidRDefault="00E22288" w:rsidP="00357CEC">
            <w:pPr>
              <w:pStyle w:val="Default"/>
              <w:rPr>
                <w:sz w:val="22"/>
                <w:szCs w:val="22"/>
              </w:rPr>
            </w:pPr>
            <w:proofErr w:type="spellStart"/>
            <w:r w:rsidRPr="001300A9">
              <w:rPr>
                <w:sz w:val="22"/>
                <w:szCs w:val="22"/>
              </w:rPr>
              <w:t>n.a</w:t>
            </w:r>
            <w:proofErr w:type="spellEnd"/>
            <w:r w:rsidRPr="001300A9">
              <w:rPr>
                <w:sz w:val="22"/>
                <w:szCs w:val="22"/>
              </w:rPr>
              <w:t>.</w:t>
            </w:r>
          </w:p>
        </w:tc>
        <w:tc>
          <w:tcPr>
            <w:tcW w:w="283" w:type="dxa"/>
          </w:tcPr>
          <w:p w14:paraId="7B9CDF0F" w14:textId="77777777" w:rsidR="00357CEC" w:rsidRPr="001300A9" w:rsidRDefault="00357CEC" w:rsidP="00357CEC">
            <w:pPr>
              <w:pStyle w:val="Default"/>
              <w:rPr>
                <w:sz w:val="22"/>
                <w:szCs w:val="22"/>
              </w:rPr>
            </w:pPr>
          </w:p>
        </w:tc>
        <w:tc>
          <w:tcPr>
            <w:tcW w:w="567" w:type="dxa"/>
          </w:tcPr>
          <w:p w14:paraId="4C263996" w14:textId="77777777" w:rsidR="00357CEC" w:rsidRPr="001300A9" w:rsidRDefault="00357CEC" w:rsidP="00357CEC">
            <w:pPr>
              <w:pStyle w:val="Default"/>
              <w:rPr>
                <w:sz w:val="22"/>
                <w:szCs w:val="22"/>
              </w:rPr>
            </w:pPr>
          </w:p>
        </w:tc>
        <w:tc>
          <w:tcPr>
            <w:tcW w:w="4253" w:type="dxa"/>
          </w:tcPr>
          <w:p w14:paraId="717C0223" w14:textId="77777777" w:rsidR="00357CEC" w:rsidRPr="001300A9" w:rsidRDefault="00357CEC" w:rsidP="00357CEC">
            <w:pPr>
              <w:pStyle w:val="Default"/>
              <w:rPr>
                <w:sz w:val="22"/>
                <w:szCs w:val="22"/>
              </w:rPr>
            </w:pPr>
          </w:p>
        </w:tc>
        <w:tc>
          <w:tcPr>
            <w:tcW w:w="567" w:type="dxa"/>
          </w:tcPr>
          <w:p w14:paraId="3D6ADFF7" w14:textId="77777777" w:rsidR="00357CEC" w:rsidRPr="001300A9" w:rsidRDefault="00357CEC" w:rsidP="00357CEC">
            <w:pPr>
              <w:pStyle w:val="Default"/>
              <w:rPr>
                <w:sz w:val="22"/>
                <w:szCs w:val="22"/>
              </w:rPr>
            </w:pPr>
          </w:p>
        </w:tc>
        <w:tc>
          <w:tcPr>
            <w:tcW w:w="1276" w:type="dxa"/>
          </w:tcPr>
          <w:p w14:paraId="481EEC42" w14:textId="77777777" w:rsidR="00357CEC" w:rsidRPr="001300A9" w:rsidRDefault="00357CEC" w:rsidP="00357CEC">
            <w:pPr>
              <w:pStyle w:val="Default"/>
              <w:rPr>
                <w:sz w:val="22"/>
                <w:szCs w:val="22"/>
              </w:rPr>
            </w:pPr>
          </w:p>
        </w:tc>
        <w:tc>
          <w:tcPr>
            <w:tcW w:w="850" w:type="dxa"/>
          </w:tcPr>
          <w:p w14:paraId="655A7E89" w14:textId="77777777" w:rsidR="00357CEC" w:rsidRPr="001300A9" w:rsidRDefault="00357CEC" w:rsidP="00357CEC">
            <w:pPr>
              <w:pStyle w:val="Default"/>
              <w:rPr>
                <w:sz w:val="22"/>
                <w:szCs w:val="22"/>
              </w:rPr>
            </w:pPr>
          </w:p>
        </w:tc>
        <w:tc>
          <w:tcPr>
            <w:tcW w:w="815" w:type="dxa"/>
          </w:tcPr>
          <w:p w14:paraId="5BB53073" w14:textId="77777777" w:rsidR="00357CEC" w:rsidRPr="001300A9" w:rsidRDefault="00357CEC" w:rsidP="00357CEC">
            <w:pPr>
              <w:pStyle w:val="Default"/>
              <w:rPr>
                <w:sz w:val="22"/>
                <w:szCs w:val="22"/>
              </w:rPr>
            </w:pPr>
          </w:p>
        </w:tc>
      </w:tr>
      <w:tr w:rsidR="00DD6EDC" w:rsidRPr="001300A9" w14:paraId="04B898CE" w14:textId="77777777" w:rsidTr="360410BC">
        <w:tc>
          <w:tcPr>
            <w:tcW w:w="562" w:type="dxa"/>
          </w:tcPr>
          <w:p w14:paraId="0327A176" w14:textId="77777777" w:rsidR="00357CEC" w:rsidRPr="001300A9" w:rsidRDefault="00357CEC" w:rsidP="00357CEC">
            <w:pPr>
              <w:pStyle w:val="Default"/>
              <w:rPr>
                <w:sz w:val="22"/>
                <w:szCs w:val="22"/>
              </w:rPr>
            </w:pPr>
            <w:r w:rsidRPr="001300A9">
              <w:rPr>
                <w:sz w:val="22"/>
                <w:szCs w:val="22"/>
              </w:rPr>
              <w:t>Č: 1</w:t>
            </w:r>
          </w:p>
          <w:p w14:paraId="2269D993" w14:textId="77777777" w:rsidR="00357CEC" w:rsidRPr="001300A9" w:rsidRDefault="00357CEC" w:rsidP="00357CEC">
            <w:pPr>
              <w:pStyle w:val="Default"/>
              <w:rPr>
                <w:sz w:val="22"/>
                <w:szCs w:val="22"/>
              </w:rPr>
            </w:pPr>
            <w:r w:rsidRPr="001300A9">
              <w:rPr>
                <w:sz w:val="22"/>
                <w:szCs w:val="22"/>
              </w:rPr>
              <w:t>O: 12</w:t>
            </w:r>
          </w:p>
          <w:p w14:paraId="51CCAE9A" w14:textId="77777777" w:rsidR="00357CEC" w:rsidRPr="001300A9" w:rsidRDefault="00357CEC" w:rsidP="00357CEC">
            <w:pPr>
              <w:pStyle w:val="Default"/>
              <w:rPr>
                <w:sz w:val="22"/>
                <w:szCs w:val="22"/>
              </w:rPr>
            </w:pPr>
            <w:r w:rsidRPr="001300A9">
              <w:rPr>
                <w:sz w:val="22"/>
                <w:szCs w:val="22"/>
              </w:rPr>
              <w:t>P: e)</w:t>
            </w:r>
          </w:p>
        </w:tc>
        <w:tc>
          <w:tcPr>
            <w:tcW w:w="4820" w:type="dxa"/>
          </w:tcPr>
          <w:p w14:paraId="34531E64" w14:textId="77777777" w:rsidR="00357CEC" w:rsidRPr="001300A9" w:rsidRDefault="00357CEC" w:rsidP="00357CEC">
            <w:pPr>
              <w:pStyle w:val="Default"/>
              <w:rPr>
                <w:sz w:val="22"/>
                <w:szCs w:val="22"/>
              </w:rPr>
            </w:pPr>
            <w:r w:rsidRPr="001300A9">
              <w:rPr>
                <w:sz w:val="22"/>
                <w:szCs w:val="22"/>
              </w:rPr>
              <w:t>ha) poskytovanie finančnej podpory na riešenie sociálnych aspektov v prípade domácností s nižšími a strednými príjmami, a to aj prostredníctvom zníženia rušivých daní a cieleným znížením ciel a poplatkov za elektrickú energiu z obnoviteľných zdrojov;</w:t>
            </w:r>
          </w:p>
          <w:p w14:paraId="73C1B100" w14:textId="77777777" w:rsidR="00357CEC" w:rsidRPr="001300A9" w:rsidRDefault="00357CEC" w:rsidP="00357CEC">
            <w:pPr>
              <w:pStyle w:val="Default"/>
              <w:rPr>
                <w:sz w:val="22"/>
                <w:szCs w:val="22"/>
              </w:rPr>
            </w:pPr>
          </w:p>
          <w:p w14:paraId="68B0428F" w14:textId="77777777" w:rsidR="00357CEC" w:rsidRPr="001300A9" w:rsidRDefault="00357CEC" w:rsidP="00357CEC">
            <w:pPr>
              <w:pStyle w:val="Default"/>
              <w:rPr>
                <w:sz w:val="22"/>
                <w:szCs w:val="22"/>
              </w:rPr>
            </w:pPr>
            <w:proofErr w:type="spellStart"/>
            <w:r w:rsidRPr="001300A9">
              <w:rPr>
                <w:sz w:val="22"/>
                <w:szCs w:val="22"/>
              </w:rPr>
              <w:t>hb</w:t>
            </w:r>
            <w:proofErr w:type="spellEnd"/>
            <w:r w:rsidRPr="001300A9">
              <w:rPr>
                <w:sz w:val="22"/>
                <w:szCs w:val="22"/>
              </w:rPr>
              <w:t>) financovanie národných programov klimatických dividend s preukázaným pozitívnym vplyvom na životné prostredie, ako sa uvádza vo výročnej správe uvedenej v článku 19 ods. 2 nariadenia Európskeho parlamentu a Rady (EÚ) 2018/1999*.</w:t>
            </w:r>
          </w:p>
          <w:p w14:paraId="4CF66800" w14:textId="77777777" w:rsidR="00357CEC" w:rsidRPr="001300A9" w:rsidRDefault="00357CEC" w:rsidP="00357CEC">
            <w:pPr>
              <w:pStyle w:val="Default"/>
              <w:rPr>
                <w:sz w:val="22"/>
                <w:szCs w:val="22"/>
              </w:rPr>
            </w:pPr>
          </w:p>
          <w:p w14:paraId="2400B21A" w14:textId="77777777" w:rsidR="00357CEC" w:rsidRPr="001300A9" w:rsidRDefault="00357CEC" w:rsidP="00357CEC">
            <w:pPr>
              <w:pStyle w:val="Default"/>
              <w:rPr>
                <w:sz w:val="22"/>
                <w:szCs w:val="22"/>
              </w:rPr>
            </w:pPr>
            <w:r w:rsidRPr="001300A9">
              <w:rPr>
                <w:sz w:val="22"/>
                <w:szCs w:val="22"/>
              </w:rPr>
              <w:lastRenderedPageBreak/>
              <w:t>* Nariadenie Európskeho parlamentu a Rady (EÚ) 2018/1999 z 11. decembra 2018 o riadení energetickej únie a opatrení v oblasti klímy, ktorým sa menia nariadenia Európskeho parlamentu a Rady (ES) č. 663/2009 a (ES) č. 715/2009, smernice Európskeho parlamentu a Rady 94/22/ES, 98/70/ES, 2009/31/ES, 2009/73/ES, 2010/31/EÚ, 2012/27/EÚ a 2013/30/EÚ, smernice Rady 2009/119/ES a (EÚ) 2015/652 a ktorým sa zrušuje nariadenie Európskeho parlamentu a Rady (EÚ) č. 525/2013 (Ú. v. EÚ L 328, 21.12.2018, s. 1).</w:t>
            </w:r>
          </w:p>
        </w:tc>
        <w:tc>
          <w:tcPr>
            <w:tcW w:w="567" w:type="dxa"/>
          </w:tcPr>
          <w:p w14:paraId="49BD4AB7" w14:textId="5B36E1E4" w:rsidR="00357CEC" w:rsidRPr="001300A9" w:rsidRDefault="00E22288" w:rsidP="00357CEC">
            <w:pPr>
              <w:pStyle w:val="Default"/>
              <w:rPr>
                <w:sz w:val="22"/>
                <w:szCs w:val="22"/>
              </w:rPr>
            </w:pPr>
            <w:proofErr w:type="spellStart"/>
            <w:r w:rsidRPr="001300A9">
              <w:rPr>
                <w:sz w:val="22"/>
                <w:szCs w:val="22"/>
              </w:rPr>
              <w:lastRenderedPageBreak/>
              <w:t>n.a</w:t>
            </w:r>
            <w:proofErr w:type="spellEnd"/>
            <w:r w:rsidRPr="001300A9">
              <w:rPr>
                <w:sz w:val="22"/>
                <w:szCs w:val="22"/>
              </w:rPr>
              <w:t>.</w:t>
            </w:r>
          </w:p>
        </w:tc>
        <w:tc>
          <w:tcPr>
            <w:tcW w:w="283" w:type="dxa"/>
          </w:tcPr>
          <w:p w14:paraId="7DE81BF4" w14:textId="77777777" w:rsidR="00357CEC" w:rsidRPr="001300A9" w:rsidRDefault="00357CEC" w:rsidP="00357CEC">
            <w:pPr>
              <w:pStyle w:val="Default"/>
              <w:rPr>
                <w:sz w:val="22"/>
                <w:szCs w:val="22"/>
              </w:rPr>
            </w:pPr>
          </w:p>
        </w:tc>
        <w:tc>
          <w:tcPr>
            <w:tcW w:w="567" w:type="dxa"/>
          </w:tcPr>
          <w:p w14:paraId="4C8558CD" w14:textId="77777777" w:rsidR="00357CEC" w:rsidRPr="001300A9" w:rsidRDefault="00357CEC" w:rsidP="00357CEC">
            <w:pPr>
              <w:pStyle w:val="Default"/>
              <w:rPr>
                <w:sz w:val="22"/>
                <w:szCs w:val="22"/>
              </w:rPr>
            </w:pPr>
          </w:p>
        </w:tc>
        <w:tc>
          <w:tcPr>
            <w:tcW w:w="4253" w:type="dxa"/>
          </w:tcPr>
          <w:p w14:paraId="32AC7F60" w14:textId="77777777" w:rsidR="00357CEC" w:rsidRPr="001300A9" w:rsidRDefault="00357CEC" w:rsidP="00357CEC">
            <w:pPr>
              <w:pStyle w:val="Default"/>
              <w:rPr>
                <w:sz w:val="22"/>
                <w:szCs w:val="22"/>
              </w:rPr>
            </w:pPr>
          </w:p>
        </w:tc>
        <w:tc>
          <w:tcPr>
            <w:tcW w:w="567" w:type="dxa"/>
          </w:tcPr>
          <w:p w14:paraId="1E9F439E" w14:textId="77777777" w:rsidR="00357CEC" w:rsidRPr="001300A9" w:rsidRDefault="00357CEC" w:rsidP="00357CEC">
            <w:pPr>
              <w:pStyle w:val="Default"/>
              <w:rPr>
                <w:sz w:val="22"/>
                <w:szCs w:val="22"/>
              </w:rPr>
            </w:pPr>
          </w:p>
        </w:tc>
        <w:tc>
          <w:tcPr>
            <w:tcW w:w="1276" w:type="dxa"/>
          </w:tcPr>
          <w:p w14:paraId="5EF1D1A6" w14:textId="77777777" w:rsidR="00357CEC" w:rsidRPr="001300A9" w:rsidRDefault="00357CEC" w:rsidP="00357CEC">
            <w:pPr>
              <w:pStyle w:val="Default"/>
              <w:rPr>
                <w:sz w:val="22"/>
                <w:szCs w:val="22"/>
              </w:rPr>
            </w:pPr>
          </w:p>
        </w:tc>
        <w:tc>
          <w:tcPr>
            <w:tcW w:w="850" w:type="dxa"/>
          </w:tcPr>
          <w:p w14:paraId="7E04B18E" w14:textId="77777777" w:rsidR="00357CEC" w:rsidRPr="001300A9" w:rsidRDefault="00357CEC" w:rsidP="00357CEC">
            <w:pPr>
              <w:pStyle w:val="Default"/>
              <w:rPr>
                <w:sz w:val="22"/>
                <w:szCs w:val="22"/>
              </w:rPr>
            </w:pPr>
          </w:p>
        </w:tc>
        <w:tc>
          <w:tcPr>
            <w:tcW w:w="815" w:type="dxa"/>
          </w:tcPr>
          <w:p w14:paraId="151C9624" w14:textId="77777777" w:rsidR="00357CEC" w:rsidRPr="001300A9" w:rsidRDefault="00357CEC" w:rsidP="00357CEC">
            <w:pPr>
              <w:pStyle w:val="Default"/>
              <w:rPr>
                <w:sz w:val="22"/>
                <w:szCs w:val="22"/>
              </w:rPr>
            </w:pPr>
          </w:p>
        </w:tc>
      </w:tr>
      <w:tr w:rsidR="00DD6EDC" w:rsidRPr="001300A9" w14:paraId="2BD0C6C6" w14:textId="77777777" w:rsidTr="360410BC">
        <w:tc>
          <w:tcPr>
            <w:tcW w:w="562" w:type="dxa"/>
          </w:tcPr>
          <w:p w14:paraId="38CAD361" w14:textId="77777777" w:rsidR="00357CEC" w:rsidRPr="001300A9" w:rsidRDefault="00357CEC" w:rsidP="00357CEC">
            <w:pPr>
              <w:pStyle w:val="Default"/>
              <w:rPr>
                <w:sz w:val="22"/>
                <w:szCs w:val="22"/>
              </w:rPr>
            </w:pPr>
            <w:r w:rsidRPr="001300A9">
              <w:rPr>
                <w:sz w:val="22"/>
                <w:szCs w:val="22"/>
              </w:rPr>
              <w:t>Č: 1</w:t>
            </w:r>
          </w:p>
          <w:p w14:paraId="581C0116" w14:textId="77777777" w:rsidR="00357CEC" w:rsidRPr="001300A9" w:rsidRDefault="00357CEC" w:rsidP="00357CEC">
            <w:pPr>
              <w:pStyle w:val="Default"/>
              <w:rPr>
                <w:sz w:val="22"/>
                <w:szCs w:val="22"/>
              </w:rPr>
            </w:pPr>
            <w:r w:rsidRPr="001300A9">
              <w:rPr>
                <w:sz w:val="22"/>
                <w:szCs w:val="22"/>
              </w:rPr>
              <w:t>O: 12</w:t>
            </w:r>
          </w:p>
          <w:p w14:paraId="45628275" w14:textId="77777777" w:rsidR="00357CEC" w:rsidRPr="001300A9" w:rsidRDefault="00357CEC" w:rsidP="00357CEC">
            <w:pPr>
              <w:pStyle w:val="Default"/>
              <w:rPr>
                <w:sz w:val="22"/>
                <w:szCs w:val="22"/>
              </w:rPr>
            </w:pPr>
            <w:r w:rsidRPr="001300A9">
              <w:rPr>
                <w:sz w:val="22"/>
                <w:szCs w:val="22"/>
              </w:rPr>
              <w:t>P: f)</w:t>
            </w:r>
          </w:p>
        </w:tc>
        <w:tc>
          <w:tcPr>
            <w:tcW w:w="4820" w:type="dxa"/>
          </w:tcPr>
          <w:p w14:paraId="6F3397B2" w14:textId="77777777" w:rsidR="00357CEC" w:rsidRPr="001300A9" w:rsidRDefault="00357CEC" w:rsidP="00357CEC">
            <w:pPr>
              <w:pStyle w:val="Default"/>
              <w:rPr>
                <w:sz w:val="22"/>
                <w:szCs w:val="22"/>
              </w:rPr>
            </w:pPr>
            <w:r w:rsidRPr="001300A9">
              <w:rPr>
                <w:sz w:val="22"/>
                <w:szCs w:val="22"/>
              </w:rPr>
              <w:t>k) podpora budovania zručností a prerozdelenia pracovnej sily s cieľom prispieť k spravodlivému prechodu na klimaticky neutrálne hospodárstvo, najmä v regiónoch, ktorých sa najviac dotkne zmena pracovných miest, a to v intenzívnej koordinácii so sociálnymi partnermi, a investície do zvyšovania kvalifikácie a rekvalifikácie pracovníkov potenciálne zasiahnutých transformáciou vrátane pracovníkov v námornej doprave;</w:t>
            </w:r>
          </w:p>
          <w:p w14:paraId="294F75A9" w14:textId="77777777" w:rsidR="00357CEC" w:rsidRPr="001300A9" w:rsidRDefault="00357CEC" w:rsidP="00357CEC">
            <w:pPr>
              <w:pStyle w:val="Default"/>
              <w:rPr>
                <w:sz w:val="22"/>
                <w:szCs w:val="22"/>
              </w:rPr>
            </w:pPr>
            <w:r w:rsidRPr="001300A9">
              <w:rPr>
                <w:sz w:val="22"/>
                <w:szCs w:val="22"/>
              </w:rPr>
              <w:t>l) riešenie akéhokoľvek zostávajúceho rizika úniku uhlíka v odvetviach, na ktoré sa vzťahuje príloha I k nariadeniu Európskeho parlamentu a Rady (EÚ) 2023/...*+, pričom sa bude podporovať prechod a presadzovať ich dekarbonizácia v súlade s pravidlami štátnej pomoci.</w:t>
            </w:r>
          </w:p>
          <w:p w14:paraId="6861A0BF" w14:textId="77777777" w:rsidR="00357CEC" w:rsidRPr="001300A9" w:rsidRDefault="00357CEC" w:rsidP="00357CEC">
            <w:pPr>
              <w:pStyle w:val="Default"/>
              <w:rPr>
                <w:sz w:val="22"/>
                <w:szCs w:val="22"/>
              </w:rPr>
            </w:pPr>
          </w:p>
          <w:p w14:paraId="04609CC0" w14:textId="77777777" w:rsidR="00357CEC" w:rsidRPr="001300A9" w:rsidRDefault="00357CEC" w:rsidP="00357CEC">
            <w:pPr>
              <w:pStyle w:val="Default"/>
              <w:rPr>
                <w:sz w:val="22"/>
                <w:szCs w:val="22"/>
              </w:rPr>
            </w:pPr>
            <w:r w:rsidRPr="001300A9">
              <w:rPr>
                <w:sz w:val="22"/>
                <w:szCs w:val="22"/>
              </w:rPr>
              <w:t>* Nariadenie Európskeho parlamentu a Rady (EÚ) 2023/... z ..., ktorým sa zriaďuje mechanizmus uhlíkovej kompenzácie na hraniciach (Ú. v. EÚ L ...).</w:t>
            </w:r>
          </w:p>
        </w:tc>
        <w:tc>
          <w:tcPr>
            <w:tcW w:w="567" w:type="dxa"/>
          </w:tcPr>
          <w:p w14:paraId="096A31AB" w14:textId="7B9E39E5" w:rsidR="00357CEC" w:rsidRPr="001300A9" w:rsidRDefault="00E22288" w:rsidP="00357CEC">
            <w:pPr>
              <w:pStyle w:val="Default"/>
              <w:rPr>
                <w:sz w:val="22"/>
                <w:szCs w:val="22"/>
              </w:rPr>
            </w:pPr>
            <w:proofErr w:type="spellStart"/>
            <w:r w:rsidRPr="001300A9">
              <w:rPr>
                <w:sz w:val="22"/>
                <w:szCs w:val="22"/>
              </w:rPr>
              <w:t>n.a</w:t>
            </w:r>
            <w:proofErr w:type="spellEnd"/>
            <w:r w:rsidRPr="001300A9">
              <w:rPr>
                <w:sz w:val="22"/>
                <w:szCs w:val="22"/>
              </w:rPr>
              <w:t>.</w:t>
            </w:r>
          </w:p>
        </w:tc>
        <w:tc>
          <w:tcPr>
            <w:tcW w:w="283" w:type="dxa"/>
          </w:tcPr>
          <w:p w14:paraId="4A001E46" w14:textId="77777777" w:rsidR="00357CEC" w:rsidRPr="001300A9" w:rsidRDefault="00357CEC" w:rsidP="00357CEC">
            <w:pPr>
              <w:pStyle w:val="Default"/>
              <w:rPr>
                <w:sz w:val="22"/>
                <w:szCs w:val="22"/>
              </w:rPr>
            </w:pPr>
          </w:p>
        </w:tc>
        <w:tc>
          <w:tcPr>
            <w:tcW w:w="567" w:type="dxa"/>
          </w:tcPr>
          <w:p w14:paraId="01964344" w14:textId="77777777" w:rsidR="00357CEC" w:rsidRPr="001300A9" w:rsidRDefault="00357CEC" w:rsidP="00357CEC">
            <w:pPr>
              <w:pStyle w:val="Default"/>
              <w:rPr>
                <w:sz w:val="22"/>
                <w:szCs w:val="22"/>
              </w:rPr>
            </w:pPr>
          </w:p>
        </w:tc>
        <w:tc>
          <w:tcPr>
            <w:tcW w:w="4253" w:type="dxa"/>
          </w:tcPr>
          <w:p w14:paraId="7C9F4764" w14:textId="77777777" w:rsidR="00357CEC" w:rsidRPr="001300A9" w:rsidRDefault="00357CEC" w:rsidP="00357CEC">
            <w:pPr>
              <w:pStyle w:val="Default"/>
              <w:rPr>
                <w:sz w:val="22"/>
                <w:szCs w:val="22"/>
              </w:rPr>
            </w:pPr>
          </w:p>
        </w:tc>
        <w:tc>
          <w:tcPr>
            <w:tcW w:w="567" w:type="dxa"/>
          </w:tcPr>
          <w:p w14:paraId="0582B04F" w14:textId="77777777" w:rsidR="00357CEC" w:rsidRPr="001300A9" w:rsidRDefault="00357CEC" w:rsidP="00357CEC">
            <w:pPr>
              <w:pStyle w:val="Default"/>
              <w:rPr>
                <w:sz w:val="22"/>
                <w:szCs w:val="22"/>
              </w:rPr>
            </w:pPr>
          </w:p>
        </w:tc>
        <w:tc>
          <w:tcPr>
            <w:tcW w:w="1276" w:type="dxa"/>
          </w:tcPr>
          <w:p w14:paraId="01B271CA" w14:textId="77777777" w:rsidR="00357CEC" w:rsidRPr="001300A9" w:rsidRDefault="00357CEC" w:rsidP="00357CEC">
            <w:pPr>
              <w:pStyle w:val="Default"/>
              <w:rPr>
                <w:sz w:val="22"/>
                <w:szCs w:val="22"/>
              </w:rPr>
            </w:pPr>
          </w:p>
        </w:tc>
        <w:tc>
          <w:tcPr>
            <w:tcW w:w="850" w:type="dxa"/>
          </w:tcPr>
          <w:p w14:paraId="35C3F081" w14:textId="77777777" w:rsidR="00357CEC" w:rsidRPr="001300A9" w:rsidRDefault="00357CEC" w:rsidP="00357CEC">
            <w:pPr>
              <w:pStyle w:val="Default"/>
              <w:rPr>
                <w:sz w:val="22"/>
                <w:szCs w:val="22"/>
              </w:rPr>
            </w:pPr>
          </w:p>
        </w:tc>
        <w:tc>
          <w:tcPr>
            <w:tcW w:w="815" w:type="dxa"/>
          </w:tcPr>
          <w:p w14:paraId="38EE5F74" w14:textId="77777777" w:rsidR="00357CEC" w:rsidRPr="001300A9" w:rsidRDefault="00357CEC" w:rsidP="00357CEC">
            <w:pPr>
              <w:pStyle w:val="Default"/>
              <w:rPr>
                <w:sz w:val="22"/>
                <w:szCs w:val="22"/>
              </w:rPr>
            </w:pPr>
          </w:p>
        </w:tc>
      </w:tr>
      <w:tr w:rsidR="00DD6EDC" w:rsidRPr="001300A9" w14:paraId="1CDFB13F" w14:textId="77777777" w:rsidTr="360410BC">
        <w:tc>
          <w:tcPr>
            <w:tcW w:w="562" w:type="dxa"/>
          </w:tcPr>
          <w:p w14:paraId="03666769" w14:textId="77777777" w:rsidR="00357CEC" w:rsidRPr="001300A9" w:rsidRDefault="00357CEC" w:rsidP="00357CEC">
            <w:pPr>
              <w:pStyle w:val="Default"/>
              <w:rPr>
                <w:sz w:val="22"/>
                <w:szCs w:val="22"/>
              </w:rPr>
            </w:pPr>
            <w:r w:rsidRPr="001300A9">
              <w:rPr>
                <w:sz w:val="22"/>
                <w:szCs w:val="22"/>
              </w:rPr>
              <w:t>Č: 1</w:t>
            </w:r>
          </w:p>
          <w:p w14:paraId="0A99D395" w14:textId="77777777" w:rsidR="00357CEC" w:rsidRPr="001300A9" w:rsidRDefault="00357CEC" w:rsidP="00357CEC">
            <w:pPr>
              <w:pStyle w:val="Default"/>
              <w:rPr>
                <w:sz w:val="22"/>
                <w:szCs w:val="22"/>
              </w:rPr>
            </w:pPr>
            <w:r w:rsidRPr="001300A9">
              <w:rPr>
                <w:sz w:val="22"/>
                <w:szCs w:val="22"/>
              </w:rPr>
              <w:t>O: 12</w:t>
            </w:r>
          </w:p>
          <w:p w14:paraId="4A56A397" w14:textId="77777777" w:rsidR="00357CEC" w:rsidRPr="001300A9" w:rsidRDefault="00357CEC" w:rsidP="00357CEC">
            <w:pPr>
              <w:pStyle w:val="Default"/>
              <w:rPr>
                <w:sz w:val="22"/>
                <w:szCs w:val="22"/>
              </w:rPr>
            </w:pPr>
            <w:r w:rsidRPr="001300A9">
              <w:rPr>
                <w:sz w:val="22"/>
                <w:szCs w:val="22"/>
              </w:rPr>
              <w:lastRenderedPageBreak/>
              <w:t>P: g)</w:t>
            </w:r>
          </w:p>
        </w:tc>
        <w:tc>
          <w:tcPr>
            <w:tcW w:w="4820" w:type="dxa"/>
          </w:tcPr>
          <w:p w14:paraId="78CEB4FD" w14:textId="77777777" w:rsidR="00357CEC" w:rsidRPr="001300A9" w:rsidRDefault="00357CEC" w:rsidP="00357CEC">
            <w:pPr>
              <w:pStyle w:val="Default"/>
              <w:rPr>
                <w:sz w:val="22"/>
                <w:szCs w:val="22"/>
              </w:rPr>
            </w:pPr>
            <w:r w:rsidRPr="001300A9">
              <w:rPr>
                <w:sz w:val="22"/>
                <w:szCs w:val="22"/>
              </w:rPr>
              <w:lastRenderedPageBreak/>
              <w:t>Pri určovaní použitia príjmov z obchodovania s kvótami formou aukcie členské štáty zohľadnia potrebu pokračovať vo zvyšovaní medzinárodného fi</w:t>
            </w:r>
            <w:r w:rsidRPr="001300A9">
              <w:rPr>
                <w:sz w:val="22"/>
                <w:szCs w:val="22"/>
              </w:rPr>
              <w:lastRenderedPageBreak/>
              <w:t xml:space="preserve">nancovania opatrení v oblasti zmeny klímy v zraniteľných tretích krajinách uvedených v prvom </w:t>
            </w:r>
            <w:proofErr w:type="spellStart"/>
            <w:r w:rsidRPr="001300A9">
              <w:rPr>
                <w:sz w:val="22"/>
                <w:szCs w:val="22"/>
              </w:rPr>
              <w:t>pododseku</w:t>
            </w:r>
            <w:proofErr w:type="spellEnd"/>
            <w:r w:rsidRPr="001300A9">
              <w:rPr>
                <w:sz w:val="22"/>
                <w:szCs w:val="22"/>
              </w:rPr>
              <w:t xml:space="preserve"> písm. j).</w:t>
            </w:r>
          </w:p>
        </w:tc>
        <w:tc>
          <w:tcPr>
            <w:tcW w:w="567" w:type="dxa"/>
          </w:tcPr>
          <w:p w14:paraId="2D0245A6" w14:textId="67EFBF05" w:rsidR="00357CEC" w:rsidRPr="001300A9" w:rsidRDefault="00E22288" w:rsidP="00357CEC">
            <w:pPr>
              <w:pStyle w:val="Default"/>
              <w:rPr>
                <w:sz w:val="22"/>
                <w:szCs w:val="22"/>
              </w:rPr>
            </w:pPr>
            <w:proofErr w:type="spellStart"/>
            <w:r w:rsidRPr="001300A9">
              <w:rPr>
                <w:sz w:val="22"/>
                <w:szCs w:val="22"/>
              </w:rPr>
              <w:lastRenderedPageBreak/>
              <w:t>n.a</w:t>
            </w:r>
            <w:proofErr w:type="spellEnd"/>
            <w:r w:rsidRPr="001300A9">
              <w:rPr>
                <w:sz w:val="22"/>
                <w:szCs w:val="22"/>
              </w:rPr>
              <w:t>.</w:t>
            </w:r>
          </w:p>
        </w:tc>
        <w:tc>
          <w:tcPr>
            <w:tcW w:w="283" w:type="dxa"/>
          </w:tcPr>
          <w:p w14:paraId="4B36AEF8" w14:textId="77777777" w:rsidR="00357CEC" w:rsidRPr="001300A9" w:rsidRDefault="00357CEC" w:rsidP="00357CEC">
            <w:pPr>
              <w:pStyle w:val="Default"/>
              <w:rPr>
                <w:sz w:val="22"/>
                <w:szCs w:val="22"/>
              </w:rPr>
            </w:pPr>
          </w:p>
        </w:tc>
        <w:tc>
          <w:tcPr>
            <w:tcW w:w="567" w:type="dxa"/>
          </w:tcPr>
          <w:p w14:paraId="0BE34CBE" w14:textId="77777777" w:rsidR="00357CEC" w:rsidRPr="001300A9" w:rsidRDefault="00357CEC" w:rsidP="00357CEC">
            <w:pPr>
              <w:pStyle w:val="Default"/>
              <w:rPr>
                <w:sz w:val="22"/>
                <w:szCs w:val="22"/>
              </w:rPr>
            </w:pPr>
          </w:p>
        </w:tc>
        <w:tc>
          <w:tcPr>
            <w:tcW w:w="4253" w:type="dxa"/>
          </w:tcPr>
          <w:p w14:paraId="2A03D709" w14:textId="77777777" w:rsidR="00357CEC" w:rsidRPr="001300A9" w:rsidRDefault="00357CEC" w:rsidP="00357CEC">
            <w:pPr>
              <w:pStyle w:val="Default"/>
              <w:rPr>
                <w:sz w:val="22"/>
                <w:szCs w:val="22"/>
              </w:rPr>
            </w:pPr>
          </w:p>
        </w:tc>
        <w:tc>
          <w:tcPr>
            <w:tcW w:w="567" w:type="dxa"/>
          </w:tcPr>
          <w:p w14:paraId="705D4F14" w14:textId="77777777" w:rsidR="00357CEC" w:rsidRPr="001300A9" w:rsidRDefault="00357CEC" w:rsidP="00357CEC">
            <w:pPr>
              <w:pStyle w:val="Default"/>
              <w:rPr>
                <w:sz w:val="22"/>
                <w:szCs w:val="22"/>
              </w:rPr>
            </w:pPr>
          </w:p>
        </w:tc>
        <w:tc>
          <w:tcPr>
            <w:tcW w:w="1276" w:type="dxa"/>
          </w:tcPr>
          <w:p w14:paraId="46AFB82A" w14:textId="77777777" w:rsidR="00357CEC" w:rsidRPr="001300A9" w:rsidRDefault="00357CEC" w:rsidP="00357CEC">
            <w:pPr>
              <w:pStyle w:val="Default"/>
              <w:rPr>
                <w:sz w:val="22"/>
                <w:szCs w:val="22"/>
              </w:rPr>
            </w:pPr>
          </w:p>
        </w:tc>
        <w:tc>
          <w:tcPr>
            <w:tcW w:w="850" w:type="dxa"/>
          </w:tcPr>
          <w:p w14:paraId="5E38ED83" w14:textId="77777777" w:rsidR="00357CEC" w:rsidRPr="001300A9" w:rsidRDefault="00357CEC" w:rsidP="00357CEC">
            <w:pPr>
              <w:pStyle w:val="Default"/>
              <w:rPr>
                <w:sz w:val="22"/>
                <w:szCs w:val="22"/>
              </w:rPr>
            </w:pPr>
          </w:p>
        </w:tc>
        <w:tc>
          <w:tcPr>
            <w:tcW w:w="815" w:type="dxa"/>
          </w:tcPr>
          <w:p w14:paraId="48FC94A7" w14:textId="77777777" w:rsidR="00357CEC" w:rsidRPr="001300A9" w:rsidRDefault="00357CEC" w:rsidP="00357CEC">
            <w:pPr>
              <w:pStyle w:val="Default"/>
              <w:rPr>
                <w:sz w:val="22"/>
                <w:szCs w:val="22"/>
              </w:rPr>
            </w:pPr>
          </w:p>
        </w:tc>
      </w:tr>
      <w:tr w:rsidR="00DD6EDC" w:rsidRPr="001300A9" w14:paraId="7161E9FF" w14:textId="77777777" w:rsidTr="360410BC">
        <w:tc>
          <w:tcPr>
            <w:tcW w:w="562" w:type="dxa"/>
          </w:tcPr>
          <w:p w14:paraId="4C9F8AEA" w14:textId="77777777" w:rsidR="00357CEC" w:rsidRPr="001300A9" w:rsidRDefault="00357CEC" w:rsidP="00357CEC">
            <w:pPr>
              <w:pStyle w:val="Default"/>
              <w:rPr>
                <w:sz w:val="22"/>
                <w:szCs w:val="22"/>
              </w:rPr>
            </w:pPr>
            <w:r w:rsidRPr="001300A9">
              <w:rPr>
                <w:sz w:val="22"/>
                <w:szCs w:val="22"/>
              </w:rPr>
              <w:t>Č: 1</w:t>
            </w:r>
          </w:p>
          <w:p w14:paraId="1FA1025C" w14:textId="77777777" w:rsidR="00357CEC" w:rsidRPr="001300A9" w:rsidRDefault="00357CEC" w:rsidP="00357CEC">
            <w:pPr>
              <w:pStyle w:val="Default"/>
              <w:rPr>
                <w:sz w:val="22"/>
                <w:szCs w:val="22"/>
              </w:rPr>
            </w:pPr>
            <w:r w:rsidRPr="001300A9">
              <w:rPr>
                <w:sz w:val="22"/>
                <w:szCs w:val="22"/>
              </w:rPr>
              <w:t>O: 12</w:t>
            </w:r>
          </w:p>
          <w:p w14:paraId="7EE4449B" w14:textId="77777777" w:rsidR="00357CEC" w:rsidRPr="001300A9" w:rsidRDefault="00357CEC" w:rsidP="00357CEC">
            <w:pPr>
              <w:pStyle w:val="Default"/>
              <w:rPr>
                <w:sz w:val="22"/>
                <w:szCs w:val="22"/>
              </w:rPr>
            </w:pPr>
            <w:r w:rsidRPr="001300A9">
              <w:rPr>
                <w:sz w:val="22"/>
                <w:szCs w:val="22"/>
              </w:rPr>
              <w:t>P: h)</w:t>
            </w:r>
          </w:p>
        </w:tc>
        <w:tc>
          <w:tcPr>
            <w:tcW w:w="4820" w:type="dxa"/>
          </w:tcPr>
          <w:p w14:paraId="1628EF90" w14:textId="77777777" w:rsidR="00357CEC" w:rsidRPr="001300A9" w:rsidRDefault="00357CEC" w:rsidP="00357CEC">
            <w:pPr>
              <w:pStyle w:val="Default"/>
              <w:rPr>
                <w:sz w:val="22"/>
                <w:szCs w:val="22"/>
              </w:rPr>
            </w:pPr>
            <w:r w:rsidRPr="001300A9">
              <w:rPr>
                <w:sz w:val="22"/>
                <w:szCs w:val="22"/>
              </w:rPr>
              <w:t xml:space="preserve">Predpokladá sa, že členské štáty splnili ustanovenia tohto odseku, ak zaviedli a vykonávajú politiky fiškálnej alebo finančnej podpory, a to najmä aj v rozvojových krajinách, alebo domáce regulačné politiky slúžiace na posilnenie finančnej podpory, ktoré boli vytvorené na účely stanovené v prvom </w:t>
            </w:r>
            <w:proofErr w:type="spellStart"/>
            <w:r w:rsidRPr="001300A9">
              <w:rPr>
                <w:sz w:val="22"/>
                <w:szCs w:val="22"/>
              </w:rPr>
              <w:t>pododseku</w:t>
            </w:r>
            <w:proofErr w:type="spellEnd"/>
            <w:r w:rsidRPr="001300A9">
              <w:rPr>
                <w:sz w:val="22"/>
                <w:szCs w:val="22"/>
              </w:rPr>
              <w:t xml:space="preserve"> a ktorých hodnota je rovnocenná príjmom uvedeným v prvom </w:t>
            </w:r>
            <w:proofErr w:type="spellStart"/>
            <w:r w:rsidRPr="001300A9">
              <w:rPr>
                <w:sz w:val="22"/>
                <w:szCs w:val="22"/>
              </w:rPr>
              <w:t>pododseku</w:t>
            </w:r>
            <w:proofErr w:type="spellEnd"/>
            <w:r w:rsidRPr="001300A9">
              <w:rPr>
                <w:sz w:val="22"/>
                <w:szCs w:val="22"/>
              </w:rPr>
              <w:t>.</w:t>
            </w:r>
          </w:p>
        </w:tc>
        <w:tc>
          <w:tcPr>
            <w:tcW w:w="567" w:type="dxa"/>
          </w:tcPr>
          <w:p w14:paraId="3B7B2787" w14:textId="12A49B38" w:rsidR="00357CEC" w:rsidRPr="001300A9" w:rsidRDefault="00E22288" w:rsidP="00357CEC">
            <w:pPr>
              <w:pStyle w:val="Default"/>
              <w:rPr>
                <w:sz w:val="22"/>
                <w:szCs w:val="22"/>
              </w:rPr>
            </w:pPr>
            <w:proofErr w:type="spellStart"/>
            <w:r w:rsidRPr="001300A9">
              <w:rPr>
                <w:sz w:val="22"/>
                <w:szCs w:val="22"/>
              </w:rPr>
              <w:t>n.a</w:t>
            </w:r>
            <w:proofErr w:type="spellEnd"/>
            <w:r w:rsidRPr="001300A9">
              <w:rPr>
                <w:sz w:val="22"/>
                <w:szCs w:val="22"/>
              </w:rPr>
              <w:t>.</w:t>
            </w:r>
          </w:p>
        </w:tc>
        <w:tc>
          <w:tcPr>
            <w:tcW w:w="283" w:type="dxa"/>
          </w:tcPr>
          <w:p w14:paraId="7EA83311" w14:textId="77777777" w:rsidR="00357CEC" w:rsidRPr="001300A9" w:rsidRDefault="00357CEC" w:rsidP="00357CEC">
            <w:pPr>
              <w:pStyle w:val="Default"/>
              <w:rPr>
                <w:sz w:val="22"/>
                <w:szCs w:val="22"/>
              </w:rPr>
            </w:pPr>
          </w:p>
        </w:tc>
        <w:tc>
          <w:tcPr>
            <w:tcW w:w="567" w:type="dxa"/>
          </w:tcPr>
          <w:p w14:paraId="15BC08E4" w14:textId="77777777" w:rsidR="00357CEC" w:rsidRPr="001300A9" w:rsidRDefault="00357CEC" w:rsidP="00357CEC">
            <w:pPr>
              <w:pStyle w:val="Default"/>
              <w:rPr>
                <w:sz w:val="22"/>
                <w:szCs w:val="22"/>
              </w:rPr>
            </w:pPr>
          </w:p>
        </w:tc>
        <w:tc>
          <w:tcPr>
            <w:tcW w:w="4253" w:type="dxa"/>
          </w:tcPr>
          <w:p w14:paraId="69ADD417" w14:textId="77777777" w:rsidR="00357CEC" w:rsidRPr="001300A9" w:rsidRDefault="00357CEC" w:rsidP="00357CEC">
            <w:pPr>
              <w:pStyle w:val="Default"/>
              <w:rPr>
                <w:sz w:val="22"/>
                <w:szCs w:val="22"/>
              </w:rPr>
            </w:pPr>
          </w:p>
        </w:tc>
        <w:tc>
          <w:tcPr>
            <w:tcW w:w="567" w:type="dxa"/>
          </w:tcPr>
          <w:p w14:paraId="4CAE5836" w14:textId="77777777" w:rsidR="00357CEC" w:rsidRPr="001300A9" w:rsidRDefault="00357CEC" w:rsidP="00357CEC">
            <w:pPr>
              <w:pStyle w:val="Default"/>
              <w:rPr>
                <w:sz w:val="22"/>
                <w:szCs w:val="22"/>
              </w:rPr>
            </w:pPr>
          </w:p>
        </w:tc>
        <w:tc>
          <w:tcPr>
            <w:tcW w:w="1276" w:type="dxa"/>
          </w:tcPr>
          <w:p w14:paraId="577AF1FF" w14:textId="77777777" w:rsidR="00357CEC" w:rsidRPr="001300A9" w:rsidRDefault="00357CEC" w:rsidP="00357CEC">
            <w:pPr>
              <w:pStyle w:val="Default"/>
              <w:rPr>
                <w:sz w:val="22"/>
                <w:szCs w:val="22"/>
              </w:rPr>
            </w:pPr>
          </w:p>
        </w:tc>
        <w:tc>
          <w:tcPr>
            <w:tcW w:w="850" w:type="dxa"/>
          </w:tcPr>
          <w:p w14:paraId="22A2B06F" w14:textId="77777777" w:rsidR="00357CEC" w:rsidRPr="001300A9" w:rsidRDefault="00357CEC" w:rsidP="00357CEC">
            <w:pPr>
              <w:pStyle w:val="Default"/>
              <w:rPr>
                <w:sz w:val="22"/>
                <w:szCs w:val="22"/>
              </w:rPr>
            </w:pPr>
          </w:p>
        </w:tc>
        <w:tc>
          <w:tcPr>
            <w:tcW w:w="815" w:type="dxa"/>
          </w:tcPr>
          <w:p w14:paraId="56576246" w14:textId="77777777" w:rsidR="00357CEC" w:rsidRPr="001300A9" w:rsidRDefault="00357CEC" w:rsidP="00357CEC">
            <w:pPr>
              <w:pStyle w:val="Default"/>
              <w:rPr>
                <w:sz w:val="22"/>
                <w:szCs w:val="22"/>
              </w:rPr>
            </w:pPr>
          </w:p>
        </w:tc>
      </w:tr>
      <w:tr w:rsidR="00DD6EDC" w:rsidRPr="001300A9" w14:paraId="45DFDC44" w14:textId="77777777" w:rsidTr="360410BC">
        <w:tc>
          <w:tcPr>
            <w:tcW w:w="562" w:type="dxa"/>
          </w:tcPr>
          <w:p w14:paraId="545AE248" w14:textId="77777777" w:rsidR="00357CEC" w:rsidRPr="001300A9" w:rsidRDefault="00357CEC" w:rsidP="00357CEC">
            <w:pPr>
              <w:pStyle w:val="Default"/>
              <w:rPr>
                <w:sz w:val="22"/>
                <w:szCs w:val="22"/>
              </w:rPr>
            </w:pPr>
            <w:r w:rsidRPr="001300A9">
              <w:rPr>
                <w:sz w:val="22"/>
                <w:szCs w:val="22"/>
              </w:rPr>
              <w:t>Č: 1</w:t>
            </w:r>
          </w:p>
          <w:p w14:paraId="3DA7CDBB" w14:textId="77777777" w:rsidR="00357CEC" w:rsidRPr="001300A9" w:rsidRDefault="00357CEC" w:rsidP="00357CEC">
            <w:pPr>
              <w:pStyle w:val="Default"/>
              <w:rPr>
                <w:sz w:val="22"/>
                <w:szCs w:val="22"/>
              </w:rPr>
            </w:pPr>
            <w:r w:rsidRPr="001300A9">
              <w:rPr>
                <w:sz w:val="22"/>
                <w:szCs w:val="22"/>
              </w:rPr>
              <w:t>O: 12</w:t>
            </w:r>
          </w:p>
          <w:p w14:paraId="698C5626" w14:textId="77777777" w:rsidR="00357CEC" w:rsidRPr="001300A9" w:rsidRDefault="00357CEC" w:rsidP="00357CEC">
            <w:pPr>
              <w:pStyle w:val="Default"/>
              <w:rPr>
                <w:sz w:val="22"/>
                <w:szCs w:val="22"/>
              </w:rPr>
            </w:pPr>
            <w:r w:rsidRPr="001300A9">
              <w:rPr>
                <w:sz w:val="22"/>
                <w:szCs w:val="22"/>
              </w:rPr>
              <w:t>P: i)</w:t>
            </w:r>
          </w:p>
        </w:tc>
        <w:tc>
          <w:tcPr>
            <w:tcW w:w="4820" w:type="dxa"/>
          </w:tcPr>
          <w:p w14:paraId="47D1DA21" w14:textId="77777777" w:rsidR="00357CEC" w:rsidRPr="001300A9" w:rsidRDefault="00357CEC" w:rsidP="00357CEC">
            <w:pPr>
              <w:pStyle w:val="Default"/>
              <w:rPr>
                <w:sz w:val="22"/>
                <w:szCs w:val="22"/>
              </w:rPr>
            </w:pPr>
            <w:r w:rsidRPr="001300A9">
              <w:rPr>
                <w:sz w:val="22"/>
                <w:szCs w:val="22"/>
              </w:rPr>
              <w:t>Členské štáty informujú Komisiu o použití príjmov a opatreniach prijatých podľa tohto odseku vo svojich správach predložených podľa článku 19 ods. 2 nariadenia (EÚ) 2018/1999, pričom v relevantných a vhodných prípadoch uvedú, ktoré príjmy sa používajú a aké opatrenia sa prijímajú na vykonávanie ich integrovaných národných energetických a klimatických plánov predložených v súlade s uvedeným nariadením a ich plány spravodlivej transformácie územia vypracované v súlade s článkom 11 nariadenia Európskeho parlamentu a Rady (EÚ) 2021/1056*.</w:t>
            </w:r>
          </w:p>
          <w:p w14:paraId="58A9F429" w14:textId="77777777" w:rsidR="00357CEC" w:rsidRPr="001300A9" w:rsidRDefault="00357CEC" w:rsidP="00357CEC">
            <w:pPr>
              <w:pStyle w:val="Default"/>
              <w:rPr>
                <w:sz w:val="22"/>
                <w:szCs w:val="22"/>
              </w:rPr>
            </w:pPr>
          </w:p>
          <w:p w14:paraId="0B08B060" w14:textId="77777777" w:rsidR="00357CEC" w:rsidRPr="001300A9" w:rsidRDefault="00357CEC" w:rsidP="00357CEC">
            <w:pPr>
              <w:pStyle w:val="Default"/>
              <w:rPr>
                <w:sz w:val="22"/>
                <w:szCs w:val="22"/>
              </w:rPr>
            </w:pPr>
            <w:r w:rsidRPr="001300A9">
              <w:rPr>
                <w:sz w:val="22"/>
                <w:szCs w:val="22"/>
              </w:rPr>
              <w:t xml:space="preserve">Podávanie správ musí byť dostatočne podrobné, aby Komisia mohla posúdiť dodržiavanie ustanovení prvého </w:t>
            </w:r>
            <w:proofErr w:type="spellStart"/>
            <w:r w:rsidRPr="001300A9">
              <w:rPr>
                <w:sz w:val="22"/>
                <w:szCs w:val="22"/>
              </w:rPr>
              <w:t>pododseku</w:t>
            </w:r>
            <w:proofErr w:type="spellEnd"/>
            <w:r w:rsidRPr="001300A9">
              <w:rPr>
                <w:sz w:val="22"/>
                <w:szCs w:val="22"/>
              </w:rPr>
              <w:t xml:space="preserve"> členským štátmi.</w:t>
            </w:r>
          </w:p>
          <w:p w14:paraId="6763006E" w14:textId="77777777" w:rsidR="00357CEC" w:rsidRPr="001300A9" w:rsidRDefault="00357CEC" w:rsidP="00357CEC">
            <w:pPr>
              <w:pStyle w:val="Default"/>
              <w:rPr>
                <w:sz w:val="22"/>
                <w:szCs w:val="22"/>
              </w:rPr>
            </w:pPr>
          </w:p>
          <w:p w14:paraId="5C146695" w14:textId="77777777" w:rsidR="00357CEC" w:rsidRPr="001300A9" w:rsidRDefault="00357CEC" w:rsidP="00357CEC">
            <w:pPr>
              <w:pStyle w:val="Default"/>
              <w:rPr>
                <w:sz w:val="22"/>
                <w:szCs w:val="22"/>
              </w:rPr>
            </w:pPr>
            <w:r w:rsidRPr="001300A9">
              <w:rPr>
                <w:sz w:val="22"/>
                <w:szCs w:val="22"/>
              </w:rPr>
              <w:t>* Nariadenie Európskeho parlamentu a Rady (EÚ) 2021/1056 z 24. júna 2021, ktorým sa zriaďuje Fond na spravodlivú transformáciu (Ú. v. EÚ L 231, 30.6.2021, s. 1).“;</w:t>
            </w:r>
          </w:p>
        </w:tc>
        <w:tc>
          <w:tcPr>
            <w:tcW w:w="567" w:type="dxa"/>
          </w:tcPr>
          <w:p w14:paraId="15B04E2E" w14:textId="03116B10" w:rsidR="00357CEC" w:rsidRPr="001300A9" w:rsidRDefault="00A66FDC" w:rsidP="00357CEC">
            <w:pPr>
              <w:pStyle w:val="Default"/>
              <w:rPr>
                <w:sz w:val="22"/>
                <w:szCs w:val="22"/>
              </w:rPr>
            </w:pPr>
            <w:proofErr w:type="spellStart"/>
            <w:r w:rsidRPr="001300A9">
              <w:rPr>
                <w:sz w:val="22"/>
                <w:szCs w:val="22"/>
              </w:rPr>
              <w:t>n.a</w:t>
            </w:r>
            <w:proofErr w:type="spellEnd"/>
            <w:r w:rsidRPr="001300A9">
              <w:rPr>
                <w:sz w:val="22"/>
                <w:szCs w:val="22"/>
              </w:rPr>
              <w:t>.</w:t>
            </w:r>
          </w:p>
        </w:tc>
        <w:tc>
          <w:tcPr>
            <w:tcW w:w="283" w:type="dxa"/>
          </w:tcPr>
          <w:p w14:paraId="27B3EB57" w14:textId="77777777" w:rsidR="00357CEC" w:rsidRPr="001300A9" w:rsidRDefault="00357CEC" w:rsidP="00357CEC">
            <w:pPr>
              <w:pStyle w:val="Default"/>
              <w:rPr>
                <w:sz w:val="22"/>
                <w:szCs w:val="22"/>
              </w:rPr>
            </w:pPr>
          </w:p>
        </w:tc>
        <w:tc>
          <w:tcPr>
            <w:tcW w:w="567" w:type="dxa"/>
          </w:tcPr>
          <w:p w14:paraId="3C583E06" w14:textId="77777777" w:rsidR="00357CEC" w:rsidRPr="001300A9" w:rsidRDefault="00357CEC" w:rsidP="00357CEC">
            <w:pPr>
              <w:pStyle w:val="Default"/>
              <w:rPr>
                <w:sz w:val="22"/>
                <w:szCs w:val="22"/>
              </w:rPr>
            </w:pPr>
          </w:p>
        </w:tc>
        <w:tc>
          <w:tcPr>
            <w:tcW w:w="4253" w:type="dxa"/>
          </w:tcPr>
          <w:p w14:paraId="205048B8" w14:textId="77777777" w:rsidR="00357CEC" w:rsidRPr="001300A9" w:rsidRDefault="00357CEC" w:rsidP="00357CEC">
            <w:pPr>
              <w:pStyle w:val="Default"/>
              <w:rPr>
                <w:sz w:val="22"/>
                <w:szCs w:val="22"/>
              </w:rPr>
            </w:pPr>
          </w:p>
        </w:tc>
        <w:tc>
          <w:tcPr>
            <w:tcW w:w="567" w:type="dxa"/>
          </w:tcPr>
          <w:p w14:paraId="43027AD5" w14:textId="77777777" w:rsidR="00357CEC" w:rsidRPr="001300A9" w:rsidRDefault="00357CEC" w:rsidP="00357CEC">
            <w:pPr>
              <w:pStyle w:val="Default"/>
              <w:rPr>
                <w:sz w:val="22"/>
                <w:szCs w:val="22"/>
              </w:rPr>
            </w:pPr>
          </w:p>
        </w:tc>
        <w:tc>
          <w:tcPr>
            <w:tcW w:w="1276" w:type="dxa"/>
          </w:tcPr>
          <w:p w14:paraId="512F1BDD" w14:textId="77777777" w:rsidR="00357CEC" w:rsidRPr="001300A9" w:rsidRDefault="00357CEC" w:rsidP="00357CEC">
            <w:pPr>
              <w:pStyle w:val="Default"/>
              <w:rPr>
                <w:sz w:val="22"/>
                <w:szCs w:val="22"/>
              </w:rPr>
            </w:pPr>
          </w:p>
        </w:tc>
        <w:tc>
          <w:tcPr>
            <w:tcW w:w="850" w:type="dxa"/>
          </w:tcPr>
          <w:p w14:paraId="174CC900" w14:textId="77777777" w:rsidR="00357CEC" w:rsidRPr="001300A9" w:rsidRDefault="00357CEC" w:rsidP="00357CEC">
            <w:pPr>
              <w:pStyle w:val="Default"/>
              <w:rPr>
                <w:sz w:val="22"/>
                <w:szCs w:val="22"/>
              </w:rPr>
            </w:pPr>
          </w:p>
        </w:tc>
        <w:tc>
          <w:tcPr>
            <w:tcW w:w="815" w:type="dxa"/>
          </w:tcPr>
          <w:p w14:paraId="77C7C510" w14:textId="77777777" w:rsidR="00357CEC" w:rsidRPr="001300A9" w:rsidRDefault="00357CEC" w:rsidP="00357CEC">
            <w:pPr>
              <w:pStyle w:val="Default"/>
              <w:rPr>
                <w:sz w:val="22"/>
                <w:szCs w:val="22"/>
              </w:rPr>
            </w:pPr>
          </w:p>
        </w:tc>
      </w:tr>
      <w:tr w:rsidR="00DD6EDC" w:rsidRPr="001300A9" w14:paraId="09B70535" w14:textId="77777777" w:rsidTr="360410BC">
        <w:tc>
          <w:tcPr>
            <w:tcW w:w="562" w:type="dxa"/>
          </w:tcPr>
          <w:p w14:paraId="3811F472" w14:textId="77777777" w:rsidR="00357CEC" w:rsidRPr="001300A9" w:rsidRDefault="00357CEC" w:rsidP="00357CEC">
            <w:pPr>
              <w:pStyle w:val="Default"/>
              <w:rPr>
                <w:sz w:val="22"/>
                <w:szCs w:val="22"/>
              </w:rPr>
            </w:pPr>
            <w:r w:rsidRPr="001300A9">
              <w:rPr>
                <w:sz w:val="22"/>
                <w:szCs w:val="22"/>
              </w:rPr>
              <w:t>Č: 1</w:t>
            </w:r>
          </w:p>
          <w:p w14:paraId="23DB87CB" w14:textId="77777777" w:rsidR="00357CEC" w:rsidRPr="001300A9" w:rsidRDefault="00357CEC" w:rsidP="00357CEC">
            <w:pPr>
              <w:pStyle w:val="Default"/>
              <w:rPr>
                <w:sz w:val="22"/>
                <w:szCs w:val="22"/>
              </w:rPr>
            </w:pPr>
            <w:r w:rsidRPr="001300A9">
              <w:rPr>
                <w:sz w:val="22"/>
                <w:szCs w:val="22"/>
              </w:rPr>
              <w:lastRenderedPageBreak/>
              <w:t>O: 12</w:t>
            </w:r>
          </w:p>
          <w:p w14:paraId="37F52A13" w14:textId="77777777" w:rsidR="00357CEC" w:rsidRPr="001300A9" w:rsidRDefault="00357CEC" w:rsidP="00357CEC">
            <w:pPr>
              <w:pStyle w:val="Default"/>
              <w:rPr>
                <w:sz w:val="22"/>
                <w:szCs w:val="22"/>
              </w:rPr>
            </w:pPr>
            <w:r w:rsidRPr="001300A9">
              <w:rPr>
                <w:sz w:val="22"/>
                <w:szCs w:val="22"/>
              </w:rPr>
              <w:t>P: j)</w:t>
            </w:r>
          </w:p>
        </w:tc>
        <w:tc>
          <w:tcPr>
            <w:tcW w:w="4820" w:type="dxa"/>
          </w:tcPr>
          <w:p w14:paraId="535BDEA3" w14:textId="77777777" w:rsidR="00357CEC" w:rsidRPr="001300A9" w:rsidRDefault="00357CEC" w:rsidP="00357CEC">
            <w:pPr>
              <w:pStyle w:val="Default"/>
              <w:rPr>
                <w:sz w:val="22"/>
                <w:szCs w:val="22"/>
              </w:rPr>
            </w:pPr>
            <w:r w:rsidRPr="001300A9">
              <w:rPr>
                <w:sz w:val="22"/>
                <w:szCs w:val="22"/>
              </w:rPr>
              <w:lastRenderedPageBreak/>
              <w:t>Komisia je splnomocnená prijímať delegované akty v súlade s článkom 23 s cieľom doplniť túto smer</w:t>
            </w:r>
            <w:r w:rsidRPr="001300A9">
              <w:rPr>
                <w:sz w:val="22"/>
                <w:szCs w:val="22"/>
              </w:rPr>
              <w:lastRenderedPageBreak/>
              <w:t>nicu, pokiaľ ide o harmonogram, správu a iné aspekty obchodovania formou aukcie, vrátane modalít obchodovania formou aukcie, ktoré sú potrebné na prevod podielu príjmov do rozpočtu Únie ako vonkajších pripísaných príjmov v súlade s článkom 30d ods. 4 tejto smernice alebo ako vlastných zdrojov v súlade s článkom 311 tretím odsekom ZFEÚ, s cieľom zabezpečiť, aby sa tento proces uskutočňoval otvorene, transparentne, harmonizovane a nediskriminačne. Na tento účel musí byť postup predvídateľný, najmä v súvislosti s harmonogramom a postupnosťou aukcií a odhadovaným množstvom kvót, ktoré sa sprístupnia.</w:t>
            </w:r>
          </w:p>
        </w:tc>
        <w:tc>
          <w:tcPr>
            <w:tcW w:w="567" w:type="dxa"/>
          </w:tcPr>
          <w:p w14:paraId="0678F4DA" w14:textId="77777777" w:rsidR="00357CEC" w:rsidRPr="001300A9" w:rsidRDefault="00357CEC" w:rsidP="00357CEC">
            <w:pPr>
              <w:pStyle w:val="Default"/>
              <w:rPr>
                <w:sz w:val="22"/>
                <w:szCs w:val="22"/>
              </w:rPr>
            </w:pPr>
            <w:proofErr w:type="spellStart"/>
            <w:r w:rsidRPr="001300A9">
              <w:rPr>
                <w:sz w:val="22"/>
                <w:szCs w:val="22"/>
              </w:rPr>
              <w:lastRenderedPageBreak/>
              <w:t>n.a</w:t>
            </w:r>
            <w:proofErr w:type="spellEnd"/>
            <w:r w:rsidRPr="001300A9">
              <w:rPr>
                <w:sz w:val="22"/>
                <w:szCs w:val="22"/>
              </w:rPr>
              <w:t>.</w:t>
            </w:r>
          </w:p>
        </w:tc>
        <w:tc>
          <w:tcPr>
            <w:tcW w:w="283" w:type="dxa"/>
          </w:tcPr>
          <w:p w14:paraId="6955F64E" w14:textId="77777777" w:rsidR="00357CEC" w:rsidRPr="001300A9" w:rsidRDefault="00357CEC" w:rsidP="00357CEC">
            <w:pPr>
              <w:pStyle w:val="Default"/>
              <w:rPr>
                <w:sz w:val="22"/>
                <w:szCs w:val="22"/>
              </w:rPr>
            </w:pPr>
          </w:p>
        </w:tc>
        <w:tc>
          <w:tcPr>
            <w:tcW w:w="567" w:type="dxa"/>
          </w:tcPr>
          <w:p w14:paraId="21D7077F" w14:textId="77777777" w:rsidR="00357CEC" w:rsidRPr="001300A9" w:rsidRDefault="00357CEC" w:rsidP="00357CEC">
            <w:pPr>
              <w:pStyle w:val="Default"/>
              <w:rPr>
                <w:sz w:val="22"/>
                <w:szCs w:val="22"/>
              </w:rPr>
            </w:pPr>
          </w:p>
        </w:tc>
        <w:tc>
          <w:tcPr>
            <w:tcW w:w="4253" w:type="dxa"/>
          </w:tcPr>
          <w:p w14:paraId="514761F6" w14:textId="77777777" w:rsidR="00357CEC" w:rsidRPr="001300A9" w:rsidRDefault="00357CEC" w:rsidP="00357CEC">
            <w:pPr>
              <w:pStyle w:val="Default"/>
              <w:rPr>
                <w:sz w:val="22"/>
                <w:szCs w:val="22"/>
              </w:rPr>
            </w:pPr>
          </w:p>
        </w:tc>
        <w:tc>
          <w:tcPr>
            <w:tcW w:w="567" w:type="dxa"/>
          </w:tcPr>
          <w:p w14:paraId="3A85F781" w14:textId="77777777" w:rsidR="00357CEC" w:rsidRPr="001300A9" w:rsidRDefault="00357CEC" w:rsidP="00357CEC">
            <w:pPr>
              <w:pStyle w:val="Default"/>
              <w:rPr>
                <w:sz w:val="22"/>
                <w:szCs w:val="22"/>
              </w:rPr>
            </w:pPr>
          </w:p>
        </w:tc>
        <w:tc>
          <w:tcPr>
            <w:tcW w:w="1276" w:type="dxa"/>
          </w:tcPr>
          <w:p w14:paraId="4074E13C" w14:textId="77777777" w:rsidR="00357CEC" w:rsidRPr="001300A9" w:rsidRDefault="00357CEC" w:rsidP="00357CEC">
            <w:pPr>
              <w:pStyle w:val="Default"/>
              <w:rPr>
                <w:sz w:val="22"/>
                <w:szCs w:val="22"/>
              </w:rPr>
            </w:pPr>
          </w:p>
        </w:tc>
        <w:tc>
          <w:tcPr>
            <w:tcW w:w="850" w:type="dxa"/>
          </w:tcPr>
          <w:p w14:paraId="5EF19EAD" w14:textId="77777777" w:rsidR="00357CEC" w:rsidRPr="001300A9" w:rsidRDefault="00357CEC" w:rsidP="00357CEC">
            <w:pPr>
              <w:pStyle w:val="Default"/>
              <w:rPr>
                <w:sz w:val="22"/>
                <w:szCs w:val="22"/>
              </w:rPr>
            </w:pPr>
          </w:p>
        </w:tc>
        <w:tc>
          <w:tcPr>
            <w:tcW w:w="815" w:type="dxa"/>
          </w:tcPr>
          <w:p w14:paraId="7661318E" w14:textId="77777777" w:rsidR="00357CEC" w:rsidRPr="001300A9" w:rsidRDefault="00357CEC" w:rsidP="00357CEC">
            <w:pPr>
              <w:pStyle w:val="Default"/>
              <w:rPr>
                <w:sz w:val="22"/>
                <w:szCs w:val="22"/>
              </w:rPr>
            </w:pPr>
          </w:p>
        </w:tc>
      </w:tr>
      <w:tr w:rsidR="00DD6EDC" w:rsidRPr="001300A9" w14:paraId="69A43296" w14:textId="77777777" w:rsidTr="360410BC">
        <w:tc>
          <w:tcPr>
            <w:tcW w:w="562" w:type="dxa"/>
          </w:tcPr>
          <w:p w14:paraId="4D4F7607" w14:textId="77777777" w:rsidR="00357CEC" w:rsidRPr="001300A9" w:rsidRDefault="00357CEC" w:rsidP="00357CEC">
            <w:pPr>
              <w:pStyle w:val="Default"/>
              <w:rPr>
                <w:sz w:val="22"/>
                <w:szCs w:val="22"/>
              </w:rPr>
            </w:pPr>
            <w:r w:rsidRPr="001300A9">
              <w:rPr>
                <w:sz w:val="22"/>
                <w:szCs w:val="22"/>
              </w:rPr>
              <w:t>Č: 1</w:t>
            </w:r>
          </w:p>
          <w:p w14:paraId="7C6FD816" w14:textId="77777777" w:rsidR="00357CEC" w:rsidRPr="001300A9" w:rsidRDefault="00357CEC" w:rsidP="00357CEC">
            <w:pPr>
              <w:pStyle w:val="Default"/>
              <w:rPr>
                <w:sz w:val="22"/>
                <w:szCs w:val="22"/>
              </w:rPr>
            </w:pPr>
            <w:r w:rsidRPr="001300A9">
              <w:rPr>
                <w:sz w:val="22"/>
                <w:szCs w:val="22"/>
              </w:rPr>
              <w:t>O: 12</w:t>
            </w:r>
          </w:p>
          <w:p w14:paraId="69C1B342" w14:textId="77777777" w:rsidR="00357CEC" w:rsidRPr="001300A9" w:rsidRDefault="00357CEC" w:rsidP="00357CEC">
            <w:pPr>
              <w:pStyle w:val="Default"/>
              <w:rPr>
                <w:sz w:val="22"/>
                <w:szCs w:val="22"/>
              </w:rPr>
            </w:pPr>
            <w:r w:rsidRPr="001300A9">
              <w:rPr>
                <w:sz w:val="22"/>
                <w:szCs w:val="22"/>
              </w:rPr>
              <w:t>P: k)</w:t>
            </w:r>
          </w:p>
        </w:tc>
        <w:tc>
          <w:tcPr>
            <w:tcW w:w="4820" w:type="dxa"/>
          </w:tcPr>
          <w:p w14:paraId="4706E123" w14:textId="77777777" w:rsidR="00357CEC" w:rsidRPr="001300A9" w:rsidRDefault="00357CEC" w:rsidP="00357CEC">
            <w:pPr>
              <w:pStyle w:val="Default"/>
              <w:rPr>
                <w:sz w:val="22"/>
                <w:szCs w:val="22"/>
              </w:rPr>
            </w:pPr>
            <w:r w:rsidRPr="001300A9">
              <w:rPr>
                <w:sz w:val="22"/>
                <w:szCs w:val="22"/>
              </w:rPr>
              <w:t>5. Komisia monitoruje fungovanie európskeho trhu s uhlíkom. Každoročne predkladá Európskemu parlamentu a Rade správu o fungovaní trhu s uhlíkom a iných relevantných politík v oblasti klímy a energetiky, ktorá obsahuje aj informácie o priebehu aukcií, likvidite a obchodovaných objemoch a súhrn informácií poskytnutých Európskym orgánom pre cenné papiere a trhy (ďalej len „ESMA“) v súlade s odsekom 6 tohto článku a informácií poskytnutých členskými štátmi o finančných opatreniach uvedených v článku 10a ods. 6. Členské štáty v prípade potreby zabezpečia, aby boli Komisii poskytnuté všetky relevantné informácie najneskôr dva mesiace pred tým, ako Komisia správu schváli.</w:t>
            </w:r>
          </w:p>
        </w:tc>
        <w:tc>
          <w:tcPr>
            <w:tcW w:w="567" w:type="dxa"/>
          </w:tcPr>
          <w:p w14:paraId="6DF7E6B6" w14:textId="77777777" w:rsidR="00357CEC" w:rsidRPr="001300A9" w:rsidRDefault="00357CEC" w:rsidP="00357CEC">
            <w:pPr>
              <w:pStyle w:val="Default"/>
              <w:rPr>
                <w:sz w:val="22"/>
                <w:szCs w:val="22"/>
              </w:rPr>
            </w:pPr>
            <w:proofErr w:type="spellStart"/>
            <w:r w:rsidRPr="001300A9">
              <w:rPr>
                <w:sz w:val="22"/>
                <w:szCs w:val="22"/>
              </w:rPr>
              <w:t>n.a</w:t>
            </w:r>
            <w:proofErr w:type="spellEnd"/>
            <w:r w:rsidRPr="001300A9">
              <w:rPr>
                <w:sz w:val="22"/>
                <w:szCs w:val="22"/>
              </w:rPr>
              <w:t>.</w:t>
            </w:r>
          </w:p>
        </w:tc>
        <w:tc>
          <w:tcPr>
            <w:tcW w:w="283" w:type="dxa"/>
          </w:tcPr>
          <w:p w14:paraId="5A5ABCA4" w14:textId="77777777" w:rsidR="00357CEC" w:rsidRPr="001300A9" w:rsidRDefault="00357CEC" w:rsidP="00357CEC">
            <w:pPr>
              <w:pStyle w:val="Default"/>
              <w:rPr>
                <w:sz w:val="22"/>
                <w:szCs w:val="22"/>
              </w:rPr>
            </w:pPr>
          </w:p>
        </w:tc>
        <w:tc>
          <w:tcPr>
            <w:tcW w:w="567" w:type="dxa"/>
          </w:tcPr>
          <w:p w14:paraId="6603C867" w14:textId="77777777" w:rsidR="00357CEC" w:rsidRPr="001300A9" w:rsidRDefault="00357CEC" w:rsidP="00357CEC">
            <w:pPr>
              <w:pStyle w:val="Default"/>
              <w:rPr>
                <w:sz w:val="22"/>
                <w:szCs w:val="22"/>
              </w:rPr>
            </w:pPr>
          </w:p>
        </w:tc>
        <w:tc>
          <w:tcPr>
            <w:tcW w:w="4253" w:type="dxa"/>
          </w:tcPr>
          <w:p w14:paraId="3A2BF5AE" w14:textId="77777777" w:rsidR="00357CEC" w:rsidRPr="001300A9" w:rsidRDefault="00357CEC" w:rsidP="00357CEC">
            <w:pPr>
              <w:pStyle w:val="Default"/>
              <w:rPr>
                <w:sz w:val="22"/>
                <w:szCs w:val="22"/>
              </w:rPr>
            </w:pPr>
          </w:p>
        </w:tc>
        <w:tc>
          <w:tcPr>
            <w:tcW w:w="567" w:type="dxa"/>
          </w:tcPr>
          <w:p w14:paraId="437CDB05" w14:textId="77777777" w:rsidR="00357CEC" w:rsidRPr="001300A9" w:rsidRDefault="00357CEC" w:rsidP="00357CEC">
            <w:pPr>
              <w:pStyle w:val="Default"/>
              <w:rPr>
                <w:sz w:val="22"/>
                <w:szCs w:val="22"/>
              </w:rPr>
            </w:pPr>
          </w:p>
        </w:tc>
        <w:tc>
          <w:tcPr>
            <w:tcW w:w="1276" w:type="dxa"/>
          </w:tcPr>
          <w:p w14:paraId="27EB1B3F" w14:textId="77777777" w:rsidR="00357CEC" w:rsidRPr="001300A9" w:rsidRDefault="00357CEC" w:rsidP="00357CEC">
            <w:pPr>
              <w:pStyle w:val="Default"/>
              <w:rPr>
                <w:sz w:val="22"/>
                <w:szCs w:val="22"/>
              </w:rPr>
            </w:pPr>
          </w:p>
        </w:tc>
        <w:tc>
          <w:tcPr>
            <w:tcW w:w="850" w:type="dxa"/>
          </w:tcPr>
          <w:p w14:paraId="0180FDDB" w14:textId="77777777" w:rsidR="00357CEC" w:rsidRPr="001300A9" w:rsidRDefault="00357CEC" w:rsidP="00357CEC">
            <w:pPr>
              <w:pStyle w:val="Default"/>
              <w:rPr>
                <w:sz w:val="22"/>
                <w:szCs w:val="22"/>
              </w:rPr>
            </w:pPr>
          </w:p>
        </w:tc>
        <w:tc>
          <w:tcPr>
            <w:tcW w:w="815" w:type="dxa"/>
          </w:tcPr>
          <w:p w14:paraId="4C97765A" w14:textId="77777777" w:rsidR="00357CEC" w:rsidRPr="001300A9" w:rsidRDefault="00357CEC" w:rsidP="00357CEC">
            <w:pPr>
              <w:pStyle w:val="Default"/>
              <w:rPr>
                <w:sz w:val="22"/>
                <w:szCs w:val="22"/>
              </w:rPr>
            </w:pPr>
          </w:p>
        </w:tc>
      </w:tr>
      <w:tr w:rsidR="00DD6EDC" w:rsidRPr="001300A9" w14:paraId="7CEBAFB4" w14:textId="77777777" w:rsidTr="360410BC">
        <w:tc>
          <w:tcPr>
            <w:tcW w:w="562" w:type="dxa"/>
          </w:tcPr>
          <w:p w14:paraId="5B358C44" w14:textId="77777777" w:rsidR="00357CEC" w:rsidRPr="001300A9" w:rsidRDefault="00357CEC" w:rsidP="00357CEC">
            <w:pPr>
              <w:pStyle w:val="Default"/>
              <w:rPr>
                <w:sz w:val="22"/>
                <w:szCs w:val="22"/>
              </w:rPr>
            </w:pPr>
            <w:r w:rsidRPr="001300A9">
              <w:rPr>
                <w:sz w:val="22"/>
                <w:szCs w:val="22"/>
              </w:rPr>
              <w:t>Č: 1</w:t>
            </w:r>
          </w:p>
          <w:p w14:paraId="3052FC7F" w14:textId="77777777" w:rsidR="00357CEC" w:rsidRPr="001300A9" w:rsidRDefault="00357CEC" w:rsidP="00357CEC">
            <w:pPr>
              <w:pStyle w:val="Default"/>
              <w:rPr>
                <w:sz w:val="22"/>
                <w:szCs w:val="22"/>
              </w:rPr>
            </w:pPr>
            <w:r w:rsidRPr="001300A9">
              <w:rPr>
                <w:sz w:val="22"/>
                <w:szCs w:val="22"/>
              </w:rPr>
              <w:t>O: 12</w:t>
            </w:r>
          </w:p>
          <w:p w14:paraId="7AAD6E46" w14:textId="77777777" w:rsidR="00357CEC" w:rsidRPr="001300A9" w:rsidRDefault="00357CEC" w:rsidP="00357CEC">
            <w:pPr>
              <w:pStyle w:val="Default"/>
              <w:rPr>
                <w:sz w:val="22"/>
                <w:szCs w:val="22"/>
              </w:rPr>
            </w:pPr>
            <w:r w:rsidRPr="001300A9">
              <w:rPr>
                <w:sz w:val="22"/>
                <w:szCs w:val="22"/>
              </w:rPr>
              <w:t>P: l)</w:t>
            </w:r>
          </w:p>
        </w:tc>
        <w:tc>
          <w:tcPr>
            <w:tcW w:w="4820" w:type="dxa"/>
          </w:tcPr>
          <w:p w14:paraId="6A6C60F9" w14:textId="77777777" w:rsidR="00357CEC" w:rsidRPr="001300A9" w:rsidRDefault="00357CEC" w:rsidP="00357CEC">
            <w:pPr>
              <w:pStyle w:val="Default"/>
              <w:rPr>
                <w:sz w:val="22"/>
                <w:szCs w:val="22"/>
              </w:rPr>
            </w:pPr>
            <w:r w:rsidRPr="001300A9">
              <w:rPr>
                <w:sz w:val="22"/>
                <w:szCs w:val="22"/>
              </w:rPr>
              <w:t xml:space="preserve">6. Orgán ESMA pravidelne monitoruje integritu a transparentnosť európskeho trhu s uhlíkom, najmä pokiaľ ide o </w:t>
            </w:r>
            <w:proofErr w:type="spellStart"/>
            <w:r w:rsidRPr="001300A9">
              <w:rPr>
                <w:sz w:val="22"/>
                <w:szCs w:val="22"/>
              </w:rPr>
              <w:t>volatilitu</w:t>
            </w:r>
            <w:proofErr w:type="spellEnd"/>
            <w:r w:rsidRPr="001300A9">
              <w:rPr>
                <w:sz w:val="22"/>
                <w:szCs w:val="22"/>
              </w:rPr>
              <w:t xml:space="preserve"> trhu a vývoj cien, fungovanie aukcií, obchodné operácie na trhu s emisnými kvótami a ich derivátmi vrátane mimoburzového obchodovania, likvidity a obchodovaných objemov, ako aj kategórie a obchodné správanie účastníkov trhu vrátane pozícií finančných sprostredkovateľov. </w:t>
            </w:r>
            <w:r w:rsidRPr="001300A9">
              <w:rPr>
                <w:sz w:val="22"/>
                <w:szCs w:val="22"/>
              </w:rPr>
              <w:lastRenderedPageBreak/>
              <w:t>Orgán ESMA zahrnie relevantné zistenia a podľa potreby poskytne odporúčania vo svojich posúdeniach pre Európsky parlament, Radu, Komisiu a Európsky výbor pre systémové riziká v súlade s článkom 32 ods. 3 nariadenia Európskeho parlamentu a Rady (EÚ) č. 1095/2010*. Na účely plnenia úloh uvedených v prvej vete tohto odseku orgán ESMA a relevantné príslušné orgány spolupracujú a vymieňajú si podrobné informácie o všetkých druhoch transakcií v súlade s článkom 25 nariadenia Európskeho parlamentu a Rady (EÚ) č. 596/2014**.</w:t>
            </w:r>
          </w:p>
          <w:p w14:paraId="5AD11FE0" w14:textId="77777777" w:rsidR="00357CEC" w:rsidRPr="001300A9" w:rsidRDefault="00357CEC" w:rsidP="00357CEC">
            <w:pPr>
              <w:pStyle w:val="Default"/>
              <w:rPr>
                <w:sz w:val="22"/>
                <w:szCs w:val="22"/>
              </w:rPr>
            </w:pPr>
          </w:p>
          <w:p w14:paraId="23C0B20A" w14:textId="77777777" w:rsidR="00357CEC" w:rsidRPr="001300A9" w:rsidRDefault="00357CEC" w:rsidP="00357CEC">
            <w:pPr>
              <w:pStyle w:val="Default"/>
              <w:rPr>
                <w:sz w:val="22"/>
                <w:szCs w:val="22"/>
              </w:rPr>
            </w:pPr>
            <w:r w:rsidRPr="001300A9">
              <w:rPr>
                <w:sz w:val="22"/>
                <w:szCs w:val="22"/>
              </w:rPr>
              <w:t>* Nariadenie Európskeho parlamentu a Rady (EÚ) č. 1095/2010 z 24. novembra 2010, ktorým sa zriaďuje Európsky orgán dohľadu (Európsky orgán pre cenné papiere a trhy) a ktorým sa mení a dopĺňa rozhodnutie č. 716/2009/ES a zrušuje rozhodnutie Komisie 2009/77/ES (Ú. v. EÚ L 331, 15.12.2010, s. 84).</w:t>
            </w:r>
          </w:p>
          <w:p w14:paraId="327ADF0F" w14:textId="77777777" w:rsidR="00357CEC" w:rsidRPr="001300A9" w:rsidRDefault="00357CEC" w:rsidP="00357CEC">
            <w:pPr>
              <w:pStyle w:val="Default"/>
              <w:rPr>
                <w:sz w:val="22"/>
                <w:szCs w:val="22"/>
              </w:rPr>
            </w:pPr>
            <w:r w:rsidRPr="001300A9">
              <w:rPr>
                <w:sz w:val="22"/>
                <w:szCs w:val="22"/>
              </w:rPr>
              <w:t>** Nariadenie Európskeho parlamentu a Rady (EÚ) č. 596/2014 zo 16. apríla 2014 o zneužívaní trhu (nariadenie o zneužívaní trhu) a o zrušení smernice Európskeho parlamentu a Rady 2003/6/ES a smerníc Komisie 2003/124/ES, 2003/125/ES a 2004/72/ES (Ú. v. EÚ L 173, 12.6.2014, s. 1).“</w:t>
            </w:r>
          </w:p>
        </w:tc>
        <w:tc>
          <w:tcPr>
            <w:tcW w:w="567" w:type="dxa"/>
          </w:tcPr>
          <w:p w14:paraId="2ECC097C" w14:textId="77777777" w:rsidR="00357CEC" w:rsidRPr="001300A9" w:rsidRDefault="00357CEC" w:rsidP="00357CEC">
            <w:pPr>
              <w:pStyle w:val="Default"/>
              <w:rPr>
                <w:sz w:val="22"/>
                <w:szCs w:val="22"/>
              </w:rPr>
            </w:pPr>
            <w:proofErr w:type="spellStart"/>
            <w:r w:rsidRPr="001300A9">
              <w:rPr>
                <w:sz w:val="22"/>
                <w:szCs w:val="22"/>
              </w:rPr>
              <w:lastRenderedPageBreak/>
              <w:t>n.a</w:t>
            </w:r>
            <w:proofErr w:type="spellEnd"/>
            <w:r w:rsidRPr="001300A9">
              <w:rPr>
                <w:sz w:val="22"/>
                <w:szCs w:val="22"/>
              </w:rPr>
              <w:t>.</w:t>
            </w:r>
          </w:p>
        </w:tc>
        <w:tc>
          <w:tcPr>
            <w:tcW w:w="283" w:type="dxa"/>
          </w:tcPr>
          <w:p w14:paraId="64949503" w14:textId="77777777" w:rsidR="00357CEC" w:rsidRPr="001300A9" w:rsidRDefault="00357CEC" w:rsidP="00357CEC">
            <w:pPr>
              <w:pStyle w:val="Default"/>
              <w:rPr>
                <w:sz w:val="22"/>
                <w:szCs w:val="22"/>
              </w:rPr>
            </w:pPr>
          </w:p>
        </w:tc>
        <w:tc>
          <w:tcPr>
            <w:tcW w:w="567" w:type="dxa"/>
          </w:tcPr>
          <w:p w14:paraId="3325926C" w14:textId="77777777" w:rsidR="00357CEC" w:rsidRPr="001300A9" w:rsidRDefault="00357CEC" w:rsidP="00357CEC">
            <w:pPr>
              <w:pStyle w:val="Default"/>
              <w:rPr>
                <w:sz w:val="22"/>
                <w:szCs w:val="22"/>
              </w:rPr>
            </w:pPr>
          </w:p>
        </w:tc>
        <w:tc>
          <w:tcPr>
            <w:tcW w:w="4253" w:type="dxa"/>
          </w:tcPr>
          <w:p w14:paraId="436EF627" w14:textId="77777777" w:rsidR="00357CEC" w:rsidRPr="001300A9" w:rsidRDefault="00357CEC" w:rsidP="00357CEC">
            <w:pPr>
              <w:pStyle w:val="Default"/>
              <w:rPr>
                <w:sz w:val="22"/>
                <w:szCs w:val="22"/>
              </w:rPr>
            </w:pPr>
          </w:p>
        </w:tc>
        <w:tc>
          <w:tcPr>
            <w:tcW w:w="567" w:type="dxa"/>
          </w:tcPr>
          <w:p w14:paraId="12E6037F" w14:textId="77777777" w:rsidR="00357CEC" w:rsidRPr="001300A9" w:rsidRDefault="00357CEC" w:rsidP="00357CEC">
            <w:pPr>
              <w:pStyle w:val="Default"/>
              <w:rPr>
                <w:sz w:val="22"/>
                <w:szCs w:val="22"/>
              </w:rPr>
            </w:pPr>
          </w:p>
        </w:tc>
        <w:tc>
          <w:tcPr>
            <w:tcW w:w="1276" w:type="dxa"/>
          </w:tcPr>
          <w:p w14:paraId="1D20E400" w14:textId="77777777" w:rsidR="00357CEC" w:rsidRPr="001300A9" w:rsidRDefault="00357CEC" w:rsidP="00357CEC">
            <w:pPr>
              <w:pStyle w:val="Default"/>
              <w:rPr>
                <w:sz w:val="22"/>
                <w:szCs w:val="22"/>
              </w:rPr>
            </w:pPr>
          </w:p>
        </w:tc>
        <w:tc>
          <w:tcPr>
            <w:tcW w:w="850" w:type="dxa"/>
          </w:tcPr>
          <w:p w14:paraId="11D784B5" w14:textId="77777777" w:rsidR="00357CEC" w:rsidRPr="001300A9" w:rsidRDefault="00357CEC" w:rsidP="00357CEC">
            <w:pPr>
              <w:pStyle w:val="Default"/>
              <w:rPr>
                <w:sz w:val="22"/>
                <w:szCs w:val="22"/>
              </w:rPr>
            </w:pPr>
          </w:p>
        </w:tc>
        <w:tc>
          <w:tcPr>
            <w:tcW w:w="815" w:type="dxa"/>
          </w:tcPr>
          <w:p w14:paraId="140AC9C8" w14:textId="77777777" w:rsidR="00357CEC" w:rsidRPr="001300A9" w:rsidRDefault="00357CEC" w:rsidP="00357CEC">
            <w:pPr>
              <w:pStyle w:val="Default"/>
              <w:rPr>
                <w:sz w:val="22"/>
                <w:szCs w:val="22"/>
              </w:rPr>
            </w:pPr>
          </w:p>
        </w:tc>
      </w:tr>
      <w:tr w:rsidR="00DD6EDC" w:rsidRPr="001300A9" w14:paraId="228D1F06" w14:textId="77777777" w:rsidTr="360410BC">
        <w:tc>
          <w:tcPr>
            <w:tcW w:w="562" w:type="dxa"/>
          </w:tcPr>
          <w:p w14:paraId="78C0997A" w14:textId="77777777" w:rsidR="00357CEC" w:rsidRPr="001300A9" w:rsidRDefault="00357CEC" w:rsidP="00357CEC">
            <w:pPr>
              <w:pStyle w:val="Default"/>
              <w:rPr>
                <w:sz w:val="22"/>
                <w:szCs w:val="22"/>
              </w:rPr>
            </w:pPr>
            <w:r w:rsidRPr="001300A9">
              <w:rPr>
                <w:sz w:val="22"/>
                <w:szCs w:val="22"/>
              </w:rPr>
              <w:t>Č: 1</w:t>
            </w:r>
          </w:p>
          <w:p w14:paraId="0FCCDEBA" w14:textId="77777777" w:rsidR="00357CEC" w:rsidRPr="001300A9" w:rsidRDefault="00357CEC" w:rsidP="00357CEC">
            <w:pPr>
              <w:pStyle w:val="Default"/>
              <w:rPr>
                <w:sz w:val="22"/>
                <w:szCs w:val="22"/>
              </w:rPr>
            </w:pPr>
            <w:r w:rsidRPr="001300A9">
              <w:rPr>
                <w:sz w:val="22"/>
                <w:szCs w:val="22"/>
              </w:rPr>
              <w:t>O: 13</w:t>
            </w:r>
          </w:p>
          <w:p w14:paraId="41892D5C" w14:textId="77777777" w:rsidR="00357CEC" w:rsidRPr="001300A9" w:rsidRDefault="00357CEC" w:rsidP="00357CEC">
            <w:pPr>
              <w:pStyle w:val="Default"/>
              <w:rPr>
                <w:sz w:val="22"/>
                <w:szCs w:val="22"/>
              </w:rPr>
            </w:pPr>
            <w:r w:rsidRPr="001300A9">
              <w:rPr>
                <w:sz w:val="22"/>
                <w:szCs w:val="22"/>
              </w:rPr>
              <w:t>P: a) i)</w:t>
            </w:r>
          </w:p>
        </w:tc>
        <w:tc>
          <w:tcPr>
            <w:tcW w:w="4820" w:type="dxa"/>
          </w:tcPr>
          <w:p w14:paraId="469DE735" w14:textId="77777777" w:rsidR="00357CEC" w:rsidRPr="001300A9" w:rsidRDefault="00357CEC" w:rsidP="00357CEC">
            <w:pPr>
              <w:pStyle w:val="Default"/>
              <w:rPr>
                <w:sz w:val="22"/>
                <w:szCs w:val="22"/>
              </w:rPr>
            </w:pPr>
            <w:r w:rsidRPr="001300A9">
              <w:rPr>
                <w:sz w:val="22"/>
                <w:szCs w:val="22"/>
              </w:rPr>
              <w:t xml:space="preserve">Ak sa na zariadenie vzťahuje povinnosť vykonávať energetický audit alebo zaviesť certifikovaný systém energetického manažérstva podľa článku 8 smernice Európskeho parlamentu a Rady 2012/27/EÚ* a ak sa nevykonajú odporúčania uvedené v správe o audite alebo odporúčania podľa certifikovaného systému energetického manažérstva, pokiaľ čas návratnosti príslušných investícií </w:t>
            </w:r>
            <w:r w:rsidRPr="001300A9">
              <w:rPr>
                <w:sz w:val="22"/>
                <w:szCs w:val="22"/>
              </w:rPr>
              <w:lastRenderedPageBreak/>
              <w:t>nepresiahne tri roky alebo ak náklady na tieto investície nie sú neprimerané, množstvo bezodplatne pridelených kvót sa zníži o 20 %. Množstvo bezodplatne pridelených kvót sa nezníži, ak prevádzkovateľ preukáže, že vykonal iné opatrenia vedúce k zníženiu emisií skleníkových plynov, ktoré sú rovnocenné s opatreniami odporúčanými v správe o audite alebo podľa certifikovaného systému energetického manažérstva pre dotknuté zariadenie.</w:t>
            </w:r>
          </w:p>
          <w:p w14:paraId="32BBAC5A" w14:textId="77777777" w:rsidR="00357CEC" w:rsidRPr="001300A9" w:rsidRDefault="00357CEC" w:rsidP="00357CEC">
            <w:pPr>
              <w:pStyle w:val="Default"/>
              <w:rPr>
                <w:sz w:val="22"/>
                <w:szCs w:val="22"/>
              </w:rPr>
            </w:pPr>
          </w:p>
          <w:p w14:paraId="2F1FEE2F" w14:textId="77777777" w:rsidR="00106F39" w:rsidRDefault="00106F39" w:rsidP="00357CEC">
            <w:pPr>
              <w:pStyle w:val="Default"/>
              <w:rPr>
                <w:sz w:val="22"/>
                <w:szCs w:val="22"/>
              </w:rPr>
            </w:pPr>
          </w:p>
          <w:p w14:paraId="09CD3766" w14:textId="77777777" w:rsidR="00106F39" w:rsidRDefault="00106F39" w:rsidP="00357CEC">
            <w:pPr>
              <w:pStyle w:val="Default"/>
              <w:rPr>
                <w:sz w:val="22"/>
                <w:szCs w:val="22"/>
              </w:rPr>
            </w:pPr>
          </w:p>
          <w:p w14:paraId="59D91DC8" w14:textId="77777777" w:rsidR="00106F39" w:rsidRDefault="00106F39" w:rsidP="00357CEC">
            <w:pPr>
              <w:pStyle w:val="Default"/>
              <w:rPr>
                <w:sz w:val="22"/>
                <w:szCs w:val="22"/>
              </w:rPr>
            </w:pPr>
          </w:p>
          <w:p w14:paraId="5055CACE" w14:textId="77777777" w:rsidR="00106F39" w:rsidRDefault="00106F39" w:rsidP="00357CEC">
            <w:pPr>
              <w:pStyle w:val="Default"/>
              <w:rPr>
                <w:sz w:val="22"/>
                <w:szCs w:val="22"/>
              </w:rPr>
            </w:pPr>
          </w:p>
          <w:p w14:paraId="173DABDE" w14:textId="77777777" w:rsidR="00106F39" w:rsidRDefault="00106F39" w:rsidP="00357CEC">
            <w:pPr>
              <w:pStyle w:val="Default"/>
              <w:rPr>
                <w:sz w:val="22"/>
                <w:szCs w:val="22"/>
              </w:rPr>
            </w:pPr>
          </w:p>
          <w:p w14:paraId="29F13048" w14:textId="77777777" w:rsidR="00106F39" w:rsidRDefault="00106F39" w:rsidP="00357CEC">
            <w:pPr>
              <w:pStyle w:val="Default"/>
              <w:rPr>
                <w:sz w:val="22"/>
                <w:szCs w:val="22"/>
              </w:rPr>
            </w:pPr>
          </w:p>
          <w:p w14:paraId="3FED1BCC" w14:textId="77777777" w:rsidR="00106F39" w:rsidRDefault="00106F39" w:rsidP="00357CEC">
            <w:pPr>
              <w:pStyle w:val="Default"/>
              <w:rPr>
                <w:sz w:val="22"/>
                <w:szCs w:val="22"/>
              </w:rPr>
            </w:pPr>
          </w:p>
          <w:p w14:paraId="4E9C11D4" w14:textId="77777777" w:rsidR="00106F39" w:rsidRDefault="00106F39" w:rsidP="00357CEC">
            <w:pPr>
              <w:pStyle w:val="Default"/>
              <w:rPr>
                <w:sz w:val="22"/>
                <w:szCs w:val="22"/>
              </w:rPr>
            </w:pPr>
          </w:p>
          <w:p w14:paraId="3B23D444" w14:textId="77777777" w:rsidR="00106F39" w:rsidRDefault="00106F39" w:rsidP="00357CEC">
            <w:pPr>
              <w:pStyle w:val="Default"/>
              <w:rPr>
                <w:sz w:val="22"/>
                <w:szCs w:val="22"/>
              </w:rPr>
            </w:pPr>
          </w:p>
          <w:p w14:paraId="691B24C6" w14:textId="77777777" w:rsidR="00106F39" w:rsidRDefault="00106F39" w:rsidP="00357CEC">
            <w:pPr>
              <w:pStyle w:val="Default"/>
              <w:rPr>
                <w:sz w:val="22"/>
                <w:szCs w:val="22"/>
              </w:rPr>
            </w:pPr>
          </w:p>
          <w:p w14:paraId="395FBCA6" w14:textId="77777777" w:rsidR="00106F39" w:rsidRDefault="00106F39" w:rsidP="00357CEC">
            <w:pPr>
              <w:pStyle w:val="Default"/>
              <w:rPr>
                <w:sz w:val="22"/>
                <w:szCs w:val="22"/>
              </w:rPr>
            </w:pPr>
          </w:p>
          <w:p w14:paraId="0C3A6F12" w14:textId="77777777" w:rsidR="00106F39" w:rsidRDefault="00106F39" w:rsidP="00357CEC">
            <w:pPr>
              <w:pStyle w:val="Default"/>
              <w:rPr>
                <w:sz w:val="22"/>
                <w:szCs w:val="22"/>
              </w:rPr>
            </w:pPr>
          </w:p>
          <w:p w14:paraId="46C329F4" w14:textId="77777777" w:rsidR="00106F39" w:rsidRDefault="00106F39" w:rsidP="00357CEC">
            <w:pPr>
              <w:pStyle w:val="Default"/>
              <w:rPr>
                <w:sz w:val="22"/>
                <w:szCs w:val="22"/>
              </w:rPr>
            </w:pPr>
          </w:p>
          <w:p w14:paraId="0E2F2945" w14:textId="77777777" w:rsidR="00106F39" w:rsidRDefault="00106F39" w:rsidP="00357CEC">
            <w:pPr>
              <w:pStyle w:val="Default"/>
              <w:rPr>
                <w:sz w:val="22"/>
                <w:szCs w:val="22"/>
              </w:rPr>
            </w:pPr>
          </w:p>
          <w:p w14:paraId="6CC950D1" w14:textId="77777777" w:rsidR="00106F39" w:rsidRDefault="00106F39" w:rsidP="00357CEC">
            <w:pPr>
              <w:pStyle w:val="Default"/>
              <w:rPr>
                <w:sz w:val="22"/>
                <w:szCs w:val="22"/>
              </w:rPr>
            </w:pPr>
          </w:p>
          <w:p w14:paraId="456F40A7" w14:textId="77777777" w:rsidR="00106F39" w:rsidRDefault="00106F39" w:rsidP="00357CEC">
            <w:pPr>
              <w:pStyle w:val="Default"/>
              <w:rPr>
                <w:sz w:val="22"/>
                <w:szCs w:val="22"/>
              </w:rPr>
            </w:pPr>
          </w:p>
          <w:p w14:paraId="7EBBD863" w14:textId="77777777" w:rsidR="00106F39" w:rsidRDefault="00106F39" w:rsidP="00357CEC">
            <w:pPr>
              <w:pStyle w:val="Default"/>
              <w:rPr>
                <w:sz w:val="22"/>
                <w:szCs w:val="22"/>
              </w:rPr>
            </w:pPr>
          </w:p>
          <w:p w14:paraId="6F024CB1" w14:textId="77777777" w:rsidR="00106F39" w:rsidRDefault="00106F39" w:rsidP="00357CEC">
            <w:pPr>
              <w:pStyle w:val="Default"/>
              <w:rPr>
                <w:sz w:val="22"/>
                <w:szCs w:val="22"/>
              </w:rPr>
            </w:pPr>
          </w:p>
          <w:p w14:paraId="633B7833" w14:textId="77777777" w:rsidR="00106F39" w:rsidRDefault="00106F39" w:rsidP="00357CEC">
            <w:pPr>
              <w:pStyle w:val="Default"/>
              <w:rPr>
                <w:sz w:val="22"/>
                <w:szCs w:val="22"/>
              </w:rPr>
            </w:pPr>
          </w:p>
          <w:p w14:paraId="59415B03" w14:textId="77777777" w:rsidR="00106F39" w:rsidRDefault="00106F39" w:rsidP="00357CEC">
            <w:pPr>
              <w:pStyle w:val="Default"/>
              <w:rPr>
                <w:sz w:val="22"/>
                <w:szCs w:val="22"/>
              </w:rPr>
            </w:pPr>
          </w:p>
          <w:p w14:paraId="244AAE6D" w14:textId="77777777" w:rsidR="00106F39" w:rsidRDefault="00106F39" w:rsidP="00357CEC">
            <w:pPr>
              <w:pStyle w:val="Default"/>
              <w:rPr>
                <w:sz w:val="22"/>
                <w:szCs w:val="22"/>
              </w:rPr>
            </w:pPr>
          </w:p>
          <w:p w14:paraId="37D98443" w14:textId="77777777" w:rsidR="00106F39" w:rsidRDefault="00106F39" w:rsidP="00357CEC">
            <w:pPr>
              <w:pStyle w:val="Default"/>
              <w:rPr>
                <w:sz w:val="22"/>
                <w:szCs w:val="22"/>
              </w:rPr>
            </w:pPr>
          </w:p>
          <w:p w14:paraId="45EEDD92" w14:textId="77777777" w:rsidR="00106F39" w:rsidRDefault="00106F39" w:rsidP="00357CEC">
            <w:pPr>
              <w:pStyle w:val="Default"/>
              <w:rPr>
                <w:sz w:val="22"/>
                <w:szCs w:val="22"/>
              </w:rPr>
            </w:pPr>
          </w:p>
          <w:p w14:paraId="433F1EDC" w14:textId="77777777" w:rsidR="00106F39" w:rsidRDefault="00106F39" w:rsidP="00357CEC">
            <w:pPr>
              <w:pStyle w:val="Default"/>
              <w:rPr>
                <w:sz w:val="22"/>
                <w:szCs w:val="22"/>
              </w:rPr>
            </w:pPr>
          </w:p>
          <w:p w14:paraId="47F58B97" w14:textId="02558EAD" w:rsidR="00106F39" w:rsidRDefault="00106F39" w:rsidP="00357CEC">
            <w:pPr>
              <w:pStyle w:val="Default"/>
              <w:rPr>
                <w:sz w:val="22"/>
                <w:szCs w:val="22"/>
              </w:rPr>
            </w:pPr>
          </w:p>
          <w:p w14:paraId="64CFD933" w14:textId="3004EC9A" w:rsidR="00357CEC" w:rsidRPr="001300A9" w:rsidRDefault="00357CEC" w:rsidP="00357CEC">
            <w:pPr>
              <w:pStyle w:val="Default"/>
              <w:rPr>
                <w:sz w:val="22"/>
                <w:szCs w:val="22"/>
              </w:rPr>
            </w:pPr>
            <w:r w:rsidRPr="001300A9">
              <w:rPr>
                <w:sz w:val="22"/>
                <w:szCs w:val="22"/>
              </w:rPr>
              <w:lastRenderedPageBreak/>
              <w:t xml:space="preserve">Komisia doplní túto smernicu tým, že v delegovaných aktoch prijatých podľa tohto odseku a bez toho, aby boli dotknuté pravidlá uplatniteľné podľa smernice 2012/27/EÚ, stanoví administratívne jednoduché harmonizované pravidlá uplatňovania tretieho </w:t>
            </w:r>
            <w:proofErr w:type="spellStart"/>
            <w:r w:rsidRPr="001300A9">
              <w:rPr>
                <w:sz w:val="22"/>
                <w:szCs w:val="22"/>
              </w:rPr>
              <w:t>pododseku</w:t>
            </w:r>
            <w:proofErr w:type="spellEnd"/>
            <w:r w:rsidRPr="001300A9">
              <w:rPr>
                <w:sz w:val="22"/>
                <w:szCs w:val="22"/>
              </w:rPr>
              <w:t xml:space="preserve"> tohto odseku, ktorými sa zabezpečí, aby uplatňovanie </w:t>
            </w:r>
            <w:proofErr w:type="spellStart"/>
            <w:r w:rsidRPr="001300A9">
              <w:rPr>
                <w:sz w:val="22"/>
                <w:szCs w:val="22"/>
              </w:rPr>
              <w:t>kondicionality</w:t>
            </w:r>
            <w:proofErr w:type="spellEnd"/>
            <w:r w:rsidRPr="001300A9">
              <w:rPr>
                <w:sz w:val="22"/>
                <w:szCs w:val="22"/>
              </w:rPr>
              <w:t xml:space="preserve"> neohrozovalo rovnaké podmienky, environmentálnu integritu alebo rovnaké zaobchádzanie so zariadeniami v celej Únii. V týchto harmonizovaných pravidlách sa stanovia najmä lehoty, kritériá uznávania vykonaných opatrení energetickej efektívnosti, ako aj alternatívnych opatrení na zníženie emisií skleníkových plynov, pričom sa použije postup pre vnútroštátne vykonávacie opatrenia v súlade s článkom 11 ods. 1 tejto smernice.</w:t>
            </w:r>
          </w:p>
          <w:p w14:paraId="14CC77EF" w14:textId="77777777" w:rsidR="00357CEC" w:rsidRPr="001300A9" w:rsidRDefault="00357CEC" w:rsidP="00357CEC">
            <w:pPr>
              <w:pStyle w:val="Default"/>
              <w:rPr>
                <w:sz w:val="22"/>
                <w:szCs w:val="22"/>
              </w:rPr>
            </w:pPr>
          </w:p>
          <w:p w14:paraId="6FD09EFE" w14:textId="66D55325" w:rsidR="00106F39" w:rsidRDefault="00106F39" w:rsidP="00357CEC">
            <w:pPr>
              <w:pStyle w:val="Default"/>
              <w:rPr>
                <w:sz w:val="22"/>
                <w:szCs w:val="22"/>
              </w:rPr>
            </w:pPr>
          </w:p>
          <w:p w14:paraId="0321CFB7" w14:textId="1A349F51" w:rsidR="00357CEC" w:rsidRPr="001300A9" w:rsidRDefault="00357CEC" w:rsidP="00357CEC">
            <w:pPr>
              <w:pStyle w:val="Default"/>
              <w:rPr>
                <w:sz w:val="22"/>
                <w:szCs w:val="22"/>
              </w:rPr>
            </w:pPr>
            <w:r w:rsidRPr="001300A9">
              <w:rPr>
                <w:sz w:val="22"/>
                <w:szCs w:val="22"/>
              </w:rPr>
              <w:t xml:space="preserve">Okrem požiadaviek stanovených v treťom </w:t>
            </w:r>
            <w:proofErr w:type="spellStart"/>
            <w:r w:rsidRPr="001300A9">
              <w:rPr>
                <w:sz w:val="22"/>
                <w:szCs w:val="22"/>
              </w:rPr>
              <w:t>pododseku</w:t>
            </w:r>
            <w:proofErr w:type="spellEnd"/>
            <w:r w:rsidRPr="001300A9">
              <w:rPr>
                <w:sz w:val="22"/>
                <w:szCs w:val="22"/>
              </w:rPr>
              <w:t xml:space="preserve"> tohto odseku sa zníženie o 20 % uvedené v danom </w:t>
            </w:r>
            <w:proofErr w:type="spellStart"/>
            <w:r w:rsidRPr="001300A9">
              <w:rPr>
                <w:sz w:val="22"/>
                <w:szCs w:val="22"/>
              </w:rPr>
              <w:t>pododseku</w:t>
            </w:r>
            <w:proofErr w:type="spellEnd"/>
            <w:r w:rsidRPr="001300A9">
              <w:rPr>
                <w:sz w:val="22"/>
                <w:szCs w:val="22"/>
              </w:rPr>
              <w:t xml:space="preserve"> uplatní, ak do 1. mája 2024 prevádzkovatelia zariadení, ktorých úrovne emisií skleníkových plynov sú vyššie ako 80. </w:t>
            </w:r>
            <w:proofErr w:type="spellStart"/>
            <w:r w:rsidRPr="001300A9">
              <w:rPr>
                <w:sz w:val="22"/>
                <w:szCs w:val="22"/>
              </w:rPr>
              <w:t>percentil</w:t>
            </w:r>
            <w:proofErr w:type="spellEnd"/>
            <w:r w:rsidRPr="001300A9">
              <w:rPr>
                <w:sz w:val="22"/>
                <w:szCs w:val="22"/>
              </w:rPr>
              <w:t xml:space="preserve"> úrovní emisií pre príslušné referenčné hodnoty týkajúce sa produktov, nevypracovali plán klimatickej neutrality pre každé z týchto zariadení v súvislosti s jeho činnosťami, na ktoré sa vzťahuje táto smernica. Tento plán musí obsahovať prvky uvedené v článku 10b ods. 4 a musí sa vypracovať v súlade s vykonávacími aktmi stanovenými v uvedenom článku. Článok 10b ods. 4 sa vykladá tak, že sa vzťahuje len na úroveň zariadenia. Dosiahnutie cieľov a čiastkových cieľov uvedených v článku 10b ods. 4 treťom </w:t>
            </w:r>
            <w:proofErr w:type="spellStart"/>
            <w:r w:rsidRPr="001300A9">
              <w:rPr>
                <w:sz w:val="22"/>
                <w:szCs w:val="22"/>
              </w:rPr>
              <w:t>pododseku</w:t>
            </w:r>
            <w:proofErr w:type="spellEnd"/>
            <w:r w:rsidRPr="001300A9">
              <w:rPr>
                <w:sz w:val="22"/>
                <w:szCs w:val="22"/>
              </w:rPr>
              <w:t xml:space="preserve"> písm. b) sa overí za obdo</w:t>
            </w:r>
            <w:r w:rsidRPr="001300A9">
              <w:rPr>
                <w:sz w:val="22"/>
                <w:szCs w:val="22"/>
              </w:rPr>
              <w:lastRenderedPageBreak/>
              <w:t>bie do 31. decembra 2025 a následne za každé obdobie končiace 31. decembra každého piateho roka v súlade s postupmi overovania a akreditácie stanovenými v článku 15. Bezodplatné kvóty nad 80 % sa nepridelia, ak nebolo overené dosiahnutie priebežných cieľov a čiastkových cieľov za obdobie do konca roka 2025 alebo za obdobie rokov 2026 až 2030.</w:t>
            </w:r>
          </w:p>
          <w:p w14:paraId="432A4252" w14:textId="77777777" w:rsidR="00357CEC" w:rsidRPr="001300A9" w:rsidRDefault="00357CEC" w:rsidP="00357CEC">
            <w:pPr>
              <w:pStyle w:val="Default"/>
              <w:rPr>
                <w:sz w:val="22"/>
                <w:szCs w:val="22"/>
              </w:rPr>
            </w:pPr>
          </w:p>
          <w:p w14:paraId="473F2F63" w14:textId="77777777" w:rsidR="00053DCA" w:rsidRPr="001300A9" w:rsidRDefault="00053DCA" w:rsidP="00357CEC">
            <w:pPr>
              <w:pStyle w:val="Default"/>
              <w:rPr>
                <w:sz w:val="22"/>
                <w:szCs w:val="22"/>
              </w:rPr>
            </w:pPr>
          </w:p>
          <w:p w14:paraId="5E09D383" w14:textId="77777777" w:rsidR="00053DCA" w:rsidRPr="001300A9" w:rsidRDefault="00053DCA" w:rsidP="00357CEC">
            <w:pPr>
              <w:pStyle w:val="Default"/>
              <w:rPr>
                <w:sz w:val="22"/>
                <w:szCs w:val="22"/>
              </w:rPr>
            </w:pPr>
          </w:p>
          <w:p w14:paraId="3A042DAB" w14:textId="77777777" w:rsidR="00053DCA" w:rsidRPr="001300A9" w:rsidRDefault="00053DCA" w:rsidP="00357CEC">
            <w:pPr>
              <w:pStyle w:val="Default"/>
              <w:rPr>
                <w:sz w:val="22"/>
                <w:szCs w:val="22"/>
              </w:rPr>
            </w:pPr>
          </w:p>
          <w:p w14:paraId="4D58D43C" w14:textId="77777777" w:rsidR="00053DCA" w:rsidRPr="001300A9" w:rsidRDefault="00053DCA" w:rsidP="00357CEC">
            <w:pPr>
              <w:pStyle w:val="Default"/>
              <w:rPr>
                <w:sz w:val="22"/>
                <w:szCs w:val="22"/>
              </w:rPr>
            </w:pPr>
          </w:p>
          <w:p w14:paraId="63D2D6D7" w14:textId="77777777" w:rsidR="00053DCA" w:rsidRPr="001300A9" w:rsidRDefault="00053DCA" w:rsidP="00357CEC">
            <w:pPr>
              <w:pStyle w:val="Default"/>
              <w:rPr>
                <w:sz w:val="22"/>
                <w:szCs w:val="22"/>
              </w:rPr>
            </w:pPr>
          </w:p>
          <w:p w14:paraId="2A88D62A" w14:textId="77777777" w:rsidR="00053DCA" w:rsidRPr="001300A9" w:rsidRDefault="00053DCA" w:rsidP="00357CEC">
            <w:pPr>
              <w:pStyle w:val="Default"/>
              <w:rPr>
                <w:sz w:val="22"/>
                <w:szCs w:val="22"/>
              </w:rPr>
            </w:pPr>
          </w:p>
          <w:p w14:paraId="5E8CDDDA" w14:textId="77777777" w:rsidR="00053DCA" w:rsidRPr="001300A9" w:rsidRDefault="00053DCA" w:rsidP="00357CEC">
            <w:pPr>
              <w:pStyle w:val="Default"/>
              <w:rPr>
                <w:sz w:val="22"/>
                <w:szCs w:val="22"/>
              </w:rPr>
            </w:pPr>
          </w:p>
          <w:p w14:paraId="5D27D0CE" w14:textId="77777777" w:rsidR="00053DCA" w:rsidRPr="001300A9" w:rsidRDefault="00053DCA" w:rsidP="00357CEC">
            <w:pPr>
              <w:pStyle w:val="Default"/>
              <w:rPr>
                <w:sz w:val="22"/>
                <w:szCs w:val="22"/>
              </w:rPr>
            </w:pPr>
          </w:p>
          <w:p w14:paraId="5B825C28" w14:textId="77777777" w:rsidR="00053DCA" w:rsidRPr="001300A9" w:rsidRDefault="00053DCA" w:rsidP="00357CEC">
            <w:pPr>
              <w:pStyle w:val="Default"/>
              <w:rPr>
                <w:sz w:val="22"/>
                <w:szCs w:val="22"/>
              </w:rPr>
            </w:pPr>
          </w:p>
          <w:p w14:paraId="331644E5" w14:textId="77777777" w:rsidR="00053DCA" w:rsidRPr="001300A9" w:rsidRDefault="00053DCA" w:rsidP="00357CEC">
            <w:pPr>
              <w:pStyle w:val="Default"/>
              <w:rPr>
                <w:sz w:val="22"/>
                <w:szCs w:val="22"/>
              </w:rPr>
            </w:pPr>
          </w:p>
          <w:p w14:paraId="785DE146" w14:textId="77777777" w:rsidR="00053DCA" w:rsidRPr="001300A9" w:rsidRDefault="00053DCA" w:rsidP="00357CEC">
            <w:pPr>
              <w:pStyle w:val="Default"/>
              <w:rPr>
                <w:sz w:val="22"/>
                <w:szCs w:val="22"/>
              </w:rPr>
            </w:pPr>
          </w:p>
          <w:p w14:paraId="449843B3" w14:textId="77777777" w:rsidR="00053DCA" w:rsidRPr="001300A9" w:rsidRDefault="00053DCA" w:rsidP="00357CEC">
            <w:pPr>
              <w:pStyle w:val="Default"/>
              <w:rPr>
                <w:sz w:val="22"/>
                <w:szCs w:val="22"/>
              </w:rPr>
            </w:pPr>
          </w:p>
          <w:p w14:paraId="1CCA3CD8" w14:textId="349E387B" w:rsidR="00053DCA" w:rsidRPr="001300A9" w:rsidRDefault="00053DCA" w:rsidP="00357CEC">
            <w:pPr>
              <w:pStyle w:val="Default"/>
              <w:rPr>
                <w:sz w:val="22"/>
                <w:szCs w:val="22"/>
              </w:rPr>
            </w:pPr>
          </w:p>
          <w:p w14:paraId="56E1513E" w14:textId="77777777" w:rsidR="00106F39" w:rsidRDefault="00106F39" w:rsidP="00357CEC">
            <w:pPr>
              <w:pStyle w:val="Default"/>
              <w:rPr>
                <w:sz w:val="22"/>
                <w:szCs w:val="22"/>
              </w:rPr>
            </w:pPr>
          </w:p>
          <w:p w14:paraId="3E01E29E" w14:textId="77777777" w:rsidR="00106F39" w:rsidRDefault="00106F39" w:rsidP="00357CEC">
            <w:pPr>
              <w:pStyle w:val="Default"/>
              <w:rPr>
                <w:sz w:val="22"/>
                <w:szCs w:val="22"/>
              </w:rPr>
            </w:pPr>
          </w:p>
          <w:p w14:paraId="1243EF28" w14:textId="77777777" w:rsidR="00106F39" w:rsidRDefault="00106F39" w:rsidP="00357CEC">
            <w:pPr>
              <w:pStyle w:val="Default"/>
              <w:rPr>
                <w:sz w:val="22"/>
                <w:szCs w:val="22"/>
              </w:rPr>
            </w:pPr>
          </w:p>
          <w:p w14:paraId="0A016D64" w14:textId="77777777" w:rsidR="00106F39" w:rsidRDefault="00106F39" w:rsidP="00357CEC">
            <w:pPr>
              <w:pStyle w:val="Default"/>
              <w:rPr>
                <w:sz w:val="22"/>
                <w:szCs w:val="22"/>
              </w:rPr>
            </w:pPr>
          </w:p>
          <w:p w14:paraId="4A47C9F7" w14:textId="77777777" w:rsidR="00106F39" w:rsidRDefault="00106F39" w:rsidP="00357CEC">
            <w:pPr>
              <w:pStyle w:val="Default"/>
              <w:rPr>
                <w:sz w:val="22"/>
                <w:szCs w:val="22"/>
              </w:rPr>
            </w:pPr>
          </w:p>
          <w:p w14:paraId="10673DD7" w14:textId="77777777" w:rsidR="00106F39" w:rsidRDefault="00106F39" w:rsidP="00357CEC">
            <w:pPr>
              <w:pStyle w:val="Default"/>
              <w:rPr>
                <w:sz w:val="22"/>
                <w:szCs w:val="22"/>
              </w:rPr>
            </w:pPr>
          </w:p>
          <w:p w14:paraId="44E0E219" w14:textId="77777777" w:rsidR="00106F39" w:rsidRDefault="00106F39" w:rsidP="00357CEC">
            <w:pPr>
              <w:pStyle w:val="Default"/>
              <w:rPr>
                <w:sz w:val="22"/>
                <w:szCs w:val="22"/>
              </w:rPr>
            </w:pPr>
          </w:p>
          <w:p w14:paraId="204138C3" w14:textId="77777777" w:rsidR="00106F39" w:rsidRDefault="00106F39" w:rsidP="00357CEC">
            <w:pPr>
              <w:pStyle w:val="Default"/>
              <w:rPr>
                <w:sz w:val="22"/>
                <w:szCs w:val="22"/>
              </w:rPr>
            </w:pPr>
          </w:p>
          <w:p w14:paraId="7E99F6C0" w14:textId="77777777" w:rsidR="002C79F4" w:rsidRDefault="002C79F4" w:rsidP="00357CEC">
            <w:pPr>
              <w:pStyle w:val="Default"/>
              <w:rPr>
                <w:sz w:val="22"/>
                <w:szCs w:val="22"/>
              </w:rPr>
            </w:pPr>
          </w:p>
          <w:p w14:paraId="4838D818" w14:textId="77777777" w:rsidR="002C79F4" w:rsidRDefault="002C79F4" w:rsidP="00357CEC">
            <w:pPr>
              <w:pStyle w:val="Default"/>
              <w:rPr>
                <w:sz w:val="22"/>
                <w:szCs w:val="22"/>
              </w:rPr>
            </w:pPr>
          </w:p>
          <w:p w14:paraId="35B0FB28" w14:textId="77777777" w:rsidR="002C79F4" w:rsidRDefault="002C79F4" w:rsidP="00357CEC">
            <w:pPr>
              <w:pStyle w:val="Default"/>
              <w:rPr>
                <w:sz w:val="22"/>
                <w:szCs w:val="22"/>
              </w:rPr>
            </w:pPr>
          </w:p>
          <w:p w14:paraId="51143288" w14:textId="77777777" w:rsidR="002C79F4" w:rsidRDefault="002C79F4" w:rsidP="00357CEC">
            <w:pPr>
              <w:pStyle w:val="Default"/>
              <w:rPr>
                <w:sz w:val="22"/>
                <w:szCs w:val="22"/>
              </w:rPr>
            </w:pPr>
          </w:p>
          <w:p w14:paraId="44EF30B7" w14:textId="77777777" w:rsidR="002C79F4" w:rsidRDefault="002C79F4" w:rsidP="00357CEC">
            <w:pPr>
              <w:pStyle w:val="Default"/>
              <w:rPr>
                <w:sz w:val="22"/>
                <w:szCs w:val="22"/>
              </w:rPr>
            </w:pPr>
          </w:p>
          <w:p w14:paraId="7733524A" w14:textId="77777777" w:rsidR="002C79F4" w:rsidRDefault="002C79F4" w:rsidP="00357CEC">
            <w:pPr>
              <w:pStyle w:val="Default"/>
              <w:rPr>
                <w:sz w:val="22"/>
                <w:szCs w:val="22"/>
              </w:rPr>
            </w:pPr>
          </w:p>
          <w:p w14:paraId="2CD6B459" w14:textId="77777777" w:rsidR="002C79F4" w:rsidRDefault="002C79F4" w:rsidP="00357CEC">
            <w:pPr>
              <w:pStyle w:val="Default"/>
              <w:rPr>
                <w:sz w:val="22"/>
                <w:szCs w:val="22"/>
              </w:rPr>
            </w:pPr>
          </w:p>
          <w:p w14:paraId="56F532C6" w14:textId="77777777" w:rsidR="002C79F4" w:rsidRDefault="002C79F4" w:rsidP="00357CEC">
            <w:pPr>
              <w:pStyle w:val="Default"/>
              <w:rPr>
                <w:sz w:val="22"/>
                <w:szCs w:val="22"/>
              </w:rPr>
            </w:pPr>
          </w:p>
          <w:p w14:paraId="62BD9644" w14:textId="77777777" w:rsidR="002C79F4" w:rsidRDefault="002C79F4" w:rsidP="00357CEC">
            <w:pPr>
              <w:pStyle w:val="Default"/>
              <w:rPr>
                <w:sz w:val="22"/>
                <w:szCs w:val="22"/>
              </w:rPr>
            </w:pPr>
          </w:p>
          <w:p w14:paraId="46756F97" w14:textId="77777777" w:rsidR="002C79F4" w:rsidRDefault="002C79F4" w:rsidP="00357CEC">
            <w:pPr>
              <w:pStyle w:val="Default"/>
              <w:rPr>
                <w:sz w:val="22"/>
                <w:szCs w:val="22"/>
              </w:rPr>
            </w:pPr>
          </w:p>
          <w:p w14:paraId="12480C16" w14:textId="77777777" w:rsidR="002C79F4" w:rsidRDefault="002C79F4" w:rsidP="00357CEC">
            <w:pPr>
              <w:pStyle w:val="Default"/>
              <w:rPr>
                <w:sz w:val="22"/>
                <w:szCs w:val="22"/>
              </w:rPr>
            </w:pPr>
          </w:p>
          <w:p w14:paraId="52E791B7" w14:textId="77777777" w:rsidR="002C79F4" w:rsidRDefault="002C79F4" w:rsidP="00357CEC">
            <w:pPr>
              <w:pStyle w:val="Default"/>
              <w:rPr>
                <w:sz w:val="22"/>
                <w:szCs w:val="22"/>
              </w:rPr>
            </w:pPr>
          </w:p>
          <w:p w14:paraId="33B6B787" w14:textId="77777777" w:rsidR="002C79F4" w:rsidRDefault="002C79F4" w:rsidP="00357CEC">
            <w:pPr>
              <w:pStyle w:val="Default"/>
              <w:rPr>
                <w:sz w:val="22"/>
                <w:szCs w:val="22"/>
              </w:rPr>
            </w:pPr>
          </w:p>
          <w:p w14:paraId="63D90F85" w14:textId="77777777" w:rsidR="002C79F4" w:rsidRDefault="002C79F4" w:rsidP="00357CEC">
            <w:pPr>
              <w:pStyle w:val="Default"/>
              <w:rPr>
                <w:sz w:val="22"/>
                <w:szCs w:val="22"/>
              </w:rPr>
            </w:pPr>
          </w:p>
          <w:p w14:paraId="2B1134DC" w14:textId="77777777" w:rsidR="002C79F4" w:rsidRDefault="002C79F4" w:rsidP="00357CEC">
            <w:pPr>
              <w:pStyle w:val="Default"/>
              <w:rPr>
                <w:sz w:val="22"/>
                <w:szCs w:val="22"/>
              </w:rPr>
            </w:pPr>
          </w:p>
          <w:p w14:paraId="143FB39B" w14:textId="77777777" w:rsidR="002C79F4" w:rsidRDefault="002C79F4" w:rsidP="00357CEC">
            <w:pPr>
              <w:pStyle w:val="Default"/>
              <w:rPr>
                <w:sz w:val="22"/>
                <w:szCs w:val="22"/>
              </w:rPr>
            </w:pPr>
          </w:p>
          <w:p w14:paraId="483A018D" w14:textId="77777777" w:rsidR="002C79F4" w:rsidRDefault="002C79F4" w:rsidP="00357CEC">
            <w:pPr>
              <w:pStyle w:val="Default"/>
              <w:rPr>
                <w:sz w:val="22"/>
                <w:szCs w:val="22"/>
              </w:rPr>
            </w:pPr>
          </w:p>
          <w:p w14:paraId="1210D2F0" w14:textId="77777777" w:rsidR="002C79F4" w:rsidRDefault="002C79F4" w:rsidP="00357CEC">
            <w:pPr>
              <w:pStyle w:val="Default"/>
              <w:rPr>
                <w:sz w:val="22"/>
                <w:szCs w:val="22"/>
              </w:rPr>
            </w:pPr>
          </w:p>
          <w:p w14:paraId="7E7FA1B8" w14:textId="77777777" w:rsidR="002C79F4" w:rsidRDefault="002C79F4" w:rsidP="00357CEC">
            <w:pPr>
              <w:pStyle w:val="Default"/>
              <w:rPr>
                <w:sz w:val="22"/>
                <w:szCs w:val="22"/>
              </w:rPr>
            </w:pPr>
          </w:p>
          <w:p w14:paraId="2766087E" w14:textId="77777777" w:rsidR="002C79F4" w:rsidRDefault="002C79F4" w:rsidP="00357CEC">
            <w:pPr>
              <w:pStyle w:val="Default"/>
              <w:rPr>
                <w:sz w:val="22"/>
                <w:szCs w:val="22"/>
              </w:rPr>
            </w:pPr>
          </w:p>
          <w:p w14:paraId="612D77DC" w14:textId="77777777" w:rsidR="002C79F4" w:rsidRDefault="002C79F4" w:rsidP="00357CEC">
            <w:pPr>
              <w:pStyle w:val="Default"/>
              <w:rPr>
                <w:sz w:val="22"/>
                <w:szCs w:val="22"/>
              </w:rPr>
            </w:pPr>
          </w:p>
          <w:p w14:paraId="72B3A4BF" w14:textId="77777777" w:rsidR="002C79F4" w:rsidRDefault="002C79F4" w:rsidP="00357CEC">
            <w:pPr>
              <w:pStyle w:val="Default"/>
              <w:rPr>
                <w:sz w:val="22"/>
                <w:szCs w:val="22"/>
              </w:rPr>
            </w:pPr>
          </w:p>
          <w:p w14:paraId="2FA61481" w14:textId="77777777" w:rsidR="002C79F4" w:rsidRDefault="002C79F4" w:rsidP="00357CEC">
            <w:pPr>
              <w:pStyle w:val="Default"/>
              <w:rPr>
                <w:sz w:val="22"/>
                <w:szCs w:val="22"/>
              </w:rPr>
            </w:pPr>
          </w:p>
          <w:p w14:paraId="158CD94D" w14:textId="70C42400" w:rsidR="00357CEC" w:rsidRPr="001300A9" w:rsidRDefault="00357CEC" w:rsidP="00357CEC">
            <w:pPr>
              <w:pStyle w:val="Default"/>
              <w:rPr>
                <w:sz w:val="22"/>
                <w:szCs w:val="22"/>
              </w:rPr>
            </w:pPr>
            <w:r w:rsidRPr="001300A9">
              <w:rPr>
                <w:sz w:val="22"/>
                <w:szCs w:val="22"/>
              </w:rPr>
              <w:t xml:space="preserve">Kvóty, ktoré sa nepridelia z dôvodu zníženia množstva bezodplatne pridelených kvót v súlade s tretím a piatym </w:t>
            </w:r>
            <w:proofErr w:type="spellStart"/>
            <w:r w:rsidRPr="001300A9">
              <w:rPr>
                <w:sz w:val="22"/>
                <w:szCs w:val="22"/>
              </w:rPr>
              <w:t>pododsekom</w:t>
            </w:r>
            <w:proofErr w:type="spellEnd"/>
            <w:r w:rsidRPr="001300A9">
              <w:rPr>
                <w:sz w:val="22"/>
                <w:szCs w:val="22"/>
              </w:rPr>
              <w:t xml:space="preserve"> tohto odseku, sa použijú na oslobodenie zariadení od úpravy v súlade s odsekom 5 tohto článku. Ak akékoľvek z uvedených kvóty zostanú, 50 % z nich sa sprístupní na podporu inovácií v súlade s odsekom 8 tohto článku. So zvyšnými 50 % uvedených kvót sa bude obchodovať formou aukcie v súlade s článkom 10 ods. 1 a členské štáty by mali použiť príslušné príjmy na riešenie akéhokoľvek zostávajúceho rizika úniku uhlíka v odvetviach, na ktoré sa vzťahuje prílo</w:t>
            </w:r>
            <w:r w:rsidR="00053DCA" w:rsidRPr="001300A9">
              <w:rPr>
                <w:sz w:val="22"/>
                <w:szCs w:val="22"/>
              </w:rPr>
              <w:t>ha I k nariadeniu (EÚ) 2023/956</w:t>
            </w:r>
            <w:r w:rsidRPr="001300A9">
              <w:rPr>
                <w:sz w:val="22"/>
                <w:szCs w:val="22"/>
              </w:rPr>
              <w:t>, pričom sa bude podporovať prechod a presadzovať ich dekarbonizácia v súlade s pravidlami štátnej pomoci.</w:t>
            </w:r>
          </w:p>
          <w:p w14:paraId="5779269A" w14:textId="77777777" w:rsidR="00357CEC" w:rsidRPr="001300A9" w:rsidRDefault="00357CEC" w:rsidP="00357CEC">
            <w:pPr>
              <w:pStyle w:val="Default"/>
              <w:rPr>
                <w:sz w:val="22"/>
                <w:szCs w:val="22"/>
              </w:rPr>
            </w:pPr>
          </w:p>
          <w:p w14:paraId="5DCAD4A9" w14:textId="77777777" w:rsidR="00357CEC" w:rsidRPr="001300A9" w:rsidRDefault="00357CEC" w:rsidP="00357CEC">
            <w:pPr>
              <w:pStyle w:val="Default"/>
              <w:rPr>
                <w:sz w:val="22"/>
                <w:szCs w:val="22"/>
              </w:rPr>
            </w:pPr>
            <w:r w:rsidRPr="001300A9">
              <w:rPr>
                <w:sz w:val="22"/>
                <w:szCs w:val="22"/>
              </w:rPr>
              <w:lastRenderedPageBreak/>
              <w:t xml:space="preserve">Zariadeniam v odvetviach alebo pododvetviach sa nepridelia žiadne bezodplatné kvóty, pokiaľ sa na </w:t>
            </w:r>
            <w:proofErr w:type="spellStart"/>
            <w:r w:rsidRPr="001300A9">
              <w:rPr>
                <w:sz w:val="22"/>
                <w:szCs w:val="22"/>
              </w:rPr>
              <w:t>ne</w:t>
            </w:r>
            <w:proofErr w:type="spellEnd"/>
            <w:r w:rsidRPr="001300A9">
              <w:rPr>
                <w:sz w:val="22"/>
                <w:szCs w:val="22"/>
              </w:rPr>
              <w:t xml:space="preserve"> vzťahujú iné opatrenia na riešenie rizika úniku uhlíka stanovené v nariadení (EÚ</w:t>
            </w:r>
            <w:r w:rsidR="00053DCA" w:rsidRPr="001300A9">
              <w:rPr>
                <w:sz w:val="22"/>
                <w:szCs w:val="22"/>
              </w:rPr>
              <w:t>) 2023/956</w:t>
            </w:r>
            <w:r w:rsidRPr="001300A9">
              <w:rPr>
                <w:sz w:val="22"/>
                <w:szCs w:val="22"/>
              </w:rPr>
              <w:t xml:space="preserve">. Opatrenia uvedené v prvom </w:t>
            </w:r>
            <w:proofErr w:type="spellStart"/>
            <w:r w:rsidRPr="001300A9">
              <w:rPr>
                <w:sz w:val="22"/>
                <w:szCs w:val="22"/>
              </w:rPr>
              <w:t>pododseku</w:t>
            </w:r>
            <w:proofErr w:type="spellEnd"/>
            <w:r w:rsidRPr="001300A9">
              <w:rPr>
                <w:sz w:val="22"/>
                <w:szCs w:val="22"/>
              </w:rPr>
              <w:t xml:space="preserve"> tohto odseku sa zodpovedajúcim spôsobom upravia.</w:t>
            </w:r>
          </w:p>
          <w:p w14:paraId="494D34C1" w14:textId="77777777" w:rsidR="00357CEC" w:rsidRPr="001300A9" w:rsidRDefault="00357CEC" w:rsidP="00357CEC">
            <w:pPr>
              <w:pStyle w:val="Default"/>
              <w:rPr>
                <w:sz w:val="22"/>
                <w:szCs w:val="22"/>
              </w:rPr>
            </w:pPr>
          </w:p>
          <w:p w14:paraId="31EDB664" w14:textId="77777777" w:rsidR="00357CEC" w:rsidRPr="001300A9" w:rsidRDefault="00357CEC" w:rsidP="00357CEC">
            <w:pPr>
              <w:pStyle w:val="Default"/>
              <w:rPr>
                <w:sz w:val="22"/>
                <w:szCs w:val="22"/>
              </w:rPr>
            </w:pPr>
            <w:r w:rsidRPr="001300A9">
              <w:rPr>
                <w:sz w:val="22"/>
                <w:szCs w:val="22"/>
              </w:rPr>
              <w:t>* Smernica Európskeho parlamentu a Rady 2012/27/EÚ z 25. októbra 2012 o energetickej efektívnosti, ktorou sa menia a dopĺňajú smernice 2009/125/ES a 2010/30/EÚ a ktorou sa zrušujú smernice 2004/8/ES a 2006/32/ES (Ú. v. EÚ L 315, 14.11.2012, s. 1).</w:t>
            </w:r>
          </w:p>
        </w:tc>
        <w:tc>
          <w:tcPr>
            <w:tcW w:w="567" w:type="dxa"/>
          </w:tcPr>
          <w:p w14:paraId="077AF1D9" w14:textId="77777777" w:rsidR="00357CEC" w:rsidRPr="001300A9" w:rsidRDefault="00357CEC" w:rsidP="00357CEC">
            <w:pPr>
              <w:pStyle w:val="Default"/>
              <w:rPr>
                <w:sz w:val="22"/>
                <w:szCs w:val="22"/>
              </w:rPr>
            </w:pPr>
            <w:r w:rsidRPr="001300A9">
              <w:rPr>
                <w:sz w:val="22"/>
                <w:szCs w:val="22"/>
              </w:rPr>
              <w:lastRenderedPageBreak/>
              <w:t>N</w:t>
            </w:r>
          </w:p>
          <w:p w14:paraId="129CCB4E" w14:textId="77777777" w:rsidR="00357CEC" w:rsidRPr="001300A9" w:rsidRDefault="00357CEC" w:rsidP="00357CEC">
            <w:pPr>
              <w:pStyle w:val="Default"/>
              <w:rPr>
                <w:sz w:val="22"/>
                <w:szCs w:val="22"/>
              </w:rPr>
            </w:pPr>
          </w:p>
          <w:p w14:paraId="24302F07" w14:textId="77777777" w:rsidR="00357CEC" w:rsidRPr="001300A9" w:rsidRDefault="00357CEC" w:rsidP="00357CEC">
            <w:pPr>
              <w:pStyle w:val="Default"/>
              <w:rPr>
                <w:sz w:val="22"/>
                <w:szCs w:val="22"/>
              </w:rPr>
            </w:pPr>
          </w:p>
          <w:p w14:paraId="6788E227" w14:textId="77777777" w:rsidR="00357CEC" w:rsidRPr="001300A9" w:rsidRDefault="00357CEC" w:rsidP="00357CEC">
            <w:pPr>
              <w:pStyle w:val="Default"/>
              <w:rPr>
                <w:sz w:val="22"/>
                <w:szCs w:val="22"/>
              </w:rPr>
            </w:pPr>
          </w:p>
          <w:p w14:paraId="0958DE5E" w14:textId="77777777" w:rsidR="00357CEC" w:rsidRPr="001300A9" w:rsidRDefault="00357CEC" w:rsidP="00357CEC">
            <w:pPr>
              <w:pStyle w:val="Default"/>
              <w:rPr>
                <w:sz w:val="22"/>
                <w:szCs w:val="22"/>
              </w:rPr>
            </w:pPr>
          </w:p>
          <w:p w14:paraId="31577AB7" w14:textId="77777777" w:rsidR="00357CEC" w:rsidRPr="001300A9" w:rsidRDefault="00357CEC" w:rsidP="00357CEC">
            <w:pPr>
              <w:pStyle w:val="Default"/>
              <w:rPr>
                <w:sz w:val="22"/>
                <w:szCs w:val="22"/>
              </w:rPr>
            </w:pPr>
          </w:p>
          <w:p w14:paraId="040B8BA9" w14:textId="77777777" w:rsidR="00357CEC" w:rsidRPr="001300A9" w:rsidRDefault="00357CEC" w:rsidP="00357CEC">
            <w:pPr>
              <w:pStyle w:val="Default"/>
              <w:rPr>
                <w:sz w:val="22"/>
                <w:szCs w:val="22"/>
              </w:rPr>
            </w:pPr>
          </w:p>
          <w:p w14:paraId="49F98951" w14:textId="77777777" w:rsidR="00C31279" w:rsidRPr="001300A9" w:rsidRDefault="00C31279" w:rsidP="00357CEC">
            <w:pPr>
              <w:pStyle w:val="Default"/>
              <w:rPr>
                <w:sz w:val="22"/>
                <w:szCs w:val="22"/>
              </w:rPr>
            </w:pPr>
          </w:p>
          <w:p w14:paraId="0515C7BD" w14:textId="77777777" w:rsidR="00C31279" w:rsidRPr="001300A9" w:rsidRDefault="00C31279" w:rsidP="00357CEC">
            <w:pPr>
              <w:pStyle w:val="Default"/>
              <w:rPr>
                <w:sz w:val="22"/>
                <w:szCs w:val="22"/>
              </w:rPr>
            </w:pPr>
          </w:p>
          <w:p w14:paraId="2F9C52EF" w14:textId="77777777" w:rsidR="00C31279" w:rsidRPr="001300A9" w:rsidRDefault="00C31279" w:rsidP="00357CEC">
            <w:pPr>
              <w:pStyle w:val="Default"/>
              <w:rPr>
                <w:sz w:val="22"/>
                <w:szCs w:val="22"/>
              </w:rPr>
            </w:pPr>
          </w:p>
          <w:p w14:paraId="1B267A49" w14:textId="77777777" w:rsidR="00C31279" w:rsidRPr="001300A9" w:rsidRDefault="00C31279" w:rsidP="00357CEC">
            <w:pPr>
              <w:pStyle w:val="Default"/>
              <w:rPr>
                <w:sz w:val="22"/>
                <w:szCs w:val="22"/>
              </w:rPr>
            </w:pPr>
          </w:p>
          <w:p w14:paraId="2E2E05BB" w14:textId="77777777" w:rsidR="00C31279" w:rsidRPr="001300A9" w:rsidRDefault="00C31279" w:rsidP="00357CEC">
            <w:pPr>
              <w:pStyle w:val="Default"/>
              <w:rPr>
                <w:sz w:val="22"/>
                <w:szCs w:val="22"/>
              </w:rPr>
            </w:pPr>
          </w:p>
          <w:p w14:paraId="369EAE27" w14:textId="77777777" w:rsidR="00C31279" w:rsidRPr="001300A9" w:rsidRDefault="00C31279" w:rsidP="00357CEC">
            <w:pPr>
              <w:pStyle w:val="Default"/>
              <w:rPr>
                <w:sz w:val="22"/>
                <w:szCs w:val="22"/>
              </w:rPr>
            </w:pPr>
          </w:p>
          <w:p w14:paraId="008BD222" w14:textId="77777777" w:rsidR="00C31279" w:rsidRPr="001300A9" w:rsidRDefault="00C31279" w:rsidP="00357CEC">
            <w:pPr>
              <w:pStyle w:val="Default"/>
              <w:rPr>
                <w:sz w:val="22"/>
                <w:szCs w:val="22"/>
              </w:rPr>
            </w:pPr>
          </w:p>
          <w:p w14:paraId="0F090C2A" w14:textId="77777777" w:rsidR="00C31279" w:rsidRPr="001300A9" w:rsidRDefault="00C31279" w:rsidP="00357CEC">
            <w:pPr>
              <w:pStyle w:val="Default"/>
              <w:rPr>
                <w:sz w:val="22"/>
                <w:szCs w:val="22"/>
              </w:rPr>
            </w:pPr>
          </w:p>
          <w:p w14:paraId="6924685F" w14:textId="77777777" w:rsidR="00C31279" w:rsidRPr="001300A9" w:rsidRDefault="00C31279" w:rsidP="00357CEC">
            <w:pPr>
              <w:pStyle w:val="Default"/>
              <w:rPr>
                <w:sz w:val="22"/>
                <w:szCs w:val="22"/>
              </w:rPr>
            </w:pPr>
          </w:p>
          <w:p w14:paraId="34C4E3EF" w14:textId="77777777" w:rsidR="00C31279" w:rsidRPr="001300A9" w:rsidRDefault="00C31279" w:rsidP="00357CEC">
            <w:pPr>
              <w:pStyle w:val="Default"/>
              <w:rPr>
                <w:sz w:val="22"/>
                <w:szCs w:val="22"/>
              </w:rPr>
            </w:pPr>
          </w:p>
          <w:p w14:paraId="5B31F475" w14:textId="75B89296" w:rsidR="00C31279" w:rsidRPr="001300A9" w:rsidRDefault="00C31279" w:rsidP="00357CEC">
            <w:pPr>
              <w:pStyle w:val="Default"/>
              <w:rPr>
                <w:sz w:val="22"/>
                <w:szCs w:val="22"/>
              </w:rPr>
            </w:pPr>
          </w:p>
          <w:p w14:paraId="6EEDB079" w14:textId="77777777" w:rsidR="00332BCF" w:rsidRDefault="00332BCF" w:rsidP="00357CEC">
            <w:pPr>
              <w:pStyle w:val="Default"/>
              <w:rPr>
                <w:sz w:val="22"/>
                <w:szCs w:val="22"/>
              </w:rPr>
            </w:pPr>
          </w:p>
          <w:p w14:paraId="352E8EC1" w14:textId="77777777" w:rsidR="00106F39" w:rsidRDefault="00106F39" w:rsidP="00357CEC">
            <w:pPr>
              <w:pStyle w:val="Default"/>
              <w:rPr>
                <w:sz w:val="22"/>
                <w:szCs w:val="22"/>
              </w:rPr>
            </w:pPr>
          </w:p>
          <w:p w14:paraId="3DA0C117" w14:textId="77777777" w:rsidR="00106F39" w:rsidRDefault="00106F39" w:rsidP="00357CEC">
            <w:pPr>
              <w:pStyle w:val="Default"/>
              <w:rPr>
                <w:sz w:val="22"/>
                <w:szCs w:val="22"/>
              </w:rPr>
            </w:pPr>
          </w:p>
          <w:p w14:paraId="6C866EA0" w14:textId="77777777" w:rsidR="00106F39" w:rsidRDefault="00106F39" w:rsidP="00357CEC">
            <w:pPr>
              <w:pStyle w:val="Default"/>
              <w:rPr>
                <w:sz w:val="22"/>
                <w:szCs w:val="22"/>
              </w:rPr>
            </w:pPr>
          </w:p>
          <w:p w14:paraId="527A0B9F" w14:textId="5D8DE3BC" w:rsidR="4792BE4F" w:rsidRDefault="4792BE4F" w:rsidP="4792BE4F">
            <w:pPr>
              <w:pStyle w:val="Default"/>
              <w:rPr>
                <w:sz w:val="22"/>
                <w:szCs w:val="22"/>
              </w:rPr>
            </w:pPr>
          </w:p>
          <w:p w14:paraId="7A6F6362" w14:textId="77777777" w:rsidR="00106F39" w:rsidRDefault="00106F39" w:rsidP="00357CEC">
            <w:pPr>
              <w:pStyle w:val="Default"/>
              <w:rPr>
                <w:sz w:val="22"/>
                <w:szCs w:val="22"/>
              </w:rPr>
            </w:pPr>
          </w:p>
          <w:p w14:paraId="475BE5A4" w14:textId="12AA3707" w:rsidR="00106F39" w:rsidRDefault="00260BC4" w:rsidP="00357CEC">
            <w:pPr>
              <w:pStyle w:val="Default"/>
              <w:rPr>
                <w:sz w:val="22"/>
                <w:szCs w:val="22"/>
              </w:rPr>
            </w:pPr>
            <w:r>
              <w:rPr>
                <w:sz w:val="22"/>
                <w:szCs w:val="22"/>
              </w:rPr>
              <w:t>N</w:t>
            </w:r>
          </w:p>
          <w:p w14:paraId="3DDF3A47" w14:textId="77777777" w:rsidR="00106F39" w:rsidRDefault="00106F39" w:rsidP="00357CEC">
            <w:pPr>
              <w:pStyle w:val="Default"/>
              <w:rPr>
                <w:sz w:val="22"/>
                <w:szCs w:val="22"/>
              </w:rPr>
            </w:pPr>
          </w:p>
          <w:p w14:paraId="196B9358" w14:textId="77777777" w:rsidR="00106F39" w:rsidRDefault="00106F39" w:rsidP="00357CEC">
            <w:pPr>
              <w:pStyle w:val="Default"/>
              <w:rPr>
                <w:sz w:val="22"/>
                <w:szCs w:val="22"/>
              </w:rPr>
            </w:pPr>
          </w:p>
          <w:p w14:paraId="58A22FAE" w14:textId="77777777" w:rsidR="00106F39" w:rsidRDefault="00106F39" w:rsidP="00357CEC">
            <w:pPr>
              <w:pStyle w:val="Default"/>
              <w:rPr>
                <w:sz w:val="22"/>
                <w:szCs w:val="22"/>
              </w:rPr>
            </w:pPr>
          </w:p>
          <w:p w14:paraId="2719C57D" w14:textId="77777777" w:rsidR="00106F39" w:rsidRDefault="00106F39" w:rsidP="00357CEC">
            <w:pPr>
              <w:pStyle w:val="Default"/>
              <w:rPr>
                <w:sz w:val="22"/>
                <w:szCs w:val="22"/>
              </w:rPr>
            </w:pPr>
          </w:p>
          <w:p w14:paraId="56694450" w14:textId="77777777" w:rsidR="00106F39" w:rsidRDefault="00106F39" w:rsidP="00357CEC">
            <w:pPr>
              <w:pStyle w:val="Default"/>
              <w:rPr>
                <w:sz w:val="22"/>
                <w:szCs w:val="22"/>
              </w:rPr>
            </w:pPr>
          </w:p>
          <w:p w14:paraId="72D003AD" w14:textId="77777777" w:rsidR="00106F39" w:rsidRDefault="00106F39" w:rsidP="00357CEC">
            <w:pPr>
              <w:pStyle w:val="Default"/>
              <w:rPr>
                <w:sz w:val="22"/>
                <w:szCs w:val="22"/>
              </w:rPr>
            </w:pPr>
          </w:p>
          <w:p w14:paraId="3312A218" w14:textId="77777777" w:rsidR="00106F39" w:rsidRDefault="00106F39" w:rsidP="00357CEC">
            <w:pPr>
              <w:pStyle w:val="Default"/>
              <w:rPr>
                <w:sz w:val="22"/>
                <w:szCs w:val="22"/>
              </w:rPr>
            </w:pPr>
          </w:p>
          <w:p w14:paraId="1A84F8A6" w14:textId="77777777" w:rsidR="00106F39" w:rsidRDefault="00106F39" w:rsidP="00357CEC">
            <w:pPr>
              <w:pStyle w:val="Default"/>
              <w:rPr>
                <w:sz w:val="22"/>
                <w:szCs w:val="22"/>
              </w:rPr>
            </w:pPr>
          </w:p>
          <w:p w14:paraId="141E86EE" w14:textId="77777777" w:rsidR="00106F39" w:rsidRDefault="00106F39" w:rsidP="00357CEC">
            <w:pPr>
              <w:pStyle w:val="Default"/>
              <w:rPr>
                <w:sz w:val="22"/>
                <w:szCs w:val="22"/>
              </w:rPr>
            </w:pPr>
          </w:p>
          <w:p w14:paraId="7AD72C70" w14:textId="77777777" w:rsidR="00106F39" w:rsidRDefault="00106F39" w:rsidP="00357CEC">
            <w:pPr>
              <w:pStyle w:val="Default"/>
              <w:rPr>
                <w:sz w:val="22"/>
                <w:szCs w:val="22"/>
              </w:rPr>
            </w:pPr>
          </w:p>
          <w:p w14:paraId="04602218" w14:textId="77777777" w:rsidR="00106F39" w:rsidRDefault="00106F39" w:rsidP="00357CEC">
            <w:pPr>
              <w:pStyle w:val="Default"/>
              <w:rPr>
                <w:sz w:val="22"/>
                <w:szCs w:val="22"/>
              </w:rPr>
            </w:pPr>
          </w:p>
          <w:p w14:paraId="22A8B4A8" w14:textId="77777777" w:rsidR="00106F39" w:rsidRDefault="00106F39" w:rsidP="00357CEC">
            <w:pPr>
              <w:pStyle w:val="Default"/>
              <w:rPr>
                <w:sz w:val="22"/>
                <w:szCs w:val="22"/>
              </w:rPr>
            </w:pPr>
          </w:p>
          <w:p w14:paraId="2892A8D8" w14:textId="77777777" w:rsidR="00106F39" w:rsidRDefault="00106F39" w:rsidP="00357CEC">
            <w:pPr>
              <w:pStyle w:val="Default"/>
              <w:rPr>
                <w:sz w:val="22"/>
                <w:szCs w:val="22"/>
              </w:rPr>
            </w:pPr>
          </w:p>
          <w:p w14:paraId="2A0F67DB" w14:textId="77777777" w:rsidR="00106F39" w:rsidRDefault="00106F39" w:rsidP="00357CEC">
            <w:pPr>
              <w:pStyle w:val="Default"/>
              <w:rPr>
                <w:sz w:val="22"/>
                <w:szCs w:val="22"/>
              </w:rPr>
            </w:pPr>
          </w:p>
          <w:p w14:paraId="7DAE75F3" w14:textId="77777777" w:rsidR="00106F39" w:rsidRDefault="00106F39" w:rsidP="00357CEC">
            <w:pPr>
              <w:pStyle w:val="Default"/>
              <w:rPr>
                <w:sz w:val="22"/>
                <w:szCs w:val="22"/>
              </w:rPr>
            </w:pPr>
          </w:p>
          <w:p w14:paraId="18B08DD8" w14:textId="77777777" w:rsidR="00106F39" w:rsidRDefault="00106F39" w:rsidP="00357CEC">
            <w:pPr>
              <w:pStyle w:val="Default"/>
              <w:rPr>
                <w:sz w:val="22"/>
                <w:szCs w:val="22"/>
              </w:rPr>
            </w:pPr>
          </w:p>
          <w:p w14:paraId="1C06F279" w14:textId="77777777" w:rsidR="00106F39" w:rsidRDefault="00106F39" w:rsidP="00357CEC">
            <w:pPr>
              <w:pStyle w:val="Default"/>
              <w:rPr>
                <w:sz w:val="22"/>
                <w:szCs w:val="22"/>
              </w:rPr>
            </w:pPr>
          </w:p>
          <w:p w14:paraId="39F5AC85" w14:textId="77777777" w:rsidR="00106F39" w:rsidRDefault="00106F39" w:rsidP="00357CEC">
            <w:pPr>
              <w:pStyle w:val="Default"/>
              <w:rPr>
                <w:sz w:val="22"/>
                <w:szCs w:val="22"/>
              </w:rPr>
            </w:pPr>
          </w:p>
          <w:p w14:paraId="61BFDE30" w14:textId="0B67CC56" w:rsidR="00106F39" w:rsidRDefault="00106F39" w:rsidP="00357CEC">
            <w:pPr>
              <w:pStyle w:val="Default"/>
              <w:rPr>
                <w:sz w:val="22"/>
                <w:szCs w:val="22"/>
              </w:rPr>
            </w:pPr>
          </w:p>
          <w:p w14:paraId="267C0586" w14:textId="6A494664" w:rsidR="00357CEC" w:rsidRPr="001300A9" w:rsidRDefault="63715BC2" w:rsidP="00357CEC">
            <w:pPr>
              <w:pStyle w:val="Default"/>
              <w:rPr>
                <w:sz w:val="22"/>
                <w:szCs w:val="22"/>
              </w:rPr>
            </w:pPr>
            <w:proofErr w:type="spellStart"/>
            <w:r w:rsidRPr="4792BE4F">
              <w:rPr>
                <w:sz w:val="22"/>
                <w:szCs w:val="22"/>
              </w:rPr>
              <w:lastRenderedPageBreak/>
              <w:t>n</w:t>
            </w:r>
            <w:r w:rsidR="00357CEC" w:rsidRPr="4792BE4F">
              <w:rPr>
                <w:sz w:val="22"/>
                <w:szCs w:val="22"/>
              </w:rPr>
              <w:t>.a</w:t>
            </w:r>
            <w:proofErr w:type="spellEnd"/>
            <w:r w:rsidR="00357CEC" w:rsidRPr="4792BE4F">
              <w:rPr>
                <w:sz w:val="22"/>
                <w:szCs w:val="22"/>
              </w:rPr>
              <w:t>.</w:t>
            </w:r>
          </w:p>
          <w:p w14:paraId="7EEC9F72" w14:textId="77777777" w:rsidR="00357CEC" w:rsidRPr="001300A9" w:rsidRDefault="00357CEC" w:rsidP="00357CEC">
            <w:pPr>
              <w:pStyle w:val="Default"/>
              <w:rPr>
                <w:sz w:val="22"/>
                <w:szCs w:val="22"/>
              </w:rPr>
            </w:pPr>
          </w:p>
          <w:p w14:paraId="56ADDA57" w14:textId="77777777" w:rsidR="00357CEC" w:rsidRPr="001300A9" w:rsidRDefault="00357CEC" w:rsidP="00357CEC">
            <w:pPr>
              <w:pStyle w:val="Default"/>
              <w:rPr>
                <w:sz w:val="22"/>
                <w:szCs w:val="22"/>
              </w:rPr>
            </w:pPr>
          </w:p>
          <w:p w14:paraId="669E143E" w14:textId="77777777" w:rsidR="00357CEC" w:rsidRPr="001300A9" w:rsidRDefault="00357CEC" w:rsidP="00357CEC">
            <w:pPr>
              <w:pStyle w:val="Default"/>
              <w:rPr>
                <w:sz w:val="22"/>
                <w:szCs w:val="22"/>
              </w:rPr>
            </w:pPr>
          </w:p>
          <w:p w14:paraId="597B8A27" w14:textId="77777777" w:rsidR="00357CEC" w:rsidRPr="001300A9" w:rsidRDefault="00357CEC" w:rsidP="00357CEC">
            <w:pPr>
              <w:pStyle w:val="Default"/>
              <w:rPr>
                <w:sz w:val="22"/>
                <w:szCs w:val="22"/>
              </w:rPr>
            </w:pPr>
          </w:p>
          <w:p w14:paraId="736FEF21" w14:textId="77777777" w:rsidR="00357CEC" w:rsidRPr="001300A9" w:rsidRDefault="00357CEC" w:rsidP="00357CEC">
            <w:pPr>
              <w:pStyle w:val="Default"/>
              <w:rPr>
                <w:sz w:val="22"/>
                <w:szCs w:val="22"/>
              </w:rPr>
            </w:pPr>
          </w:p>
          <w:p w14:paraId="2835B396" w14:textId="77777777" w:rsidR="00357CEC" w:rsidRPr="001300A9" w:rsidRDefault="00357CEC" w:rsidP="00357CEC">
            <w:pPr>
              <w:pStyle w:val="Default"/>
              <w:rPr>
                <w:sz w:val="22"/>
                <w:szCs w:val="22"/>
              </w:rPr>
            </w:pPr>
          </w:p>
          <w:p w14:paraId="2F3738DE" w14:textId="77777777" w:rsidR="00C31279" w:rsidRPr="001300A9" w:rsidRDefault="00C31279" w:rsidP="00357CEC">
            <w:pPr>
              <w:pStyle w:val="Default"/>
              <w:rPr>
                <w:sz w:val="22"/>
                <w:szCs w:val="22"/>
              </w:rPr>
            </w:pPr>
          </w:p>
          <w:p w14:paraId="748D590A" w14:textId="77777777" w:rsidR="00C31279" w:rsidRPr="001300A9" w:rsidRDefault="00C31279" w:rsidP="00357CEC">
            <w:pPr>
              <w:pStyle w:val="Default"/>
              <w:rPr>
                <w:sz w:val="22"/>
                <w:szCs w:val="22"/>
              </w:rPr>
            </w:pPr>
          </w:p>
          <w:p w14:paraId="6D9DBDE8" w14:textId="77777777" w:rsidR="00C31279" w:rsidRPr="001300A9" w:rsidRDefault="00C31279" w:rsidP="00357CEC">
            <w:pPr>
              <w:pStyle w:val="Default"/>
              <w:rPr>
                <w:sz w:val="22"/>
                <w:szCs w:val="22"/>
              </w:rPr>
            </w:pPr>
          </w:p>
          <w:p w14:paraId="578B4F10" w14:textId="77777777" w:rsidR="00C31279" w:rsidRPr="001300A9" w:rsidRDefault="00C31279" w:rsidP="00357CEC">
            <w:pPr>
              <w:pStyle w:val="Default"/>
              <w:rPr>
                <w:sz w:val="22"/>
                <w:szCs w:val="22"/>
              </w:rPr>
            </w:pPr>
          </w:p>
          <w:p w14:paraId="1664F44E" w14:textId="77777777" w:rsidR="00C31279" w:rsidRPr="001300A9" w:rsidRDefault="00C31279" w:rsidP="00357CEC">
            <w:pPr>
              <w:pStyle w:val="Default"/>
              <w:rPr>
                <w:sz w:val="22"/>
                <w:szCs w:val="22"/>
              </w:rPr>
            </w:pPr>
          </w:p>
          <w:p w14:paraId="39FCFF7F" w14:textId="77777777" w:rsidR="00C31279" w:rsidRPr="001300A9" w:rsidRDefault="00C31279" w:rsidP="00357CEC">
            <w:pPr>
              <w:pStyle w:val="Default"/>
              <w:rPr>
                <w:sz w:val="22"/>
                <w:szCs w:val="22"/>
              </w:rPr>
            </w:pPr>
          </w:p>
          <w:p w14:paraId="39E27697" w14:textId="77777777" w:rsidR="00C31279" w:rsidRPr="001300A9" w:rsidRDefault="00C31279" w:rsidP="00357CEC">
            <w:pPr>
              <w:pStyle w:val="Default"/>
              <w:rPr>
                <w:sz w:val="22"/>
                <w:szCs w:val="22"/>
              </w:rPr>
            </w:pPr>
          </w:p>
          <w:p w14:paraId="3FEC5553" w14:textId="77777777" w:rsidR="00C31279" w:rsidRPr="001300A9" w:rsidRDefault="00C31279" w:rsidP="00357CEC">
            <w:pPr>
              <w:pStyle w:val="Default"/>
              <w:rPr>
                <w:sz w:val="22"/>
                <w:szCs w:val="22"/>
              </w:rPr>
            </w:pPr>
          </w:p>
          <w:p w14:paraId="484EFD8D" w14:textId="44DC7D20" w:rsidR="00C31279" w:rsidRPr="001300A9" w:rsidRDefault="00C31279" w:rsidP="00357CEC">
            <w:pPr>
              <w:pStyle w:val="Default"/>
              <w:rPr>
                <w:sz w:val="22"/>
                <w:szCs w:val="22"/>
              </w:rPr>
            </w:pPr>
          </w:p>
          <w:p w14:paraId="59B91F8C" w14:textId="77777777" w:rsidR="008703B8" w:rsidRPr="001300A9" w:rsidRDefault="008703B8" w:rsidP="00357CEC">
            <w:pPr>
              <w:pStyle w:val="Default"/>
              <w:rPr>
                <w:sz w:val="22"/>
                <w:szCs w:val="22"/>
              </w:rPr>
            </w:pPr>
          </w:p>
          <w:p w14:paraId="434A0EF6" w14:textId="77777777" w:rsidR="00106F39" w:rsidRDefault="00106F39" w:rsidP="00357CEC">
            <w:pPr>
              <w:pStyle w:val="Default"/>
              <w:rPr>
                <w:sz w:val="22"/>
                <w:szCs w:val="22"/>
              </w:rPr>
            </w:pPr>
          </w:p>
          <w:p w14:paraId="1961EDF4" w14:textId="54C750E6" w:rsidR="00357CEC" w:rsidRPr="001300A9" w:rsidRDefault="00357CEC" w:rsidP="00357CEC">
            <w:pPr>
              <w:pStyle w:val="Default"/>
              <w:rPr>
                <w:sz w:val="22"/>
                <w:szCs w:val="22"/>
              </w:rPr>
            </w:pPr>
            <w:r w:rsidRPr="001300A9">
              <w:rPr>
                <w:sz w:val="22"/>
                <w:szCs w:val="22"/>
              </w:rPr>
              <w:t>N</w:t>
            </w:r>
          </w:p>
          <w:p w14:paraId="5CF27A69" w14:textId="77777777" w:rsidR="00357CEC" w:rsidRPr="001300A9" w:rsidRDefault="00357CEC" w:rsidP="00357CEC">
            <w:pPr>
              <w:pStyle w:val="Default"/>
              <w:rPr>
                <w:sz w:val="22"/>
                <w:szCs w:val="22"/>
              </w:rPr>
            </w:pPr>
          </w:p>
          <w:p w14:paraId="5D4F0701" w14:textId="77777777" w:rsidR="00357CEC" w:rsidRPr="001300A9" w:rsidRDefault="00357CEC" w:rsidP="00357CEC">
            <w:pPr>
              <w:pStyle w:val="Default"/>
              <w:rPr>
                <w:sz w:val="22"/>
                <w:szCs w:val="22"/>
              </w:rPr>
            </w:pPr>
          </w:p>
          <w:p w14:paraId="3BCC8AAE" w14:textId="77777777" w:rsidR="00357CEC" w:rsidRPr="001300A9" w:rsidRDefault="00357CEC" w:rsidP="00357CEC">
            <w:pPr>
              <w:pStyle w:val="Default"/>
              <w:rPr>
                <w:sz w:val="22"/>
                <w:szCs w:val="22"/>
              </w:rPr>
            </w:pPr>
          </w:p>
          <w:p w14:paraId="30F0FC78" w14:textId="77777777" w:rsidR="00357CEC" w:rsidRPr="001300A9" w:rsidRDefault="00357CEC" w:rsidP="00357CEC">
            <w:pPr>
              <w:pStyle w:val="Default"/>
              <w:rPr>
                <w:sz w:val="22"/>
                <w:szCs w:val="22"/>
              </w:rPr>
            </w:pPr>
          </w:p>
          <w:p w14:paraId="28125778" w14:textId="77777777" w:rsidR="00357CEC" w:rsidRPr="001300A9" w:rsidRDefault="00357CEC" w:rsidP="00357CEC">
            <w:pPr>
              <w:pStyle w:val="Default"/>
              <w:rPr>
                <w:sz w:val="22"/>
                <w:szCs w:val="22"/>
              </w:rPr>
            </w:pPr>
          </w:p>
          <w:p w14:paraId="62B26232" w14:textId="77777777" w:rsidR="00357CEC" w:rsidRPr="001300A9" w:rsidRDefault="00357CEC" w:rsidP="00357CEC">
            <w:pPr>
              <w:pStyle w:val="Default"/>
              <w:rPr>
                <w:sz w:val="22"/>
                <w:szCs w:val="22"/>
              </w:rPr>
            </w:pPr>
          </w:p>
          <w:p w14:paraId="706DFC91" w14:textId="77777777" w:rsidR="00357CEC" w:rsidRPr="001300A9" w:rsidRDefault="00357CEC" w:rsidP="00357CEC">
            <w:pPr>
              <w:pStyle w:val="Default"/>
              <w:rPr>
                <w:sz w:val="22"/>
                <w:szCs w:val="22"/>
              </w:rPr>
            </w:pPr>
          </w:p>
          <w:p w14:paraId="467F2FCD" w14:textId="77777777" w:rsidR="00C31279" w:rsidRPr="001300A9" w:rsidRDefault="00C31279" w:rsidP="00357CEC">
            <w:pPr>
              <w:pStyle w:val="Default"/>
              <w:rPr>
                <w:sz w:val="22"/>
                <w:szCs w:val="22"/>
              </w:rPr>
            </w:pPr>
          </w:p>
          <w:p w14:paraId="18599F52" w14:textId="77777777" w:rsidR="00C31279" w:rsidRPr="001300A9" w:rsidRDefault="00C31279" w:rsidP="00357CEC">
            <w:pPr>
              <w:pStyle w:val="Default"/>
              <w:rPr>
                <w:sz w:val="22"/>
                <w:szCs w:val="22"/>
              </w:rPr>
            </w:pPr>
          </w:p>
          <w:p w14:paraId="4141CA15" w14:textId="77777777" w:rsidR="00C31279" w:rsidRPr="001300A9" w:rsidRDefault="00C31279" w:rsidP="00357CEC">
            <w:pPr>
              <w:pStyle w:val="Default"/>
              <w:rPr>
                <w:sz w:val="22"/>
                <w:szCs w:val="22"/>
              </w:rPr>
            </w:pPr>
          </w:p>
          <w:p w14:paraId="13F25170" w14:textId="032E042F" w:rsidR="00C31279" w:rsidRPr="001300A9" w:rsidRDefault="00260BC4" w:rsidP="00357CEC">
            <w:pPr>
              <w:pStyle w:val="Default"/>
              <w:rPr>
                <w:sz w:val="22"/>
                <w:szCs w:val="22"/>
              </w:rPr>
            </w:pPr>
            <w:r>
              <w:rPr>
                <w:sz w:val="22"/>
                <w:szCs w:val="22"/>
              </w:rPr>
              <w:t>N</w:t>
            </w:r>
          </w:p>
          <w:p w14:paraId="522AE5F1" w14:textId="77777777" w:rsidR="00C31279" w:rsidRPr="001300A9" w:rsidRDefault="00C31279" w:rsidP="00357CEC">
            <w:pPr>
              <w:pStyle w:val="Default"/>
              <w:rPr>
                <w:sz w:val="22"/>
                <w:szCs w:val="22"/>
              </w:rPr>
            </w:pPr>
          </w:p>
          <w:p w14:paraId="52C4277D" w14:textId="77777777" w:rsidR="00C31279" w:rsidRPr="001300A9" w:rsidRDefault="00C31279" w:rsidP="00357CEC">
            <w:pPr>
              <w:pStyle w:val="Default"/>
              <w:rPr>
                <w:sz w:val="22"/>
                <w:szCs w:val="22"/>
              </w:rPr>
            </w:pPr>
          </w:p>
          <w:p w14:paraId="4A2BD78D" w14:textId="77777777" w:rsidR="00C31279" w:rsidRPr="001300A9" w:rsidRDefault="00C31279" w:rsidP="00357CEC">
            <w:pPr>
              <w:pStyle w:val="Default"/>
              <w:rPr>
                <w:sz w:val="22"/>
                <w:szCs w:val="22"/>
              </w:rPr>
            </w:pPr>
          </w:p>
          <w:p w14:paraId="0EF920B4" w14:textId="77777777" w:rsidR="00C31279" w:rsidRPr="001300A9" w:rsidRDefault="00C31279" w:rsidP="00357CEC">
            <w:pPr>
              <w:pStyle w:val="Default"/>
              <w:rPr>
                <w:sz w:val="22"/>
                <w:szCs w:val="22"/>
              </w:rPr>
            </w:pPr>
          </w:p>
          <w:p w14:paraId="06686320" w14:textId="77777777" w:rsidR="00C31279" w:rsidRPr="001300A9" w:rsidRDefault="00C31279" w:rsidP="00357CEC">
            <w:pPr>
              <w:pStyle w:val="Default"/>
              <w:rPr>
                <w:sz w:val="22"/>
                <w:szCs w:val="22"/>
              </w:rPr>
            </w:pPr>
          </w:p>
          <w:p w14:paraId="6DAF6BE8" w14:textId="77777777" w:rsidR="00C31279" w:rsidRPr="001300A9" w:rsidRDefault="00C31279" w:rsidP="00357CEC">
            <w:pPr>
              <w:pStyle w:val="Default"/>
              <w:rPr>
                <w:sz w:val="22"/>
                <w:szCs w:val="22"/>
              </w:rPr>
            </w:pPr>
          </w:p>
          <w:p w14:paraId="7DCBA6B4" w14:textId="77777777" w:rsidR="00C31279" w:rsidRPr="001300A9" w:rsidRDefault="00C31279" w:rsidP="00357CEC">
            <w:pPr>
              <w:pStyle w:val="Default"/>
              <w:rPr>
                <w:sz w:val="22"/>
                <w:szCs w:val="22"/>
              </w:rPr>
            </w:pPr>
          </w:p>
          <w:p w14:paraId="08C73850" w14:textId="77777777" w:rsidR="00C31279" w:rsidRPr="001300A9" w:rsidRDefault="00C31279" w:rsidP="00357CEC">
            <w:pPr>
              <w:pStyle w:val="Default"/>
              <w:rPr>
                <w:sz w:val="22"/>
                <w:szCs w:val="22"/>
              </w:rPr>
            </w:pPr>
          </w:p>
          <w:p w14:paraId="5DC7FE59" w14:textId="77777777" w:rsidR="00C31279" w:rsidRPr="001300A9" w:rsidRDefault="00C31279" w:rsidP="00357CEC">
            <w:pPr>
              <w:pStyle w:val="Default"/>
              <w:rPr>
                <w:sz w:val="22"/>
                <w:szCs w:val="22"/>
              </w:rPr>
            </w:pPr>
          </w:p>
          <w:p w14:paraId="5C757964" w14:textId="77777777" w:rsidR="00C31279" w:rsidRPr="001300A9" w:rsidRDefault="00C31279" w:rsidP="00357CEC">
            <w:pPr>
              <w:pStyle w:val="Default"/>
              <w:rPr>
                <w:sz w:val="22"/>
                <w:szCs w:val="22"/>
              </w:rPr>
            </w:pPr>
          </w:p>
          <w:p w14:paraId="21BEE219" w14:textId="77777777" w:rsidR="00C31279" w:rsidRPr="001300A9" w:rsidRDefault="00C31279" w:rsidP="00357CEC">
            <w:pPr>
              <w:pStyle w:val="Default"/>
              <w:rPr>
                <w:sz w:val="22"/>
                <w:szCs w:val="22"/>
              </w:rPr>
            </w:pPr>
          </w:p>
          <w:p w14:paraId="32F49AB8" w14:textId="77777777" w:rsidR="00C31279" w:rsidRPr="001300A9" w:rsidRDefault="00C31279" w:rsidP="00357CEC">
            <w:pPr>
              <w:pStyle w:val="Default"/>
              <w:rPr>
                <w:sz w:val="22"/>
                <w:szCs w:val="22"/>
              </w:rPr>
            </w:pPr>
          </w:p>
          <w:p w14:paraId="6CE0632D" w14:textId="77777777" w:rsidR="00C31279" w:rsidRPr="001300A9" w:rsidRDefault="00C31279" w:rsidP="00357CEC">
            <w:pPr>
              <w:pStyle w:val="Default"/>
              <w:rPr>
                <w:sz w:val="22"/>
                <w:szCs w:val="22"/>
              </w:rPr>
            </w:pPr>
          </w:p>
          <w:p w14:paraId="7749A97C" w14:textId="77777777" w:rsidR="00053DCA" w:rsidRPr="001300A9" w:rsidRDefault="00053DCA" w:rsidP="00357CEC">
            <w:pPr>
              <w:pStyle w:val="Default"/>
              <w:rPr>
                <w:sz w:val="22"/>
                <w:szCs w:val="22"/>
              </w:rPr>
            </w:pPr>
          </w:p>
          <w:p w14:paraId="5FF7E8DD" w14:textId="77777777" w:rsidR="00053DCA" w:rsidRPr="001300A9" w:rsidRDefault="00053DCA" w:rsidP="00357CEC">
            <w:pPr>
              <w:pStyle w:val="Default"/>
              <w:rPr>
                <w:sz w:val="22"/>
                <w:szCs w:val="22"/>
              </w:rPr>
            </w:pPr>
          </w:p>
          <w:p w14:paraId="44AD5900" w14:textId="77777777" w:rsidR="00053DCA" w:rsidRPr="001300A9" w:rsidRDefault="00053DCA" w:rsidP="00357CEC">
            <w:pPr>
              <w:pStyle w:val="Default"/>
              <w:rPr>
                <w:sz w:val="22"/>
                <w:szCs w:val="22"/>
              </w:rPr>
            </w:pPr>
          </w:p>
          <w:p w14:paraId="493C325C" w14:textId="77777777" w:rsidR="00053DCA" w:rsidRPr="001300A9" w:rsidRDefault="00053DCA" w:rsidP="00357CEC">
            <w:pPr>
              <w:pStyle w:val="Default"/>
              <w:rPr>
                <w:sz w:val="22"/>
                <w:szCs w:val="22"/>
              </w:rPr>
            </w:pPr>
          </w:p>
          <w:p w14:paraId="2564D9B3" w14:textId="77777777" w:rsidR="00053DCA" w:rsidRPr="001300A9" w:rsidRDefault="00053DCA" w:rsidP="00357CEC">
            <w:pPr>
              <w:pStyle w:val="Default"/>
              <w:rPr>
                <w:sz w:val="22"/>
                <w:szCs w:val="22"/>
              </w:rPr>
            </w:pPr>
          </w:p>
          <w:p w14:paraId="29007F8C" w14:textId="77777777" w:rsidR="00053DCA" w:rsidRPr="001300A9" w:rsidRDefault="00053DCA" w:rsidP="00357CEC">
            <w:pPr>
              <w:pStyle w:val="Default"/>
              <w:rPr>
                <w:sz w:val="22"/>
                <w:szCs w:val="22"/>
              </w:rPr>
            </w:pPr>
          </w:p>
          <w:p w14:paraId="1329D755" w14:textId="77777777" w:rsidR="00053DCA" w:rsidRPr="001300A9" w:rsidRDefault="00053DCA" w:rsidP="00357CEC">
            <w:pPr>
              <w:pStyle w:val="Default"/>
              <w:rPr>
                <w:sz w:val="22"/>
                <w:szCs w:val="22"/>
              </w:rPr>
            </w:pPr>
          </w:p>
          <w:p w14:paraId="47369791" w14:textId="77777777" w:rsidR="00053DCA" w:rsidRPr="001300A9" w:rsidRDefault="00053DCA" w:rsidP="00357CEC">
            <w:pPr>
              <w:pStyle w:val="Default"/>
              <w:rPr>
                <w:sz w:val="22"/>
                <w:szCs w:val="22"/>
              </w:rPr>
            </w:pPr>
          </w:p>
          <w:p w14:paraId="14617EA7" w14:textId="77777777" w:rsidR="00053DCA" w:rsidRPr="001300A9" w:rsidRDefault="00053DCA" w:rsidP="00357CEC">
            <w:pPr>
              <w:pStyle w:val="Default"/>
              <w:rPr>
                <w:sz w:val="22"/>
                <w:szCs w:val="22"/>
              </w:rPr>
            </w:pPr>
          </w:p>
          <w:p w14:paraId="7B44927F" w14:textId="77777777" w:rsidR="00053DCA" w:rsidRPr="001300A9" w:rsidRDefault="00053DCA" w:rsidP="00357CEC">
            <w:pPr>
              <w:pStyle w:val="Default"/>
              <w:rPr>
                <w:sz w:val="22"/>
                <w:szCs w:val="22"/>
              </w:rPr>
            </w:pPr>
          </w:p>
          <w:p w14:paraId="10B51D6E" w14:textId="77777777" w:rsidR="00053DCA" w:rsidRPr="001300A9" w:rsidRDefault="00053DCA" w:rsidP="00357CEC">
            <w:pPr>
              <w:pStyle w:val="Default"/>
              <w:rPr>
                <w:sz w:val="22"/>
                <w:szCs w:val="22"/>
              </w:rPr>
            </w:pPr>
          </w:p>
          <w:p w14:paraId="28245734" w14:textId="2DFC1F6B" w:rsidR="00053DCA" w:rsidRPr="001300A9" w:rsidRDefault="00053DCA" w:rsidP="00357CEC">
            <w:pPr>
              <w:pStyle w:val="Default"/>
              <w:rPr>
                <w:sz w:val="22"/>
                <w:szCs w:val="22"/>
              </w:rPr>
            </w:pPr>
          </w:p>
          <w:p w14:paraId="3C4E1261" w14:textId="77777777" w:rsidR="008703B8" w:rsidRPr="001300A9" w:rsidRDefault="008703B8" w:rsidP="00357CEC">
            <w:pPr>
              <w:pStyle w:val="Default"/>
              <w:rPr>
                <w:sz w:val="22"/>
                <w:szCs w:val="22"/>
              </w:rPr>
            </w:pPr>
          </w:p>
          <w:p w14:paraId="37AB6C51" w14:textId="77777777" w:rsidR="003367CB" w:rsidRDefault="003367CB" w:rsidP="00357CEC">
            <w:pPr>
              <w:pStyle w:val="Default"/>
              <w:rPr>
                <w:sz w:val="22"/>
                <w:szCs w:val="22"/>
              </w:rPr>
            </w:pPr>
          </w:p>
          <w:p w14:paraId="2EA42C1F" w14:textId="77777777" w:rsidR="00106F39" w:rsidRDefault="00106F39" w:rsidP="00357CEC">
            <w:pPr>
              <w:pStyle w:val="Default"/>
              <w:rPr>
                <w:sz w:val="22"/>
                <w:szCs w:val="22"/>
              </w:rPr>
            </w:pPr>
          </w:p>
          <w:p w14:paraId="302FAB8D" w14:textId="77777777" w:rsidR="00106F39" w:rsidRDefault="00106F39" w:rsidP="00357CEC">
            <w:pPr>
              <w:pStyle w:val="Default"/>
              <w:rPr>
                <w:sz w:val="22"/>
                <w:szCs w:val="22"/>
              </w:rPr>
            </w:pPr>
          </w:p>
          <w:p w14:paraId="1A75CA98" w14:textId="77777777" w:rsidR="00106F39" w:rsidRDefault="00106F39" w:rsidP="00357CEC">
            <w:pPr>
              <w:pStyle w:val="Default"/>
              <w:rPr>
                <w:sz w:val="22"/>
                <w:szCs w:val="22"/>
              </w:rPr>
            </w:pPr>
          </w:p>
          <w:p w14:paraId="30930A01" w14:textId="77777777" w:rsidR="00106F39" w:rsidRDefault="00106F39" w:rsidP="00357CEC">
            <w:pPr>
              <w:pStyle w:val="Default"/>
              <w:rPr>
                <w:sz w:val="22"/>
                <w:szCs w:val="22"/>
              </w:rPr>
            </w:pPr>
          </w:p>
          <w:p w14:paraId="0565EDC6" w14:textId="77777777" w:rsidR="00106F39" w:rsidRDefault="00106F39" w:rsidP="00357CEC">
            <w:pPr>
              <w:pStyle w:val="Default"/>
              <w:rPr>
                <w:sz w:val="22"/>
                <w:szCs w:val="22"/>
              </w:rPr>
            </w:pPr>
          </w:p>
          <w:p w14:paraId="11C95468" w14:textId="77777777" w:rsidR="00106F39" w:rsidRDefault="00106F39" w:rsidP="00357CEC">
            <w:pPr>
              <w:pStyle w:val="Default"/>
              <w:rPr>
                <w:sz w:val="22"/>
                <w:szCs w:val="22"/>
              </w:rPr>
            </w:pPr>
          </w:p>
          <w:p w14:paraId="7680C239" w14:textId="77777777" w:rsidR="00106F39" w:rsidRDefault="00106F39" w:rsidP="00357CEC">
            <w:pPr>
              <w:pStyle w:val="Default"/>
              <w:rPr>
                <w:sz w:val="22"/>
                <w:szCs w:val="22"/>
              </w:rPr>
            </w:pPr>
          </w:p>
          <w:p w14:paraId="497B2947" w14:textId="77777777" w:rsidR="002C79F4" w:rsidRDefault="002C79F4" w:rsidP="00357CEC">
            <w:pPr>
              <w:pStyle w:val="Default"/>
              <w:rPr>
                <w:sz w:val="22"/>
                <w:szCs w:val="22"/>
              </w:rPr>
            </w:pPr>
          </w:p>
          <w:p w14:paraId="24423D64" w14:textId="77777777" w:rsidR="002C79F4" w:rsidRDefault="002C79F4" w:rsidP="00357CEC">
            <w:pPr>
              <w:pStyle w:val="Default"/>
              <w:rPr>
                <w:sz w:val="22"/>
                <w:szCs w:val="22"/>
              </w:rPr>
            </w:pPr>
          </w:p>
          <w:p w14:paraId="725067BB" w14:textId="77777777" w:rsidR="002C79F4" w:rsidRDefault="002C79F4" w:rsidP="00357CEC">
            <w:pPr>
              <w:pStyle w:val="Default"/>
              <w:rPr>
                <w:sz w:val="22"/>
                <w:szCs w:val="22"/>
              </w:rPr>
            </w:pPr>
          </w:p>
          <w:p w14:paraId="024348EB" w14:textId="77777777" w:rsidR="002C79F4" w:rsidRDefault="002C79F4" w:rsidP="00357CEC">
            <w:pPr>
              <w:pStyle w:val="Default"/>
              <w:rPr>
                <w:sz w:val="22"/>
                <w:szCs w:val="22"/>
              </w:rPr>
            </w:pPr>
          </w:p>
          <w:p w14:paraId="44D0EF0C" w14:textId="77777777" w:rsidR="002C79F4" w:rsidRDefault="002C79F4" w:rsidP="00357CEC">
            <w:pPr>
              <w:pStyle w:val="Default"/>
              <w:rPr>
                <w:sz w:val="22"/>
                <w:szCs w:val="22"/>
              </w:rPr>
            </w:pPr>
          </w:p>
          <w:p w14:paraId="3607E583" w14:textId="77777777" w:rsidR="002C79F4" w:rsidRDefault="002C79F4" w:rsidP="00357CEC">
            <w:pPr>
              <w:pStyle w:val="Default"/>
              <w:rPr>
                <w:sz w:val="22"/>
                <w:szCs w:val="22"/>
              </w:rPr>
            </w:pPr>
          </w:p>
          <w:p w14:paraId="5F313A84" w14:textId="77777777" w:rsidR="002C79F4" w:rsidRDefault="002C79F4" w:rsidP="00357CEC">
            <w:pPr>
              <w:pStyle w:val="Default"/>
              <w:rPr>
                <w:sz w:val="22"/>
                <w:szCs w:val="22"/>
              </w:rPr>
            </w:pPr>
          </w:p>
          <w:p w14:paraId="2CCE1D1B" w14:textId="77777777" w:rsidR="002C79F4" w:rsidRDefault="002C79F4" w:rsidP="00357CEC">
            <w:pPr>
              <w:pStyle w:val="Default"/>
              <w:rPr>
                <w:sz w:val="22"/>
                <w:szCs w:val="22"/>
              </w:rPr>
            </w:pPr>
          </w:p>
          <w:p w14:paraId="6AB353F2" w14:textId="77777777" w:rsidR="002C79F4" w:rsidRDefault="002C79F4" w:rsidP="00357CEC">
            <w:pPr>
              <w:pStyle w:val="Default"/>
              <w:rPr>
                <w:sz w:val="22"/>
                <w:szCs w:val="22"/>
              </w:rPr>
            </w:pPr>
          </w:p>
          <w:p w14:paraId="61594FA4" w14:textId="77777777" w:rsidR="002C79F4" w:rsidRDefault="002C79F4" w:rsidP="00357CEC">
            <w:pPr>
              <w:pStyle w:val="Default"/>
              <w:rPr>
                <w:sz w:val="22"/>
                <w:szCs w:val="22"/>
              </w:rPr>
            </w:pPr>
          </w:p>
          <w:p w14:paraId="58F8D0A4" w14:textId="77777777" w:rsidR="002C79F4" w:rsidRDefault="002C79F4" w:rsidP="00357CEC">
            <w:pPr>
              <w:pStyle w:val="Default"/>
              <w:rPr>
                <w:sz w:val="22"/>
                <w:szCs w:val="22"/>
              </w:rPr>
            </w:pPr>
          </w:p>
          <w:p w14:paraId="43DCF763" w14:textId="77777777" w:rsidR="002C79F4" w:rsidRDefault="002C79F4" w:rsidP="00357CEC">
            <w:pPr>
              <w:pStyle w:val="Default"/>
              <w:rPr>
                <w:sz w:val="22"/>
                <w:szCs w:val="22"/>
              </w:rPr>
            </w:pPr>
          </w:p>
          <w:p w14:paraId="436C39C0" w14:textId="77777777" w:rsidR="002C79F4" w:rsidRDefault="002C79F4" w:rsidP="00357CEC">
            <w:pPr>
              <w:pStyle w:val="Default"/>
              <w:rPr>
                <w:sz w:val="22"/>
                <w:szCs w:val="22"/>
              </w:rPr>
            </w:pPr>
          </w:p>
          <w:p w14:paraId="03EFB646" w14:textId="77777777" w:rsidR="002C79F4" w:rsidRDefault="002C79F4" w:rsidP="00357CEC">
            <w:pPr>
              <w:pStyle w:val="Default"/>
              <w:rPr>
                <w:sz w:val="22"/>
                <w:szCs w:val="22"/>
              </w:rPr>
            </w:pPr>
          </w:p>
          <w:p w14:paraId="3D027AF5" w14:textId="77777777" w:rsidR="002C79F4" w:rsidRDefault="002C79F4" w:rsidP="00357CEC">
            <w:pPr>
              <w:pStyle w:val="Default"/>
              <w:rPr>
                <w:sz w:val="22"/>
                <w:szCs w:val="22"/>
              </w:rPr>
            </w:pPr>
          </w:p>
          <w:p w14:paraId="1567AE9D" w14:textId="77777777" w:rsidR="002C79F4" w:rsidRDefault="002C79F4" w:rsidP="00357CEC">
            <w:pPr>
              <w:pStyle w:val="Default"/>
              <w:rPr>
                <w:sz w:val="22"/>
                <w:szCs w:val="22"/>
              </w:rPr>
            </w:pPr>
          </w:p>
          <w:p w14:paraId="056110A5" w14:textId="77777777" w:rsidR="002C79F4" w:rsidRDefault="002C79F4" w:rsidP="00357CEC">
            <w:pPr>
              <w:pStyle w:val="Default"/>
              <w:rPr>
                <w:sz w:val="22"/>
                <w:szCs w:val="22"/>
              </w:rPr>
            </w:pPr>
          </w:p>
          <w:p w14:paraId="2C0D5523" w14:textId="77777777" w:rsidR="002C79F4" w:rsidRDefault="002C79F4" w:rsidP="00357CEC">
            <w:pPr>
              <w:pStyle w:val="Default"/>
              <w:rPr>
                <w:sz w:val="22"/>
                <w:szCs w:val="22"/>
              </w:rPr>
            </w:pPr>
          </w:p>
          <w:p w14:paraId="775B66D4" w14:textId="77777777" w:rsidR="002C79F4" w:rsidRDefault="002C79F4" w:rsidP="00357CEC">
            <w:pPr>
              <w:pStyle w:val="Default"/>
              <w:rPr>
                <w:sz w:val="22"/>
                <w:szCs w:val="22"/>
              </w:rPr>
            </w:pPr>
          </w:p>
          <w:p w14:paraId="673284EC" w14:textId="77777777" w:rsidR="002C79F4" w:rsidRDefault="002C79F4" w:rsidP="00357CEC">
            <w:pPr>
              <w:pStyle w:val="Default"/>
              <w:rPr>
                <w:sz w:val="22"/>
                <w:szCs w:val="22"/>
              </w:rPr>
            </w:pPr>
          </w:p>
          <w:p w14:paraId="73670721" w14:textId="77777777" w:rsidR="002C79F4" w:rsidRDefault="002C79F4" w:rsidP="00357CEC">
            <w:pPr>
              <w:pStyle w:val="Default"/>
              <w:rPr>
                <w:sz w:val="22"/>
                <w:szCs w:val="22"/>
              </w:rPr>
            </w:pPr>
          </w:p>
          <w:p w14:paraId="7F18F808" w14:textId="77777777" w:rsidR="002C79F4" w:rsidRDefault="002C79F4" w:rsidP="00357CEC">
            <w:pPr>
              <w:pStyle w:val="Default"/>
              <w:rPr>
                <w:sz w:val="22"/>
                <w:szCs w:val="22"/>
              </w:rPr>
            </w:pPr>
          </w:p>
          <w:p w14:paraId="4A3C7CFD" w14:textId="77777777" w:rsidR="002C79F4" w:rsidRDefault="002C79F4" w:rsidP="00357CEC">
            <w:pPr>
              <w:pStyle w:val="Default"/>
              <w:rPr>
                <w:sz w:val="22"/>
                <w:szCs w:val="22"/>
              </w:rPr>
            </w:pPr>
          </w:p>
          <w:p w14:paraId="14D2D9A3" w14:textId="77777777" w:rsidR="00190F49" w:rsidRDefault="00190F49" w:rsidP="00357CEC">
            <w:pPr>
              <w:pStyle w:val="Default"/>
              <w:rPr>
                <w:sz w:val="22"/>
                <w:szCs w:val="22"/>
              </w:rPr>
            </w:pPr>
          </w:p>
          <w:p w14:paraId="15321B8B" w14:textId="244F6498" w:rsidR="00357CEC" w:rsidRPr="001300A9" w:rsidRDefault="00357CEC" w:rsidP="00357CEC">
            <w:pPr>
              <w:pStyle w:val="Default"/>
              <w:rPr>
                <w:sz w:val="22"/>
                <w:szCs w:val="22"/>
              </w:rPr>
            </w:pPr>
            <w:proofErr w:type="spellStart"/>
            <w:r w:rsidRPr="001300A9">
              <w:rPr>
                <w:sz w:val="22"/>
                <w:szCs w:val="22"/>
              </w:rPr>
              <w:t>n.a</w:t>
            </w:r>
            <w:proofErr w:type="spellEnd"/>
            <w:r w:rsidRPr="001300A9">
              <w:rPr>
                <w:sz w:val="22"/>
                <w:szCs w:val="22"/>
              </w:rPr>
              <w:t>.</w:t>
            </w:r>
          </w:p>
          <w:p w14:paraId="3E575912" w14:textId="77777777" w:rsidR="00357CEC" w:rsidRPr="001300A9" w:rsidRDefault="00357CEC" w:rsidP="00357CEC">
            <w:pPr>
              <w:pStyle w:val="Default"/>
              <w:rPr>
                <w:sz w:val="22"/>
                <w:szCs w:val="22"/>
              </w:rPr>
            </w:pPr>
          </w:p>
          <w:p w14:paraId="3800DC82" w14:textId="77777777" w:rsidR="00357CEC" w:rsidRPr="001300A9" w:rsidRDefault="00357CEC" w:rsidP="00357CEC">
            <w:pPr>
              <w:pStyle w:val="Default"/>
              <w:rPr>
                <w:sz w:val="22"/>
                <w:szCs w:val="22"/>
              </w:rPr>
            </w:pPr>
          </w:p>
          <w:p w14:paraId="14184052" w14:textId="77777777" w:rsidR="00357CEC" w:rsidRPr="001300A9" w:rsidRDefault="00357CEC" w:rsidP="00357CEC">
            <w:pPr>
              <w:pStyle w:val="Default"/>
              <w:rPr>
                <w:sz w:val="22"/>
                <w:szCs w:val="22"/>
              </w:rPr>
            </w:pPr>
          </w:p>
          <w:p w14:paraId="01683C25" w14:textId="77777777" w:rsidR="00357CEC" w:rsidRPr="001300A9" w:rsidRDefault="00357CEC" w:rsidP="00357CEC">
            <w:pPr>
              <w:pStyle w:val="Default"/>
              <w:rPr>
                <w:sz w:val="22"/>
                <w:szCs w:val="22"/>
              </w:rPr>
            </w:pPr>
          </w:p>
          <w:p w14:paraId="16D80D51" w14:textId="77777777" w:rsidR="00357CEC" w:rsidRPr="001300A9" w:rsidRDefault="00357CEC" w:rsidP="00357CEC">
            <w:pPr>
              <w:pStyle w:val="Default"/>
              <w:rPr>
                <w:sz w:val="22"/>
                <w:szCs w:val="22"/>
              </w:rPr>
            </w:pPr>
          </w:p>
          <w:p w14:paraId="7983A6E7" w14:textId="77777777" w:rsidR="00357CEC" w:rsidRPr="001300A9" w:rsidRDefault="00357CEC" w:rsidP="00357CEC">
            <w:pPr>
              <w:pStyle w:val="Default"/>
              <w:rPr>
                <w:sz w:val="22"/>
                <w:szCs w:val="22"/>
              </w:rPr>
            </w:pPr>
          </w:p>
          <w:p w14:paraId="4AA6E663" w14:textId="77777777" w:rsidR="00053DCA" w:rsidRPr="001300A9" w:rsidRDefault="00053DCA" w:rsidP="00357CEC">
            <w:pPr>
              <w:pStyle w:val="Default"/>
              <w:rPr>
                <w:sz w:val="22"/>
                <w:szCs w:val="22"/>
              </w:rPr>
            </w:pPr>
          </w:p>
          <w:p w14:paraId="7FE14CF0" w14:textId="77777777" w:rsidR="00053DCA" w:rsidRPr="001300A9" w:rsidRDefault="00053DCA" w:rsidP="00357CEC">
            <w:pPr>
              <w:pStyle w:val="Default"/>
              <w:rPr>
                <w:sz w:val="22"/>
                <w:szCs w:val="22"/>
              </w:rPr>
            </w:pPr>
          </w:p>
          <w:p w14:paraId="01517F63" w14:textId="77777777" w:rsidR="00053DCA" w:rsidRPr="001300A9" w:rsidRDefault="00053DCA" w:rsidP="00357CEC">
            <w:pPr>
              <w:pStyle w:val="Default"/>
              <w:rPr>
                <w:sz w:val="22"/>
                <w:szCs w:val="22"/>
              </w:rPr>
            </w:pPr>
          </w:p>
          <w:p w14:paraId="2E90B788" w14:textId="77777777" w:rsidR="00053DCA" w:rsidRPr="001300A9" w:rsidRDefault="00053DCA" w:rsidP="00357CEC">
            <w:pPr>
              <w:pStyle w:val="Default"/>
              <w:rPr>
                <w:sz w:val="22"/>
                <w:szCs w:val="22"/>
              </w:rPr>
            </w:pPr>
          </w:p>
          <w:p w14:paraId="00DDA996" w14:textId="77777777" w:rsidR="00053DCA" w:rsidRPr="001300A9" w:rsidRDefault="00053DCA" w:rsidP="00357CEC">
            <w:pPr>
              <w:pStyle w:val="Default"/>
              <w:rPr>
                <w:sz w:val="22"/>
                <w:szCs w:val="22"/>
              </w:rPr>
            </w:pPr>
          </w:p>
          <w:p w14:paraId="52BFA1EA" w14:textId="77777777" w:rsidR="00053DCA" w:rsidRPr="001300A9" w:rsidRDefault="00053DCA" w:rsidP="00357CEC">
            <w:pPr>
              <w:pStyle w:val="Default"/>
              <w:rPr>
                <w:sz w:val="22"/>
                <w:szCs w:val="22"/>
              </w:rPr>
            </w:pPr>
          </w:p>
          <w:p w14:paraId="1CB37BF8" w14:textId="77777777" w:rsidR="00053DCA" w:rsidRPr="001300A9" w:rsidRDefault="00053DCA" w:rsidP="00357CEC">
            <w:pPr>
              <w:pStyle w:val="Default"/>
              <w:rPr>
                <w:sz w:val="22"/>
                <w:szCs w:val="22"/>
              </w:rPr>
            </w:pPr>
          </w:p>
          <w:p w14:paraId="2CA79A48" w14:textId="54C456C0" w:rsidR="00053DCA" w:rsidRPr="001300A9" w:rsidRDefault="00053DCA" w:rsidP="00357CEC">
            <w:pPr>
              <w:pStyle w:val="Default"/>
              <w:rPr>
                <w:sz w:val="22"/>
                <w:szCs w:val="22"/>
              </w:rPr>
            </w:pPr>
          </w:p>
          <w:p w14:paraId="51B4329F" w14:textId="511125CE" w:rsidR="00260BC4" w:rsidRDefault="00260BC4" w:rsidP="00357CEC">
            <w:pPr>
              <w:pStyle w:val="Default"/>
              <w:rPr>
                <w:sz w:val="22"/>
                <w:szCs w:val="22"/>
              </w:rPr>
            </w:pPr>
          </w:p>
          <w:p w14:paraId="276D6780" w14:textId="176325F7" w:rsidR="00357CEC" w:rsidRPr="001300A9" w:rsidRDefault="00357CEC" w:rsidP="00357CEC">
            <w:pPr>
              <w:pStyle w:val="Default"/>
              <w:rPr>
                <w:sz w:val="22"/>
                <w:szCs w:val="22"/>
              </w:rPr>
            </w:pPr>
            <w:r w:rsidRPr="001300A9">
              <w:rPr>
                <w:sz w:val="22"/>
                <w:szCs w:val="22"/>
              </w:rPr>
              <w:t>N</w:t>
            </w:r>
          </w:p>
          <w:p w14:paraId="2B285F8F" w14:textId="77777777" w:rsidR="00357CEC" w:rsidRPr="001300A9" w:rsidRDefault="00357CEC" w:rsidP="00357CEC">
            <w:pPr>
              <w:pStyle w:val="Default"/>
              <w:rPr>
                <w:sz w:val="22"/>
                <w:szCs w:val="22"/>
              </w:rPr>
            </w:pPr>
          </w:p>
        </w:tc>
        <w:tc>
          <w:tcPr>
            <w:tcW w:w="283" w:type="dxa"/>
          </w:tcPr>
          <w:p w14:paraId="4724B231" w14:textId="77777777" w:rsidR="00357CEC" w:rsidRDefault="002C79F4" w:rsidP="00357CEC">
            <w:pPr>
              <w:pStyle w:val="Default"/>
              <w:rPr>
                <w:sz w:val="22"/>
                <w:szCs w:val="22"/>
              </w:rPr>
            </w:pPr>
            <w:r>
              <w:rPr>
                <w:sz w:val="22"/>
                <w:szCs w:val="22"/>
              </w:rPr>
              <w:lastRenderedPageBreak/>
              <w:t>NZ</w:t>
            </w:r>
          </w:p>
          <w:p w14:paraId="34C6B40D" w14:textId="77777777" w:rsidR="00134F85" w:rsidRDefault="00134F85" w:rsidP="00357CEC">
            <w:pPr>
              <w:pStyle w:val="Default"/>
              <w:rPr>
                <w:sz w:val="22"/>
                <w:szCs w:val="22"/>
              </w:rPr>
            </w:pPr>
          </w:p>
          <w:p w14:paraId="0C53A84C" w14:textId="77777777" w:rsidR="00134F85" w:rsidRDefault="00134F85" w:rsidP="00357CEC">
            <w:pPr>
              <w:pStyle w:val="Default"/>
              <w:rPr>
                <w:sz w:val="22"/>
                <w:szCs w:val="22"/>
              </w:rPr>
            </w:pPr>
          </w:p>
          <w:p w14:paraId="4DA6CF89" w14:textId="77777777" w:rsidR="00134F85" w:rsidRDefault="00134F85" w:rsidP="00357CEC">
            <w:pPr>
              <w:pStyle w:val="Default"/>
              <w:rPr>
                <w:sz w:val="22"/>
                <w:szCs w:val="22"/>
              </w:rPr>
            </w:pPr>
          </w:p>
          <w:p w14:paraId="7C6D0B2C" w14:textId="77777777" w:rsidR="00134F85" w:rsidRDefault="00134F85" w:rsidP="00357CEC">
            <w:pPr>
              <w:pStyle w:val="Default"/>
              <w:rPr>
                <w:sz w:val="22"/>
                <w:szCs w:val="22"/>
              </w:rPr>
            </w:pPr>
          </w:p>
          <w:p w14:paraId="41621F7A" w14:textId="77777777" w:rsidR="00134F85" w:rsidRDefault="00134F85" w:rsidP="00357CEC">
            <w:pPr>
              <w:pStyle w:val="Default"/>
              <w:rPr>
                <w:sz w:val="22"/>
                <w:szCs w:val="22"/>
              </w:rPr>
            </w:pPr>
          </w:p>
          <w:p w14:paraId="7DC5D745" w14:textId="77777777" w:rsidR="00134F85" w:rsidRDefault="00134F85" w:rsidP="00357CEC">
            <w:pPr>
              <w:pStyle w:val="Default"/>
              <w:rPr>
                <w:sz w:val="22"/>
                <w:szCs w:val="22"/>
              </w:rPr>
            </w:pPr>
          </w:p>
          <w:p w14:paraId="1F67B707" w14:textId="77777777" w:rsidR="00134F85" w:rsidRDefault="00134F85" w:rsidP="00357CEC">
            <w:pPr>
              <w:pStyle w:val="Default"/>
              <w:rPr>
                <w:sz w:val="22"/>
                <w:szCs w:val="22"/>
              </w:rPr>
            </w:pPr>
          </w:p>
          <w:p w14:paraId="3E831010" w14:textId="77777777" w:rsidR="00134F85" w:rsidRDefault="00134F85" w:rsidP="00357CEC">
            <w:pPr>
              <w:pStyle w:val="Default"/>
              <w:rPr>
                <w:sz w:val="22"/>
                <w:szCs w:val="22"/>
              </w:rPr>
            </w:pPr>
          </w:p>
          <w:p w14:paraId="7CBE1472" w14:textId="77777777" w:rsidR="00134F85" w:rsidRDefault="00134F85" w:rsidP="00357CEC">
            <w:pPr>
              <w:pStyle w:val="Default"/>
              <w:rPr>
                <w:sz w:val="22"/>
                <w:szCs w:val="22"/>
              </w:rPr>
            </w:pPr>
          </w:p>
          <w:p w14:paraId="1E0C75E7" w14:textId="77777777" w:rsidR="00134F85" w:rsidRDefault="00134F85" w:rsidP="00357CEC">
            <w:pPr>
              <w:pStyle w:val="Default"/>
              <w:rPr>
                <w:sz w:val="22"/>
                <w:szCs w:val="22"/>
              </w:rPr>
            </w:pPr>
          </w:p>
          <w:p w14:paraId="1AC82CD6" w14:textId="77777777" w:rsidR="00134F85" w:rsidRDefault="00134F85" w:rsidP="00357CEC">
            <w:pPr>
              <w:pStyle w:val="Default"/>
              <w:rPr>
                <w:sz w:val="22"/>
                <w:szCs w:val="22"/>
              </w:rPr>
            </w:pPr>
          </w:p>
          <w:p w14:paraId="425A3D3C" w14:textId="77777777" w:rsidR="00134F85" w:rsidRDefault="00134F85" w:rsidP="00357CEC">
            <w:pPr>
              <w:pStyle w:val="Default"/>
              <w:rPr>
                <w:sz w:val="22"/>
                <w:szCs w:val="22"/>
              </w:rPr>
            </w:pPr>
          </w:p>
          <w:p w14:paraId="75B85DF2" w14:textId="77777777" w:rsidR="00190F49" w:rsidRDefault="00190F49" w:rsidP="00357CEC">
            <w:pPr>
              <w:pStyle w:val="Default"/>
              <w:rPr>
                <w:sz w:val="22"/>
                <w:szCs w:val="22"/>
              </w:rPr>
            </w:pPr>
          </w:p>
          <w:p w14:paraId="102A2352" w14:textId="77777777" w:rsidR="00260BC4" w:rsidRDefault="00260BC4" w:rsidP="00357CEC">
            <w:pPr>
              <w:pStyle w:val="Default"/>
              <w:rPr>
                <w:sz w:val="22"/>
                <w:szCs w:val="22"/>
              </w:rPr>
            </w:pPr>
          </w:p>
          <w:p w14:paraId="113856CD" w14:textId="77777777" w:rsidR="00260BC4" w:rsidRDefault="00260BC4" w:rsidP="00357CEC">
            <w:pPr>
              <w:pStyle w:val="Default"/>
              <w:rPr>
                <w:sz w:val="22"/>
                <w:szCs w:val="22"/>
              </w:rPr>
            </w:pPr>
          </w:p>
          <w:p w14:paraId="3633172E" w14:textId="77777777" w:rsidR="00260BC4" w:rsidRDefault="00260BC4" w:rsidP="00357CEC">
            <w:pPr>
              <w:pStyle w:val="Default"/>
              <w:rPr>
                <w:sz w:val="22"/>
                <w:szCs w:val="22"/>
              </w:rPr>
            </w:pPr>
          </w:p>
          <w:p w14:paraId="4A8696D7" w14:textId="77777777" w:rsidR="00260BC4" w:rsidRDefault="00260BC4" w:rsidP="00357CEC">
            <w:pPr>
              <w:pStyle w:val="Default"/>
              <w:rPr>
                <w:sz w:val="22"/>
                <w:szCs w:val="22"/>
              </w:rPr>
            </w:pPr>
          </w:p>
          <w:p w14:paraId="7ECA7CC9" w14:textId="77777777" w:rsidR="00260BC4" w:rsidRDefault="00260BC4" w:rsidP="00357CEC">
            <w:pPr>
              <w:pStyle w:val="Default"/>
              <w:rPr>
                <w:sz w:val="22"/>
                <w:szCs w:val="22"/>
              </w:rPr>
            </w:pPr>
          </w:p>
          <w:p w14:paraId="6B716306" w14:textId="77777777" w:rsidR="00260BC4" w:rsidRDefault="00260BC4" w:rsidP="00357CEC">
            <w:pPr>
              <w:pStyle w:val="Default"/>
              <w:rPr>
                <w:sz w:val="22"/>
                <w:szCs w:val="22"/>
              </w:rPr>
            </w:pPr>
          </w:p>
          <w:p w14:paraId="6EA6278E" w14:textId="77777777" w:rsidR="00260BC4" w:rsidRDefault="00260BC4" w:rsidP="00357CEC">
            <w:pPr>
              <w:pStyle w:val="Default"/>
              <w:rPr>
                <w:sz w:val="22"/>
                <w:szCs w:val="22"/>
              </w:rPr>
            </w:pPr>
          </w:p>
          <w:p w14:paraId="62A5EE0C" w14:textId="77777777" w:rsidR="00260BC4" w:rsidRDefault="00260BC4" w:rsidP="00357CEC">
            <w:pPr>
              <w:pStyle w:val="Default"/>
              <w:rPr>
                <w:sz w:val="22"/>
                <w:szCs w:val="22"/>
              </w:rPr>
            </w:pPr>
          </w:p>
          <w:p w14:paraId="7E391F43" w14:textId="43099BAC" w:rsidR="00134F85" w:rsidRDefault="00134F85" w:rsidP="00357CEC">
            <w:pPr>
              <w:pStyle w:val="Default"/>
              <w:rPr>
                <w:sz w:val="22"/>
                <w:szCs w:val="22"/>
              </w:rPr>
            </w:pPr>
            <w:r>
              <w:rPr>
                <w:sz w:val="22"/>
                <w:szCs w:val="22"/>
              </w:rPr>
              <w:t>NZ</w:t>
            </w:r>
          </w:p>
          <w:p w14:paraId="46201A96" w14:textId="77777777" w:rsidR="00134F85" w:rsidRDefault="00134F85" w:rsidP="00357CEC">
            <w:pPr>
              <w:pStyle w:val="Default"/>
              <w:rPr>
                <w:sz w:val="22"/>
                <w:szCs w:val="22"/>
              </w:rPr>
            </w:pPr>
          </w:p>
          <w:p w14:paraId="5F8DE860" w14:textId="77777777" w:rsidR="00134F85" w:rsidRDefault="00134F85" w:rsidP="00357CEC">
            <w:pPr>
              <w:pStyle w:val="Default"/>
              <w:rPr>
                <w:sz w:val="22"/>
                <w:szCs w:val="22"/>
              </w:rPr>
            </w:pPr>
          </w:p>
          <w:p w14:paraId="62FB62E4" w14:textId="77777777" w:rsidR="00134F85" w:rsidRDefault="00134F85" w:rsidP="00357CEC">
            <w:pPr>
              <w:pStyle w:val="Default"/>
              <w:rPr>
                <w:sz w:val="22"/>
                <w:szCs w:val="22"/>
              </w:rPr>
            </w:pPr>
          </w:p>
          <w:p w14:paraId="6458C319" w14:textId="77777777" w:rsidR="00134F85" w:rsidRDefault="00134F85" w:rsidP="00357CEC">
            <w:pPr>
              <w:pStyle w:val="Default"/>
              <w:rPr>
                <w:sz w:val="22"/>
                <w:szCs w:val="22"/>
              </w:rPr>
            </w:pPr>
          </w:p>
          <w:p w14:paraId="3A0A0D62" w14:textId="77777777" w:rsidR="00134F85" w:rsidRDefault="00134F85" w:rsidP="00357CEC">
            <w:pPr>
              <w:pStyle w:val="Default"/>
              <w:rPr>
                <w:sz w:val="22"/>
                <w:szCs w:val="22"/>
              </w:rPr>
            </w:pPr>
          </w:p>
          <w:p w14:paraId="3AA13E58" w14:textId="77777777" w:rsidR="00134F85" w:rsidRDefault="00134F85" w:rsidP="00357CEC">
            <w:pPr>
              <w:pStyle w:val="Default"/>
              <w:rPr>
                <w:sz w:val="22"/>
                <w:szCs w:val="22"/>
              </w:rPr>
            </w:pPr>
          </w:p>
          <w:p w14:paraId="26510A22" w14:textId="77777777" w:rsidR="00134F85" w:rsidRDefault="00134F85" w:rsidP="00357CEC">
            <w:pPr>
              <w:pStyle w:val="Default"/>
              <w:rPr>
                <w:sz w:val="22"/>
                <w:szCs w:val="22"/>
              </w:rPr>
            </w:pPr>
          </w:p>
          <w:p w14:paraId="75F3223C" w14:textId="77777777" w:rsidR="00134F85" w:rsidRDefault="00134F85" w:rsidP="00357CEC">
            <w:pPr>
              <w:pStyle w:val="Default"/>
              <w:rPr>
                <w:sz w:val="22"/>
                <w:szCs w:val="22"/>
              </w:rPr>
            </w:pPr>
          </w:p>
          <w:p w14:paraId="2EAF95E8" w14:textId="77777777" w:rsidR="00134F85" w:rsidRDefault="00134F85" w:rsidP="00357CEC">
            <w:pPr>
              <w:pStyle w:val="Default"/>
              <w:rPr>
                <w:sz w:val="22"/>
                <w:szCs w:val="22"/>
              </w:rPr>
            </w:pPr>
          </w:p>
          <w:p w14:paraId="7C78EA6D" w14:textId="77777777" w:rsidR="00134F85" w:rsidRDefault="00134F85" w:rsidP="00357CEC">
            <w:pPr>
              <w:pStyle w:val="Default"/>
              <w:rPr>
                <w:sz w:val="22"/>
                <w:szCs w:val="22"/>
              </w:rPr>
            </w:pPr>
          </w:p>
          <w:p w14:paraId="66B2B351" w14:textId="77777777" w:rsidR="00134F85" w:rsidRDefault="00134F85" w:rsidP="00357CEC">
            <w:pPr>
              <w:pStyle w:val="Default"/>
              <w:rPr>
                <w:sz w:val="22"/>
                <w:szCs w:val="22"/>
              </w:rPr>
            </w:pPr>
          </w:p>
          <w:p w14:paraId="48987A92" w14:textId="77777777" w:rsidR="00134F85" w:rsidRDefault="00134F85" w:rsidP="00357CEC">
            <w:pPr>
              <w:pStyle w:val="Default"/>
              <w:rPr>
                <w:sz w:val="22"/>
                <w:szCs w:val="22"/>
              </w:rPr>
            </w:pPr>
          </w:p>
          <w:p w14:paraId="3596AC65" w14:textId="77777777" w:rsidR="00134F85" w:rsidRDefault="00134F85" w:rsidP="00357CEC">
            <w:pPr>
              <w:pStyle w:val="Default"/>
              <w:rPr>
                <w:sz w:val="22"/>
                <w:szCs w:val="22"/>
              </w:rPr>
            </w:pPr>
          </w:p>
          <w:p w14:paraId="3EC6590C" w14:textId="77777777" w:rsidR="00134F85" w:rsidRDefault="00134F85" w:rsidP="00357CEC">
            <w:pPr>
              <w:pStyle w:val="Default"/>
              <w:rPr>
                <w:sz w:val="22"/>
                <w:szCs w:val="22"/>
              </w:rPr>
            </w:pPr>
          </w:p>
          <w:p w14:paraId="3A25C01A" w14:textId="77777777" w:rsidR="00134F85" w:rsidRDefault="00134F85" w:rsidP="00357CEC">
            <w:pPr>
              <w:pStyle w:val="Default"/>
              <w:rPr>
                <w:sz w:val="22"/>
                <w:szCs w:val="22"/>
              </w:rPr>
            </w:pPr>
          </w:p>
          <w:p w14:paraId="2F13D16C" w14:textId="77777777" w:rsidR="00134F85" w:rsidRDefault="00134F85" w:rsidP="00357CEC">
            <w:pPr>
              <w:pStyle w:val="Default"/>
              <w:rPr>
                <w:sz w:val="22"/>
                <w:szCs w:val="22"/>
              </w:rPr>
            </w:pPr>
          </w:p>
          <w:p w14:paraId="493B9AAE" w14:textId="77777777" w:rsidR="00134F85" w:rsidRDefault="00134F85" w:rsidP="00357CEC">
            <w:pPr>
              <w:pStyle w:val="Default"/>
              <w:rPr>
                <w:sz w:val="22"/>
                <w:szCs w:val="22"/>
              </w:rPr>
            </w:pPr>
          </w:p>
          <w:p w14:paraId="26070596" w14:textId="77777777" w:rsidR="00134F85" w:rsidRDefault="00134F85" w:rsidP="00357CEC">
            <w:pPr>
              <w:pStyle w:val="Default"/>
              <w:rPr>
                <w:sz w:val="22"/>
                <w:szCs w:val="22"/>
              </w:rPr>
            </w:pPr>
          </w:p>
          <w:p w14:paraId="77A421B1" w14:textId="77777777" w:rsidR="00134F85" w:rsidRDefault="00134F85" w:rsidP="00357CEC">
            <w:pPr>
              <w:pStyle w:val="Default"/>
              <w:rPr>
                <w:sz w:val="22"/>
                <w:szCs w:val="22"/>
              </w:rPr>
            </w:pPr>
          </w:p>
          <w:p w14:paraId="0DE0688D" w14:textId="77777777" w:rsidR="00134F85" w:rsidRDefault="00134F85" w:rsidP="00357CEC">
            <w:pPr>
              <w:pStyle w:val="Default"/>
              <w:rPr>
                <w:sz w:val="22"/>
                <w:szCs w:val="22"/>
              </w:rPr>
            </w:pPr>
          </w:p>
          <w:p w14:paraId="24F1DB91" w14:textId="77777777" w:rsidR="00134F85" w:rsidRDefault="00134F85" w:rsidP="00357CEC">
            <w:pPr>
              <w:pStyle w:val="Default"/>
              <w:rPr>
                <w:sz w:val="22"/>
                <w:szCs w:val="22"/>
              </w:rPr>
            </w:pPr>
          </w:p>
          <w:p w14:paraId="089391CF" w14:textId="77777777" w:rsidR="00134F85" w:rsidRDefault="00134F85" w:rsidP="00357CEC">
            <w:pPr>
              <w:pStyle w:val="Default"/>
              <w:rPr>
                <w:sz w:val="22"/>
                <w:szCs w:val="22"/>
              </w:rPr>
            </w:pPr>
          </w:p>
          <w:p w14:paraId="5505E6B9" w14:textId="77777777" w:rsidR="00134F85" w:rsidRDefault="00134F85" w:rsidP="00357CEC">
            <w:pPr>
              <w:pStyle w:val="Default"/>
              <w:rPr>
                <w:sz w:val="22"/>
                <w:szCs w:val="22"/>
              </w:rPr>
            </w:pPr>
          </w:p>
          <w:p w14:paraId="38FBADC5" w14:textId="77777777" w:rsidR="00134F85" w:rsidRDefault="00134F85" w:rsidP="00357CEC">
            <w:pPr>
              <w:pStyle w:val="Default"/>
              <w:rPr>
                <w:sz w:val="22"/>
                <w:szCs w:val="22"/>
              </w:rPr>
            </w:pPr>
          </w:p>
          <w:p w14:paraId="5F6DE7CD" w14:textId="77777777" w:rsidR="00134F85" w:rsidRDefault="00134F85" w:rsidP="00357CEC">
            <w:pPr>
              <w:pStyle w:val="Default"/>
              <w:rPr>
                <w:sz w:val="22"/>
                <w:szCs w:val="22"/>
              </w:rPr>
            </w:pPr>
          </w:p>
          <w:p w14:paraId="5E53D65E" w14:textId="77777777" w:rsidR="00134F85" w:rsidRDefault="00134F85" w:rsidP="00357CEC">
            <w:pPr>
              <w:pStyle w:val="Default"/>
              <w:rPr>
                <w:sz w:val="22"/>
                <w:szCs w:val="22"/>
              </w:rPr>
            </w:pPr>
          </w:p>
          <w:p w14:paraId="13D9027B" w14:textId="77777777" w:rsidR="00134F85" w:rsidRDefault="00134F85" w:rsidP="00357CEC">
            <w:pPr>
              <w:pStyle w:val="Default"/>
              <w:rPr>
                <w:sz w:val="22"/>
                <w:szCs w:val="22"/>
              </w:rPr>
            </w:pPr>
          </w:p>
          <w:p w14:paraId="5E0025ED" w14:textId="77777777" w:rsidR="00134F85" w:rsidRDefault="00134F85" w:rsidP="00357CEC">
            <w:pPr>
              <w:pStyle w:val="Default"/>
              <w:rPr>
                <w:sz w:val="22"/>
                <w:szCs w:val="22"/>
              </w:rPr>
            </w:pPr>
          </w:p>
          <w:p w14:paraId="327C6B21" w14:textId="77777777" w:rsidR="00134F85" w:rsidRDefault="00134F85" w:rsidP="00357CEC">
            <w:pPr>
              <w:pStyle w:val="Default"/>
              <w:rPr>
                <w:sz w:val="22"/>
                <w:szCs w:val="22"/>
              </w:rPr>
            </w:pPr>
          </w:p>
          <w:p w14:paraId="68911764" w14:textId="77777777" w:rsidR="00134F85" w:rsidRDefault="00134F85" w:rsidP="00357CEC">
            <w:pPr>
              <w:pStyle w:val="Default"/>
              <w:rPr>
                <w:sz w:val="22"/>
                <w:szCs w:val="22"/>
              </w:rPr>
            </w:pPr>
          </w:p>
          <w:p w14:paraId="7C1B53C4" w14:textId="77777777" w:rsidR="00134F85" w:rsidRDefault="00134F85" w:rsidP="00357CEC">
            <w:pPr>
              <w:pStyle w:val="Default"/>
              <w:rPr>
                <w:sz w:val="22"/>
                <w:szCs w:val="22"/>
              </w:rPr>
            </w:pPr>
          </w:p>
          <w:p w14:paraId="4CB26869" w14:textId="77777777" w:rsidR="00134F85" w:rsidRDefault="00134F85" w:rsidP="00357CEC">
            <w:pPr>
              <w:pStyle w:val="Default"/>
              <w:rPr>
                <w:sz w:val="22"/>
                <w:szCs w:val="22"/>
              </w:rPr>
            </w:pPr>
          </w:p>
          <w:p w14:paraId="38B6C7EB" w14:textId="77777777" w:rsidR="00134F85" w:rsidRDefault="00134F85" w:rsidP="00357CEC">
            <w:pPr>
              <w:pStyle w:val="Default"/>
              <w:rPr>
                <w:sz w:val="22"/>
                <w:szCs w:val="22"/>
              </w:rPr>
            </w:pPr>
          </w:p>
          <w:p w14:paraId="0FC35230" w14:textId="77777777" w:rsidR="00134F85" w:rsidRDefault="00134F85" w:rsidP="00357CEC">
            <w:pPr>
              <w:pStyle w:val="Default"/>
              <w:rPr>
                <w:sz w:val="22"/>
                <w:szCs w:val="22"/>
              </w:rPr>
            </w:pPr>
          </w:p>
          <w:p w14:paraId="2982BD86" w14:textId="77777777" w:rsidR="00134F85" w:rsidRDefault="00134F85" w:rsidP="00357CEC">
            <w:pPr>
              <w:pStyle w:val="Default"/>
              <w:rPr>
                <w:sz w:val="22"/>
                <w:szCs w:val="22"/>
              </w:rPr>
            </w:pPr>
          </w:p>
          <w:p w14:paraId="0A88A010" w14:textId="4663A522" w:rsidR="00134F85" w:rsidRDefault="00134F85" w:rsidP="00357CEC">
            <w:pPr>
              <w:pStyle w:val="Default"/>
              <w:rPr>
                <w:sz w:val="22"/>
                <w:szCs w:val="22"/>
              </w:rPr>
            </w:pPr>
          </w:p>
          <w:p w14:paraId="26B21054" w14:textId="77777777" w:rsidR="00134F85" w:rsidRDefault="00134F85" w:rsidP="00357CEC">
            <w:pPr>
              <w:pStyle w:val="Default"/>
              <w:rPr>
                <w:sz w:val="22"/>
                <w:szCs w:val="22"/>
              </w:rPr>
            </w:pPr>
            <w:r>
              <w:rPr>
                <w:sz w:val="22"/>
                <w:szCs w:val="22"/>
              </w:rPr>
              <w:t>NZ</w:t>
            </w:r>
          </w:p>
          <w:p w14:paraId="7F776D2B" w14:textId="77777777" w:rsidR="00134F85" w:rsidRDefault="00134F85" w:rsidP="00357CEC">
            <w:pPr>
              <w:pStyle w:val="Default"/>
              <w:rPr>
                <w:sz w:val="22"/>
                <w:szCs w:val="22"/>
              </w:rPr>
            </w:pPr>
          </w:p>
          <w:p w14:paraId="68EC5F0D" w14:textId="77777777" w:rsidR="00134F85" w:rsidRDefault="00134F85" w:rsidP="00357CEC">
            <w:pPr>
              <w:pStyle w:val="Default"/>
              <w:rPr>
                <w:sz w:val="22"/>
                <w:szCs w:val="22"/>
              </w:rPr>
            </w:pPr>
          </w:p>
          <w:p w14:paraId="6C29F7EE" w14:textId="77777777" w:rsidR="00134F85" w:rsidRDefault="00134F85" w:rsidP="00357CEC">
            <w:pPr>
              <w:pStyle w:val="Default"/>
              <w:rPr>
                <w:sz w:val="22"/>
                <w:szCs w:val="22"/>
              </w:rPr>
            </w:pPr>
          </w:p>
          <w:p w14:paraId="661BDF67" w14:textId="77777777" w:rsidR="00134F85" w:rsidRDefault="00134F85" w:rsidP="00357CEC">
            <w:pPr>
              <w:pStyle w:val="Default"/>
              <w:rPr>
                <w:sz w:val="22"/>
                <w:szCs w:val="22"/>
              </w:rPr>
            </w:pPr>
          </w:p>
          <w:p w14:paraId="4A5BD342" w14:textId="77777777" w:rsidR="00134F85" w:rsidRDefault="00134F85" w:rsidP="00357CEC">
            <w:pPr>
              <w:pStyle w:val="Default"/>
              <w:rPr>
                <w:sz w:val="22"/>
                <w:szCs w:val="22"/>
              </w:rPr>
            </w:pPr>
          </w:p>
          <w:p w14:paraId="6AE3E889" w14:textId="77777777" w:rsidR="00134F85" w:rsidRDefault="00134F85" w:rsidP="00357CEC">
            <w:pPr>
              <w:pStyle w:val="Default"/>
              <w:rPr>
                <w:sz w:val="22"/>
                <w:szCs w:val="22"/>
              </w:rPr>
            </w:pPr>
          </w:p>
          <w:p w14:paraId="37FC7145" w14:textId="77777777" w:rsidR="00134F85" w:rsidRDefault="00134F85" w:rsidP="00357CEC">
            <w:pPr>
              <w:pStyle w:val="Default"/>
              <w:rPr>
                <w:sz w:val="22"/>
                <w:szCs w:val="22"/>
              </w:rPr>
            </w:pPr>
          </w:p>
          <w:p w14:paraId="35E5235D" w14:textId="60D31F2D" w:rsidR="00134F85" w:rsidRDefault="00134F85" w:rsidP="00357CEC">
            <w:pPr>
              <w:pStyle w:val="Default"/>
              <w:rPr>
                <w:sz w:val="22"/>
                <w:szCs w:val="22"/>
              </w:rPr>
            </w:pPr>
          </w:p>
          <w:p w14:paraId="5A51EBED" w14:textId="77777777" w:rsidR="00134F85" w:rsidRDefault="00134F85" w:rsidP="00357CEC">
            <w:pPr>
              <w:pStyle w:val="Default"/>
              <w:rPr>
                <w:sz w:val="22"/>
                <w:szCs w:val="22"/>
              </w:rPr>
            </w:pPr>
            <w:r>
              <w:rPr>
                <w:sz w:val="22"/>
                <w:szCs w:val="22"/>
              </w:rPr>
              <w:t>NZ</w:t>
            </w:r>
          </w:p>
          <w:p w14:paraId="62FC7962" w14:textId="77777777" w:rsidR="00134F85" w:rsidRDefault="00134F85" w:rsidP="00357CEC">
            <w:pPr>
              <w:pStyle w:val="Default"/>
              <w:rPr>
                <w:sz w:val="22"/>
                <w:szCs w:val="22"/>
              </w:rPr>
            </w:pPr>
          </w:p>
          <w:p w14:paraId="73517530" w14:textId="77777777" w:rsidR="00134F85" w:rsidRDefault="00134F85" w:rsidP="00357CEC">
            <w:pPr>
              <w:pStyle w:val="Default"/>
              <w:rPr>
                <w:sz w:val="22"/>
                <w:szCs w:val="22"/>
              </w:rPr>
            </w:pPr>
          </w:p>
          <w:p w14:paraId="6933F977" w14:textId="77777777" w:rsidR="00134F85" w:rsidRDefault="00134F85" w:rsidP="00357CEC">
            <w:pPr>
              <w:pStyle w:val="Default"/>
              <w:rPr>
                <w:sz w:val="22"/>
                <w:szCs w:val="22"/>
              </w:rPr>
            </w:pPr>
          </w:p>
          <w:p w14:paraId="458D18C9" w14:textId="77777777" w:rsidR="00134F85" w:rsidRDefault="00134F85" w:rsidP="00357CEC">
            <w:pPr>
              <w:pStyle w:val="Default"/>
              <w:rPr>
                <w:sz w:val="22"/>
                <w:szCs w:val="22"/>
              </w:rPr>
            </w:pPr>
          </w:p>
          <w:p w14:paraId="0870213A" w14:textId="77777777" w:rsidR="00134F85" w:rsidRDefault="00134F85" w:rsidP="00357CEC">
            <w:pPr>
              <w:pStyle w:val="Default"/>
              <w:rPr>
                <w:sz w:val="22"/>
                <w:szCs w:val="22"/>
              </w:rPr>
            </w:pPr>
          </w:p>
          <w:p w14:paraId="280613F0" w14:textId="77777777" w:rsidR="00134F85" w:rsidRDefault="00134F85" w:rsidP="00357CEC">
            <w:pPr>
              <w:pStyle w:val="Default"/>
              <w:rPr>
                <w:sz w:val="22"/>
                <w:szCs w:val="22"/>
              </w:rPr>
            </w:pPr>
          </w:p>
          <w:p w14:paraId="4B23D532" w14:textId="77777777" w:rsidR="00134F85" w:rsidRDefault="00134F85" w:rsidP="00357CEC">
            <w:pPr>
              <w:pStyle w:val="Default"/>
              <w:rPr>
                <w:sz w:val="22"/>
                <w:szCs w:val="22"/>
              </w:rPr>
            </w:pPr>
          </w:p>
          <w:p w14:paraId="56A1B8FD" w14:textId="77777777" w:rsidR="00134F85" w:rsidRDefault="00134F85" w:rsidP="00357CEC">
            <w:pPr>
              <w:pStyle w:val="Default"/>
              <w:rPr>
                <w:sz w:val="22"/>
                <w:szCs w:val="22"/>
              </w:rPr>
            </w:pPr>
          </w:p>
          <w:p w14:paraId="394F300D" w14:textId="77777777" w:rsidR="00134F85" w:rsidRDefault="00134F85" w:rsidP="00357CEC">
            <w:pPr>
              <w:pStyle w:val="Default"/>
              <w:rPr>
                <w:sz w:val="22"/>
                <w:szCs w:val="22"/>
              </w:rPr>
            </w:pPr>
          </w:p>
          <w:p w14:paraId="63FA796D" w14:textId="77777777" w:rsidR="00134F85" w:rsidRDefault="00134F85" w:rsidP="00357CEC">
            <w:pPr>
              <w:pStyle w:val="Default"/>
              <w:rPr>
                <w:sz w:val="22"/>
                <w:szCs w:val="22"/>
              </w:rPr>
            </w:pPr>
          </w:p>
          <w:p w14:paraId="00025C93" w14:textId="77777777" w:rsidR="00134F85" w:rsidRDefault="00134F85" w:rsidP="00357CEC">
            <w:pPr>
              <w:pStyle w:val="Default"/>
              <w:rPr>
                <w:sz w:val="22"/>
                <w:szCs w:val="22"/>
              </w:rPr>
            </w:pPr>
          </w:p>
          <w:p w14:paraId="000F0FDC" w14:textId="77777777" w:rsidR="00134F85" w:rsidRDefault="00134F85" w:rsidP="00357CEC">
            <w:pPr>
              <w:pStyle w:val="Default"/>
              <w:rPr>
                <w:sz w:val="22"/>
                <w:szCs w:val="22"/>
              </w:rPr>
            </w:pPr>
          </w:p>
          <w:p w14:paraId="1AFB57C0" w14:textId="77777777" w:rsidR="00134F85" w:rsidRDefault="00134F85" w:rsidP="00357CEC">
            <w:pPr>
              <w:pStyle w:val="Default"/>
              <w:rPr>
                <w:sz w:val="22"/>
                <w:szCs w:val="22"/>
              </w:rPr>
            </w:pPr>
          </w:p>
          <w:p w14:paraId="4B5AE7F6" w14:textId="77777777" w:rsidR="00134F85" w:rsidRDefault="00134F85" w:rsidP="00357CEC">
            <w:pPr>
              <w:pStyle w:val="Default"/>
              <w:rPr>
                <w:sz w:val="22"/>
                <w:szCs w:val="22"/>
              </w:rPr>
            </w:pPr>
          </w:p>
          <w:p w14:paraId="7FA580FD" w14:textId="77777777" w:rsidR="00134F85" w:rsidRDefault="00134F85" w:rsidP="00357CEC">
            <w:pPr>
              <w:pStyle w:val="Default"/>
              <w:rPr>
                <w:sz w:val="22"/>
                <w:szCs w:val="22"/>
              </w:rPr>
            </w:pPr>
          </w:p>
          <w:p w14:paraId="72873A3F" w14:textId="77777777" w:rsidR="00134F85" w:rsidRDefault="00134F85" w:rsidP="00357CEC">
            <w:pPr>
              <w:pStyle w:val="Default"/>
              <w:rPr>
                <w:sz w:val="22"/>
                <w:szCs w:val="22"/>
              </w:rPr>
            </w:pPr>
          </w:p>
          <w:p w14:paraId="4DAB8A4F" w14:textId="77777777" w:rsidR="00134F85" w:rsidRDefault="00134F85" w:rsidP="00357CEC">
            <w:pPr>
              <w:pStyle w:val="Default"/>
              <w:rPr>
                <w:sz w:val="22"/>
                <w:szCs w:val="22"/>
              </w:rPr>
            </w:pPr>
          </w:p>
          <w:p w14:paraId="3354EF1C" w14:textId="77777777" w:rsidR="00134F85" w:rsidRDefault="00134F85" w:rsidP="00357CEC">
            <w:pPr>
              <w:pStyle w:val="Default"/>
              <w:rPr>
                <w:sz w:val="22"/>
                <w:szCs w:val="22"/>
              </w:rPr>
            </w:pPr>
          </w:p>
          <w:p w14:paraId="47AB4FFB" w14:textId="77777777" w:rsidR="00134F85" w:rsidRDefault="00134F85" w:rsidP="00357CEC">
            <w:pPr>
              <w:pStyle w:val="Default"/>
              <w:rPr>
                <w:sz w:val="22"/>
                <w:szCs w:val="22"/>
              </w:rPr>
            </w:pPr>
          </w:p>
          <w:p w14:paraId="2C287F9A" w14:textId="77777777" w:rsidR="00134F85" w:rsidRDefault="00134F85" w:rsidP="00357CEC">
            <w:pPr>
              <w:pStyle w:val="Default"/>
              <w:rPr>
                <w:sz w:val="22"/>
                <w:szCs w:val="22"/>
              </w:rPr>
            </w:pPr>
          </w:p>
          <w:p w14:paraId="1A4056E2" w14:textId="77777777" w:rsidR="00134F85" w:rsidRDefault="00134F85" w:rsidP="00357CEC">
            <w:pPr>
              <w:pStyle w:val="Default"/>
              <w:rPr>
                <w:sz w:val="22"/>
                <w:szCs w:val="22"/>
              </w:rPr>
            </w:pPr>
          </w:p>
          <w:p w14:paraId="2A925292" w14:textId="77777777" w:rsidR="00134F85" w:rsidRDefault="00134F85" w:rsidP="00357CEC">
            <w:pPr>
              <w:pStyle w:val="Default"/>
              <w:rPr>
                <w:sz w:val="22"/>
                <w:szCs w:val="22"/>
              </w:rPr>
            </w:pPr>
          </w:p>
          <w:p w14:paraId="3AA1994A" w14:textId="77777777" w:rsidR="00134F85" w:rsidRDefault="00134F85" w:rsidP="00357CEC">
            <w:pPr>
              <w:pStyle w:val="Default"/>
              <w:rPr>
                <w:sz w:val="22"/>
                <w:szCs w:val="22"/>
              </w:rPr>
            </w:pPr>
          </w:p>
          <w:p w14:paraId="7CBB8E1C" w14:textId="77777777" w:rsidR="00134F85" w:rsidRDefault="00134F85" w:rsidP="00357CEC">
            <w:pPr>
              <w:pStyle w:val="Default"/>
              <w:rPr>
                <w:sz w:val="22"/>
                <w:szCs w:val="22"/>
              </w:rPr>
            </w:pPr>
          </w:p>
          <w:p w14:paraId="57A5339F" w14:textId="77777777" w:rsidR="00134F85" w:rsidRDefault="00134F85" w:rsidP="00357CEC">
            <w:pPr>
              <w:pStyle w:val="Default"/>
              <w:rPr>
                <w:sz w:val="22"/>
                <w:szCs w:val="22"/>
              </w:rPr>
            </w:pPr>
          </w:p>
          <w:p w14:paraId="40D0C377" w14:textId="77777777" w:rsidR="00134F85" w:rsidRDefault="00134F85" w:rsidP="00357CEC">
            <w:pPr>
              <w:pStyle w:val="Default"/>
              <w:rPr>
                <w:sz w:val="22"/>
                <w:szCs w:val="22"/>
              </w:rPr>
            </w:pPr>
          </w:p>
          <w:p w14:paraId="05C9DE4C" w14:textId="77777777" w:rsidR="00134F85" w:rsidRDefault="00134F85" w:rsidP="00357CEC">
            <w:pPr>
              <w:pStyle w:val="Default"/>
              <w:rPr>
                <w:sz w:val="22"/>
                <w:szCs w:val="22"/>
              </w:rPr>
            </w:pPr>
          </w:p>
          <w:p w14:paraId="3F2F292E" w14:textId="77777777" w:rsidR="00134F85" w:rsidRDefault="00134F85" w:rsidP="00357CEC">
            <w:pPr>
              <w:pStyle w:val="Default"/>
              <w:rPr>
                <w:sz w:val="22"/>
                <w:szCs w:val="22"/>
              </w:rPr>
            </w:pPr>
          </w:p>
          <w:p w14:paraId="60E88B42" w14:textId="77777777" w:rsidR="00134F85" w:rsidRDefault="00134F85" w:rsidP="00357CEC">
            <w:pPr>
              <w:pStyle w:val="Default"/>
              <w:rPr>
                <w:sz w:val="22"/>
                <w:szCs w:val="22"/>
              </w:rPr>
            </w:pPr>
          </w:p>
          <w:p w14:paraId="50BBC10A" w14:textId="77777777" w:rsidR="00134F85" w:rsidRDefault="00134F85" w:rsidP="00357CEC">
            <w:pPr>
              <w:pStyle w:val="Default"/>
              <w:rPr>
                <w:sz w:val="22"/>
                <w:szCs w:val="22"/>
              </w:rPr>
            </w:pPr>
          </w:p>
          <w:p w14:paraId="12447CAE" w14:textId="77777777" w:rsidR="00134F85" w:rsidRDefault="00134F85" w:rsidP="00357CEC">
            <w:pPr>
              <w:pStyle w:val="Default"/>
              <w:rPr>
                <w:sz w:val="22"/>
                <w:szCs w:val="22"/>
              </w:rPr>
            </w:pPr>
          </w:p>
          <w:p w14:paraId="2850D4D0" w14:textId="77777777" w:rsidR="00134F85" w:rsidRDefault="00134F85" w:rsidP="00357CEC">
            <w:pPr>
              <w:pStyle w:val="Default"/>
              <w:rPr>
                <w:sz w:val="22"/>
                <w:szCs w:val="22"/>
              </w:rPr>
            </w:pPr>
          </w:p>
          <w:p w14:paraId="0173D5DF" w14:textId="77777777" w:rsidR="00134F85" w:rsidRDefault="00134F85" w:rsidP="00357CEC">
            <w:pPr>
              <w:pStyle w:val="Default"/>
              <w:rPr>
                <w:sz w:val="22"/>
                <w:szCs w:val="22"/>
              </w:rPr>
            </w:pPr>
          </w:p>
          <w:p w14:paraId="6711A9E0" w14:textId="77777777" w:rsidR="00134F85" w:rsidRDefault="00134F85" w:rsidP="00357CEC">
            <w:pPr>
              <w:pStyle w:val="Default"/>
              <w:rPr>
                <w:sz w:val="22"/>
                <w:szCs w:val="22"/>
              </w:rPr>
            </w:pPr>
          </w:p>
          <w:p w14:paraId="6D3736FC" w14:textId="77777777" w:rsidR="00134F85" w:rsidRDefault="00134F85" w:rsidP="00357CEC">
            <w:pPr>
              <w:pStyle w:val="Default"/>
              <w:rPr>
                <w:sz w:val="22"/>
                <w:szCs w:val="22"/>
              </w:rPr>
            </w:pPr>
          </w:p>
          <w:p w14:paraId="51904242" w14:textId="77777777" w:rsidR="00134F85" w:rsidRDefault="00134F85" w:rsidP="00357CEC">
            <w:pPr>
              <w:pStyle w:val="Default"/>
              <w:rPr>
                <w:sz w:val="22"/>
                <w:szCs w:val="22"/>
              </w:rPr>
            </w:pPr>
          </w:p>
          <w:p w14:paraId="1E437E87" w14:textId="77777777" w:rsidR="00134F85" w:rsidRDefault="00134F85" w:rsidP="00357CEC">
            <w:pPr>
              <w:pStyle w:val="Default"/>
              <w:rPr>
                <w:sz w:val="22"/>
                <w:szCs w:val="22"/>
              </w:rPr>
            </w:pPr>
          </w:p>
          <w:p w14:paraId="746ECCF7" w14:textId="77777777" w:rsidR="00134F85" w:rsidRDefault="00134F85" w:rsidP="00357CEC">
            <w:pPr>
              <w:pStyle w:val="Default"/>
              <w:rPr>
                <w:sz w:val="22"/>
                <w:szCs w:val="22"/>
              </w:rPr>
            </w:pPr>
          </w:p>
          <w:p w14:paraId="53A46E5D" w14:textId="77777777" w:rsidR="00134F85" w:rsidRDefault="00134F85" w:rsidP="00357CEC">
            <w:pPr>
              <w:pStyle w:val="Default"/>
              <w:rPr>
                <w:sz w:val="22"/>
                <w:szCs w:val="22"/>
              </w:rPr>
            </w:pPr>
          </w:p>
          <w:p w14:paraId="13C0AF60" w14:textId="77777777" w:rsidR="00134F85" w:rsidRDefault="00134F85" w:rsidP="00357CEC">
            <w:pPr>
              <w:pStyle w:val="Default"/>
              <w:rPr>
                <w:sz w:val="22"/>
                <w:szCs w:val="22"/>
              </w:rPr>
            </w:pPr>
          </w:p>
          <w:p w14:paraId="4D081AFF" w14:textId="77777777" w:rsidR="00134F85" w:rsidRDefault="00134F85" w:rsidP="00357CEC">
            <w:pPr>
              <w:pStyle w:val="Default"/>
              <w:rPr>
                <w:sz w:val="22"/>
                <w:szCs w:val="22"/>
              </w:rPr>
            </w:pPr>
          </w:p>
          <w:p w14:paraId="6F7A5E64" w14:textId="77777777" w:rsidR="00134F85" w:rsidRDefault="00134F85" w:rsidP="00357CEC">
            <w:pPr>
              <w:pStyle w:val="Default"/>
              <w:rPr>
                <w:sz w:val="22"/>
                <w:szCs w:val="22"/>
              </w:rPr>
            </w:pPr>
          </w:p>
          <w:p w14:paraId="1C7569D9" w14:textId="77777777" w:rsidR="00134F85" w:rsidRDefault="00134F85" w:rsidP="00357CEC">
            <w:pPr>
              <w:pStyle w:val="Default"/>
              <w:rPr>
                <w:sz w:val="22"/>
                <w:szCs w:val="22"/>
              </w:rPr>
            </w:pPr>
          </w:p>
          <w:p w14:paraId="1047FD54" w14:textId="77777777" w:rsidR="00134F85" w:rsidRDefault="00134F85" w:rsidP="00357CEC">
            <w:pPr>
              <w:pStyle w:val="Default"/>
              <w:rPr>
                <w:sz w:val="22"/>
                <w:szCs w:val="22"/>
              </w:rPr>
            </w:pPr>
          </w:p>
          <w:p w14:paraId="67785592" w14:textId="77777777" w:rsidR="00134F85" w:rsidRDefault="00134F85" w:rsidP="00357CEC">
            <w:pPr>
              <w:pStyle w:val="Default"/>
              <w:rPr>
                <w:sz w:val="22"/>
                <w:szCs w:val="22"/>
              </w:rPr>
            </w:pPr>
          </w:p>
          <w:p w14:paraId="1FF6DDA4" w14:textId="77777777" w:rsidR="00134F85" w:rsidRDefault="00134F85" w:rsidP="00357CEC">
            <w:pPr>
              <w:pStyle w:val="Default"/>
              <w:rPr>
                <w:sz w:val="22"/>
                <w:szCs w:val="22"/>
              </w:rPr>
            </w:pPr>
          </w:p>
          <w:p w14:paraId="4172E8F8" w14:textId="77777777" w:rsidR="00134F85" w:rsidRDefault="00134F85" w:rsidP="00357CEC">
            <w:pPr>
              <w:pStyle w:val="Default"/>
              <w:rPr>
                <w:sz w:val="22"/>
                <w:szCs w:val="22"/>
              </w:rPr>
            </w:pPr>
          </w:p>
          <w:p w14:paraId="372E99F1" w14:textId="77777777" w:rsidR="00134F85" w:rsidRDefault="00134F85" w:rsidP="00357CEC">
            <w:pPr>
              <w:pStyle w:val="Default"/>
              <w:rPr>
                <w:sz w:val="22"/>
                <w:szCs w:val="22"/>
              </w:rPr>
            </w:pPr>
          </w:p>
          <w:p w14:paraId="1E0A18D1" w14:textId="77777777" w:rsidR="00134F85" w:rsidRDefault="00134F85" w:rsidP="00357CEC">
            <w:pPr>
              <w:pStyle w:val="Default"/>
              <w:rPr>
                <w:sz w:val="22"/>
                <w:szCs w:val="22"/>
              </w:rPr>
            </w:pPr>
          </w:p>
          <w:p w14:paraId="7984B026" w14:textId="77777777" w:rsidR="00134F85" w:rsidRDefault="00134F85" w:rsidP="00357CEC">
            <w:pPr>
              <w:pStyle w:val="Default"/>
              <w:rPr>
                <w:sz w:val="22"/>
                <w:szCs w:val="22"/>
              </w:rPr>
            </w:pPr>
          </w:p>
          <w:p w14:paraId="6598C186" w14:textId="77777777" w:rsidR="00134F85" w:rsidRDefault="00134F85" w:rsidP="00357CEC">
            <w:pPr>
              <w:pStyle w:val="Default"/>
              <w:rPr>
                <w:sz w:val="22"/>
                <w:szCs w:val="22"/>
              </w:rPr>
            </w:pPr>
          </w:p>
          <w:p w14:paraId="67D15134" w14:textId="77777777" w:rsidR="00134F85" w:rsidRDefault="00134F85" w:rsidP="00357CEC">
            <w:pPr>
              <w:pStyle w:val="Default"/>
              <w:rPr>
                <w:sz w:val="22"/>
                <w:szCs w:val="22"/>
              </w:rPr>
            </w:pPr>
          </w:p>
          <w:p w14:paraId="02AC44FB" w14:textId="77777777" w:rsidR="00134F85" w:rsidRDefault="00134F85" w:rsidP="00357CEC">
            <w:pPr>
              <w:pStyle w:val="Default"/>
              <w:rPr>
                <w:sz w:val="22"/>
                <w:szCs w:val="22"/>
              </w:rPr>
            </w:pPr>
          </w:p>
          <w:p w14:paraId="788BD003" w14:textId="77777777" w:rsidR="00134F85" w:rsidRDefault="00134F85" w:rsidP="00357CEC">
            <w:pPr>
              <w:pStyle w:val="Default"/>
              <w:rPr>
                <w:sz w:val="22"/>
                <w:szCs w:val="22"/>
              </w:rPr>
            </w:pPr>
          </w:p>
          <w:p w14:paraId="7CC7C18A" w14:textId="77777777" w:rsidR="00134F85" w:rsidRDefault="00134F85" w:rsidP="00357CEC">
            <w:pPr>
              <w:pStyle w:val="Default"/>
              <w:rPr>
                <w:sz w:val="22"/>
                <w:szCs w:val="22"/>
              </w:rPr>
            </w:pPr>
          </w:p>
          <w:p w14:paraId="6524AF17" w14:textId="77777777" w:rsidR="00134F85" w:rsidRDefault="00134F85" w:rsidP="00357CEC">
            <w:pPr>
              <w:pStyle w:val="Default"/>
              <w:rPr>
                <w:sz w:val="22"/>
                <w:szCs w:val="22"/>
              </w:rPr>
            </w:pPr>
          </w:p>
          <w:p w14:paraId="6FE5BDAE" w14:textId="77777777" w:rsidR="00134F85" w:rsidRDefault="00134F85" w:rsidP="00357CEC">
            <w:pPr>
              <w:pStyle w:val="Default"/>
              <w:rPr>
                <w:sz w:val="22"/>
                <w:szCs w:val="22"/>
              </w:rPr>
            </w:pPr>
          </w:p>
          <w:p w14:paraId="3F1C6AEA" w14:textId="77777777" w:rsidR="00134F85" w:rsidRDefault="00134F85" w:rsidP="00357CEC">
            <w:pPr>
              <w:pStyle w:val="Default"/>
              <w:rPr>
                <w:sz w:val="22"/>
                <w:szCs w:val="22"/>
              </w:rPr>
            </w:pPr>
          </w:p>
          <w:p w14:paraId="3555B8D8" w14:textId="77777777" w:rsidR="00134F85" w:rsidRDefault="00134F85" w:rsidP="00357CEC">
            <w:pPr>
              <w:pStyle w:val="Default"/>
              <w:rPr>
                <w:sz w:val="22"/>
                <w:szCs w:val="22"/>
              </w:rPr>
            </w:pPr>
          </w:p>
          <w:p w14:paraId="1DAE89E8" w14:textId="77777777" w:rsidR="00134F85" w:rsidRDefault="00134F85" w:rsidP="00357CEC">
            <w:pPr>
              <w:pStyle w:val="Default"/>
              <w:rPr>
                <w:sz w:val="22"/>
                <w:szCs w:val="22"/>
              </w:rPr>
            </w:pPr>
          </w:p>
          <w:p w14:paraId="6801477B" w14:textId="77777777" w:rsidR="00134F85" w:rsidRDefault="00134F85" w:rsidP="00357CEC">
            <w:pPr>
              <w:pStyle w:val="Default"/>
              <w:rPr>
                <w:sz w:val="22"/>
                <w:szCs w:val="22"/>
              </w:rPr>
            </w:pPr>
          </w:p>
          <w:p w14:paraId="3225F8FA" w14:textId="77777777" w:rsidR="00134F85" w:rsidRDefault="00134F85" w:rsidP="00357CEC">
            <w:pPr>
              <w:pStyle w:val="Default"/>
              <w:rPr>
                <w:sz w:val="22"/>
                <w:szCs w:val="22"/>
              </w:rPr>
            </w:pPr>
          </w:p>
          <w:p w14:paraId="613B2F56" w14:textId="77777777" w:rsidR="00134F85" w:rsidRDefault="00134F85" w:rsidP="00357CEC">
            <w:pPr>
              <w:pStyle w:val="Default"/>
              <w:rPr>
                <w:sz w:val="22"/>
                <w:szCs w:val="22"/>
              </w:rPr>
            </w:pPr>
          </w:p>
          <w:p w14:paraId="62432909" w14:textId="77777777" w:rsidR="00134F85" w:rsidRDefault="00134F85" w:rsidP="00357CEC">
            <w:pPr>
              <w:pStyle w:val="Default"/>
              <w:rPr>
                <w:sz w:val="22"/>
                <w:szCs w:val="22"/>
              </w:rPr>
            </w:pPr>
          </w:p>
          <w:p w14:paraId="62B10375" w14:textId="77777777" w:rsidR="00134F85" w:rsidRDefault="00134F85" w:rsidP="00357CEC">
            <w:pPr>
              <w:pStyle w:val="Default"/>
              <w:rPr>
                <w:sz w:val="22"/>
                <w:szCs w:val="22"/>
              </w:rPr>
            </w:pPr>
          </w:p>
          <w:p w14:paraId="61C22C8D" w14:textId="77777777" w:rsidR="00134F85" w:rsidRDefault="00134F85" w:rsidP="00357CEC">
            <w:pPr>
              <w:pStyle w:val="Default"/>
              <w:rPr>
                <w:sz w:val="22"/>
                <w:szCs w:val="22"/>
              </w:rPr>
            </w:pPr>
          </w:p>
          <w:p w14:paraId="751ACA22" w14:textId="77777777" w:rsidR="00134F85" w:rsidRDefault="00134F85" w:rsidP="00357CEC">
            <w:pPr>
              <w:pStyle w:val="Default"/>
              <w:rPr>
                <w:sz w:val="22"/>
                <w:szCs w:val="22"/>
              </w:rPr>
            </w:pPr>
          </w:p>
          <w:p w14:paraId="0C6D0DFF" w14:textId="77777777" w:rsidR="00134F85" w:rsidRDefault="00134F85" w:rsidP="00357CEC">
            <w:pPr>
              <w:pStyle w:val="Default"/>
              <w:rPr>
                <w:sz w:val="22"/>
                <w:szCs w:val="22"/>
              </w:rPr>
            </w:pPr>
          </w:p>
          <w:p w14:paraId="024803ED" w14:textId="77777777" w:rsidR="00134F85" w:rsidRDefault="00134F85" w:rsidP="00357CEC">
            <w:pPr>
              <w:pStyle w:val="Default"/>
              <w:rPr>
                <w:sz w:val="22"/>
                <w:szCs w:val="22"/>
              </w:rPr>
            </w:pPr>
          </w:p>
          <w:p w14:paraId="56F97EE9" w14:textId="77777777" w:rsidR="00134F85" w:rsidRDefault="00134F85" w:rsidP="00357CEC">
            <w:pPr>
              <w:pStyle w:val="Default"/>
              <w:rPr>
                <w:sz w:val="22"/>
                <w:szCs w:val="22"/>
              </w:rPr>
            </w:pPr>
          </w:p>
          <w:p w14:paraId="11673E1E" w14:textId="77777777" w:rsidR="00134F85" w:rsidRDefault="00134F85" w:rsidP="00357CEC">
            <w:pPr>
              <w:pStyle w:val="Default"/>
              <w:rPr>
                <w:sz w:val="22"/>
                <w:szCs w:val="22"/>
              </w:rPr>
            </w:pPr>
          </w:p>
          <w:p w14:paraId="23A480A7" w14:textId="77777777" w:rsidR="00134F85" w:rsidRDefault="00134F85" w:rsidP="00357CEC">
            <w:pPr>
              <w:pStyle w:val="Default"/>
              <w:rPr>
                <w:sz w:val="22"/>
                <w:szCs w:val="22"/>
              </w:rPr>
            </w:pPr>
          </w:p>
          <w:p w14:paraId="6A303696" w14:textId="77777777" w:rsidR="00260BC4" w:rsidRDefault="00260BC4" w:rsidP="00357CEC">
            <w:pPr>
              <w:pStyle w:val="Default"/>
              <w:rPr>
                <w:sz w:val="22"/>
                <w:szCs w:val="22"/>
              </w:rPr>
            </w:pPr>
          </w:p>
          <w:p w14:paraId="46E6C46B" w14:textId="0906EFF5" w:rsidR="00134F85" w:rsidRPr="001300A9" w:rsidRDefault="00134F85" w:rsidP="00357CEC">
            <w:pPr>
              <w:pStyle w:val="Default"/>
              <w:rPr>
                <w:sz w:val="22"/>
                <w:szCs w:val="22"/>
              </w:rPr>
            </w:pPr>
            <w:r>
              <w:rPr>
                <w:sz w:val="22"/>
                <w:szCs w:val="22"/>
              </w:rPr>
              <w:t>NZ</w:t>
            </w:r>
          </w:p>
        </w:tc>
        <w:tc>
          <w:tcPr>
            <w:tcW w:w="567" w:type="dxa"/>
          </w:tcPr>
          <w:p w14:paraId="5FAD47A2" w14:textId="77777777" w:rsidR="00134F85" w:rsidRPr="004B3A4A" w:rsidRDefault="00134F85" w:rsidP="00C31279">
            <w:pPr>
              <w:pStyle w:val="Default"/>
              <w:rPr>
                <w:color w:val="auto"/>
                <w:sz w:val="22"/>
                <w:szCs w:val="22"/>
              </w:rPr>
            </w:pPr>
            <w:r w:rsidRPr="004B3A4A">
              <w:rPr>
                <w:color w:val="auto"/>
                <w:sz w:val="22"/>
                <w:szCs w:val="22"/>
              </w:rPr>
              <w:lastRenderedPageBreak/>
              <w:t>Č:I§:10</w:t>
            </w:r>
          </w:p>
          <w:p w14:paraId="1E0A240D" w14:textId="286C513A" w:rsidR="00C31279" w:rsidRPr="00B30AD5" w:rsidRDefault="00134F85" w:rsidP="00C31279">
            <w:pPr>
              <w:pStyle w:val="Default"/>
              <w:rPr>
                <w:color w:val="auto"/>
                <w:sz w:val="22"/>
                <w:szCs w:val="22"/>
              </w:rPr>
            </w:pPr>
            <w:r w:rsidRPr="004B3A4A">
              <w:rPr>
                <w:color w:val="auto"/>
                <w:sz w:val="22"/>
                <w:szCs w:val="22"/>
              </w:rPr>
              <w:t>O:3 P:a</w:t>
            </w:r>
          </w:p>
          <w:p w14:paraId="0615BEC6" w14:textId="77777777" w:rsidR="00C31279" w:rsidRPr="001300A9" w:rsidRDefault="00C31279" w:rsidP="00C31279">
            <w:pPr>
              <w:pStyle w:val="Default"/>
              <w:rPr>
                <w:sz w:val="22"/>
                <w:szCs w:val="22"/>
              </w:rPr>
            </w:pPr>
          </w:p>
          <w:p w14:paraId="0B446050" w14:textId="77777777" w:rsidR="00C31279" w:rsidRPr="001300A9" w:rsidRDefault="00C31279" w:rsidP="00C31279">
            <w:pPr>
              <w:pStyle w:val="Default"/>
              <w:rPr>
                <w:sz w:val="22"/>
                <w:szCs w:val="22"/>
              </w:rPr>
            </w:pPr>
          </w:p>
          <w:p w14:paraId="592FA13F" w14:textId="77777777" w:rsidR="00C31279" w:rsidRPr="001300A9" w:rsidRDefault="00C31279" w:rsidP="00C31279">
            <w:pPr>
              <w:pStyle w:val="Default"/>
              <w:rPr>
                <w:sz w:val="22"/>
                <w:szCs w:val="22"/>
              </w:rPr>
            </w:pPr>
          </w:p>
          <w:p w14:paraId="1349D2F8" w14:textId="77777777" w:rsidR="00C31279" w:rsidRPr="001300A9" w:rsidRDefault="00C31279" w:rsidP="00C31279">
            <w:pPr>
              <w:pStyle w:val="Default"/>
              <w:rPr>
                <w:sz w:val="22"/>
                <w:szCs w:val="22"/>
              </w:rPr>
            </w:pPr>
          </w:p>
          <w:p w14:paraId="122F28D9" w14:textId="77777777" w:rsidR="00C31279" w:rsidRPr="001300A9" w:rsidRDefault="00C31279" w:rsidP="00C31279">
            <w:pPr>
              <w:pStyle w:val="Default"/>
              <w:rPr>
                <w:sz w:val="22"/>
                <w:szCs w:val="22"/>
              </w:rPr>
            </w:pPr>
          </w:p>
          <w:p w14:paraId="3EA9D9BC" w14:textId="5D9DDF00" w:rsidR="00332BCF" w:rsidRDefault="00332BCF" w:rsidP="00332BCF">
            <w:pPr>
              <w:pStyle w:val="Default"/>
              <w:rPr>
                <w:sz w:val="22"/>
                <w:szCs w:val="22"/>
              </w:rPr>
            </w:pPr>
          </w:p>
          <w:p w14:paraId="4BF56938" w14:textId="77777777" w:rsidR="00106F39" w:rsidRDefault="00106F39" w:rsidP="00332BCF">
            <w:pPr>
              <w:pStyle w:val="Default"/>
              <w:rPr>
                <w:sz w:val="22"/>
                <w:szCs w:val="22"/>
              </w:rPr>
            </w:pPr>
          </w:p>
          <w:p w14:paraId="596D30D8" w14:textId="77777777" w:rsidR="00134F85" w:rsidRDefault="00134F85" w:rsidP="00332BCF">
            <w:pPr>
              <w:pStyle w:val="Default"/>
              <w:rPr>
                <w:sz w:val="22"/>
                <w:szCs w:val="22"/>
              </w:rPr>
            </w:pPr>
          </w:p>
          <w:p w14:paraId="547F2AAE" w14:textId="77777777" w:rsidR="00134F85" w:rsidRDefault="00134F85" w:rsidP="00332BCF">
            <w:pPr>
              <w:pStyle w:val="Default"/>
              <w:rPr>
                <w:sz w:val="22"/>
                <w:szCs w:val="22"/>
              </w:rPr>
            </w:pPr>
          </w:p>
          <w:p w14:paraId="37758AEE" w14:textId="77777777" w:rsidR="00190F49" w:rsidRDefault="00190F49" w:rsidP="00332BCF">
            <w:pPr>
              <w:pStyle w:val="Default"/>
              <w:rPr>
                <w:sz w:val="22"/>
                <w:szCs w:val="22"/>
              </w:rPr>
            </w:pPr>
          </w:p>
          <w:p w14:paraId="6B18D2B7" w14:textId="77777777" w:rsidR="00260BC4" w:rsidRDefault="00260BC4" w:rsidP="00332BCF">
            <w:pPr>
              <w:pStyle w:val="Default"/>
              <w:rPr>
                <w:sz w:val="22"/>
                <w:szCs w:val="22"/>
              </w:rPr>
            </w:pPr>
          </w:p>
          <w:p w14:paraId="0D7DECC9" w14:textId="77777777" w:rsidR="00260BC4" w:rsidRDefault="00260BC4" w:rsidP="00332BCF">
            <w:pPr>
              <w:pStyle w:val="Default"/>
              <w:rPr>
                <w:sz w:val="22"/>
                <w:szCs w:val="22"/>
              </w:rPr>
            </w:pPr>
          </w:p>
          <w:p w14:paraId="7AD72E92" w14:textId="77777777" w:rsidR="00260BC4" w:rsidRDefault="00260BC4" w:rsidP="00332BCF">
            <w:pPr>
              <w:pStyle w:val="Default"/>
              <w:rPr>
                <w:sz w:val="22"/>
                <w:szCs w:val="22"/>
              </w:rPr>
            </w:pPr>
          </w:p>
          <w:p w14:paraId="4281C057" w14:textId="77777777" w:rsidR="00260BC4" w:rsidRDefault="00260BC4" w:rsidP="00332BCF">
            <w:pPr>
              <w:pStyle w:val="Default"/>
              <w:rPr>
                <w:sz w:val="22"/>
                <w:szCs w:val="22"/>
              </w:rPr>
            </w:pPr>
          </w:p>
          <w:p w14:paraId="2B1FE627" w14:textId="77777777" w:rsidR="00260BC4" w:rsidRDefault="00260BC4" w:rsidP="00332BCF">
            <w:pPr>
              <w:pStyle w:val="Default"/>
              <w:rPr>
                <w:sz w:val="22"/>
                <w:szCs w:val="22"/>
              </w:rPr>
            </w:pPr>
          </w:p>
          <w:p w14:paraId="39EF6078" w14:textId="77777777" w:rsidR="00260BC4" w:rsidRDefault="00260BC4" w:rsidP="00332BCF">
            <w:pPr>
              <w:pStyle w:val="Default"/>
              <w:rPr>
                <w:sz w:val="22"/>
                <w:szCs w:val="22"/>
              </w:rPr>
            </w:pPr>
          </w:p>
          <w:p w14:paraId="5E121F65" w14:textId="77777777" w:rsidR="00260BC4" w:rsidRDefault="00260BC4" w:rsidP="00332BCF">
            <w:pPr>
              <w:pStyle w:val="Default"/>
              <w:rPr>
                <w:sz w:val="22"/>
                <w:szCs w:val="22"/>
              </w:rPr>
            </w:pPr>
          </w:p>
          <w:p w14:paraId="0681F7BC" w14:textId="77777777" w:rsidR="00260BC4" w:rsidRDefault="00260BC4" w:rsidP="00332BCF">
            <w:pPr>
              <w:pStyle w:val="Default"/>
              <w:rPr>
                <w:sz w:val="22"/>
                <w:szCs w:val="22"/>
              </w:rPr>
            </w:pPr>
          </w:p>
          <w:p w14:paraId="27B3F9E6" w14:textId="7BC66E4A" w:rsidR="00134F85" w:rsidRPr="004B3A4A" w:rsidRDefault="00134F85" w:rsidP="00332BCF">
            <w:pPr>
              <w:pStyle w:val="Default"/>
              <w:rPr>
                <w:sz w:val="22"/>
                <w:szCs w:val="22"/>
              </w:rPr>
            </w:pPr>
            <w:r w:rsidRPr="004B3A4A">
              <w:rPr>
                <w:sz w:val="22"/>
                <w:szCs w:val="22"/>
              </w:rPr>
              <w:t>Č:I§:10</w:t>
            </w:r>
          </w:p>
          <w:p w14:paraId="22CA63ED" w14:textId="4EE11721" w:rsidR="00332BCF" w:rsidRPr="001300A9" w:rsidRDefault="00134F85" w:rsidP="00332BCF">
            <w:pPr>
              <w:pStyle w:val="Default"/>
              <w:rPr>
                <w:sz w:val="22"/>
                <w:szCs w:val="22"/>
              </w:rPr>
            </w:pPr>
            <w:r w:rsidRPr="004B3A4A">
              <w:rPr>
                <w:sz w:val="22"/>
                <w:szCs w:val="22"/>
              </w:rPr>
              <w:t>O:</w:t>
            </w:r>
            <w:r w:rsidR="00332BCF" w:rsidRPr="004B3A4A">
              <w:rPr>
                <w:sz w:val="22"/>
                <w:szCs w:val="22"/>
              </w:rPr>
              <w:t>4</w:t>
            </w:r>
          </w:p>
          <w:p w14:paraId="1FAC70A6" w14:textId="77777777" w:rsidR="00C31279" w:rsidRPr="001300A9" w:rsidRDefault="00C31279" w:rsidP="00C31279">
            <w:pPr>
              <w:pStyle w:val="Default"/>
              <w:rPr>
                <w:sz w:val="22"/>
                <w:szCs w:val="22"/>
              </w:rPr>
            </w:pPr>
          </w:p>
          <w:p w14:paraId="356A64E6" w14:textId="77777777" w:rsidR="00C31279" w:rsidRPr="001300A9" w:rsidRDefault="00C31279" w:rsidP="00C31279">
            <w:pPr>
              <w:pStyle w:val="Default"/>
              <w:rPr>
                <w:sz w:val="22"/>
                <w:szCs w:val="22"/>
              </w:rPr>
            </w:pPr>
          </w:p>
          <w:p w14:paraId="4DADA82A" w14:textId="77777777" w:rsidR="00C31279" w:rsidRPr="001300A9" w:rsidRDefault="00C31279" w:rsidP="00C31279">
            <w:pPr>
              <w:pStyle w:val="Default"/>
              <w:rPr>
                <w:sz w:val="22"/>
                <w:szCs w:val="22"/>
              </w:rPr>
            </w:pPr>
          </w:p>
          <w:p w14:paraId="1A194095" w14:textId="77777777" w:rsidR="00C31279" w:rsidRPr="001300A9" w:rsidRDefault="00C31279" w:rsidP="00C31279">
            <w:pPr>
              <w:pStyle w:val="Default"/>
              <w:rPr>
                <w:sz w:val="22"/>
                <w:szCs w:val="22"/>
              </w:rPr>
            </w:pPr>
          </w:p>
          <w:p w14:paraId="55CF4821" w14:textId="77777777" w:rsidR="00C31279" w:rsidRPr="001300A9" w:rsidRDefault="00C31279" w:rsidP="00C31279">
            <w:pPr>
              <w:pStyle w:val="Default"/>
              <w:rPr>
                <w:sz w:val="22"/>
                <w:szCs w:val="22"/>
              </w:rPr>
            </w:pPr>
          </w:p>
          <w:p w14:paraId="0C0EF614" w14:textId="77777777" w:rsidR="00C31279" w:rsidRPr="001300A9" w:rsidRDefault="00C31279" w:rsidP="00C31279">
            <w:pPr>
              <w:pStyle w:val="Default"/>
              <w:rPr>
                <w:sz w:val="22"/>
                <w:szCs w:val="22"/>
              </w:rPr>
            </w:pPr>
          </w:p>
          <w:p w14:paraId="350319CF" w14:textId="77777777" w:rsidR="00C31279" w:rsidRPr="001300A9" w:rsidRDefault="00C31279" w:rsidP="00C31279">
            <w:pPr>
              <w:pStyle w:val="Default"/>
              <w:rPr>
                <w:sz w:val="22"/>
                <w:szCs w:val="22"/>
              </w:rPr>
            </w:pPr>
          </w:p>
          <w:p w14:paraId="5301EB0C" w14:textId="77777777" w:rsidR="00C31279" w:rsidRPr="001300A9" w:rsidRDefault="00C31279" w:rsidP="00C31279">
            <w:pPr>
              <w:pStyle w:val="Default"/>
              <w:rPr>
                <w:sz w:val="22"/>
                <w:szCs w:val="22"/>
              </w:rPr>
            </w:pPr>
          </w:p>
          <w:p w14:paraId="0BA304D4" w14:textId="77777777" w:rsidR="00C31279" w:rsidRPr="001300A9" w:rsidRDefault="00C31279" w:rsidP="00C31279">
            <w:pPr>
              <w:pStyle w:val="Default"/>
              <w:rPr>
                <w:sz w:val="22"/>
                <w:szCs w:val="22"/>
              </w:rPr>
            </w:pPr>
          </w:p>
          <w:p w14:paraId="07FCE7D9" w14:textId="77777777" w:rsidR="00C31279" w:rsidRPr="001300A9" w:rsidRDefault="00C31279" w:rsidP="00C31279">
            <w:pPr>
              <w:pStyle w:val="Default"/>
              <w:rPr>
                <w:sz w:val="22"/>
                <w:szCs w:val="22"/>
              </w:rPr>
            </w:pPr>
          </w:p>
          <w:p w14:paraId="0C573778" w14:textId="77777777" w:rsidR="00C31279" w:rsidRPr="001300A9" w:rsidRDefault="00C31279" w:rsidP="00C31279">
            <w:pPr>
              <w:pStyle w:val="Default"/>
              <w:rPr>
                <w:sz w:val="22"/>
                <w:szCs w:val="22"/>
              </w:rPr>
            </w:pPr>
          </w:p>
          <w:p w14:paraId="08F79C96" w14:textId="77777777" w:rsidR="00C31279" w:rsidRPr="001300A9" w:rsidRDefault="00C31279" w:rsidP="00C31279">
            <w:pPr>
              <w:pStyle w:val="Default"/>
              <w:rPr>
                <w:sz w:val="22"/>
                <w:szCs w:val="22"/>
              </w:rPr>
            </w:pPr>
          </w:p>
          <w:p w14:paraId="1E3EDD7E" w14:textId="77777777" w:rsidR="00C31279" w:rsidRPr="001300A9" w:rsidRDefault="00C31279" w:rsidP="00C31279">
            <w:pPr>
              <w:pStyle w:val="Default"/>
              <w:rPr>
                <w:sz w:val="22"/>
                <w:szCs w:val="22"/>
              </w:rPr>
            </w:pPr>
          </w:p>
          <w:p w14:paraId="6CC3EAAF" w14:textId="77777777" w:rsidR="00C31279" w:rsidRPr="001300A9" w:rsidRDefault="00C31279" w:rsidP="00C31279">
            <w:pPr>
              <w:pStyle w:val="Default"/>
              <w:rPr>
                <w:sz w:val="22"/>
                <w:szCs w:val="22"/>
              </w:rPr>
            </w:pPr>
          </w:p>
          <w:p w14:paraId="330F3974" w14:textId="77777777" w:rsidR="00C31279" w:rsidRPr="001300A9" w:rsidRDefault="00C31279" w:rsidP="00C31279">
            <w:pPr>
              <w:pStyle w:val="Default"/>
              <w:rPr>
                <w:sz w:val="22"/>
                <w:szCs w:val="22"/>
              </w:rPr>
            </w:pPr>
          </w:p>
          <w:p w14:paraId="6A1BF6F9" w14:textId="77777777" w:rsidR="00C31279" w:rsidRPr="001300A9" w:rsidRDefault="00C31279" w:rsidP="00C31279">
            <w:pPr>
              <w:pStyle w:val="Default"/>
              <w:rPr>
                <w:sz w:val="22"/>
                <w:szCs w:val="22"/>
              </w:rPr>
            </w:pPr>
          </w:p>
          <w:p w14:paraId="4DDE9482" w14:textId="77777777" w:rsidR="00C31279" w:rsidRPr="001300A9" w:rsidRDefault="00C31279" w:rsidP="00C31279">
            <w:pPr>
              <w:pStyle w:val="Default"/>
              <w:rPr>
                <w:sz w:val="22"/>
                <w:szCs w:val="22"/>
              </w:rPr>
            </w:pPr>
          </w:p>
          <w:p w14:paraId="29EB3347" w14:textId="6C807CF4" w:rsidR="00C31279" w:rsidRPr="001300A9" w:rsidRDefault="00C31279" w:rsidP="00C31279">
            <w:pPr>
              <w:pStyle w:val="Default"/>
              <w:rPr>
                <w:sz w:val="22"/>
                <w:szCs w:val="22"/>
              </w:rPr>
            </w:pPr>
          </w:p>
          <w:p w14:paraId="498A9469" w14:textId="77777777" w:rsidR="0006236A" w:rsidRDefault="0006236A" w:rsidP="00C31279">
            <w:pPr>
              <w:pStyle w:val="Default"/>
              <w:rPr>
                <w:sz w:val="22"/>
                <w:szCs w:val="22"/>
              </w:rPr>
            </w:pPr>
          </w:p>
          <w:p w14:paraId="59B1DB1F" w14:textId="77777777" w:rsidR="00106F39" w:rsidRDefault="00106F39" w:rsidP="00C31279">
            <w:pPr>
              <w:pStyle w:val="Default"/>
              <w:rPr>
                <w:sz w:val="22"/>
                <w:szCs w:val="22"/>
              </w:rPr>
            </w:pPr>
          </w:p>
          <w:p w14:paraId="2D9EDED2" w14:textId="77777777" w:rsidR="00106F39" w:rsidRDefault="00106F39" w:rsidP="00C31279">
            <w:pPr>
              <w:pStyle w:val="Default"/>
              <w:rPr>
                <w:sz w:val="22"/>
                <w:szCs w:val="22"/>
              </w:rPr>
            </w:pPr>
          </w:p>
          <w:p w14:paraId="4947FAB3" w14:textId="77777777" w:rsidR="00106F39" w:rsidRDefault="00106F39" w:rsidP="00C31279">
            <w:pPr>
              <w:pStyle w:val="Default"/>
              <w:rPr>
                <w:sz w:val="22"/>
                <w:szCs w:val="22"/>
              </w:rPr>
            </w:pPr>
          </w:p>
          <w:p w14:paraId="0DE1AB96" w14:textId="77777777" w:rsidR="00106F39" w:rsidRDefault="00106F39" w:rsidP="00C31279">
            <w:pPr>
              <w:pStyle w:val="Default"/>
              <w:rPr>
                <w:sz w:val="22"/>
                <w:szCs w:val="22"/>
              </w:rPr>
            </w:pPr>
          </w:p>
          <w:p w14:paraId="44272E02" w14:textId="77777777" w:rsidR="00106F39" w:rsidRDefault="00106F39" w:rsidP="00C31279">
            <w:pPr>
              <w:pStyle w:val="Default"/>
              <w:rPr>
                <w:sz w:val="22"/>
                <w:szCs w:val="22"/>
              </w:rPr>
            </w:pPr>
          </w:p>
          <w:p w14:paraId="26F29992" w14:textId="77777777" w:rsidR="00106F39" w:rsidRDefault="00106F39" w:rsidP="00C31279">
            <w:pPr>
              <w:pStyle w:val="Default"/>
              <w:rPr>
                <w:sz w:val="22"/>
                <w:szCs w:val="22"/>
              </w:rPr>
            </w:pPr>
          </w:p>
          <w:p w14:paraId="718462B0" w14:textId="77777777" w:rsidR="00106F39" w:rsidRDefault="00106F39" w:rsidP="00C31279">
            <w:pPr>
              <w:pStyle w:val="Default"/>
              <w:rPr>
                <w:sz w:val="22"/>
                <w:szCs w:val="22"/>
              </w:rPr>
            </w:pPr>
          </w:p>
          <w:p w14:paraId="6B586966" w14:textId="77777777" w:rsidR="00106F39" w:rsidRDefault="00106F39" w:rsidP="00C31279">
            <w:pPr>
              <w:pStyle w:val="Default"/>
              <w:rPr>
                <w:sz w:val="22"/>
                <w:szCs w:val="22"/>
              </w:rPr>
            </w:pPr>
          </w:p>
          <w:p w14:paraId="0AF7B92D" w14:textId="77777777" w:rsidR="00106F39" w:rsidRDefault="00106F39" w:rsidP="00C31279">
            <w:pPr>
              <w:pStyle w:val="Default"/>
              <w:rPr>
                <w:sz w:val="22"/>
                <w:szCs w:val="22"/>
              </w:rPr>
            </w:pPr>
          </w:p>
          <w:p w14:paraId="5D0EC7B1" w14:textId="77777777" w:rsidR="00106F39" w:rsidRDefault="00106F39" w:rsidP="00C31279">
            <w:pPr>
              <w:pStyle w:val="Default"/>
              <w:rPr>
                <w:sz w:val="22"/>
                <w:szCs w:val="22"/>
              </w:rPr>
            </w:pPr>
          </w:p>
          <w:p w14:paraId="443C2935" w14:textId="77777777" w:rsidR="00106F39" w:rsidRDefault="00106F39" w:rsidP="00C31279">
            <w:pPr>
              <w:pStyle w:val="Default"/>
              <w:rPr>
                <w:sz w:val="22"/>
                <w:szCs w:val="22"/>
              </w:rPr>
            </w:pPr>
          </w:p>
          <w:p w14:paraId="19C616F9" w14:textId="77777777" w:rsidR="00106F39" w:rsidRDefault="00106F39" w:rsidP="00C31279">
            <w:pPr>
              <w:pStyle w:val="Default"/>
              <w:rPr>
                <w:sz w:val="22"/>
                <w:szCs w:val="22"/>
              </w:rPr>
            </w:pPr>
          </w:p>
          <w:p w14:paraId="51C32F42" w14:textId="77777777" w:rsidR="00106F39" w:rsidRDefault="00106F39" w:rsidP="00C31279">
            <w:pPr>
              <w:pStyle w:val="Default"/>
              <w:rPr>
                <w:sz w:val="22"/>
                <w:szCs w:val="22"/>
              </w:rPr>
            </w:pPr>
          </w:p>
          <w:p w14:paraId="2EF9D8E7" w14:textId="77777777" w:rsidR="00106F39" w:rsidRDefault="00106F39" w:rsidP="00C31279">
            <w:pPr>
              <w:pStyle w:val="Default"/>
              <w:rPr>
                <w:sz w:val="22"/>
                <w:szCs w:val="22"/>
              </w:rPr>
            </w:pPr>
          </w:p>
          <w:p w14:paraId="31C83AEC" w14:textId="179B0CEB" w:rsidR="00106F39" w:rsidRDefault="00106F39" w:rsidP="00C31279">
            <w:pPr>
              <w:pStyle w:val="Default"/>
              <w:rPr>
                <w:sz w:val="22"/>
                <w:szCs w:val="22"/>
              </w:rPr>
            </w:pPr>
          </w:p>
          <w:p w14:paraId="02B99BD5" w14:textId="77777777" w:rsidR="00134F85" w:rsidRPr="004B3A4A" w:rsidRDefault="00134F85" w:rsidP="00C31279">
            <w:pPr>
              <w:pStyle w:val="Default"/>
              <w:rPr>
                <w:sz w:val="22"/>
                <w:szCs w:val="22"/>
              </w:rPr>
            </w:pPr>
            <w:r w:rsidRPr="004B3A4A">
              <w:rPr>
                <w:sz w:val="22"/>
                <w:szCs w:val="22"/>
              </w:rPr>
              <w:t xml:space="preserve">Č:I§:10 </w:t>
            </w:r>
          </w:p>
          <w:p w14:paraId="3F1B0203" w14:textId="77B3B8F0" w:rsidR="00C31279" w:rsidRDefault="00134F85" w:rsidP="00C31279">
            <w:pPr>
              <w:pStyle w:val="Default"/>
              <w:rPr>
                <w:sz w:val="22"/>
                <w:szCs w:val="22"/>
              </w:rPr>
            </w:pPr>
            <w:r w:rsidRPr="004B3A4A">
              <w:rPr>
                <w:sz w:val="22"/>
                <w:szCs w:val="22"/>
              </w:rPr>
              <w:t>O:3 P:b</w:t>
            </w:r>
          </w:p>
          <w:p w14:paraId="047E64ED" w14:textId="77777777" w:rsidR="00332BCF" w:rsidRDefault="00332BCF" w:rsidP="00C31279">
            <w:pPr>
              <w:pStyle w:val="Default"/>
              <w:rPr>
                <w:sz w:val="22"/>
                <w:szCs w:val="22"/>
              </w:rPr>
            </w:pPr>
          </w:p>
          <w:p w14:paraId="15910735" w14:textId="77777777" w:rsidR="00332BCF" w:rsidRDefault="00332BCF" w:rsidP="00C31279">
            <w:pPr>
              <w:pStyle w:val="Default"/>
              <w:rPr>
                <w:sz w:val="22"/>
                <w:szCs w:val="22"/>
              </w:rPr>
            </w:pPr>
          </w:p>
          <w:p w14:paraId="018E05ED" w14:textId="4F4AEBD0" w:rsidR="00332BCF" w:rsidRDefault="00332BCF" w:rsidP="00C31279">
            <w:pPr>
              <w:pStyle w:val="Default"/>
              <w:rPr>
                <w:sz w:val="22"/>
                <w:szCs w:val="22"/>
              </w:rPr>
            </w:pPr>
          </w:p>
          <w:p w14:paraId="0845600F" w14:textId="77777777" w:rsidR="002C79F4" w:rsidRDefault="002C79F4" w:rsidP="00C31279">
            <w:pPr>
              <w:pStyle w:val="Default"/>
              <w:rPr>
                <w:sz w:val="22"/>
                <w:szCs w:val="22"/>
              </w:rPr>
            </w:pPr>
          </w:p>
          <w:p w14:paraId="613C694B" w14:textId="4AC5C727" w:rsidR="00134F85" w:rsidRDefault="00134F85" w:rsidP="00C31279">
            <w:pPr>
              <w:pStyle w:val="Default"/>
              <w:rPr>
                <w:sz w:val="22"/>
                <w:szCs w:val="22"/>
              </w:rPr>
            </w:pPr>
          </w:p>
          <w:p w14:paraId="5E82B0B8" w14:textId="77777777" w:rsidR="00134F85" w:rsidRPr="004B3A4A" w:rsidRDefault="00134F85" w:rsidP="00C31279">
            <w:pPr>
              <w:pStyle w:val="Default"/>
              <w:rPr>
                <w:sz w:val="22"/>
                <w:szCs w:val="22"/>
              </w:rPr>
            </w:pPr>
            <w:r w:rsidRPr="004B3A4A">
              <w:rPr>
                <w:sz w:val="22"/>
                <w:szCs w:val="22"/>
              </w:rPr>
              <w:t>Č:I§:10</w:t>
            </w:r>
          </w:p>
          <w:p w14:paraId="7B4D5EB3" w14:textId="7D446AE2" w:rsidR="00332BCF" w:rsidRPr="001300A9" w:rsidRDefault="00134F85" w:rsidP="00C31279">
            <w:pPr>
              <w:pStyle w:val="Default"/>
              <w:rPr>
                <w:sz w:val="22"/>
                <w:szCs w:val="22"/>
              </w:rPr>
            </w:pPr>
            <w:r w:rsidRPr="004B3A4A">
              <w:rPr>
                <w:sz w:val="22"/>
                <w:szCs w:val="22"/>
              </w:rPr>
              <w:t>O:</w:t>
            </w:r>
            <w:r w:rsidR="00332BCF" w:rsidRPr="004B3A4A">
              <w:rPr>
                <w:sz w:val="22"/>
                <w:szCs w:val="22"/>
              </w:rPr>
              <w:t>5</w:t>
            </w:r>
            <w:r w:rsidR="003367CB" w:rsidRPr="004B3A4A">
              <w:rPr>
                <w:sz w:val="22"/>
                <w:szCs w:val="22"/>
              </w:rPr>
              <w:t xml:space="preserve"> až 7</w:t>
            </w:r>
          </w:p>
          <w:p w14:paraId="0A28F10E" w14:textId="77777777" w:rsidR="00053DCA" w:rsidRPr="001300A9" w:rsidRDefault="00053DCA" w:rsidP="00C31279">
            <w:pPr>
              <w:pStyle w:val="Default"/>
              <w:rPr>
                <w:sz w:val="22"/>
                <w:szCs w:val="22"/>
              </w:rPr>
            </w:pPr>
          </w:p>
          <w:p w14:paraId="5FB44FE5" w14:textId="77777777" w:rsidR="00053DCA" w:rsidRPr="001300A9" w:rsidRDefault="00053DCA" w:rsidP="00C31279">
            <w:pPr>
              <w:pStyle w:val="Default"/>
              <w:rPr>
                <w:sz w:val="22"/>
                <w:szCs w:val="22"/>
              </w:rPr>
            </w:pPr>
          </w:p>
          <w:p w14:paraId="2369EBAB" w14:textId="77777777" w:rsidR="00053DCA" w:rsidRPr="001300A9" w:rsidRDefault="00053DCA" w:rsidP="00C31279">
            <w:pPr>
              <w:pStyle w:val="Default"/>
              <w:rPr>
                <w:sz w:val="22"/>
                <w:szCs w:val="22"/>
              </w:rPr>
            </w:pPr>
          </w:p>
          <w:p w14:paraId="3182D30B" w14:textId="77777777" w:rsidR="00053DCA" w:rsidRPr="001300A9" w:rsidRDefault="00053DCA" w:rsidP="00C31279">
            <w:pPr>
              <w:pStyle w:val="Default"/>
              <w:rPr>
                <w:sz w:val="22"/>
                <w:szCs w:val="22"/>
              </w:rPr>
            </w:pPr>
          </w:p>
          <w:p w14:paraId="02E71143" w14:textId="77777777" w:rsidR="00053DCA" w:rsidRPr="001300A9" w:rsidRDefault="00053DCA" w:rsidP="00C31279">
            <w:pPr>
              <w:pStyle w:val="Default"/>
              <w:rPr>
                <w:sz w:val="22"/>
                <w:szCs w:val="22"/>
              </w:rPr>
            </w:pPr>
          </w:p>
          <w:p w14:paraId="758DD6A8" w14:textId="77777777" w:rsidR="00053DCA" w:rsidRPr="001300A9" w:rsidRDefault="00053DCA" w:rsidP="00C31279">
            <w:pPr>
              <w:pStyle w:val="Default"/>
              <w:rPr>
                <w:sz w:val="22"/>
                <w:szCs w:val="22"/>
              </w:rPr>
            </w:pPr>
          </w:p>
          <w:p w14:paraId="5D70E863" w14:textId="77777777" w:rsidR="00053DCA" w:rsidRPr="001300A9" w:rsidRDefault="00053DCA" w:rsidP="00C31279">
            <w:pPr>
              <w:pStyle w:val="Default"/>
              <w:rPr>
                <w:sz w:val="22"/>
                <w:szCs w:val="22"/>
              </w:rPr>
            </w:pPr>
          </w:p>
          <w:p w14:paraId="4F900A63" w14:textId="77777777" w:rsidR="00053DCA" w:rsidRPr="001300A9" w:rsidRDefault="00053DCA" w:rsidP="00C31279">
            <w:pPr>
              <w:pStyle w:val="Default"/>
              <w:rPr>
                <w:sz w:val="22"/>
                <w:szCs w:val="22"/>
              </w:rPr>
            </w:pPr>
          </w:p>
          <w:p w14:paraId="63EB4B6F" w14:textId="77777777" w:rsidR="00053DCA" w:rsidRPr="001300A9" w:rsidRDefault="00053DCA" w:rsidP="00C31279">
            <w:pPr>
              <w:pStyle w:val="Default"/>
              <w:rPr>
                <w:sz w:val="22"/>
                <w:szCs w:val="22"/>
              </w:rPr>
            </w:pPr>
          </w:p>
          <w:p w14:paraId="54B9C880" w14:textId="77777777" w:rsidR="00053DCA" w:rsidRPr="001300A9" w:rsidRDefault="00053DCA" w:rsidP="00C31279">
            <w:pPr>
              <w:pStyle w:val="Default"/>
              <w:rPr>
                <w:sz w:val="22"/>
                <w:szCs w:val="22"/>
              </w:rPr>
            </w:pPr>
          </w:p>
          <w:p w14:paraId="764DB4E8" w14:textId="77777777" w:rsidR="00053DCA" w:rsidRPr="001300A9" w:rsidRDefault="00053DCA" w:rsidP="00C31279">
            <w:pPr>
              <w:pStyle w:val="Default"/>
              <w:rPr>
                <w:sz w:val="22"/>
                <w:szCs w:val="22"/>
              </w:rPr>
            </w:pPr>
          </w:p>
          <w:p w14:paraId="1E222364" w14:textId="77777777" w:rsidR="00053DCA" w:rsidRPr="001300A9" w:rsidRDefault="00053DCA" w:rsidP="00C31279">
            <w:pPr>
              <w:pStyle w:val="Default"/>
              <w:rPr>
                <w:sz w:val="22"/>
                <w:szCs w:val="22"/>
              </w:rPr>
            </w:pPr>
          </w:p>
          <w:p w14:paraId="1EB47797" w14:textId="77777777" w:rsidR="00053DCA" w:rsidRPr="001300A9" w:rsidRDefault="00053DCA" w:rsidP="00C31279">
            <w:pPr>
              <w:pStyle w:val="Default"/>
              <w:rPr>
                <w:sz w:val="22"/>
                <w:szCs w:val="22"/>
              </w:rPr>
            </w:pPr>
          </w:p>
          <w:p w14:paraId="0C5CA18B" w14:textId="77777777" w:rsidR="00053DCA" w:rsidRPr="001300A9" w:rsidRDefault="00053DCA" w:rsidP="00C31279">
            <w:pPr>
              <w:pStyle w:val="Default"/>
              <w:rPr>
                <w:sz w:val="22"/>
                <w:szCs w:val="22"/>
              </w:rPr>
            </w:pPr>
          </w:p>
          <w:p w14:paraId="58AE0220" w14:textId="77777777" w:rsidR="00053DCA" w:rsidRPr="001300A9" w:rsidRDefault="00053DCA" w:rsidP="00C31279">
            <w:pPr>
              <w:pStyle w:val="Default"/>
              <w:rPr>
                <w:sz w:val="22"/>
                <w:szCs w:val="22"/>
              </w:rPr>
            </w:pPr>
          </w:p>
          <w:p w14:paraId="26945B0C" w14:textId="77777777" w:rsidR="00053DCA" w:rsidRPr="001300A9" w:rsidRDefault="00053DCA" w:rsidP="00C31279">
            <w:pPr>
              <w:pStyle w:val="Default"/>
              <w:rPr>
                <w:sz w:val="22"/>
                <w:szCs w:val="22"/>
              </w:rPr>
            </w:pPr>
          </w:p>
          <w:p w14:paraId="24759189" w14:textId="77777777" w:rsidR="00053DCA" w:rsidRPr="001300A9" w:rsidRDefault="00053DCA" w:rsidP="00C31279">
            <w:pPr>
              <w:pStyle w:val="Default"/>
              <w:rPr>
                <w:sz w:val="22"/>
                <w:szCs w:val="22"/>
              </w:rPr>
            </w:pPr>
          </w:p>
          <w:p w14:paraId="4D5CF4C2" w14:textId="77777777" w:rsidR="00053DCA" w:rsidRPr="001300A9" w:rsidRDefault="00053DCA" w:rsidP="00C31279">
            <w:pPr>
              <w:pStyle w:val="Default"/>
              <w:rPr>
                <w:sz w:val="22"/>
                <w:szCs w:val="22"/>
              </w:rPr>
            </w:pPr>
          </w:p>
          <w:p w14:paraId="022694F7" w14:textId="77777777" w:rsidR="00053DCA" w:rsidRPr="001300A9" w:rsidRDefault="00053DCA" w:rsidP="00C31279">
            <w:pPr>
              <w:pStyle w:val="Default"/>
              <w:rPr>
                <w:sz w:val="22"/>
                <w:szCs w:val="22"/>
              </w:rPr>
            </w:pPr>
          </w:p>
          <w:p w14:paraId="1D2D7D15" w14:textId="77777777" w:rsidR="00053DCA" w:rsidRPr="001300A9" w:rsidRDefault="00053DCA" w:rsidP="00C31279">
            <w:pPr>
              <w:pStyle w:val="Default"/>
              <w:rPr>
                <w:sz w:val="22"/>
                <w:szCs w:val="22"/>
              </w:rPr>
            </w:pPr>
          </w:p>
          <w:p w14:paraId="75244EB1" w14:textId="77777777" w:rsidR="00053DCA" w:rsidRPr="001300A9" w:rsidRDefault="00053DCA" w:rsidP="00C31279">
            <w:pPr>
              <w:pStyle w:val="Default"/>
              <w:rPr>
                <w:sz w:val="22"/>
                <w:szCs w:val="22"/>
              </w:rPr>
            </w:pPr>
          </w:p>
          <w:p w14:paraId="0CEBD8C3" w14:textId="77777777" w:rsidR="00053DCA" w:rsidRPr="001300A9" w:rsidRDefault="00053DCA" w:rsidP="00C31279">
            <w:pPr>
              <w:pStyle w:val="Default"/>
              <w:rPr>
                <w:sz w:val="22"/>
                <w:szCs w:val="22"/>
              </w:rPr>
            </w:pPr>
          </w:p>
          <w:p w14:paraId="4EE75913" w14:textId="77777777" w:rsidR="00053DCA" w:rsidRPr="001300A9" w:rsidRDefault="00053DCA" w:rsidP="00C31279">
            <w:pPr>
              <w:pStyle w:val="Default"/>
              <w:rPr>
                <w:sz w:val="22"/>
                <w:szCs w:val="22"/>
              </w:rPr>
            </w:pPr>
          </w:p>
          <w:p w14:paraId="1C511C80" w14:textId="77777777" w:rsidR="00053DCA" w:rsidRPr="001300A9" w:rsidRDefault="00053DCA" w:rsidP="00C31279">
            <w:pPr>
              <w:pStyle w:val="Default"/>
              <w:rPr>
                <w:sz w:val="22"/>
                <w:szCs w:val="22"/>
              </w:rPr>
            </w:pPr>
          </w:p>
          <w:p w14:paraId="6EBF11DF" w14:textId="77777777" w:rsidR="00053DCA" w:rsidRPr="001300A9" w:rsidRDefault="00053DCA" w:rsidP="00C31279">
            <w:pPr>
              <w:pStyle w:val="Default"/>
              <w:rPr>
                <w:sz w:val="22"/>
                <w:szCs w:val="22"/>
              </w:rPr>
            </w:pPr>
          </w:p>
          <w:p w14:paraId="331D7AC5" w14:textId="77777777" w:rsidR="00053DCA" w:rsidRPr="001300A9" w:rsidRDefault="00053DCA" w:rsidP="00C31279">
            <w:pPr>
              <w:pStyle w:val="Default"/>
              <w:rPr>
                <w:sz w:val="22"/>
                <w:szCs w:val="22"/>
              </w:rPr>
            </w:pPr>
          </w:p>
          <w:p w14:paraId="0CFB9AA1" w14:textId="77777777" w:rsidR="00053DCA" w:rsidRPr="001300A9" w:rsidRDefault="00053DCA" w:rsidP="00C31279">
            <w:pPr>
              <w:pStyle w:val="Default"/>
              <w:rPr>
                <w:sz w:val="22"/>
                <w:szCs w:val="22"/>
              </w:rPr>
            </w:pPr>
          </w:p>
          <w:p w14:paraId="2B67DBC5" w14:textId="77777777" w:rsidR="00053DCA" w:rsidRPr="001300A9" w:rsidRDefault="00053DCA" w:rsidP="00C31279">
            <w:pPr>
              <w:pStyle w:val="Default"/>
              <w:rPr>
                <w:sz w:val="22"/>
                <w:szCs w:val="22"/>
              </w:rPr>
            </w:pPr>
          </w:p>
          <w:p w14:paraId="4A66E0C5" w14:textId="77777777" w:rsidR="00053DCA" w:rsidRPr="001300A9" w:rsidRDefault="00053DCA" w:rsidP="00C31279">
            <w:pPr>
              <w:pStyle w:val="Default"/>
              <w:rPr>
                <w:sz w:val="22"/>
                <w:szCs w:val="22"/>
              </w:rPr>
            </w:pPr>
          </w:p>
          <w:p w14:paraId="67C9B4FD" w14:textId="77777777" w:rsidR="00053DCA" w:rsidRPr="001300A9" w:rsidRDefault="00053DCA" w:rsidP="00C31279">
            <w:pPr>
              <w:pStyle w:val="Default"/>
              <w:rPr>
                <w:sz w:val="22"/>
                <w:szCs w:val="22"/>
              </w:rPr>
            </w:pPr>
          </w:p>
          <w:p w14:paraId="40313C6E" w14:textId="77777777" w:rsidR="00053DCA" w:rsidRPr="001300A9" w:rsidRDefault="00053DCA" w:rsidP="00C31279">
            <w:pPr>
              <w:pStyle w:val="Default"/>
              <w:rPr>
                <w:sz w:val="22"/>
                <w:szCs w:val="22"/>
              </w:rPr>
            </w:pPr>
          </w:p>
          <w:p w14:paraId="3BE81EBA" w14:textId="77777777" w:rsidR="00053DCA" w:rsidRPr="001300A9" w:rsidRDefault="00053DCA" w:rsidP="00C31279">
            <w:pPr>
              <w:pStyle w:val="Default"/>
              <w:rPr>
                <w:sz w:val="22"/>
                <w:szCs w:val="22"/>
              </w:rPr>
            </w:pPr>
          </w:p>
          <w:p w14:paraId="52EFAC72" w14:textId="77777777" w:rsidR="00053DCA" w:rsidRPr="001300A9" w:rsidRDefault="00053DCA" w:rsidP="00C31279">
            <w:pPr>
              <w:pStyle w:val="Default"/>
              <w:rPr>
                <w:sz w:val="22"/>
                <w:szCs w:val="22"/>
              </w:rPr>
            </w:pPr>
          </w:p>
          <w:p w14:paraId="4FB77A50" w14:textId="77777777" w:rsidR="00053DCA" w:rsidRPr="001300A9" w:rsidRDefault="00053DCA" w:rsidP="00C31279">
            <w:pPr>
              <w:pStyle w:val="Default"/>
              <w:rPr>
                <w:sz w:val="22"/>
                <w:szCs w:val="22"/>
              </w:rPr>
            </w:pPr>
          </w:p>
          <w:p w14:paraId="774B7C29" w14:textId="3793639D" w:rsidR="00432DB8" w:rsidRDefault="00432DB8" w:rsidP="00C31279">
            <w:pPr>
              <w:pStyle w:val="Default"/>
              <w:rPr>
                <w:sz w:val="22"/>
                <w:szCs w:val="22"/>
              </w:rPr>
            </w:pPr>
          </w:p>
          <w:p w14:paraId="2E178313" w14:textId="77777777" w:rsidR="00432DB8" w:rsidRDefault="00432DB8" w:rsidP="00C31279">
            <w:pPr>
              <w:pStyle w:val="Default"/>
              <w:rPr>
                <w:sz w:val="22"/>
                <w:szCs w:val="22"/>
              </w:rPr>
            </w:pPr>
          </w:p>
          <w:p w14:paraId="75E789ED" w14:textId="77777777" w:rsidR="003367CB" w:rsidRDefault="003367CB" w:rsidP="00C31279">
            <w:pPr>
              <w:pStyle w:val="Default"/>
              <w:rPr>
                <w:sz w:val="22"/>
                <w:szCs w:val="22"/>
              </w:rPr>
            </w:pPr>
          </w:p>
          <w:p w14:paraId="68656A8C" w14:textId="77777777" w:rsidR="003367CB" w:rsidRDefault="003367CB" w:rsidP="00C31279">
            <w:pPr>
              <w:pStyle w:val="Default"/>
              <w:rPr>
                <w:sz w:val="22"/>
                <w:szCs w:val="22"/>
              </w:rPr>
            </w:pPr>
          </w:p>
          <w:p w14:paraId="1070651C" w14:textId="77777777" w:rsidR="00106F39" w:rsidRDefault="00106F39" w:rsidP="00C31279">
            <w:pPr>
              <w:pStyle w:val="Default"/>
              <w:rPr>
                <w:sz w:val="22"/>
                <w:szCs w:val="22"/>
              </w:rPr>
            </w:pPr>
          </w:p>
          <w:p w14:paraId="31E03B6A" w14:textId="77777777" w:rsidR="00106F39" w:rsidRDefault="00106F39" w:rsidP="00C31279">
            <w:pPr>
              <w:pStyle w:val="Default"/>
              <w:rPr>
                <w:sz w:val="22"/>
                <w:szCs w:val="22"/>
              </w:rPr>
            </w:pPr>
          </w:p>
          <w:p w14:paraId="7188AD14" w14:textId="77777777" w:rsidR="00106F39" w:rsidRDefault="00106F39" w:rsidP="00C31279">
            <w:pPr>
              <w:pStyle w:val="Default"/>
              <w:rPr>
                <w:sz w:val="22"/>
                <w:szCs w:val="22"/>
              </w:rPr>
            </w:pPr>
          </w:p>
          <w:p w14:paraId="6F07F9E2" w14:textId="77777777" w:rsidR="00106F39" w:rsidRDefault="00106F39" w:rsidP="00C31279">
            <w:pPr>
              <w:pStyle w:val="Default"/>
              <w:rPr>
                <w:sz w:val="22"/>
                <w:szCs w:val="22"/>
              </w:rPr>
            </w:pPr>
          </w:p>
          <w:p w14:paraId="468C901F" w14:textId="77777777" w:rsidR="00106F39" w:rsidRDefault="00106F39" w:rsidP="00C31279">
            <w:pPr>
              <w:pStyle w:val="Default"/>
              <w:rPr>
                <w:sz w:val="22"/>
                <w:szCs w:val="22"/>
              </w:rPr>
            </w:pPr>
          </w:p>
          <w:p w14:paraId="235A90F9" w14:textId="77777777" w:rsidR="00106F39" w:rsidRDefault="00106F39" w:rsidP="00C31279">
            <w:pPr>
              <w:pStyle w:val="Default"/>
              <w:rPr>
                <w:sz w:val="22"/>
                <w:szCs w:val="22"/>
              </w:rPr>
            </w:pPr>
          </w:p>
          <w:p w14:paraId="7B23FC5C" w14:textId="77777777" w:rsidR="00106F39" w:rsidRDefault="00106F39" w:rsidP="00C31279">
            <w:pPr>
              <w:pStyle w:val="Default"/>
              <w:rPr>
                <w:sz w:val="22"/>
                <w:szCs w:val="22"/>
              </w:rPr>
            </w:pPr>
          </w:p>
          <w:p w14:paraId="7A454E0A" w14:textId="77777777" w:rsidR="002C79F4" w:rsidRDefault="002C79F4" w:rsidP="00C31279">
            <w:pPr>
              <w:pStyle w:val="Default"/>
              <w:rPr>
                <w:sz w:val="22"/>
                <w:szCs w:val="22"/>
              </w:rPr>
            </w:pPr>
          </w:p>
          <w:p w14:paraId="734584BF" w14:textId="77777777" w:rsidR="002C79F4" w:rsidRDefault="002C79F4" w:rsidP="00C31279">
            <w:pPr>
              <w:pStyle w:val="Default"/>
              <w:rPr>
                <w:sz w:val="22"/>
                <w:szCs w:val="22"/>
              </w:rPr>
            </w:pPr>
          </w:p>
          <w:p w14:paraId="735B6243" w14:textId="77777777" w:rsidR="002C79F4" w:rsidRDefault="002C79F4" w:rsidP="00C31279">
            <w:pPr>
              <w:pStyle w:val="Default"/>
              <w:rPr>
                <w:sz w:val="22"/>
                <w:szCs w:val="22"/>
              </w:rPr>
            </w:pPr>
          </w:p>
          <w:p w14:paraId="051665D5" w14:textId="77777777" w:rsidR="002C79F4" w:rsidRDefault="002C79F4" w:rsidP="00C31279">
            <w:pPr>
              <w:pStyle w:val="Default"/>
              <w:rPr>
                <w:sz w:val="22"/>
                <w:szCs w:val="22"/>
              </w:rPr>
            </w:pPr>
          </w:p>
          <w:p w14:paraId="7B7BFC0C" w14:textId="77777777" w:rsidR="002C79F4" w:rsidRDefault="002C79F4" w:rsidP="00C31279">
            <w:pPr>
              <w:pStyle w:val="Default"/>
              <w:rPr>
                <w:sz w:val="22"/>
                <w:szCs w:val="22"/>
              </w:rPr>
            </w:pPr>
          </w:p>
          <w:p w14:paraId="2229C9C1" w14:textId="77777777" w:rsidR="002C79F4" w:rsidRDefault="002C79F4" w:rsidP="00C31279">
            <w:pPr>
              <w:pStyle w:val="Default"/>
              <w:rPr>
                <w:sz w:val="22"/>
                <w:szCs w:val="22"/>
              </w:rPr>
            </w:pPr>
          </w:p>
          <w:p w14:paraId="4E73F3F6" w14:textId="77777777" w:rsidR="002C79F4" w:rsidRDefault="002C79F4" w:rsidP="00C31279">
            <w:pPr>
              <w:pStyle w:val="Default"/>
              <w:rPr>
                <w:sz w:val="22"/>
                <w:szCs w:val="22"/>
              </w:rPr>
            </w:pPr>
          </w:p>
          <w:p w14:paraId="5DAAE9D4" w14:textId="77777777" w:rsidR="002C79F4" w:rsidRDefault="002C79F4" w:rsidP="00C31279">
            <w:pPr>
              <w:pStyle w:val="Default"/>
              <w:rPr>
                <w:sz w:val="22"/>
                <w:szCs w:val="22"/>
              </w:rPr>
            </w:pPr>
          </w:p>
          <w:p w14:paraId="2E4E6938" w14:textId="77777777" w:rsidR="002C79F4" w:rsidRDefault="002C79F4" w:rsidP="00C31279">
            <w:pPr>
              <w:pStyle w:val="Default"/>
              <w:rPr>
                <w:sz w:val="22"/>
                <w:szCs w:val="22"/>
              </w:rPr>
            </w:pPr>
          </w:p>
          <w:p w14:paraId="2AEA6F3B" w14:textId="77777777" w:rsidR="002C79F4" w:rsidRDefault="002C79F4" w:rsidP="00C31279">
            <w:pPr>
              <w:pStyle w:val="Default"/>
              <w:rPr>
                <w:sz w:val="22"/>
                <w:szCs w:val="22"/>
              </w:rPr>
            </w:pPr>
          </w:p>
          <w:p w14:paraId="3CCC2682" w14:textId="77777777" w:rsidR="002C79F4" w:rsidRDefault="002C79F4" w:rsidP="00C31279">
            <w:pPr>
              <w:pStyle w:val="Default"/>
              <w:rPr>
                <w:sz w:val="22"/>
                <w:szCs w:val="22"/>
              </w:rPr>
            </w:pPr>
          </w:p>
          <w:p w14:paraId="11DDC82D" w14:textId="77777777" w:rsidR="002C79F4" w:rsidRDefault="002C79F4" w:rsidP="00C31279">
            <w:pPr>
              <w:pStyle w:val="Default"/>
              <w:rPr>
                <w:sz w:val="22"/>
                <w:szCs w:val="22"/>
              </w:rPr>
            </w:pPr>
          </w:p>
          <w:p w14:paraId="5272E6CD" w14:textId="77777777" w:rsidR="002C79F4" w:rsidRDefault="002C79F4" w:rsidP="00C31279">
            <w:pPr>
              <w:pStyle w:val="Default"/>
              <w:rPr>
                <w:sz w:val="22"/>
                <w:szCs w:val="22"/>
              </w:rPr>
            </w:pPr>
          </w:p>
          <w:p w14:paraId="1F468494" w14:textId="77777777" w:rsidR="002C79F4" w:rsidRDefault="002C79F4" w:rsidP="00C31279">
            <w:pPr>
              <w:pStyle w:val="Default"/>
              <w:rPr>
                <w:sz w:val="22"/>
                <w:szCs w:val="22"/>
              </w:rPr>
            </w:pPr>
          </w:p>
          <w:p w14:paraId="3DCB7F44" w14:textId="77777777" w:rsidR="002C79F4" w:rsidRDefault="002C79F4" w:rsidP="00C31279">
            <w:pPr>
              <w:pStyle w:val="Default"/>
              <w:rPr>
                <w:sz w:val="22"/>
                <w:szCs w:val="22"/>
              </w:rPr>
            </w:pPr>
          </w:p>
          <w:p w14:paraId="5EDC924E" w14:textId="77777777" w:rsidR="002C79F4" w:rsidRDefault="002C79F4" w:rsidP="00C31279">
            <w:pPr>
              <w:pStyle w:val="Default"/>
              <w:rPr>
                <w:sz w:val="22"/>
                <w:szCs w:val="22"/>
              </w:rPr>
            </w:pPr>
          </w:p>
          <w:p w14:paraId="5D8B594E" w14:textId="77777777" w:rsidR="002C79F4" w:rsidRDefault="002C79F4" w:rsidP="00C31279">
            <w:pPr>
              <w:pStyle w:val="Default"/>
              <w:rPr>
                <w:sz w:val="22"/>
                <w:szCs w:val="22"/>
              </w:rPr>
            </w:pPr>
          </w:p>
          <w:p w14:paraId="52D98489" w14:textId="77777777" w:rsidR="002C79F4" w:rsidRDefault="002C79F4" w:rsidP="00C31279">
            <w:pPr>
              <w:pStyle w:val="Default"/>
              <w:rPr>
                <w:sz w:val="22"/>
                <w:szCs w:val="22"/>
              </w:rPr>
            </w:pPr>
          </w:p>
          <w:p w14:paraId="09A7D631" w14:textId="77777777" w:rsidR="002C79F4" w:rsidRDefault="002C79F4" w:rsidP="00C31279">
            <w:pPr>
              <w:pStyle w:val="Default"/>
              <w:rPr>
                <w:sz w:val="22"/>
                <w:szCs w:val="22"/>
              </w:rPr>
            </w:pPr>
          </w:p>
          <w:p w14:paraId="14CBE330" w14:textId="77777777" w:rsidR="002C79F4" w:rsidRDefault="002C79F4" w:rsidP="00C31279">
            <w:pPr>
              <w:pStyle w:val="Default"/>
              <w:rPr>
                <w:sz w:val="22"/>
                <w:szCs w:val="22"/>
              </w:rPr>
            </w:pPr>
          </w:p>
          <w:p w14:paraId="20AE067D" w14:textId="77777777" w:rsidR="002C79F4" w:rsidRDefault="002C79F4" w:rsidP="00C31279">
            <w:pPr>
              <w:pStyle w:val="Default"/>
              <w:rPr>
                <w:sz w:val="22"/>
                <w:szCs w:val="22"/>
              </w:rPr>
            </w:pPr>
          </w:p>
          <w:p w14:paraId="3D9F7AE5" w14:textId="77777777" w:rsidR="002C79F4" w:rsidRDefault="002C79F4" w:rsidP="00C31279">
            <w:pPr>
              <w:pStyle w:val="Default"/>
              <w:rPr>
                <w:sz w:val="22"/>
                <w:szCs w:val="22"/>
              </w:rPr>
            </w:pPr>
          </w:p>
          <w:p w14:paraId="20B32F64" w14:textId="77777777" w:rsidR="002C79F4" w:rsidRDefault="002C79F4" w:rsidP="00C31279">
            <w:pPr>
              <w:pStyle w:val="Default"/>
              <w:rPr>
                <w:sz w:val="22"/>
                <w:szCs w:val="22"/>
              </w:rPr>
            </w:pPr>
          </w:p>
          <w:p w14:paraId="247216CE" w14:textId="39E2CB57" w:rsidR="4792BE4F" w:rsidRDefault="4792BE4F" w:rsidP="4792BE4F">
            <w:pPr>
              <w:pStyle w:val="Default"/>
              <w:rPr>
                <w:sz w:val="22"/>
                <w:szCs w:val="22"/>
              </w:rPr>
            </w:pPr>
          </w:p>
          <w:p w14:paraId="0C106649" w14:textId="05847706" w:rsidR="4792BE4F" w:rsidRDefault="4792BE4F" w:rsidP="4792BE4F">
            <w:pPr>
              <w:pStyle w:val="Default"/>
              <w:rPr>
                <w:sz w:val="22"/>
                <w:szCs w:val="22"/>
              </w:rPr>
            </w:pPr>
          </w:p>
          <w:p w14:paraId="2CC17707" w14:textId="77777777" w:rsidR="00134F85" w:rsidRPr="004B3A4A" w:rsidRDefault="00134F85" w:rsidP="00C31279">
            <w:pPr>
              <w:pStyle w:val="Default"/>
              <w:rPr>
                <w:sz w:val="22"/>
                <w:szCs w:val="22"/>
              </w:rPr>
            </w:pPr>
            <w:r w:rsidRPr="004B3A4A">
              <w:rPr>
                <w:sz w:val="22"/>
                <w:szCs w:val="22"/>
              </w:rPr>
              <w:lastRenderedPageBreak/>
              <w:t>Č:I§:10</w:t>
            </w:r>
          </w:p>
          <w:p w14:paraId="2242A1E4" w14:textId="3C1CB72D" w:rsidR="00053DCA" w:rsidRPr="001300A9" w:rsidRDefault="00134F85" w:rsidP="00C31279">
            <w:pPr>
              <w:pStyle w:val="Default"/>
              <w:rPr>
                <w:sz w:val="22"/>
                <w:szCs w:val="22"/>
              </w:rPr>
            </w:pPr>
            <w:r w:rsidRPr="004B3A4A">
              <w:rPr>
                <w:sz w:val="22"/>
                <w:szCs w:val="22"/>
              </w:rPr>
              <w:t>O</w:t>
            </w:r>
            <w:r>
              <w:rPr>
                <w:sz w:val="22"/>
                <w:szCs w:val="22"/>
              </w:rPr>
              <w:t>:</w:t>
            </w:r>
            <w:r w:rsidR="00E97F9F" w:rsidRPr="001300A9">
              <w:rPr>
                <w:sz w:val="22"/>
                <w:szCs w:val="22"/>
              </w:rPr>
              <w:t>8</w:t>
            </w:r>
          </w:p>
          <w:p w14:paraId="7149717B" w14:textId="77777777" w:rsidR="00C31279" w:rsidRPr="001300A9" w:rsidRDefault="00C31279" w:rsidP="00C31279">
            <w:pPr>
              <w:pStyle w:val="Default"/>
              <w:rPr>
                <w:sz w:val="22"/>
                <w:szCs w:val="22"/>
              </w:rPr>
            </w:pPr>
          </w:p>
          <w:p w14:paraId="29936ABB" w14:textId="77777777" w:rsidR="00357CEC" w:rsidRPr="001300A9" w:rsidRDefault="00357CEC" w:rsidP="00357CEC">
            <w:pPr>
              <w:pStyle w:val="Default"/>
              <w:rPr>
                <w:sz w:val="22"/>
                <w:szCs w:val="22"/>
              </w:rPr>
            </w:pPr>
          </w:p>
        </w:tc>
        <w:tc>
          <w:tcPr>
            <w:tcW w:w="4253" w:type="dxa"/>
          </w:tcPr>
          <w:p w14:paraId="6F178439" w14:textId="5A731E23" w:rsidR="00332BCF" w:rsidRPr="003367CB" w:rsidRDefault="00332BCF" w:rsidP="00332BCF">
            <w:pPr>
              <w:pStyle w:val="Default"/>
              <w:rPr>
                <w:sz w:val="22"/>
                <w:szCs w:val="22"/>
              </w:rPr>
            </w:pPr>
            <w:r w:rsidRPr="169B2D24">
              <w:rPr>
                <w:sz w:val="22"/>
                <w:szCs w:val="22"/>
              </w:rPr>
              <w:lastRenderedPageBreak/>
              <w:t>(3</w:t>
            </w:r>
            <w:r w:rsidR="00661365" w:rsidRPr="169B2D24">
              <w:rPr>
                <w:sz w:val="22"/>
                <w:szCs w:val="22"/>
              </w:rPr>
              <w:t xml:space="preserve">) </w:t>
            </w:r>
            <w:r w:rsidRPr="169B2D24">
              <w:rPr>
                <w:sz w:val="22"/>
                <w:szCs w:val="22"/>
              </w:rPr>
              <w:t>Množstvo bezodplatne pridelených kvót sa zníži o 20 %, ak</w:t>
            </w:r>
            <w:r w:rsidR="07F07820" w:rsidRPr="169B2D24">
              <w:rPr>
                <w:sz w:val="22"/>
                <w:szCs w:val="22"/>
              </w:rPr>
              <w:t xml:space="preserve"> prevádzkovateľ prevádzky,</w:t>
            </w:r>
          </w:p>
          <w:p w14:paraId="706ACD3E" w14:textId="46E039ED" w:rsidR="003367CB" w:rsidRPr="00B30AD5" w:rsidRDefault="00B30AD5" w:rsidP="00332BCF">
            <w:pPr>
              <w:pStyle w:val="Default"/>
              <w:rPr>
                <w:sz w:val="22"/>
                <w:szCs w:val="22"/>
              </w:rPr>
            </w:pPr>
            <w:r>
              <w:rPr>
                <w:sz w:val="22"/>
                <w:szCs w:val="22"/>
              </w:rPr>
              <w:t xml:space="preserve">a) </w:t>
            </w:r>
            <w:r w:rsidRPr="00B30AD5">
              <w:rPr>
                <w:rStyle w:val="normaltextrun"/>
                <w:sz w:val="22"/>
                <w:szCs w:val="22"/>
                <w:shd w:val="clear" w:color="auto" w:fill="FFFFFF"/>
              </w:rPr>
              <w:t>na ktorú sa vzťahuje povinnosť zabezpečiť vykonanie energetického auditu alebo zaviesť certifikovaný systém energetického manažérstva alebo certifikovaný systém environmentálneho manažérstva podľa osobitného predpisu</w:t>
            </w:r>
            <w:r w:rsidRPr="00B30AD5">
              <w:rPr>
                <w:rStyle w:val="normaltextrun"/>
                <w:sz w:val="22"/>
                <w:szCs w:val="22"/>
                <w:shd w:val="clear" w:color="auto" w:fill="FFFFFF"/>
                <w:vertAlign w:val="superscript"/>
              </w:rPr>
              <w:t>10aa</w:t>
            </w:r>
            <w:r w:rsidRPr="00B30AD5">
              <w:rPr>
                <w:rStyle w:val="normaltextrun"/>
                <w:sz w:val="22"/>
                <w:szCs w:val="22"/>
                <w:shd w:val="clear" w:color="auto" w:fill="FFFFFF"/>
              </w:rPr>
              <w:t xml:space="preserve">) nevykoná odporúčané </w:t>
            </w:r>
            <w:r w:rsidRPr="00B30AD5">
              <w:rPr>
                <w:rStyle w:val="normaltextrun"/>
                <w:sz w:val="22"/>
                <w:szCs w:val="22"/>
                <w:shd w:val="clear" w:color="auto" w:fill="FFFFFF"/>
              </w:rPr>
              <w:lastRenderedPageBreak/>
              <w:t>opatrenia uvedené v písomnej správe z energetického auditu podľa osobitného predpisu,</w:t>
            </w:r>
            <w:r w:rsidRPr="00B30AD5">
              <w:rPr>
                <w:rStyle w:val="normaltextrun"/>
                <w:sz w:val="22"/>
                <w:szCs w:val="22"/>
                <w:shd w:val="clear" w:color="auto" w:fill="FFFFFF"/>
                <w:vertAlign w:val="superscript"/>
              </w:rPr>
              <w:t>10ab</w:t>
            </w:r>
            <w:r w:rsidRPr="00B30AD5">
              <w:rPr>
                <w:rStyle w:val="normaltextrun"/>
                <w:sz w:val="22"/>
                <w:szCs w:val="22"/>
                <w:shd w:val="clear" w:color="auto" w:fill="FFFFFF"/>
              </w:rPr>
              <w:t>) alebo v správe z certifikovaného systému energetického manažérstva,</w:t>
            </w:r>
          </w:p>
          <w:p w14:paraId="2FE192B8" w14:textId="77777777" w:rsidR="00260BC4" w:rsidRDefault="00260BC4" w:rsidP="00260BC4">
            <w:pPr>
              <w:pStyle w:val="Default"/>
              <w:rPr>
                <w:sz w:val="22"/>
                <w:szCs w:val="22"/>
              </w:rPr>
            </w:pPr>
          </w:p>
          <w:p w14:paraId="01A71F66" w14:textId="77486898" w:rsidR="00260BC4" w:rsidRDefault="79BBF508" w:rsidP="00260BC4">
            <w:pPr>
              <w:pStyle w:val="Default"/>
              <w:rPr>
                <w:sz w:val="22"/>
                <w:szCs w:val="22"/>
              </w:rPr>
            </w:pPr>
            <w:r w:rsidRPr="5F673433">
              <w:rPr>
                <w:sz w:val="22"/>
                <w:szCs w:val="22"/>
                <w:vertAlign w:val="superscript"/>
              </w:rPr>
              <w:t>10aa</w:t>
            </w:r>
            <w:r w:rsidRPr="5F673433">
              <w:rPr>
                <w:sz w:val="22"/>
                <w:szCs w:val="22"/>
              </w:rPr>
              <w:t>) § 14 zákona č. 321/2014 Z. z. o energetickej efektívnosti a o zmene a doplnení niektorých zákonov v znení neskorších predpisov.</w:t>
            </w:r>
          </w:p>
          <w:p w14:paraId="66B19F05" w14:textId="77777777" w:rsidR="00260BC4" w:rsidRPr="001300A9" w:rsidRDefault="79BBF508" w:rsidP="00260BC4">
            <w:pPr>
              <w:pStyle w:val="Default"/>
              <w:rPr>
                <w:sz w:val="22"/>
                <w:szCs w:val="22"/>
              </w:rPr>
            </w:pPr>
            <w:r w:rsidRPr="5F673433">
              <w:rPr>
                <w:sz w:val="22"/>
                <w:szCs w:val="22"/>
                <w:vertAlign w:val="superscript"/>
              </w:rPr>
              <w:t>10ab</w:t>
            </w:r>
            <w:r w:rsidRPr="5F673433">
              <w:rPr>
                <w:sz w:val="22"/>
                <w:szCs w:val="22"/>
              </w:rPr>
              <w:t>) Vyhláška Ministerstva hospodárstva Slovenskej republiky č. 179/2015 Z. z. o energetickom audite.</w:t>
            </w:r>
          </w:p>
          <w:p w14:paraId="4D8EF510" w14:textId="472E75C2" w:rsidR="003367CB" w:rsidRDefault="003367CB" w:rsidP="00332BCF">
            <w:pPr>
              <w:pStyle w:val="Default"/>
              <w:rPr>
                <w:sz w:val="22"/>
                <w:szCs w:val="22"/>
              </w:rPr>
            </w:pPr>
          </w:p>
          <w:p w14:paraId="5D74806B" w14:textId="4C50A9CD" w:rsidR="00332BCF" w:rsidRPr="003367CB" w:rsidRDefault="00332BCF" w:rsidP="00332BCF">
            <w:pPr>
              <w:pStyle w:val="Default"/>
              <w:rPr>
                <w:sz w:val="22"/>
                <w:szCs w:val="22"/>
              </w:rPr>
            </w:pPr>
            <w:r w:rsidRPr="003367CB">
              <w:rPr>
                <w:sz w:val="22"/>
                <w:szCs w:val="22"/>
              </w:rPr>
              <w:t>(4) K zníženiu množstva bezodplatne pridelených kvót podľa odseku 3 písm. a) nedôjde, ak prevádzkovateľ ministerstvu preukáže, že</w:t>
            </w:r>
          </w:p>
          <w:p w14:paraId="596F61CF" w14:textId="3BB83502" w:rsidR="00332BCF" w:rsidRPr="003367CB" w:rsidRDefault="00332BCF" w:rsidP="00332BCF">
            <w:pPr>
              <w:pStyle w:val="Default"/>
              <w:rPr>
                <w:sz w:val="22"/>
                <w:szCs w:val="22"/>
              </w:rPr>
            </w:pPr>
            <w:r w:rsidRPr="169B2D24">
              <w:rPr>
                <w:sz w:val="22"/>
                <w:szCs w:val="22"/>
              </w:rPr>
              <w:t>a) čas návratnosti príslušných investícií nepresiahne tri roky,</w:t>
            </w:r>
            <w:r w:rsidRPr="169B2D24">
              <w:rPr>
                <w:sz w:val="22"/>
                <w:szCs w:val="22"/>
                <w:vertAlign w:val="superscript"/>
              </w:rPr>
              <w:t>4</w:t>
            </w:r>
            <w:r w:rsidRPr="169B2D24">
              <w:rPr>
                <w:sz w:val="22"/>
                <w:szCs w:val="22"/>
              </w:rPr>
              <w:t>)</w:t>
            </w:r>
            <w:r w:rsidR="00106F39" w:rsidRPr="169B2D24">
              <w:rPr>
                <w:sz w:val="22"/>
                <w:szCs w:val="22"/>
              </w:rPr>
              <w:t xml:space="preserve"> </w:t>
            </w:r>
          </w:p>
          <w:p w14:paraId="21083358" w14:textId="571D8A07" w:rsidR="00332BCF" w:rsidRPr="003367CB" w:rsidRDefault="00332BCF" w:rsidP="00332BCF">
            <w:pPr>
              <w:pStyle w:val="Default"/>
              <w:rPr>
                <w:sz w:val="22"/>
                <w:szCs w:val="22"/>
              </w:rPr>
            </w:pPr>
            <w:r w:rsidRPr="003367CB">
              <w:rPr>
                <w:sz w:val="22"/>
                <w:szCs w:val="22"/>
              </w:rPr>
              <w:t>b) náklady na tieto investície sú neprimerané,</w:t>
            </w:r>
            <w:r w:rsidRPr="003367CB">
              <w:rPr>
                <w:sz w:val="22"/>
                <w:szCs w:val="22"/>
                <w:vertAlign w:val="superscript"/>
              </w:rPr>
              <w:t>4</w:t>
            </w:r>
            <w:r w:rsidRPr="003367CB">
              <w:rPr>
                <w:sz w:val="22"/>
                <w:szCs w:val="22"/>
              </w:rPr>
              <w:t>)</w:t>
            </w:r>
            <w:r w:rsidR="00106F39">
              <w:rPr>
                <w:sz w:val="22"/>
                <w:szCs w:val="22"/>
              </w:rPr>
              <w:t xml:space="preserve"> alebo</w:t>
            </w:r>
          </w:p>
          <w:p w14:paraId="5EE7E879" w14:textId="7FD7B21B" w:rsidR="00106F39" w:rsidRDefault="64655739" w:rsidP="00C31279">
            <w:pPr>
              <w:pStyle w:val="Default"/>
              <w:rPr>
                <w:sz w:val="22"/>
                <w:szCs w:val="22"/>
              </w:rPr>
            </w:pPr>
            <w:r w:rsidRPr="5F673433">
              <w:rPr>
                <w:sz w:val="22"/>
                <w:szCs w:val="22"/>
              </w:rPr>
              <w:t>c) vykonal iné opatrenia vedúce k zníženiu emisií skleníkových plynov, ktoré sú rovnocenné s odporúčanými opatreniami uvedenými v písomnej správe z energetického auditu podľa osobitného predpisu</w:t>
            </w:r>
            <w:r w:rsidRPr="5F673433">
              <w:rPr>
                <w:sz w:val="22"/>
                <w:szCs w:val="22"/>
                <w:vertAlign w:val="superscript"/>
              </w:rPr>
              <w:t>10ab</w:t>
            </w:r>
            <w:r w:rsidRPr="5F673433">
              <w:rPr>
                <w:sz w:val="22"/>
                <w:szCs w:val="22"/>
              </w:rPr>
              <w:t xml:space="preserve">) </w:t>
            </w:r>
            <w:r w:rsidR="71D856CD" w:rsidRPr="5F673433">
              <w:rPr>
                <w:sz w:val="22"/>
                <w:szCs w:val="22"/>
              </w:rPr>
              <w:t xml:space="preserve">alebo v správe z certifikovaného systému energetického manažérstva </w:t>
            </w:r>
            <w:r w:rsidRPr="5F673433">
              <w:rPr>
                <w:sz w:val="22"/>
                <w:szCs w:val="22"/>
              </w:rPr>
              <w:t>pre dotknutú prevádzku.</w:t>
            </w:r>
          </w:p>
          <w:p w14:paraId="4810AC4C" w14:textId="4F21EC63" w:rsidR="00106F39" w:rsidRDefault="6F24620B" w:rsidP="00C31279">
            <w:pPr>
              <w:pStyle w:val="Default"/>
              <w:rPr>
                <w:sz w:val="22"/>
                <w:szCs w:val="22"/>
              </w:rPr>
            </w:pPr>
            <w:r w:rsidRPr="5F673433">
              <w:rPr>
                <w:sz w:val="22"/>
                <w:szCs w:val="22"/>
                <w:vertAlign w:val="superscript"/>
              </w:rPr>
              <w:t>4</w:t>
            </w:r>
            <w:r w:rsidR="71D856CD" w:rsidRPr="5F673433">
              <w:rPr>
                <w:sz w:val="22"/>
                <w:szCs w:val="22"/>
              </w:rPr>
              <w:t>)</w:t>
            </w:r>
            <w:r w:rsidR="71D856CD">
              <w:t xml:space="preserve"> </w:t>
            </w:r>
            <w:r w:rsidR="71D856CD" w:rsidRPr="5F673433">
              <w:rPr>
                <w:sz w:val="22"/>
                <w:szCs w:val="22"/>
              </w:rPr>
              <w:t>Delegované nariadenie Komisie (EÚ) 2019/331 z 19. decembra 2018, ktorým sa ustanovujú prechodné pravidlá harmonizácie bezodplatného prideľovania emisných kvó</w:t>
            </w:r>
            <w:r w:rsidR="79BBF508" w:rsidRPr="5F673433">
              <w:rPr>
                <w:sz w:val="22"/>
                <w:szCs w:val="22"/>
              </w:rPr>
              <w:t xml:space="preserve">t </w:t>
            </w:r>
            <w:r w:rsidR="71D856CD" w:rsidRPr="5F673433">
              <w:rPr>
                <w:sz w:val="22"/>
                <w:szCs w:val="22"/>
              </w:rPr>
              <w:t>podľa článku 10a smernice Európskeho parlamentu a Rady 2003/87/ES platné v celej Únii (Ú. v. EÚ L 59, 27. 2. 2019).</w:t>
            </w:r>
          </w:p>
          <w:p w14:paraId="480E33DB" w14:textId="77777777" w:rsidR="00C31279" w:rsidRPr="001300A9" w:rsidRDefault="00C31279" w:rsidP="00C31279">
            <w:pPr>
              <w:pStyle w:val="Default"/>
              <w:rPr>
                <w:sz w:val="22"/>
                <w:szCs w:val="22"/>
              </w:rPr>
            </w:pPr>
          </w:p>
          <w:p w14:paraId="53C13399" w14:textId="77777777" w:rsidR="00106F39" w:rsidRDefault="00106F39" w:rsidP="00332BCF">
            <w:pPr>
              <w:pStyle w:val="Default"/>
              <w:rPr>
                <w:sz w:val="22"/>
                <w:szCs w:val="22"/>
              </w:rPr>
            </w:pPr>
          </w:p>
          <w:p w14:paraId="3AA4E3E5" w14:textId="77777777" w:rsidR="00106F39" w:rsidRDefault="00106F39" w:rsidP="00332BCF">
            <w:pPr>
              <w:pStyle w:val="Default"/>
              <w:rPr>
                <w:sz w:val="22"/>
                <w:szCs w:val="22"/>
              </w:rPr>
            </w:pPr>
          </w:p>
          <w:p w14:paraId="20C23185" w14:textId="77777777" w:rsidR="00106F39" w:rsidRDefault="00106F39" w:rsidP="00332BCF">
            <w:pPr>
              <w:pStyle w:val="Default"/>
              <w:rPr>
                <w:sz w:val="22"/>
                <w:szCs w:val="22"/>
              </w:rPr>
            </w:pPr>
          </w:p>
          <w:p w14:paraId="745D4A3C" w14:textId="77777777" w:rsidR="00106F39" w:rsidRDefault="00106F39" w:rsidP="00332BCF">
            <w:pPr>
              <w:pStyle w:val="Default"/>
              <w:rPr>
                <w:sz w:val="22"/>
                <w:szCs w:val="22"/>
              </w:rPr>
            </w:pPr>
          </w:p>
          <w:p w14:paraId="24F33BF7" w14:textId="77777777" w:rsidR="00106F39" w:rsidRDefault="00106F39" w:rsidP="00332BCF">
            <w:pPr>
              <w:pStyle w:val="Default"/>
              <w:rPr>
                <w:sz w:val="22"/>
                <w:szCs w:val="22"/>
              </w:rPr>
            </w:pPr>
          </w:p>
          <w:p w14:paraId="7880294B" w14:textId="77777777" w:rsidR="00106F39" w:rsidRDefault="00106F39" w:rsidP="00332BCF">
            <w:pPr>
              <w:pStyle w:val="Default"/>
              <w:rPr>
                <w:sz w:val="22"/>
                <w:szCs w:val="22"/>
              </w:rPr>
            </w:pPr>
          </w:p>
          <w:p w14:paraId="5BDCDE99" w14:textId="77777777" w:rsidR="00106F39" w:rsidRDefault="00106F39" w:rsidP="00332BCF">
            <w:pPr>
              <w:pStyle w:val="Default"/>
              <w:rPr>
                <w:sz w:val="22"/>
                <w:szCs w:val="22"/>
              </w:rPr>
            </w:pPr>
          </w:p>
          <w:p w14:paraId="1A35AB8E" w14:textId="77777777" w:rsidR="00106F39" w:rsidRDefault="00106F39" w:rsidP="00332BCF">
            <w:pPr>
              <w:pStyle w:val="Default"/>
              <w:rPr>
                <w:sz w:val="22"/>
                <w:szCs w:val="22"/>
              </w:rPr>
            </w:pPr>
          </w:p>
          <w:p w14:paraId="4A6A8537" w14:textId="77777777" w:rsidR="00106F39" w:rsidRDefault="00106F39" w:rsidP="00332BCF">
            <w:pPr>
              <w:pStyle w:val="Default"/>
              <w:rPr>
                <w:sz w:val="22"/>
                <w:szCs w:val="22"/>
              </w:rPr>
            </w:pPr>
          </w:p>
          <w:p w14:paraId="629F949A" w14:textId="77777777" w:rsidR="00106F39" w:rsidRDefault="00106F39" w:rsidP="00332BCF">
            <w:pPr>
              <w:pStyle w:val="Default"/>
              <w:rPr>
                <w:sz w:val="22"/>
                <w:szCs w:val="22"/>
              </w:rPr>
            </w:pPr>
          </w:p>
          <w:p w14:paraId="7B705599" w14:textId="77777777" w:rsidR="00106F39" w:rsidRDefault="00106F39" w:rsidP="00332BCF">
            <w:pPr>
              <w:pStyle w:val="Default"/>
              <w:rPr>
                <w:sz w:val="22"/>
                <w:szCs w:val="22"/>
              </w:rPr>
            </w:pPr>
          </w:p>
          <w:p w14:paraId="0F8DDB76" w14:textId="77777777" w:rsidR="00106F39" w:rsidRDefault="00106F39" w:rsidP="00332BCF">
            <w:pPr>
              <w:pStyle w:val="Default"/>
              <w:rPr>
                <w:sz w:val="22"/>
                <w:szCs w:val="22"/>
              </w:rPr>
            </w:pPr>
          </w:p>
          <w:p w14:paraId="2E5971EA" w14:textId="569B9C22" w:rsidR="00106F39" w:rsidRDefault="00106F39" w:rsidP="00332BCF">
            <w:pPr>
              <w:pStyle w:val="Default"/>
              <w:rPr>
                <w:sz w:val="22"/>
                <w:szCs w:val="22"/>
              </w:rPr>
            </w:pPr>
          </w:p>
          <w:p w14:paraId="3DDF17F7" w14:textId="7B611C3C" w:rsidR="00332BCF" w:rsidRPr="000243DF" w:rsidRDefault="00332BCF" w:rsidP="00332BCF">
            <w:pPr>
              <w:pStyle w:val="Default"/>
              <w:rPr>
                <w:sz w:val="22"/>
                <w:szCs w:val="22"/>
              </w:rPr>
            </w:pPr>
            <w:r w:rsidRPr="169B2D24">
              <w:rPr>
                <w:sz w:val="22"/>
                <w:szCs w:val="22"/>
              </w:rPr>
              <w:t>(3) Množstvo bezodplatne pridelených kvót sa zníži o 20 %, ak</w:t>
            </w:r>
            <w:r w:rsidR="2E4D33B3" w:rsidRPr="169B2D24">
              <w:rPr>
                <w:sz w:val="22"/>
                <w:szCs w:val="22"/>
              </w:rPr>
              <w:t xml:space="preserve"> prevádzkovateľ prevádzky</w:t>
            </w:r>
          </w:p>
          <w:p w14:paraId="27EA4338" w14:textId="5C2B8239" w:rsidR="00661365" w:rsidRDefault="00332BCF" w:rsidP="00661365">
            <w:pPr>
              <w:pStyle w:val="Default"/>
              <w:rPr>
                <w:sz w:val="22"/>
                <w:szCs w:val="22"/>
              </w:rPr>
            </w:pPr>
            <w:r w:rsidRPr="169B2D24">
              <w:rPr>
                <w:sz w:val="22"/>
                <w:szCs w:val="22"/>
              </w:rPr>
              <w:t xml:space="preserve">b) ktorej úrovne emisií skleníkových plynov sú vyššie ako 80. </w:t>
            </w:r>
            <w:proofErr w:type="spellStart"/>
            <w:r w:rsidRPr="169B2D24">
              <w:rPr>
                <w:sz w:val="22"/>
                <w:szCs w:val="22"/>
              </w:rPr>
              <w:t>percentil</w:t>
            </w:r>
            <w:proofErr w:type="spellEnd"/>
            <w:r w:rsidRPr="169B2D24">
              <w:rPr>
                <w:sz w:val="22"/>
                <w:szCs w:val="22"/>
              </w:rPr>
              <w:t xml:space="preserve"> úrovní emisií pre príslušné referenčné hodnoty týkajúce sa produktov podľa osobitného predpisu,</w:t>
            </w:r>
            <w:r w:rsidRPr="169B2D24">
              <w:rPr>
                <w:sz w:val="22"/>
                <w:szCs w:val="22"/>
                <w:vertAlign w:val="superscript"/>
              </w:rPr>
              <w:t>4</w:t>
            </w:r>
            <w:r w:rsidRPr="169B2D24">
              <w:rPr>
                <w:sz w:val="22"/>
                <w:szCs w:val="22"/>
              </w:rPr>
              <w:t>) nevypracoval do 1. mája 2024 plán klimatickej neutrality pre prevádzku v súvislosti s jej činnosťami, na ktoré sa vzťahuje tento zákon.</w:t>
            </w:r>
            <w:r w:rsidR="00661365" w:rsidRPr="169B2D24">
              <w:rPr>
                <w:sz w:val="22"/>
                <w:szCs w:val="22"/>
              </w:rPr>
              <w:t xml:space="preserve"> </w:t>
            </w:r>
          </w:p>
          <w:p w14:paraId="7F556F15" w14:textId="77777777" w:rsidR="002C79F4" w:rsidRPr="000243DF" w:rsidRDefault="002C79F4" w:rsidP="00661365">
            <w:pPr>
              <w:pStyle w:val="Default"/>
              <w:rPr>
                <w:sz w:val="22"/>
                <w:szCs w:val="22"/>
              </w:rPr>
            </w:pPr>
          </w:p>
          <w:p w14:paraId="5CA7C8CF" w14:textId="186F4FB4" w:rsidR="00661365" w:rsidRPr="001300A9" w:rsidRDefault="00661365" w:rsidP="00661365">
            <w:pPr>
              <w:pStyle w:val="Default"/>
              <w:rPr>
                <w:sz w:val="22"/>
                <w:szCs w:val="22"/>
              </w:rPr>
            </w:pPr>
            <w:r w:rsidRPr="001300A9">
              <w:rPr>
                <w:sz w:val="22"/>
                <w:szCs w:val="22"/>
              </w:rPr>
              <w:t xml:space="preserve">(5) Plán </w:t>
            </w:r>
            <w:r w:rsidR="00BB2E48" w:rsidRPr="00BB2E48">
              <w:rPr>
                <w:sz w:val="22"/>
                <w:szCs w:val="22"/>
              </w:rPr>
              <w:t>klimatickej neutrality podľa odseku 3 písm. b), ktorý prevádzkovateľ vypracúva podľa osobitného predpisu</w:t>
            </w:r>
            <w:r w:rsidR="00BB2E48" w:rsidRPr="00BB2E48">
              <w:rPr>
                <w:sz w:val="22"/>
                <w:szCs w:val="22"/>
                <w:vertAlign w:val="superscript"/>
              </w:rPr>
              <w:t>10ac</w:t>
            </w:r>
            <w:r w:rsidR="00BB2E48" w:rsidRPr="00BB2E48">
              <w:rPr>
                <w:sz w:val="22"/>
                <w:szCs w:val="22"/>
              </w:rPr>
              <w:t>) obsahuje</w:t>
            </w:r>
            <w:r w:rsidRPr="001300A9">
              <w:rPr>
                <w:sz w:val="22"/>
                <w:szCs w:val="22"/>
              </w:rPr>
              <w:t>:</w:t>
            </w:r>
          </w:p>
          <w:p w14:paraId="2BCFA430" w14:textId="56B39BE4" w:rsidR="00661365" w:rsidRPr="001300A9" w:rsidRDefault="00661365" w:rsidP="00661365">
            <w:pPr>
              <w:pStyle w:val="Default"/>
              <w:rPr>
                <w:sz w:val="22"/>
                <w:szCs w:val="22"/>
              </w:rPr>
            </w:pPr>
            <w:r w:rsidRPr="001300A9">
              <w:rPr>
                <w:sz w:val="22"/>
                <w:szCs w:val="22"/>
              </w:rPr>
              <w:t>a) opatrenia a investície na dosiahnutie klimatickej neutrality do roku 2050 na úr</w:t>
            </w:r>
            <w:r w:rsidR="0049643B">
              <w:rPr>
                <w:sz w:val="22"/>
                <w:szCs w:val="22"/>
              </w:rPr>
              <w:t>ovni prevádzok</w:t>
            </w:r>
            <w:r w:rsidRPr="001300A9">
              <w:rPr>
                <w:sz w:val="22"/>
                <w:szCs w:val="22"/>
              </w:rPr>
              <w:t>, a to bez použitia kreditov za kompenzáciu uhlíka,</w:t>
            </w:r>
          </w:p>
          <w:p w14:paraId="57DA89FF" w14:textId="26E82FBF" w:rsidR="00661365" w:rsidRPr="001300A9" w:rsidRDefault="00661365" w:rsidP="00661365">
            <w:pPr>
              <w:pStyle w:val="Default"/>
              <w:rPr>
                <w:sz w:val="22"/>
                <w:szCs w:val="22"/>
              </w:rPr>
            </w:pPr>
            <w:r w:rsidRPr="001300A9">
              <w:rPr>
                <w:sz w:val="22"/>
                <w:szCs w:val="22"/>
              </w:rPr>
              <w:t>b) predbežné ciele a čiastkové ciele na meranie pokroku pri dosahovaní klimatickej neut</w:t>
            </w:r>
            <w:r w:rsidRPr="001300A9">
              <w:rPr>
                <w:sz w:val="22"/>
                <w:szCs w:val="22"/>
              </w:rPr>
              <w:lastRenderedPageBreak/>
              <w:t xml:space="preserve">rality, </w:t>
            </w:r>
            <w:r w:rsidR="00BB2E48">
              <w:rPr>
                <w:sz w:val="22"/>
                <w:szCs w:val="22"/>
              </w:rPr>
              <w:t>podľa písme</w:t>
            </w:r>
            <w:r w:rsidRPr="001300A9">
              <w:rPr>
                <w:sz w:val="22"/>
                <w:szCs w:val="22"/>
              </w:rPr>
              <w:t>n</w:t>
            </w:r>
            <w:r w:rsidR="00BB2E48">
              <w:rPr>
                <w:sz w:val="22"/>
                <w:szCs w:val="22"/>
              </w:rPr>
              <w:t>a</w:t>
            </w:r>
            <w:r w:rsidRPr="001300A9">
              <w:rPr>
                <w:sz w:val="22"/>
                <w:szCs w:val="22"/>
              </w:rPr>
              <w:t xml:space="preserve"> a), a to do 31. decembra 2025 a následne do 31. decembra každého piateho roku,</w:t>
            </w:r>
          </w:p>
          <w:p w14:paraId="75ECDD31" w14:textId="15589974" w:rsidR="00661365" w:rsidRPr="001300A9" w:rsidRDefault="00661365" w:rsidP="00661365">
            <w:pPr>
              <w:pStyle w:val="Default"/>
              <w:rPr>
                <w:sz w:val="22"/>
                <w:szCs w:val="22"/>
              </w:rPr>
            </w:pPr>
            <w:r w:rsidRPr="001300A9">
              <w:rPr>
                <w:sz w:val="22"/>
                <w:szCs w:val="22"/>
              </w:rPr>
              <w:t xml:space="preserve">c) odhad vplyvu každého opatrenia a investície </w:t>
            </w:r>
            <w:r w:rsidR="00BB2E48">
              <w:rPr>
                <w:sz w:val="22"/>
                <w:szCs w:val="22"/>
              </w:rPr>
              <w:t>podľa písmena</w:t>
            </w:r>
            <w:r w:rsidRPr="001300A9">
              <w:rPr>
                <w:sz w:val="22"/>
                <w:szCs w:val="22"/>
              </w:rPr>
              <w:t xml:space="preserve"> a), </w:t>
            </w:r>
            <w:r w:rsidR="00BB2E48" w:rsidRPr="00BB2E48">
              <w:rPr>
                <w:sz w:val="22"/>
                <w:szCs w:val="22"/>
              </w:rPr>
              <w:t>ak ide o zníženie emisií skleníkových plynov.</w:t>
            </w:r>
          </w:p>
          <w:p w14:paraId="1AEE8DAD" w14:textId="77777777" w:rsidR="00661365" w:rsidRPr="001300A9" w:rsidRDefault="00661365" w:rsidP="00661365">
            <w:pPr>
              <w:pStyle w:val="Default"/>
              <w:rPr>
                <w:sz w:val="22"/>
                <w:szCs w:val="22"/>
              </w:rPr>
            </w:pPr>
          </w:p>
          <w:p w14:paraId="4CBDD67A" w14:textId="2659F790" w:rsidR="00661365" w:rsidRPr="001300A9" w:rsidRDefault="00661365" w:rsidP="00661365">
            <w:pPr>
              <w:pStyle w:val="Default"/>
              <w:rPr>
                <w:sz w:val="22"/>
                <w:szCs w:val="22"/>
              </w:rPr>
            </w:pPr>
            <w:r w:rsidRPr="001300A9">
              <w:rPr>
                <w:sz w:val="22"/>
                <w:szCs w:val="22"/>
              </w:rPr>
              <w:t xml:space="preserve">(6) </w:t>
            </w:r>
            <w:r w:rsidR="00332BCF" w:rsidRPr="00332BCF">
              <w:rPr>
                <w:sz w:val="22"/>
                <w:szCs w:val="22"/>
              </w:rPr>
              <w:t>Plán klimatickej neutrality vypracovaný podľa odseku 5 prevádzkovateľ predkladá ministerstvu spolu so žiadosťou o bezodplatné pridelenie emisných kvót podľa osobitného predpisu.</w:t>
            </w:r>
            <w:r w:rsidR="00332BCF" w:rsidRPr="00332BCF">
              <w:rPr>
                <w:sz w:val="22"/>
                <w:szCs w:val="22"/>
                <w:vertAlign w:val="superscript"/>
              </w:rPr>
              <w:t>4</w:t>
            </w:r>
            <w:r w:rsidR="00332BCF" w:rsidRPr="00332BCF">
              <w:rPr>
                <w:sz w:val="22"/>
                <w:szCs w:val="22"/>
              </w:rPr>
              <w:t>)</w:t>
            </w:r>
          </w:p>
          <w:p w14:paraId="29D9DBBE" w14:textId="77777777" w:rsidR="00661365" w:rsidRPr="001300A9" w:rsidRDefault="00661365" w:rsidP="00661365">
            <w:pPr>
              <w:pStyle w:val="Default"/>
              <w:rPr>
                <w:sz w:val="22"/>
                <w:szCs w:val="22"/>
              </w:rPr>
            </w:pPr>
          </w:p>
          <w:p w14:paraId="5BEC05D3" w14:textId="25CFBE33" w:rsidR="00053DCA" w:rsidRPr="001300A9" w:rsidRDefault="00661365" w:rsidP="00661365">
            <w:pPr>
              <w:pStyle w:val="Default"/>
              <w:rPr>
                <w:sz w:val="22"/>
                <w:szCs w:val="22"/>
              </w:rPr>
            </w:pPr>
            <w:r w:rsidRPr="001300A9">
              <w:rPr>
                <w:sz w:val="22"/>
                <w:szCs w:val="22"/>
              </w:rPr>
              <w:t>(7) Dosiahnutie cieľov a čiastkových cieľov uvedených v odseku 5 písm. b) overuje overovateľ za obdobie do 31. decembra 2025  a následne za každé obdobie končiace 31. decembra každého piateho roka v súlade s postupmi overovania a akreditácie podľa osobitného predpisu.</w:t>
            </w:r>
            <w:r w:rsidRPr="001300A9">
              <w:rPr>
                <w:sz w:val="22"/>
                <w:szCs w:val="22"/>
                <w:vertAlign w:val="superscript"/>
              </w:rPr>
              <w:t>5</w:t>
            </w:r>
            <w:r w:rsidRPr="001300A9">
              <w:rPr>
                <w:sz w:val="22"/>
                <w:szCs w:val="22"/>
              </w:rPr>
              <w:t>) Bezodplatné kvóty nad 80 % nemožno prideliť prevádzkovateľovi, ak nebolo overené dosiahnutie priebežných cieľov a čiastkových cieľov za obdobie do konca roka 2025 alebo za obdobie rokov 2026 až 2030.</w:t>
            </w:r>
          </w:p>
          <w:p w14:paraId="08A85E1A" w14:textId="77777777" w:rsidR="00053DCA" w:rsidRPr="001300A9" w:rsidRDefault="00053DCA" w:rsidP="00C31279">
            <w:pPr>
              <w:pStyle w:val="Default"/>
              <w:rPr>
                <w:sz w:val="22"/>
                <w:szCs w:val="22"/>
              </w:rPr>
            </w:pPr>
          </w:p>
          <w:p w14:paraId="3E2EB4E2" w14:textId="22EEA48E" w:rsidR="00053DCA" w:rsidRDefault="41348C0C" w:rsidP="00C31279">
            <w:pPr>
              <w:pStyle w:val="Default"/>
              <w:rPr>
                <w:sz w:val="22"/>
                <w:szCs w:val="22"/>
              </w:rPr>
            </w:pPr>
            <w:r w:rsidRPr="5F673433">
              <w:rPr>
                <w:sz w:val="22"/>
                <w:szCs w:val="22"/>
                <w:vertAlign w:val="superscript"/>
              </w:rPr>
              <w:t>4</w:t>
            </w:r>
            <w:r w:rsidRPr="5F673433">
              <w:rPr>
                <w:sz w:val="22"/>
                <w:szCs w:val="22"/>
              </w:rPr>
              <w:t>)</w:t>
            </w:r>
            <w:r>
              <w:t xml:space="preserve"> </w:t>
            </w:r>
            <w:r w:rsidRPr="5F673433">
              <w:rPr>
                <w:sz w:val="22"/>
                <w:szCs w:val="22"/>
              </w:rPr>
              <w:t>Delegované nariadenie Komisie (EÚ) 2019/331 z 19. decembra 2018, ktorým sa ustanovujú prechodné pravidlá harmonizácie bezodplatného prideľovania emisných kvót podľa článku 10a smernice Európskeho parlamentu a Rady 2003/87/ES platné v celej Únii (Ú. v. EÚ L 59, 27. 2. 2019).</w:t>
            </w:r>
          </w:p>
          <w:p w14:paraId="1389D121" w14:textId="047A0841" w:rsidR="002C79F4" w:rsidRDefault="002C79F4" w:rsidP="00C31279">
            <w:pPr>
              <w:pStyle w:val="Default"/>
              <w:rPr>
                <w:sz w:val="22"/>
                <w:szCs w:val="22"/>
              </w:rPr>
            </w:pPr>
            <w:r>
              <w:rPr>
                <w:sz w:val="22"/>
                <w:szCs w:val="22"/>
              </w:rPr>
              <w:lastRenderedPageBreak/>
              <w:t xml:space="preserve">10ac) </w:t>
            </w:r>
            <w:r w:rsidRPr="002C79F4">
              <w:rPr>
                <w:sz w:val="22"/>
                <w:szCs w:val="22"/>
              </w:rPr>
              <w:t>Vykonávacie nariadenie Komisie (EÚ) 2023/2441 z 31. októbra 2023, ktorým sa stanovujú pravidlá uplatňovania smernice Európskeho parlamentu a Rady 2003/87/ES, pokiaľ ide o obsah a formát plánov klimatickej neutrality potrebných na bezodplatné prideľovanie emisných kvót (Ú. v EÚ L, 2023/2441, 3.11.2023)</w:t>
            </w:r>
          </w:p>
          <w:p w14:paraId="1E898DAA" w14:textId="01351183" w:rsidR="002C79F4" w:rsidRPr="001300A9" w:rsidRDefault="41348C0C" w:rsidP="00C31279">
            <w:pPr>
              <w:pStyle w:val="Default"/>
              <w:rPr>
                <w:sz w:val="22"/>
                <w:szCs w:val="22"/>
              </w:rPr>
            </w:pPr>
            <w:r w:rsidRPr="5F673433">
              <w:rPr>
                <w:sz w:val="22"/>
                <w:szCs w:val="22"/>
                <w:vertAlign w:val="superscript"/>
              </w:rPr>
              <w:t>5</w:t>
            </w:r>
            <w:r w:rsidRPr="5F673433">
              <w:rPr>
                <w:sz w:val="22"/>
                <w:szCs w:val="22"/>
              </w:rPr>
              <w:t>) Vykonávacie nariadenie Komisie (EÚ) 2018/2067 z 19. decembra 2018 o overovaní údajov a o akreditácii overovateľov podľa smernice Európskeho parlamentu a Rady 2003/87/ES (Ú. v. EÚ L 334, 31.12.2018) v platnom znení</w:t>
            </w:r>
          </w:p>
          <w:p w14:paraId="20DE06BD" w14:textId="77777777" w:rsidR="00053DCA" w:rsidRPr="001300A9" w:rsidRDefault="00053DCA" w:rsidP="00C31279">
            <w:pPr>
              <w:pStyle w:val="Default"/>
              <w:rPr>
                <w:sz w:val="22"/>
                <w:szCs w:val="22"/>
              </w:rPr>
            </w:pPr>
          </w:p>
          <w:p w14:paraId="00B542D3" w14:textId="77777777" w:rsidR="00053DCA" w:rsidRPr="001300A9" w:rsidRDefault="00053DCA" w:rsidP="00C31279">
            <w:pPr>
              <w:pStyle w:val="Default"/>
              <w:rPr>
                <w:sz w:val="22"/>
                <w:szCs w:val="22"/>
              </w:rPr>
            </w:pPr>
          </w:p>
          <w:p w14:paraId="192A6200" w14:textId="44F0B62D" w:rsidR="00053DCA" w:rsidRPr="001300A9" w:rsidRDefault="00053DCA" w:rsidP="00C31279">
            <w:pPr>
              <w:pStyle w:val="Default"/>
              <w:rPr>
                <w:sz w:val="22"/>
                <w:szCs w:val="22"/>
              </w:rPr>
            </w:pPr>
          </w:p>
          <w:p w14:paraId="16AAFFDB" w14:textId="77777777" w:rsidR="000243DF" w:rsidRDefault="000243DF" w:rsidP="00C31279">
            <w:pPr>
              <w:pStyle w:val="Default"/>
              <w:rPr>
                <w:sz w:val="22"/>
                <w:szCs w:val="22"/>
              </w:rPr>
            </w:pPr>
          </w:p>
          <w:p w14:paraId="08564D62" w14:textId="77777777" w:rsidR="000243DF" w:rsidRDefault="000243DF" w:rsidP="00C31279">
            <w:pPr>
              <w:pStyle w:val="Default"/>
              <w:rPr>
                <w:sz w:val="22"/>
                <w:szCs w:val="22"/>
              </w:rPr>
            </w:pPr>
          </w:p>
          <w:p w14:paraId="3C6F847F" w14:textId="77777777" w:rsidR="000243DF" w:rsidRDefault="000243DF" w:rsidP="00C31279">
            <w:pPr>
              <w:pStyle w:val="Default"/>
              <w:rPr>
                <w:sz w:val="22"/>
                <w:szCs w:val="22"/>
              </w:rPr>
            </w:pPr>
          </w:p>
          <w:p w14:paraId="7363BE2E" w14:textId="77777777" w:rsidR="000243DF" w:rsidRDefault="000243DF" w:rsidP="00C31279">
            <w:pPr>
              <w:pStyle w:val="Default"/>
              <w:rPr>
                <w:sz w:val="22"/>
                <w:szCs w:val="22"/>
              </w:rPr>
            </w:pPr>
          </w:p>
          <w:p w14:paraId="64DA991D" w14:textId="77777777" w:rsidR="000243DF" w:rsidRDefault="000243DF" w:rsidP="00C31279">
            <w:pPr>
              <w:pStyle w:val="Default"/>
              <w:rPr>
                <w:sz w:val="22"/>
                <w:szCs w:val="22"/>
              </w:rPr>
            </w:pPr>
          </w:p>
          <w:p w14:paraId="7C754011" w14:textId="77777777" w:rsidR="00106F39" w:rsidRDefault="00106F39" w:rsidP="00C31279">
            <w:pPr>
              <w:pStyle w:val="Default"/>
              <w:rPr>
                <w:sz w:val="22"/>
                <w:szCs w:val="22"/>
              </w:rPr>
            </w:pPr>
          </w:p>
          <w:p w14:paraId="446E72B7" w14:textId="77777777" w:rsidR="00106F39" w:rsidRDefault="00106F39" w:rsidP="00C31279">
            <w:pPr>
              <w:pStyle w:val="Default"/>
              <w:rPr>
                <w:sz w:val="22"/>
                <w:szCs w:val="22"/>
              </w:rPr>
            </w:pPr>
          </w:p>
          <w:p w14:paraId="467BA5E6" w14:textId="77777777" w:rsidR="00106F39" w:rsidRDefault="00106F39" w:rsidP="00C31279">
            <w:pPr>
              <w:pStyle w:val="Default"/>
              <w:rPr>
                <w:sz w:val="22"/>
                <w:szCs w:val="22"/>
              </w:rPr>
            </w:pPr>
          </w:p>
          <w:p w14:paraId="3E5735EC" w14:textId="77777777" w:rsidR="00106F39" w:rsidRDefault="00106F39" w:rsidP="00C31279">
            <w:pPr>
              <w:pStyle w:val="Default"/>
              <w:rPr>
                <w:sz w:val="22"/>
                <w:szCs w:val="22"/>
              </w:rPr>
            </w:pPr>
          </w:p>
          <w:p w14:paraId="019BA5E6" w14:textId="77777777" w:rsidR="00106F39" w:rsidRDefault="00106F39" w:rsidP="00C31279">
            <w:pPr>
              <w:pStyle w:val="Default"/>
              <w:rPr>
                <w:sz w:val="22"/>
                <w:szCs w:val="22"/>
              </w:rPr>
            </w:pPr>
          </w:p>
          <w:p w14:paraId="1A6B89EC" w14:textId="77777777" w:rsidR="002C79F4" w:rsidRDefault="002C79F4" w:rsidP="00C31279">
            <w:pPr>
              <w:pStyle w:val="Default"/>
              <w:rPr>
                <w:sz w:val="22"/>
                <w:szCs w:val="22"/>
              </w:rPr>
            </w:pPr>
          </w:p>
          <w:p w14:paraId="772BECB8" w14:textId="77777777" w:rsidR="002C79F4" w:rsidRDefault="002C79F4" w:rsidP="00C31279">
            <w:pPr>
              <w:pStyle w:val="Default"/>
              <w:rPr>
                <w:sz w:val="22"/>
                <w:szCs w:val="22"/>
              </w:rPr>
            </w:pPr>
          </w:p>
          <w:p w14:paraId="763491FE" w14:textId="33A9BA17" w:rsidR="4792BE4F" w:rsidRDefault="4792BE4F" w:rsidP="4792BE4F">
            <w:pPr>
              <w:pStyle w:val="Default"/>
              <w:rPr>
                <w:sz w:val="22"/>
                <w:szCs w:val="22"/>
              </w:rPr>
            </w:pPr>
          </w:p>
          <w:p w14:paraId="6C863CAF" w14:textId="34AC1CEE" w:rsidR="002C79F4" w:rsidRDefault="002C79F4" w:rsidP="00C31279">
            <w:pPr>
              <w:pStyle w:val="Default"/>
              <w:rPr>
                <w:sz w:val="22"/>
                <w:szCs w:val="22"/>
              </w:rPr>
            </w:pPr>
          </w:p>
          <w:p w14:paraId="09FE487F" w14:textId="7108753B" w:rsidR="00053DCA" w:rsidRPr="001300A9" w:rsidRDefault="00E97F9F" w:rsidP="00C31279">
            <w:pPr>
              <w:pStyle w:val="Default"/>
              <w:rPr>
                <w:sz w:val="22"/>
                <w:szCs w:val="22"/>
              </w:rPr>
            </w:pPr>
            <w:r w:rsidRPr="001300A9">
              <w:rPr>
                <w:sz w:val="22"/>
                <w:szCs w:val="22"/>
              </w:rPr>
              <w:t xml:space="preserve">(8) </w:t>
            </w:r>
            <w:r w:rsidR="00053DCA" w:rsidRPr="001300A9">
              <w:rPr>
                <w:sz w:val="22"/>
                <w:szCs w:val="22"/>
              </w:rPr>
              <w:t xml:space="preserve">Prevádzkam </w:t>
            </w:r>
            <w:r w:rsidR="00432DB8" w:rsidRPr="00432DB8">
              <w:rPr>
                <w:sz w:val="22"/>
                <w:szCs w:val="22"/>
              </w:rPr>
              <w:t xml:space="preserve">sa nepridelia žiadne bezodplatné kvóty, ak sa na </w:t>
            </w:r>
            <w:proofErr w:type="spellStart"/>
            <w:r w:rsidR="00432DB8" w:rsidRPr="00432DB8">
              <w:rPr>
                <w:sz w:val="22"/>
                <w:szCs w:val="22"/>
              </w:rPr>
              <w:t>ne</w:t>
            </w:r>
            <w:proofErr w:type="spellEnd"/>
            <w:r w:rsidR="00432DB8" w:rsidRPr="00432DB8">
              <w:rPr>
                <w:sz w:val="22"/>
                <w:szCs w:val="22"/>
              </w:rPr>
              <w:t xml:space="preserve"> vzťahujú iné opatre</w:t>
            </w:r>
            <w:r w:rsidR="00432DB8" w:rsidRPr="00432DB8">
              <w:rPr>
                <w:sz w:val="22"/>
                <w:szCs w:val="22"/>
              </w:rPr>
              <w:lastRenderedPageBreak/>
              <w:t>nia na riešenie rizika úniku uhlíka podľa osobitného predpisu,</w:t>
            </w:r>
            <w:r w:rsidR="00432DB8" w:rsidRPr="00432DB8">
              <w:rPr>
                <w:sz w:val="22"/>
                <w:szCs w:val="22"/>
                <w:vertAlign w:val="superscript"/>
              </w:rPr>
              <w:t>10ad</w:t>
            </w:r>
            <w:r w:rsidR="00432DB8" w:rsidRPr="00432DB8">
              <w:rPr>
                <w:sz w:val="22"/>
                <w:szCs w:val="22"/>
              </w:rPr>
              <w:t>) ak odsek 9 neustanovuje inak.</w:t>
            </w:r>
          </w:p>
        </w:tc>
        <w:tc>
          <w:tcPr>
            <w:tcW w:w="567" w:type="dxa"/>
          </w:tcPr>
          <w:p w14:paraId="7B2FEB97" w14:textId="77777777" w:rsidR="00357CEC" w:rsidRPr="001300A9" w:rsidRDefault="00C31279" w:rsidP="00357CEC">
            <w:pPr>
              <w:pStyle w:val="Default"/>
              <w:rPr>
                <w:sz w:val="22"/>
                <w:szCs w:val="22"/>
              </w:rPr>
            </w:pPr>
            <w:r w:rsidRPr="001300A9">
              <w:rPr>
                <w:sz w:val="22"/>
                <w:szCs w:val="22"/>
              </w:rPr>
              <w:lastRenderedPageBreak/>
              <w:t>Ú</w:t>
            </w:r>
          </w:p>
          <w:p w14:paraId="786DF1EE" w14:textId="77777777" w:rsidR="00053DCA" w:rsidRPr="001300A9" w:rsidRDefault="00053DCA" w:rsidP="00357CEC">
            <w:pPr>
              <w:pStyle w:val="Default"/>
              <w:rPr>
                <w:sz w:val="22"/>
                <w:szCs w:val="22"/>
              </w:rPr>
            </w:pPr>
          </w:p>
          <w:p w14:paraId="2CE7399D" w14:textId="77777777" w:rsidR="00053DCA" w:rsidRPr="001300A9" w:rsidRDefault="00053DCA" w:rsidP="00357CEC">
            <w:pPr>
              <w:pStyle w:val="Default"/>
              <w:rPr>
                <w:sz w:val="22"/>
                <w:szCs w:val="22"/>
              </w:rPr>
            </w:pPr>
          </w:p>
          <w:p w14:paraId="3D9A0325" w14:textId="77777777" w:rsidR="00053DCA" w:rsidRPr="001300A9" w:rsidRDefault="00053DCA" w:rsidP="00357CEC">
            <w:pPr>
              <w:pStyle w:val="Default"/>
              <w:rPr>
                <w:sz w:val="22"/>
                <w:szCs w:val="22"/>
              </w:rPr>
            </w:pPr>
          </w:p>
          <w:p w14:paraId="58776461" w14:textId="77777777" w:rsidR="00053DCA" w:rsidRPr="001300A9" w:rsidRDefault="00053DCA" w:rsidP="00357CEC">
            <w:pPr>
              <w:pStyle w:val="Default"/>
              <w:rPr>
                <w:sz w:val="22"/>
                <w:szCs w:val="22"/>
              </w:rPr>
            </w:pPr>
          </w:p>
          <w:p w14:paraId="7752B114" w14:textId="77777777" w:rsidR="00053DCA" w:rsidRPr="001300A9" w:rsidRDefault="00053DCA" w:rsidP="00357CEC">
            <w:pPr>
              <w:pStyle w:val="Default"/>
              <w:rPr>
                <w:sz w:val="22"/>
                <w:szCs w:val="22"/>
              </w:rPr>
            </w:pPr>
          </w:p>
          <w:p w14:paraId="3A605649" w14:textId="77777777" w:rsidR="00053DCA" w:rsidRPr="001300A9" w:rsidRDefault="00053DCA" w:rsidP="00357CEC">
            <w:pPr>
              <w:pStyle w:val="Default"/>
              <w:rPr>
                <w:sz w:val="22"/>
                <w:szCs w:val="22"/>
              </w:rPr>
            </w:pPr>
          </w:p>
          <w:p w14:paraId="1CDAF87A" w14:textId="77777777" w:rsidR="00053DCA" w:rsidRPr="001300A9" w:rsidRDefault="00053DCA" w:rsidP="00357CEC">
            <w:pPr>
              <w:pStyle w:val="Default"/>
              <w:rPr>
                <w:sz w:val="22"/>
                <w:szCs w:val="22"/>
              </w:rPr>
            </w:pPr>
          </w:p>
          <w:p w14:paraId="177B1E83" w14:textId="77777777" w:rsidR="00053DCA" w:rsidRPr="001300A9" w:rsidRDefault="00053DCA" w:rsidP="00357CEC">
            <w:pPr>
              <w:pStyle w:val="Default"/>
              <w:rPr>
                <w:sz w:val="22"/>
                <w:szCs w:val="22"/>
              </w:rPr>
            </w:pPr>
          </w:p>
          <w:p w14:paraId="694E5849" w14:textId="77777777" w:rsidR="00053DCA" w:rsidRPr="001300A9" w:rsidRDefault="00053DCA" w:rsidP="00357CEC">
            <w:pPr>
              <w:pStyle w:val="Default"/>
              <w:rPr>
                <w:sz w:val="22"/>
                <w:szCs w:val="22"/>
              </w:rPr>
            </w:pPr>
          </w:p>
          <w:p w14:paraId="7D9DDA68" w14:textId="77777777" w:rsidR="00053DCA" w:rsidRPr="001300A9" w:rsidRDefault="00053DCA" w:rsidP="00357CEC">
            <w:pPr>
              <w:pStyle w:val="Default"/>
              <w:rPr>
                <w:sz w:val="22"/>
                <w:szCs w:val="22"/>
              </w:rPr>
            </w:pPr>
          </w:p>
          <w:p w14:paraId="2BD0CB95" w14:textId="77777777" w:rsidR="00053DCA" w:rsidRPr="001300A9" w:rsidRDefault="00053DCA" w:rsidP="00357CEC">
            <w:pPr>
              <w:pStyle w:val="Default"/>
              <w:rPr>
                <w:sz w:val="22"/>
                <w:szCs w:val="22"/>
              </w:rPr>
            </w:pPr>
          </w:p>
          <w:p w14:paraId="041EDA17" w14:textId="77777777" w:rsidR="00053DCA" w:rsidRPr="001300A9" w:rsidRDefault="00053DCA" w:rsidP="00357CEC">
            <w:pPr>
              <w:pStyle w:val="Default"/>
              <w:rPr>
                <w:sz w:val="22"/>
                <w:szCs w:val="22"/>
              </w:rPr>
            </w:pPr>
          </w:p>
          <w:p w14:paraId="2EA1585B" w14:textId="77777777" w:rsidR="00053DCA" w:rsidRPr="001300A9" w:rsidRDefault="00053DCA" w:rsidP="00357CEC">
            <w:pPr>
              <w:pStyle w:val="Default"/>
              <w:rPr>
                <w:sz w:val="22"/>
                <w:szCs w:val="22"/>
              </w:rPr>
            </w:pPr>
          </w:p>
          <w:p w14:paraId="7EC77724" w14:textId="77777777" w:rsidR="00053DCA" w:rsidRPr="001300A9" w:rsidRDefault="00053DCA" w:rsidP="00357CEC">
            <w:pPr>
              <w:pStyle w:val="Default"/>
              <w:rPr>
                <w:sz w:val="22"/>
                <w:szCs w:val="22"/>
              </w:rPr>
            </w:pPr>
          </w:p>
          <w:p w14:paraId="4532A959" w14:textId="77777777" w:rsidR="00053DCA" w:rsidRPr="001300A9" w:rsidRDefault="00053DCA" w:rsidP="00357CEC">
            <w:pPr>
              <w:pStyle w:val="Default"/>
              <w:rPr>
                <w:sz w:val="22"/>
                <w:szCs w:val="22"/>
              </w:rPr>
            </w:pPr>
          </w:p>
          <w:p w14:paraId="43978C2E" w14:textId="77777777" w:rsidR="00053DCA" w:rsidRPr="001300A9" w:rsidRDefault="00053DCA" w:rsidP="00357CEC">
            <w:pPr>
              <w:pStyle w:val="Default"/>
              <w:rPr>
                <w:sz w:val="22"/>
                <w:szCs w:val="22"/>
              </w:rPr>
            </w:pPr>
          </w:p>
          <w:p w14:paraId="27E99A2D" w14:textId="77777777" w:rsidR="00053DCA" w:rsidRPr="001300A9" w:rsidRDefault="00053DCA" w:rsidP="00357CEC">
            <w:pPr>
              <w:pStyle w:val="Default"/>
              <w:rPr>
                <w:sz w:val="22"/>
                <w:szCs w:val="22"/>
              </w:rPr>
            </w:pPr>
          </w:p>
          <w:p w14:paraId="47CC858A" w14:textId="77777777" w:rsidR="00053DCA" w:rsidRPr="001300A9" w:rsidRDefault="00053DCA" w:rsidP="00357CEC">
            <w:pPr>
              <w:pStyle w:val="Default"/>
              <w:rPr>
                <w:sz w:val="22"/>
                <w:szCs w:val="22"/>
              </w:rPr>
            </w:pPr>
          </w:p>
          <w:p w14:paraId="0C2BED22" w14:textId="77777777" w:rsidR="00053DCA" w:rsidRPr="001300A9" w:rsidRDefault="00053DCA" w:rsidP="00357CEC">
            <w:pPr>
              <w:pStyle w:val="Default"/>
              <w:rPr>
                <w:sz w:val="22"/>
                <w:szCs w:val="22"/>
              </w:rPr>
            </w:pPr>
          </w:p>
          <w:p w14:paraId="0C34D758" w14:textId="77777777" w:rsidR="00053DCA" w:rsidRPr="001300A9" w:rsidRDefault="00053DCA" w:rsidP="00357CEC">
            <w:pPr>
              <w:pStyle w:val="Default"/>
              <w:rPr>
                <w:sz w:val="22"/>
                <w:szCs w:val="22"/>
              </w:rPr>
            </w:pPr>
          </w:p>
          <w:p w14:paraId="623601F7" w14:textId="77777777" w:rsidR="00053DCA" w:rsidRPr="001300A9" w:rsidRDefault="00053DCA" w:rsidP="00357CEC">
            <w:pPr>
              <w:pStyle w:val="Default"/>
              <w:rPr>
                <w:sz w:val="22"/>
                <w:szCs w:val="22"/>
              </w:rPr>
            </w:pPr>
          </w:p>
          <w:p w14:paraId="4CF64702" w14:textId="77777777" w:rsidR="00053DCA" w:rsidRPr="001300A9" w:rsidRDefault="00053DCA" w:rsidP="00357CEC">
            <w:pPr>
              <w:pStyle w:val="Default"/>
              <w:rPr>
                <w:sz w:val="22"/>
                <w:szCs w:val="22"/>
              </w:rPr>
            </w:pPr>
          </w:p>
          <w:p w14:paraId="1F0EEF3F" w14:textId="77777777" w:rsidR="00053DCA" w:rsidRPr="001300A9" w:rsidRDefault="00053DCA" w:rsidP="00357CEC">
            <w:pPr>
              <w:pStyle w:val="Default"/>
              <w:rPr>
                <w:sz w:val="22"/>
                <w:szCs w:val="22"/>
              </w:rPr>
            </w:pPr>
          </w:p>
          <w:p w14:paraId="1AFCFD5C" w14:textId="77777777" w:rsidR="00053DCA" w:rsidRPr="001300A9" w:rsidRDefault="00053DCA" w:rsidP="00357CEC">
            <w:pPr>
              <w:pStyle w:val="Default"/>
              <w:rPr>
                <w:sz w:val="22"/>
                <w:szCs w:val="22"/>
              </w:rPr>
            </w:pPr>
          </w:p>
          <w:p w14:paraId="7690721C" w14:textId="77777777" w:rsidR="00053DCA" w:rsidRPr="001300A9" w:rsidRDefault="00053DCA" w:rsidP="00357CEC">
            <w:pPr>
              <w:pStyle w:val="Default"/>
              <w:rPr>
                <w:sz w:val="22"/>
                <w:szCs w:val="22"/>
              </w:rPr>
            </w:pPr>
          </w:p>
          <w:p w14:paraId="1E768526" w14:textId="77777777" w:rsidR="00053DCA" w:rsidRPr="001300A9" w:rsidRDefault="00053DCA" w:rsidP="00357CEC">
            <w:pPr>
              <w:pStyle w:val="Default"/>
              <w:rPr>
                <w:sz w:val="22"/>
                <w:szCs w:val="22"/>
              </w:rPr>
            </w:pPr>
          </w:p>
          <w:p w14:paraId="43DEC8B6" w14:textId="77777777" w:rsidR="00053DCA" w:rsidRPr="001300A9" w:rsidRDefault="00053DCA" w:rsidP="00357CEC">
            <w:pPr>
              <w:pStyle w:val="Default"/>
              <w:rPr>
                <w:sz w:val="22"/>
                <w:szCs w:val="22"/>
              </w:rPr>
            </w:pPr>
          </w:p>
          <w:p w14:paraId="54C6DA03" w14:textId="77777777" w:rsidR="00053DCA" w:rsidRPr="001300A9" w:rsidRDefault="00053DCA" w:rsidP="00357CEC">
            <w:pPr>
              <w:pStyle w:val="Default"/>
              <w:rPr>
                <w:sz w:val="22"/>
                <w:szCs w:val="22"/>
              </w:rPr>
            </w:pPr>
          </w:p>
          <w:p w14:paraId="6BA69482" w14:textId="77777777" w:rsidR="00053DCA" w:rsidRPr="001300A9" w:rsidRDefault="00053DCA" w:rsidP="00357CEC">
            <w:pPr>
              <w:pStyle w:val="Default"/>
              <w:rPr>
                <w:sz w:val="22"/>
                <w:szCs w:val="22"/>
              </w:rPr>
            </w:pPr>
          </w:p>
          <w:p w14:paraId="709C1CE2" w14:textId="77777777" w:rsidR="00053DCA" w:rsidRPr="001300A9" w:rsidRDefault="00053DCA" w:rsidP="00357CEC">
            <w:pPr>
              <w:pStyle w:val="Default"/>
              <w:rPr>
                <w:sz w:val="22"/>
                <w:szCs w:val="22"/>
              </w:rPr>
            </w:pPr>
          </w:p>
          <w:p w14:paraId="300D0C67" w14:textId="77777777" w:rsidR="00053DCA" w:rsidRPr="001300A9" w:rsidRDefault="00053DCA" w:rsidP="00357CEC">
            <w:pPr>
              <w:pStyle w:val="Default"/>
              <w:rPr>
                <w:sz w:val="22"/>
                <w:szCs w:val="22"/>
              </w:rPr>
            </w:pPr>
          </w:p>
          <w:p w14:paraId="7FA1A075" w14:textId="77777777" w:rsidR="00053DCA" w:rsidRPr="001300A9" w:rsidRDefault="00053DCA" w:rsidP="00357CEC">
            <w:pPr>
              <w:pStyle w:val="Default"/>
              <w:rPr>
                <w:sz w:val="22"/>
                <w:szCs w:val="22"/>
              </w:rPr>
            </w:pPr>
          </w:p>
          <w:p w14:paraId="7695AEEC" w14:textId="77777777" w:rsidR="00053DCA" w:rsidRPr="001300A9" w:rsidRDefault="00053DCA" w:rsidP="00357CEC">
            <w:pPr>
              <w:pStyle w:val="Default"/>
              <w:rPr>
                <w:sz w:val="22"/>
                <w:szCs w:val="22"/>
              </w:rPr>
            </w:pPr>
          </w:p>
          <w:p w14:paraId="17C8B8BB" w14:textId="7C4D5C91" w:rsidR="00053DCA" w:rsidRPr="001300A9" w:rsidRDefault="00053DCA" w:rsidP="00357CEC">
            <w:pPr>
              <w:pStyle w:val="Default"/>
              <w:rPr>
                <w:sz w:val="22"/>
                <w:szCs w:val="22"/>
              </w:rPr>
            </w:pPr>
          </w:p>
          <w:p w14:paraId="6912CA30" w14:textId="77777777" w:rsidR="00332BCF" w:rsidRDefault="00332BCF" w:rsidP="00357CEC">
            <w:pPr>
              <w:pStyle w:val="Default"/>
              <w:rPr>
                <w:sz w:val="22"/>
                <w:szCs w:val="22"/>
              </w:rPr>
            </w:pPr>
          </w:p>
          <w:p w14:paraId="75468EAD" w14:textId="77777777" w:rsidR="00106F39" w:rsidRDefault="00106F39" w:rsidP="00357CEC">
            <w:pPr>
              <w:pStyle w:val="Default"/>
              <w:rPr>
                <w:sz w:val="22"/>
                <w:szCs w:val="22"/>
              </w:rPr>
            </w:pPr>
          </w:p>
          <w:p w14:paraId="5CA21B36" w14:textId="77777777" w:rsidR="00106F39" w:rsidRDefault="00106F39" w:rsidP="00357CEC">
            <w:pPr>
              <w:pStyle w:val="Default"/>
              <w:rPr>
                <w:sz w:val="22"/>
                <w:szCs w:val="22"/>
              </w:rPr>
            </w:pPr>
          </w:p>
          <w:p w14:paraId="1B73FD27" w14:textId="77777777" w:rsidR="00106F39" w:rsidRDefault="00106F39" w:rsidP="00357CEC">
            <w:pPr>
              <w:pStyle w:val="Default"/>
              <w:rPr>
                <w:sz w:val="22"/>
                <w:szCs w:val="22"/>
              </w:rPr>
            </w:pPr>
          </w:p>
          <w:p w14:paraId="27023139" w14:textId="77777777" w:rsidR="00106F39" w:rsidRDefault="00106F39" w:rsidP="00357CEC">
            <w:pPr>
              <w:pStyle w:val="Default"/>
              <w:rPr>
                <w:sz w:val="22"/>
                <w:szCs w:val="22"/>
              </w:rPr>
            </w:pPr>
          </w:p>
          <w:p w14:paraId="6B2C0A78" w14:textId="77777777" w:rsidR="00106F39" w:rsidRDefault="00106F39" w:rsidP="00357CEC">
            <w:pPr>
              <w:pStyle w:val="Default"/>
              <w:rPr>
                <w:sz w:val="22"/>
                <w:szCs w:val="22"/>
              </w:rPr>
            </w:pPr>
          </w:p>
          <w:p w14:paraId="2DFD88EC" w14:textId="77777777" w:rsidR="00106F39" w:rsidRDefault="00106F39" w:rsidP="00357CEC">
            <w:pPr>
              <w:pStyle w:val="Default"/>
              <w:rPr>
                <w:sz w:val="22"/>
                <w:szCs w:val="22"/>
              </w:rPr>
            </w:pPr>
          </w:p>
          <w:p w14:paraId="65683AA6" w14:textId="77777777" w:rsidR="00106F39" w:rsidRDefault="00106F39" w:rsidP="00357CEC">
            <w:pPr>
              <w:pStyle w:val="Default"/>
              <w:rPr>
                <w:sz w:val="22"/>
                <w:szCs w:val="22"/>
              </w:rPr>
            </w:pPr>
          </w:p>
          <w:p w14:paraId="6DB08392" w14:textId="77777777" w:rsidR="00106F39" w:rsidRDefault="00106F39" w:rsidP="00357CEC">
            <w:pPr>
              <w:pStyle w:val="Default"/>
              <w:rPr>
                <w:sz w:val="22"/>
                <w:szCs w:val="22"/>
              </w:rPr>
            </w:pPr>
          </w:p>
          <w:p w14:paraId="4F43A7B1" w14:textId="77777777" w:rsidR="00106F39" w:rsidRDefault="00106F39" w:rsidP="00357CEC">
            <w:pPr>
              <w:pStyle w:val="Default"/>
              <w:rPr>
                <w:sz w:val="22"/>
                <w:szCs w:val="22"/>
              </w:rPr>
            </w:pPr>
          </w:p>
          <w:p w14:paraId="180655E2" w14:textId="77777777" w:rsidR="00106F39" w:rsidRDefault="00106F39" w:rsidP="00357CEC">
            <w:pPr>
              <w:pStyle w:val="Default"/>
              <w:rPr>
                <w:sz w:val="22"/>
                <w:szCs w:val="22"/>
              </w:rPr>
            </w:pPr>
          </w:p>
          <w:p w14:paraId="59DD22F8" w14:textId="77777777" w:rsidR="00106F39" w:rsidRDefault="00106F39" w:rsidP="00357CEC">
            <w:pPr>
              <w:pStyle w:val="Default"/>
              <w:rPr>
                <w:sz w:val="22"/>
                <w:szCs w:val="22"/>
              </w:rPr>
            </w:pPr>
          </w:p>
          <w:p w14:paraId="1B13C2A2" w14:textId="77777777" w:rsidR="00106F39" w:rsidRDefault="00106F39" w:rsidP="00357CEC">
            <w:pPr>
              <w:pStyle w:val="Default"/>
              <w:rPr>
                <w:sz w:val="22"/>
                <w:szCs w:val="22"/>
              </w:rPr>
            </w:pPr>
          </w:p>
          <w:p w14:paraId="0BA0C959" w14:textId="77777777" w:rsidR="00106F39" w:rsidRDefault="00106F39" w:rsidP="00357CEC">
            <w:pPr>
              <w:pStyle w:val="Default"/>
              <w:rPr>
                <w:sz w:val="22"/>
                <w:szCs w:val="22"/>
              </w:rPr>
            </w:pPr>
          </w:p>
          <w:p w14:paraId="1B7205B4" w14:textId="77777777" w:rsidR="00106F39" w:rsidRDefault="00106F39" w:rsidP="00357CEC">
            <w:pPr>
              <w:pStyle w:val="Default"/>
              <w:rPr>
                <w:sz w:val="22"/>
                <w:szCs w:val="22"/>
              </w:rPr>
            </w:pPr>
          </w:p>
          <w:p w14:paraId="54DD16B6" w14:textId="77777777" w:rsidR="00106F39" w:rsidRDefault="00106F39" w:rsidP="00357CEC">
            <w:pPr>
              <w:pStyle w:val="Default"/>
              <w:rPr>
                <w:sz w:val="22"/>
                <w:szCs w:val="22"/>
              </w:rPr>
            </w:pPr>
          </w:p>
          <w:p w14:paraId="33AE8EFE" w14:textId="77777777" w:rsidR="00106F39" w:rsidRDefault="00106F39" w:rsidP="00357CEC">
            <w:pPr>
              <w:pStyle w:val="Default"/>
              <w:rPr>
                <w:sz w:val="22"/>
                <w:szCs w:val="22"/>
              </w:rPr>
            </w:pPr>
          </w:p>
          <w:p w14:paraId="6E5DFF28" w14:textId="77777777" w:rsidR="00106F39" w:rsidRDefault="00106F39" w:rsidP="00357CEC">
            <w:pPr>
              <w:pStyle w:val="Default"/>
              <w:rPr>
                <w:sz w:val="22"/>
                <w:szCs w:val="22"/>
              </w:rPr>
            </w:pPr>
          </w:p>
          <w:p w14:paraId="0D52A366" w14:textId="77777777" w:rsidR="00106F39" w:rsidRDefault="00106F39" w:rsidP="00357CEC">
            <w:pPr>
              <w:pStyle w:val="Default"/>
              <w:rPr>
                <w:sz w:val="22"/>
                <w:szCs w:val="22"/>
              </w:rPr>
            </w:pPr>
          </w:p>
          <w:p w14:paraId="2F1DEEE7" w14:textId="77777777" w:rsidR="00106F39" w:rsidRDefault="00106F39" w:rsidP="00357CEC">
            <w:pPr>
              <w:pStyle w:val="Default"/>
              <w:rPr>
                <w:sz w:val="22"/>
                <w:szCs w:val="22"/>
              </w:rPr>
            </w:pPr>
          </w:p>
          <w:p w14:paraId="2C290C9D" w14:textId="77777777" w:rsidR="00106F39" w:rsidRDefault="00106F39" w:rsidP="00357CEC">
            <w:pPr>
              <w:pStyle w:val="Default"/>
              <w:rPr>
                <w:sz w:val="22"/>
                <w:szCs w:val="22"/>
              </w:rPr>
            </w:pPr>
          </w:p>
          <w:p w14:paraId="485A75F9" w14:textId="77777777" w:rsidR="00106F39" w:rsidRDefault="00106F39" w:rsidP="00357CEC">
            <w:pPr>
              <w:pStyle w:val="Default"/>
              <w:rPr>
                <w:sz w:val="22"/>
                <w:szCs w:val="22"/>
              </w:rPr>
            </w:pPr>
          </w:p>
          <w:p w14:paraId="52CE9EF1" w14:textId="77777777" w:rsidR="00106F39" w:rsidRDefault="00106F39" w:rsidP="00357CEC">
            <w:pPr>
              <w:pStyle w:val="Default"/>
              <w:rPr>
                <w:sz w:val="22"/>
                <w:szCs w:val="22"/>
              </w:rPr>
            </w:pPr>
          </w:p>
          <w:p w14:paraId="32F3A58B" w14:textId="77777777" w:rsidR="00106F39" w:rsidRDefault="00106F39" w:rsidP="00357CEC">
            <w:pPr>
              <w:pStyle w:val="Default"/>
              <w:rPr>
                <w:sz w:val="22"/>
                <w:szCs w:val="22"/>
              </w:rPr>
            </w:pPr>
          </w:p>
          <w:p w14:paraId="705379ED" w14:textId="77777777" w:rsidR="00106F39" w:rsidRDefault="00106F39" w:rsidP="00357CEC">
            <w:pPr>
              <w:pStyle w:val="Default"/>
              <w:rPr>
                <w:sz w:val="22"/>
                <w:szCs w:val="22"/>
              </w:rPr>
            </w:pPr>
          </w:p>
          <w:p w14:paraId="43D1231A" w14:textId="77777777" w:rsidR="00106F39" w:rsidRDefault="00106F39" w:rsidP="00357CEC">
            <w:pPr>
              <w:pStyle w:val="Default"/>
              <w:rPr>
                <w:sz w:val="22"/>
                <w:szCs w:val="22"/>
              </w:rPr>
            </w:pPr>
          </w:p>
          <w:p w14:paraId="27154223" w14:textId="78C6EB7F" w:rsidR="4792BE4F" w:rsidRDefault="4792BE4F" w:rsidP="4792BE4F">
            <w:pPr>
              <w:pStyle w:val="Default"/>
              <w:rPr>
                <w:sz w:val="22"/>
                <w:szCs w:val="22"/>
              </w:rPr>
            </w:pPr>
          </w:p>
          <w:p w14:paraId="59A86DFA" w14:textId="428D1B4D" w:rsidR="00190F49" w:rsidRDefault="00190F49" w:rsidP="00357CEC">
            <w:pPr>
              <w:pStyle w:val="Default"/>
              <w:rPr>
                <w:sz w:val="22"/>
                <w:szCs w:val="22"/>
              </w:rPr>
            </w:pPr>
          </w:p>
          <w:p w14:paraId="0A63A39F" w14:textId="24CFF9A1" w:rsidR="00053DCA" w:rsidRPr="001300A9" w:rsidRDefault="00053DCA" w:rsidP="00357CEC">
            <w:pPr>
              <w:pStyle w:val="Default"/>
              <w:rPr>
                <w:sz w:val="22"/>
                <w:szCs w:val="22"/>
              </w:rPr>
            </w:pPr>
            <w:r w:rsidRPr="001300A9">
              <w:rPr>
                <w:sz w:val="22"/>
                <w:szCs w:val="22"/>
              </w:rPr>
              <w:t>Ú</w:t>
            </w:r>
          </w:p>
          <w:p w14:paraId="2B88BB64" w14:textId="77777777" w:rsidR="00053DCA" w:rsidRPr="001300A9" w:rsidRDefault="00053DCA" w:rsidP="00357CEC">
            <w:pPr>
              <w:pStyle w:val="Default"/>
              <w:rPr>
                <w:sz w:val="22"/>
                <w:szCs w:val="22"/>
              </w:rPr>
            </w:pPr>
          </w:p>
          <w:p w14:paraId="3789C0BF" w14:textId="77777777" w:rsidR="00053DCA" w:rsidRPr="001300A9" w:rsidRDefault="00053DCA" w:rsidP="00357CEC">
            <w:pPr>
              <w:pStyle w:val="Default"/>
              <w:rPr>
                <w:sz w:val="22"/>
                <w:szCs w:val="22"/>
              </w:rPr>
            </w:pPr>
          </w:p>
          <w:p w14:paraId="3AB43BEC" w14:textId="77777777" w:rsidR="00053DCA" w:rsidRPr="001300A9" w:rsidRDefault="00053DCA" w:rsidP="00357CEC">
            <w:pPr>
              <w:pStyle w:val="Default"/>
              <w:rPr>
                <w:sz w:val="22"/>
                <w:szCs w:val="22"/>
              </w:rPr>
            </w:pPr>
          </w:p>
          <w:p w14:paraId="2F6BB316" w14:textId="77777777" w:rsidR="00053DCA" w:rsidRPr="001300A9" w:rsidRDefault="00053DCA" w:rsidP="00357CEC">
            <w:pPr>
              <w:pStyle w:val="Default"/>
              <w:rPr>
                <w:sz w:val="22"/>
                <w:szCs w:val="22"/>
              </w:rPr>
            </w:pPr>
          </w:p>
          <w:p w14:paraId="51C2317A" w14:textId="77777777" w:rsidR="00053DCA" w:rsidRPr="001300A9" w:rsidRDefault="00053DCA" w:rsidP="00357CEC">
            <w:pPr>
              <w:pStyle w:val="Default"/>
              <w:rPr>
                <w:sz w:val="22"/>
                <w:szCs w:val="22"/>
              </w:rPr>
            </w:pPr>
          </w:p>
          <w:p w14:paraId="21F0F109" w14:textId="77777777" w:rsidR="00053DCA" w:rsidRPr="001300A9" w:rsidRDefault="00053DCA" w:rsidP="00357CEC">
            <w:pPr>
              <w:pStyle w:val="Default"/>
              <w:rPr>
                <w:sz w:val="22"/>
                <w:szCs w:val="22"/>
              </w:rPr>
            </w:pPr>
          </w:p>
          <w:p w14:paraId="335BA656" w14:textId="77777777" w:rsidR="00053DCA" w:rsidRPr="001300A9" w:rsidRDefault="00053DCA" w:rsidP="00357CEC">
            <w:pPr>
              <w:pStyle w:val="Default"/>
              <w:rPr>
                <w:sz w:val="22"/>
                <w:szCs w:val="22"/>
              </w:rPr>
            </w:pPr>
          </w:p>
          <w:p w14:paraId="5E08F055" w14:textId="77777777" w:rsidR="00053DCA" w:rsidRPr="001300A9" w:rsidRDefault="00053DCA" w:rsidP="00357CEC">
            <w:pPr>
              <w:pStyle w:val="Default"/>
              <w:rPr>
                <w:sz w:val="22"/>
                <w:szCs w:val="22"/>
              </w:rPr>
            </w:pPr>
          </w:p>
          <w:p w14:paraId="17F8C479" w14:textId="77777777" w:rsidR="00053DCA" w:rsidRPr="001300A9" w:rsidRDefault="00053DCA" w:rsidP="00357CEC">
            <w:pPr>
              <w:pStyle w:val="Default"/>
              <w:rPr>
                <w:sz w:val="22"/>
                <w:szCs w:val="22"/>
              </w:rPr>
            </w:pPr>
          </w:p>
          <w:p w14:paraId="3D961665" w14:textId="77777777" w:rsidR="00053DCA" w:rsidRPr="001300A9" w:rsidRDefault="00053DCA" w:rsidP="00357CEC">
            <w:pPr>
              <w:pStyle w:val="Default"/>
              <w:rPr>
                <w:sz w:val="22"/>
                <w:szCs w:val="22"/>
              </w:rPr>
            </w:pPr>
          </w:p>
          <w:p w14:paraId="41E6029F" w14:textId="77777777" w:rsidR="00053DCA" w:rsidRPr="001300A9" w:rsidRDefault="00053DCA" w:rsidP="00357CEC">
            <w:pPr>
              <w:pStyle w:val="Default"/>
              <w:rPr>
                <w:sz w:val="22"/>
                <w:szCs w:val="22"/>
              </w:rPr>
            </w:pPr>
          </w:p>
          <w:p w14:paraId="2FFF771D" w14:textId="77777777" w:rsidR="00053DCA" w:rsidRPr="001300A9" w:rsidRDefault="00053DCA" w:rsidP="00357CEC">
            <w:pPr>
              <w:pStyle w:val="Default"/>
              <w:rPr>
                <w:sz w:val="22"/>
                <w:szCs w:val="22"/>
              </w:rPr>
            </w:pPr>
          </w:p>
          <w:p w14:paraId="768955D8" w14:textId="77777777" w:rsidR="00053DCA" w:rsidRPr="001300A9" w:rsidRDefault="00053DCA" w:rsidP="00357CEC">
            <w:pPr>
              <w:pStyle w:val="Default"/>
              <w:rPr>
                <w:sz w:val="22"/>
                <w:szCs w:val="22"/>
              </w:rPr>
            </w:pPr>
          </w:p>
          <w:p w14:paraId="0DAF3629" w14:textId="77777777" w:rsidR="00053DCA" w:rsidRPr="001300A9" w:rsidRDefault="00053DCA" w:rsidP="00357CEC">
            <w:pPr>
              <w:pStyle w:val="Default"/>
              <w:rPr>
                <w:sz w:val="22"/>
                <w:szCs w:val="22"/>
              </w:rPr>
            </w:pPr>
          </w:p>
          <w:p w14:paraId="15BD6B95" w14:textId="77777777" w:rsidR="00053DCA" w:rsidRPr="001300A9" w:rsidRDefault="00053DCA" w:rsidP="00357CEC">
            <w:pPr>
              <w:pStyle w:val="Default"/>
              <w:rPr>
                <w:sz w:val="22"/>
                <w:szCs w:val="22"/>
              </w:rPr>
            </w:pPr>
          </w:p>
          <w:p w14:paraId="1ED4FECF" w14:textId="77777777" w:rsidR="00053DCA" w:rsidRPr="001300A9" w:rsidRDefault="00053DCA" w:rsidP="00357CEC">
            <w:pPr>
              <w:pStyle w:val="Default"/>
              <w:rPr>
                <w:sz w:val="22"/>
                <w:szCs w:val="22"/>
              </w:rPr>
            </w:pPr>
          </w:p>
          <w:p w14:paraId="6C401035" w14:textId="77777777" w:rsidR="00053DCA" w:rsidRPr="001300A9" w:rsidRDefault="00053DCA" w:rsidP="00357CEC">
            <w:pPr>
              <w:pStyle w:val="Default"/>
              <w:rPr>
                <w:sz w:val="22"/>
                <w:szCs w:val="22"/>
              </w:rPr>
            </w:pPr>
          </w:p>
          <w:p w14:paraId="70BAA641" w14:textId="77777777" w:rsidR="00053DCA" w:rsidRPr="001300A9" w:rsidRDefault="00053DCA" w:rsidP="00357CEC">
            <w:pPr>
              <w:pStyle w:val="Default"/>
              <w:rPr>
                <w:sz w:val="22"/>
                <w:szCs w:val="22"/>
              </w:rPr>
            </w:pPr>
          </w:p>
          <w:p w14:paraId="4389061F" w14:textId="77777777" w:rsidR="00053DCA" w:rsidRPr="001300A9" w:rsidRDefault="00053DCA" w:rsidP="00357CEC">
            <w:pPr>
              <w:pStyle w:val="Default"/>
              <w:rPr>
                <w:sz w:val="22"/>
                <w:szCs w:val="22"/>
              </w:rPr>
            </w:pPr>
          </w:p>
          <w:p w14:paraId="7ABCAC80" w14:textId="77777777" w:rsidR="00053DCA" w:rsidRPr="001300A9" w:rsidRDefault="00053DCA" w:rsidP="00357CEC">
            <w:pPr>
              <w:pStyle w:val="Default"/>
              <w:rPr>
                <w:sz w:val="22"/>
                <w:szCs w:val="22"/>
              </w:rPr>
            </w:pPr>
          </w:p>
          <w:p w14:paraId="33329127" w14:textId="77777777" w:rsidR="00053DCA" w:rsidRPr="001300A9" w:rsidRDefault="00053DCA" w:rsidP="00357CEC">
            <w:pPr>
              <w:pStyle w:val="Default"/>
              <w:rPr>
                <w:sz w:val="22"/>
                <w:szCs w:val="22"/>
              </w:rPr>
            </w:pPr>
          </w:p>
          <w:p w14:paraId="35F75950" w14:textId="77777777" w:rsidR="00053DCA" w:rsidRPr="001300A9" w:rsidRDefault="00053DCA" w:rsidP="00357CEC">
            <w:pPr>
              <w:pStyle w:val="Default"/>
              <w:rPr>
                <w:sz w:val="22"/>
                <w:szCs w:val="22"/>
              </w:rPr>
            </w:pPr>
          </w:p>
          <w:p w14:paraId="6D2A2B3A" w14:textId="77777777" w:rsidR="00053DCA" w:rsidRPr="001300A9" w:rsidRDefault="00053DCA" w:rsidP="00357CEC">
            <w:pPr>
              <w:pStyle w:val="Default"/>
              <w:rPr>
                <w:sz w:val="22"/>
                <w:szCs w:val="22"/>
              </w:rPr>
            </w:pPr>
          </w:p>
          <w:p w14:paraId="05C92FC2" w14:textId="77777777" w:rsidR="00053DCA" w:rsidRPr="001300A9" w:rsidRDefault="00053DCA" w:rsidP="00357CEC">
            <w:pPr>
              <w:pStyle w:val="Default"/>
              <w:rPr>
                <w:sz w:val="22"/>
                <w:szCs w:val="22"/>
              </w:rPr>
            </w:pPr>
          </w:p>
          <w:p w14:paraId="1239D74F" w14:textId="77777777" w:rsidR="00053DCA" w:rsidRPr="001300A9" w:rsidRDefault="00053DCA" w:rsidP="00357CEC">
            <w:pPr>
              <w:pStyle w:val="Default"/>
              <w:rPr>
                <w:sz w:val="22"/>
                <w:szCs w:val="22"/>
              </w:rPr>
            </w:pPr>
          </w:p>
          <w:p w14:paraId="50059D28" w14:textId="77777777" w:rsidR="00053DCA" w:rsidRPr="001300A9" w:rsidRDefault="00053DCA" w:rsidP="00357CEC">
            <w:pPr>
              <w:pStyle w:val="Default"/>
              <w:rPr>
                <w:sz w:val="22"/>
                <w:szCs w:val="22"/>
              </w:rPr>
            </w:pPr>
          </w:p>
          <w:p w14:paraId="026AEEDD" w14:textId="77777777" w:rsidR="00053DCA" w:rsidRPr="001300A9" w:rsidRDefault="00053DCA" w:rsidP="00357CEC">
            <w:pPr>
              <w:pStyle w:val="Default"/>
              <w:rPr>
                <w:sz w:val="22"/>
                <w:szCs w:val="22"/>
              </w:rPr>
            </w:pPr>
          </w:p>
          <w:p w14:paraId="5B5A33E7" w14:textId="77777777" w:rsidR="00053DCA" w:rsidRPr="001300A9" w:rsidRDefault="00053DCA" w:rsidP="00357CEC">
            <w:pPr>
              <w:pStyle w:val="Default"/>
              <w:rPr>
                <w:sz w:val="22"/>
                <w:szCs w:val="22"/>
              </w:rPr>
            </w:pPr>
          </w:p>
          <w:p w14:paraId="2E8617C9" w14:textId="77777777" w:rsidR="00053DCA" w:rsidRPr="001300A9" w:rsidRDefault="00053DCA" w:rsidP="00357CEC">
            <w:pPr>
              <w:pStyle w:val="Default"/>
              <w:rPr>
                <w:sz w:val="22"/>
                <w:szCs w:val="22"/>
              </w:rPr>
            </w:pPr>
          </w:p>
          <w:p w14:paraId="694B55F4" w14:textId="77777777" w:rsidR="00053DCA" w:rsidRPr="001300A9" w:rsidRDefault="00053DCA" w:rsidP="00357CEC">
            <w:pPr>
              <w:pStyle w:val="Default"/>
              <w:rPr>
                <w:sz w:val="22"/>
                <w:szCs w:val="22"/>
              </w:rPr>
            </w:pPr>
          </w:p>
          <w:p w14:paraId="0A2D6CFA" w14:textId="77777777" w:rsidR="00053DCA" w:rsidRPr="001300A9" w:rsidRDefault="00053DCA" w:rsidP="00357CEC">
            <w:pPr>
              <w:pStyle w:val="Default"/>
              <w:rPr>
                <w:sz w:val="22"/>
                <w:szCs w:val="22"/>
              </w:rPr>
            </w:pPr>
          </w:p>
          <w:p w14:paraId="0BBA658D" w14:textId="77777777" w:rsidR="00053DCA" w:rsidRPr="001300A9" w:rsidRDefault="00053DCA" w:rsidP="00357CEC">
            <w:pPr>
              <w:pStyle w:val="Default"/>
              <w:rPr>
                <w:sz w:val="22"/>
                <w:szCs w:val="22"/>
              </w:rPr>
            </w:pPr>
          </w:p>
          <w:p w14:paraId="08D68494" w14:textId="77777777" w:rsidR="00053DCA" w:rsidRPr="001300A9" w:rsidRDefault="00053DCA" w:rsidP="00357CEC">
            <w:pPr>
              <w:pStyle w:val="Default"/>
              <w:rPr>
                <w:sz w:val="22"/>
                <w:szCs w:val="22"/>
              </w:rPr>
            </w:pPr>
          </w:p>
          <w:p w14:paraId="28A8D7A4" w14:textId="77777777" w:rsidR="00053DCA" w:rsidRPr="001300A9" w:rsidRDefault="00053DCA" w:rsidP="00357CEC">
            <w:pPr>
              <w:pStyle w:val="Default"/>
              <w:rPr>
                <w:sz w:val="22"/>
                <w:szCs w:val="22"/>
              </w:rPr>
            </w:pPr>
          </w:p>
          <w:p w14:paraId="7065790E" w14:textId="77777777" w:rsidR="00053DCA" w:rsidRPr="001300A9" w:rsidRDefault="00053DCA" w:rsidP="00357CEC">
            <w:pPr>
              <w:pStyle w:val="Default"/>
              <w:rPr>
                <w:sz w:val="22"/>
                <w:szCs w:val="22"/>
              </w:rPr>
            </w:pPr>
          </w:p>
          <w:p w14:paraId="7FE1FD0D" w14:textId="77777777" w:rsidR="00053DCA" w:rsidRPr="001300A9" w:rsidRDefault="00053DCA" w:rsidP="00357CEC">
            <w:pPr>
              <w:pStyle w:val="Default"/>
              <w:rPr>
                <w:sz w:val="22"/>
                <w:szCs w:val="22"/>
              </w:rPr>
            </w:pPr>
          </w:p>
          <w:p w14:paraId="1BB5DC61" w14:textId="77777777" w:rsidR="00053DCA" w:rsidRPr="001300A9" w:rsidRDefault="00053DCA" w:rsidP="00357CEC">
            <w:pPr>
              <w:pStyle w:val="Default"/>
              <w:rPr>
                <w:sz w:val="22"/>
                <w:szCs w:val="22"/>
              </w:rPr>
            </w:pPr>
          </w:p>
          <w:p w14:paraId="2AD42412" w14:textId="77777777" w:rsidR="00053DCA" w:rsidRPr="001300A9" w:rsidRDefault="00053DCA" w:rsidP="00357CEC">
            <w:pPr>
              <w:pStyle w:val="Default"/>
              <w:rPr>
                <w:sz w:val="22"/>
                <w:szCs w:val="22"/>
              </w:rPr>
            </w:pPr>
          </w:p>
          <w:p w14:paraId="27788E2C" w14:textId="77777777" w:rsidR="00053DCA" w:rsidRPr="001300A9" w:rsidRDefault="00053DCA" w:rsidP="00357CEC">
            <w:pPr>
              <w:pStyle w:val="Default"/>
              <w:rPr>
                <w:sz w:val="22"/>
                <w:szCs w:val="22"/>
              </w:rPr>
            </w:pPr>
          </w:p>
          <w:p w14:paraId="56F2FA56" w14:textId="77777777" w:rsidR="00053DCA" w:rsidRPr="001300A9" w:rsidRDefault="00053DCA" w:rsidP="00357CEC">
            <w:pPr>
              <w:pStyle w:val="Default"/>
              <w:rPr>
                <w:sz w:val="22"/>
                <w:szCs w:val="22"/>
              </w:rPr>
            </w:pPr>
          </w:p>
          <w:p w14:paraId="427A929A" w14:textId="77777777" w:rsidR="00053DCA" w:rsidRPr="001300A9" w:rsidRDefault="00053DCA" w:rsidP="00357CEC">
            <w:pPr>
              <w:pStyle w:val="Default"/>
              <w:rPr>
                <w:sz w:val="22"/>
                <w:szCs w:val="22"/>
              </w:rPr>
            </w:pPr>
          </w:p>
          <w:p w14:paraId="73570438" w14:textId="77777777" w:rsidR="00053DCA" w:rsidRPr="001300A9" w:rsidRDefault="00053DCA" w:rsidP="00357CEC">
            <w:pPr>
              <w:pStyle w:val="Default"/>
              <w:rPr>
                <w:sz w:val="22"/>
                <w:szCs w:val="22"/>
              </w:rPr>
            </w:pPr>
          </w:p>
          <w:p w14:paraId="6C49D639" w14:textId="77777777" w:rsidR="00053DCA" w:rsidRPr="001300A9" w:rsidRDefault="00053DCA" w:rsidP="00357CEC">
            <w:pPr>
              <w:pStyle w:val="Default"/>
              <w:rPr>
                <w:sz w:val="22"/>
                <w:szCs w:val="22"/>
              </w:rPr>
            </w:pPr>
          </w:p>
          <w:p w14:paraId="67AC288A" w14:textId="77777777" w:rsidR="00053DCA" w:rsidRPr="001300A9" w:rsidRDefault="00053DCA" w:rsidP="00357CEC">
            <w:pPr>
              <w:pStyle w:val="Default"/>
              <w:rPr>
                <w:sz w:val="22"/>
                <w:szCs w:val="22"/>
              </w:rPr>
            </w:pPr>
          </w:p>
          <w:p w14:paraId="529C1C42" w14:textId="77777777" w:rsidR="00053DCA" w:rsidRPr="001300A9" w:rsidRDefault="00053DCA" w:rsidP="00357CEC">
            <w:pPr>
              <w:pStyle w:val="Default"/>
              <w:rPr>
                <w:sz w:val="22"/>
                <w:szCs w:val="22"/>
              </w:rPr>
            </w:pPr>
          </w:p>
          <w:p w14:paraId="49F4FFEB" w14:textId="77777777" w:rsidR="00053DCA" w:rsidRPr="001300A9" w:rsidRDefault="00053DCA" w:rsidP="00357CEC">
            <w:pPr>
              <w:pStyle w:val="Default"/>
              <w:rPr>
                <w:sz w:val="22"/>
                <w:szCs w:val="22"/>
              </w:rPr>
            </w:pPr>
          </w:p>
          <w:p w14:paraId="570AC272" w14:textId="77777777" w:rsidR="00053DCA" w:rsidRPr="001300A9" w:rsidRDefault="00053DCA" w:rsidP="00357CEC">
            <w:pPr>
              <w:pStyle w:val="Default"/>
              <w:rPr>
                <w:sz w:val="22"/>
                <w:szCs w:val="22"/>
              </w:rPr>
            </w:pPr>
          </w:p>
          <w:p w14:paraId="52D274B7" w14:textId="77777777" w:rsidR="00053DCA" w:rsidRPr="001300A9" w:rsidRDefault="00053DCA" w:rsidP="00357CEC">
            <w:pPr>
              <w:pStyle w:val="Default"/>
              <w:rPr>
                <w:sz w:val="22"/>
                <w:szCs w:val="22"/>
              </w:rPr>
            </w:pPr>
          </w:p>
          <w:p w14:paraId="6ED4807F" w14:textId="77777777" w:rsidR="00053DCA" w:rsidRPr="001300A9" w:rsidRDefault="00053DCA" w:rsidP="00357CEC">
            <w:pPr>
              <w:pStyle w:val="Default"/>
              <w:rPr>
                <w:sz w:val="22"/>
                <w:szCs w:val="22"/>
              </w:rPr>
            </w:pPr>
          </w:p>
          <w:p w14:paraId="6952772E" w14:textId="77777777" w:rsidR="00053DCA" w:rsidRPr="001300A9" w:rsidRDefault="00053DCA" w:rsidP="00357CEC">
            <w:pPr>
              <w:pStyle w:val="Default"/>
              <w:rPr>
                <w:sz w:val="22"/>
                <w:szCs w:val="22"/>
              </w:rPr>
            </w:pPr>
          </w:p>
          <w:p w14:paraId="1BB3010C" w14:textId="2D05E51A" w:rsidR="00053DCA" w:rsidRPr="001300A9" w:rsidRDefault="00053DCA" w:rsidP="00357CEC">
            <w:pPr>
              <w:pStyle w:val="Default"/>
              <w:rPr>
                <w:sz w:val="22"/>
                <w:szCs w:val="22"/>
              </w:rPr>
            </w:pPr>
          </w:p>
          <w:p w14:paraId="5632EA37" w14:textId="15B56384" w:rsidR="0085559D" w:rsidRDefault="0085559D" w:rsidP="00357CEC">
            <w:pPr>
              <w:pStyle w:val="Default"/>
              <w:rPr>
                <w:sz w:val="22"/>
                <w:szCs w:val="22"/>
              </w:rPr>
            </w:pPr>
          </w:p>
          <w:p w14:paraId="6AB76C95" w14:textId="77777777" w:rsidR="003367CB" w:rsidRPr="001300A9" w:rsidRDefault="003367CB" w:rsidP="00357CEC">
            <w:pPr>
              <w:pStyle w:val="Default"/>
              <w:rPr>
                <w:sz w:val="22"/>
                <w:szCs w:val="22"/>
              </w:rPr>
            </w:pPr>
          </w:p>
          <w:p w14:paraId="2E9D9B10" w14:textId="5E3E5B75" w:rsidR="00E97F9F" w:rsidRPr="001300A9" w:rsidRDefault="00E97F9F" w:rsidP="00357CEC">
            <w:pPr>
              <w:pStyle w:val="Default"/>
              <w:rPr>
                <w:sz w:val="22"/>
                <w:szCs w:val="22"/>
              </w:rPr>
            </w:pPr>
          </w:p>
          <w:p w14:paraId="4438FDD4" w14:textId="77777777" w:rsidR="00106F39" w:rsidRDefault="00106F39" w:rsidP="00357CEC">
            <w:pPr>
              <w:pStyle w:val="Default"/>
              <w:rPr>
                <w:sz w:val="22"/>
                <w:szCs w:val="22"/>
              </w:rPr>
            </w:pPr>
          </w:p>
          <w:p w14:paraId="7EB5415E" w14:textId="77777777" w:rsidR="00106F39" w:rsidRDefault="00106F39" w:rsidP="00357CEC">
            <w:pPr>
              <w:pStyle w:val="Default"/>
              <w:rPr>
                <w:sz w:val="22"/>
                <w:szCs w:val="22"/>
              </w:rPr>
            </w:pPr>
          </w:p>
          <w:p w14:paraId="44DB9CF1" w14:textId="77777777" w:rsidR="00106F39" w:rsidRDefault="00106F39" w:rsidP="00357CEC">
            <w:pPr>
              <w:pStyle w:val="Default"/>
              <w:rPr>
                <w:sz w:val="22"/>
                <w:szCs w:val="22"/>
              </w:rPr>
            </w:pPr>
          </w:p>
          <w:p w14:paraId="59764A7D" w14:textId="77777777" w:rsidR="00106F39" w:rsidRDefault="00106F39" w:rsidP="00357CEC">
            <w:pPr>
              <w:pStyle w:val="Default"/>
              <w:rPr>
                <w:sz w:val="22"/>
                <w:szCs w:val="22"/>
              </w:rPr>
            </w:pPr>
          </w:p>
          <w:p w14:paraId="6DFEC61E" w14:textId="77777777" w:rsidR="00106F39" w:rsidRDefault="00106F39" w:rsidP="00357CEC">
            <w:pPr>
              <w:pStyle w:val="Default"/>
              <w:rPr>
                <w:sz w:val="22"/>
                <w:szCs w:val="22"/>
              </w:rPr>
            </w:pPr>
          </w:p>
          <w:p w14:paraId="376C3C67" w14:textId="77777777" w:rsidR="00106F39" w:rsidRDefault="00106F39" w:rsidP="00357CEC">
            <w:pPr>
              <w:pStyle w:val="Default"/>
              <w:rPr>
                <w:sz w:val="22"/>
                <w:szCs w:val="22"/>
              </w:rPr>
            </w:pPr>
          </w:p>
          <w:p w14:paraId="5896E9D8" w14:textId="77777777" w:rsidR="00106F39" w:rsidRDefault="00106F39" w:rsidP="00357CEC">
            <w:pPr>
              <w:pStyle w:val="Default"/>
              <w:rPr>
                <w:sz w:val="22"/>
                <w:szCs w:val="22"/>
              </w:rPr>
            </w:pPr>
          </w:p>
          <w:p w14:paraId="5ECAF274" w14:textId="77777777" w:rsidR="002C79F4" w:rsidRDefault="002C79F4" w:rsidP="00357CEC">
            <w:pPr>
              <w:pStyle w:val="Default"/>
              <w:rPr>
                <w:sz w:val="22"/>
                <w:szCs w:val="22"/>
              </w:rPr>
            </w:pPr>
          </w:p>
          <w:p w14:paraId="42145E4E" w14:textId="77777777" w:rsidR="002C79F4" w:rsidRDefault="002C79F4" w:rsidP="00357CEC">
            <w:pPr>
              <w:pStyle w:val="Default"/>
              <w:rPr>
                <w:sz w:val="22"/>
                <w:szCs w:val="22"/>
              </w:rPr>
            </w:pPr>
          </w:p>
          <w:p w14:paraId="2322D3F0" w14:textId="77777777" w:rsidR="002C79F4" w:rsidRDefault="002C79F4" w:rsidP="00357CEC">
            <w:pPr>
              <w:pStyle w:val="Default"/>
              <w:rPr>
                <w:sz w:val="22"/>
                <w:szCs w:val="22"/>
              </w:rPr>
            </w:pPr>
          </w:p>
          <w:p w14:paraId="713C9540" w14:textId="77777777" w:rsidR="002C79F4" w:rsidRDefault="002C79F4" w:rsidP="00357CEC">
            <w:pPr>
              <w:pStyle w:val="Default"/>
              <w:rPr>
                <w:sz w:val="22"/>
                <w:szCs w:val="22"/>
              </w:rPr>
            </w:pPr>
          </w:p>
          <w:p w14:paraId="18FBDB27" w14:textId="77777777" w:rsidR="002C79F4" w:rsidRDefault="002C79F4" w:rsidP="00357CEC">
            <w:pPr>
              <w:pStyle w:val="Default"/>
              <w:rPr>
                <w:sz w:val="22"/>
                <w:szCs w:val="22"/>
              </w:rPr>
            </w:pPr>
          </w:p>
          <w:p w14:paraId="240EE7D5" w14:textId="77777777" w:rsidR="002C79F4" w:rsidRDefault="002C79F4" w:rsidP="00357CEC">
            <w:pPr>
              <w:pStyle w:val="Default"/>
              <w:rPr>
                <w:sz w:val="22"/>
                <w:szCs w:val="22"/>
              </w:rPr>
            </w:pPr>
          </w:p>
          <w:p w14:paraId="45CFE8CE" w14:textId="77777777" w:rsidR="002C79F4" w:rsidRDefault="002C79F4" w:rsidP="00357CEC">
            <w:pPr>
              <w:pStyle w:val="Default"/>
              <w:rPr>
                <w:sz w:val="22"/>
                <w:szCs w:val="22"/>
              </w:rPr>
            </w:pPr>
          </w:p>
          <w:p w14:paraId="5D370605" w14:textId="77777777" w:rsidR="002C79F4" w:rsidRDefault="002C79F4" w:rsidP="00357CEC">
            <w:pPr>
              <w:pStyle w:val="Default"/>
              <w:rPr>
                <w:sz w:val="22"/>
                <w:szCs w:val="22"/>
              </w:rPr>
            </w:pPr>
          </w:p>
          <w:p w14:paraId="3EB03B38" w14:textId="77777777" w:rsidR="002C79F4" w:rsidRDefault="002C79F4" w:rsidP="00357CEC">
            <w:pPr>
              <w:pStyle w:val="Default"/>
              <w:rPr>
                <w:sz w:val="22"/>
                <w:szCs w:val="22"/>
              </w:rPr>
            </w:pPr>
          </w:p>
          <w:p w14:paraId="71AD7897" w14:textId="77777777" w:rsidR="002C79F4" w:rsidRDefault="002C79F4" w:rsidP="00357CEC">
            <w:pPr>
              <w:pStyle w:val="Default"/>
              <w:rPr>
                <w:sz w:val="22"/>
                <w:szCs w:val="22"/>
              </w:rPr>
            </w:pPr>
          </w:p>
          <w:p w14:paraId="17F77123" w14:textId="77777777" w:rsidR="002C79F4" w:rsidRDefault="002C79F4" w:rsidP="00357CEC">
            <w:pPr>
              <w:pStyle w:val="Default"/>
              <w:rPr>
                <w:sz w:val="22"/>
                <w:szCs w:val="22"/>
              </w:rPr>
            </w:pPr>
          </w:p>
          <w:p w14:paraId="68457777" w14:textId="77777777" w:rsidR="002C79F4" w:rsidRDefault="002C79F4" w:rsidP="00357CEC">
            <w:pPr>
              <w:pStyle w:val="Default"/>
              <w:rPr>
                <w:sz w:val="22"/>
                <w:szCs w:val="22"/>
              </w:rPr>
            </w:pPr>
          </w:p>
          <w:p w14:paraId="7443DE52" w14:textId="77777777" w:rsidR="002C79F4" w:rsidRDefault="002C79F4" w:rsidP="00357CEC">
            <w:pPr>
              <w:pStyle w:val="Default"/>
              <w:rPr>
                <w:sz w:val="22"/>
                <w:szCs w:val="22"/>
              </w:rPr>
            </w:pPr>
          </w:p>
          <w:p w14:paraId="3728FA79" w14:textId="77777777" w:rsidR="002C79F4" w:rsidRDefault="002C79F4" w:rsidP="00357CEC">
            <w:pPr>
              <w:pStyle w:val="Default"/>
              <w:rPr>
                <w:sz w:val="22"/>
                <w:szCs w:val="22"/>
              </w:rPr>
            </w:pPr>
          </w:p>
          <w:p w14:paraId="20F4A4BF" w14:textId="77777777" w:rsidR="002C79F4" w:rsidRDefault="002C79F4" w:rsidP="00357CEC">
            <w:pPr>
              <w:pStyle w:val="Default"/>
              <w:rPr>
                <w:sz w:val="22"/>
                <w:szCs w:val="22"/>
              </w:rPr>
            </w:pPr>
          </w:p>
          <w:p w14:paraId="7590D1ED" w14:textId="77777777" w:rsidR="002C79F4" w:rsidRDefault="002C79F4" w:rsidP="00357CEC">
            <w:pPr>
              <w:pStyle w:val="Default"/>
              <w:rPr>
                <w:sz w:val="22"/>
                <w:szCs w:val="22"/>
              </w:rPr>
            </w:pPr>
          </w:p>
          <w:p w14:paraId="574E88EC" w14:textId="77777777" w:rsidR="002C79F4" w:rsidRDefault="002C79F4" w:rsidP="00357CEC">
            <w:pPr>
              <w:pStyle w:val="Default"/>
              <w:rPr>
                <w:sz w:val="22"/>
                <w:szCs w:val="22"/>
              </w:rPr>
            </w:pPr>
          </w:p>
          <w:p w14:paraId="25851DAF" w14:textId="77777777" w:rsidR="002C79F4" w:rsidRDefault="002C79F4" w:rsidP="00357CEC">
            <w:pPr>
              <w:pStyle w:val="Default"/>
              <w:rPr>
                <w:sz w:val="22"/>
                <w:szCs w:val="22"/>
              </w:rPr>
            </w:pPr>
          </w:p>
          <w:p w14:paraId="2297B0FE" w14:textId="77777777" w:rsidR="002C79F4" w:rsidRDefault="002C79F4" w:rsidP="00357CEC">
            <w:pPr>
              <w:pStyle w:val="Default"/>
              <w:rPr>
                <w:sz w:val="22"/>
                <w:szCs w:val="22"/>
              </w:rPr>
            </w:pPr>
          </w:p>
          <w:p w14:paraId="01105F51" w14:textId="77777777" w:rsidR="002C79F4" w:rsidRDefault="002C79F4" w:rsidP="00357CEC">
            <w:pPr>
              <w:pStyle w:val="Default"/>
              <w:rPr>
                <w:sz w:val="22"/>
                <w:szCs w:val="22"/>
              </w:rPr>
            </w:pPr>
          </w:p>
          <w:p w14:paraId="6D78A14D" w14:textId="77777777" w:rsidR="002C79F4" w:rsidRDefault="002C79F4" w:rsidP="00357CEC">
            <w:pPr>
              <w:pStyle w:val="Default"/>
              <w:rPr>
                <w:sz w:val="22"/>
                <w:szCs w:val="22"/>
              </w:rPr>
            </w:pPr>
          </w:p>
          <w:p w14:paraId="34169442" w14:textId="77777777" w:rsidR="002C79F4" w:rsidRDefault="002C79F4" w:rsidP="00357CEC">
            <w:pPr>
              <w:pStyle w:val="Default"/>
              <w:rPr>
                <w:sz w:val="22"/>
                <w:szCs w:val="22"/>
              </w:rPr>
            </w:pPr>
          </w:p>
          <w:p w14:paraId="4D7877BF" w14:textId="77777777" w:rsidR="002C79F4" w:rsidRDefault="002C79F4" w:rsidP="00357CEC">
            <w:pPr>
              <w:pStyle w:val="Default"/>
              <w:rPr>
                <w:sz w:val="22"/>
                <w:szCs w:val="22"/>
              </w:rPr>
            </w:pPr>
          </w:p>
          <w:p w14:paraId="66E8A4AB" w14:textId="77777777" w:rsidR="00190F49" w:rsidRDefault="00190F49" w:rsidP="00357CEC">
            <w:pPr>
              <w:pStyle w:val="Default"/>
              <w:rPr>
                <w:sz w:val="22"/>
                <w:szCs w:val="22"/>
              </w:rPr>
            </w:pPr>
          </w:p>
          <w:p w14:paraId="778F9381" w14:textId="77777777" w:rsidR="00260BC4" w:rsidRDefault="00260BC4" w:rsidP="00357CEC">
            <w:pPr>
              <w:pStyle w:val="Default"/>
              <w:rPr>
                <w:sz w:val="22"/>
                <w:szCs w:val="22"/>
              </w:rPr>
            </w:pPr>
          </w:p>
          <w:p w14:paraId="06CDE6B7" w14:textId="56AAF541" w:rsidR="00053DCA" w:rsidRPr="001300A9" w:rsidRDefault="00053DCA" w:rsidP="00357CEC">
            <w:pPr>
              <w:pStyle w:val="Default"/>
              <w:rPr>
                <w:sz w:val="22"/>
                <w:szCs w:val="22"/>
              </w:rPr>
            </w:pPr>
            <w:r w:rsidRPr="001300A9">
              <w:rPr>
                <w:sz w:val="22"/>
                <w:szCs w:val="22"/>
              </w:rPr>
              <w:t>Ú</w:t>
            </w:r>
          </w:p>
        </w:tc>
        <w:tc>
          <w:tcPr>
            <w:tcW w:w="1276" w:type="dxa"/>
          </w:tcPr>
          <w:p w14:paraId="2418AB30" w14:textId="77777777" w:rsidR="00357CEC" w:rsidRPr="001300A9" w:rsidRDefault="00357CEC" w:rsidP="00357CEC">
            <w:pPr>
              <w:pStyle w:val="Default"/>
              <w:rPr>
                <w:sz w:val="22"/>
                <w:szCs w:val="22"/>
              </w:rPr>
            </w:pPr>
          </w:p>
        </w:tc>
        <w:tc>
          <w:tcPr>
            <w:tcW w:w="850" w:type="dxa"/>
          </w:tcPr>
          <w:p w14:paraId="616C0676" w14:textId="77777777" w:rsidR="00357CEC" w:rsidRPr="001300A9" w:rsidRDefault="00C31279" w:rsidP="00357CEC">
            <w:pPr>
              <w:pStyle w:val="Default"/>
              <w:rPr>
                <w:sz w:val="22"/>
                <w:szCs w:val="22"/>
              </w:rPr>
            </w:pPr>
            <w:r w:rsidRPr="001300A9">
              <w:rPr>
                <w:sz w:val="22"/>
                <w:szCs w:val="22"/>
              </w:rPr>
              <w:t>GP - N</w:t>
            </w:r>
          </w:p>
          <w:p w14:paraId="0840B549" w14:textId="77777777" w:rsidR="00053DCA" w:rsidRPr="001300A9" w:rsidRDefault="00053DCA" w:rsidP="00357CEC">
            <w:pPr>
              <w:pStyle w:val="Default"/>
              <w:rPr>
                <w:sz w:val="22"/>
                <w:szCs w:val="22"/>
              </w:rPr>
            </w:pPr>
          </w:p>
          <w:p w14:paraId="357771E2" w14:textId="77777777" w:rsidR="00053DCA" w:rsidRPr="001300A9" w:rsidRDefault="00053DCA" w:rsidP="00357CEC">
            <w:pPr>
              <w:pStyle w:val="Default"/>
              <w:rPr>
                <w:sz w:val="22"/>
                <w:szCs w:val="22"/>
              </w:rPr>
            </w:pPr>
          </w:p>
          <w:p w14:paraId="4258C611" w14:textId="77777777" w:rsidR="00053DCA" w:rsidRPr="001300A9" w:rsidRDefault="00053DCA" w:rsidP="00357CEC">
            <w:pPr>
              <w:pStyle w:val="Default"/>
              <w:rPr>
                <w:sz w:val="22"/>
                <w:szCs w:val="22"/>
              </w:rPr>
            </w:pPr>
          </w:p>
          <w:p w14:paraId="62B34148" w14:textId="77777777" w:rsidR="00053DCA" w:rsidRPr="001300A9" w:rsidRDefault="00053DCA" w:rsidP="00357CEC">
            <w:pPr>
              <w:pStyle w:val="Default"/>
              <w:rPr>
                <w:sz w:val="22"/>
                <w:szCs w:val="22"/>
              </w:rPr>
            </w:pPr>
          </w:p>
          <w:p w14:paraId="11DC4F76" w14:textId="77777777" w:rsidR="00053DCA" w:rsidRPr="001300A9" w:rsidRDefault="00053DCA" w:rsidP="00357CEC">
            <w:pPr>
              <w:pStyle w:val="Default"/>
              <w:rPr>
                <w:sz w:val="22"/>
                <w:szCs w:val="22"/>
              </w:rPr>
            </w:pPr>
          </w:p>
          <w:p w14:paraId="4BE10F59" w14:textId="77777777" w:rsidR="00053DCA" w:rsidRPr="001300A9" w:rsidRDefault="00053DCA" w:rsidP="00357CEC">
            <w:pPr>
              <w:pStyle w:val="Default"/>
              <w:rPr>
                <w:sz w:val="22"/>
                <w:szCs w:val="22"/>
              </w:rPr>
            </w:pPr>
          </w:p>
          <w:p w14:paraId="1416ACFD" w14:textId="77777777" w:rsidR="00053DCA" w:rsidRPr="001300A9" w:rsidRDefault="00053DCA" w:rsidP="00357CEC">
            <w:pPr>
              <w:pStyle w:val="Default"/>
              <w:rPr>
                <w:sz w:val="22"/>
                <w:szCs w:val="22"/>
              </w:rPr>
            </w:pPr>
          </w:p>
          <w:p w14:paraId="44F72FB7" w14:textId="77777777" w:rsidR="00053DCA" w:rsidRPr="001300A9" w:rsidRDefault="00053DCA" w:rsidP="00357CEC">
            <w:pPr>
              <w:pStyle w:val="Default"/>
              <w:rPr>
                <w:sz w:val="22"/>
                <w:szCs w:val="22"/>
              </w:rPr>
            </w:pPr>
          </w:p>
          <w:p w14:paraId="59EE5619" w14:textId="77777777" w:rsidR="00053DCA" w:rsidRPr="001300A9" w:rsidRDefault="00053DCA" w:rsidP="00357CEC">
            <w:pPr>
              <w:pStyle w:val="Default"/>
              <w:rPr>
                <w:sz w:val="22"/>
                <w:szCs w:val="22"/>
              </w:rPr>
            </w:pPr>
          </w:p>
          <w:p w14:paraId="2769D606" w14:textId="77777777" w:rsidR="00053DCA" w:rsidRPr="001300A9" w:rsidRDefault="00053DCA" w:rsidP="00357CEC">
            <w:pPr>
              <w:pStyle w:val="Default"/>
              <w:rPr>
                <w:sz w:val="22"/>
                <w:szCs w:val="22"/>
              </w:rPr>
            </w:pPr>
          </w:p>
          <w:p w14:paraId="22446EF6" w14:textId="77777777" w:rsidR="00053DCA" w:rsidRPr="001300A9" w:rsidRDefault="00053DCA" w:rsidP="00357CEC">
            <w:pPr>
              <w:pStyle w:val="Default"/>
              <w:rPr>
                <w:sz w:val="22"/>
                <w:szCs w:val="22"/>
              </w:rPr>
            </w:pPr>
          </w:p>
          <w:p w14:paraId="3661917C" w14:textId="77777777" w:rsidR="00053DCA" w:rsidRPr="001300A9" w:rsidRDefault="00053DCA" w:rsidP="00357CEC">
            <w:pPr>
              <w:pStyle w:val="Default"/>
              <w:rPr>
                <w:sz w:val="22"/>
                <w:szCs w:val="22"/>
              </w:rPr>
            </w:pPr>
          </w:p>
          <w:p w14:paraId="58170BC6" w14:textId="77777777" w:rsidR="00053DCA" w:rsidRPr="001300A9" w:rsidRDefault="00053DCA" w:rsidP="00357CEC">
            <w:pPr>
              <w:pStyle w:val="Default"/>
              <w:rPr>
                <w:sz w:val="22"/>
                <w:szCs w:val="22"/>
              </w:rPr>
            </w:pPr>
          </w:p>
          <w:p w14:paraId="072BA0F2" w14:textId="77777777" w:rsidR="00053DCA" w:rsidRPr="001300A9" w:rsidRDefault="00053DCA" w:rsidP="00357CEC">
            <w:pPr>
              <w:pStyle w:val="Default"/>
              <w:rPr>
                <w:sz w:val="22"/>
                <w:szCs w:val="22"/>
              </w:rPr>
            </w:pPr>
          </w:p>
          <w:p w14:paraId="2FCA1A9D" w14:textId="77777777" w:rsidR="00053DCA" w:rsidRPr="001300A9" w:rsidRDefault="00053DCA" w:rsidP="00357CEC">
            <w:pPr>
              <w:pStyle w:val="Default"/>
              <w:rPr>
                <w:sz w:val="22"/>
                <w:szCs w:val="22"/>
              </w:rPr>
            </w:pPr>
          </w:p>
          <w:p w14:paraId="776BC370" w14:textId="77777777" w:rsidR="00053DCA" w:rsidRPr="001300A9" w:rsidRDefault="00053DCA" w:rsidP="00357CEC">
            <w:pPr>
              <w:pStyle w:val="Default"/>
              <w:rPr>
                <w:sz w:val="22"/>
                <w:szCs w:val="22"/>
              </w:rPr>
            </w:pPr>
          </w:p>
          <w:p w14:paraId="7C3587AF" w14:textId="77777777" w:rsidR="00053DCA" w:rsidRPr="001300A9" w:rsidRDefault="00053DCA" w:rsidP="00357CEC">
            <w:pPr>
              <w:pStyle w:val="Default"/>
              <w:rPr>
                <w:sz w:val="22"/>
                <w:szCs w:val="22"/>
              </w:rPr>
            </w:pPr>
          </w:p>
          <w:p w14:paraId="2CA34946" w14:textId="77777777" w:rsidR="00053DCA" w:rsidRPr="001300A9" w:rsidRDefault="00053DCA" w:rsidP="00357CEC">
            <w:pPr>
              <w:pStyle w:val="Default"/>
              <w:rPr>
                <w:sz w:val="22"/>
                <w:szCs w:val="22"/>
              </w:rPr>
            </w:pPr>
          </w:p>
          <w:p w14:paraId="0F3ED049" w14:textId="77777777" w:rsidR="00053DCA" w:rsidRPr="001300A9" w:rsidRDefault="00053DCA" w:rsidP="00357CEC">
            <w:pPr>
              <w:pStyle w:val="Default"/>
              <w:rPr>
                <w:sz w:val="22"/>
                <w:szCs w:val="22"/>
              </w:rPr>
            </w:pPr>
          </w:p>
          <w:p w14:paraId="77C9296D" w14:textId="77777777" w:rsidR="00053DCA" w:rsidRPr="001300A9" w:rsidRDefault="00053DCA" w:rsidP="00357CEC">
            <w:pPr>
              <w:pStyle w:val="Default"/>
              <w:rPr>
                <w:sz w:val="22"/>
                <w:szCs w:val="22"/>
              </w:rPr>
            </w:pPr>
          </w:p>
          <w:p w14:paraId="7B47418A" w14:textId="77777777" w:rsidR="00053DCA" w:rsidRPr="001300A9" w:rsidRDefault="00053DCA" w:rsidP="00357CEC">
            <w:pPr>
              <w:pStyle w:val="Default"/>
              <w:rPr>
                <w:sz w:val="22"/>
                <w:szCs w:val="22"/>
              </w:rPr>
            </w:pPr>
          </w:p>
          <w:p w14:paraId="77AA5094" w14:textId="77777777" w:rsidR="00053DCA" w:rsidRPr="001300A9" w:rsidRDefault="00053DCA" w:rsidP="00357CEC">
            <w:pPr>
              <w:pStyle w:val="Default"/>
              <w:rPr>
                <w:sz w:val="22"/>
                <w:szCs w:val="22"/>
              </w:rPr>
            </w:pPr>
          </w:p>
          <w:p w14:paraId="5BE22AEF" w14:textId="77777777" w:rsidR="00053DCA" w:rsidRPr="001300A9" w:rsidRDefault="00053DCA" w:rsidP="00357CEC">
            <w:pPr>
              <w:pStyle w:val="Default"/>
              <w:rPr>
                <w:sz w:val="22"/>
                <w:szCs w:val="22"/>
              </w:rPr>
            </w:pPr>
          </w:p>
          <w:p w14:paraId="0E9605B1" w14:textId="77777777" w:rsidR="00053DCA" w:rsidRPr="001300A9" w:rsidRDefault="00053DCA" w:rsidP="00357CEC">
            <w:pPr>
              <w:pStyle w:val="Default"/>
              <w:rPr>
                <w:sz w:val="22"/>
                <w:szCs w:val="22"/>
              </w:rPr>
            </w:pPr>
          </w:p>
          <w:p w14:paraId="2C651C3D" w14:textId="77777777" w:rsidR="00053DCA" w:rsidRPr="001300A9" w:rsidRDefault="00053DCA" w:rsidP="00357CEC">
            <w:pPr>
              <w:pStyle w:val="Default"/>
              <w:rPr>
                <w:sz w:val="22"/>
                <w:szCs w:val="22"/>
              </w:rPr>
            </w:pPr>
          </w:p>
          <w:p w14:paraId="3DF907D5" w14:textId="77777777" w:rsidR="00053DCA" w:rsidRPr="001300A9" w:rsidRDefault="00053DCA" w:rsidP="00357CEC">
            <w:pPr>
              <w:pStyle w:val="Default"/>
              <w:rPr>
                <w:sz w:val="22"/>
                <w:szCs w:val="22"/>
              </w:rPr>
            </w:pPr>
          </w:p>
          <w:p w14:paraId="15AE4EA6" w14:textId="77777777" w:rsidR="00053DCA" w:rsidRPr="001300A9" w:rsidRDefault="00053DCA" w:rsidP="00357CEC">
            <w:pPr>
              <w:pStyle w:val="Default"/>
              <w:rPr>
                <w:sz w:val="22"/>
                <w:szCs w:val="22"/>
              </w:rPr>
            </w:pPr>
          </w:p>
          <w:p w14:paraId="5B0BE8BB" w14:textId="77777777" w:rsidR="00053DCA" w:rsidRPr="001300A9" w:rsidRDefault="00053DCA" w:rsidP="00357CEC">
            <w:pPr>
              <w:pStyle w:val="Default"/>
              <w:rPr>
                <w:sz w:val="22"/>
                <w:szCs w:val="22"/>
              </w:rPr>
            </w:pPr>
          </w:p>
          <w:p w14:paraId="72EC3123" w14:textId="77777777" w:rsidR="00053DCA" w:rsidRPr="001300A9" w:rsidRDefault="00053DCA" w:rsidP="00357CEC">
            <w:pPr>
              <w:pStyle w:val="Default"/>
              <w:rPr>
                <w:sz w:val="22"/>
                <w:szCs w:val="22"/>
              </w:rPr>
            </w:pPr>
          </w:p>
          <w:p w14:paraId="6A25F86F" w14:textId="77777777" w:rsidR="00053DCA" w:rsidRPr="001300A9" w:rsidRDefault="00053DCA" w:rsidP="00357CEC">
            <w:pPr>
              <w:pStyle w:val="Default"/>
              <w:rPr>
                <w:sz w:val="22"/>
                <w:szCs w:val="22"/>
              </w:rPr>
            </w:pPr>
          </w:p>
          <w:p w14:paraId="4DB8A9BE" w14:textId="77777777" w:rsidR="00053DCA" w:rsidRPr="001300A9" w:rsidRDefault="00053DCA" w:rsidP="00357CEC">
            <w:pPr>
              <w:pStyle w:val="Default"/>
              <w:rPr>
                <w:sz w:val="22"/>
                <w:szCs w:val="22"/>
              </w:rPr>
            </w:pPr>
          </w:p>
          <w:p w14:paraId="4054BBAF" w14:textId="77777777" w:rsidR="00053DCA" w:rsidRPr="001300A9" w:rsidRDefault="00053DCA" w:rsidP="00357CEC">
            <w:pPr>
              <w:pStyle w:val="Default"/>
              <w:rPr>
                <w:sz w:val="22"/>
                <w:szCs w:val="22"/>
              </w:rPr>
            </w:pPr>
          </w:p>
          <w:p w14:paraId="5B012AD1" w14:textId="3EE51738" w:rsidR="00053DCA" w:rsidRPr="001300A9" w:rsidRDefault="00053DCA" w:rsidP="00357CEC">
            <w:pPr>
              <w:pStyle w:val="Default"/>
              <w:rPr>
                <w:sz w:val="22"/>
                <w:szCs w:val="22"/>
              </w:rPr>
            </w:pPr>
          </w:p>
          <w:p w14:paraId="56D47542" w14:textId="77777777" w:rsidR="00053DCA" w:rsidRPr="001300A9" w:rsidRDefault="00053DCA" w:rsidP="00357CEC">
            <w:pPr>
              <w:pStyle w:val="Default"/>
              <w:rPr>
                <w:sz w:val="22"/>
                <w:szCs w:val="22"/>
              </w:rPr>
            </w:pPr>
          </w:p>
          <w:p w14:paraId="02E38BF0" w14:textId="77777777" w:rsidR="00332BCF" w:rsidRDefault="00332BCF" w:rsidP="00357CEC">
            <w:pPr>
              <w:pStyle w:val="Default"/>
              <w:rPr>
                <w:sz w:val="22"/>
                <w:szCs w:val="22"/>
              </w:rPr>
            </w:pPr>
          </w:p>
          <w:p w14:paraId="4EACD458" w14:textId="77777777" w:rsidR="00106F39" w:rsidRDefault="00106F39" w:rsidP="00357CEC">
            <w:pPr>
              <w:pStyle w:val="Default"/>
              <w:rPr>
                <w:sz w:val="22"/>
                <w:szCs w:val="22"/>
              </w:rPr>
            </w:pPr>
          </w:p>
          <w:p w14:paraId="5A16BC6A" w14:textId="77777777" w:rsidR="00106F39" w:rsidRDefault="00106F39" w:rsidP="00357CEC">
            <w:pPr>
              <w:pStyle w:val="Default"/>
              <w:rPr>
                <w:sz w:val="22"/>
                <w:szCs w:val="22"/>
              </w:rPr>
            </w:pPr>
          </w:p>
          <w:p w14:paraId="0370D4FB" w14:textId="77777777" w:rsidR="00106F39" w:rsidRDefault="00106F39" w:rsidP="00357CEC">
            <w:pPr>
              <w:pStyle w:val="Default"/>
              <w:rPr>
                <w:sz w:val="22"/>
                <w:szCs w:val="22"/>
              </w:rPr>
            </w:pPr>
          </w:p>
          <w:p w14:paraId="1DBE67B8" w14:textId="77777777" w:rsidR="00106F39" w:rsidRDefault="00106F39" w:rsidP="00357CEC">
            <w:pPr>
              <w:pStyle w:val="Default"/>
              <w:rPr>
                <w:sz w:val="22"/>
                <w:szCs w:val="22"/>
              </w:rPr>
            </w:pPr>
          </w:p>
          <w:p w14:paraId="3B3AAAD9" w14:textId="77777777" w:rsidR="00106F39" w:rsidRDefault="00106F39" w:rsidP="00357CEC">
            <w:pPr>
              <w:pStyle w:val="Default"/>
              <w:rPr>
                <w:sz w:val="22"/>
                <w:szCs w:val="22"/>
              </w:rPr>
            </w:pPr>
          </w:p>
          <w:p w14:paraId="59A380A2" w14:textId="77777777" w:rsidR="00106F39" w:rsidRDefault="00106F39" w:rsidP="00357CEC">
            <w:pPr>
              <w:pStyle w:val="Default"/>
              <w:rPr>
                <w:sz w:val="22"/>
                <w:szCs w:val="22"/>
              </w:rPr>
            </w:pPr>
          </w:p>
          <w:p w14:paraId="14C72F7F" w14:textId="77777777" w:rsidR="00106F39" w:rsidRDefault="00106F39" w:rsidP="00357CEC">
            <w:pPr>
              <w:pStyle w:val="Default"/>
              <w:rPr>
                <w:sz w:val="22"/>
                <w:szCs w:val="22"/>
              </w:rPr>
            </w:pPr>
          </w:p>
          <w:p w14:paraId="1CA09665" w14:textId="77777777" w:rsidR="00106F39" w:rsidRDefault="00106F39" w:rsidP="00357CEC">
            <w:pPr>
              <w:pStyle w:val="Default"/>
              <w:rPr>
                <w:sz w:val="22"/>
                <w:szCs w:val="22"/>
              </w:rPr>
            </w:pPr>
          </w:p>
          <w:p w14:paraId="5519D16C" w14:textId="77777777" w:rsidR="00106F39" w:rsidRDefault="00106F39" w:rsidP="00357CEC">
            <w:pPr>
              <w:pStyle w:val="Default"/>
              <w:rPr>
                <w:sz w:val="22"/>
                <w:szCs w:val="22"/>
              </w:rPr>
            </w:pPr>
          </w:p>
          <w:p w14:paraId="142DA0F2" w14:textId="77777777" w:rsidR="00106F39" w:rsidRDefault="00106F39" w:rsidP="00357CEC">
            <w:pPr>
              <w:pStyle w:val="Default"/>
              <w:rPr>
                <w:sz w:val="22"/>
                <w:szCs w:val="22"/>
              </w:rPr>
            </w:pPr>
          </w:p>
          <w:p w14:paraId="2B3F5DF0" w14:textId="77777777" w:rsidR="00106F39" w:rsidRDefault="00106F39" w:rsidP="00357CEC">
            <w:pPr>
              <w:pStyle w:val="Default"/>
              <w:rPr>
                <w:sz w:val="22"/>
                <w:szCs w:val="22"/>
              </w:rPr>
            </w:pPr>
          </w:p>
          <w:p w14:paraId="55B82413" w14:textId="77777777" w:rsidR="00106F39" w:rsidRDefault="00106F39" w:rsidP="00357CEC">
            <w:pPr>
              <w:pStyle w:val="Default"/>
              <w:rPr>
                <w:sz w:val="22"/>
                <w:szCs w:val="22"/>
              </w:rPr>
            </w:pPr>
          </w:p>
          <w:p w14:paraId="60D0146D" w14:textId="77777777" w:rsidR="00106F39" w:rsidRDefault="00106F39" w:rsidP="00357CEC">
            <w:pPr>
              <w:pStyle w:val="Default"/>
              <w:rPr>
                <w:sz w:val="22"/>
                <w:szCs w:val="22"/>
              </w:rPr>
            </w:pPr>
          </w:p>
          <w:p w14:paraId="5A61E400" w14:textId="77777777" w:rsidR="00106F39" w:rsidRDefault="00106F39" w:rsidP="00357CEC">
            <w:pPr>
              <w:pStyle w:val="Default"/>
              <w:rPr>
                <w:sz w:val="22"/>
                <w:szCs w:val="22"/>
              </w:rPr>
            </w:pPr>
          </w:p>
          <w:p w14:paraId="32B61AD1" w14:textId="77777777" w:rsidR="00106F39" w:rsidRDefault="00106F39" w:rsidP="00357CEC">
            <w:pPr>
              <w:pStyle w:val="Default"/>
              <w:rPr>
                <w:sz w:val="22"/>
                <w:szCs w:val="22"/>
              </w:rPr>
            </w:pPr>
          </w:p>
          <w:p w14:paraId="2F994754" w14:textId="77777777" w:rsidR="00106F39" w:rsidRDefault="00106F39" w:rsidP="00357CEC">
            <w:pPr>
              <w:pStyle w:val="Default"/>
              <w:rPr>
                <w:sz w:val="22"/>
                <w:szCs w:val="22"/>
              </w:rPr>
            </w:pPr>
          </w:p>
          <w:p w14:paraId="36E7DB57" w14:textId="77777777" w:rsidR="00106F39" w:rsidRDefault="00106F39" w:rsidP="00357CEC">
            <w:pPr>
              <w:pStyle w:val="Default"/>
              <w:rPr>
                <w:sz w:val="22"/>
                <w:szCs w:val="22"/>
              </w:rPr>
            </w:pPr>
          </w:p>
          <w:p w14:paraId="79F9C52F" w14:textId="77777777" w:rsidR="00106F39" w:rsidRDefault="00106F39" w:rsidP="00357CEC">
            <w:pPr>
              <w:pStyle w:val="Default"/>
              <w:rPr>
                <w:sz w:val="22"/>
                <w:szCs w:val="22"/>
              </w:rPr>
            </w:pPr>
          </w:p>
          <w:p w14:paraId="122F1A4D" w14:textId="77777777" w:rsidR="00106F39" w:rsidRDefault="00106F39" w:rsidP="00357CEC">
            <w:pPr>
              <w:pStyle w:val="Default"/>
              <w:rPr>
                <w:sz w:val="22"/>
                <w:szCs w:val="22"/>
              </w:rPr>
            </w:pPr>
          </w:p>
          <w:p w14:paraId="000D961B" w14:textId="77777777" w:rsidR="00106F39" w:rsidRDefault="00106F39" w:rsidP="00357CEC">
            <w:pPr>
              <w:pStyle w:val="Default"/>
              <w:rPr>
                <w:sz w:val="22"/>
                <w:szCs w:val="22"/>
              </w:rPr>
            </w:pPr>
          </w:p>
          <w:p w14:paraId="6B349111" w14:textId="77777777" w:rsidR="00106F39" w:rsidRDefault="00106F39" w:rsidP="00357CEC">
            <w:pPr>
              <w:pStyle w:val="Default"/>
              <w:rPr>
                <w:sz w:val="22"/>
                <w:szCs w:val="22"/>
              </w:rPr>
            </w:pPr>
          </w:p>
          <w:p w14:paraId="66D0E785" w14:textId="77777777" w:rsidR="00106F39" w:rsidRDefault="00106F39" w:rsidP="00357CEC">
            <w:pPr>
              <w:pStyle w:val="Default"/>
              <w:rPr>
                <w:sz w:val="22"/>
                <w:szCs w:val="22"/>
              </w:rPr>
            </w:pPr>
          </w:p>
          <w:p w14:paraId="2560877C" w14:textId="77777777" w:rsidR="00106F39" w:rsidRDefault="00106F39" w:rsidP="00357CEC">
            <w:pPr>
              <w:pStyle w:val="Default"/>
              <w:rPr>
                <w:sz w:val="22"/>
                <w:szCs w:val="22"/>
              </w:rPr>
            </w:pPr>
          </w:p>
          <w:p w14:paraId="71A87612" w14:textId="77777777" w:rsidR="00106F39" w:rsidRDefault="00106F39" w:rsidP="00357CEC">
            <w:pPr>
              <w:pStyle w:val="Default"/>
              <w:rPr>
                <w:sz w:val="22"/>
                <w:szCs w:val="22"/>
              </w:rPr>
            </w:pPr>
          </w:p>
          <w:p w14:paraId="68AC08B7" w14:textId="77777777" w:rsidR="00106F39" w:rsidRDefault="00106F39" w:rsidP="00357CEC">
            <w:pPr>
              <w:pStyle w:val="Default"/>
              <w:rPr>
                <w:sz w:val="22"/>
                <w:szCs w:val="22"/>
              </w:rPr>
            </w:pPr>
          </w:p>
          <w:p w14:paraId="07FD87CC" w14:textId="3A5D31B0" w:rsidR="00190F49" w:rsidRDefault="00190F49" w:rsidP="00357CEC">
            <w:pPr>
              <w:pStyle w:val="Default"/>
              <w:rPr>
                <w:sz w:val="22"/>
                <w:szCs w:val="22"/>
              </w:rPr>
            </w:pPr>
          </w:p>
          <w:p w14:paraId="2FA33CF2" w14:textId="2D8FFD84" w:rsidR="00053DCA" w:rsidRPr="001300A9" w:rsidRDefault="00053DCA" w:rsidP="00357CEC">
            <w:pPr>
              <w:pStyle w:val="Default"/>
              <w:rPr>
                <w:sz w:val="22"/>
                <w:szCs w:val="22"/>
              </w:rPr>
            </w:pPr>
            <w:r w:rsidRPr="001300A9">
              <w:rPr>
                <w:sz w:val="22"/>
                <w:szCs w:val="22"/>
              </w:rPr>
              <w:t>GP - N</w:t>
            </w:r>
          </w:p>
          <w:p w14:paraId="2465CCD5" w14:textId="77777777" w:rsidR="00053DCA" w:rsidRPr="001300A9" w:rsidRDefault="00053DCA" w:rsidP="00357CEC">
            <w:pPr>
              <w:pStyle w:val="Default"/>
              <w:rPr>
                <w:sz w:val="22"/>
                <w:szCs w:val="22"/>
              </w:rPr>
            </w:pPr>
          </w:p>
          <w:p w14:paraId="706FD4B4" w14:textId="77777777" w:rsidR="00053DCA" w:rsidRPr="001300A9" w:rsidRDefault="00053DCA" w:rsidP="00357CEC">
            <w:pPr>
              <w:pStyle w:val="Default"/>
              <w:rPr>
                <w:sz w:val="22"/>
                <w:szCs w:val="22"/>
              </w:rPr>
            </w:pPr>
          </w:p>
          <w:p w14:paraId="0D3FE89E" w14:textId="77777777" w:rsidR="00053DCA" w:rsidRPr="001300A9" w:rsidRDefault="00053DCA" w:rsidP="00357CEC">
            <w:pPr>
              <w:pStyle w:val="Default"/>
              <w:rPr>
                <w:sz w:val="22"/>
                <w:szCs w:val="22"/>
              </w:rPr>
            </w:pPr>
          </w:p>
          <w:p w14:paraId="67CBA62D" w14:textId="77777777" w:rsidR="00053DCA" w:rsidRPr="001300A9" w:rsidRDefault="00053DCA" w:rsidP="00357CEC">
            <w:pPr>
              <w:pStyle w:val="Default"/>
              <w:rPr>
                <w:sz w:val="22"/>
                <w:szCs w:val="22"/>
              </w:rPr>
            </w:pPr>
          </w:p>
          <w:p w14:paraId="0AB2EFB5" w14:textId="77777777" w:rsidR="00053DCA" w:rsidRPr="001300A9" w:rsidRDefault="00053DCA" w:rsidP="00357CEC">
            <w:pPr>
              <w:pStyle w:val="Default"/>
              <w:rPr>
                <w:sz w:val="22"/>
                <w:szCs w:val="22"/>
              </w:rPr>
            </w:pPr>
          </w:p>
          <w:p w14:paraId="0DA2A0B0" w14:textId="77777777" w:rsidR="00053DCA" w:rsidRPr="001300A9" w:rsidRDefault="00053DCA" w:rsidP="00357CEC">
            <w:pPr>
              <w:pStyle w:val="Default"/>
              <w:rPr>
                <w:sz w:val="22"/>
                <w:szCs w:val="22"/>
              </w:rPr>
            </w:pPr>
          </w:p>
          <w:p w14:paraId="32FB40AD" w14:textId="77777777" w:rsidR="00053DCA" w:rsidRPr="001300A9" w:rsidRDefault="00053DCA" w:rsidP="00357CEC">
            <w:pPr>
              <w:pStyle w:val="Default"/>
              <w:rPr>
                <w:sz w:val="22"/>
                <w:szCs w:val="22"/>
              </w:rPr>
            </w:pPr>
          </w:p>
          <w:p w14:paraId="6BED0449" w14:textId="77777777" w:rsidR="00053DCA" w:rsidRPr="001300A9" w:rsidRDefault="00053DCA" w:rsidP="00357CEC">
            <w:pPr>
              <w:pStyle w:val="Default"/>
              <w:rPr>
                <w:sz w:val="22"/>
                <w:szCs w:val="22"/>
              </w:rPr>
            </w:pPr>
          </w:p>
          <w:p w14:paraId="7ECA63BF" w14:textId="77777777" w:rsidR="00053DCA" w:rsidRPr="001300A9" w:rsidRDefault="00053DCA" w:rsidP="00357CEC">
            <w:pPr>
              <w:pStyle w:val="Default"/>
              <w:rPr>
                <w:sz w:val="22"/>
                <w:szCs w:val="22"/>
              </w:rPr>
            </w:pPr>
          </w:p>
          <w:p w14:paraId="356180B6" w14:textId="77777777" w:rsidR="00053DCA" w:rsidRPr="001300A9" w:rsidRDefault="00053DCA" w:rsidP="00357CEC">
            <w:pPr>
              <w:pStyle w:val="Default"/>
              <w:rPr>
                <w:sz w:val="22"/>
                <w:szCs w:val="22"/>
              </w:rPr>
            </w:pPr>
          </w:p>
          <w:p w14:paraId="7893965D" w14:textId="77777777" w:rsidR="00053DCA" w:rsidRPr="001300A9" w:rsidRDefault="00053DCA" w:rsidP="00357CEC">
            <w:pPr>
              <w:pStyle w:val="Default"/>
              <w:rPr>
                <w:sz w:val="22"/>
                <w:szCs w:val="22"/>
              </w:rPr>
            </w:pPr>
          </w:p>
          <w:p w14:paraId="50FC5C3B" w14:textId="77777777" w:rsidR="00053DCA" w:rsidRPr="001300A9" w:rsidRDefault="00053DCA" w:rsidP="00357CEC">
            <w:pPr>
              <w:pStyle w:val="Default"/>
              <w:rPr>
                <w:sz w:val="22"/>
                <w:szCs w:val="22"/>
              </w:rPr>
            </w:pPr>
          </w:p>
          <w:p w14:paraId="7C6B1361" w14:textId="77777777" w:rsidR="00053DCA" w:rsidRPr="001300A9" w:rsidRDefault="00053DCA" w:rsidP="00357CEC">
            <w:pPr>
              <w:pStyle w:val="Default"/>
              <w:rPr>
                <w:sz w:val="22"/>
                <w:szCs w:val="22"/>
              </w:rPr>
            </w:pPr>
          </w:p>
          <w:p w14:paraId="32D3692C" w14:textId="77777777" w:rsidR="00053DCA" w:rsidRPr="001300A9" w:rsidRDefault="00053DCA" w:rsidP="00357CEC">
            <w:pPr>
              <w:pStyle w:val="Default"/>
              <w:rPr>
                <w:sz w:val="22"/>
                <w:szCs w:val="22"/>
              </w:rPr>
            </w:pPr>
          </w:p>
          <w:p w14:paraId="73769D6A" w14:textId="77777777" w:rsidR="00053DCA" w:rsidRPr="001300A9" w:rsidRDefault="00053DCA" w:rsidP="00357CEC">
            <w:pPr>
              <w:pStyle w:val="Default"/>
              <w:rPr>
                <w:sz w:val="22"/>
                <w:szCs w:val="22"/>
              </w:rPr>
            </w:pPr>
          </w:p>
          <w:p w14:paraId="2881E2F2" w14:textId="77777777" w:rsidR="00053DCA" w:rsidRPr="001300A9" w:rsidRDefault="00053DCA" w:rsidP="00357CEC">
            <w:pPr>
              <w:pStyle w:val="Default"/>
              <w:rPr>
                <w:sz w:val="22"/>
                <w:szCs w:val="22"/>
              </w:rPr>
            </w:pPr>
          </w:p>
          <w:p w14:paraId="19EC2613" w14:textId="77777777" w:rsidR="00053DCA" w:rsidRPr="001300A9" w:rsidRDefault="00053DCA" w:rsidP="00357CEC">
            <w:pPr>
              <w:pStyle w:val="Default"/>
              <w:rPr>
                <w:sz w:val="22"/>
                <w:szCs w:val="22"/>
              </w:rPr>
            </w:pPr>
          </w:p>
          <w:p w14:paraId="137D574F" w14:textId="77777777" w:rsidR="00053DCA" w:rsidRPr="001300A9" w:rsidRDefault="00053DCA" w:rsidP="00357CEC">
            <w:pPr>
              <w:pStyle w:val="Default"/>
              <w:rPr>
                <w:sz w:val="22"/>
                <w:szCs w:val="22"/>
              </w:rPr>
            </w:pPr>
          </w:p>
          <w:p w14:paraId="4A8B3236" w14:textId="77777777" w:rsidR="00053DCA" w:rsidRPr="001300A9" w:rsidRDefault="00053DCA" w:rsidP="00357CEC">
            <w:pPr>
              <w:pStyle w:val="Default"/>
              <w:rPr>
                <w:sz w:val="22"/>
                <w:szCs w:val="22"/>
              </w:rPr>
            </w:pPr>
          </w:p>
          <w:p w14:paraId="59122A84" w14:textId="77777777" w:rsidR="00053DCA" w:rsidRPr="001300A9" w:rsidRDefault="00053DCA" w:rsidP="00357CEC">
            <w:pPr>
              <w:pStyle w:val="Default"/>
              <w:rPr>
                <w:sz w:val="22"/>
                <w:szCs w:val="22"/>
              </w:rPr>
            </w:pPr>
          </w:p>
          <w:p w14:paraId="28F5EF2F" w14:textId="77777777" w:rsidR="00053DCA" w:rsidRPr="001300A9" w:rsidRDefault="00053DCA" w:rsidP="00357CEC">
            <w:pPr>
              <w:pStyle w:val="Default"/>
              <w:rPr>
                <w:sz w:val="22"/>
                <w:szCs w:val="22"/>
              </w:rPr>
            </w:pPr>
          </w:p>
          <w:p w14:paraId="7DE5A0C2" w14:textId="77777777" w:rsidR="00053DCA" w:rsidRPr="001300A9" w:rsidRDefault="00053DCA" w:rsidP="00357CEC">
            <w:pPr>
              <w:pStyle w:val="Default"/>
              <w:rPr>
                <w:sz w:val="22"/>
                <w:szCs w:val="22"/>
              </w:rPr>
            </w:pPr>
          </w:p>
          <w:p w14:paraId="6D5525A4" w14:textId="77777777" w:rsidR="00053DCA" w:rsidRPr="001300A9" w:rsidRDefault="00053DCA" w:rsidP="00357CEC">
            <w:pPr>
              <w:pStyle w:val="Default"/>
              <w:rPr>
                <w:sz w:val="22"/>
                <w:szCs w:val="22"/>
              </w:rPr>
            </w:pPr>
          </w:p>
          <w:p w14:paraId="7691E575" w14:textId="77777777" w:rsidR="00053DCA" w:rsidRPr="001300A9" w:rsidRDefault="00053DCA" w:rsidP="00357CEC">
            <w:pPr>
              <w:pStyle w:val="Default"/>
              <w:rPr>
                <w:sz w:val="22"/>
                <w:szCs w:val="22"/>
              </w:rPr>
            </w:pPr>
          </w:p>
          <w:p w14:paraId="561CB476" w14:textId="77777777" w:rsidR="00053DCA" w:rsidRPr="001300A9" w:rsidRDefault="00053DCA" w:rsidP="00357CEC">
            <w:pPr>
              <w:pStyle w:val="Default"/>
              <w:rPr>
                <w:sz w:val="22"/>
                <w:szCs w:val="22"/>
              </w:rPr>
            </w:pPr>
          </w:p>
          <w:p w14:paraId="2643EF8E" w14:textId="77777777" w:rsidR="00053DCA" w:rsidRPr="001300A9" w:rsidRDefault="00053DCA" w:rsidP="00357CEC">
            <w:pPr>
              <w:pStyle w:val="Default"/>
              <w:rPr>
                <w:sz w:val="22"/>
                <w:szCs w:val="22"/>
              </w:rPr>
            </w:pPr>
          </w:p>
          <w:p w14:paraId="1749E884" w14:textId="77777777" w:rsidR="00053DCA" w:rsidRPr="001300A9" w:rsidRDefault="00053DCA" w:rsidP="00357CEC">
            <w:pPr>
              <w:pStyle w:val="Default"/>
              <w:rPr>
                <w:sz w:val="22"/>
                <w:szCs w:val="22"/>
              </w:rPr>
            </w:pPr>
          </w:p>
          <w:p w14:paraId="0969BFD6" w14:textId="77777777" w:rsidR="00053DCA" w:rsidRPr="001300A9" w:rsidRDefault="00053DCA" w:rsidP="00357CEC">
            <w:pPr>
              <w:pStyle w:val="Default"/>
              <w:rPr>
                <w:sz w:val="22"/>
                <w:szCs w:val="22"/>
              </w:rPr>
            </w:pPr>
          </w:p>
          <w:p w14:paraId="38F12AD7" w14:textId="77777777" w:rsidR="00053DCA" w:rsidRPr="001300A9" w:rsidRDefault="00053DCA" w:rsidP="00357CEC">
            <w:pPr>
              <w:pStyle w:val="Default"/>
              <w:rPr>
                <w:sz w:val="22"/>
                <w:szCs w:val="22"/>
              </w:rPr>
            </w:pPr>
          </w:p>
          <w:p w14:paraId="1705597E" w14:textId="77777777" w:rsidR="00053DCA" w:rsidRPr="001300A9" w:rsidRDefault="00053DCA" w:rsidP="00357CEC">
            <w:pPr>
              <w:pStyle w:val="Default"/>
              <w:rPr>
                <w:sz w:val="22"/>
                <w:szCs w:val="22"/>
              </w:rPr>
            </w:pPr>
          </w:p>
          <w:p w14:paraId="4346F304" w14:textId="77777777" w:rsidR="00053DCA" w:rsidRPr="001300A9" w:rsidRDefault="00053DCA" w:rsidP="00357CEC">
            <w:pPr>
              <w:pStyle w:val="Default"/>
              <w:rPr>
                <w:sz w:val="22"/>
                <w:szCs w:val="22"/>
              </w:rPr>
            </w:pPr>
          </w:p>
          <w:p w14:paraId="13E5BBCB" w14:textId="77777777" w:rsidR="00053DCA" w:rsidRPr="001300A9" w:rsidRDefault="00053DCA" w:rsidP="00357CEC">
            <w:pPr>
              <w:pStyle w:val="Default"/>
              <w:rPr>
                <w:sz w:val="22"/>
                <w:szCs w:val="22"/>
              </w:rPr>
            </w:pPr>
          </w:p>
          <w:p w14:paraId="6F621E54" w14:textId="77777777" w:rsidR="00053DCA" w:rsidRPr="001300A9" w:rsidRDefault="00053DCA" w:rsidP="00357CEC">
            <w:pPr>
              <w:pStyle w:val="Default"/>
              <w:rPr>
                <w:sz w:val="22"/>
                <w:szCs w:val="22"/>
              </w:rPr>
            </w:pPr>
          </w:p>
          <w:p w14:paraId="22327693" w14:textId="77777777" w:rsidR="00053DCA" w:rsidRPr="001300A9" w:rsidRDefault="00053DCA" w:rsidP="00357CEC">
            <w:pPr>
              <w:pStyle w:val="Default"/>
              <w:rPr>
                <w:sz w:val="22"/>
                <w:szCs w:val="22"/>
              </w:rPr>
            </w:pPr>
          </w:p>
          <w:p w14:paraId="04FBBB33" w14:textId="77777777" w:rsidR="00053DCA" w:rsidRPr="001300A9" w:rsidRDefault="00053DCA" w:rsidP="00357CEC">
            <w:pPr>
              <w:pStyle w:val="Default"/>
              <w:rPr>
                <w:sz w:val="22"/>
                <w:szCs w:val="22"/>
              </w:rPr>
            </w:pPr>
          </w:p>
          <w:p w14:paraId="4849462E" w14:textId="77777777" w:rsidR="00053DCA" w:rsidRPr="001300A9" w:rsidRDefault="00053DCA" w:rsidP="00357CEC">
            <w:pPr>
              <w:pStyle w:val="Default"/>
              <w:rPr>
                <w:sz w:val="22"/>
                <w:szCs w:val="22"/>
              </w:rPr>
            </w:pPr>
          </w:p>
          <w:p w14:paraId="3E162475" w14:textId="77777777" w:rsidR="00053DCA" w:rsidRPr="001300A9" w:rsidRDefault="00053DCA" w:rsidP="00357CEC">
            <w:pPr>
              <w:pStyle w:val="Default"/>
              <w:rPr>
                <w:sz w:val="22"/>
                <w:szCs w:val="22"/>
              </w:rPr>
            </w:pPr>
          </w:p>
          <w:p w14:paraId="72817CDC" w14:textId="77777777" w:rsidR="00053DCA" w:rsidRPr="001300A9" w:rsidRDefault="00053DCA" w:rsidP="00357CEC">
            <w:pPr>
              <w:pStyle w:val="Default"/>
              <w:rPr>
                <w:sz w:val="22"/>
                <w:szCs w:val="22"/>
              </w:rPr>
            </w:pPr>
          </w:p>
          <w:p w14:paraId="6C9FF463" w14:textId="77777777" w:rsidR="00053DCA" w:rsidRPr="001300A9" w:rsidRDefault="00053DCA" w:rsidP="00357CEC">
            <w:pPr>
              <w:pStyle w:val="Default"/>
              <w:rPr>
                <w:sz w:val="22"/>
                <w:szCs w:val="22"/>
              </w:rPr>
            </w:pPr>
          </w:p>
          <w:p w14:paraId="4F6F6C88" w14:textId="77777777" w:rsidR="00053DCA" w:rsidRPr="001300A9" w:rsidRDefault="00053DCA" w:rsidP="00357CEC">
            <w:pPr>
              <w:pStyle w:val="Default"/>
              <w:rPr>
                <w:sz w:val="22"/>
                <w:szCs w:val="22"/>
              </w:rPr>
            </w:pPr>
          </w:p>
          <w:p w14:paraId="00A36CE9" w14:textId="77777777" w:rsidR="00053DCA" w:rsidRPr="001300A9" w:rsidRDefault="00053DCA" w:rsidP="00357CEC">
            <w:pPr>
              <w:pStyle w:val="Default"/>
              <w:rPr>
                <w:sz w:val="22"/>
                <w:szCs w:val="22"/>
              </w:rPr>
            </w:pPr>
          </w:p>
          <w:p w14:paraId="1895CF69" w14:textId="77777777" w:rsidR="00053DCA" w:rsidRPr="001300A9" w:rsidRDefault="00053DCA" w:rsidP="00357CEC">
            <w:pPr>
              <w:pStyle w:val="Default"/>
              <w:rPr>
                <w:sz w:val="22"/>
                <w:szCs w:val="22"/>
              </w:rPr>
            </w:pPr>
          </w:p>
          <w:p w14:paraId="46429B6E" w14:textId="77777777" w:rsidR="00053DCA" w:rsidRPr="001300A9" w:rsidRDefault="00053DCA" w:rsidP="00357CEC">
            <w:pPr>
              <w:pStyle w:val="Default"/>
              <w:rPr>
                <w:sz w:val="22"/>
                <w:szCs w:val="22"/>
              </w:rPr>
            </w:pPr>
          </w:p>
          <w:p w14:paraId="0451975B" w14:textId="77777777" w:rsidR="00053DCA" w:rsidRPr="001300A9" w:rsidRDefault="00053DCA" w:rsidP="00357CEC">
            <w:pPr>
              <w:pStyle w:val="Default"/>
              <w:rPr>
                <w:sz w:val="22"/>
                <w:szCs w:val="22"/>
              </w:rPr>
            </w:pPr>
          </w:p>
          <w:p w14:paraId="49282552" w14:textId="77777777" w:rsidR="00053DCA" w:rsidRPr="001300A9" w:rsidRDefault="00053DCA" w:rsidP="00357CEC">
            <w:pPr>
              <w:pStyle w:val="Default"/>
              <w:rPr>
                <w:sz w:val="22"/>
                <w:szCs w:val="22"/>
              </w:rPr>
            </w:pPr>
          </w:p>
          <w:p w14:paraId="242C9B86" w14:textId="77777777" w:rsidR="00053DCA" w:rsidRPr="001300A9" w:rsidRDefault="00053DCA" w:rsidP="00357CEC">
            <w:pPr>
              <w:pStyle w:val="Default"/>
              <w:rPr>
                <w:sz w:val="22"/>
                <w:szCs w:val="22"/>
              </w:rPr>
            </w:pPr>
          </w:p>
          <w:p w14:paraId="5E572A43" w14:textId="77777777" w:rsidR="00053DCA" w:rsidRPr="001300A9" w:rsidRDefault="00053DCA" w:rsidP="00357CEC">
            <w:pPr>
              <w:pStyle w:val="Default"/>
              <w:rPr>
                <w:sz w:val="22"/>
                <w:szCs w:val="22"/>
              </w:rPr>
            </w:pPr>
          </w:p>
          <w:p w14:paraId="50FD2A39" w14:textId="77777777" w:rsidR="00053DCA" w:rsidRPr="001300A9" w:rsidRDefault="00053DCA" w:rsidP="00357CEC">
            <w:pPr>
              <w:pStyle w:val="Default"/>
              <w:rPr>
                <w:sz w:val="22"/>
                <w:szCs w:val="22"/>
              </w:rPr>
            </w:pPr>
          </w:p>
          <w:p w14:paraId="1B49BD67" w14:textId="77777777" w:rsidR="00053DCA" w:rsidRPr="001300A9" w:rsidRDefault="00053DCA" w:rsidP="00357CEC">
            <w:pPr>
              <w:pStyle w:val="Default"/>
              <w:rPr>
                <w:sz w:val="22"/>
                <w:szCs w:val="22"/>
              </w:rPr>
            </w:pPr>
          </w:p>
          <w:p w14:paraId="76F3D315" w14:textId="77777777" w:rsidR="00053DCA" w:rsidRPr="001300A9" w:rsidRDefault="00053DCA" w:rsidP="00357CEC">
            <w:pPr>
              <w:pStyle w:val="Default"/>
              <w:rPr>
                <w:sz w:val="22"/>
                <w:szCs w:val="22"/>
              </w:rPr>
            </w:pPr>
          </w:p>
          <w:p w14:paraId="02F5D574" w14:textId="7A501CAA" w:rsidR="00053DCA" w:rsidRPr="001300A9" w:rsidRDefault="00053DCA" w:rsidP="00357CEC">
            <w:pPr>
              <w:pStyle w:val="Default"/>
              <w:rPr>
                <w:sz w:val="22"/>
                <w:szCs w:val="22"/>
              </w:rPr>
            </w:pPr>
          </w:p>
          <w:p w14:paraId="6E689A0B" w14:textId="77777777" w:rsidR="0085559D" w:rsidRPr="001300A9" w:rsidRDefault="0085559D" w:rsidP="00357CEC">
            <w:pPr>
              <w:pStyle w:val="Default"/>
              <w:rPr>
                <w:sz w:val="22"/>
                <w:szCs w:val="22"/>
              </w:rPr>
            </w:pPr>
          </w:p>
          <w:p w14:paraId="4A40907B" w14:textId="19CD81B9" w:rsidR="00E97F9F" w:rsidRDefault="00E97F9F" w:rsidP="00357CEC">
            <w:pPr>
              <w:pStyle w:val="Default"/>
              <w:rPr>
                <w:sz w:val="22"/>
                <w:szCs w:val="22"/>
              </w:rPr>
            </w:pPr>
          </w:p>
          <w:p w14:paraId="7BF657C4" w14:textId="77777777" w:rsidR="003367CB" w:rsidRPr="001300A9" w:rsidRDefault="003367CB" w:rsidP="00357CEC">
            <w:pPr>
              <w:pStyle w:val="Default"/>
              <w:rPr>
                <w:sz w:val="22"/>
                <w:szCs w:val="22"/>
              </w:rPr>
            </w:pPr>
          </w:p>
          <w:p w14:paraId="026039F8" w14:textId="77777777" w:rsidR="00106F39" w:rsidRDefault="00106F39" w:rsidP="00357CEC">
            <w:pPr>
              <w:pStyle w:val="Default"/>
              <w:rPr>
                <w:sz w:val="22"/>
                <w:szCs w:val="22"/>
              </w:rPr>
            </w:pPr>
          </w:p>
          <w:p w14:paraId="4F11FAD8" w14:textId="77777777" w:rsidR="00106F39" w:rsidRDefault="00106F39" w:rsidP="00357CEC">
            <w:pPr>
              <w:pStyle w:val="Default"/>
              <w:rPr>
                <w:sz w:val="22"/>
                <w:szCs w:val="22"/>
              </w:rPr>
            </w:pPr>
          </w:p>
          <w:p w14:paraId="1511A182" w14:textId="77777777" w:rsidR="00106F39" w:rsidRDefault="00106F39" w:rsidP="00357CEC">
            <w:pPr>
              <w:pStyle w:val="Default"/>
              <w:rPr>
                <w:sz w:val="22"/>
                <w:szCs w:val="22"/>
              </w:rPr>
            </w:pPr>
          </w:p>
          <w:p w14:paraId="6AA5E6F5" w14:textId="77777777" w:rsidR="00106F39" w:rsidRDefault="00106F39" w:rsidP="00357CEC">
            <w:pPr>
              <w:pStyle w:val="Default"/>
              <w:rPr>
                <w:sz w:val="22"/>
                <w:szCs w:val="22"/>
              </w:rPr>
            </w:pPr>
          </w:p>
          <w:p w14:paraId="2AF9BAFC" w14:textId="77777777" w:rsidR="00106F39" w:rsidRDefault="00106F39" w:rsidP="00357CEC">
            <w:pPr>
              <w:pStyle w:val="Default"/>
              <w:rPr>
                <w:sz w:val="22"/>
                <w:szCs w:val="22"/>
              </w:rPr>
            </w:pPr>
          </w:p>
          <w:p w14:paraId="5EEA6066" w14:textId="77777777" w:rsidR="00106F39" w:rsidRDefault="00106F39" w:rsidP="00357CEC">
            <w:pPr>
              <w:pStyle w:val="Default"/>
              <w:rPr>
                <w:sz w:val="22"/>
                <w:szCs w:val="22"/>
              </w:rPr>
            </w:pPr>
          </w:p>
          <w:p w14:paraId="52640553" w14:textId="77777777" w:rsidR="00106F39" w:rsidRDefault="00106F39" w:rsidP="00357CEC">
            <w:pPr>
              <w:pStyle w:val="Default"/>
              <w:rPr>
                <w:sz w:val="22"/>
                <w:szCs w:val="22"/>
              </w:rPr>
            </w:pPr>
          </w:p>
          <w:p w14:paraId="2ECBF863" w14:textId="77777777" w:rsidR="002C79F4" w:rsidRDefault="002C79F4" w:rsidP="00357CEC">
            <w:pPr>
              <w:pStyle w:val="Default"/>
              <w:rPr>
                <w:sz w:val="22"/>
                <w:szCs w:val="22"/>
              </w:rPr>
            </w:pPr>
          </w:p>
          <w:p w14:paraId="6CD0D73D" w14:textId="77777777" w:rsidR="002C79F4" w:rsidRDefault="002C79F4" w:rsidP="00357CEC">
            <w:pPr>
              <w:pStyle w:val="Default"/>
              <w:rPr>
                <w:sz w:val="22"/>
                <w:szCs w:val="22"/>
              </w:rPr>
            </w:pPr>
          </w:p>
          <w:p w14:paraId="3FFE6977" w14:textId="77777777" w:rsidR="002C79F4" w:rsidRDefault="002C79F4" w:rsidP="00357CEC">
            <w:pPr>
              <w:pStyle w:val="Default"/>
              <w:rPr>
                <w:sz w:val="22"/>
                <w:szCs w:val="22"/>
              </w:rPr>
            </w:pPr>
          </w:p>
          <w:p w14:paraId="6C43AA68" w14:textId="77777777" w:rsidR="002C79F4" w:rsidRDefault="002C79F4" w:rsidP="00357CEC">
            <w:pPr>
              <w:pStyle w:val="Default"/>
              <w:rPr>
                <w:sz w:val="22"/>
                <w:szCs w:val="22"/>
              </w:rPr>
            </w:pPr>
          </w:p>
          <w:p w14:paraId="7D441C80" w14:textId="77777777" w:rsidR="002C79F4" w:rsidRDefault="002C79F4" w:rsidP="00357CEC">
            <w:pPr>
              <w:pStyle w:val="Default"/>
              <w:rPr>
                <w:sz w:val="22"/>
                <w:szCs w:val="22"/>
              </w:rPr>
            </w:pPr>
          </w:p>
          <w:p w14:paraId="44F1F034" w14:textId="77777777" w:rsidR="002C79F4" w:rsidRDefault="002C79F4" w:rsidP="00357CEC">
            <w:pPr>
              <w:pStyle w:val="Default"/>
              <w:rPr>
                <w:sz w:val="22"/>
                <w:szCs w:val="22"/>
              </w:rPr>
            </w:pPr>
          </w:p>
          <w:p w14:paraId="549B5F48" w14:textId="77777777" w:rsidR="002C79F4" w:rsidRDefault="002C79F4" w:rsidP="00357CEC">
            <w:pPr>
              <w:pStyle w:val="Default"/>
              <w:rPr>
                <w:sz w:val="22"/>
                <w:szCs w:val="22"/>
              </w:rPr>
            </w:pPr>
          </w:p>
          <w:p w14:paraId="7BC517A8" w14:textId="77777777" w:rsidR="002C79F4" w:rsidRDefault="002C79F4" w:rsidP="00357CEC">
            <w:pPr>
              <w:pStyle w:val="Default"/>
              <w:rPr>
                <w:sz w:val="22"/>
                <w:szCs w:val="22"/>
              </w:rPr>
            </w:pPr>
          </w:p>
          <w:p w14:paraId="78A776C8" w14:textId="77777777" w:rsidR="002C79F4" w:rsidRDefault="002C79F4" w:rsidP="00357CEC">
            <w:pPr>
              <w:pStyle w:val="Default"/>
              <w:rPr>
                <w:sz w:val="22"/>
                <w:szCs w:val="22"/>
              </w:rPr>
            </w:pPr>
          </w:p>
          <w:p w14:paraId="439517D6" w14:textId="77777777" w:rsidR="002C79F4" w:rsidRDefault="002C79F4" w:rsidP="00357CEC">
            <w:pPr>
              <w:pStyle w:val="Default"/>
              <w:rPr>
                <w:sz w:val="22"/>
                <w:szCs w:val="22"/>
              </w:rPr>
            </w:pPr>
          </w:p>
          <w:p w14:paraId="712CAA9E" w14:textId="77777777" w:rsidR="002C79F4" w:rsidRDefault="002C79F4" w:rsidP="00357CEC">
            <w:pPr>
              <w:pStyle w:val="Default"/>
              <w:rPr>
                <w:sz w:val="22"/>
                <w:szCs w:val="22"/>
              </w:rPr>
            </w:pPr>
          </w:p>
          <w:p w14:paraId="110C42E9" w14:textId="77777777" w:rsidR="002C79F4" w:rsidRDefault="002C79F4" w:rsidP="00357CEC">
            <w:pPr>
              <w:pStyle w:val="Default"/>
              <w:rPr>
                <w:sz w:val="22"/>
                <w:szCs w:val="22"/>
              </w:rPr>
            </w:pPr>
          </w:p>
          <w:p w14:paraId="3AD5474E" w14:textId="77777777" w:rsidR="002C79F4" w:rsidRDefault="002C79F4" w:rsidP="00357CEC">
            <w:pPr>
              <w:pStyle w:val="Default"/>
              <w:rPr>
                <w:sz w:val="22"/>
                <w:szCs w:val="22"/>
              </w:rPr>
            </w:pPr>
          </w:p>
          <w:p w14:paraId="3556E82B" w14:textId="77777777" w:rsidR="002C79F4" w:rsidRDefault="002C79F4" w:rsidP="00357CEC">
            <w:pPr>
              <w:pStyle w:val="Default"/>
              <w:rPr>
                <w:sz w:val="22"/>
                <w:szCs w:val="22"/>
              </w:rPr>
            </w:pPr>
          </w:p>
          <w:p w14:paraId="7205F92E" w14:textId="77777777" w:rsidR="002C79F4" w:rsidRDefault="002C79F4" w:rsidP="00357CEC">
            <w:pPr>
              <w:pStyle w:val="Default"/>
              <w:rPr>
                <w:sz w:val="22"/>
                <w:szCs w:val="22"/>
              </w:rPr>
            </w:pPr>
          </w:p>
          <w:p w14:paraId="1C26136A" w14:textId="77777777" w:rsidR="002C79F4" w:rsidRDefault="002C79F4" w:rsidP="00357CEC">
            <w:pPr>
              <w:pStyle w:val="Default"/>
              <w:rPr>
                <w:sz w:val="22"/>
                <w:szCs w:val="22"/>
              </w:rPr>
            </w:pPr>
          </w:p>
          <w:p w14:paraId="182B23DD" w14:textId="77777777" w:rsidR="002C79F4" w:rsidRDefault="002C79F4" w:rsidP="00357CEC">
            <w:pPr>
              <w:pStyle w:val="Default"/>
              <w:rPr>
                <w:sz w:val="22"/>
                <w:szCs w:val="22"/>
              </w:rPr>
            </w:pPr>
          </w:p>
          <w:p w14:paraId="3B058A6C" w14:textId="77777777" w:rsidR="002C79F4" w:rsidRDefault="002C79F4" w:rsidP="00357CEC">
            <w:pPr>
              <w:pStyle w:val="Default"/>
              <w:rPr>
                <w:sz w:val="22"/>
                <w:szCs w:val="22"/>
              </w:rPr>
            </w:pPr>
          </w:p>
          <w:p w14:paraId="26615E45" w14:textId="77777777" w:rsidR="002C79F4" w:rsidRDefault="002C79F4" w:rsidP="00357CEC">
            <w:pPr>
              <w:pStyle w:val="Default"/>
              <w:rPr>
                <w:sz w:val="22"/>
                <w:szCs w:val="22"/>
              </w:rPr>
            </w:pPr>
          </w:p>
          <w:p w14:paraId="05D7CA88" w14:textId="77777777" w:rsidR="002C79F4" w:rsidRDefault="002C79F4" w:rsidP="00357CEC">
            <w:pPr>
              <w:pStyle w:val="Default"/>
              <w:rPr>
                <w:sz w:val="22"/>
                <w:szCs w:val="22"/>
              </w:rPr>
            </w:pPr>
          </w:p>
          <w:p w14:paraId="7D92040F" w14:textId="77777777" w:rsidR="002C79F4" w:rsidRDefault="002C79F4" w:rsidP="00357CEC">
            <w:pPr>
              <w:pStyle w:val="Default"/>
              <w:rPr>
                <w:sz w:val="22"/>
                <w:szCs w:val="22"/>
              </w:rPr>
            </w:pPr>
          </w:p>
          <w:p w14:paraId="11137CE7" w14:textId="77777777" w:rsidR="002C79F4" w:rsidRDefault="002C79F4" w:rsidP="00357CEC">
            <w:pPr>
              <w:pStyle w:val="Default"/>
              <w:rPr>
                <w:sz w:val="22"/>
                <w:szCs w:val="22"/>
              </w:rPr>
            </w:pPr>
          </w:p>
          <w:p w14:paraId="53F93185" w14:textId="77777777" w:rsidR="002C79F4" w:rsidRDefault="002C79F4" w:rsidP="00357CEC">
            <w:pPr>
              <w:pStyle w:val="Default"/>
              <w:rPr>
                <w:sz w:val="22"/>
                <w:szCs w:val="22"/>
              </w:rPr>
            </w:pPr>
          </w:p>
          <w:p w14:paraId="4D85972B" w14:textId="5CF121E9" w:rsidR="00260BC4" w:rsidRDefault="00260BC4" w:rsidP="00357CEC">
            <w:pPr>
              <w:pStyle w:val="Default"/>
              <w:rPr>
                <w:sz w:val="22"/>
                <w:szCs w:val="22"/>
              </w:rPr>
            </w:pPr>
          </w:p>
          <w:p w14:paraId="71D613BA" w14:textId="5A1AB459" w:rsidR="00053DCA" w:rsidRPr="001300A9" w:rsidRDefault="00053DCA" w:rsidP="00357CEC">
            <w:pPr>
              <w:pStyle w:val="Default"/>
              <w:rPr>
                <w:sz w:val="22"/>
                <w:szCs w:val="22"/>
              </w:rPr>
            </w:pPr>
            <w:r w:rsidRPr="001300A9">
              <w:rPr>
                <w:sz w:val="22"/>
                <w:szCs w:val="22"/>
              </w:rPr>
              <w:t>GP - N</w:t>
            </w:r>
          </w:p>
        </w:tc>
        <w:tc>
          <w:tcPr>
            <w:tcW w:w="815" w:type="dxa"/>
          </w:tcPr>
          <w:p w14:paraId="3CBFBB9C" w14:textId="77777777" w:rsidR="00357CEC" w:rsidRPr="001300A9" w:rsidRDefault="00357CEC" w:rsidP="00357CEC">
            <w:pPr>
              <w:pStyle w:val="Default"/>
              <w:rPr>
                <w:sz w:val="22"/>
                <w:szCs w:val="22"/>
              </w:rPr>
            </w:pPr>
          </w:p>
        </w:tc>
      </w:tr>
      <w:tr w:rsidR="00DD6EDC" w:rsidRPr="001300A9" w14:paraId="420E8DBA" w14:textId="77777777" w:rsidTr="360410BC">
        <w:tc>
          <w:tcPr>
            <w:tcW w:w="562" w:type="dxa"/>
          </w:tcPr>
          <w:p w14:paraId="1AEBEA5F" w14:textId="77777777" w:rsidR="00357CEC" w:rsidRPr="001300A9" w:rsidRDefault="00357CEC" w:rsidP="00357CEC">
            <w:pPr>
              <w:pStyle w:val="Default"/>
              <w:rPr>
                <w:sz w:val="22"/>
                <w:szCs w:val="22"/>
              </w:rPr>
            </w:pPr>
            <w:r w:rsidRPr="001300A9">
              <w:rPr>
                <w:sz w:val="22"/>
                <w:szCs w:val="22"/>
              </w:rPr>
              <w:lastRenderedPageBreak/>
              <w:t>Č: 1</w:t>
            </w:r>
          </w:p>
          <w:p w14:paraId="678AF309" w14:textId="77777777" w:rsidR="00357CEC" w:rsidRPr="001300A9" w:rsidRDefault="00357CEC" w:rsidP="00357CEC">
            <w:pPr>
              <w:pStyle w:val="Default"/>
              <w:rPr>
                <w:sz w:val="22"/>
                <w:szCs w:val="22"/>
              </w:rPr>
            </w:pPr>
            <w:r w:rsidRPr="001300A9">
              <w:rPr>
                <w:sz w:val="22"/>
                <w:szCs w:val="22"/>
              </w:rPr>
              <w:t>O: 13</w:t>
            </w:r>
          </w:p>
          <w:p w14:paraId="589A86C5" w14:textId="77777777" w:rsidR="00357CEC" w:rsidRPr="001300A9" w:rsidRDefault="00357CEC" w:rsidP="00357CEC">
            <w:pPr>
              <w:pStyle w:val="Default"/>
              <w:rPr>
                <w:sz w:val="22"/>
                <w:szCs w:val="22"/>
              </w:rPr>
            </w:pPr>
            <w:r w:rsidRPr="001300A9">
              <w:rPr>
                <w:sz w:val="22"/>
                <w:szCs w:val="22"/>
              </w:rPr>
              <w:t>P: a) ii)</w:t>
            </w:r>
          </w:p>
        </w:tc>
        <w:tc>
          <w:tcPr>
            <w:tcW w:w="4820" w:type="dxa"/>
          </w:tcPr>
          <w:p w14:paraId="3B311FFD" w14:textId="77777777" w:rsidR="00357CEC" w:rsidRPr="001300A9" w:rsidRDefault="00357CEC" w:rsidP="00357CEC">
            <w:pPr>
              <w:pStyle w:val="Default"/>
              <w:rPr>
                <w:sz w:val="22"/>
                <w:szCs w:val="22"/>
              </w:rPr>
            </w:pPr>
            <w:r w:rsidRPr="001300A9">
              <w:rPr>
                <w:sz w:val="22"/>
                <w:szCs w:val="22"/>
              </w:rPr>
              <w:t xml:space="preserve">Tieto referenčné úrovne sa pre každé odvetvie a pododvetvie v zásade vypočítavajú na základe produktov, a nie vstupov, čo umožní maximálne zníženie emisií skleníkových plynov a čo najväčšie úspory vďaka energetickej účinnosti v celom výrobnom procese v rámci príslušného odvetvia alebo pododvetvia. S cieľom poskytnúť ďalšie stimuly na znižovanie emisií skleníkových plynov a zlepšovanie energetickej efektívnosti a zabezpečiť rovnaké podmienky pre zariadenia používajúce nové technológie, ktoré čiastočne znižujú alebo úplne eliminujú emisie skleníkových plynov, a zariadenia používajúce existujúce technológie, sa stanovené </w:t>
            </w:r>
            <w:proofErr w:type="spellStart"/>
            <w:r w:rsidRPr="001300A9">
              <w:rPr>
                <w:sz w:val="22"/>
                <w:szCs w:val="22"/>
              </w:rPr>
              <w:t>celoúnijné</w:t>
            </w:r>
            <w:proofErr w:type="spellEnd"/>
            <w:r w:rsidRPr="001300A9">
              <w:rPr>
                <w:sz w:val="22"/>
                <w:szCs w:val="22"/>
              </w:rPr>
              <w:t xml:space="preserve"> referenčné hodnoty ex </w:t>
            </w:r>
            <w:proofErr w:type="spellStart"/>
            <w:r w:rsidRPr="001300A9">
              <w:rPr>
                <w:sz w:val="22"/>
                <w:szCs w:val="22"/>
              </w:rPr>
              <w:t>ante</w:t>
            </w:r>
            <w:proofErr w:type="spellEnd"/>
            <w:r w:rsidRPr="001300A9">
              <w:rPr>
                <w:sz w:val="22"/>
                <w:szCs w:val="22"/>
              </w:rPr>
              <w:t xml:space="preserve"> preskúmajú v súvislosti s ich uplatňovaním v rokoch 2026 až 2030 v záujme potenciálneho upravenia vymedzenia pojmov a systémových hraníc existujúcich referenčných hodnôt týkajúcich sa produktov, pričom sa ako hlavné zásady zohľadnia potenciál obehového použitia materiálov a to, že referenčné hodnoty by mali byť nezávislé od suroviny a typu výrobného procesu za predpokladu, že výrobné procesy majú rovnaký </w:t>
            </w:r>
            <w:r w:rsidRPr="001300A9">
              <w:rPr>
                <w:sz w:val="22"/>
                <w:szCs w:val="22"/>
              </w:rPr>
              <w:lastRenderedPageBreak/>
              <w:t xml:space="preserve">účel. Komisia sa usiluje prijať vykonávacie akty na účely určenia revidovaných referenčných úrovní pre bezplatné prideľovanie kvót v súlade s odsekom 2 tretím </w:t>
            </w:r>
            <w:proofErr w:type="spellStart"/>
            <w:r w:rsidRPr="001300A9">
              <w:rPr>
                <w:sz w:val="22"/>
                <w:szCs w:val="22"/>
              </w:rPr>
              <w:t>pododsekom</w:t>
            </w:r>
            <w:proofErr w:type="spellEnd"/>
            <w:r w:rsidRPr="001300A9">
              <w:rPr>
                <w:sz w:val="22"/>
                <w:szCs w:val="22"/>
              </w:rPr>
              <w:t xml:space="preserve"> čo najskôr a pred začiatkom obdobia rokov 2026 až 2030.</w:t>
            </w:r>
          </w:p>
        </w:tc>
        <w:tc>
          <w:tcPr>
            <w:tcW w:w="567" w:type="dxa"/>
          </w:tcPr>
          <w:p w14:paraId="66A50061" w14:textId="77777777" w:rsidR="00357CEC" w:rsidRPr="001300A9" w:rsidRDefault="00357CEC" w:rsidP="00357CEC">
            <w:pPr>
              <w:pStyle w:val="Default"/>
              <w:rPr>
                <w:sz w:val="22"/>
                <w:szCs w:val="22"/>
              </w:rPr>
            </w:pPr>
            <w:proofErr w:type="spellStart"/>
            <w:r w:rsidRPr="001300A9">
              <w:rPr>
                <w:sz w:val="22"/>
                <w:szCs w:val="22"/>
              </w:rPr>
              <w:lastRenderedPageBreak/>
              <w:t>n.a</w:t>
            </w:r>
            <w:proofErr w:type="spellEnd"/>
            <w:r w:rsidRPr="001300A9">
              <w:rPr>
                <w:sz w:val="22"/>
                <w:szCs w:val="22"/>
              </w:rPr>
              <w:t>.</w:t>
            </w:r>
          </w:p>
        </w:tc>
        <w:tc>
          <w:tcPr>
            <w:tcW w:w="283" w:type="dxa"/>
          </w:tcPr>
          <w:p w14:paraId="630C706A" w14:textId="77777777" w:rsidR="00357CEC" w:rsidRPr="001300A9" w:rsidRDefault="00357CEC" w:rsidP="00357CEC">
            <w:pPr>
              <w:pStyle w:val="Default"/>
              <w:rPr>
                <w:sz w:val="22"/>
                <w:szCs w:val="22"/>
              </w:rPr>
            </w:pPr>
          </w:p>
        </w:tc>
        <w:tc>
          <w:tcPr>
            <w:tcW w:w="567" w:type="dxa"/>
          </w:tcPr>
          <w:p w14:paraId="6F4170EA" w14:textId="77777777" w:rsidR="00357CEC" w:rsidRPr="001300A9" w:rsidRDefault="00357CEC" w:rsidP="00357CEC">
            <w:pPr>
              <w:pStyle w:val="Default"/>
              <w:rPr>
                <w:sz w:val="22"/>
                <w:szCs w:val="22"/>
              </w:rPr>
            </w:pPr>
          </w:p>
        </w:tc>
        <w:tc>
          <w:tcPr>
            <w:tcW w:w="4253" w:type="dxa"/>
          </w:tcPr>
          <w:p w14:paraId="3C95BC1E" w14:textId="77777777" w:rsidR="00357CEC" w:rsidRPr="001300A9" w:rsidRDefault="00357CEC" w:rsidP="00357CEC">
            <w:pPr>
              <w:pStyle w:val="Default"/>
              <w:rPr>
                <w:sz w:val="22"/>
                <w:szCs w:val="22"/>
              </w:rPr>
            </w:pPr>
          </w:p>
        </w:tc>
        <w:tc>
          <w:tcPr>
            <w:tcW w:w="567" w:type="dxa"/>
          </w:tcPr>
          <w:p w14:paraId="575E8F28" w14:textId="77777777" w:rsidR="00357CEC" w:rsidRPr="001300A9" w:rsidRDefault="00357CEC" w:rsidP="00357CEC">
            <w:pPr>
              <w:pStyle w:val="Default"/>
              <w:rPr>
                <w:sz w:val="22"/>
                <w:szCs w:val="22"/>
              </w:rPr>
            </w:pPr>
          </w:p>
        </w:tc>
        <w:tc>
          <w:tcPr>
            <w:tcW w:w="1276" w:type="dxa"/>
          </w:tcPr>
          <w:p w14:paraId="61A6DD93" w14:textId="77777777" w:rsidR="00357CEC" w:rsidRPr="001300A9" w:rsidRDefault="00357CEC" w:rsidP="00357CEC">
            <w:pPr>
              <w:pStyle w:val="Default"/>
              <w:rPr>
                <w:sz w:val="22"/>
                <w:szCs w:val="22"/>
              </w:rPr>
            </w:pPr>
          </w:p>
        </w:tc>
        <w:tc>
          <w:tcPr>
            <w:tcW w:w="850" w:type="dxa"/>
          </w:tcPr>
          <w:p w14:paraId="598F4DC2" w14:textId="77777777" w:rsidR="00357CEC" w:rsidRPr="001300A9" w:rsidRDefault="00357CEC" w:rsidP="00357CEC">
            <w:pPr>
              <w:pStyle w:val="Default"/>
              <w:rPr>
                <w:sz w:val="22"/>
                <w:szCs w:val="22"/>
              </w:rPr>
            </w:pPr>
          </w:p>
        </w:tc>
        <w:tc>
          <w:tcPr>
            <w:tcW w:w="815" w:type="dxa"/>
          </w:tcPr>
          <w:p w14:paraId="69A6E0E5" w14:textId="77777777" w:rsidR="00357CEC" w:rsidRPr="001300A9" w:rsidRDefault="00357CEC" w:rsidP="00357CEC">
            <w:pPr>
              <w:pStyle w:val="Default"/>
              <w:rPr>
                <w:sz w:val="22"/>
                <w:szCs w:val="22"/>
              </w:rPr>
            </w:pPr>
          </w:p>
        </w:tc>
      </w:tr>
      <w:tr w:rsidR="00DD6EDC" w:rsidRPr="001300A9" w14:paraId="3315E23E" w14:textId="77777777" w:rsidTr="360410BC">
        <w:tc>
          <w:tcPr>
            <w:tcW w:w="562" w:type="dxa"/>
          </w:tcPr>
          <w:p w14:paraId="435FFEEC" w14:textId="77777777" w:rsidR="00357CEC" w:rsidRPr="001300A9" w:rsidRDefault="00357CEC" w:rsidP="00357CEC">
            <w:pPr>
              <w:pStyle w:val="Default"/>
              <w:rPr>
                <w:sz w:val="22"/>
                <w:szCs w:val="22"/>
              </w:rPr>
            </w:pPr>
            <w:r w:rsidRPr="001300A9">
              <w:rPr>
                <w:sz w:val="22"/>
                <w:szCs w:val="22"/>
              </w:rPr>
              <w:t>Č: 1</w:t>
            </w:r>
          </w:p>
          <w:p w14:paraId="54C38238" w14:textId="77777777" w:rsidR="00357CEC" w:rsidRPr="001300A9" w:rsidRDefault="00357CEC" w:rsidP="00357CEC">
            <w:pPr>
              <w:pStyle w:val="Default"/>
              <w:rPr>
                <w:sz w:val="22"/>
                <w:szCs w:val="22"/>
              </w:rPr>
            </w:pPr>
            <w:r w:rsidRPr="001300A9">
              <w:rPr>
                <w:sz w:val="22"/>
                <w:szCs w:val="22"/>
              </w:rPr>
              <w:t>O: 13</w:t>
            </w:r>
          </w:p>
          <w:p w14:paraId="6B677A0E" w14:textId="77777777" w:rsidR="00357CEC" w:rsidRPr="001300A9" w:rsidRDefault="00357CEC" w:rsidP="00357CEC">
            <w:pPr>
              <w:pStyle w:val="Default"/>
              <w:rPr>
                <w:sz w:val="22"/>
                <w:szCs w:val="22"/>
              </w:rPr>
            </w:pPr>
            <w:r w:rsidRPr="001300A9">
              <w:rPr>
                <w:sz w:val="22"/>
                <w:szCs w:val="22"/>
              </w:rPr>
              <w:t>P: b)</w:t>
            </w:r>
          </w:p>
        </w:tc>
        <w:tc>
          <w:tcPr>
            <w:tcW w:w="4820" w:type="dxa"/>
          </w:tcPr>
          <w:p w14:paraId="7BC25182" w14:textId="77777777" w:rsidR="00357CEC" w:rsidRPr="001300A9" w:rsidRDefault="00357CEC" w:rsidP="00357CEC">
            <w:pPr>
              <w:pStyle w:val="Default"/>
              <w:rPr>
                <w:sz w:val="22"/>
                <w:szCs w:val="22"/>
              </w:rPr>
            </w:pPr>
            <w:r w:rsidRPr="001300A9">
              <w:rPr>
                <w:sz w:val="22"/>
                <w:szCs w:val="22"/>
              </w:rPr>
              <w:t>1a. S výhradou uplatň</w:t>
            </w:r>
            <w:r w:rsidR="00053DCA" w:rsidRPr="001300A9">
              <w:rPr>
                <w:sz w:val="22"/>
                <w:szCs w:val="22"/>
              </w:rPr>
              <w:t>ovania nariadenia (EÚ) 2023/956</w:t>
            </w:r>
            <w:r w:rsidRPr="001300A9">
              <w:rPr>
                <w:sz w:val="22"/>
                <w:szCs w:val="22"/>
              </w:rPr>
              <w:t xml:space="preserve"> sa v súvislosti s výrobou tovaru uvedeného v prílohe I k uvedenému nariadeniu neprideľujú žiadne bezodplatné kvóty.</w:t>
            </w:r>
          </w:p>
          <w:p w14:paraId="68BDF41E" w14:textId="77777777" w:rsidR="00357CEC" w:rsidRPr="001300A9" w:rsidRDefault="00357CEC" w:rsidP="00357CEC">
            <w:pPr>
              <w:pStyle w:val="Default"/>
              <w:rPr>
                <w:sz w:val="22"/>
                <w:szCs w:val="22"/>
              </w:rPr>
            </w:pPr>
          </w:p>
          <w:p w14:paraId="5A4B0188" w14:textId="77777777" w:rsidR="00357CEC" w:rsidRPr="001300A9" w:rsidRDefault="00357CEC" w:rsidP="00357CEC">
            <w:pPr>
              <w:pStyle w:val="Default"/>
              <w:rPr>
                <w:sz w:val="22"/>
                <w:szCs w:val="22"/>
              </w:rPr>
            </w:pPr>
            <w:r w:rsidRPr="001300A9">
              <w:rPr>
                <w:sz w:val="22"/>
                <w:szCs w:val="22"/>
              </w:rPr>
              <w:t xml:space="preserve">Odchylne od prvého </w:t>
            </w:r>
            <w:proofErr w:type="spellStart"/>
            <w:r w:rsidRPr="001300A9">
              <w:rPr>
                <w:sz w:val="22"/>
                <w:szCs w:val="22"/>
              </w:rPr>
              <w:t>pododseku</w:t>
            </w:r>
            <w:proofErr w:type="spellEnd"/>
            <w:r w:rsidRPr="001300A9">
              <w:rPr>
                <w:sz w:val="22"/>
                <w:szCs w:val="22"/>
              </w:rPr>
              <w:t xml:space="preserve"> tohto odseku sa počas prvých rokov uplatňovania nariaden</w:t>
            </w:r>
            <w:r w:rsidR="00053DCA" w:rsidRPr="001300A9">
              <w:rPr>
                <w:sz w:val="22"/>
                <w:szCs w:val="22"/>
              </w:rPr>
              <w:t>ia (EÚ) 2023/956</w:t>
            </w:r>
            <w:r w:rsidRPr="001300A9">
              <w:rPr>
                <w:sz w:val="22"/>
                <w:szCs w:val="22"/>
              </w:rPr>
              <w:t xml:space="preserve"> na výrobu tovaru uvedeného v prílohe I k danému nariadeniu vzťahujú bezodplatné kvóty prideľované v znížených množstvách. Uplatňuje sa koeficient, ktorým sa znižuje množstvo bezodplatne pridelených kvót na výrobu daného tovaru (ďalej len „koeficient CBAM“). V období, ktoré trvá od nadobudnutia účinnosti daného nariadenia po koniec roka 2025, a za predpokladu, že sa uplatnia ustanovenia uvedené v článku 36 ods. 2 písm. b) daného nariadenia, sa koeficient CBAM rovná 100 %, v roku 2026 predstavuje 97,5 %, v roku 2027 95 %, v roku 2028 90 %, v roku 2029 77,5 %, v roku 2030 51,5 %, v roku 2031 39 %, v roku 2032 26,5 % a v roku 2033 14 %. Od roku 2034 sa nebude uplatňovať žiadny koeficient CBAM.</w:t>
            </w:r>
          </w:p>
          <w:p w14:paraId="0A86A80F" w14:textId="77777777" w:rsidR="00357CEC" w:rsidRPr="001300A9" w:rsidRDefault="00357CEC" w:rsidP="00357CEC">
            <w:pPr>
              <w:pStyle w:val="Default"/>
              <w:rPr>
                <w:sz w:val="22"/>
                <w:szCs w:val="22"/>
              </w:rPr>
            </w:pPr>
          </w:p>
          <w:p w14:paraId="6AE9FF45" w14:textId="77777777" w:rsidR="00357CEC" w:rsidRPr="001300A9" w:rsidRDefault="00357CEC" w:rsidP="00357CEC">
            <w:pPr>
              <w:pStyle w:val="Default"/>
              <w:rPr>
                <w:sz w:val="22"/>
                <w:szCs w:val="22"/>
              </w:rPr>
            </w:pPr>
            <w:r w:rsidRPr="001300A9">
              <w:rPr>
                <w:sz w:val="22"/>
                <w:szCs w:val="22"/>
              </w:rPr>
              <w:t xml:space="preserve">Zníženie množstva bezodplatne prideľovaných kvót sa vypočítava každoročne ako priemerný podiel dopytu po bezodplatne prideľovaných kvótach na výrobu tovaru uvedeného v prílohe I k nariadeniu (EÚ) 2023/...+ v porovnaní s vypočítaným celkovým dopytom po bezodplatne prideľovaných kvótach pre všetky zariadenia za príslušné obdobie </w:t>
            </w:r>
            <w:r w:rsidRPr="001300A9">
              <w:rPr>
                <w:sz w:val="22"/>
                <w:szCs w:val="22"/>
              </w:rPr>
              <w:lastRenderedPageBreak/>
              <w:t>uvedené v článku 11 ods. 1. Pri tomto výpočte sa uplatňuje koeficient CBAM.</w:t>
            </w:r>
          </w:p>
          <w:p w14:paraId="2DF2E045" w14:textId="77777777" w:rsidR="00357CEC" w:rsidRPr="001300A9" w:rsidRDefault="00357CEC" w:rsidP="00357CEC">
            <w:pPr>
              <w:pStyle w:val="Default"/>
              <w:rPr>
                <w:sz w:val="22"/>
                <w:szCs w:val="22"/>
              </w:rPr>
            </w:pPr>
          </w:p>
          <w:p w14:paraId="5992879D" w14:textId="77777777" w:rsidR="00357CEC" w:rsidRPr="001300A9" w:rsidRDefault="00357CEC" w:rsidP="00357CEC">
            <w:pPr>
              <w:pStyle w:val="Default"/>
              <w:rPr>
                <w:sz w:val="22"/>
                <w:szCs w:val="22"/>
              </w:rPr>
            </w:pPr>
            <w:r w:rsidRPr="001300A9">
              <w:rPr>
                <w:sz w:val="22"/>
                <w:szCs w:val="22"/>
              </w:rPr>
              <w:t>Kvóty vyplývajúce zo zníženia množstva bezodplatne pridelených kvót sa sprístupnia na účely podpory inovácií v súlade s odsekom 8.</w:t>
            </w:r>
          </w:p>
          <w:p w14:paraId="656975FD" w14:textId="77777777" w:rsidR="00357CEC" w:rsidRPr="001300A9" w:rsidRDefault="00357CEC" w:rsidP="00357CEC">
            <w:pPr>
              <w:pStyle w:val="Default"/>
              <w:rPr>
                <w:sz w:val="22"/>
                <w:szCs w:val="22"/>
              </w:rPr>
            </w:pPr>
          </w:p>
          <w:p w14:paraId="19E05097" w14:textId="77777777" w:rsidR="00357CEC" w:rsidRPr="001300A9" w:rsidRDefault="00357CEC" w:rsidP="00357CEC">
            <w:pPr>
              <w:pStyle w:val="Default"/>
              <w:rPr>
                <w:sz w:val="22"/>
                <w:szCs w:val="22"/>
              </w:rPr>
            </w:pPr>
            <w:r w:rsidRPr="001300A9">
              <w:rPr>
                <w:sz w:val="22"/>
                <w:szCs w:val="22"/>
              </w:rPr>
              <w:t>Komisia do 31. decembra 2024 a v rámci svojej výročnej správy Európskemu parlamentu a Rade podľa článku 10 ods. 5 tejto smernice posúdi riziko úniku uhlíka v prípade tovaru podliehajúceho mechanizmu CBAM a vyrobeného v Únii na vývoz do tretích krajín, ktoré neuplatňujú systém EU ETS alebo podobný mechanizmus stanovovania cien uhlíka. V správe sa posúdi predovšetkým riziko úniku uhlíka v odvetviach, na ktoré sa bude vzťahovať mechanizmus CBAM, najmä úloha a zrýchlené zavádzanie vodíka, ako aj vývoj v súvislosti s obchodnými tokmi a viazanými emisiami tovaru vyrobeného v týchto odvetviach na svetovom trhu. Ak sa v správe dospeje k záveru, že existuje riziko úniku uhlíka v prípade tovaru vyrobeného v Únii na vývoz do tretích krajín, ktoré neuplatňujú systém EU ETS ani rovnocenný mechanizmus stanovovania cien uhlíka, Komisia v prípade potreby predloží legislatívny návrh na riešenie tohto rizika úniku uhlíka spôsobom, ktorý je v súlade s pravidlami Svetovej obchodnej organizácie vrátane článku XX Všeobecnej dohody o clách a obchode 1994 a zohľadňuje dekarbonizáciu zariadení v Únii.</w:t>
            </w:r>
          </w:p>
        </w:tc>
        <w:tc>
          <w:tcPr>
            <w:tcW w:w="567" w:type="dxa"/>
          </w:tcPr>
          <w:p w14:paraId="4D8076FD" w14:textId="77777777" w:rsidR="00357CEC" w:rsidRPr="001300A9" w:rsidRDefault="00357CEC" w:rsidP="00357CEC">
            <w:pPr>
              <w:pStyle w:val="Default"/>
              <w:rPr>
                <w:sz w:val="22"/>
                <w:szCs w:val="22"/>
              </w:rPr>
            </w:pPr>
            <w:r w:rsidRPr="001300A9">
              <w:rPr>
                <w:sz w:val="22"/>
                <w:szCs w:val="22"/>
              </w:rPr>
              <w:lastRenderedPageBreak/>
              <w:t>N</w:t>
            </w:r>
          </w:p>
          <w:p w14:paraId="409E1363" w14:textId="77777777" w:rsidR="00357CEC" w:rsidRPr="001300A9" w:rsidRDefault="00357CEC" w:rsidP="00357CEC">
            <w:pPr>
              <w:pStyle w:val="Default"/>
              <w:rPr>
                <w:sz w:val="22"/>
                <w:szCs w:val="22"/>
              </w:rPr>
            </w:pPr>
          </w:p>
          <w:p w14:paraId="0B5A9BC1" w14:textId="77777777" w:rsidR="00357CEC" w:rsidRPr="001300A9" w:rsidRDefault="00357CEC" w:rsidP="00357CEC">
            <w:pPr>
              <w:pStyle w:val="Default"/>
              <w:rPr>
                <w:sz w:val="22"/>
                <w:szCs w:val="22"/>
              </w:rPr>
            </w:pPr>
          </w:p>
          <w:p w14:paraId="2E15E5F9" w14:textId="77777777" w:rsidR="00357CEC" w:rsidRPr="001300A9" w:rsidRDefault="00357CEC" w:rsidP="00357CEC">
            <w:pPr>
              <w:pStyle w:val="Default"/>
              <w:rPr>
                <w:sz w:val="22"/>
                <w:szCs w:val="22"/>
              </w:rPr>
            </w:pPr>
          </w:p>
          <w:p w14:paraId="19245767" w14:textId="77777777" w:rsidR="00357CEC" w:rsidRPr="001300A9" w:rsidRDefault="00357CEC" w:rsidP="00357CEC">
            <w:pPr>
              <w:pStyle w:val="Default"/>
              <w:rPr>
                <w:sz w:val="22"/>
                <w:szCs w:val="22"/>
              </w:rPr>
            </w:pPr>
          </w:p>
          <w:p w14:paraId="2239CB02" w14:textId="77777777" w:rsidR="00357CEC" w:rsidRPr="001300A9" w:rsidRDefault="00357CEC" w:rsidP="00357CEC">
            <w:pPr>
              <w:pStyle w:val="Default"/>
              <w:rPr>
                <w:sz w:val="22"/>
                <w:szCs w:val="22"/>
              </w:rPr>
            </w:pPr>
          </w:p>
          <w:p w14:paraId="1E2DD53C" w14:textId="77777777" w:rsidR="00357CEC" w:rsidRPr="001300A9" w:rsidRDefault="00357CEC" w:rsidP="00357CEC">
            <w:pPr>
              <w:pStyle w:val="Default"/>
              <w:rPr>
                <w:sz w:val="22"/>
                <w:szCs w:val="22"/>
              </w:rPr>
            </w:pPr>
          </w:p>
          <w:p w14:paraId="5F5A198A" w14:textId="77777777" w:rsidR="00357CEC" w:rsidRPr="001300A9" w:rsidRDefault="00357CEC" w:rsidP="00357CEC">
            <w:pPr>
              <w:pStyle w:val="Default"/>
              <w:rPr>
                <w:sz w:val="22"/>
                <w:szCs w:val="22"/>
              </w:rPr>
            </w:pPr>
          </w:p>
          <w:p w14:paraId="1E92AC8F" w14:textId="77777777" w:rsidR="00357CEC" w:rsidRPr="001300A9" w:rsidRDefault="00357CEC" w:rsidP="00357CEC">
            <w:pPr>
              <w:pStyle w:val="Default"/>
              <w:rPr>
                <w:sz w:val="22"/>
                <w:szCs w:val="22"/>
              </w:rPr>
            </w:pPr>
          </w:p>
          <w:p w14:paraId="4B5274A3" w14:textId="77777777" w:rsidR="00E97F9F" w:rsidRPr="001300A9" w:rsidRDefault="00E97F9F" w:rsidP="00357CEC">
            <w:pPr>
              <w:pStyle w:val="Default"/>
              <w:rPr>
                <w:sz w:val="22"/>
                <w:szCs w:val="22"/>
              </w:rPr>
            </w:pPr>
          </w:p>
          <w:p w14:paraId="0F7F0A05" w14:textId="77777777" w:rsidR="00E97F9F" w:rsidRPr="001300A9" w:rsidRDefault="00E97F9F" w:rsidP="00357CEC">
            <w:pPr>
              <w:pStyle w:val="Default"/>
              <w:rPr>
                <w:sz w:val="22"/>
                <w:szCs w:val="22"/>
              </w:rPr>
            </w:pPr>
          </w:p>
          <w:p w14:paraId="5A58A277" w14:textId="77777777" w:rsidR="00E97F9F" w:rsidRPr="001300A9" w:rsidRDefault="00E97F9F" w:rsidP="00357CEC">
            <w:pPr>
              <w:pStyle w:val="Default"/>
              <w:rPr>
                <w:sz w:val="22"/>
                <w:szCs w:val="22"/>
              </w:rPr>
            </w:pPr>
          </w:p>
          <w:p w14:paraId="4511D327" w14:textId="77777777" w:rsidR="00E97F9F" w:rsidRPr="001300A9" w:rsidRDefault="00E97F9F" w:rsidP="00357CEC">
            <w:pPr>
              <w:pStyle w:val="Default"/>
              <w:rPr>
                <w:sz w:val="22"/>
                <w:szCs w:val="22"/>
              </w:rPr>
            </w:pPr>
          </w:p>
          <w:p w14:paraId="0887EDB6" w14:textId="77777777" w:rsidR="00E97F9F" w:rsidRPr="001300A9" w:rsidRDefault="00E97F9F" w:rsidP="00357CEC">
            <w:pPr>
              <w:pStyle w:val="Default"/>
              <w:rPr>
                <w:sz w:val="22"/>
                <w:szCs w:val="22"/>
              </w:rPr>
            </w:pPr>
          </w:p>
          <w:p w14:paraId="48D25190" w14:textId="77777777" w:rsidR="00E97F9F" w:rsidRPr="001300A9" w:rsidRDefault="00E97F9F" w:rsidP="00357CEC">
            <w:pPr>
              <w:pStyle w:val="Default"/>
              <w:rPr>
                <w:sz w:val="22"/>
                <w:szCs w:val="22"/>
              </w:rPr>
            </w:pPr>
          </w:p>
          <w:p w14:paraId="728153BD" w14:textId="77777777" w:rsidR="00E97F9F" w:rsidRPr="001300A9" w:rsidRDefault="00E97F9F" w:rsidP="00357CEC">
            <w:pPr>
              <w:pStyle w:val="Default"/>
              <w:rPr>
                <w:sz w:val="22"/>
                <w:szCs w:val="22"/>
              </w:rPr>
            </w:pPr>
          </w:p>
          <w:p w14:paraId="6656D142" w14:textId="77777777" w:rsidR="00E97F9F" w:rsidRPr="001300A9" w:rsidRDefault="00E97F9F" w:rsidP="00357CEC">
            <w:pPr>
              <w:pStyle w:val="Default"/>
              <w:rPr>
                <w:sz w:val="22"/>
                <w:szCs w:val="22"/>
              </w:rPr>
            </w:pPr>
          </w:p>
          <w:p w14:paraId="392C8976" w14:textId="77777777" w:rsidR="00E97F9F" w:rsidRPr="001300A9" w:rsidRDefault="00E97F9F" w:rsidP="00357CEC">
            <w:pPr>
              <w:pStyle w:val="Default"/>
              <w:rPr>
                <w:sz w:val="22"/>
                <w:szCs w:val="22"/>
              </w:rPr>
            </w:pPr>
          </w:p>
          <w:p w14:paraId="79C287F7" w14:textId="23A021DF" w:rsidR="00E97F9F" w:rsidRDefault="00E97F9F" w:rsidP="00357CEC">
            <w:pPr>
              <w:pStyle w:val="Default"/>
              <w:rPr>
                <w:sz w:val="22"/>
                <w:szCs w:val="22"/>
              </w:rPr>
            </w:pPr>
          </w:p>
          <w:p w14:paraId="51402FDE" w14:textId="2CD6E9E8" w:rsidR="00332BCF" w:rsidRDefault="00332BCF" w:rsidP="00357CEC">
            <w:pPr>
              <w:pStyle w:val="Default"/>
              <w:rPr>
                <w:sz w:val="22"/>
                <w:szCs w:val="22"/>
              </w:rPr>
            </w:pPr>
          </w:p>
          <w:p w14:paraId="4BD833D6" w14:textId="40496851" w:rsidR="000243DF" w:rsidRDefault="000243DF" w:rsidP="00357CEC">
            <w:pPr>
              <w:pStyle w:val="Default"/>
              <w:rPr>
                <w:sz w:val="22"/>
                <w:szCs w:val="22"/>
              </w:rPr>
            </w:pPr>
          </w:p>
          <w:p w14:paraId="5B33C184" w14:textId="6B93D9D7" w:rsidR="000243DF" w:rsidRDefault="000243DF" w:rsidP="00357CEC">
            <w:pPr>
              <w:pStyle w:val="Default"/>
              <w:rPr>
                <w:sz w:val="22"/>
                <w:szCs w:val="22"/>
              </w:rPr>
            </w:pPr>
          </w:p>
          <w:p w14:paraId="490F86A2" w14:textId="3491F7EF" w:rsidR="000243DF" w:rsidRPr="001300A9" w:rsidRDefault="000243DF" w:rsidP="00357CEC">
            <w:pPr>
              <w:pStyle w:val="Default"/>
              <w:rPr>
                <w:sz w:val="22"/>
                <w:szCs w:val="22"/>
              </w:rPr>
            </w:pPr>
          </w:p>
          <w:p w14:paraId="7BF2B33A" w14:textId="7CA24F20" w:rsidR="00357CEC" w:rsidRPr="001300A9" w:rsidRDefault="00357CEC" w:rsidP="00357CEC">
            <w:pPr>
              <w:pStyle w:val="Default"/>
              <w:rPr>
                <w:sz w:val="22"/>
                <w:szCs w:val="22"/>
              </w:rPr>
            </w:pPr>
            <w:proofErr w:type="spellStart"/>
            <w:r w:rsidRPr="001300A9">
              <w:rPr>
                <w:sz w:val="22"/>
                <w:szCs w:val="22"/>
              </w:rPr>
              <w:t>n.a</w:t>
            </w:r>
            <w:proofErr w:type="spellEnd"/>
            <w:r w:rsidRPr="001300A9">
              <w:rPr>
                <w:sz w:val="22"/>
                <w:szCs w:val="22"/>
              </w:rPr>
              <w:t>.</w:t>
            </w:r>
          </w:p>
          <w:p w14:paraId="28D2AAA3" w14:textId="77777777" w:rsidR="00357CEC" w:rsidRPr="001300A9" w:rsidRDefault="00357CEC" w:rsidP="00357CEC">
            <w:pPr>
              <w:pStyle w:val="Default"/>
              <w:rPr>
                <w:sz w:val="22"/>
                <w:szCs w:val="22"/>
              </w:rPr>
            </w:pPr>
          </w:p>
          <w:p w14:paraId="34E8FEB7" w14:textId="77777777" w:rsidR="00357CEC" w:rsidRPr="001300A9" w:rsidRDefault="00357CEC" w:rsidP="00357CEC">
            <w:pPr>
              <w:pStyle w:val="Default"/>
              <w:rPr>
                <w:sz w:val="22"/>
                <w:szCs w:val="22"/>
              </w:rPr>
            </w:pPr>
          </w:p>
          <w:p w14:paraId="6980819A" w14:textId="77777777" w:rsidR="00357CEC" w:rsidRPr="001300A9" w:rsidRDefault="00357CEC" w:rsidP="00357CEC">
            <w:pPr>
              <w:pStyle w:val="Default"/>
              <w:rPr>
                <w:sz w:val="22"/>
                <w:szCs w:val="22"/>
              </w:rPr>
            </w:pPr>
          </w:p>
          <w:p w14:paraId="01F8E9F5" w14:textId="77777777" w:rsidR="00357CEC" w:rsidRPr="001300A9" w:rsidRDefault="00357CEC" w:rsidP="00357CEC">
            <w:pPr>
              <w:pStyle w:val="Default"/>
              <w:rPr>
                <w:sz w:val="22"/>
                <w:szCs w:val="22"/>
              </w:rPr>
            </w:pPr>
          </w:p>
          <w:p w14:paraId="35CF38F7" w14:textId="77777777" w:rsidR="00E97F9F" w:rsidRPr="001300A9" w:rsidRDefault="00E97F9F" w:rsidP="00357CEC">
            <w:pPr>
              <w:pStyle w:val="Default"/>
              <w:rPr>
                <w:sz w:val="22"/>
                <w:szCs w:val="22"/>
              </w:rPr>
            </w:pPr>
          </w:p>
          <w:p w14:paraId="654D0867" w14:textId="77777777" w:rsidR="00E97F9F" w:rsidRPr="001300A9" w:rsidRDefault="00E97F9F" w:rsidP="00357CEC">
            <w:pPr>
              <w:pStyle w:val="Default"/>
              <w:rPr>
                <w:sz w:val="22"/>
                <w:szCs w:val="22"/>
              </w:rPr>
            </w:pPr>
          </w:p>
          <w:p w14:paraId="08993703" w14:textId="77777777" w:rsidR="00E97F9F" w:rsidRPr="001300A9" w:rsidRDefault="00E97F9F" w:rsidP="00357CEC">
            <w:pPr>
              <w:pStyle w:val="Default"/>
              <w:rPr>
                <w:sz w:val="22"/>
                <w:szCs w:val="22"/>
              </w:rPr>
            </w:pPr>
          </w:p>
          <w:p w14:paraId="4B4BF423" w14:textId="77777777" w:rsidR="00E97F9F" w:rsidRPr="001300A9" w:rsidRDefault="00E97F9F" w:rsidP="00357CEC">
            <w:pPr>
              <w:pStyle w:val="Default"/>
              <w:rPr>
                <w:sz w:val="22"/>
                <w:szCs w:val="22"/>
              </w:rPr>
            </w:pPr>
          </w:p>
          <w:p w14:paraId="60334C6D" w14:textId="77777777" w:rsidR="00E97F9F" w:rsidRPr="001300A9" w:rsidRDefault="00E97F9F" w:rsidP="00357CEC">
            <w:pPr>
              <w:pStyle w:val="Default"/>
              <w:rPr>
                <w:sz w:val="22"/>
                <w:szCs w:val="22"/>
              </w:rPr>
            </w:pPr>
          </w:p>
          <w:p w14:paraId="47CC1825" w14:textId="77777777" w:rsidR="008703B8" w:rsidRPr="001300A9" w:rsidRDefault="008703B8" w:rsidP="00357CEC">
            <w:pPr>
              <w:pStyle w:val="Default"/>
              <w:rPr>
                <w:sz w:val="22"/>
                <w:szCs w:val="22"/>
              </w:rPr>
            </w:pPr>
          </w:p>
          <w:p w14:paraId="2039CAA6" w14:textId="77777777" w:rsidR="008703B8" w:rsidRPr="001300A9" w:rsidRDefault="008703B8" w:rsidP="00357CEC">
            <w:pPr>
              <w:pStyle w:val="Default"/>
              <w:rPr>
                <w:sz w:val="22"/>
                <w:szCs w:val="22"/>
              </w:rPr>
            </w:pPr>
          </w:p>
          <w:p w14:paraId="3DE1D4C1" w14:textId="77777777" w:rsidR="008703B8" w:rsidRPr="001300A9" w:rsidRDefault="008703B8" w:rsidP="00357CEC">
            <w:pPr>
              <w:pStyle w:val="Default"/>
              <w:rPr>
                <w:sz w:val="22"/>
                <w:szCs w:val="22"/>
              </w:rPr>
            </w:pPr>
          </w:p>
          <w:p w14:paraId="153F1C5D" w14:textId="1388ED48" w:rsidR="008703B8" w:rsidRPr="001300A9" w:rsidRDefault="008703B8" w:rsidP="00357CEC">
            <w:pPr>
              <w:pStyle w:val="Default"/>
              <w:rPr>
                <w:sz w:val="22"/>
                <w:szCs w:val="22"/>
              </w:rPr>
            </w:pPr>
          </w:p>
          <w:p w14:paraId="50EB3FF5" w14:textId="69D91023" w:rsidR="4792BE4F" w:rsidRDefault="4792BE4F" w:rsidP="4792BE4F">
            <w:pPr>
              <w:pStyle w:val="Default"/>
              <w:rPr>
                <w:sz w:val="22"/>
                <w:szCs w:val="22"/>
              </w:rPr>
            </w:pPr>
          </w:p>
          <w:p w14:paraId="45341CE4" w14:textId="5FC149F5" w:rsidR="00357CEC" w:rsidRPr="001300A9" w:rsidRDefault="00357CEC" w:rsidP="00357CEC">
            <w:pPr>
              <w:pStyle w:val="Default"/>
              <w:rPr>
                <w:sz w:val="22"/>
                <w:szCs w:val="22"/>
              </w:rPr>
            </w:pPr>
            <w:proofErr w:type="spellStart"/>
            <w:r w:rsidRPr="001300A9">
              <w:rPr>
                <w:sz w:val="22"/>
                <w:szCs w:val="22"/>
              </w:rPr>
              <w:t>n.a</w:t>
            </w:r>
            <w:proofErr w:type="spellEnd"/>
            <w:r w:rsidRPr="001300A9">
              <w:rPr>
                <w:sz w:val="22"/>
                <w:szCs w:val="22"/>
              </w:rPr>
              <w:t>.</w:t>
            </w:r>
          </w:p>
          <w:p w14:paraId="7B453C35" w14:textId="77777777" w:rsidR="00357CEC" w:rsidRPr="001300A9" w:rsidRDefault="00357CEC" w:rsidP="00357CEC">
            <w:pPr>
              <w:pStyle w:val="Default"/>
              <w:rPr>
                <w:sz w:val="22"/>
                <w:szCs w:val="22"/>
              </w:rPr>
            </w:pPr>
          </w:p>
          <w:p w14:paraId="672B014D" w14:textId="77777777" w:rsidR="00E97F9F" w:rsidRPr="001300A9" w:rsidRDefault="00E97F9F" w:rsidP="00357CEC">
            <w:pPr>
              <w:pStyle w:val="Default"/>
              <w:rPr>
                <w:sz w:val="22"/>
                <w:szCs w:val="22"/>
              </w:rPr>
            </w:pPr>
          </w:p>
          <w:p w14:paraId="1705FA81" w14:textId="77777777" w:rsidR="00E97F9F" w:rsidRPr="001300A9" w:rsidRDefault="00E97F9F" w:rsidP="00357CEC">
            <w:pPr>
              <w:pStyle w:val="Default"/>
              <w:rPr>
                <w:sz w:val="22"/>
                <w:szCs w:val="22"/>
              </w:rPr>
            </w:pPr>
          </w:p>
          <w:p w14:paraId="2A23A4E2" w14:textId="4970AA76" w:rsidR="00357CEC" w:rsidRPr="001300A9" w:rsidRDefault="00357CEC" w:rsidP="008703B8">
            <w:pPr>
              <w:pStyle w:val="Default"/>
              <w:rPr>
                <w:sz w:val="22"/>
                <w:szCs w:val="22"/>
              </w:rPr>
            </w:pPr>
          </w:p>
        </w:tc>
        <w:tc>
          <w:tcPr>
            <w:tcW w:w="283" w:type="dxa"/>
          </w:tcPr>
          <w:p w14:paraId="34792DAC" w14:textId="084D110D" w:rsidR="00357CEC" w:rsidRPr="001300A9" w:rsidRDefault="002C79F4" w:rsidP="00357CEC">
            <w:pPr>
              <w:pStyle w:val="Default"/>
              <w:rPr>
                <w:sz w:val="22"/>
                <w:szCs w:val="22"/>
              </w:rPr>
            </w:pPr>
            <w:r>
              <w:rPr>
                <w:sz w:val="22"/>
                <w:szCs w:val="22"/>
              </w:rPr>
              <w:lastRenderedPageBreak/>
              <w:t>NZ</w:t>
            </w:r>
          </w:p>
        </w:tc>
        <w:tc>
          <w:tcPr>
            <w:tcW w:w="567" w:type="dxa"/>
          </w:tcPr>
          <w:p w14:paraId="7D5D6885" w14:textId="77777777" w:rsidR="00134F85" w:rsidRPr="004B3A4A" w:rsidRDefault="00134F85" w:rsidP="000243DF">
            <w:pPr>
              <w:pStyle w:val="Default"/>
              <w:rPr>
                <w:sz w:val="22"/>
                <w:szCs w:val="22"/>
              </w:rPr>
            </w:pPr>
            <w:r w:rsidRPr="004B3A4A">
              <w:rPr>
                <w:sz w:val="22"/>
                <w:szCs w:val="22"/>
              </w:rPr>
              <w:t>Č:I§:10</w:t>
            </w:r>
          </w:p>
          <w:p w14:paraId="0BA0A497" w14:textId="527EE109" w:rsidR="000243DF" w:rsidRPr="001300A9" w:rsidRDefault="00134F85" w:rsidP="000243DF">
            <w:pPr>
              <w:pStyle w:val="Default"/>
              <w:rPr>
                <w:sz w:val="22"/>
                <w:szCs w:val="22"/>
              </w:rPr>
            </w:pPr>
            <w:r w:rsidRPr="004B3A4A">
              <w:rPr>
                <w:sz w:val="22"/>
                <w:szCs w:val="22"/>
              </w:rPr>
              <w:t>O:</w:t>
            </w:r>
            <w:r w:rsidR="004E213F" w:rsidRPr="004B3A4A">
              <w:rPr>
                <w:sz w:val="22"/>
                <w:szCs w:val="22"/>
              </w:rPr>
              <w:t xml:space="preserve">8 a </w:t>
            </w:r>
            <w:r w:rsidR="000243DF" w:rsidRPr="004B3A4A">
              <w:rPr>
                <w:sz w:val="22"/>
                <w:szCs w:val="22"/>
              </w:rPr>
              <w:t>9</w:t>
            </w:r>
          </w:p>
          <w:p w14:paraId="27D9E279" w14:textId="77777777" w:rsidR="00357CEC" w:rsidRPr="001300A9" w:rsidRDefault="00357CEC" w:rsidP="00357CEC">
            <w:pPr>
              <w:pStyle w:val="Default"/>
              <w:rPr>
                <w:sz w:val="22"/>
                <w:szCs w:val="22"/>
              </w:rPr>
            </w:pPr>
          </w:p>
        </w:tc>
        <w:tc>
          <w:tcPr>
            <w:tcW w:w="4253" w:type="dxa"/>
          </w:tcPr>
          <w:p w14:paraId="7A234658" w14:textId="60CEAD6E" w:rsidR="004E213F" w:rsidRDefault="004E213F" w:rsidP="00E97F9F">
            <w:pPr>
              <w:tabs>
                <w:tab w:val="left" w:pos="284"/>
              </w:tabs>
              <w:spacing w:after="0" w:line="240" w:lineRule="auto"/>
              <w:jc w:val="both"/>
              <w:rPr>
                <w:rFonts w:ascii="Times New Roman" w:hAnsi="Times New Roman" w:cs="Times New Roman"/>
              </w:rPr>
            </w:pPr>
            <w:r>
              <w:rPr>
                <w:rFonts w:ascii="Times New Roman" w:hAnsi="Times New Roman" w:cs="Times New Roman"/>
              </w:rPr>
              <w:t xml:space="preserve">(8) </w:t>
            </w:r>
            <w:r w:rsidRPr="004E213F">
              <w:rPr>
                <w:rFonts w:ascii="Times New Roman" w:hAnsi="Times New Roman" w:cs="Times New Roman"/>
              </w:rPr>
              <w:t xml:space="preserve">Prevádzkam sa nepridelia žiadne bezodplatné kvóty, ak sa na </w:t>
            </w:r>
            <w:proofErr w:type="spellStart"/>
            <w:r w:rsidRPr="004E213F">
              <w:rPr>
                <w:rFonts w:ascii="Times New Roman" w:hAnsi="Times New Roman" w:cs="Times New Roman"/>
              </w:rPr>
              <w:t>ne</w:t>
            </w:r>
            <w:proofErr w:type="spellEnd"/>
            <w:r w:rsidRPr="004E213F">
              <w:rPr>
                <w:rFonts w:ascii="Times New Roman" w:hAnsi="Times New Roman" w:cs="Times New Roman"/>
              </w:rPr>
              <w:t xml:space="preserve"> vzťahujú iné opatrenia na riešenie rizika úniku uhlíka podľa osobitného predpisu,</w:t>
            </w:r>
            <w:r w:rsidRPr="004E213F">
              <w:rPr>
                <w:rFonts w:ascii="Times New Roman" w:hAnsi="Times New Roman" w:cs="Times New Roman"/>
                <w:vertAlign w:val="superscript"/>
              </w:rPr>
              <w:t>10ad</w:t>
            </w:r>
            <w:r w:rsidRPr="004E213F">
              <w:rPr>
                <w:rFonts w:ascii="Times New Roman" w:hAnsi="Times New Roman" w:cs="Times New Roman"/>
              </w:rPr>
              <w:t>) ak odsek 9 neustanovuje inak.</w:t>
            </w:r>
          </w:p>
          <w:p w14:paraId="1AC2E18D" w14:textId="5D7F5D18" w:rsidR="00E97F9F" w:rsidRPr="001300A9" w:rsidRDefault="00E97F9F" w:rsidP="00E97F9F">
            <w:pPr>
              <w:tabs>
                <w:tab w:val="left" w:pos="284"/>
              </w:tabs>
              <w:spacing w:after="0" w:line="240" w:lineRule="auto"/>
              <w:jc w:val="both"/>
              <w:rPr>
                <w:rFonts w:ascii="Times New Roman" w:hAnsi="Times New Roman" w:cs="Times New Roman"/>
              </w:rPr>
            </w:pPr>
            <w:r w:rsidRPr="001300A9">
              <w:rPr>
                <w:rFonts w:ascii="Times New Roman" w:hAnsi="Times New Roman" w:cs="Times New Roman"/>
              </w:rPr>
              <w:t>(9) V </w:t>
            </w:r>
            <w:r w:rsidR="00332BCF" w:rsidRPr="00332BCF">
              <w:rPr>
                <w:rFonts w:ascii="Times New Roman" w:hAnsi="Times New Roman" w:cs="Times New Roman"/>
              </w:rPr>
              <w:t>súvislosti s výrobou tovaru podľa osobitného predpisu</w:t>
            </w:r>
            <w:r w:rsidR="00332BCF" w:rsidRPr="003367CB">
              <w:rPr>
                <w:rFonts w:ascii="Times New Roman" w:hAnsi="Times New Roman" w:cs="Times New Roman"/>
                <w:vertAlign w:val="superscript"/>
              </w:rPr>
              <w:t>10ad</w:t>
            </w:r>
            <w:r w:rsidR="00332BCF" w:rsidRPr="00332BCF">
              <w:rPr>
                <w:rFonts w:ascii="Times New Roman" w:hAnsi="Times New Roman" w:cs="Times New Roman"/>
              </w:rPr>
              <w:t xml:space="preserve">) sa do 31. decembra 2033 uplatňuje koeficient na zníženie množstva bezodplatne pridelených kvót na výrobu daného tovaru, </w:t>
            </w:r>
            <w:r w:rsidRPr="001300A9">
              <w:rPr>
                <w:rFonts w:ascii="Times New Roman" w:hAnsi="Times New Roman" w:cs="Times New Roman"/>
              </w:rPr>
              <w:t>ktorý je</w:t>
            </w:r>
          </w:p>
          <w:p w14:paraId="4153A28F" w14:textId="4C6A738C" w:rsidR="00E97F9F" w:rsidRPr="001300A9" w:rsidRDefault="00884513" w:rsidP="00E97F9F">
            <w:pPr>
              <w:pStyle w:val="Odsekzoznamu"/>
              <w:numPr>
                <w:ilvl w:val="1"/>
                <w:numId w:val="14"/>
              </w:numPr>
              <w:tabs>
                <w:tab w:val="left" w:pos="284"/>
              </w:tabs>
              <w:spacing w:after="0" w:line="240" w:lineRule="auto"/>
              <w:ind w:left="567" w:hanging="283"/>
              <w:jc w:val="both"/>
              <w:rPr>
                <w:rFonts w:ascii="Times New Roman" w:hAnsi="Times New Roman" w:cs="Times New Roman"/>
              </w:rPr>
            </w:pPr>
            <w:r>
              <w:rPr>
                <w:rFonts w:ascii="Times New Roman" w:hAnsi="Times New Roman" w:cs="Times New Roman"/>
              </w:rPr>
              <w:t>100 % pre roky 2024 a 2025</w:t>
            </w:r>
            <w:r w:rsidR="00E97F9F" w:rsidRPr="001300A9">
              <w:rPr>
                <w:rFonts w:ascii="Times New Roman" w:hAnsi="Times New Roman" w:cs="Times New Roman"/>
              </w:rPr>
              <w:t>,</w:t>
            </w:r>
          </w:p>
          <w:p w14:paraId="4090149A" w14:textId="77777777" w:rsidR="00E97F9F" w:rsidRPr="001300A9" w:rsidRDefault="00E97F9F" w:rsidP="00E97F9F">
            <w:pPr>
              <w:pStyle w:val="Odsekzoznamu"/>
              <w:numPr>
                <w:ilvl w:val="1"/>
                <w:numId w:val="14"/>
              </w:numPr>
              <w:tabs>
                <w:tab w:val="left" w:pos="284"/>
              </w:tabs>
              <w:spacing w:after="0" w:line="240" w:lineRule="auto"/>
              <w:ind w:left="567" w:hanging="283"/>
              <w:jc w:val="both"/>
              <w:rPr>
                <w:rFonts w:ascii="Times New Roman" w:hAnsi="Times New Roman" w:cs="Times New Roman"/>
              </w:rPr>
            </w:pPr>
            <w:r w:rsidRPr="001300A9">
              <w:rPr>
                <w:rFonts w:ascii="Times New Roman" w:hAnsi="Times New Roman" w:cs="Times New Roman"/>
              </w:rPr>
              <w:t>97,5 % pre rok 2026,</w:t>
            </w:r>
          </w:p>
          <w:p w14:paraId="72732AD0" w14:textId="77777777" w:rsidR="00E97F9F" w:rsidRPr="001300A9" w:rsidRDefault="00E97F9F" w:rsidP="00E97F9F">
            <w:pPr>
              <w:pStyle w:val="Odsekzoznamu"/>
              <w:numPr>
                <w:ilvl w:val="1"/>
                <w:numId w:val="14"/>
              </w:numPr>
              <w:tabs>
                <w:tab w:val="left" w:pos="284"/>
              </w:tabs>
              <w:spacing w:after="0" w:line="240" w:lineRule="auto"/>
              <w:ind w:left="567" w:hanging="283"/>
              <w:jc w:val="both"/>
              <w:rPr>
                <w:rFonts w:ascii="Times New Roman" w:hAnsi="Times New Roman" w:cs="Times New Roman"/>
              </w:rPr>
            </w:pPr>
            <w:r w:rsidRPr="001300A9">
              <w:rPr>
                <w:rFonts w:ascii="Times New Roman" w:hAnsi="Times New Roman" w:cs="Times New Roman"/>
              </w:rPr>
              <w:t>95 % pre rok 2027,</w:t>
            </w:r>
          </w:p>
          <w:p w14:paraId="473E69B8" w14:textId="77777777" w:rsidR="00E97F9F" w:rsidRPr="001300A9" w:rsidRDefault="00E97F9F" w:rsidP="00E97F9F">
            <w:pPr>
              <w:pStyle w:val="Odsekzoznamu"/>
              <w:numPr>
                <w:ilvl w:val="1"/>
                <w:numId w:val="14"/>
              </w:numPr>
              <w:tabs>
                <w:tab w:val="left" w:pos="284"/>
              </w:tabs>
              <w:spacing w:after="0" w:line="240" w:lineRule="auto"/>
              <w:ind w:left="567" w:hanging="283"/>
              <w:jc w:val="both"/>
              <w:rPr>
                <w:rFonts w:ascii="Times New Roman" w:hAnsi="Times New Roman" w:cs="Times New Roman"/>
              </w:rPr>
            </w:pPr>
            <w:r w:rsidRPr="001300A9">
              <w:rPr>
                <w:rFonts w:ascii="Times New Roman" w:hAnsi="Times New Roman" w:cs="Times New Roman"/>
              </w:rPr>
              <w:t>90 % pre rok 2028,</w:t>
            </w:r>
          </w:p>
          <w:p w14:paraId="406A90EF" w14:textId="77777777" w:rsidR="00E97F9F" w:rsidRPr="001300A9" w:rsidRDefault="00E97F9F" w:rsidP="00E97F9F">
            <w:pPr>
              <w:pStyle w:val="Odsekzoznamu"/>
              <w:numPr>
                <w:ilvl w:val="1"/>
                <w:numId w:val="14"/>
              </w:numPr>
              <w:tabs>
                <w:tab w:val="left" w:pos="284"/>
              </w:tabs>
              <w:spacing w:after="0" w:line="240" w:lineRule="auto"/>
              <w:ind w:left="567" w:hanging="283"/>
              <w:jc w:val="both"/>
              <w:rPr>
                <w:rFonts w:ascii="Times New Roman" w:hAnsi="Times New Roman" w:cs="Times New Roman"/>
              </w:rPr>
            </w:pPr>
            <w:r w:rsidRPr="001300A9">
              <w:rPr>
                <w:rFonts w:ascii="Times New Roman" w:hAnsi="Times New Roman" w:cs="Times New Roman"/>
              </w:rPr>
              <w:t>77,5 % pre rok 2029,</w:t>
            </w:r>
          </w:p>
          <w:p w14:paraId="5346F98A" w14:textId="77777777" w:rsidR="00E97F9F" w:rsidRPr="001300A9" w:rsidRDefault="00E97F9F" w:rsidP="00E97F9F">
            <w:pPr>
              <w:pStyle w:val="Odsekzoznamu"/>
              <w:numPr>
                <w:ilvl w:val="1"/>
                <w:numId w:val="14"/>
              </w:numPr>
              <w:tabs>
                <w:tab w:val="left" w:pos="284"/>
              </w:tabs>
              <w:spacing w:after="0" w:line="240" w:lineRule="auto"/>
              <w:ind w:left="567" w:hanging="283"/>
              <w:jc w:val="both"/>
              <w:rPr>
                <w:rFonts w:ascii="Times New Roman" w:hAnsi="Times New Roman" w:cs="Times New Roman"/>
              </w:rPr>
            </w:pPr>
            <w:r w:rsidRPr="001300A9">
              <w:rPr>
                <w:rFonts w:ascii="Times New Roman" w:hAnsi="Times New Roman" w:cs="Times New Roman"/>
              </w:rPr>
              <w:t>51,5 % pre rok 2030,</w:t>
            </w:r>
          </w:p>
          <w:p w14:paraId="64DFFF5E" w14:textId="77777777" w:rsidR="00E97F9F" w:rsidRPr="001300A9" w:rsidRDefault="00E97F9F" w:rsidP="00E97F9F">
            <w:pPr>
              <w:pStyle w:val="Odsekzoznamu"/>
              <w:numPr>
                <w:ilvl w:val="1"/>
                <w:numId w:val="14"/>
              </w:numPr>
              <w:tabs>
                <w:tab w:val="left" w:pos="284"/>
              </w:tabs>
              <w:spacing w:after="0" w:line="240" w:lineRule="auto"/>
              <w:ind w:left="567" w:hanging="283"/>
              <w:jc w:val="both"/>
              <w:rPr>
                <w:rFonts w:ascii="Times New Roman" w:hAnsi="Times New Roman" w:cs="Times New Roman"/>
              </w:rPr>
            </w:pPr>
            <w:r w:rsidRPr="001300A9">
              <w:rPr>
                <w:rFonts w:ascii="Times New Roman" w:hAnsi="Times New Roman" w:cs="Times New Roman"/>
              </w:rPr>
              <w:t>39 % pre rok 2031,</w:t>
            </w:r>
          </w:p>
          <w:p w14:paraId="0054A9FF" w14:textId="77777777" w:rsidR="00E97F9F" w:rsidRPr="001300A9" w:rsidRDefault="00E97F9F" w:rsidP="00E97F9F">
            <w:pPr>
              <w:pStyle w:val="Odsekzoznamu"/>
              <w:numPr>
                <w:ilvl w:val="1"/>
                <w:numId w:val="14"/>
              </w:numPr>
              <w:tabs>
                <w:tab w:val="left" w:pos="284"/>
              </w:tabs>
              <w:spacing w:after="0" w:line="240" w:lineRule="auto"/>
              <w:ind w:left="567" w:hanging="283"/>
              <w:jc w:val="both"/>
              <w:rPr>
                <w:rFonts w:ascii="Times New Roman" w:hAnsi="Times New Roman" w:cs="Times New Roman"/>
              </w:rPr>
            </w:pPr>
            <w:r w:rsidRPr="001300A9">
              <w:rPr>
                <w:rFonts w:ascii="Times New Roman" w:hAnsi="Times New Roman" w:cs="Times New Roman"/>
              </w:rPr>
              <w:t>26,5 % pre rok 2032,</w:t>
            </w:r>
          </w:p>
          <w:p w14:paraId="4B0A3DE1" w14:textId="77AE47B2" w:rsidR="00E97F9F" w:rsidRPr="001300A9" w:rsidRDefault="00E97F9F" w:rsidP="00E97F9F">
            <w:pPr>
              <w:pStyle w:val="Odsekzoznamu"/>
              <w:numPr>
                <w:ilvl w:val="1"/>
                <w:numId w:val="14"/>
              </w:numPr>
              <w:tabs>
                <w:tab w:val="left" w:pos="284"/>
              </w:tabs>
              <w:spacing w:after="0" w:line="240" w:lineRule="auto"/>
              <w:ind w:left="567" w:hanging="283"/>
              <w:jc w:val="both"/>
              <w:rPr>
                <w:rFonts w:ascii="Times New Roman" w:hAnsi="Times New Roman" w:cs="Times New Roman"/>
              </w:rPr>
            </w:pPr>
            <w:r w:rsidRPr="001300A9">
              <w:rPr>
                <w:rFonts w:ascii="Times New Roman" w:hAnsi="Times New Roman" w:cs="Times New Roman"/>
              </w:rPr>
              <w:t>14 % pre rok 2033.</w:t>
            </w:r>
          </w:p>
          <w:p w14:paraId="6F3CA3F4" w14:textId="77777777" w:rsidR="00357CEC" w:rsidRDefault="00357CEC" w:rsidP="00357CEC">
            <w:pPr>
              <w:pStyle w:val="Default"/>
              <w:rPr>
                <w:sz w:val="22"/>
                <w:szCs w:val="22"/>
              </w:rPr>
            </w:pPr>
          </w:p>
          <w:p w14:paraId="6CD1FE44" w14:textId="4F9F8264" w:rsidR="004E213F" w:rsidRPr="001300A9" w:rsidRDefault="145B21AA" w:rsidP="00357CEC">
            <w:pPr>
              <w:pStyle w:val="Default"/>
              <w:rPr>
                <w:sz w:val="22"/>
                <w:szCs w:val="22"/>
              </w:rPr>
            </w:pPr>
            <w:r w:rsidRPr="5F673433">
              <w:rPr>
                <w:sz w:val="22"/>
                <w:szCs w:val="22"/>
                <w:vertAlign w:val="superscript"/>
              </w:rPr>
              <w:t>10ad</w:t>
            </w:r>
            <w:r w:rsidRPr="5F673433">
              <w:rPr>
                <w:sz w:val="22"/>
                <w:szCs w:val="22"/>
              </w:rPr>
              <w:t>) Nariadenie Európskeho parlamentu a Rady (EÚ) 2023/956 z 10. mája 2023, ktorým sa zriaďuje mechanizmus uhlíkovej kompenzácie na hraniciach (Ú. v. EÚ L 130, 16. 5. 2023).</w:t>
            </w:r>
          </w:p>
        </w:tc>
        <w:tc>
          <w:tcPr>
            <w:tcW w:w="567" w:type="dxa"/>
          </w:tcPr>
          <w:p w14:paraId="4F146D64" w14:textId="29F3A603" w:rsidR="00357CEC" w:rsidRPr="001300A9" w:rsidRDefault="00E97F9F" w:rsidP="00357CEC">
            <w:pPr>
              <w:pStyle w:val="Default"/>
              <w:rPr>
                <w:sz w:val="22"/>
                <w:szCs w:val="22"/>
              </w:rPr>
            </w:pPr>
            <w:r w:rsidRPr="001300A9">
              <w:rPr>
                <w:sz w:val="22"/>
                <w:szCs w:val="22"/>
              </w:rPr>
              <w:t>Ú</w:t>
            </w:r>
          </w:p>
        </w:tc>
        <w:tc>
          <w:tcPr>
            <w:tcW w:w="1276" w:type="dxa"/>
          </w:tcPr>
          <w:p w14:paraId="5DB56460" w14:textId="77777777" w:rsidR="00357CEC" w:rsidRPr="001300A9" w:rsidRDefault="00357CEC" w:rsidP="00357CEC">
            <w:pPr>
              <w:pStyle w:val="Default"/>
              <w:rPr>
                <w:sz w:val="22"/>
                <w:szCs w:val="22"/>
              </w:rPr>
            </w:pPr>
          </w:p>
        </w:tc>
        <w:tc>
          <w:tcPr>
            <w:tcW w:w="850" w:type="dxa"/>
          </w:tcPr>
          <w:p w14:paraId="12D8A8EB" w14:textId="7F2FE5A4" w:rsidR="00357CEC" w:rsidRPr="001300A9" w:rsidRDefault="00E97F9F" w:rsidP="00357CEC">
            <w:pPr>
              <w:pStyle w:val="Default"/>
              <w:rPr>
                <w:sz w:val="22"/>
                <w:szCs w:val="22"/>
              </w:rPr>
            </w:pPr>
            <w:r w:rsidRPr="001300A9">
              <w:rPr>
                <w:sz w:val="22"/>
                <w:szCs w:val="22"/>
              </w:rPr>
              <w:t>GP - N</w:t>
            </w:r>
          </w:p>
        </w:tc>
        <w:tc>
          <w:tcPr>
            <w:tcW w:w="815" w:type="dxa"/>
          </w:tcPr>
          <w:p w14:paraId="1CD50462" w14:textId="77777777" w:rsidR="00357CEC" w:rsidRPr="001300A9" w:rsidRDefault="00357CEC" w:rsidP="00357CEC">
            <w:pPr>
              <w:pStyle w:val="Default"/>
              <w:rPr>
                <w:sz w:val="22"/>
                <w:szCs w:val="22"/>
              </w:rPr>
            </w:pPr>
          </w:p>
        </w:tc>
      </w:tr>
      <w:tr w:rsidR="00DD6EDC" w:rsidRPr="001300A9" w14:paraId="4194C5D5" w14:textId="77777777" w:rsidTr="360410BC">
        <w:tc>
          <w:tcPr>
            <w:tcW w:w="562" w:type="dxa"/>
          </w:tcPr>
          <w:p w14:paraId="699538AA" w14:textId="77777777" w:rsidR="00357CEC" w:rsidRPr="001300A9" w:rsidRDefault="00357CEC" w:rsidP="00357CEC">
            <w:pPr>
              <w:pStyle w:val="Default"/>
              <w:rPr>
                <w:sz w:val="22"/>
                <w:szCs w:val="22"/>
              </w:rPr>
            </w:pPr>
            <w:r w:rsidRPr="001300A9">
              <w:rPr>
                <w:sz w:val="22"/>
                <w:szCs w:val="22"/>
              </w:rPr>
              <w:t>Č: 1</w:t>
            </w:r>
          </w:p>
          <w:p w14:paraId="1CABD14A" w14:textId="77777777" w:rsidR="00357CEC" w:rsidRPr="001300A9" w:rsidRDefault="00357CEC" w:rsidP="00357CEC">
            <w:pPr>
              <w:pStyle w:val="Default"/>
              <w:rPr>
                <w:sz w:val="22"/>
                <w:szCs w:val="22"/>
              </w:rPr>
            </w:pPr>
            <w:r w:rsidRPr="001300A9">
              <w:rPr>
                <w:sz w:val="22"/>
                <w:szCs w:val="22"/>
              </w:rPr>
              <w:t>O: 13</w:t>
            </w:r>
          </w:p>
          <w:p w14:paraId="0688BD35" w14:textId="77777777" w:rsidR="00357CEC" w:rsidRPr="001300A9" w:rsidRDefault="00357CEC" w:rsidP="00357CEC">
            <w:pPr>
              <w:pStyle w:val="Default"/>
              <w:rPr>
                <w:sz w:val="22"/>
                <w:szCs w:val="22"/>
              </w:rPr>
            </w:pPr>
            <w:r w:rsidRPr="001300A9">
              <w:rPr>
                <w:sz w:val="22"/>
                <w:szCs w:val="22"/>
              </w:rPr>
              <w:lastRenderedPageBreak/>
              <w:t>P: c) i)</w:t>
            </w:r>
          </w:p>
        </w:tc>
        <w:tc>
          <w:tcPr>
            <w:tcW w:w="4820" w:type="dxa"/>
          </w:tcPr>
          <w:p w14:paraId="46CF4C02" w14:textId="77777777" w:rsidR="00357CEC" w:rsidRPr="001300A9" w:rsidRDefault="00357CEC" w:rsidP="00357CEC">
            <w:pPr>
              <w:pStyle w:val="Default"/>
              <w:rPr>
                <w:sz w:val="22"/>
                <w:szCs w:val="22"/>
              </w:rPr>
            </w:pPr>
            <w:r w:rsidRPr="001300A9">
              <w:rPr>
                <w:sz w:val="22"/>
                <w:szCs w:val="22"/>
              </w:rPr>
              <w:lastRenderedPageBreak/>
              <w:t xml:space="preserve">c) Na obdobie rokov 2026 až 2030 sa referenčné úrovne stanovujú rovnakým spôsobom, ako sa uvádza v písmenách a) a d) tohto </w:t>
            </w:r>
            <w:proofErr w:type="spellStart"/>
            <w:r w:rsidRPr="001300A9">
              <w:rPr>
                <w:sz w:val="22"/>
                <w:szCs w:val="22"/>
              </w:rPr>
              <w:t>pododseku</w:t>
            </w:r>
            <w:proofErr w:type="spellEnd"/>
            <w:r w:rsidRPr="001300A9">
              <w:rPr>
                <w:sz w:val="22"/>
                <w:szCs w:val="22"/>
              </w:rPr>
              <w:t xml:space="preserve"> pri zohľadnení písmena e) tohto </w:t>
            </w:r>
            <w:proofErr w:type="spellStart"/>
            <w:r w:rsidRPr="001300A9">
              <w:rPr>
                <w:sz w:val="22"/>
                <w:szCs w:val="22"/>
              </w:rPr>
              <w:t>pododseku</w:t>
            </w:r>
            <w:proofErr w:type="spellEnd"/>
            <w:r w:rsidRPr="001300A9">
              <w:rPr>
                <w:sz w:val="22"/>
                <w:szCs w:val="22"/>
              </w:rPr>
              <w:t xml:space="preserve">, a to na základe informácií predložených podľa článku 11 za </w:t>
            </w:r>
            <w:r w:rsidRPr="001300A9">
              <w:rPr>
                <w:sz w:val="22"/>
                <w:szCs w:val="22"/>
              </w:rPr>
              <w:lastRenderedPageBreak/>
              <w:t>roky 2021 a 2022 a na základe uplatnenia ročnej miery zníženia v súvislosti s každým rokom v období rokov 2008 až 2028.</w:t>
            </w:r>
          </w:p>
        </w:tc>
        <w:tc>
          <w:tcPr>
            <w:tcW w:w="567" w:type="dxa"/>
          </w:tcPr>
          <w:p w14:paraId="19A3B395" w14:textId="77777777" w:rsidR="00357CEC" w:rsidRPr="001300A9" w:rsidRDefault="00357CEC" w:rsidP="00357CEC">
            <w:pPr>
              <w:pStyle w:val="Default"/>
              <w:rPr>
                <w:sz w:val="22"/>
                <w:szCs w:val="22"/>
              </w:rPr>
            </w:pPr>
            <w:proofErr w:type="spellStart"/>
            <w:r w:rsidRPr="001300A9">
              <w:rPr>
                <w:sz w:val="22"/>
                <w:szCs w:val="22"/>
              </w:rPr>
              <w:lastRenderedPageBreak/>
              <w:t>n.a</w:t>
            </w:r>
            <w:proofErr w:type="spellEnd"/>
            <w:r w:rsidRPr="001300A9">
              <w:rPr>
                <w:sz w:val="22"/>
                <w:szCs w:val="22"/>
              </w:rPr>
              <w:t>.</w:t>
            </w:r>
          </w:p>
        </w:tc>
        <w:tc>
          <w:tcPr>
            <w:tcW w:w="283" w:type="dxa"/>
          </w:tcPr>
          <w:p w14:paraId="382D2037" w14:textId="77777777" w:rsidR="00357CEC" w:rsidRPr="001300A9" w:rsidRDefault="00357CEC" w:rsidP="00357CEC">
            <w:pPr>
              <w:pStyle w:val="Default"/>
              <w:rPr>
                <w:sz w:val="22"/>
                <w:szCs w:val="22"/>
              </w:rPr>
            </w:pPr>
          </w:p>
        </w:tc>
        <w:tc>
          <w:tcPr>
            <w:tcW w:w="567" w:type="dxa"/>
          </w:tcPr>
          <w:p w14:paraId="3639A397" w14:textId="77777777" w:rsidR="00357CEC" w:rsidRPr="001300A9" w:rsidRDefault="00357CEC" w:rsidP="00357CEC">
            <w:pPr>
              <w:pStyle w:val="Default"/>
              <w:rPr>
                <w:sz w:val="22"/>
                <w:szCs w:val="22"/>
              </w:rPr>
            </w:pPr>
          </w:p>
        </w:tc>
        <w:tc>
          <w:tcPr>
            <w:tcW w:w="4253" w:type="dxa"/>
          </w:tcPr>
          <w:p w14:paraId="5C45A7E1" w14:textId="77777777" w:rsidR="00357CEC" w:rsidRPr="001300A9" w:rsidRDefault="00357CEC" w:rsidP="00357CEC">
            <w:pPr>
              <w:pStyle w:val="Default"/>
              <w:rPr>
                <w:sz w:val="22"/>
                <w:szCs w:val="22"/>
              </w:rPr>
            </w:pPr>
          </w:p>
        </w:tc>
        <w:tc>
          <w:tcPr>
            <w:tcW w:w="567" w:type="dxa"/>
          </w:tcPr>
          <w:p w14:paraId="77463C46" w14:textId="77777777" w:rsidR="00357CEC" w:rsidRPr="001300A9" w:rsidRDefault="00357CEC" w:rsidP="00357CEC">
            <w:pPr>
              <w:pStyle w:val="Default"/>
              <w:rPr>
                <w:sz w:val="22"/>
                <w:szCs w:val="22"/>
              </w:rPr>
            </w:pPr>
          </w:p>
        </w:tc>
        <w:tc>
          <w:tcPr>
            <w:tcW w:w="1276" w:type="dxa"/>
          </w:tcPr>
          <w:p w14:paraId="5C834BF4" w14:textId="77777777" w:rsidR="00357CEC" w:rsidRPr="001300A9" w:rsidRDefault="00357CEC" w:rsidP="00357CEC">
            <w:pPr>
              <w:pStyle w:val="Default"/>
              <w:rPr>
                <w:sz w:val="22"/>
                <w:szCs w:val="22"/>
              </w:rPr>
            </w:pPr>
          </w:p>
        </w:tc>
        <w:tc>
          <w:tcPr>
            <w:tcW w:w="850" w:type="dxa"/>
          </w:tcPr>
          <w:p w14:paraId="3405B9AA" w14:textId="77777777" w:rsidR="00357CEC" w:rsidRPr="001300A9" w:rsidRDefault="00357CEC" w:rsidP="00357CEC">
            <w:pPr>
              <w:pStyle w:val="Default"/>
              <w:rPr>
                <w:sz w:val="22"/>
                <w:szCs w:val="22"/>
              </w:rPr>
            </w:pPr>
          </w:p>
        </w:tc>
        <w:tc>
          <w:tcPr>
            <w:tcW w:w="815" w:type="dxa"/>
          </w:tcPr>
          <w:p w14:paraId="5AB0896B" w14:textId="77777777" w:rsidR="00357CEC" w:rsidRPr="001300A9" w:rsidRDefault="00357CEC" w:rsidP="00357CEC">
            <w:pPr>
              <w:pStyle w:val="Default"/>
              <w:rPr>
                <w:sz w:val="22"/>
                <w:szCs w:val="22"/>
              </w:rPr>
            </w:pPr>
          </w:p>
        </w:tc>
      </w:tr>
      <w:tr w:rsidR="00DD6EDC" w:rsidRPr="001300A9" w14:paraId="5213D05B" w14:textId="77777777" w:rsidTr="360410BC">
        <w:tc>
          <w:tcPr>
            <w:tcW w:w="562" w:type="dxa"/>
          </w:tcPr>
          <w:p w14:paraId="03764ECE" w14:textId="77777777" w:rsidR="00357CEC" w:rsidRPr="001300A9" w:rsidRDefault="00357CEC" w:rsidP="00357CEC">
            <w:pPr>
              <w:pStyle w:val="Default"/>
              <w:rPr>
                <w:sz w:val="22"/>
                <w:szCs w:val="22"/>
              </w:rPr>
            </w:pPr>
            <w:r w:rsidRPr="001300A9">
              <w:rPr>
                <w:sz w:val="22"/>
                <w:szCs w:val="22"/>
              </w:rPr>
              <w:t>Č: 1</w:t>
            </w:r>
          </w:p>
          <w:p w14:paraId="6CB9E0D1" w14:textId="77777777" w:rsidR="00357CEC" w:rsidRPr="001300A9" w:rsidRDefault="00357CEC" w:rsidP="00357CEC">
            <w:pPr>
              <w:pStyle w:val="Default"/>
              <w:rPr>
                <w:sz w:val="22"/>
                <w:szCs w:val="22"/>
              </w:rPr>
            </w:pPr>
            <w:r w:rsidRPr="001300A9">
              <w:rPr>
                <w:sz w:val="22"/>
                <w:szCs w:val="22"/>
              </w:rPr>
              <w:t>O: 13</w:t>
            </w:r>
          </w:p>
          <w:p w14:paraId="31F2A3AB" w14:textId="77777777" w:rsidR="00357CEC" w:rsidRPr="001300A9" w:rsidRDefault="00357CEC" w:rsidP="00357CEC">
            <w:pPr>
              <w:pStyle w:val="Default"/>
              <w:rPr>
                <w:sz w:val="22"/>
                <w:szCs w:val="22"/>
              </w:rPr>
            </w:pPr>
            <w:r w:rsidRPr="001300A9">
              <w:rPr>
                <w:sz w:val="22"/>
                <w:szCs w:val="22"/>
              </w:rPr>
              <w:t>P: c) ii)</w:t>
            </w:r>
          </w:p>
        </w:tc>
        <w:tc>
          <w:tcPr>
            <w:tcW w:w="4820" w:type="dxa"/>
          </w:tcPr>
          <w:p w14:paraId="447DA6C5" w14:textId="77777777" w:rsidR="00357CEC" w:rsidRPr="001300A9" w:rsidRDefault="00357CEC" w:rsidP="00357CEC">
            <w:pPr>
              <w:pStyle w:val="Default"/>
              <w:rPr>
                <w:sz w:val="22"/>
                <w:szCs w:val="22"/>
              </w:rPr>
            </w:pPr>
            <w:r w:rsidRPr="001300A9">
              <w:rPr>
                <w:sz w:val="22"/>
                <w:szCs w:val="22"/>
              </w:rPr>
              <w:t>d) Ak ročná miera zníženia presahuje 2,5 % alebo je nižšia ako 0,3 %, referenčnými úrovňami na obdobie rokov 2026 až 2030 sú referenčné úrovne uplatniteľné v období rokov 2013 až 2020 znížené o tú z uvedených dvoch percentuálnych mier, ktorá je relevantná, a to v prípade každého roka v období rokov 2008 až 2028.</w:t>
            </w:r>
          </w:p>
          <w:p w14:paraId="2373B0A1" w14:textId="77777777" w:rsidR="00357CEC" w:rsidRPr="001300A9" w:rsidRDefault="00357CEC" w:rsidP="00357CEC">
            <w:pPr>
              <w:pStyle w:val="Default"/>
              <w:rPr>
                <w:sz w:val="22"/>
                <w:szCs w:val="22"/>
              </w:rPr>
            </w:pPr>
            <w:r w:rsidRPr="001300A9">
              <w:rPr>
                <w:sz w:val="22"/>
                <w:szCs w:val="22"/>
              </w:rPr>
              <w:t xml:space="preserve">e) V období rokov 2026 až 2030 nie je ročná miera zníženia referenčnej hodnoty týkajúcej sa produktu horúci kov ovplyvnená zmenou vymedzení referenčných hodnôt a systémových hraníc uplatniteľných podľa odseku 1 ôsmeho </w:t>
            </w:r>
            <w:proofErr w:type="spellStart"/>
            <w:r w:rsidRPr="001300A9">
              <w:rPr>
                <w:sz w:val="22"/>
                <w:szCs w:val="22"/>
              </w:rPr>
              <w:t>pododseku</w:t>
            </w:r>
            <w:proofErr w:type="spellEnd"/>
            <w:r w:rsidRPr="001300A9">
              <w:rPr>
                <w:sz w:val="22"/>
                <w:szCs w:val="22"/>
              </w:rPr>
              <w:t>.</w:t>
            </w:r>
          </w:p>
        </w:tc>
        <w:tc>
          <w:tcPr>
            <w:tcW w:w="567" w:type="dxa"/>
          </w:tcPr>
          <w:p w14:paraId="284BDAE5" w14:textId="77777777" w:rsidR="00357CEC" w:rsidRPr="001300A9" w:rsidRDefault="00357CEC" w:rsidP="00357CEC">
            <w:pPr>
              <w:pStyle w:val="Default"/>
              <w:rPr>
                <w:sz w:val="22"/>
                <w:szCs w:val="22"/>
              </w:rPr>
            </w:pPr>
            <w:proofErr w:type="spellStart"/>
            <w:r w:rsidRPr="001300A9">
              <w:rPr>
                <w:sz w:val="22"/>
                <w:szCs w:val="22"/>
              </w:rPr>
              <w:t>n.a</w:t>
            </w:r>
            <w:proofErr w:type="spellEnd"/>
            <w:r w:rsidRPr="001300A9">
              <w:rPr>
                <w:sz w:val="22"/>
                <w:szCs w:val="22"/>
              </w:rPr>
              <w:t>.</w:t>
            </w:r>
          </w:p>
        </w:tc>
        <w:tc>
          <w:tcPr>
            <w:tcW w:w="283" w:type="dxa"/>
          </w:tcPr>
          <w:p w14:paraId="011944D5" w14:textId="77777777" w:rsidR="00357CEC" w:rsidRPr="001300A9" w:rsidRDefault="00357CEC" w:rsidP="00357CEC">
            <w:pPr>
              <w:pStyle w:val="Default"/>
              <w:rPr>
                <w:sz w:val="22"/>
                <w:szCs w:val="22"/>
              </w:rPr>
            </w:pPr>
          </w:p>
        </w:tc>
        <w:tc>
          <w:tcPr>
            <w:tcW w:w="567" w:type="dxa"/>
          </w:tcPr>
          <w:p w14:paraId="4172575A" w14:textId="77777777" w:rsidR="00357CEC" w:rsidRPr="001300A9" w:rsidRDefault="00357CEC" w:rsidP="00357CEC">
            <w:pPr>
              <w:pStyle w:val="Default"/>
              <w:rPr>
                <w:sz w:val="22"/>
                <w:szCs w:val="22"/>
              </w:rPr>
            </w:pPr>
          </w:p>
        </w:tc>
        <w:tc>
          <w:tcPr>
            <w:tcW w:w="4253" w:type="dxa"/>
          </w:tcPr>
          <w:p w14:paraId="5A8DE579" w14:textId="77777777" w:rsidR="00357CEC" w:rsidRPr="001300A9" w:rsidRDefault="00357CEC" w:rsidP="00357CEC">
            <w:pPr>
              <w:pStyle w:val="Default"/>
              <w:rPr>
                <w:sz w:val="22"/>
                <w:szCs w:val="22"/>
              </w:rPr>
            </w:pPr>
          </w:p>
        </w:tc>
        <w:tc>
          <w:tcPr>
            <w:tcW w:w="567" w:type="dxa"/>
          </w:tcPr>
          <w:p w14:paraId="10A926BB" w14:textId="77777777" w:rsidR="00357CEC" w:rsidRPr="001300A9" w:rsidRDefault="00357CEC" w:rsidP="00357CEC">
            <w:pPr>
              <w:pStyle w:val="Default"/>
              <w:rPr>
                <w:sz w:val="22"/>
                <w:szCs w:val="22"/>
              </w:rPr>
            </w:pPr>
          </w:p>
        </w:tc>
        <w:tc>
          <w:tcPr>
            <w:tcW w:w="1276" w:type="dxa"/>
          </w:tcPr>
          <w:p w14:paraId="443F8A42" w14:textId="77777777" w:rsidR="00357CEC" w:rsidRPr="001300A9" w:rsidRDefault="00357CEC" w:rsidP="00357CEC">
            <w:pPr>
              <w:pStyle w:val="Default"/>
              <w:rPr>
                <w:sz w:val="22"/>
                <w:szCs w:val="22"/>
              </w:rPr>
            </w:pPr>
          </w:p>
        </w:tc>
        <w:tc>
          <w:tcPr>
            <w:tcW w:w="850" w:type="dxa"/>
          </w:tcPr>
          <w:p w14:paraId="54A7D3E7" w14:textId="77777777" w:rsidR="00357CEC" w:rsidRPr="001300A9" w:rsidRDefault="00357CEC" w:rsidP="00357CEC">
            <w:pPr>
              <w:pStyle w:val="Default"/>
              <w:rPr>
                <w:sz w:val="22"/>
                <w:szCs w:val="22"/>
              </w:rPr>
            </w:pPr>
          </w:p>
        </w:tc>
        <w:tc>
          <w:tcPr>
            <w:tcW w:w="815" w:type="dxa"/>
          </w:tcPr>
          <w:p w14:paraId="45791B29" w14:textId="77777777" w:rsidR="00357CEC" w:rsidRPr="001300A9" w:rsidRDefault="00357CEC" w:rsidP="00357CEC">
            <w:pPr>
              <w:pStyle w:val="Default"/>
              <w:rPr>
                <w:sz w:val="22"/>
                <w:szCs w:val="22"/>
              </w:rPr>
            </w:pPr>
          </w:p>
        </w:tc>
      </w:tr>
      <w:tr w:rsidR="00DD6EDC" w:rsidRPr="001300A9" w14:paraId="300666F2" w14:textId="77777777" w:rsidTr="360410BC">
        <w:tc>
          <w:tcPr>
            <w:tcW w:w="562" w:type="dxa"/>
          </w:tcPr>
          <w:p w14:paraId="5D2D1271" w14:textId="77777777" w:rsidR="00357CEC" w:rsidRPr="001300A9" w:rsidRDefault="00357CEC" w:rsidP="00357CEC">
            <w:pPr>
              <w:pStyle w:val="Default"/>
              <w:rPr>
                <w:sz w:val="22"/>
                <w:szCs w:val="22"/>
              </w:rPr>
            </w:pPr>
            <w:r w:rsidRPr="001300A9">
              <w:rPr>
                <w:sz w:val="22"/>
                <w:szCs w:val="22"/>
              </w:rPr>
              <w:t>Č: 1</w:t>
            </w:r>
          </w:p>
          <w:p w14:paraId="25295BA9" w14:textId="77777777" w:rsidR="00357CEC" w:rsidRPr="001300A9" w:rsidRDefault="00357CEC" w:rsidP="00357CEC">
            <w:pPr>
              <w:pStyle w:val="Default"/>
              <w:rPr>
                <w:sz w:val="22"/>
                <w:szCs w:val="22"/>
              </w:rPr>
            </w:pPr>
            <w:r w:rsidRPr="001300A9">
              <w:rPr>
                <w:sz w:val="22"/>
                <w:szCs w:val="22"/>
              </w:rPr>
              <w:t>O: 13</w:t>
            </w:r>
          </w:p>
          <w:p w14:paraId="3EAE175F" w14:textId="77777777" w:rsidR="00357CEC" w:rsidRPr="001300A9" w:rsidRDefault="00357CEC" w:rsidP="00357CEC">
            <w:pPr>
              <w:pStyle w:val="Default"/>
              <w:rPr>
                <w:sz w:val="22"/>
                <w:szCs w:val="22"/>
              </w:rPr>
            </w:pPr>
            <w:r w:rsidRPr="001300A9">
              <w:rPr>
                <w:sz w:val="22"/>
                <w:szCs w:val="22"/>
              </w:rPr>
              <w:t>P: c) iii)</w:t>
            </w:r>
          </w:p>
        </w:tc>
        <w:tc>
          <w:tcPr>
            <w:tcW w:w="4820" w:type="dxa"/>
          </w:tcPr>
          <w:p w14:paraId="37C35B19" w14:textId="77777777" w:rsidR="00357CEC" w:rsidRPr="001300A9" w:rsidRDefault="00357CEC" w:rsidP="00357CEC">
            <w:pPr>
              <w:pStyle w:val="Default"/>
              <w:rPr>
                <w:sz w:val="22"/>
                <w:szCs w:val="22"/>
              </w:rPr>
            </w:pPr>
            <w:r w:rsidRPr="001300A9">
              <w:rPr>
                <w:sz w:val="22"/>
                <w:szCs w:val="22"/>
              </w:rPr>
              <w:t>Odchylne od požiadaviek týkajúcich sa referenčných úrovní aromatických uhľovodíkov a syntetického plynu sa uvedené referenčné úrovne upravia o rovnaké percento ako referenčné úrovne týkajúce sa rafinérií, s cieľom zachovať rovnaké podmienky pre výrobcov týchto produktov.</w:t>
            </w:r>
          </w:p>
        </w:tc>
        <w:tc>
          <w:tcPr>
            <w:tcW w:w="567" w:type="dxa"/>
          </w:tcPr>
          <w:p w14:paraId="5C8AA1C7" w14:textId="77777777" w:rsidR="00357CEC" w:rsidRPr="001300A9" w:rsidRDefault="00357CEC" w:rsidP="00357CEC">
            <w:pPr>
              <w:pStyle w:val="Default"/>
              <w:rPr>
                <w:sz w:val="22"/>
                <w:szCs w:val="22"/>
              </w:rPr>
            </w:pPr>
            <w:proofErr w:type="spellStart"/>
            <w:r w:rsidRPr="001300A9">
              <w:rPr>
                <w:sz w:val="22"/>
                <w:szCs w:val="22"/>
              </w:rPr>
              <w:t>n.a</w:t>
            </w:r>
            <w:proofErr w:type="spellEnd"/>
            <w:r w:rsidRPr="001300A9">
              <w:rPr>
                <w:sz w:val="22"/>
                <w:szCs w:val="22"/>
              </w:rPr>
              <w:t>.</w:t>
            </w:r>
          </w:p>
        </w:tc>
        <w:tc>
          <w:tcPr>
            <w:tcW w:w="283" w:type="dxa"/>
          </w:tcPr>
          <w:p w14:paraId="4D6D2503" w14:textId="77777777" w:rsidR="00357CEC" w:rsidRPr="001300A9" w:rsidRDefault="00357CEC" w:rsidP="00357CEC">
            <w:pPr>
              <w:pStyle w:val="Default"/>
              <w:rPr>
                <w:sz w:val="22"/>
                <w:szCs w:val="22"/>
              </w:rPr>
            </w:pPr>
          </w:p>
        </w:tc>
        <w:tc>
          <w:tcPr>
            <w:tcW w:w="567" w:type="dxa"/>
          </w:tcPr>
          <w:p w14:paraId="6F31B622" w14:textId="77777777" w:rsidR="00357CEC" w:rsidRPr="001300A9" w:rsidRDefault="00357CEC" w:rsidP="00357CEC">
            <w:pPr>
              <w:pStyle w:val="Default"/>
              <w:rPr>
                <w:sz w:val="22"/>
                <w:szCs w:val="22"/>
              </w:rPr>
            </w:pPr>
          </w:p>
        </w:tc>
        <w:tc>
          <w:tcPr>
            <w:tcW w:w="4253" w:type="dxa"/>
          </w:tcPr>
          <w:p w14:paraId="61253295" w14:textId="77777777" w:rsidR="00357CEC" w:rsidRPr="001300A9" w:rsidRDefault="00357CEC" w:rsidP="00357CEC">
            <w:pPr>
              <w:pStyle w:val="Default"/>
              <w:rPr>
                <w:sz w:val="22"/>
                <w:szCs w:val="22"/>
              </w:rPr>
            </w:pPr>
          </w:p>
        </w:tc>
        <w:tc>
          <w:tcPr>
            <w:tcW w:w="567" w:type="dxa"/>
          </w:tcPr>
          <w:p w14:paraId="6B125E42" w14:textId="77777777" w:rsidR="00357CEC" w:rsidRPr="001300A9" w:rsidRDefault="00357CEC" w:rsidP="00357CEC">
            <w:pPr>
              <w:pStyle w:val="Default"/>
              <w:rPr>
                <w:sz w:val="22"/>
                <w:szCs w:val="22"/>
              </w:rPr>
            </w:pPr>
          </w:p>
        </w:tc>
        <w:tc>
          <w:tcPr>
            <w:tcW w:w="1276" w:type="dxa"/>
          </w:tcPr>
          <w:p w14:paraId="3AB70BE7" w14:textId="77777777" w:rsidR="00357CEC" w:rsidRPr="001300A9" w:rsidRDefault="00357CEC" w:rsidP="00357CEC">
            <w:pPr>
              <w:pStyle w:val="Default"/>
              <w:rPr>
                <w:sz w:val="22"/>
                <w:szCs w:val="22"/>
              </w:rPr>
            </w:pPr>
          </w:p>
        </w:tc>
        <w:tc>
          <w:tcPr>
            <w:tcW w:w="850" w:type="dxa"/>
          </w:tcPr>
          <w:p w14:paraId="1B507590" w14:textId="77777777" w:rsidR="00357CEC" w:rsidRPr="001300A9" w:rsidRDefault="00357CEC" w:rsidP="00357CEC">
            <w:pPr>
              <w:pStyle w:val="Default"/>
              <w:rPr>
                <w:sz w:val="22"/>
                <w:szCs w:val="22"/>
              </w:rPr>
            </w:pPr>
          </w:p>
        </w:tc>
        <w:tc>
          <w:tcPr>
            <w:tcW w:w="815" w:type="dxa"/>
          </w:tcPr>
          <w:p w14:paraId="78BAC437" w14:textId="77777777" w:rsidR="00357CEC" w:rsidRPr="001300A9" w:rsidRDefault="00357CEC" w:rsidP="00357CEC">
            <w:pPr>
              <w:pStyle w:val="Default"/>
              <w:rPr>
                <w:sz w:val="22"/>
                <w:szCs w:val="22"/>
              </w:rPr>
            </w:pPr>
          </w:p>
        </w:tc>
      </w:tr>
      <w:tr w:rsidR="00DD6EDC" w:rsidRPr="001300A9" w14:paraId="4D11FB4A" w14:textId="77777777" w:rsidTr="360410BC">
        <w:tc>
          <w:tcPr>
            <w:tcW w:w="562" w:type="dxa"/>
          </w:tcPr>
          <w:p w14:paraId="00A81A39" w14:textId="77777777" w:rsidR="00357CEC" w:rsidRPr="001300A9" w:rsidRDefault="00357CEC" w:rsidP="00357CEC">
            <w:pPr>
              <w:pStyle w:val="Default"/>
              <w:rPr>
                <w:sz w:val="22"/>
                <w:szCs w:val="22"/>
              </w:rPr>
            </w:pPr>
            <w:r w:rsidRPr="001300A9">
              <w:rPr>
                <w:sz w:val="22"/>
                <w:szCs w:val="22"/>
              </w:rPr>
              <w:t>Č: 1</w:t>
            </w:r>
          </w:p>
          <w:p w14:paraId="4C02BB0C" w14:textId="77777777" w:rsidR="00357CEC" w:rsidRPr="001300A9" w:rsidRDefault="00357CEC" w:rsidP="00357CEC">
            <w:pPr>
              <w:pStyle w:val="Default"/>
              <w:rPr>
                <w:sz w:val="22"/>
                <w:szCs w:val="22"/>
              </w:rPr>
            </w:pPr>
            <w:r w:rsidRPr="001300A9">
              <w:rPr>
                <w:sz w:val="22"/>
                <w:szCs w:val="22"/>
              </w:rPr>
              <w:t>O: 13</w:t>
            </w:r>
          </w:p>
          <w:p w14:paraId="1FCE99FF" w14:textId="77777777" w:rsidR="00357CEC" w:rsidRPr="001300A9" w:rsidRDefault="00357CEC" w:rsidP="00357CEC">
            <w:pPr>
              <w:pStyle w:val="Default"/>
              <w:rPr>
                <w:sz w:val="22"/>
                <w:szCs w:val="22"/>
              </w:rPr>
            </w:pPr>
            <w:r w:rsidRPr="001300A9">
              <w:rPr>
                <w:sz w:val="22"/>
                <w:szCs w:val="22"/>
              </w:rPr>
              <w:t>P: d)</w:t>
            </w:r>
          </w:p>
        </w:tc>
        <w:tc>
          <w:tcPr>
            <w:tcW w:w="4820" w:type="dxa"/>
          </w:tcPr>
          <w:p w14:paraId="53F69A63" w14:textId="1B3BC416" w:rsidR="00357CEC" w:rsidRPr="001300A9" w:rsidRDefault="00357CEC" w:rsidP="00BC4DD5">
            <w:pPr>
              <w:pStyle w:val="Default"/>
              <w:rPr>
                <w:sz w:val="22"/>
                <w:szCs w:val="22"/>
              </w:rPr>
            </w:pPr>
            <w:r w:rsidRPr="001300A9">
              <w:rPr>
                <w:sz w:val="22"/>
                <w:szCs w:val="22"/>
              </w:rPr>
              <w:t xml:space="preserve">odseky 3 a 4 sa vypúšťajú </w:t>
            </w:r>
          </w:p>
        </w:tc>
        <w:tc>
          <w:tcPr>
            <w:tcW w:w="567" w:type="dxa"/>
          </w:tcPr>
          <w:p w14:paraId="368D9E22" w14:textId="77777777" w:rsidR="00357CEC" w:rsidRPr="001300A9" w:rsidRDefault="00357CEC" w:rsidP="00357CEC">
            <w:pPr>
              <w:pStyle w:val="Default"/>
              <w:rPr>
                <w:sz w:val="22"/>
                <w:szCs w:val="22"/>
              </w:rPr>
            </w:pPr>
            <w:r w:rsidRPr="001300A9">
              <w:rPr>
                <w:sz w:val="22"/>
                <w:szCs w:val="22"/>
              </w:rPr>
              <w:t>N</w:t>
            </w:r>
          </w:p>
        </w:tc>
        <w:tc>
          <w:tcPr>
            <w:tcW w:w="283" w:type="dxa"/>
          </w:tcPr>
          <w:p w14:paraId="71F853D8" w14:textId="3505FE1B" w:rsidR="00357CEC" w:rsidRPr="001300A9" w:rsidRDefault="002C79F4" w:rsidP="00357CEC">
            <w:pPr>
              <w:pStyle w:val="Default"/>
              <w:rPr>
                <w:sz w:val="22"/>
                <w:szCs w:val="22"/>
              </w:rPr>
            </w:pPr>
            <w:r>
              <w:rPr>
                <w:sz w:val="22"/>
                <w:szCs w:val="22"/>
              </w:rPr>
              <w:t>NZ</w:t>
            </w:r>
          </w:p>
        </w:tc>
        <w:tc>
          <w:tcPr>
            <w:tcW w:w="567" w:type="dxa"/>
          </w:tcPr>
          <w:p w14:paraId="5EB568F9" w14:textId="17CC8675" w:rsidR="00357CEC" w:rsidRPr="001300A9" w:rsidRDefault="00134F85" w:rsidP="00357CEC">
            <w:pPr>
              <w:pStyle w:val="Default"/>
              <w:rPr>
                <w:sz w:val="22"/>
                <w:szCs w:val="22"/>
              </w:rPr>
            </w:pPr>
            <w:r>
              <w:rPr>
                <w:sz w:val="22"/>
                <w:szCs w:val="22"/>
              </w:rPr>
              <w:t>Č:I§:2 P:o</w:t>
            </w:r>
          </w:p>
        </w:tc>
        <w:tc>
          <w:tcPr>
            <w:tcW w:w="4253" w:type="dxa"/>
          </w:tcPr>
          <w:p w14:paraId="7088FAAF" w14:textId="5927599A" w:rsidR="00357CEC" w:rsidRPr="001300A9" w:rsidRDefault="00E7234C" w:rsidP="00357CEC">
            <w:pPr>
              <w:pStyle w:val="Default"/>
              <w:rPr>
                <w:sz w:val="22"/>
                <w:szCs w:val="22"/>
              </w:rPr>
            </w:pPr>
            <w:r w:rsidRPr="001300A9">
              <w:rPr>
                <w:sz w:val="22"/>
                <w:szCs w:val="22"/>
              </w:rPr>
              <w:t xml:space="preserve">V § 2 sa vypúšťa písmeno o).  </w:t>
            </w:r>
          </w:p>
        </w:tc>
        <w:tc>
          <w:tcPr>
            <w:tcW w:w="567" w:type="dxa"/>
          </w:tcPr>
          <w:p w14:paraId="520610CC" w14:textId="5EDE41DA" w:rsidR="00357CEC" w:rsidRPr="001300A9" w:rsidRDefault="00BC4DD5" w:rsidP="00357CEC">
            <w:pPr>
              <w:pStyle w:val="Default"/>
              <w:rPr>
                <w:sz w:val="22"/>
                <w:szCs w:val="22"/>
              </w:rPr>
            </w:pPr>
            <w:r w:rsidRPr="001300A9">
              <w:rPr>
                <w:sz w:val="22"/>
                <w:szCs w:val="22"/>
              </w:rPr>
              <w:t>Ú</w:t>
            </w:r>
          </w:p>
        </w:tc>
        <w:tc>
          <w:tcPr>
            <w:tcW w:w="1276" w:type="dxa"/>
          </w:tcPr>
          <w:p w14:paraId="4DBF3A73" w14:textId="0B944A22" w:rsidR="00357CEC" w:rsidRPr="001300A9" w:rsidRDefault="00EB59BA" w:rsidP="00357CEC">
            <w:pPr>
              <w:pStyle w:val="Default"/>
              <w:rPr>
                <w:sz w:val="22"/>
                <w:szCs w:val="22"/>
              </w:rPr>
            </w:pPr>
            <w:r w:rsidRPr="00EB59BA">
              <w:rPr>
                <w:sz w:val="22"/>
                <w:szCs w:val="22"/>
              </w:rPr>
              <w:t xml:space="preserve">výrobcom elektrickej energie prevádzkovateľ prevádzky, ktorá od 1. januára 2005 vyrábala elektrickú energiu na predaj tretím </w:t>
            </w:r>
            <w:r w:rsidRPr="00EB59BA">
              <w:rPr>
                <w:sz w:val="22"/>
                <w:szCs w:val="22"/>
              </w:rPr>
              <w:lastRenderedPageBreak/>
              <w:t xml:space="preserve">stranám a v ktorej sa nevykonávala iná činnosť uvedená v prílohe č. 1 tabuľkách A </w:t>
            </w:r>
            <w:proofErr w:type="spellStart"/>
            <w:r w:rsidRPr="00EB59BA">
              <w:rPr>
                <w:sz w:val="22"/>
                <w:szCs w:val="22"/>
              </w:rPr>
              <w:t>a</w:t>
            </w:r>
            <w:proofErr w:type="spellEnd"/>
            <w:r w:rsidRPr="00EB59BA">
              <w:rPr>
                <w:sz w:val="22"/>
                <w:szCs w:val="22"/>
              </w:rPr>
              <w:t xml:space="preserve"> B okrem spaľovania palív</w:t>
            </w:r>
          </w:p>
        </w:tc>
        <w:tc>
          <w:tcPr>
            <w:tcW w:w="850" w:type="dxa"/>
          </w:tcPr>
          <w:p w14:paraId="3C322D89" w14:textId="263FAC9F" w:rsidR="00357CEC" w:rsidRPr="001300A9" w:rsidRDefault="00BC4DD5" w:rsidP="00357CEC">
            <w:pPr>
              <w:pStyle w:val="Default"/>
              <w:rPr>
                <w:sz w:val="22"/>
                <w:szCs w:val="22"/>
              </w:rPr>
            </w:pPr>
            <w:r w:rsidRPr="001300A9">
              <w:rPr>
                <w:sz w:val="22"/>
                <w:szCs w:val="22"/>
              </w:rPr>
              <w:lastRenderedPageBreak/>
              <w:t>GP - N</w:t>
            </w:r>
          </w:p>
        </w:tc>
        <w:tc>
          <w:tcPr>
            <w:tcW w:w="815" w:type="dxa"/>
          </w:tcPr>
          <w:p w14:paraId="6C09BFDA" w14:textId="77777777" w:rsidR="00357CEC" w:rsidRPr="001300A9" w:rsidRDefault="00357CEC" w:rsidP="00357CEC">
            <w:pPr>
              <w:pStyle w:val="Default"/>
              <w:rPr>
                <w:sz w:val="22"/>
                <w:szCs w:val="22"/>
              </w:rPr>
            </w:pPr>
          </w:p>
        </w:tc>
      </w:tr>
      <w:tr w:rsidR="00DD6EDC" w:rsidRPr="001300A9" w14:paraId="6225F5E3" w14:textId="77777777" w:rsidTr="360410BC">
        <w:tc>
          <w:tcPr>
            <w:tcW w:w="562" w:type="dxa"/>
          </w:tcPr>
          <w:p w14:paraId="45E231B4" w14:textId="77777777" w:rsidR="00357CEC" w:rsidRPr="001300A9" w:rsidRDefault="00357CEC" w:rsidP="00357CEC">
            <w:pPr>
              <w:pStyle w:val="Default"/>
              <w:rPr>
                <w:sz w:val="22"/>
                <w:szCs w:val="22"/>
              </w:rPr>
            </w:pPr>
            <w:r w:rsidRPr="001300A9">
              <w:rPr>
                <w:sz w:val="22"/>
                <w:szCs w:val="22"/>
              </w:rPr>
              <w:t>Č: 1</w:t>
            </w:r>
          </w:p>
          <w:p w14:paraId="1199AED8" w14:textId="77777777" w:rsidR="00357CEC" w:rsidRPr="001300A9" w:rsidRDefault="00357CEC" w:rsidP="00357CEC">
            <w:pPr>
              <w:pStyle w:val="Default"/>
              <w:rPr>
                <w:sz w:val="22"/>
                <w:szCs w:val="22"/>
              </w:rPr>
            </w:pPr>
            <w:r w:rsidRPr="001300A9">
              <w:rPr>
                <w:sz w:val="22"/>
                <w:szCs w:val="22"/>
              </w:rPr>
              <w:t>O: 13</w:t>
            </w:r>
          </w:p>
          <w:p w14:paraId="4FD54FE3" w14:textId="77777777" w:rsidR="00357CEC" w:rsidRPr="001300A9" w:rsidRDefault="00357CEC" w:rsidP="00357CEC">
            <w:pPr>
              <w:pStyle w:val="Default"/>
              <w:rPr>
                <w:sz w:val="22"/>
                <w:szCs w:val="22"/>
              </w:rPr>
            </w:pPr>
            <w:r w:rsidRPr="001300A9">
              <w:rPr>
                <w:sz w:val="22"/>
                <w:szCs w:val="22"/>
              </w:rPr>
              <w:t>P: e)</w:t>
            </w:r>
          </w:p>
        </w:tc>
        <w:tc>
          <w:tcPr>
            <w:tcW w:w="4820" w:type="dxa"/>
          </w:tcPr>
          <w:p w14:paraId="456692E1" w14:textId="77777777" w:rsidR="00357CEC" w:rsidRPr="001300A9" w:rsidRDefault="00357CEC" w:rsidP="00357CEC">
            <w:pPr>
              <w:pStyle w:val="Default"/>
              <w:rPr>
                <w:sz w:val="22"/>
                <w:szCs w:val="22"/>
              </w:rPr>
            </w:pPr>
            <w:r w:rsidRPr="001300A9">
              <w:rPr>
                <w:sz w:val="22"/>
                <w:szCs w:val="22"/>
              </w:rPr>
              <w:t>5. S cieľom dodržať podiel obchodovania formou aukcie stanovený v článku 10 sa každý rok, v ktorom množstvo bezodplatne pridelených kvót nedosiahne maximálne množstvo zodpovedajúce podielu obchodovania formou aukcie, zostávajúce kvóty do daného množstva sa použijú na zabránenie zníženiu množstva bezodplatne pridelených kvót alebo obmedzenie jeho zníženia, aby sa zachoval podiel obchodovania formou aukcie v ďalších rokoch. Ak sa maximálne množstvo napriek tomu dosiahne, bezodplatne pridelené kvóty sa zodpovedajúcim spôsobom upravia. Každá takáto úprava sa vykonáva jednotným spôsobom. Zariadenia, ktorých úrovne emisií skleníkových plynov sú pod priemerom 10 % najúčinnejších zariadení v odvetví alebo pododvetví v Únii pre príslušné referenčné úrovne v roku, v ktorom sa úprava uplatňuje, sú však z úpravy vyňaté.</w:t>
            </w:r>
          </w:p>
        </w:tc>
        <w:tc>
          <w:tcPr>
            <w:tcW w:w="567" w:type="dxa"/>
          </w:tcPr>
          <w:p w14:paraId="0B1D8C4C" w14:textId="77777777" w:rsidR="00357CEC" w:rsidRPr="001300A9" w:rsidRDefault="00357CEC" w:rsidP="00357CEC">
            <w:pPr>
              <w:pStyle w:val="Default"/>
              <w:rPr>
                <w:sz w:val="22"/>
                <w:szCs w:val="22"/>
              </w:rPr>
            </w:pPr>
            <w:proofErr w:type="spellStart"/>
            <w:r w:rsidRPr="001300A9">
              <w:rPr>
                <w:sz w:val="22"/>
                <w:szCs w:val="22"/>
              </w:rPr>
              <w:t>n.a</w:t>
            </w:r>
            <w:proofErr w:type="spellEnd"/>
            <w:r w:rsidRPr="001300A9">
              <w:rPr>
                <w:sz w:val="22"/>
                <w:szCs w:val="22"/>
              </w:rPr>
              <w:t>.</w:t>
            </w:r>
          </w:p>
        </w:tc>
        <w:tc>
          <w:tcPr>
            <w:tcW w:w="283" w:type="dxa"/>
          </w:tcPr>
          <w:p w14:paraId="079BE8D3" w14:textId="77777777" w:rsidR="00357CEC" w:rsidRPr="001300A9" w:rsidRDefault="00357CEC" w:rsidP="00357CEC">
            <w:pPr>
              <w:pStyle w:val="Default"/>
              <w:rPr>
                <w:sz w:val="22"/>
                <w:szCs w:val="22"/>
              </w:rPr>
            </w:pPr>
          </w:p>
        </w:tc>
        <w:tc>
          <w:tcPr>
            <w:tcW w:w="567" w:type="dxa"/>
          </w:tcPr>
          <w:p w14:paraId="033F9663" w14:textId="77777777" w:rsidR="00357CEC" w:rsidRPr="001300A9" w:rsidRDefault="00357CEC" w:rsidP="00357CEC">
            <w:pPr>
              <w:pStyle w:val="Default"/>
              <w:rPr>
                <w:sz w:val="22"/>
                <w:szCs w:val="22"/>
              </w:rPr>
            </w:pPr>
          </w:p>
        </w:tc>
        <w:tc>
          <w:tcPr>
            <w:tcW w:w="4253" w:type="dxa"/>
          </w:tcPr>
          <w:p w14:paraId="3978FC21" w14:textId="77777777" w:rsidR="00357CEC" w:rsidRPr="001300A9" w:rsidRDefault="00357CEC" w:rsidP="00357CEC">
            <w:pPr>
              <w:pStyle w:val="Default"/>
              <w:rPr>
                <w:sz w:val="22"/>
                <w:szCs w:val="22"/>
              </w:rPr>
            </w:pPr>
          </w:p>
        </w:tc>
        <w:tc>
          <w:tcPr>
            <w:tcW w:w="567" w:type="dxa"/>
          </w:tcPr>
          <w:p w14:paraId="716D3F40" w14:textId="77777777" w:rsidR="00357CEC" w:rsidRPr="001300A9" w:rsidRDefault="00357CEC" w:rsidP="00357CEC">
            <w:pPr>
              <w:pStyle w:val="Default"/>
              <w:rPr>
                <w:sz w:val="22"/>
                <w:szCs w:val="22"/>
              </w:rPr>
            </w:pPr>
          </w:p>
        </w:tc>
        <w:tc>
          <w:tcPr>
            <w:tcW w:w="1276" w:type="dxa"/>
          </w:tcPr>
          <w:p w14:paraId="0720731D" w14:textId="77777777" w:rsidR="00357CEC" w:rsidRPr="001300A9" w:rsidRDefault="00357CEC" w:rsidP="00357CEC">
            <w:pPr>
              <w:pStyle w:val="Default"/>
              <w:rPr>
                <w:sz w:val="22"/>
                <w:szCs w:val="22"/>
              </w:rPr>
            </w:pPr>
          </w:p>
        </w:tc>
        <w:tc>
          <w:tcPr>
            <w:tcW w:w="850" w:type="dxa"/>
          </w:tcPr>
          <w:p w14:paraId="02ECD291" w14:textId="77777777" w:rsidR="00357CEC" w:rsidRPr="001300A9" w:rsidRDefault="00357CEC" w:rsidP="00357CEC">
            <w:pPr>
              <w:pStyle w:val="Default"/>
              <w:rPr>
                <w:sz w:val="22"/>
                <w:szCs w:val="22"/>
              </w:rPr>
            </w:pPr>
          </w:p>
        </w:tc>
        <w:tc>
          <w:tcPr>
            <w:tcW w:w="815" w:type="dxa"/>
          </w:tcPr>
          <w:p w14:paraId="5256AC89" w14:textId="77777777" w:rsidR="00357CEC" w:rsidRPr="001300A9" w:rsidRDefault="00357CEC" w:rsidP="00357CEC">
            <w:pPr>
              <w:pStyle w:val="Default"/>
              <w:rPr>
                <w:sz w:val="22"/>
                <w:szCs w:val="22"/>
              </w:rPr>
            </w:pPr>
          </w:p>
        </w:tc>
      </w:tr>
      <w:tr w:rsidR="00DD6EDC" w:rsidRPr="001300A9" w14:paraId="164CC379" w14:textId="77777777" w:rsidTr="360410BC">
        <w:tc>
          <w:tcPr>
            <w:tcW w:w="562" w:type="dxa"/>
          </w:tcPr>
          <w:p w14:paraId="6556E871" w14:textId="77777777" w:rsidR="00357CEC" w:rsidRPr="001300A9" w:rsidRDefault="00357CEC" w:rsidP="00357CEC">
            <w:pPr>
              <w:pStyle w:val="Default"/>
              <w:rPr>
                <w:sz w:val="22"/>
                <w:szCs w:val="22"/>
              </w:rPr>
            </w:pPr>
            <w:r w:rsidRPr="001300A9">
              <w:rPr>
                <w:sz w:val="22"/>
                <w:szCs w:val="22"/>
              </w:rPr>
              <w:t>Č: 1</w:t>
            </w:r>
          </w:p>
          <w:p w14:paraId="5220353B" w14:textId="77777777" w:rsidR="00357CEC" w:rsidRPr="001300A9" w:rsidRDefault="00357CEC" w:rsidP="00357CEC">
            <w:pPr>
              <w:pStyle w:val="Default"/>
              <w:rPr>
                <w:sz w:val="22"/>
                <w:szCs w:val="22"/>
              </w:rPr>
            </w:pPr>
            <w:r w:rsidRPr="001300A9">
              <w:rPr>
                <w:sz w:val="22"/>
                <w:szCs w:val="22"/>
              </w:rPr>
              <w:t>O: 13</w:t>
            </w:r>
          </w:p>
          <w:p w14:paraId="38A6EDC7" w14:textId="77777777" w:rsidR="00357CEC" w:rsidRPr="001300A9" w:rsidRDefault="00357CEC" w:rsidP="00357CEC">
            <w:pPr>
              <w:pStyle w:val="Default"/>
              <w:rPr>
                <w:sz w:val="22"/>
                <w:szCs w:val="22"/>
              </w:rPr>
            </w:pPr>
            <w:r w:rsidRPr="001300A9">
              <w:rPr>
                <w:sz w:val="22"/>
                <w:szCs w:val="22"/>
              </w:rPr>
              <w:lastRenderedPageBreak/>
              <w:t>P: f)</w:t>
            </w:r>
          </w:p>
        </w:tc>
        <w:tc>
          <w:tcPr>
            <w:tcW w:w="4820" w:type="dxa"/>
          </w:tcPr>
          <w:p w14:paraId="76FCC0DC" w14:textId="77777777" w:rsidR="00357CEC" w:rsidRPr="001300A9" w:rsidRDefault="00357CEC" w:rsidP="00357CEC">
            <w:pPr>
              <w:pStyle w:val="Default"/>
              <w:rPr>
                <w:sz w:val="22"/>
                <w:szCs w:val="22"/>
              </w:rPr>
            </w:pPr>
            <w:r w:rsidRPr="001300A9">
              <w:rPr>
                <w:sz w:val="22"/>
                <w:szCs w:val="22"/>
              </w:rPr>
              <w:lastRenderedPageBreak/>
              <w:t xml:space="preserve">Členské štáty by mali prijať finančné opatrenia v súlade s druhým a štvrtým </w:t>
            </w:r>
            <w:proofErr w:type="spellStart"/>
            <w:r w:rsidRPr="001300A9">
              <w:rPr>
                <w:sz w:val="22"/>
                <w:szCs w:val="22"/>
              </w:rPr>
              <w:t>pododsekom</w:t>
            </w:r>
            <w:proofErr w:type="spellEnd"/>
            <w:r w:rsidRPr="001300A9">
              <w:rPr>
                <w:sz w:val="22"/>
                <w:szCs w:val="22"/>
              </w:rPr>
              <w:t xml:space="preserve"> tohto odseku v prospech odvetví alebo pododvetví vystavených skutočnému riziku úniku uhlíka v dôsledku značných nepriamych nákladov, ktoré v skutočnosti </w:t>
            </w:r>
            <w:r w:rsidRPr="001300A9">
              <w:rPr>
                <w:sz w:val="22"/>
                <w:szCs w:val="22"/>
              </w:rPr>
              <w:lastRenderedPageBreak/>
              <w:t>vznikajú premietnutím nákladov na emisie skleníkových plynov do cien elektrickej energie, a to za predpokladu, že takéto finančné opatrenia sú v súlade s pravidlami štátnej pomoci, a predovšetkým za predpokladu, že nespôsobujú nenáležité narušenie hospodárskej súťaže na vnútornom trhu. Prijaté finančné opatrenia by nemali kompenzovať nepriame náklady, na ktoré sa vzťahuje bezodplatné prideľovanie kvót v súlade s referenčnými hodnotami stanovenými podľa odseku 1 tohto článku. Ak členský štát vynaloží sumu vyššiu ako ekvivalent 25 % príjmov z aukcií uvedených v článku 10 ods. 3 za rok, v ktorom dané nepriame náklady vznikli, musí uviesť dôvody prekročenia danej sumy.</w:t>
            </w:r>
          </w:p>
        </w:tc>
        <w:tc>
          <w:tcPr>
            <w:tcW w:w="567" w:type="dxa"/>
          </w:tcPr>
          <w:p w14:paraId="597FA265" w14:textId="77777777" w:rsidR="00357CEC" w:rsidRPr="001300A9" w:rsidRDefault="00357CEC" w:rsidP="00357CEC">
            <w:pPr>
              <w:pStyle w:val="Default"/>
              <w:rPr>
                <w:sz w:val="22"/>
                <w:szCs w:val="22"/>
              </w:rPr>
            </w:pPr>
            <w:r w:rsidRPr="001300A9">
              <w:rPr>
                <w:sz w:val="22"/>
                <w:szCs w:val="22"/>
              </w:rPr>
              <w:lastRenderedPageBreak/>
              <w:t>D</w:t>
            </w:r>
          </w:p>
        </w:tc>
        <w:tc>
          <w:tcPr>
            <w:tcW w:w="283" w:type="dxa"/>
          </w:tcPr>
          <w:p w14:paraId="331DA19F" w14:textId="77777777" w:rsidR="00357CEC" w:rsidRDefault="002C79F4" w:rsidP="00357CEC">
            <w:pPr>
              <w:pStyle w:val="Default"/>
              <w:rPr>
                <w:sz w:val="22"/>
                <w:szCs w:val="22"/>
              </w:rPr>
            </w:pPr>
            <w:r>
              <w:rPr>
                <w:sz w:val="22"/>
                <w:szCs w:val="22"/>
              </w:rPr>
              <w:t>NZ</w:t>
            </w:r>
          </w:p>
          <w:p w14:paraId="67A1C3C5" w14:textId="77777777" w:rsidR="00436704" w:rsidRDefault="00436704" w:rsidP="00357CEC">
            <w:pPr>
              <w:pStyle w:val="Default"/>
              <w:rPr>
                <w:sz w:val="22"/>
                <w:szCs w:val="22"/>
              </w:rPr>
            </w:pPr>
          </w:p>
          <w:p w14:paraId="10510EE1" w14:textId="77777777" w:rsidR="00436704" w:rsidRDefault="00436704" w:rsidP="00357CEC">
            <w:pPr>
              <w:pStyle w:val="Default"/>
              <w:rPr>
                <w:sz w:val="22"/>
                <w:szCs w:val="22"/>
              </w:rPr>
            </w:pPr>
          </w:p>
          <w:p w14:paraId="7B93C132" w14:textId="77777777" w:rsidR="00436704" w:rsidRDefault="00436704" w:rsidP="00357CEC">
            <w:pPr>
              <w:pStyle w:val="Default"/>
              <w:rPr>
                <w:sz w:val="22"/>
                <w:szCs w:val="22"/>
              </w:rPr>
            </w:pPr>
          </w:p>
          <w:p w14:paraId="1724FDE2" w14:textId="77777777" w:rsidR="00436704" w:rsidRDefault="00436704" w:rsidP="00357CEC">
            <w:pPr>
              <w:pStyle w:val="Default"/>
              <w:rPr>
                <w:sz w:val="22"/>
                <w:szCs w:val="22"/>
              </w:rPr>
            </w:pPr>
          </w:p>
          <w:p w14:paraId="223F1340" w14:textId="77777777" w:rsidR="00436704" w:rsidRDefault="00436704" w:rsidP="00357CEC">
            <w:pPr>
              <w:pStyle w:val="Default"/>
              <w:rPr>
                <w:sz w:val="22"/>
                <w:szCs w:val="22"/>
              </w:rPr>
            </w:pPr>
          </w:p>
          <w:p w14:paraId="659EE927" w14:textId="77777777" w:rsidR="00436704" w:rsidRDefault="00436704" w:rsidP="00357CEC">
            <w:pPr>
              <w:pStyle w:val="Default"/>
              <w:rPr>
                <w:sz w:val="22"/>
                <w:szCs w:val="22"/>
              </w:rPr>
            </w:pPr>
          </w:p>
          <w:p w14:paraId="2BC5859D" w14:textId="77777777" w:rsidR="00436704" w:rsidRDefault="00436704" w:rsidP="00357CEC">
            <w:pPr>
              <w:pStyle w:val="Default"/>
              <w:rPr>
                <w:sz w:val="22"/>
                <w:szCs w:val="22"/>
              </w:rPr>
            </w:pPr>
          </w:p>
          <w:p w14:paraId="47596DAA" w14:textId="77777777" w:rsidR="00436704" w:rsidRDefault="00436704" w:rsidP="00357CEC">
            <w:pPr>
              <w:pStyle w:val="Default"/>
              <w:rPr>
                <w:sz w:val="22"/>
                <w:szCs w:val="22"/>
              </w:rPr>
            </w:pPr>
          </w:p>
          <w:p w14:paraId="203DB811" w14:textId="079EDF3E" w:rsidR="00134F85" w:rsidRDefault="00134F85" w:rsidP="00357CEC">
            <w:pPr>
              <w:pStyle w:val="Default"/>
              <w:rPr>
                <w:sz w:val="22"/>
                <w:szCs w:val="22"/>
              </w:rPr>
            </w:pPr>
          </w:p>
          <w:p w14:paraId="1085DAE1" w14:textId="1E2F863E" w:rsidR="00436704" w:rsidRPr="001300A9" w:rsidRDefault="00436704" w:rsidP="00357CEC">
            <w:pPr>
              <w:pStyle w:val="Default"/>
              <w:rPr>
                <w:sz w:val="22"/>
                <w:szCs w:val="22"/>
              </w:rPr>
            </w:pPr>
            <w:r>
              <w:rPr>
                <w:sz w:val="22"/>
                <w:szCs w:val="22"/>
              </w:rPr>
              <w:t>414/2012</w:t>
            </w:r>
          </w:p>
        </w:tc>
        <w:tc>
          <w:tcPr>
            <w:tcW w:w="567" w:type="dxa"/>
          </w:tcPr>
          <w:p w14:paraId="701B4B16" w14:textId="77777777" w:rsidR="00134F85" w:rsidRPr="00223C49" w:rsidRDefault="00134F85" w:rsidP="00357CEC">
            <w:pPr>
              <w:pStyle w:val="Default"/>
              <w:rPr>
                <w:sz w:val="22"/>
                <w:szCs w:val="22"/>
              </w:rPr>
            </w:pPr>
            <w:r w:rsidRPr="00223C49">
              <w:rPr>
                <w:sz w:val="22"/>
                <w:szCs w:val="22"/>
              </w:rPr>
              <w:lastRenderedPageBreak/>
              <w:t>Č:I</w:t>
            </w:r>
            <w:r w:rsidR="00CA5E3D" w:rsidRPr="00223C49">
              <w:rPr>
                <w:sz w:val="22"/>
                <w:szCs w:val="22"/>
              </w:rPr>
              <w:t>§</w:t>
            </w:r>
            <w:r w:rsidRPr="00223C49">
              <w:rPr>
                <w:sz w:val="22"/>
                <w:szCs w:val="22"/>
              </w:rPr>
              <w:t>:</w:t>
            </w:r>
            <w:r w:rsidR="00CA5E3D" w:rsidRPr="00223C49">
              <w:rPr>
                <w:sz w:val="22"/>
                <w:szCs w:val="22"/>
              </w:rPr>
              <w:t>18</w:t>
            </w:r>
          </w:p>
          <w:p w14:paraId="2A983670" w14:textId="6781AE18" w:rsidR="00357CEC" w:rsidRDefault="00134F85" w:rsidP="00357CEC">
            <w:pPr>
              <w:pStyle w:val="Default"/>
              <w:rPr>
                <w:sz w:val="22"/>
                <w:szCs w:val="22"/>
              </w:rPr>
            </w:pPr>
            <w:r w:rsidRPr="00223C49">
              <w:rPr>
                <w:sz w:val="22"/>
                <w:szCs w:val="22"/>
              </w:rPr>
              <w:t>O:</w:t>
            </w:r>
            <w:r w:rsidR="00CA5E3D" w:rsidRPr="00223C49">
              <w:rPr>
                <w:sz w:val="22"/>
                <w:szCs w:val="22"/>
              </w:rPr>
              <w:t xml:space="preserve">8 </w:t>
            </w:r>
            <w:r w:rsidRPr="00223C49">
              <w:rPr>
                <w:sz w:val="22"/>
                <w:szCs w:val="22"/>
              </w:rPr>
              <w:t>P:</w:t>
            </w:r>
            <w:r w:rsidR="00CA5E3D" w:rsidRPr="00223C49">
              <w:rPr>
                <w:sz w:val="22"/>
                <w:szCs w:val="22"/>
              </w:rPr>
              <w:t>c</w:t>
            </w:r>
          </w:p>
          <w:p w14:paraId="741B0630" w14:textId="77777777" w:rsidR="00CA5E3D" w:rsidRDefault="00CA5E3D" w:rsidP="00357CEC">
            <w:pPr>
              <w:pStyle w:val="Default"/>
              <w:rPr>
                <w:sz w:val="22"/>
                <w:szCs w:val="22"/>
              </w:rPr>
            </w:pPr>
          </w:p>
          <w:p w14:paraId="34370DCB" w14:textId="77777777" w:rsidR="00134F85" w:rsidRDefault="00134F85" w:rsidP="00357CEC">
            <w:pPr>
              <w:pStyle w:val="Default"/>
              <w:rPr>
                <w:sz w:val="22"/>
                <w:szCs w:val="22"/>
              </w:rPr>
            </w:pPr>
          </w:p>
          <w:p w14:paraId="3C395A2F" w14:textId="77777777" w:rsidR="00134F85" w:rsidRDefault="00134F85" w:rsidP="00357CEC">
            <w:pPr>
              <w:pStyle w:val="Default"/>
              <w:rPr>
                <w:sz w:val="22"/>
                <w:szCs w:val="22"/>
              </w:rPr>
            </w:pPr>
          </w:p>
          <w:p w14:paraId="29B5F7F6" w14:textId="77777777" w:rsidR="00134F85" w:rsidRDefault="00134F85" w:rsidP="00357CEC">
            <w:pPr>
              <w:pStyle w:val="Default"/>
              <w:rPr>
                <w:sz w:val="22"/>
                <w:szCs w:val="22"/>
              </w:rPr>
            </w:pPr>
          </w:p>
          <w:p w14:paraId="39AB596A" w14:textId="77777777" w:rsidR="00134F85" w:rsidRDefault="00134F85" w:rsidP="00357CEC">
            <w:pPr>
              <w:pStyle w:val="Default"/>
              <w:rPr>
                <w:sz w:val="22"/>
                <w:szCs w:val="22"/>
              </w:rPr>
            </w:pPr>
          </w:p>
          <w:p w14:paraId="620C05FB" w14:textId="7C4843D5" w:rsidR="00134F85" w:rsidRDefault="00134F85" w:rsidP="00357CEC">
            <w:pPr>
              <w:pStyle w:val="Default"/>
              <w:rPr>
                <w:sz w:val="22"/>
                <w:szCs w:val="22"/>
              </w:rPr>
            </w:pPr>
          </w:p>
          <w:p w14:paraId="03E3779A" w14:textId="25C06C6B" w:rsidR="00134F85" w:rsidRPr="004B3A4A" w:rsidRDefault="00134F85" w:rsidP="00357CEC">
            <w:pPr>
              <w:pStyle w:val="Default"/>
              <w:rPr>
                <w:sz w:val="22"/>
                <w:szCs w:val="22"/>
              </w:rPr>
            </w:pPr>
            <w:r w:rsidRPr="004B3A4A">
              <w:rPr>
                <w:sz w:val="22"/>
                <w:szCs w:val="22"/>
              </w:rPr>
              <w:t>Č:I</w:t>
            </w:r>
            <w:r w:rsidR="00CA5E3D" w:rsidRPr="004B3A4A">
              <w:rPr>
                <w:sz w:val="22"/>
                <w:szCs w:val="22"/>
              </w:rPr>
              <w:t>§</w:t>
            </w:r>
            <w:r w:rsidRPr="004B3A4A">
              <w:rPr>
                <w:sz w:val="22"/>
                <w:szCs w:val="22"/>
              </w:rPr>
              <w:t>:</w:t>
            </w:r>
            <w:r w:rsidR="00CA5E3D" w:rsidRPr="004B3A4A">
              <w:rPr>
                <w:sz w:val="22"/>
                <w:szCs w:val="22"/>
              </w:rPr>
              <w:t>32</w:t>
            </w:r>
          </w:p>
          <w:p w14:paraId="7A2AA993" w14:textId="0C6FF708" w:rsidR="00CA5E3D" w:rsidRPr="001300A9" w:rsidRDefault="00134F85" w:rsidP="00357CEC">
            <w:pPr>
              <w:pStyle w:val="Default"/>
              <w:rPr>
                <w:sz w:val="22"/>
                <w:szCs w:val="22"/>
              </w:rPr>
            </w:pPr>
            <w:r w:rsidRPr="004B3A4A">
              <w:rPr>
                <w:sz w:val="22"/>
                <w:szCs w:val="22"/>
              </w:rPr>
              <w:t>O:</w:t>
            </w:r>
            <w:r w:rsidR="00CA5E3D" w:rsidRPr="004B3A4A">
              <w:rPr>
                <w:sz w:val="22"/>
                <w:szCs w:val="22"/>
              </w:rPr>
              <w:t>3 a 4</w:t>
            </w:r>
          </w:p>
        </w:tc>
        <w:tc>
          <w:tcPr>
            <w:tcW w:w="4253" w:type="dxa"/>
          </w:tcPr>
          <w:p w14:paraId="6F832DD6" w14:textId="77777777" w:rsidR="00357CEC" w:rsidRDefault="00CA5E3D" w:rsidP="00357CEC">
            <w:pPr>
              <w:pStyle w:val="Default"/>
              <w:rPr>
                <w:sz w:val="22"/>
                <w:szCs w:val="22"/>
              </w:rPr>
            </w:pPr>
            <w:r>
              <w:rPr>
                <w:sz w:val="22"/>
                <w:szCs w:val="22"/>
              </w:rPr>
              <w:lastRenderedPageBreak/>
              <w:t xml:space="preserve">(8) </w:t>
            </w:r>
            <w:r w:rsidRPr="00CA5E3D">
              <w:rPr>
                <w:sz w:val="22"/>
                <w:szCs w:val="22"/>
              </w:rPr>
              <w:t>Výnos získaný z dražieb kvót podľa odsekov 1 a 2 je príjmom Environmentálneho fondu, pričom sa použije na</w:t>
            </w:r>
          </w:p>
          <w:p w14:paraId="7AD8057E" w14:textId="77777777" w:rsidR="00CA5E3D" w:rsidRDefault="00CA5E3D" w:rsidP="00357CEC">
            <w:pPr>
              <w:pStyle w:val="Default"/>
              <w:rPr>
                <w:sz w:val="22"/>
                <w:szCs w:val="22"/>
              </w:rPr>
            </w:pPr>
            <w:r>
              <w:rPr>
                <w:sz w:val="22"/>
                <w:szCs w:val="22"/>
              </w:rPr>
              <w:lastRenderedPageBreak/>
              <w:t xml:space="preserve">c) </w:t>
            </w:r>
            <w:r w:rsidRPr="00CA5E3D">
              <w:rPr>
                <w:sz w:val="22"/>
                <w:szCs w:val="22"/>
              </w:rPr>
              <w:t>financovanie schémy štátnej pomoci prevádzkam podľa § 26 ods. 3, v prípade ktorých sa predpokladá značné riziko úniku uhlíka v súvislosti s premietnutím nákladov kvót do cien elektrickej energie,</w:t>
            </w:r>
          </w:p>
          <w:p w14:paraId="2A35317C" w14:textId="61034FDD" w:rsidR="00134F85" w:rsidRDefault="00134F85" w:rsidP="00CA5E3D">
            <w:pPr>
              <w:pStyle w:val="Default"/>
              <w:rPr>
                <w:sz w:val="22"/>
                <w:szCs w:val="22"/>
              </w:rPr>
            </w:pPr>
          </w:p>
          <w:p w14:paraId="3731437D" w14:textId="4E7644AB" w:rsidR="00CA5E3D" w:rsidRDefault="00CA5E3D" w:rsidP="00CA5E3D">
            <w:pPr>
              <w:pStyle w:val="Default"/>
              <w:rPr>
                <w:sz w:val="22"/>
                <w:szCs w:val="22"/>
              </w:rPr>
            </w:pPr>
            <w:r>
              <w:rPr>
                <w:sz w:val="22"/>
                <w:szCs w:val="22"/>
              </w:rPr>
              <w:t xml:space="preserve">§ 32 </w:t>
            </w:r>
            <w:r w:rsidRPr="00CA5E3D">
              <w:rPr>
                <w:sz w:val="22"/>
                <w:szCs w:val="22"/>
              </w:rPr>
              <w:t>Podávanie správ</w:t>
            </w:r>
          </w:p>
          <w:p w14:paraId="4DA9E8CE" w14:textId="0775190A" w:rsidR="00CA5E3D" w:rsidRPr="00CA5E3D" w:rsidRDefault="00CA5E3D" w:rsidP="00CA5E3D">
            <w:pPr>
              <w:pStyle w:val="Default"/>
              <w:rPr>
                <w:sz w:val="22"/>
                <w:szCs w:val="22"/>
              </w:rPr>
            </w:pPr>
            <w:r>
              <w:rPr>
                <w:sz w:val="22"/>
                <w:szCs w:val="22"/>
              </w:rPr>
              <w:t xml:space="preserve">(3) </w:t>
            </w:r>
            <w:r w:rsidR="001211DA" w:rsidRPr="001211DA">
              <w:rPr>
                <w:sz w:val="22"/>
                <w:szCs w:val="22"/>
              </w:rPr>
              <w:t>Ministerstvo do troch mesiacov od konca každého kalendárneho roka zverejní na svojom webovom   sídle   celkovú    sumu    kompenzácie    poskytnutú    v prospech    jednotlivých    odvetví a pododvetví vystavených skutočnému riziku úniku uhlíka v dôsledku výrazných nepriamych nákladov, ktoré v skutočnosti vznikajú  z premietania  nákladov  súvisiacich  s emisiami skleníkových plynov do cien elektrickej energie.</w:t>
            </w:r>
          </w:p>
          <w:p w14:paraId="51B86350" w14:textId="3E8D2CD2" w:rsidR="00CA5E3D" w:rsidRPr="001300A9" w:rsidRDefault="00CA5E3D" w:rsidP="00CA5E3D">
            <w:pPr>
              <w:pStyle w:val="Default"/>
              <w:rPr>
                <w:sz w:val="22"/>
                <w:szCs w:val="22"/>
              </w:rPr>
            </w:pPr>
            <w:r>
              <w:rPr>
                <w:sz w:val="22"/>
                <w:szCs w:val="22"/>
              </w:rPr>
              <w:t xml:space="preserve">(4) </w:t>
            </w:r>
            <w:r w:rsidR="001211DA" w:rsidRPr="001211DA">
              <w:rPr>
                <w:sz w:val="22"/>
                <w:szCs w:val="22"/>
              </w:rPr>
              <w:t>Ministerstvo v každom roku, v ktorom použije na účely podľa odseku 3 viac ako 25 % príjmov z obchodovania s kvótami formou aukcie, zverejní na svojom webovom  sídle  správu,  v ktorej uvedie dôvody presiahnutia tohto množstva.</w:t>
            </w:r>
          </w:p>
        </w:tc>
        <w:tc>
          <w:tcPr>
            <w:tcW w:w="567" w:type="dxa"/>
          </w:tcPr>
          <w:p w14:paraId="69BC0891" w14:textId="77777777" w:rsidR="00357CEC" w:rsidRDefault="00CA5E3D" w:rsidP="00357CEC">
            <w:pPr>
              <w:pStyle w:val="Default"/>
              <w:rPr>
                <w:sz w:val="22"/>
                <w:szCs w:val="22"/>
              </w:rPr>
            </w:pPr>
            <w:r>
              <w:rPr>
                <w:sz w:val="22"/>
                <w:szCs w:val="22"/>
              </w:rPr>
              <w:lastRenderedPageBreak/>
              <w:t>Ú</w:t>
            </w:r>
          </w:p>
          <w:p w14:paraId="0C5C46E0" w14:textId="77777777" w:rsidR="00260BC4" w:rsidRDefault="00260BC4" w:rsidP="00357CEC">
            <w:pPr>
              <w:pStyle w:val="Default"/>
              <w:rPr>
                <w:sz w:val="22"/>
                <w:szCs w:val="22"/>
              </w:rPr>
            </w:pPr>
          </w:p>
          <w:p w14:paraId="6671AFA9" w14:textId="77777777" w:rsidR="00260BC4" w:rsidRDefault="00260BC4" w:rsidP="00357CEC">
            <w:pPr>
              <w:pStyle w:val="Default"/>
              <w:rPr>
                <w:sz w:val="22"/>
                <w:szCs w:val="22"/>
              </w:rPr>
            </w:pPr>
          </w:p>
          <w:p w14:paraId="12C6BC13" w14:textId="77777777" w:rsidR="00260BC4" w:rsidRDefault="00260BC4" w:rsidP="00357CEC">
            <w:pPr>
              <w:pStyle w:val="Default"/>
              <w:rPr>
                <w:sz w:val="22"/>
                <w:szCs w:val="22"/>
              </w:rPr>
            </w:pPr>
          </w:p>
          <w:p w14:paraId="78A6DB2F" w14:textId="77777777" w:rsidR="00260BC4" w:rsidRDefault="00260BC4" w:rsidP="00357CEC">
            <w:pPr>
              <w:pStyle w:val="Default"/>
              <w:rPr>
                <w:sz w:val="22"/>
                <w:szCs w:val="22"/>
              </w:rPr>
            </w:pPr>
          </w:p>
          <w:p w14:paraId="39EEF056" w14:textId="77777777" w:rsidR="00260BC4" w:rsidRDefault="00260BC4" w:rsidP="00357CEC">
            <w:pPr>
              <w:pStyle w:val="Default"/>
              <w:rPr>
                <w:sz w:val="22"/>
                <w:szCs w:val="22"/>
              </w:rPr>
            </w:pPr>
          </w:p>
          <w:p w14:paraId="363CD317" w14:textId="77777777" w:rsidR="00260BC4" w:rsidRDefault="00260BC4" w:rsidP="00357CEC">
            <w:pPr>
              <w:pStyle w:val="Default"/>
              <w:rPr>
                <w:sz w:val="22"/>
                <w:szCs w:val="22"/>
              </w:rPr>
            </w:pPr>
          </w:p>
          <w:p w14:paraId="4526FE77" w14:textId="77777777" w:rsidR="00260BC4" w:rsidRDefault="00260BC4" w:rsidP="00357CEC">
            <w:pPr>
              <w:pStyle w:val="Default"/>
              <w:rPr>
                <w:sz w:val="22"/>
                <w:szCs w:val="22"/>
              </w:rPr>
            </w:pPr>
          </w:p>
          <w:p w14:paraId="1C328F9E" w14:textId="77777777" w:rsidR="00260BC4" w:rsidRDefault="00260BC4" w:rsidP="00357CEC">
            <w:pPr>
              <w:pStyle w:val="Default"/>
              <w:rPr>
                <w:sz w:val="22"/>
                <w:szCs w:val="22"/>
              </w:rPr>
            </w:pPr>
          </w:p>
          <w:p w14:paraId="063266D1" w14:textId="77777777" w:rsidR="00260BC4" w:rsidRDefault="00260BC4" w:rsidP="00357CEC">
            <w:pPr>
              <w:pStyle w:val="Default"/>
              <w:rPr>
                <w:sz w:val="22"/>
                <w:szCs w:val="22"/>
              </w:rPr>
            </w:pPr>
          </w:p>
          <w:p w14:paraId="3175B40C" w14:textId="77777777" w:rsidR="00260BC4" w:rsidRDefault="00260BC4" w:rsidP="00357CEC">
            <w:pPr>
              <w:pStyle w:val="Default"/>
              <w:rPr>
                <w:sz w:val="22"/>
                <w:szCs w:val="22"/>
              </w:rPr>
            </w:pPr>
          </w:p>
          <w:p w14:paraId="29C6D818" w14:textId="569F1F04" w:rsidR="00260BC4" w:rsidRPr="001300A9" w:rsidRDefault="00260BC4" w:rsidP="00357CEC">
            <w:pPr>
              <w:pStyle w:val="Default"/>
              <w:rPr>
                <w:sz w:val="22"/>
                <w:szCs w:val="22"/>
              </w:rPr>
            </w:pPr>
            <w:r>
              <w:rPr>
                <w:sz w:val="22"/>
                <w:szCs w:val="22"/>
              </w:rPr>
              <w:t>Ú</w:t>
            </w:r>
          </w:p>
        </w:tc>
        <w:tc>
          <w:tcPr>
            <w:tcW w:w="1276" w:type="dxa"/>
          </w:tcPr>
          <w:p w14:paraId="4C5CD700" w14:textId="77777777" w:rsidR="00357CEC" w:rsidRPr="001300A9" w:rsidRDefault="00357CEC" w:rsidP="00357CEC">
            <w:pPr>
              <w:pStyle w:val="Default"/>
              <w:rPr>
                <w:sz w:val="22"/>
                <w:szCs w:val="22"/>
              </w:rPr>
            </w:pPr>
          </w:p>
        </w:tc>
        <w:tc>
          <w:tcPr>
            <w:tcW w:w="850" w:type="dxa"/>
          </w:tcPr>
          <w:p w14:paraId="06DF1184" w14:textId="77777777" w:rsidR="00260BC4" w:rsidRDefault="00CA5E3D" w:rsidP="00357CEC">
            <w:pPr>
              <w:pStyle w:val="Default"/>
              <w:rPr>
                <w:sz w:val="22"/>
                <w:szCs w:val="22"/>
              </w:rPr>
            </w:pPr>
            <w:r>
              <w:rPr>
                <w:sz w:val="22"/>
                <w:szCs w:val="22"/>
              </w:rPr>
              <w:t xml:space="preserve">GP </w:t>
            </w:r>
            <w:r w:rsidR="00260BC4">
              <w:rPr>
                <w:sz w:val="22"/>
                <w:szCs w:val="22"/>
              </w:rPr>
              <w:t>–</w:t>
            </w:r>
            <w:r>
              <w:rPr>
                <w:sz w:val="22"/>
                <w:szCs w:val="22"/>
              </w:rPr>
              <w:t>N</w:t>
            </w:r>
            <w:r w:rsidR="00260BC4">
              <w:rPr>
                <w:sz w:val="22"/>
                <w:szCs w:val="22"/>
              </w:rPr>
              <w:t xml:space="preserve"> </w:t>
            </w:r>
          </w:p>
          <w:p w14:paraId="0E80D73F" w14:textId="77777777" w:rsidR="00260BC4" w:rsidRDefault="00260BC4" w:rsidP="00357CEC">
            <w:pPr>
              <w:pStyle w:val="Default"/>
              <w:rPr>
                <w:sz w:val="22"/>
                <w:szCs w:val="22"/>
              </w:rPr>
            </w:pPr>
          </w:p>
          <w:p w14:paraId="24E91567" w14:textId="77777777" w:rsidR="00260BC4" w:rsidRDefault="00260BC4" w:rsidP="00357CEC">
            <w:pPr>
              <w:pStyle w:val="Default"/>
              <w:rPr>
                <w:sz w:val="22"/>
                <w:szCs w:val="22"/>
              </w:rPr>
            </w:pPr>
          </w:p>
          <w:p w14:paraId="5C51F5B9" w14:textId="77777777" w:rsidR="00260BC4" w:rsidRDefault="00260BC4" w:rsidP="00357CEC">
            <w:pPr>
              <w:pStyle w:val="Default"/>
              <w:rPr>
                <w:sz w:val="22"/>
                <w:szCs w:val="22"/>
              </w:rPr>
            </w:pPr>
          </w:p>
          <w:p w14:paraId="4B02FD90" w14:textId="77777777" w:rsidR="00260BC4" w:rsidRDefault="00260BC4" w:rsidP="00357CEC">
            <w:pPr>
              <w:pStyle w:val="Default"/>
              <w:rPr>
                <w:sz w:val="22"/>
                <w:szCs w:val="22"/>
              </w:rPr>
            </w:pPr>
          </w:p>
          <w:p w14:paraId="6E49D903" w14:textId="77777777" w:rsidR="00260BC4" w:rsidRDefault="00260BC4" w:rsidP="00357CEC">
            <w:pPr>
              <w:pStyle w:val="Default"/>
              <w:rPr>
                <w:sz w:val="22"/>
                <w:szCs w:val="22"/>
              </w:rPr>
            </w:pPr>
          </w:p>
          <w:p w14:paraId="70C787CD" w14:textId="77777777" w:rsidR="00260BC4" w:rsidRDefault="00260BC4" w:rsidP="00357CEC">
            <w:pPr>
              <w:pStyle w:val="Default"/>
              <w:rPr>
                <w:sz w:val="22"/>
                <w:szCs w:val="22"/>
              </w:rPr>
            </w:pPr>
          </w:p>
          <w:p w14:paraId="0C72EC99" w14:textId="77777777" w:rsidR="00260BC4" w:rsidRDefault="00260BC4" w:rsidP="00357CEC">
            <w:pPr>
              <w:pStyle w:val="Default"/>
              <w:rPr>
                <w:sz w:val="22"/>
                <w:szCs w:val="22"/>
              </w:rPr>
            </w:pPr>
          </w:p>
          <w:p w14:paraId="76ADD3F8" w14:textId="77777777" w:rsidR="00260BC4" w:rsidRDefault="00260BC4" w:rsidP="00357CEC">
            <w:pPr>
              <w:pStyle w:val="Default"/>
              <w:rPr>
                <w:sz w:val="22"/>
                <w:szCs w:val="22"/>
              </w:rPr>
            </w:pPr>
          </w:p>
          <w:p w14:paraId="5AC730B5" w14:textId="77777777" w:rsidR="00260BC4" w:rsidRDefault="00260BC4" w:rsidP="00357CEC">
            <w:pPr>
              <w:pStyle w:val="Default"/>
              <w:rPr>
                <w:sz w:val="22"/>
                <w:szCs w:val="22"/>
              </w:rPr>
            </w:pPr>
          </w:p>
          <w:p w14:paraId="0FA1394B" w14:textId="77777777" w:rsidR="00260BC4" w:rsidRDefault="00260BC4" w:rsidP="00357CEC">
            <w:pPr>
              <w:pStyle w:val="Default"/>
              <w:rPr>
                <w:sz w:val="22"/>
                <w:szCs w:val="22"/>
              </w:rPr>
            </w:pPr>
          </w:p>
          <w:p w14:paraId="20B10361" w14:textId="26A47ECD" w:rsidR="00260BC4" w:rsidRPr="001300A9" w:rsidRDefault="00260BC4" w:rsidP="00357CEC">
            <w:pPr>
              <w:pStyle w:val="Default"/>
              <w:rPr>
                <w:sz w:val="22"/>
                <w:szCs w:val="22"/>
              </w:rPr>
            </w:pPr>
            <w:r>
              <w:rPr>
                <w:sz w:val="22"/>
                <w:szCs w:val="22"/>
              </w:rPr>
              <w:t>GP - N</w:t>
            </w:r>
          </w:p>
        </w:tc>
        <w:tc>
          <w:tcPr>
            <w:tcW w:w="815" w:type="dxa"/>
          </w:tcPr>
          <w:p w14:paraId="41DB54B0" w14:textId="77777777" w:rsidR="00357CEC" w:rsidRPr="001300A9" w:rsidRDefault="00357CEC" w:rsidP="00357CEC">
            <w:pPr>
              <w:pStyle w:val="Default"/>
              <w:rPr>
                <w:sz w:val="22"/>
                <w:szCs w:val="22"/>
              </w:rPr>
            </w:pPr>
          </w:p>
        </w:tc>
      </w:tr>
      <w:tr w:rsidR="00DD6EDC" w:rsidRPr="001300A9" w14:paraId="1FA4990B" w14:textId="77777777" w:rsidTr="360410BC">
        <w:tc>
          <w:tcPr>
            <w:tcW w:w="562" w:type="dxa"/>
          </w:tcPr>
          <w:p w14:paraId="19F3C324" w14:textId="77777777" w:rsidR="00357CEC" w:rsidRPr="001300A9" w:rsidRDefault="00357CEC" w:rsidP="00357CEC">
            <w:pPr>
              <w:pStyle w:val="Default"/>
              <w:rPr>
                <w:sz w:val="22"/>
                <w:szCs w:val="22"/>
              </w:rPr>
            </w:pPr>
            <w:r w:rsidRPr="001300A9">
              <w:rPr>
                <w:sz w:val="22"/>
                <w:szCs w:val="22"/>
              </w:rPr>
              <w:t>Č: 1</w:t>
            </w:r>
          </w:p>
          <w:p w14:paraId="3791E8D0" w14:textId="77777777" w:rsidR="00357CEC" w:rsidRPr="001300A9" w:rsidRDefault="00357CEC" w:rsidP="00357CEC">
            <w:pPr>
              <w:pStyle w:val="Default"/>
              <w:rPr>
                <w:sz w:val="22"/>
                <w:szCs w:val="22"/>
              </w:rPr>
            </w:pPr>
            <w:r w:rsidRPr="001300A9">
              <w:rPr>
                <w:sz w:val="22"/>
                <w:szCs w:val="22"/>
              </w:rPr>
              <w:t>O: 13</w:t>
            </w:r>
          </w:p>
          <w:p w14:paraId="739D37E5" w14:textId="77777777" w:rsidR="00357CEC" w:rsidRPr="001300A9" w:rsidRDefault="00357CEC" w:rsidP="00357CEC">
            <w:pPr>
              <w:pStyle w:val="Default"/>
              <w:rPr>
                <w:sz w:val="22"/>
                <w:szCs w:val="22"/>
              </w:rPr>
            </w:pPr>
            <w:r w:rsidRPr="001300A9">
              <w:rPr>
                <w:sz w:val="22"/>
                <w:szCs w:val="22"/>
              </w:rPr>
              <w:t>P: g)</w:t>
            </w:r>
          </w:p>
        </w:tc>
        <w:tc>
          <w:tcPr>
            <w:tcW w:w="4820" w:type="dxa"/>
          </w:tcPr>
          <w:p w14:paraId="71763F34" w14:textId="77777777" w:rsidR="00357CEC" w:rsidRPr="001300A9" w:rsidRDefault="00357CEC" w:rsidP="00357CEC">
            <w:pPr>
              <w:pStyle w:val="Default"/>
              <w:rPr>
                <w:sz w:val="22"/>
                <w:szCs w:val="22"/>
              </w:rPr>
            </w:pPr>
            <w:r w:rsidRPr="001300A9">
              <w:rPr>
                <w:sz w:val="22"/>
                <w:szCs w:val="22"/>
              </w:rPr>
              <w:t xml:space="preserve">Od roku 2021 sa kvóty, ktoré sa podľa odsekov 19, 20 a 22 nepridelili zariadeniam, pridajú k množstvu kvót vyčlenených v súlade s prvým </w:t>
            </w:r>
            <w:proofErr w:type="spellStart"/>
            <w:r w:rsidRPr="001300A9">
              <w:rPr>
                <w:sz w:val="22"/>
                <w:szCs w:val="22"/>
              </w:rPr>
              <w:t>pododsekom</w:t>
            </w:r>
            <w:proofErr w:type="spellEnd"/>
            <w:r w:rsidRPr="001300A9">
              <w:rPr>
                <w:sz w:val="22"/>
                <w:szCs w:val="22"/>
              </w:rPr>
              <w:t xml:space="preserve"> prvou vetou tohto odseku.</w:t>
            </w:r>
          </w:p>
        </w:tc>
        <w:tc>
          <w:tcPr>
            <w:tcW w:w="567" w:type="dxa"/>
          </w:tcPr>
          <w:p w14:paraId="6063A733" w14:textId="77777777" w:rsidR="00357CEC" w:rsidRPr="001300A9" w:rsidRDefault="00357CEC" w:rsidP="00357CEC">
            <w:pPr>
              <w:pStyle w:val="Default"/>
              <w:rPr>
                <w:sz w:val="22"/>
                <w:szCs w:val="22"/>
              </w:rPr>
            </w:pPr>
            <w:proofErr w:type="spellStart"/>
            <w:r w:rsidRPr="001300A9">
              <w:rPr>
                <w:sz w:val="22"/>
                <w:szCs w:val="22"/>
              </w:rPr>
              <w:t>n.a</w:t>
            </w:r>
            <w:proofErr w:type="spellEnd"/>
            <w:r w:rsidRPr="001300A9">
              <w:rPr>
                <w:sz w:val="22"/>
                <w:szCs w:val="22"/>
              </w:rPr>
              <w:t>.</w:t>
            </w:r>
          </w:p>
        </w:tc>
        <w:tc>
          <w:tcPr>
            <w:tcW w:w="283" w:type="dxa"/>
          </w:tcPr>
          <w:p w14:paraId="6A122C5C" w14:textId="77777777" w:rsidR="00357CEC" w:rsidRPr="001300A9" w:rsidRDefault="00357CEC" w:rsidP="00357CEC">
            <w:pPr>
              <w:pStyle w:val="Default"/>
              <w:rPr>
                <w:sz w:val="22"/>
                <w:szCs w:val="22"/>
              </w:rPr>
            </w:pPr>
          </w:p>
        </w:tc>
        <w:tc>
          <w:tcPr>
            <w:tcW w:w="567" w:type="dxa"/>
          </w:tcPr>
          <w:p w14:paraId="563CC7A5" w14:textId="77777777" w:rsidR="00357CEC" w:rsidRPr="001300A9" w:rsidRDefault="00357CEC" w:rsidP="00357CEC">
            <w:pPr>
              <w:pStyle w:val="Default"/>
              <w:rPr>
                <w:sz w:val="22"/>
                <w:szCs w:val="22"/>
              </w:rPr>
            </w:pPr>
          </w:p>
        </w:tc>
        <w:tc>
          <w:tcPr>
            <w:tcW w:w="4253" w:type="dxa"/>
          </w:tcPr>
          <w:p w14:paraId="74C3F94D" w14:textId="77777777" w:rsidR="00357CEC" w:rsidRPr="001300A9" w:rsidRDefault="00357CEC" w:rsidP="00357CEC">
            <w:pPr>
              <w:pStyle w:val="Default"/>
              <w:rPr>
                <w:sz w:val="22"/>
                <w:szCs w:val="22"/>
              </w:rPr>
            </w:pPr>
          </w:p>
        </w:tc>
        <w:tc>
          <w:tcPr>
            <w:tcW w:w="567" w:type="dxa"/>
          </w:tcPr>
          <w:p w14:paraId="1D40028D" w14:textId="77777777" w:rsidR="00357CEC" w:rsidRPr="001300A9" w:rsidRDefault="00357CEC" w:rsidP="00357CEC">
            <w:pPr>
              <w:pStyle w:val="Default"/>
              <w:rPr>
                <w:sz w:val="22"/>
                <w:szCs w:val="22"/>
              </w:rPr>
            </w:pPr>
          </w:p>
        </w:tc>
        <w:tc>
          <w:tcPr>
            <w:tcW w:w="1276" w:type="dxa"/>
          </w:tcPr>
          <w:p w14:paraId="3BAE8D33" w14:textId="77777777" w:rsidR="00357CEC" w:rsidRPr="001300A9" w:rsidRDefault="00357CEC" w:rsidP="00357CEC">
            <w:pPr>
              <w:pStyle w:val="Default"/>
              <w:rPr>
                <w:sz w:val="22"/>
                <w:szCs w:val="22"/>
              </w:rPr>
            </w:pPr>
          </w:p>
        </w:tc>
        <w:tc>
          <w:tcPr>
            <w:tcW w:w="850" w:type="dxa"/>
          </w:tcPr>
          <w:p w14:paraId="326BBD49" w14:textId="77777777" w:rsidR="00357CEC" w:rsidRPr="001300A9" w:rsidRDefault="00357CEC" w:rsidP="00357CEC">
            <w:pPr>
              <w:pStyle w:val="Default"/>
              <w:rPr>
                <w:sz w:val="22"/>
                <w:szCs w:val="22"/>
              </w:rPr>
            </w:pPr>
          </w:p>
        </w:tc>
        <w:tc>
          <w:tcPr>
            <w:tcW w:w="815" w:type="dxa"/>
          </w:tcPr>
          <w:p w14:paraId="6A49789A" w14:textId="77777777" w:rsidR="00357CEC" w:rsidRPr="001300A9" w:rsidRDefault="00357CEC" w:rsidP="00357CEC">
            <w:pPr>
              <w:pStyle w:val="Default"/>
              <w:rPr>
                <w:sz w:val="22"/>
                <w:szCs w:val="22"/>
              </w:rPr>
            </w:pPr>
          </w:p>
        </w:tc>
      </w:tr>
      <w:tr w:rsidR="00DD6EDC" w:rsidRPr="001300A9" w14:paraId="0A5F4F37" w14:textId="77777777" w:rsidTr="360410BC">
        <w:tc>
          <w:tcPr>
            <w:tcW w:w="562" w:type="dxa"/>
          </w:tcPr>
          <w:p w14:paraId="08900075" w14:textId="77777777" w:rsidR="00357CEC" w:rsidRPr="001300A9" w:rsidRDefault="00357CEC" w:rsidP="00357CEC">
            <w:pPr>
              <w:pStyle w:val="Default"/>
              <w:rPr>
                <w:sz w:val="22"/>
                <w:szCs w:val="22"/>
              </w:rPr>
            </w:pPr>
            <w:r w:rsidRPr="001300A9">
              <w:rPr>
                <w:sz w:val="22"/>
                <w:szCs w:val="22"/>
              </w:rPr>
              <w:t>Č: 1</w:t>
            </w:r>
          </w:p>
          <w:p w14:paraId="176E4A98" w14:textId="77777777" w:rsidR="00357CEC" w:rsidRPr="001300A9" w:rsidRDefault="00357CEC" w:rsidP="00357CEC">
            <w:pPr>
              <w:pStyle w:val="Default"/>
              <w:rPr>
                <w:sz w:val="22"/>
                <w:szCs w:val="22"/>
              </w:rPr>
            </w:pPr>
            <w:r w:rsidRPr="001300A9">
              <w:rPr>
                <w:sz w:val="22"/>
                <w:szCs w:val="22"/>
              </w:rPr>
              <w:t>O: 13</w:t>
            </w:r>
          </w:p>
          <w:p w14:paraId="7D3064A2" w14:textId="77777777" w:rsidR="00357CEC" w:rsidRPr="001300A9" w:rsidRDefault="00357CEC" w:rsidP="00357CEC">
            <w:pPr>
              <w:pStyle w:val="Default"/>
              <w:rPr>
                <w:sz w:val="22"/>
                <w:szCs w:val="22"/>
              </w:rPr>
            </w:pPr>
            <w:r w:rsidRPr="001300A9">
              <w:rPr>
                <w:sz w:val="22"/>
                <w:szCs w:val="22"/>
              </w:rPr>
              <w:t>P: h)</w:t>
            </w:r>
          </w:p>
        </w:tc>
        <w:tc>
          <w:tcPr>
            <w:tcW w:w="4820" w:type="dxa"/>
          </w:tcPr>
          <w:p w14:paraId="44919CA1" w14:textId="77777777" w:rsidR="00357CEC" w:rsidRPr="001300A9" w:rsidRDefault="00357CEC" w:rsidP="00357CEC">
            <w:pPr>
              <w:pStyle w:val="Default"/>
              <w:rPr>
                <w:sz w:val="22"/>
                <w:szCs w:val="22"/>
              </w:rPr>
            </w:pPr>
            <w:r w:rsidRPr="001300A9">
              <w:rPr>
                <w:sz w:val="22"/>
                <w:szCs w:val="22"/>
              </w:rPr>
              <w:t xml:space="preserve">8. 345 miliónov kvót z množstva, ktoré by sa inak mohlo prideliť bezodplatne podľa tohto článku, a 80 miliónov kvót z množstva, s ktorým by sa inak mohlo obchodovať formou aukcie podľa článku 10, ako aj kvóty vyplývajúce zo zníženia množstva bezodplatne pridelených kvót v zmysle odseku 1a tohto </w:t>
            </w:r>
            <w:r w:rsidRPr="001300A9">
              <w:rPr>
                <w:sz w:val="22"/>
                <w:szCs w:val="22"/>
              </w:rPr>
              <w:lastRenderedPageBreak/>
              <w:t xml:space="preserve">článku, sa sprístupní fondu (ďalej len „inovačný fond“) s cieľom podporiť inovácie v oblasti techník, postupov a technológií s nízkymi a nulovými emisiami uhlíka, ktoré významne prispievajú k dekarbonizácii odvetví, na ktoré sa vzťahuje táto smernica, a k napĺňaniu cieľov nulového znečistenia a </w:t>
            </w:r>
            <w:proofErr w:type="spellStart"/>
            <w:r w:rsidRPr="001300A9">
              <w:rPr>
                <w:sz w:val="22"/>
                <w:szCs w:val="22"/>
              </w:rPr>
              <w:t>obehovosti</w:t>
            </w:r>
            <w:proofErr w:type="spellEnd"/>
            <w:r w:rsidRPr="001300A9">
              <w:rPr>
                <w:sz w:val="22"/>
                <w:szCs w:val="22"/>
              </w:rPr>
              <w:t>, vrátane projektov zameraných na rozšírenie takýchto techník, postupov a technológií na účel ich širokého zavádzania v celej Únii. Takéto projekty majú významný potenciál znižovania emisií skleníkových plynov a prispievajú k úsporám energie a zdrojov v súlade s cieľmi Únie v oblasti klímy a energetiky na rok 2030.</w:t>
            </w:r>
          </w:p>
          <w:p w14:paraId="2132970B" w14:textId="77777777" w:rsidR="00357CEC" w:rsidRPr="001300A9" w:rsidRDefault="00357CEC" w:rsidP="00357CEC">
            <w:pPr>
              <w:pStyle w:val="Default"/>
              <w:rPr>
                <w:sz w:val="22"/>
                <w:szCs w:val="22"/>
              </w:rPr>
            </w:pPr>
          </w:p>
          <w:p w14:paraId="2CD95092" w14:textId="77777777" w:rsidR="00357CEC" w:rsidRPr="001300A9" w:rsidRDefault="00357CEC" w:rsidP="00357CEC">
            <w:pPr>
              <w:pStyle w:val="Default"/>
              <w:rPr>
                <w:sz w:val="22"/>
                <w:szCs w:val="22"/>
              </w:rPr>
            </w:pPr>
            <w:r w:rsidRPr="001300A9">
              <w:rPr>
                <w:sz w:val="22"/>
                <w:szCs w:val="22"/>
              </w:rPr>
              <w:t>Komisia prednostne vyčlení kvóty z inovačného fondu s cieľom zabezpečiť, aby bolo k dispozícii primerané množstvo zdrojov na podporu inovácií vrátane rozširovania.</w:t>
            </w:r>
          </w:p>
          <w:p w14:paraId="27F4C722" w14:textId="77777777" w:rsidR="00357CEC" w:rsidRPr="001300A9" w:rsidRDefault="00357CEC" w:rsidP="00357CEC">
            <w:pPr>
              <w:pStyle w:val="Default"/>
              <w:rPr>
                <w:sz w:val="22"/>
                <w:szCs w:val="22"/>
              </w:rPr>
            </w:pPr>
          </w:p>
          <w:p w14:paraId="748831E0" w14:textId="77777777" w:rsidR="00357CEC" w:rsidRPr="001300A9" w:rsidRDefault="00357CEC" w:rsidP="00357CEC">
            <w:pPr>
              <w:pStyle w:val="Default"/>
              <w:rPr>
                <w:sz w:val="22"/>
                <w:szCs w:val="22"/>
              </w:rPr>
            </w:pPr>
            <w:r w:rsidRPr="001300A9">
              <w:rPr>
                <w:sz w:val="22"/>
                <w:szCs w:val="22"/>
              </w:rPr>
              <w:t xml:space="preserve">Kvóty, ktoré sa prevádzkovateľom lietadiel nevydajú z dôvodu ich ukončenia prevádzky a ktoré nie sú potrebné na pokrytie akýchkoľvek neodovzdaných kvót zo strany týchto prevádzkovateľov, sa takisto použijú na podporu inovácií, ako sa uvádza v prvom </w:t>
            </w:r>
            <w:proofErr w:type="spellStart"/>
            <w:r w:rsidRPr="001300A9">
              <w:rPr>
                <w:sz w:val="22"/>
                <w:szCs w:val="22"/>
              </w:rPr>
              <w:t>pododseku</w:t>
            </w:r>
            <w:proofErr w:type="spellEnd"/>
            <w:r w:rsidRPr="001300A9">
              <w:rPr>
                <w:sz w:val="22"/>
                <w:szCs w:val="22"/>
              </w:rPr>
              <w:t>.</w:t>
            </w:r>
          </w:p>
          <w:p w14:paraId="27EE4601" w14:textId="77777777" w:rsidR="00357CEC" w:rsidRPr="001300A9" w:rsidRDefault="00357CEC" w:rsidP="00357CEC">
            <w:pPr>
              <w:pStyle w:val="Default"/>
              <w:rPr>
                <w:sz w:val="22"/>
                <w:szCs w:val="22"/>
              </w:rPr>
            </w:pPr>
          </w:p>
          <w:p w14:paraId="7B004FEE" w14:textId="77777777" w:rsidR="00357CEC" w:rsidRPr="001300A9" w:rsidRDefault="00357CEC" w:rsidP="00357CEC">
            <w:pPr>
              <w:pStyle w:val="Default"/>
              <w:rPr>
                <w:sz w:val="22"/>
                <w:szCs w:val="22"/>
              </w:rPr>
            </w:pPr>
            <w:r w:rsidRPr="001300A9">
              <w:rPr>
                <w:sz w:val="22"/>
                <w:szCs w:val="22"/>
              </w:rPr>
              <w:t xml:space="preserve">Okrem toho sa na podporu inovácií uvedenú v prvom </w:t>
            </w:r>
            <w:proofErr w:type="spellStart"/>
            <w:r w:rsidRPr="001300A9">
              <w:rPr>
                <w:sz w:val="22"/>
                <w:szCs w:val="22"/>
              </w:rPr>
              <w:t>pododseku</w:t>
            </w:r>
            <w:proofErr w:type="spellEnd"/>
            <w:r w:rsidRPr="001300A9">
              <w:rPr>
                <w:sz w:val="22"/>
                <w:szCs w:val="22"/>
              </w:rPr>
              <w:t xml:space="preserve"> tohto odseku sprístupní 5 miliónov kvót z množstva uvedeného v článku 3c ods. 5 a 7 v súvislosti s pridelenými kvótami v leteckej doprave na rok 2026.</w:t>
            </w:r>
          </w:p>
          <w:p w14:paraId="560746CF" w14:textId="77777777" w:rsidR="00357CEC" w:rsidRPr="001300A9" w:rsidRDefault="00357CEC" w:rsidP="00357CEC">
            <w:pPr>
              <w:pStyle w:val="Default"/>
              <w:rPr>
                <w:sz w:val="22"/>
                <w:szCs w:val="22"/>
              </w:rPr>
            </w:pPr>
          </w:p>
          <w:p w14:paraId="70345C05" w14:textId="77777777" w:rsidR="00357CEC" w:rsidRPr="001300A9" w:rsidRDefault="00357CEC" w:rsidP="00357CEC">
            <w:pPr>
              <w:pStyle w:val="Default"/>
              <w:rPr>
                <w:sz w:val="22"/>
                <w:szCs w:val="22"/>
              </w:rPr>
            </w:pPr>
            <w:r w:rsidRPr="001300A9">
              <w:rPr>
                <w:sz w:val="22"/>
                <w:szCs w:val="22"/>
              </w:rPr>
              <w:t xml:space="preserve">Okrem toho sa 50 miliónov nepridelených kvót z trhovej stabilizačnej rezervy doplní ku zvyšným príjmom z 300 miliónov kvót, ktoré sú k dispozícii v </w:t>
            </w:r>
            <w:r w:rsidRPr="001300A9">
              <w:rPr>
                <w:sz w:val="22"/>
                <w:szCs w:val="22"/>
              </w:rPr>
              <w:lastRenderedPageBreak/>
              <w:t xml:space="preserve">období rokov 2013 až 2020 podľa rozhodnutia Komisie 2010/670/EÚ*, a použije sa vo vhodnom čase na podporu inovácie, ako sa uvádza v prvom </w:t>
            </w:r>
            <w:proofErr w:type="spellStart"/>
            <w:r w:rsidRPr="001300A9">
              <w:rPr>
                <w:sz w:val="22"/>
                <w:szCs w:val="22"/>
              </w:rPr>
              <w:t>pododseku</w:t>
            </w:r>
            <w:proofErr w:type="spellEnd"/>
            <w:r w:rsidRPr="001300A9">
              <w:rPr>
                <w:sz w:val="22"/>
                <w:szCs w:val="22"/>
              </w:rPr>
              <w:t xml:space="preserve"> tohto odseku.</w:t>
            </w:r>
          </w:p>
          <w:p w14:paraId="23BB3071" w14:textId="77777777" w:rsidR="00357CEC" w:rsidRPr="001300A9" w:rsidRDefault="00357CEC" w:rsidP="00357CEC">
            <w:pPr>
              <w:pStyle w:val="Default"/>
              <w:rPr>
                <w:sz w:val="22"/>
                <w:szCs w:val="22"/>
              </w:rPr>
            </w:pPr>
          </w:p>
          <w:p w14:paraId="5F3E2602" w14:textId="77777777" w:rsidR="00357CEC" w:rsidRPr="001300A9" w:rsidRDefault="00357CEC" w:rsidP="00357CEC">
            <w:pPr>
              <w:pStyle w:val="Default"/>
              <w:rPr>
                <w:sz w:val="22"/>
                <w:szCs w:val="22"/>
              </w:rPr>
            </w:pPr>
            <w:r w:rsidRPr="001300A9">
              <w:rPr>
                <w:sz w:val="22"/>
                <w:szCs w:val="22"/>
              </w:rPr>
              <w:t>Inovačný fond sa vzťahuje na odvetvia uvedené v prílohách I a III, ako aj produkty a procesy nahrádzajúce produkty a procesy s vysokou uhlíkovou náročnosťou vyrábané alebo používané v odvetviach uvedených v prílohe I vrátane inovatívnych technológií výroby energie z obnoviteľných zdrojov a uskladňovania energie a environmentálne bezpečného zachytávania a využívania uhlíka (ďalej len „CCU“), ktoré podstatne prispieva k zmierňovaniu zmeny klímy, najmä pokiaľ ide o nevyhnutné emisie z procesov, a pomáha stimulovať v geograficky vyvážených lokalitách vývoj a realizáciu projektov, ktorých cieľom je environmentálne bezpečné zachytávanie, preprava a geologické ukladanie CO2 (ďalej len „CCS“), najmä v prípade nevyhnutných emisií z priemyselných procesov, a priame zachytávanie CO2 z atmosféry s bezpečným, udržateľným a trvalým ukladaním (DACS). Inovačný fond môže slúžiť aj na podporu prelomových inovačných technológií a infraštruktúry vrátane výroby palív s nízkymi a nulovými emisiami uhlíka určených na dekarbonizáciu odvetví námornej, leteckej, železničnej a cestnej dopravy vrátane hromadných foriem dopravy, ako je verejná doprava a autobusová doprava.</w:t>
            </w:r>
          </w:p>
          <w:p w14:paraId="6E44F516" w14:textId="77777777" w:rsidR="00357CEC" w:rsidRPr="001300A9" w:rsidRDefault="00357CEC" w:rsidP="00357CEC">
            <w:pPr>
              <w:pStyle w:val="Default"/>
              <w:rPr>
                <w:sz w:val="22"/>
                <w:szCs w:val="22"/>
              </w:rPr>
            </w:pPr>
          </w:p>
          <w:p w14:paraId="667B4F71" w14:textId="77777777" w:rsidR="00357CEC" w:rsidRPr="001300A9" w:rsidRDefault="00357CEC" w:rsidP="00357CEC">
            <w:pPr>
              <w:pStyle w:val="Default"/>
              <w:rPr>
                <w:sz w:val="22"/>
                <w:szCs w:val="22"/>
              </w:rPr>
            </w:pPr>
            <w:r w:rsidRPr="001300A9">
              <w:rPr>
                <w:sz w:val="22"/>
                <w:szCs w:val="22"/>
              </w:rPr>
              <w:t>V prípade leteckej dopravy môže podporovať aj elektrifikáciu a opatrenia na zníženie celkového vplyvu takejto dopravy na klímu.</w:t>
            </w:r>
          </w:p>
          <w:p w14:paraId="23A38508" w14:textId="77777777" w:rsidR="00357CEC" w:rsidRPr="001300A9" w:rsidRDefault="00357CEC" w:rsidP="00357CEC">
            <w:pPr>
              <w:pStyle w:val="Default"/>
              <w:rPr>
                <w:sz w:val="22"/>
                <w:szCs w:val="22"/>
              </w:rPr>
            </w:pPr>
          </w:p>
          <w:p w14:paraId="53335BB9" w14:textId="77777777" w:rsidR="00357CEC" w:rsidRPr="001300A9" w:rsidRDefault="00357CEC" w:rsidP="00357CEC">
            <w:pPr>
              <w:pStyle w:val="Default"/>
              <w:rPr>
                <w:sz w:val="22"/>
                <w:szCs w:val="22"/>
              </w:rPr>
            </w:pPr>
            <w:r w:rsidRPr="001300A9">
              <w:rPr>
                <w:sz w:val="22"/>
                <w:szCs w:val="22"/>
              </w:rPr>
              <w:lastRenderedPageBreak/>
              <w:t xml:space="preserve">Komisia venuje osobitnú pozornosť projektom v odvetviach, na ktoré sa vzťahuje nariadenie (EÚ) 2023/...+, zameraným na podporu inovácií v oblasti </w:t>
            </w:r>
            <w:proofErr w:type="spellStart"/>
            <w:r w:rsidRPr="001300A9">
              <w:rPr>
                <w:sz w:val="22"/>
                <w:szCs w:val="22"/>
              </w:rPr>
              <w:t>nízkouhlíkových</w:t>
            </w:r>
            <w:proofErr w:type="spellEnd"/>
            <w:r w:rsidRPr="001300A9">
              <w:rPr>
                <w:sz w:val="22"/>
                <w:szCs w:val="22"/>
              </w:rPr>
              <w:t xml:space="preserve"> technológií, CCU, CCS, energie z obnoviteľných zdrojov a jej uskladňovania, a to spôsobom </w:t>
            </w:r>
            <w:proofErr w:type="spellStart"/>
            <w:r w:rsidRPr="001300A9">
              <w:rPr>
                <w:sz w:val="22"/>
                <w:szCs w:val="22"/>
              </w:rPr>
              <w:t>prispievajúcemu</w:t>
            </w:r>
            <w:proofErr w:type="spellEnd"/>
            <w:r w:rsidRPr="001300A9">
              <w:rPr>
                <w:sz w:val="22"/>
                <w:szCs w:val="22"/>
              </w:rPr>
              <w:t xml:space="preserve"> k zmierňovaniu zmeny klímy, s cieľom udeliť v období rokov 2021 až 2030 projektom v týchto odvetviach významný podiel ekvivalentu finančnej hodnoty kvót uvedených v odseku 1a štvrtom </w:t>
            </w:r>
            <w:proofErr w:type="spellStart"/>
            <w:r w:rsidRPr="001300A9">
              <w:rPr>
                <w:sz w:val="22"/>
                <w:szCs w:val="22"/>
              </w:rPr>
              <w:t>pododseku</w:t>
            </w:r>
            <w:proofErr w:type="spellEnd"/>
            <w:r w:rsidRPr="001300A9">
              <w:rPr>
                <w:sz w:val="22"/>
                <w:szCs w:val="22"/>
              </w:rPr>
              <w:t xml:space="preserve"> tohto článku. Okrem toho môže Komisia do roku 2027 vyhlásiť výzvy na predkladanie návrhov zamerané na odvetvia, na ktoré sa vzťahuje uvedené nariadenie.</w:t>
            </w:r>
          </w:p>
          <w:p w14:paraId="74529D8C" w14:textId="77777777" w:rsidR="00357CEC" w:rsidRPr="001300A9" w:rsidRDefault="00357CEC" w:rsidP="00357CEC">
            <w:pPr>
              <w:pStyle w:val="Default"/>
              <w:rPr>
                <w:sz w:val="22"/>
                <w:szCs w:val="22"/>
              </w:rPr>
            </w:pPr>
          </w:p>
          <w:p w14:paraId="2072FFCB" w14:textId="77777777" w:rsidR="00357CEC" w:rsidRPr="001300A9" w:rsidRDefault="00357CEC" w:rsidP="00357CEC">
            <w:pPr>
              <w:pStyle w:val="Default"/>
              <w:rPr>
                <w:sz w:val="22"/>
                <w:szCs w:val="22"/>
              </w:rPr>
            </w:pPr>
            <w:r w:rsidRPr="001300A9">
              <w:rPr>
                <w:sz w:val="22"/>
                <w:szCs w:val="22"/>
              </w:rPr>
              <w:t>Komisia venuje osobitnú pozornosť aj projektom, ktoré prispievajú k dekarbonizácii námorného odvetvia, a do výziev na predkladanie návrhov v rámci inovačného fondu vo vhodných prípadoch zahrnie témy určené na tento účel vrátane elektrifikácie námornej dopravy a riešenia jej celkového vplyvu na klímu vrátane emisií čierneho uhlíka. V takýchto výzvach sa v rámci kritérií používaných na výber projektov zohľadní najmä potenciál projektov a investícií zvýšiť ochranu biodiverzity a znížiť hluk a znečistenie vody.</w:t>
            </w:r>
          </w:p>
          <w:p w14:paraId="76CBD301" w14:textId="77777777" w:rsidR="00357CEC" w:rsidRPr="001300A9" w:rsidRDefault="00357CEC" w:rsidP="00357CEC">
            <w:pPr>
              <w:pStyle w:val="Default"/>
              <w:rPr>
                <w:sz w:val="22"/>
                <w:szCs w:val="22"/>
              </w:rPr>
            </w:pPr>
          </w:p>
          <w:p w14:paraId="046AB96A" w14:textId="77777777" w:rsidR="00357CEC" w:rsidRPr="001300A9" w:rsidRDefault="00357CEC" w:rsidP="00357CEC">
            <w:pPr>
              <w:pStyle w:val="Default"/>
              <w:rPr>
                <w:sz w:val="22"/>
                <w:szCs w:val="22"/>
              </w:rPr>
            </w:pPr>
            <w:r w:rsidRPr="001300A9">
              <w:rPr>
                <w:sz w:val="22"/>
                <w:szCs w:val="22"/>
              </w:rPr>
              <w:t>Inovačný fond môže v súlade s odsekom 8a podporovať projekty prostredníctvom súťažného ponukového konania, ako sú rozdielové zmluvy, rozdielové zmluvy v oblasti uhlíka alebo zmluvy s pevnou prémiou, na podporu technológií dekarbonizácie, pre ktoré cena uhlíka nemusí byť dostatočným stimulom.</w:t>
            </w:r>
          </w:p>
          <w:p w14:paraId="0D57C84A" w14:textId="77777777" w:rsidR="00357CEC" w:rsidRPr="001300A9" w:rsidRDefault="00357CEC" w:rsidP="00357CEC">
            <w:pPr>
              <w:pStyle w:val="Default"/>
              <w:rPr>
                <w:sz w:val="22"/>
                <w:szCs w:val="22"/>
              </w:rPr>
            </w:pPr>
          </w:p>
          <w:p w14:paraId="7BAB7BDF" w14:textId="77777777" w:rsidR="00357CEC" w:rsidRPr="001300A9" w:rsidRDefault="00357CEC" w:rsidP="00357CEC">
            <w:pPr>
              <w:pStyle w:val="Default"/>
              <w:rPr>
                <w:sz w:val="22"/>
                <w:szCs w:val="22"/>
              </w:rPr>
            </w:pPr>
            <w:r w:rsidRPr="001300A9">
              <w:rPr>
                <w:sz w:val="22"/>
                <w:szCs w:val="22"/>
              </w:rPr>
              <w:lastRenderedPageBreak/>
              <w:t>Komisia sa usiluje o synergie medzi inovačným fondom a programom Horizont Európa, najmä pokiaľ ide o európske partnerstvá, a v relevantných prípadoch o synergie medzi inovačným fondom a inými programami Únie.</w:t>
            </w:r>
          </w:p>
          <w:p w14:paraId="7CBC14AA" w14:textId="77777777" w:rsidR="00357CEC" w:rsidRPr="001300A9" w:rsidRDefault="00357CEC" w:rsidP="00357CEC">
            <w:pPr>
              <w:pStyle w:val="Default"/>
              <w:rPr>
                <w:sz w:val="22"/>
                <w:szCs w:val="22"/>
              </w:rPr>
            </w:pPr>
          </w:p>
          <w:p w14:paraId="5671CB4C" w14:textId="77777777" w:rsidR="00357CEC" w:rsidRPr="001300A9" w:rsidRDefault="00357CEC" w:rsidP="00357CEC">
            <w:pPr>
              <w:pStyle w:val="Default"/>
              <w:rPr>
                <w:sz w:val="22"/>
                <w:szCs w:val="22"/>
              </w:rPr>
            </w:pPr>
            <w:r w:rsidRPr="001300A9">
              <w:rPr>
                <w:sz w:val="22"/>
                <w:szCs w:val="22"/>
              </w:rPr>
              <w:t xml:space="preserve">Projekty realizované na území všetkých členských štátov vrátane malých a stredných projektov sú oprávnené a v prípade námorných činností projekty s jasnou pridanou hodnotou Únie sú oprávnené. Technológie, ktoré získajú podporu, musia byť inovačné, pričom zatiaľ nesmú byť v obdobnom rozsahu bez podpory komerčne životaschopné, no musia prinášať prelomové riešenia alebo byť dostatočne vyspelé na to, aby sa dali realizovať v </w:t>
            </w:r>
            <w:proofErr w:type="spellStart"/>
            <w:r w:rsidRPr="001300A9">
              <w:rPr>
                <w:sz w:val="22"/>
                <w:szCs w:val="22"/>
              </w:rPr>
              <w:t>predkomerčnej</w:t>
            </w:r>
            <w:proofErr w:type="spellEnd"/>
            <w:r w:rsidRPr="001300A9">
              <w:rPr>
                <w:sz w:val="22"/>
                <w:szCs w:val="22"/>
              </w:rPr>
              <w:t xml:space="preserve"> fáze.</w:t>
            </w:r>
          </w:p>
          <w:p w14:paraId="66910118" w14:textId="77777777" w:rsidR="00357CEC" w:rsidRPr="001300A9" w:rsidRDefault="00357CEC" w:rsidP="00357CEC">
            <w:pPr>
              <w:pStyle w:val="Default"/>
              <w:rPr>
                <w:sz w:val="22"/>
                <w:szCs w:val="22"/>
              </w:rPr>
            </w:pPr>
          </w:p>
          <w:p w14:paraId="63E3D16E" w14:textId="77777777" w:rsidR="00357CEC" w:rsidRPr="001300A9" w:rsidRDefault="00357CEC" w:rsidP="00357CEC">
            <w:pPr>
              <w:pStyle w:val="Default"/>
              <w:rPr>
                <w:sz w:val="22"/>
                <w:szCs w:val="22"/>
              </w:rPr>
            </w:pPr>
            <w:r w:rsidRPr="001300A9">
              <w:rPr>
                <w:sz w:val="22"/>
                <w:szCs w:val="22"/>
              </w:rPr>
              <w:t xml:space="preserve">Komisia zabezpečí, aby sa s kvótami určenými pre inovačný fond obchodovalo formou aukcie v súlade so zásadami a podmienkami uvedenými v článku 10 ods. 4 tejto smernice. Príjmy z obchodovania s kvótami formou aukcie predstavujú vonkajšie pripísané príjmy v súlade s článkom 21 ods. 5 nariadenia Európskeho parlamentu a Rady (EÚ, </w:t>
            </w:r>
            <w:proofErr w:type="spellStart"/>
            <w:r w:rsidRPr="001300A9">
              <w:rPr>
                <w:sz w:val="22"/>
                <w:szCs w:val="22"/>
              </w:rPr>
              <w:t>Euratom</w:t>
            </w:r>
            <w:proofErr w:type="spellEnd"/>
            <w:r w:rsidRPr="001300A9">
              <w:rPr>
                <w:sz w:val="22"/>
                <w:szCs w:val="22"/>
              </w:rPr>
              <w:t>) 2018/1046**. Rozpočtové záväzky, ktoré sa vzťahujú na akcie trvajúce viac ako jeden rozpočtový rok, sa môžu rozdeliť na ročné čiastkové platby počas viacerých rokov.</w:t>
            </w:r>
          </w:p>
          <w:p w14:paraId="35E64F64" w14:textId="77777777" w:rsidR="00357CEC" w:rsidRPr="001300A9" w:rsidRDefault="00357CEC" w:rsidP="00357CEC">
            <w:pPr>
              <w:pStyle w:val="Default"/>
              <w:rPr>
                <w:sz w:val="22"/>
                <w:szCs w:val="22"/>
              </w:rPr>
            </w:pPr>
          </w:p>
          <w:p w14:paraId="5F806E6B" w14:textId="77777777" w:rsidR="00357CEC" w:rsidRPr="001300A9" w:rsidRDefault="00357CEC" w:rsidP="00357CEC">
            <w:pPr>
              <w:pStyle w:val="Default"/>
              <w:rPr>
                <w:sz w:val="22"/>
                <w:szCs w:val="22"/>
              </w:rPr>
            </w:pPr>
            <w:r w:rsidRPr="001300A9">
              <w:rPr>
                <w:sz w:val="22"/>
                <w:szCs w:val="22"/>
              </w:rPr>
              <w:t>Komisia na požiadanie poskytne technickú pomoc členským štátom s nízkou účinnou účasťou na projektoch v rámci inovačného fondu na účely zvýšenia kapacít žiadajúceho členského štátu podporovať navrhovateľov projektov na ich príslušných úze</w:t>
            </w:r>
            <w:r w:rsidRPr="001300A9">
              <w:rPr>
                <w:sz w:val="22"/>
                <w:szCs w:val="22"/>
              </w:rPr>
              <w:lastRenderedPageBreak/>
              <w:t>miach pri predkladaní žiadostí o financovanie z inovačného fondu s cieľom zlepšiť geografické rozloženie účinnej účasti na inovačnom fonde a zvýšiť celkovú kvalitu predkladaných projektov. Komisia sa usiluje o zabezpečenie účinného geografického pokrytia založeného na kvalite v súvislosti s financovaním z inovačného fondu v celej Únii a v tejto súvislosti zabezpečuje komplexné monitorovanie pokroku a náležité nadväzujúce opatrenia.</w:t>
            </w:r>
          </w:p>
          <w:p w14:paraId="5D18D676" w14:textId="77777777" w:rsidR="00357CEC" w:rsidRPr="001300A9" w:rsidRDefault="00357CEC" w:rsidP="00357CEC">
            <w:pPr>
              <w:pStyle w:val="Default"/>
              <w:rPr>
                <w:sz w:val="22"/>
                <w:szCs w:val="22"/>
              </w:rPr>
            </w:pPr>
          </w:p>
          <w:p w14:paraId="1CE853AC" w14:textId="77777777" w:rsidR="00357CEC" w:rsidRPr="001300A9" w:rsidRDefault="00357CEC" w:rsidP="00357CEC">
            <w:pPr>
              <w:pStyle w:val="Default"/>
              <w:rPr>
                <w:sz w:val="22"/>
                <w:szCs w:val="22"/>
              </w:rPr>
            </w:pPr>
            <w:r w:rsidRPr="001300A9">
              <w:rPr>
                <w:sz w:val="22"/>
                <w:szCs w:val="22"/>
              </w:rPr>
              <w:t>Pod podmienkou súhlasu žiadateľov Komisia po uzávierke výzvy na predkladanie návrhov informuje členské štáty o žiadostiach o financovanie projektov na ich príslušných územiach a poskytne im podrobné informácie týkajúce sa týchto žiadostí s cieľom uľahčiť členským štátom koordináciu podpory pre projekty. Komisia okrem toho pred udelením podpory členské štáty informuje o zozname predbežne vybraných projektov.</w:t>
            </w:r>
          </w:p>
          <w:p w14:paraId="17DEA90E" w14:textId="77777777" w:rsidR="00357CEC" w:rsidRPr="001300A9" w:rsidRDefault="00357CEC" w:rsidP="00357CEC">
            <w:pPr>
              <w:pStyle w:val="Default"/>
              <w:rPr>
                <w:sz w:val="22"/>
                <w:szCs w:val="22"/>
              </w:rPr>
            </w:pPr>
          </w:p>
          <w:p w14:paraId="54084112" w14:textId="77777777" w:rsidR="00357CEC" w:rsidRPr="001300A9" w:rsidRDefault="00357CEC" w:rsidP="00357CEC">
            <w:pPr>
              <w:pStyle w:val="Default"/>
              <w:rPr>
                <w:sz w:val="22"/>
                <w:szCs w:val="22"/>
              </w:rPr>
            </w:pPr>
            <w:r w:rsidRPr="001300A9">
              <w:rPr>
                <w:sz w:val="22"/>
                <w:szCs w:val="22"/>
              </w:rPr>
              <w:t xml:space="preserve">Projekty sa vyberajú prostredníctvom transparentného výberového konania technologicky neutrálnym spôsobom v súlade s cieľmi inovačného fondu, ktoré sú stanovené v prvom </w:t>
            </w:r>
            <w:proofErr w:type="spellStart"/>
            <w:r w:rsidRPr="001300A9">
              <w:rPr>
                <w:sz w:val="22"/>
                <w:szCs w:val="22"/>
              </w:rPr>
              <w:t>pododseku</w:t>
            </w:r>
            <w:proofErr w:type="spellEnd"/>
            <w:r w:rsidRPr="001300A9">
              <w:rPr>
                <w:sz w:val="22"/>
                <w:szCs w:val="22"/>
              </w:rPr>
              <w:t xml:space="preserve"> tohto odseku, a na základe objektívnych a transparentných kritérií, pričom sa zohľadní, do akej miery projekty významne prispievajú k plneniu cieľov Únie v oblasti klímy a energetiky a zároveň prispievajú k dosiahnutiu cieľov nulového znečistenia a </w:t>
            </w:r>
            <w:proofErr w:type="spellStart"/>
            <w:r w:rsidRPr="001300A9">
              <w:rPr>
                <w:sz w:val="22"/>
                <w:szCs w:val="22"/>
              </w:rPr>
              <w:t>obehovosti</w:t>
            </w:r>
            <w:proofErr w:type="spellEnd"/>
            <w:r w:rsidRPr="001300A9">
              <w:rPr>
                <w:sz w:val="22"/>
                <w:szCs w:val="22"/>
              </w:rPr>
              <w:t xml:space="preserve"> v súlade s prvým </w:t>
            </w:r>
            <w:proofErr w:type="spellStart"/>
            <w:r w:rsidRPr="001300A9">
              <w:rPr>
                <w:sz w:val="22"/>
                <w:szCs w:val="22"/>
              </w:rPr>
              <w:t>pododsekom</w:t>
            </w:r>
            <w:proofErr w:type="spellEnd"/>
            <w:r w:rsidRPr="001300A9">
              <w:rPr>
                <w:sz w:val="22"/>
                <w:szCs w:val="22"/>
              </w:rPr>
              <w:t xml:space="preserve"> tohto odseku, a v relevantných prípadoch sa zohľadní, do akej miery projekty prispievajú k dosiahnutiu zníženia emisií výrazne pod referenčné hodnoty uvedené v odseku 2. Projekty musia mať potenciál na rozsiahle uplat</w:t>
            </w:r>
            <w:r w:rsidRPr="001300A9">
              <w:rPr>
                <w:sz w:val="22"/>
                <w:szCs w:val="22"/>
              </w:rPr>
              <w:lastRenderedPageBreak/>
              <w:t>ňovanie alebo na výrazné zníženie nákladov na prechod na klimaticky neutrálne hospodárstvo v príslušných odvetviach. Uprednostnia sa inovatívne technológie a procesy, ktoré sa zaoberajú viacerými environmentálnymi vplyvmi. Projekty zahŕňajúce CCU musia priniesť čisté zníženie emisií a zabezpečiť zabránenie emisiám CO2 alebo ich trvalé uloženie. V prípade grantov poskytovaných prostredníctvom výziev na predkladanie návrhov možno podporiť až 60 % príslušných nákladov na projekty, z čoho až 40 % nemusí závisieť od overeného zamedzenia emisiám skleníkových plynov, a to za predpokladu, že s ohľadom na použitú technológiu sa podarilo dosiahnuť vytýčené čiastkové ciele. V prípade podpory poskytovanej prostredníctvom súťažného ponukového konania a v prípade podpory formou technickej pomoci možno podporiť až 100 % príslušných nákladov na projekty. V kritériách používaných na výber projektov sa zohľadní potenciál zníženia emisií vo viacerých odvetviach, ktorý ponúkajú kombinované projekty, a to aj v blízkych oblastiach.</w:t>
            </w:r>
          </w:p>
          <w:p w14:paraId="5BB53836" w14:textId="77777777" w:rsidR="00357CEC" w:rsidRPr="001300A9" w:rsidRDefault="00357CEC" w:rsidP="00357CEC">
            <w:pPr>
              <w:pStyle w:val="Default"/>
              <w:rPr>
                <w:sz w:val="22"/>
                <w:szCs w:val="22"/>
              </w:rPr>
            </w:pPr>
          </w:p>
          <w:p w14:paraId="523A664E" w14:textId="77777777" w:rsidR="00357CEC" w:rsidRPr="001300A9" w:rsidRDefault="00357CEC" w:rsidP="00357CEC">
            <w:pPr>
              <w:pStyle w:val="Default"/>
              <w:rPr>
                <w:sz w:val="22"/>
                <w:szCs w:val="22"/>
              </w:rPr>
            </w:pPr>
            <w:r w:rsidRPr="001300A9">
              <w:rPr>
                <w:sz w:val="22"/>
                <w:szCs w:val="22"/>
              </w:rPr>
              <w:t>Od projektov financovaných z inovačného fondu sa vyžaduje, aby sa v rámci nich vymieňali poznatky s inými relevantnými projektmi, ako aj s výskumnými pracovníkmi so sídlom v Únii, ktorí majú oprávnený záujem. Podmienky výmeny poznatkov vymedzí Komisia vo výzvach na predkladanie návrhov.</w:t>
            </w:r>
          </w:p>
          <w:p w14:paraId="25738D63" w14:textId="77777777" w:rsidR="00357CEC" w:rsidRPr="001300A9" w:rsidRDefault="00357CEC" w:rsidP="00357CEC">
            <w:pPr>
              <w:pStyle w:val="Default"/>
              <w:rPr>
                <w:sz w:val="22"/>
                <w:szCs w:val="22"/>
              </w:rPr>
            </w:pPr>
          </w:p>
          <w:p w14:paraId="5D03DAA4" w14:textId="77777777" w:rsidR="00357CEC" w:rsidRPr="001300A9" w:rsidRDefault="00357CEC" w:rsidP="00357CEC">
            <w:pPr>
              <w:pStyle w:val="Default"/>
              <w:rPr>
                <w:sz w:val="22"/>
                <w:szCs w:val="22"/>
              </w:rPr>
            </w:pPr>
            <w:r w:rsidRPr="001300A9">
              <w:rPr>
                <w:sz w:val="22"/>
                <w:szCs w:val="22"/>
              </w:rPr>
              <w:t xml:space="preserve">Výzvy na predkladanie návrhov musia byť otvorené a transparentné. Pri príprave výziev na predkladanie návrhov sa Komisia usiluje zabezpečiť, aby boli riadne pokryté všetky odvetvia. Komisia prijme </w:t>
            </w:r>
            <w:r w:rsidRPr="001300A9">
              <w:rPr>
                <w:sz w:val="22"/>
                <w:szCs w:val="22"/>
              </w:rPr>
              <w:lastRenderedPageBreak/>
              <w:t>opatrenia s cieľom zabezpečiť, aby sa výzvy oznamovali v čo najširšom rozsahu, a najmä malým a stredným podnikom.</w:t>
            </w:r>
          </w:p>
          <w:p w14:paraId="77E7B0F3" w14:textId="77777777" w:rsidR="00357CEC" w:rsidRPr="001300A9" w:rsidRDefault="00357CEC" w:rsidP="00357CEC">
            <w:pPr>
              <w:pStyle w:val="Default"/>
              <w:rPr>
                <w:sz w:val="22"/>
                <w:szCs w:val="22"/>
              </w:rPr>
            </w:pPr>
          </w:p>
          <w:p w14:paraId="0E7C3F49" w14:textId="77777777" w:rsidR="00357CEC" w:rsidRPr="001300A9" w:rsidRDefault="00357CEC" w:rsidP="00357CEC">
            <w:pPr>
              <w:pStyle w:val="Default"/>
              <w:rPr>
                <w:sz w:val="22"/>
                <w:szCs w:val="22"/>
              </w:rPr>
            </w:pPr>
            <w:r w:rsidRPr="001300A9">
              <w:rPr>
                <w:sz w:val="22"/>
                <w:szCs w:val="22"/>
              </w:rPr>
              <w:t>Komisia je splnomocnená prijímať delegované akty v súlade s článkom 23 s cieľom doplniť túto smernicu, pokiaľ ide o pravidlá prevádzkovania inovačného fondu vrátane výberového postupu a kritérií, ako aj o oprávnené odvetvia a technologické požiadavky týkajúce sa rôznych druhov podpory.</w:t>
            </w:r>
          </w:p>
          <w:p w14:paraId="4F94814D" w14:textId="77777777" w:rsidR="00357CEC" w:rsidRPr="001300A9" w:rsidRDefault="00357CEC" w:rsidP="00357CEC">
            <w:pPr>
              <w:pStyle w:val="Default"/>
              <w:rPr>
                <w:sz w:val="22"/>
                <w:szCs w:val="22"/>
              </w:rPr>
            </w:pPr>
          </w:p>
          <w:p w14:paraId="0F314024" w14:textId="77777777" w:rsidR="00357CEC" w:rsidRPr="001300A9" w:rsidRDefault="00357CEC" w:rsidP="00357CEC">
            <w:pPr>
              <w:pStyle w:val="Default"/>
              <w:rPr>
                <w:sz w:val="22"/>
                <w:szCs w:val="22"/>
              </w:rPr>
            </w:pPr>
            <w:r w:rsidRPr="001300A9">
              <w:rPr>
                <w:sz w:val="22"/>
                <w:szCs w:val="22"/>
              </w:rPr>
              <w:t>Žiadnemu projektu sa na základe mechanizmu podľa tohto odseku nepridelí podpora vyššia ako 15 % z celkového množstva kvót, ktoré sú na tento účel k dispozícii. Tieto kvóty sa zohľadňujú podľa odseku 7.</w:t>
            </w:r>
          </w:p>
          <w:p w14:paraId="6F765E65" w14:textId="77777777" w:rsidR="00357CEC" w:rsidRPr="001300A9" w:rsidRDefault="00357CEC" w:rsidP="00357CEC">
            <w:pPr>
              <w:pStyle w:val="Default"/>
              <w:rPr>
                <w:sz w:val="22"/>
                <w:szCs w:val="22"/>
              </w:rPr>
            </w:pPr>
          </w:p>
          <w:p w14:paraId="2B10472C" w14:textId="77777777" w:rsidR="00357CEC" w:rsidRPr="001300A9" w:rsidRDefault="00357CEC" w:rsidP="00357CEC">
            <w:pPr>
              <w:pStyle w:val="Default"/>
              <w:rPr>
                <w:sz w:val="22"/>
                <w:szCs w:val="22"/>
              </w:rPr>
            </w:pPr>
            <w:r w:rsidRPr="001300A9">
              <w:rPr>
                <w:sz w:val="22"/>
                <w:szCs w:val="22"/>
              </w:rPr>
              <w:t>Komisia do 31. decembra 2023 a potom každý rok predloží Výboru pre zmenu klímy uvedenému v článku 22a ods. 1 tejto smernice správu o vykonávaní inovačného fondu, v ktorej poskytne analýzu projektov, ktorým boli pridelené finančné prostriedky, podľa odvetví a členských štátov a očakávaný príspevok uvedených projektov k cieľu klimatickej neutrality v Únii, ako sa stanovuje v nariadení (EÚ) 2021/1119. Komisia predloží správu Európskemu parlamentu a Rade a túto správu zverejní.</w:t>
            </w:r>
          </w:p>
          <w:p w14:paraId="2A872DD7" w14:textId="77777777" w:rsidR="00357CEC" w:rsidRPr="001300A9" w:rsidRDefault="00357CEC" w:rsidP="00357CEC">
            <w:pPr>
              <w:pStyle w:val="Default"/>
              <w:rPr>
                <w:sz w:val="22"/>
                <w:szCs w:val="22"/>
              </w:rPr>
            </w:pPr>
          </w:p>
          <w:p w14:paraId="1EF65631" w14:textId="77777777" w:rsidR="00357CEC" w:rsidRPr="001300A9" w:rsidRDefault="00357CEC" w:rsidP="00357CEC">
            <w:pPr>
              <w:pStyle w:val="Default"/>
              <w:rPr>
                <w:sz w:val="22"/>
                <w:szCs w:val="22"/>
              </w:rPr>
            </w:pPr>
            <w:r w:rsidRPr="001300A9">
              <w:rPr>
                <w:sz w:val="22"/>
                <w:szCs w:val="22"/>
              </w:rPr>
              <w:t xml:space="preserve">* Rozhodnutie Komisie 2010/670/EÚ z 3. novembra 2010, ktorým sa ustanovujú kritériá a opatrenia na financovanie komerčných demonštračných projektov, ktorých cieľom je environmentálne bezpečné zachytávanie a geologické ukladanie CO2, ako aj demonštračných projektov využívajúcich </w:t>
            </w:r>
            <w:r w:rsidRPr="001300A9">
              <w:rPr>
                <w:sz w:val="22"/>
                <w:szCs w:val="22"/>
              </w:rPr>
              <w:lastRenderedPageBreak/>
              <w:t>inovačné technológie výroby energie z obnoviteľných zdrojov v rámci systému obchodovania s emisnými kvótami skleníkových plynov v Spoločenstve vytvoreného smernicou Európskeho parlamentu a Rady 2003/87/ES (Ú. v. EÚ L 290, 6.11.2010, s. 39).</w:t>
            </w:r>
          </w:p>
          <w:p w14:paraId="6B555B68" w14:textId="77777777" w:rsidR="00357CEC" w:rsidRPr="001300A9" w:rsidRDefault="00357CEC" w:rsidP="00357CEC">
            <w:pPr>
              <w:pStyle w:val="Default"/>
              <w:rPr>
                <w:sz w:val="22"/>
                <w:szCs w:val="22"/>
              </w:rPr>
            </w:pPr>
            <w:r w:rsidRPr="001300A9">
              <w:rPr>
                <w:sz w:val="22"/>
                <w:szCs w:val="22"/>
              </w:rPr>
              <w:t xml:space="preserve">** Nariadenie Európskeho parlamentu a Rady (EÚ, </w:t>
            </w:r>
            <w:proofErr w:type="spellStart"/>
            <w:r w:rsidRPr="001300A9">
              <w:rPr>
                <w:sz w:val="22"/>
                <w:szCs w:val="22"/>
              </w:rPr>
              <w:t>Euratom</w:t>
            </w:r>
            <w:proofErr w:type="spellEnd"/>
            <w:r w:rsidRPr="001300A9">
              <w:rPr>
                <w:sz w:val="22"/>
                <w:szCs w:val="22"/>
              </w:rPr>
              <w:t xml:space="preserve">) 2018/1046 z 18. júla 2018 o rozpočtových pravidlách, ktoré sa vzťahujú na všeobecný rozpočet Únie, o zmene nariadení (EÚ) č. 1296/2013, (EÚ) č. 1301/2013, (EÚ) č. 1303/2013, (EÚ) č. 1304/2013, (EÚ) č. 1309/2013, (EÚ), č. 1316/2013, (EÚ) č. 223/2014, (EÚ) č. 283/2014 a rozhodnutia č. 541/2014/EÚ a o zrušení nariadenia (EÚ, </w:t>
            </w:r>
            <w:proofErr w:type="spellStart"/>
            <w:r w:rsidRPr="001300A9">
              <w:rPr>
                <w:sz w:val="22"/>
                <w:szCs w:val="22"/>
              </w:rPr>
              <w:t>Euratom</w:t>
            </w:r>
            <w:proofErr w:type="spellEnd"/>
            <w:r w:rsidRPr="001300A9">
              <w:rPr>
                <w:sz w:val="22"/>
                <w:szCs w:val="22"/>
              </w:rPr>
              <w:t>) č. 966/2012 (Ú. v. EÚ L 193, 30.7.2018, s. 1).</w:t>
            </w:r>
          </w:p>
        </w:tc>
        <w:tc>
          <w:tcPr>
            <w:tcW w:w="567" w:type="dxa"/>
          </w:tcPr>
          <w:p w14:paraId="44A09B2B" w14:textId="77777777" w:rsidR="00357CEC" w:rsidRPr="001300A9" w:rsidRDefault="00357CEC" w:rsidP="00357CEC">
            <w:pPr>
              <w:pStyle w:val="Default"/>
              <w:rPr>
                <w:sz w:val="22"/>
                <w:szCs w:val="22"/>
              </w:rPr>
            </w:pPr>
            <w:proofErr w:type="spellStart"/>
            <w:r w:rsidRPr="001300A9">
              <w:rPr>
                <w:sz w:val="22"/>
                <w:szCs w:val="22"/>
              </w:rPr>
              <w:lastRenderedPageBreak/>
              <w:t>n.a</w:t>
            </w:r>
            <w:proofErr w:type="spellEnd"/>
            <w:r w:rsidRPr="001300A9">
              <w:rPr>
                <w:sz w:val="22"/>
                <w:szCs w:val="22"/>
              </w:rPr>
              <w:t>.</w:t>
            </w:r>
          </w:p>
        </w:tc>
        <w:tc>
          <w:tcPr>
            <w:tcW w:w="283" w:type="dxa"/>
          </w:tcPr>
          <w:p w14:paraId="606D9A29" w14:textId="77777777" w:rsidR="00357CEC" w:rsidRPr="001300A9" w:rsidRDefault="00357CEC" w:rsidP="00357CEC">
            <w:pPr>
              <w:pStyle w:val="Default"/>
              <w:rPr>
                <w:sz w:val="22"/>
                <w:szCs w:val="22"/>
              </w:rPr>
            </w:pPr>
          </w:p>
        </w:tc>
        <w:tc>
          <w:tcPr>
            <w:tcW w:w="567" w:type="dxa"/>
          </w:tcPr>
          <w:p w14:paraId="67BFF30E" w14:textId="77777777" w:rsidR="00357CEC" w:rsidRPr="001300A9" w:rsidRDefault="00357CEC" w:rsidP="00357CEC">
            <w:pPr>
              <w:pStyle w:val="Default"/>
              <w:rPr>
                <w:sz w:val="22"/>
                <w:szCs w:val="22"/>
              </w:rPr>
            </w:pPr>
          </w:p>
        </w:tc>
        <w:tc>
          <w:tcPr>
            <w:tcW w:w="4253" w:type="dxa"/>
          </w:tcPr>
          <w:p w14:paraId="49DC49F6" w14:textId="77777777" w:rsidR="00357CEC" w:rsidRPr="001300A9" w:rsidRDefault="00357CEC" w:rsidP="00357CEC">
            <w:pPr>
              <w:pStyle w:val="Default"/>
              <w:rPr>
                <w:sz w:val="22"/>
                <w:szCs w:val="22"/>
              </w:rPr>
            </w:pPr>
          </w:p>
        </w:tc>
        <w:tc>
          <w:tcPr>
            <w:tcW w:w="567" w:type="dxa"/>
          </w:tcPr>
          <w:p w14:paraId="230E2F19" w14:textId="77777777" w:rsidR="00357CEC" w:rsidRPr="001300A9" w:rsidRDefault="00357CEC" w:rsidP="00357CEC">
            <w:pPr>
              <w:pStyle w:val="Default"/>
              <w:rPr>
                <w:sz w:val="22"/>
                <w:szCs w:val="22"/>
              </w:rPr>
            </w:pPr>
          </w:p>
        </w:tc>
        <w:tc>
          <w:tcPr>
            <w:tcW w:w="1276" w:type="dxa"/>
          </w:tcPr>
          <w:p w14:paraId="7231858E" w14:textId="77777777" w:rsidR="00357CEC" w:rsidRPr="001300A9" w:rsidRDefault="00357CEC" w:rsidP="00357CEC">
            <w:pPr>
              <w:pStyle w:val="Default"/>
              <w:rPr>
                <w:sz w:val="22"/>
                <w:szCs w:val="22"/>
              </w:rPr>
            </w:pPr>
          </w:p>
        </w:tc>
        <w:tc>
          <w:tcPr>
            <w:tcW w:w="850" w:type="dxa"/>
          </w:tcPr>
          <w:p w14:paraId="70DD909E" w14:textId="77777777" w:rsidR="00357CEC" w:rsidRPr="001300A9" w:rsidRDefault="00357CEC" w:rsidP="00357CEC">
            <w:pPr>
              <w:pStyle w:val="Default"/>
              <w:rPr>
                <w:sz w:val="22"/>
                <w:szCs w:val="22"/>
              </w:rPr>
            </w:pPr>
          </w:p>
        </w:tc>
        <w:tc>
          <w:tcPr>
            <w:tcW w:w="815" w:type="dxa"/>
          </w:tcPr>
          <w:p w14:paraId="7F01FD4C" w14:textId="77777777" w:rsidR="00357CEC" w:rsidRPr="001300A9" w:rsidRDefault="00357CEC" w:rsidP="00357CEC">
            <w:pPr>
              <w:pStyle w:val="Default"/>
              <w:rPr>
                <w:sz w:val="22"/>
                <w:szCs w:val="22"/>
              </w:rPr>
            </w:pPr>
          </w:p>
        </w:tc>
      </w:tr>
      <w:tr w:rsidR="00DD6EDC" w:rsidRPr="001300A9" w14:paraId="448CEBB3" w14:textId="77777777" w:rsidTr="360410BC">
        <w:tc>
          <w:tcPr>
            <w:tcW w:w="562" w:type="dxa"/>
          </w:tcPr>
          <w:p w14:paraId="056E952D" w14:textId="77777777" w:rsidR="00357CEC" w:rsidRPr="001300A9" w:rsidRDefault="00357CEC" w:rsidP="00357CEC">
            <w:pPr>
              <w:pStyle w:val="Default"/>
              <w:rPr>
                <w:sz w:val="22"/>
                <w:szCs w:val="22"/>
              </w:rPr>
            </w:pPr>
            <w:r w:rsidRPr="001300A9">
              <w:rPr>
                <w:sz w:val="22"/>
                <w:szCs w:val="22"/>
              </w:rPr>
              <w:lastRenderedPageBreak/>
              <w:t>Č: 1</w:t>
            </w:r>
          </w:p>
          <w:p w14:paraId="7E5D888E" w14:textId="77777777" w:rsidR="00357CEC" w:rsidRPr="001300A9" w:rsidRDefault="00357CEC" w:rsidP="00357CEC">
            <w:pPr>
              <w:pStyle w:val="Default"/>
              <w:rPr>
                <w:sz w:val="22"/>
                <w:szCs w:val="22"/>
              </w:rPr>
            </w:pPr>
            <w:r w:rsidRPr="001300A9">
              <w:rPr>
                <w:sz w:val="22"/>
                <w:szCs w:val="22"/>
              </w:rPr>
              <w:t>O: 13</w:t>
            </w:r>
          </w:p>
          <w:p w14:paraId="654CAC0A" w14:textId="77777777" w:rsidR="00357CEC" w:rsidRPr="001300A9" w:rsidRDefault="00357CEC" w:rsidP="00357CEC">
            <w:pPr>
              <w:pStyle w:val="Default"/>
              <w:rPr>
                <w:sz w:val="22"/>
                <w:szCs w:val="22"/>
              </w:rPr>
            </w:pPr>
            <w:r w:rsidRPr="001300A9">
              <w:rPr>
                <w:sz w:val="22"/>
                <w:szCs w:val="22"/>
              </w:rPr>
              <w:t>P: i)</w:t>
            </w:r>
          </w:p>
        </w:tc>
        <w:tc>
          <w:tcPr>
            <w:tcW w:w="4820" w:type="dxa"/>
          </w:tcPr>
          <w:p w14:paraId="4970F098" w14:textId="77777777" w:rsidR="00357CEC" w:rsidRPr="001300A9" w:rsidRDefault="00357CEC" w:rsidP="00357CEC">
            <w:pPr>
              <w:pStyle w:val="Default"/>
              <w:rPr>
                <w:sz w:val="22"/>
                <w:szCs w:val="22"/>
              </w:rPr>
            </w:pPr>
            <w:r w:rsidRPr="001300A9">
              <w:rPr>
                <w:sz w:val="22"/>
                <w:szCs w:val="22"/>
              </w:rPr>
              <w:t>8a. V prípade rozdielových zmlúv a rozdielových zmlúv v oblasti uhlíka uzavretých po ukončení mechanizmu súťažného ponukového konania sa poskytne primerané krytie rozpočtovými záväzkami vyplývajúcimi z výnosov z obchodovania s kvótami formou aukcie, ktoré sú k dispozícii v inovačnom fonde, a tieto rozpočtové záväzky sa môžu rozdeliť na ročné čiastkové platby počas viacerých rokov. V prípade prvých dvoch kôl mechanizmu súťažného ponukového konania sa krytie finančného záväzku súvisiaceho s rozdielovými zmluvami a rozdielovými zmluvami v oblasti uhlíka v plnej miere zabezpečí rozpočtovými prostriedkami vyplývajúcimi z výnosov z obchodovania s kvótami formou aukcie, ktoré boli pridelené inovačnému fondu podľa odseku 8.</w:t>
            </w:r>
          </w:p>
          <w:p w14:paraId="0CCAE5D1" w14:textId="77777777" w:rsidR="00357CEC" w:rsidRPr="001300A9" w:rsidRDefault="00357CEC" w:rsidP="00357CEC">
            <w:pPr>
              <w:pStyle w:val="Default"/>
              <w:rPr>
                <w:sz w:val="22"/>
                <w:szCs w:val="22"/>
              </w:rPr>
            </w:pPr>
          </w:p>
          <w:p w14:paraId="5EDF3A4C" w14:textId="77777777" w:rsidR="00357CEC" w:rsidRPr="001300A9" w:rsidRDefault="00357CEC" w:rsidP="00357CEC">
            <w:pPr>
              <w:pStyle w:val="Default"/>
              <w:rPr>
                <w:sz w:val="22"/>
                <w:szCs w:val="22"/>
              </w:rPr>
            </w:pPr>
            <w:r w:rsidRPr="001300A9">
              <w:rPr>
                <w:sz w:val="22"/>
                <w:szCs w:val="22"/>
              </w:rPr>
              <w:t xml:space="preserve">Na základe kvalitatívneho a kvantitatívneho posúdenia finančných rizík vyplývajúcich z vykonávania </w:t>
            </w:r>
            <w:r w:rsidRPr="001300A9">
              <w:rPr>
                <w:sz w:val="22"/>
                <w:szCs w:val="22"/>
              </w:rPr>
              <w:lastRenderedPageBreak/>
              <w:t xml:space="preserve">rozdielových zmlúv a rozdielových zmlúv v oblasti uhlíka, ktoré vypracuje Komisia po ukončení prvých dvoch kôl mechanizmu súťažného ponukového konania a neskôr vždy, keď je to potrebné v súlade so zásadou obozretnosti, podľa ktorej aktíva a zisky nesmú byť nadhodnotené a pasíva a straty nesmú byť podhodnotené, sa Komisia môže v súlade so splnomocnením uvedeným v ôsmom </w:t>
            </w:r>
            <w:proofErr w:type="spellStart"/>
            <w:r w:rsidRPr="001300A9">
              <w:rPr>
                <w:sz w:val="22"/>
                <w:szCs w:val="22"/>
              </w:rPr>
              <w:t>pododseku</w:t>
            </w:r>
            <w:proofErr w:type="spellEnd"/>
            <w:r w:rsidRPr="001300A9">
              <w:rPr>
                <w:sz w:val="22"/>
                <w:szCs w:val="22"/>
              </w:rPr>
              <w:t xml:space="preserve"> rozhodnúť, že pokryje len časť finančného záväzku súvisiaceho s rozdielovými zmluvami a rozdielovými zmluvami v oblasti uhlíka prostredníctvom prostriedkov uvedených v prvom </w:t>
            </w:r>
            <w:proofErr w:type="spellStart"/>
            <w:r w:rsidRPr="001300A9">
              <w:rPr>
                <w:sz w:val="22"/>
                <w:szCs w:val="22"/>
              </w:rPr>
              <w:t>pododseku</w:t>
            </w:r>
            <w:proofErr w:type="spellEnd"/>
            <w:r w:rsidRPr="001300A9">
              <w:rPr>
                <w:sz w:val="22"/>
                <w:szCs w:val="22"/>
              </w:rPr>
              <w:t xml:space="preserve"> a zvyšnú časť pokryje inými prostriedkami. Komisia sa usiluje obmedziť používanie iných prostriedkov krytia.</w:t>
            </w:r>
          </w:p>
          <w:p w14:paraId="34CC585E" w14:textId="77777777" w:rsidR="00357CEC" w:rsidRPr="001300A9" w:rsidRDefault="00357CEC" w:rsidP="00357CEC">
            <w:pPr>
              <w:pStyle w:val="Default"/>
              <w:rPr>
                <w:sz w:val="22"/>
                <w:szCs w:val="22"/>
              </w:rPr>
            </w:pPr>
          </w:p>
          <w:p w14:paraId="1E66D110" w14:textId="77777777" w:rsidR="00357CEC" w:rsidRPr="001300A9" w:rsidRDefault="00357CEC" w:rsidP="00357CEC">
            <w:pPr>
              <w:pStyle w:val="Default"/>
              <w:rPr>
                <w:sz w:val="22"/>
                <w:szCs w:val="22"/>
              </w:rPr>
            </w:pPr>
            <w:r w:rsidRPr="001300A9">
              <w:rPr>
                <w:sz w:val="22"/>
                <w:szCs w:val="22"/>
              </w:rPr>
              <w:t xml:space="preserve">Ak posúdenie vedie k záveru, že na využitie plného potenciálu rozdielových zmlúv a rozdielových zmlúv v oblasti uhlíka sú potrebné iné prostriedky krytia, Komisia sa usiluje o ich vyváženú kombináciu. Odchylne od článku 210 ods. 1 nariadenia (EÚ, </w:t>
            </w:r>
            <w:proofErr w:type="spellStart"/>
            <w:r w:rsidRPr="001300A9">
              <w:rPr>
                <w:sz w:val="22"/>
                <w:szCs w:val="22"/>
              </w:rPr>
              <w:t>Euratom</w:t>
            </w:r>
            <w:proofErr w:type="spellEnd"/>
            <w:r w:rsidRPr="001300A9">
              <w:rPr>
                <w:sz w:val="22"/>
                <w:szCs w:val="22"/>
              </w:rPr>
              <w:t xml:space="preserve">) 2018/1046 Komisia určí rozsah použitia iných prostriedkov krytia podľa delegovaného aktu stanoveného v ôsmom </w:t>
            </w:r>
            <w:proofErr w:type="spellStart"/>
            <w:r w:rsidRPr="001300A9">
              <w:rPr>
                <w:sz w:val="22"/>
                <w:szCs w:val="22"/>
              </w:rPr>
              <w:t>pododseku</w:t>
            </w:r>
            <w:proofErr w:type="spellEnd"/>
            <w:r w:rsidRPr="001300A9">
              <w:rPr>
                <w:sz w:val="22"/>
                <w:szCs w:val="22"/>
              </w:rPr>
              <w:t xml:space="preserve"> tohto odseku.</w:t>
            </w:r>
          </w:p>
          <w:p w14:paraId="696F0E27" w14:textId="77777777" w:rsidR="00357CEC" w:rsidRPr="001300A9" w:rsidRDefault="00357CEC" w:rsidP="00357CEC">
            <w:pPr>
              <w:pStyle w:val="Default"/>
              <w:rPr>
                <w:sz w:val="22"/>
                <w:szCs w:val="22"/>
              </w:rPr>
            </w:pPr>
          </w:p>
          <w:p w14:paraId="647EE8F9" w14:textId="77777777" w:rsidR="00357CEC" w:rsidRPr="001300A9" w:rsidRDefault="00357CEC" w:rsidP="00357CEC">
            <w:pPr>
              <w:pStyle w:val="Default"/>
              <w:rPr>
                <w:sz w:val="22"/>
                <w:szCs w:val="22"/>
              </w:rPr>
            </w:pPr>
            <w:r w:rsidRPr="001300A9">
              <w:rPr>
                <w:sz w:val="22"/>
                <w:szCs w:val="22"/>
              </w:rPr>
              <w:t xml:space="preserve">Zostávajúci finančný záväzok je dostatočne krytý so zreteľom na zásady hlavy X nariadenia (EÚ, </w:t>
            </w:r>
            <w:proofErr w:type="spellStart"/>
            <w:r w:rsidRPr="001300A9">
              <w:rPr>
                <w:sz w:val="22"/>
                <w:szCs w:val="22"/>
              </w:rPr>
              <w:t>Euratom</w:t>
            </w:r>
            <w:proofErr w:type="spellEnd"/>
            <w:r w:rsidRPr="001300A9">
              <w:rPr>
                <w:sz w:val="22"/>
                <w:szCs w:val="22"/>
              </w:rPr>
              <w:t xml:space="preserve">) 2018/1046 a v prípade potreby prispôsobený osobitostiam rozdielových zmlúv a rozdielových zmlúv v oblasti uhlíka, a to odchylne od článku 209 ods. 2 písm. d) a h), článku 210 ods. 1, článku 211 ods. 1, 2, 4 a 6, článkov 212, 213 a 214, článku 218 ods. 1 a článku 219 ods. 3 a 6 uvedeného nariadenia. V príslušných prípadoch sa v delegovanom akte stanovenom v ôsmom </w:t>
            </w:r>
            <w:proofErr w:type="spellStart"/>
            <w:r w:rsidRPr="001300A9">
              <w:rPr>
                <w:sz w:val="22"/>
                <w:szCs w:val="22"/>
              </w:rPr>
              <w:t>pododseku</w:t>
            </w:r>
            <w:proofErr w:type="spellEnd"/>
            <w:r w:rsidRPr="001300A9">
              <w:rPr>
                <w:sz w:val="22"/>
                <w:szCs w:val="22"/>
              </w:rPr>
              <w:t xml:space="preserve"> tohto odseku </w:t>
            </w:r>
            <w:r w:rsidRPr="001300A9">
              <w:rPr>
                <w:sz w:val="22"/>
                <w:szCs w:val="22"/>
              </w:rPr>
              <w:lastRenderedPageBreak/>
              <w:t>určia iné prostriedky krytia, miera tvorby rezerv a potrebné výnimky.</w:t>
            </w:r>
          </w:p>
          <w:p w14:paraId="73BC8D7E" w14:textId="77777777" w:rsidR="00357CEC" w:rsidRPr="001300A9" w:rsidRDefault="00357CEC" w:rsidP="00357CEC">
            <w:pPr>
              <w:pStyle w:val="Default"/>
              <w:rPr>
                <w:sz w:val="22"/>
                <w:szCs w:val="22"/>
              </w:rPr>
            </w:pPr>
          </w:p>
          <w:p w14:paraId="238D1057" w14:textId="77777777" w:rsidR="00357CEC" w:rsidRPr="001300A9" w:rsidRDefault="00357CEC" w:rsidP="00357CEC">
            <w:pPr>
              <w:pStyle w:val="Default"/>
              <w:rPr>
                <w:sz w:val="22"/>
                <w:szCs w:val="22"/>
              </w:rPr>
            </w:pPr>
            <w:r w:rsidRPr="001300A9">
              <w:rPr>
                <w:sz w:val="22"/>
                <w:szCs w:val="22"/>
              </w:rPr>
              <w:t>Komisia nepoužije viac ako 30 % výnosov z obchodovania s kvótami formou aukcie, ktoré boli pridelené inovačnému fondu podľa odseku 8, na tvorbu rezerv v súvislosti s rozdielovými zmluvami a rozdielovými zmluvami v oblasti uhlíka.</w:t>
            </w:r>
          </w:p>
          <w:p w14:paraId="75B88CEE" w14:textId="77777777" w:rsidR="00357CEC" w:rsidRPr="001300A9" w:rsidRDefault="00357CEC" w:rsidP="00357CEC">
            <w:pPr>
              <w:pStyle w:val="Default"/>
              <w:rPr>
                <w:sz w:val="22"/>
                <w:szCs w:val="22"/>
              </w:rPr>
            </w:pPr>
          </w:p>
          <w:p w14:paraId="4403708F" w14:textId="77777777" w:rsidR="00357CEC" w:rsidRPr="001300A9" w:rsidRDefault="00357CEC" w:rsidP="00357CEC">
            <w:pPr>
              <w:pStyle w:val="Default"/>
              <w:rPr>
                <w:sz w:val="22"/>
                <w:szCs w:val="22"/>
              </w:rPr>
            </w:pPr>
            <w:r w:rsidRPr="001300A9">
              <w:rPr>
                <w:sz w:val="22"/>
                <w:szCs w:val="22"/>
              </w:rPr>
              <w:t>Miera tvorby rezerv nesmie byť nižšia ako 50 % celkového finančného záväzku, ktorý znáša rozpočet Únie v prípade rozdielových zmlúv a rozdielových zmlúv v oblasti uhlíka. Pri stanovovaní miery tvorby rezerv Komisia zohľadní prvky, ktoré môžu znížiť finančné riziká pre rozpočet Únie nad rámec rozpočtových prostriedkov dostupných v inovačnom fonde, ako je napríklad prípadné dobrovoľné rozdelenie zodpovednosti s členskými štátmi alebo možný mechanizmus zaistenia zo súkromného sektora. Komisia preskúma mieru tvorby rezerv aspoň každé tri roky od dátumu začatia uplatňovania delegovaného aktu, v ktorom sa po prvýkrát stanoví.</w:t>
            </w:r>
          </w:p>
          <w:p w14:paraId="5301FF94" w14:textId="77777777" w:rsidR="00357CEC" w:rsidRPr="001300A9" w:rsidRDefault="00357CEC" w:rsidP="00357CEC">
            <w:pPr>
              <w:pStyle w:val="Default"/>
              <w:rPr>
                <w:sz w:val="22"/>
                <w:szCs w:val="22"/>
              </w:rPr>
            </w:pPr>
          </w:p>
          <w:p w14:paraId="0EB6C49C" w14:textId="77777777" w:rsidR="00357CEC" w:rsidRPr="001300A9" w:rsidRDefault="00357CEC" w:rsidP="00357CEC">
            <w:pPr>
              <w:pStyle w:val="Default"/>
              <w:rPr>
                <w:sz w:val="22"/>
                <w:szCs w:val="22"/>
              </w:rPr>
            </w:pPr>
            <w:r w:rsidRPr="001300A9">
              <w:rPr>
                <w:sz w:val="22"/>
                <w:szCs w:val="22"/>
              </w:rPr>
              <w:t xml:space="preserve">S cieľom predísť špekulatívnym žiadostiam môže byť prístup k súťažnému ponukovému konaniu podmienený tým, že žiadatelia zaplatia zálohu, ktorá v prípade neplnenia zmluvy prepadne. Takéto prepadnuté zálohy sa použijú pre inovačný fond ako vonkajší pripísaný príjem podľa článku 21 ods. 5 nariadenia (EÚ, </w:t>
            </w:r>
            <w:proofErr w:type="spellStart"/>
            <w:r w:rsidRPr="001300A9">
              <w:rPr>
                <w:sz w:val="22"/>
                <w:szCs w:val="22"/>
              </w:rPr>
              <w:t>Euratom</w:t>
            </w:r>
            <w:proofErr w:type="spellEnd"/>
            <w:r w:rsidRPr="001300A9">
              <w:rPr>
                <w:sz w:val="22"/>
                <w:szCs w:val="22"/>
              </w:rPr>
              <w:t xml:space="preserve">) 2018/1046. Každý príspevok, ktorý príjemca vyplatí udeľujúcemu orgánu v súlade s podmienkami rozdielových zmlúv alebo rozdielových zmlúv v oblasti uhlíka, ak je referenčná cena vyššia ako realizačná cena (ďalej len „spätné toky“), sa použije pre inovačný fond ako vonkajší </w:t>
            </w:r>
            <w:r w:rsidRPr="001300A9">
              <w:rPr>
                <w:sz w:val="22"/>
                <w:szCs w:val="22"/>
              </w:rPr>
              <w:lastRenderedPageBreak/>
              <w:t>pripísaný príjem podľa článku 21 ods. 5 uvedeného nariadenia.</w:t>
            </w:r>
          </w:p>
          <w:p w14:paraId="14A1411B" w14:textId="77777777" w:rsidR="00357CEC" w:rsidRPr="001300A9" w:rsidRDefault="00357CEC" w:rsidP="00357CEC">
            <w:pPr>
              <w:pStyle w:val="Default"/>
              <w:rPr>
                <w:sz w:val="22"/>
                <w:szCs w:val="22"/>
              </w:rPr>
            </w:pPr>
          </w:p>
          <w:p w14:paraId="094B77A3" w14:textId="77777777" w:rsidR="00357CEC" w:rsidRPr="001300A9" w:rsidRDefault="00357CEC" w:rsidP="00357CEC">
            <w:pPr>
              <w:pStyle w:val="Default"/>
              <w:rPr>
                <w:sz w:val="22"/>
                <w:szCs w:val="22"/>
              </w:rPr>
            </w:pPr>
            <w:r w:rsidRPr="001300A9">
              <w:rPr>
                <w:sz w:val="22"/>
                <w:szCs w:val="22"/>
              </w:rPr>
              <w:t xml:space="preserve">Komisia je splnomocnená prijímať delegované akty v súlade s článkom 23 s cieľom doplniť túto smernicu s cieľom stanoviť a spresniť prípadné iné prostriedky krytia a v príslušných prípadoch mieru tvorby rezerv a nevyhnutné dodatočné výnimky z hlavy X nariadenia (EÚ, </w:t>
            </w:r>
            <w:proofErr w:type="spellStart"/>
            <w:r w:rsidRPr="001300A9">
              <w:rPr>
                <w:sz w:val="22"/>
                <w:szCs w:val="22"/>
              </w:rPr>
              <w:t>Euratom</w:t>
            </w:r>
            <w:proofErr w:type="spellEnd"/>
            <w:r w:rsidRPr="001300A9">
              <w:rPr>
                <w:sz w:val="22"/>
                <w:szCs w:val="22"/>
              </w:rPr>
              <w:t xml:space="preserve">) 2018/1046, ako sa stanovuje vo štvrtom </w:t>
            </w:r>
            <w:proofErr w:type="spellStart"/>
            <w:r w:rsidRPr="001300A9">
              <w:rPr>
                <w:sz w:val="22"/>
                <w:szCs w:val="22"/>
              </w:rPr>
              <w:t>pododseku</w:t>
            </w:r>
            <w:proofErr w:type="spellEnd"/>
            <w:r w:rsidRPr="001300A9">
              <w:rPr>
                <w:sz w:val="22"/>
                <w:szCs w:val="22"/>
              </w:rPr>
              <w:t xml:space="preserve"> tohto odseku, a tiež pravidlá fungovania mechanizmu súťažného ponukového konania, najmä v súvislosti s vkladmi a spätnými tokmi.</w:t>
            </w:r>
          </w:p>
          <w:p w14:paraId="2F395EFD" w14:textId="77777777" w:rsidR="00357CEC" w:rsidRPr="001300A9" w:rsidRDefault="00357CEC" w:rsidP="00357CEC">
            <w:pPr>
              <w:pStyle w:val="Default"/>
              <w:rPr>
                <w:sz w:val="22"/>
                <w:szCs w:val="22"/>
              </w:rPr>
            </w:pPr>
          </w:p>
          <w:p w14:paraId="46FDE148" w14:textId="77777777" w:rsidR="00357CEC" w:rsidRPr="001300A9" w:rsidRDefault="00357CEC" w:rsidP="00357CEC">
            <w:pPr>
              <w:pStyle w:val="Default"/>
              <w:rPr>
                <w:sz w:val="22"/>
                <w:szCs w:val="22"/>
              </w:rPr>
            </w:pPr>
            <w:r w:rsidRPr="001300A9">
              <w:rPr>
                <w:sz w:val="22"/>
                <w:szCs w:val="22"/>
              </w:rPr>
              <w:t xml:space="preserve">Komisia je splnomocnená prijímať delegované akty v súlade s článkom 23 s cieľom zmeniť piaty </w:t>
            </w:r>
            <w:proofErr w:type="spellStart"/>
            <w:r w:rsidRPr="001300A9">
              <w:rPr>
                <w:sz w:val="22"/>
                <w:szCs w:val="22"/>
              </w:rPr>
              <w:t>pododsek</w:t>
            </w:r>
            <w:proofErr w:type="spellEnd"/>
            <w:r w:rsidRPr="001300A9">
              <w:rPr>
                <w:sz w:val="22"/>
                <w:szCs w:val="22"/>
              </w:rPr>
              <w:t xml:space="preserve"> tohto odseku zvýšením limitu 30 % uvedeného v danom </w:t>
            </w:r>
            <w:proofErr w:type="spellStart"/>
            <w:r w:rsidRPr="001300A9">
              <w:rPr>
                <w:sz w:val="22"/>
                <w:szCs w:val="22"/>
              </w:rPr>
              <w:t>pododseku</w:t>
            </w:r>
            <w:proofErr w:type="spellEnd"/>
            <w:r w:rsidRPr="001300A9">
              <w:rPr>
                <w:sz w:val="22"/>
                <w:szCs w:val="22"/>
              </w:rPr>
              <w:t xml:space="preserve"> najviac o 20 percentuálnych bodov, ak je to potrebné pre reakciu na dopyt po rozdielových zmluvách a rozdielových zmluvách v oblasti uhlíka, pričom sa zohľadnia skúsenosti z prvých kôl mechanizmu súťažného ponukového konania a potreba nájsť medzi grantmi a takýmito zmluvami primeranú rovnováhu, pokiaľ ide o podporu z inovačného fondu.</w:t>
            </w:r>
          </w:p>
          <w:p w14:paraId="14B86B0A" w14:textId="77777777" w:rsidR="00357CEC" w:rsidRPr="001300A9" w:rsidRDefault="00357CEC" w:rsidP="00357CEC">
            <w:pPr>
              <w:pStyle w:val="Default"/>
              <w:rPr>
                <w:sz w:val="22"/>
                <w:szCs w:val="22"/>
              </w:rPr>
            </w:pPr>
          </w:p>
          <w:p w14:paraId="01EF16FC" w14:textId="77777777" w:rsidR="00357CEC" w:rsidRPr="001300A9" w:rsidRDefault="00357CEC" w:rsidP="00357CEC">
            <w:pPr>
              <w:pStyle w:val="Default"/>
              <w:rPr>
                <w:sz w:val="22"/>
                <w:szCs w:val="22"/>
              </w:rPr>
            </w:pPr>
            <w:r w:rsidRPr="001300A9">
              <w:rPr>
                <w:sz w:val="22"/>
                <w:szCs w:val="22"/>
              </w:rPr>
              <w:t>Finančná podpora z inovačného fondu musí byť primeraná cieľom politiky stanoveným v tomto článku a nesmie viesť k neprimeranému narušeniu vnútorného trhu. Na tento účel sa podpora poskytuje len na pokrytie dodatočných nákladov alebo investičných rizík, ktoré investori nemôžu znášať za bežných trhových podmienok.</w:t>
            </w:r>
          </w:p>
          <w:p w14:paraId="4C516570" w14:textId="77777777" w:rsidR="00357CEC" w:rsidRPr="001300A9" w:rsidRDefault="00357CEC" w:rsidP="00357CEC">
            <w:pPr>
              <w:pStyle w:val="Default"/>
              <w:rPr>
                <w:sz w:val="22"/>
                <w:szCs w:val="22"/>
              </w:rPr>
            </w:pPr>
          </w:p>
          <w:p w14:paraId="69AD53C0" w14:textId="77777777" w:rsidR="00357CEC" w:rsidRPr="001300A9" w:rsidRDefault="00357CEC" w:rsidP="00357CEC">
            <w:pPr>
              <w:pStyle w:val="Default"/>
              <w:rPr>
                <w:sz w:val="22"/>
                <w:szCs w:val="22"/>
              </w:rPr>
            </w:pPr>
            <w:r w:rsidRPr="001300A9">
              <w:rPr>
                <w:sz w:val="22"/>
                <w:szCs w:val="22"/>
              </w:rPr>
              <w:lastRenderedPageBreak/>
              <w:t xml:space="preserve">8b. 40 miliónov kvót z množstva, ktoré by sa inak mohlo prideliť bezodplatne podľa tohto článku, a 10 miliónov kvót z množstva, s ktorým by sa inak mohlo obchodovať formou aukcie podľa článku 10, sa sprístupní na účely Sociálno-klimatického fondu zriadeného podľa nariadenia Európskeho parlamentu a Rady (EÚ) 2023/...*+. Komisia zabezpečí, aby sa s kvótami určenými pre Sociálno-klimatický fond v roku 2025 obchodovalo formou aukcie v súlade so zásadami a podmienkami uvedenými v článku 10 ods. 4 a v delegovanom akte prijatom v súlade s uvedeným článkom. Príjmy z uvedeného obchodovania predstavujú vonkajšie pripísané príjmy v súlade s článkom 21 ods. 5 nariadenia (EÚ, </w:t>
            </w:r>
            <w:proofErr w:type="spellStart"/>
            <w:r w:rsidRPr="001300A9">
              <w:rPr>
                <w:sz w:val="22"/>
                <w:szCs w:val="22"/>
              </w:rPr>
              <w:t>Euratom</w:t>
            </w:r>
            <w:proofErr w:type="spellEnd"/>
            <w:r w:rsidRPr="001300A9">
              <w:rPr>
                <w:sz w:val="22"/>
                <w:szCs w:val="22"/>
              </w:rPr>
              <w:t>) 2018/1046 a používajú sa v súlade s pravidlami, ktoré sa vzťahujú na Sociálno-klimatický fond.</w:t>
            </w:r>
          </w:p>
          <w:p w14:paraId="3972EA55" w14:textId="77777777" w:rsidR="00357CEC" w:rsidRPr="001300A9" w:rsidRDefault="00357CEC" w:rsidP="00357CEC">
            <w:pPr>
              <w:pStyle w:val="Default"/>
              <w:rPr>
                <w:sz w:val="22"/>
                <w:szCs w:val="22"/>
              </w:rPr>
            </w:pPr>
          </w:p>
          <w:p w14:paraId="089482D8" w14:textId="77777777" w:rsidR="00357CEC" w:rsidRPr="001300A9" w:rsidRDefault="00357CEC" w:rsidP="00357CEC">
            <w:pPr>
              <w:pStyle w:val="Default"/>
              <w:rPr>
                <w:sz w:val="22"/>
                <w:szCs w:val="22"/>
              </w:rPr>
            </w:pPr>
            <w:r w:rsidRPr="001300A9">
              <w:rPr>
                <w:sz w:val="22"/>
                <w:szCs w:val="22"/>
              </w:rPr>
              <w:t>* Nariadenie Európskeho parlamentu a Rady (EÚ) 2023/... z ..., ktorým sa zriaďuje Sociálno-klimatický fond a mení nariadenie (EÚ) 2021/1060 (Ú. v. EÚ L ...).“;</w:t>
            </w:r>
          </w:p>
        </w:tc>
        <w:tc>
          <w:tcPr>
            <w:tcW w:w="567" w:type="dxa"/>
          </w:tcPr>
          <w:p w14:paraId="446C4247" w14:textId="77777777" w:rsidR="00357CEC" w:rsidRPr="001300A9" w:rsidRDefault="00357CEC" w:rsidP="00357CEC">
            <w:pPr>
              <w:pStyle w:val="Default"/>
              <w:rPr>
                <w:sz w:val="22"/>
                <w:szCs w:val="22"/>
              </w:rPr>
            </w:pPr>
            <w:proofErr w:type="spellStart"/>
            <w:r w:rsidRPr="001300A9">
              <w:rPr>
                <w:sz w:val="22"/>
                <w:szCs w:val="22"/>
              </w:rPr>
              <w:lastRenderedPageBreak/>
              <w:t>n.a</w:t>
            </w:r>
            <w:proofErr w:type="spellEnd"/>
            <w:r w:rsidRPr="001300A9">
              <w:rPr>
                <w:sz w:val="22"/>
                <w:szCs w:val="22"/>
              </w:rPr>
              <w:t>.</w:t>
            </w:r>
          </w:p>
        </w:tc>
        <w:tc>
          <w:tcPr>
            <w:tcW w:w="283" w:type="dxa"/>
          </w:tcPr>
          <w:p w14:paraId="08378546" w14:textId="77777777" w:rsidR="00357CEC" w:rsidRPr="001300A9" w:rsidRDefault="00357CEC" w:rsidP="00357CEC">
            <w:pPr>
              <w:pStyle w:val="Default"/>
              <w:rPr>
                <w:sz w:val="22"/>
                <w:szCs w:val="22"/>
              </w:rPr>
            </w:pPr>
          </w:p>
        </w:tc>
        <w:tc>
          <w:tcPr>
            <w:tcW w:w="567" w:type="dxa"/>
          </w:tcPr>
          <w:p w14:paraId="55007BFC" w14:textId="77777777" w:rsidR="00357CEC" w:rsidRPr="001300A9" w:rsidRDefault="00357CEC" w:rsidP="00357CEC">
            <w:pPr>
              <w:pStyle w:val="Default"/>
              <w:rPr>
                <w:sz w:val="22"/>
                <w:szCs w:val="22"/>
              </w:rPr>
            </w:pPr>
          </w:p>
        </w:tc>
        <w:tc>
          <w:tcPr>
            <w:tcW w:w="4253" w:type="dxa"/>
          </w:tcPr>
          <w:p w14:paraId="0EA15D2C" w14:textId="77777777" w:rsidR="00357CEC" w:rsidRPr="001300A9" w:rsidRDefault="00357CEC" w:rsidP="00357CEC">
            <w:pPr>
              <w:pStyle w:val="Default"/>
              <w:rPr>
                <w:sz w:val="22"/>
                <w:szCs w:val="22"/>
              </w:rPr>
            </w:pPr>
          </w:p>
        </w:tc>
        <w:tc>
          <w:tcPr>
            <w:tcW w:w="567" w:type="dxa"/>
          </w:tcPr>
          <w:p w14:paraId="5F8026AB" w14:textId="77777777" w:rsidR="00357CEC" w:rsidRPr="001300A9" w:rsidRDefault="00357CEC" w:rsidP="00357CEC">
            <w:pPr>
              <w:pStyle w:val="Default"/>
              <w:rPr>
                <w:sz w:val="22"/>
                <w:szCs w:val="22"/>
              </w:rPr>
            </w:pPr>
          </w:p>
        </w:tc>
        <w:tc>
          <w:tcPr>
            <w:tcW w:w="1276" w:type="dxa"/>
          </w:tcPr>
          <w:p w14:paraId="5258451D" w14:textId="77777777" w:rsidR="00357CEC" w:rsidRPr="001300A9" w:rsidRDefault="00357CEC" w:rsidP="00357CEC">
            <w:pPr>
              <w:pStyle w:val="Default"/>
              <w:rPr>
                <w:sz w:val="22"/>
                <w:szCs w:val="22"/>
              </w:rPr>
            </w:pPr>
          </w:p>
        </w:tc>
        <w:tc>
          <w:tcPr>
            <w:tcW w:w="850" w:type="dxa"/>
          </w:tcPr>
          <w:p w14:paraId="1F603EF5" w14:textId="77777777" w:rsidR="00357CEC" w:rsidRPr="001300A9" w:rsidRDefault="00357CEC" w:rsidP="00357CEC">
            <w:pPr>
              <w:pStyle w:val="Default"/>
              <w:rPr>
                <w:sz w:val="22"/>
                <w:szCs w:val="22"/>
              </w:rPr>
            </w:pPr>
          </w:p>
        </w:tc>
        <w:tc>
          <w:tcPr>
            <w:tcW w:w="815" w:type="dxa"/>
          </w:tcPr>
          <w:p w14:paraId="4A5BF32D" w14:textId="77777777" w:rsidR="00357CEC" w:rsidRPr="001300A9" w:rsidRDefault="00357CEC" w:rsidP="00357CEC">
            <w:pPr>
              <w:pStyle w:val="Default"/>
              <w:rPr>
                <w:sz w:val="22"/>
                <w:szCs w:val="22"/>
              </w:rPr>
            </w:pPr>
          </w:p>
        </w:tc>
      </w:tr>
      <w:tr w:rsidR="00DD6EDC" w:rsidRPr="001300A9" w14:paraId="093ACA76" w14:textId="77777777" w:rsidTr="360410BC">
        <w:tc>
          <w:tcPr>
            <w:tcW w:w="562" w:type="dxa"/>
          </w:tcPr>
          <w:p w14:paraId="6D3B1082" w14:textId="77777777" w:rsidR="00357CEC" w:rsidRPr="001300A9" w:rsidRDefault="00357CEC" w:rsidP="00357CEC">
            <w:pPr>
              <w:pStyle w:val="Default"/>
              <w:rPr>
                <w:sz w:val="22"/>
                <w:szCs w:val="22"/>
              </w:rPr>
            </w:pPr>
            <w:r w:rsidRPr="001300A9">
              <w:rPr>
                <w:sz w:val="22"/>
                <w:szCs w:val="22"/>
              </w:rPr>
              <w:lastRenderedPageBreak/>
              <w:t>Č: 1</w:t>
            </w:r>
          </w:p>
          <w:p w14:paraId="0DF54D4E" w14:textId="77777777" w:rsidR="00357CEC" w:rsidRPr="001300A9" w:rsidRDefault="00357CEC" w:rsidP="00357CEC">
            <w:pPr>
              <w:pStyle w:val="Default"/>
              <w:rPr>
                <w:sz w:val="22"/>
                <w:szCs w:val="22"/>
              </w:rPr>
            </w:pPr>
            <w:r w:rsidRPr="001300A9">
              <w:rPr>
                <w:sz w:val="22"/>
                <w:szCs w:val="22"/>
              </w:rPr>
              <w:t>O: 13</w:t>
            </w:r>
          </w:p>
          <w:p w14:paraId="16A36967" w14:textId="77777777" w:rsidR="00357CEC" w:rsidRPr="001300A9" w:rsidRDefault="00357CEC" w:rsidP="00357CEC">
            <w:pPr>
              <w:pStyle w:val="Default"/>
              <w:rPr>
                <w:sz w:val="22"/>
                <w:szCs w:val="22"/>
              </w:rPr>
            </w:pPr>
            <w:r w:rsidRPr="001300A9">
              <w:rPr>
                <w:sz w:val="22"/>
                <w:szCs w:val="22"/>
              </w:rPr>
              <w:t>P: j)</w:t>
            </w:r>
          </w:p>
        </w:tc>
        <w:tc>
          <w:tcPr>
            <w:tcW w:w="4820" w:type="dxa"/>
          </w:tcPr>
          <w:p w14:paraId="160F5383" w14:textId="77777777" w:rsidR="00357CEC" w:rsidRPr="001300A9" w:rsidRDefault="00357CEC" w:rsidP="00357CEC">
            <w:pPr>
              <w:pStyle w:val="Default"/>
              <w:rPr>
                <w:sz w:val="22"/>
                <w:szCs w:val="22"/>
              </w:rPr>
            </w:pPr>
            <w:r w:rsidRPr="001300A9">
              <w:rPr>
                <w:sz w:val="22"/>
                <w:szCs w:val="22"/>
              </w:rPr>
              <w:t>19. Zariadeniu, ktoré zastavilo prevádzku, sa nepridelia žiadne bezodplatné kvóty. Zariadenia, ktorým uplynula platnosť povolenia na emisie skleníkových plynov alebo sa im toto povolenie odňalo, a zariadenia, ktorých prevádzkovanie alebo pokračovanie prevádzkovania je technicky nemožné, sa považujú za zariadenia so zastavenou prevádzkou.</w:t>
            </w:r>
          </w:p>
        </w:tc>
        <w:tc>
          <w:tcPr>
            <w:tcW w:w="567" w:type="dxa"/>
          </w:tcPr>
          <w:p w14:paraId="650379D1" w14:textId="77777777" w:rsidR="00357CEC" w:rsidRPr="001300A9" w:rsidRDefault="00357CEC" w:rsidP="00357CEC">
            <w:pPr>
              <w:pStyle w:val="Default"/>
              <w:rPr>
                <w:sz w:val="22"/>
                <w:szCs w:val="22"/>
              </w:rPr>
            </w:pPr>
            <w:r w:rsidRPr="001300A9">
              <w:rPr>
                <w:sz w:val="22"/>
                <w:szCs w:val="22"/>
              </w:rPr>
              <w:t>N</w:t>
            </w:r>
          </w:p>
          <w:p w14:paraId="51652DBA" w14:textId="77777777" w:rsidR="00357CEC" w:rsidRPr="001300A9" w:rsidRDefault="00357CEC" w:rsidP="00357CEC">
            <w:pPr>
              <w:pStyle w:val="Default"/>
              <w:rPr>
                <w:sz w:val="22"/>
                <w:szCs w:val="22"/>
              </w:rPr>
            </w:pPr>
          </w:p>
        </w:tc>
        <w:tc>
          <w:tcPr>
            <w:tcW w:w="283" w:type="dxa"/>
          </w:tcPr>
          <w:p w14:paraId="31981A81" w14:textId="5D2E1AE0" w:rsidR="00357CEC" w:rsidRPr="001300A9" w:rsidRDefault="002C79F4" w:rsidP="00357CEC">
            <w:pPr>
              <w:pStyle w:val="Default"/>
              <w:rPr>
                <w:sz w:val="22"/>
                <w:szCs w:val="22"/>
              </w:rPr>
            </w:pPr>
            <w:r>
              <w:rPr>
                <w:sz w:val="22"/>
                <w:szCs w:val="22"/>
              </w:rPr>
              <w:t>NZ</w:t>
            </w:r>
          </w:p>
        </w:tc>
        <w:tc>
          <w:tcPr>
            <w:tcW w:w="567" w:type="dxa"/>
          </w:tcPr>
          <w:p w14:paraId="3A5C9590" w14:textId="77777777" w:rsidR="00134F85" w:rsidRPr="004B3A4A" w:rsidRDefault="00134F85" w:rsidP="00357CEC">
            <w:pPr>
              <w:pStyle w:val="Default"/>
              <w:rPr>
                <w:sz w:val="22"/>
                <w:szCs w:val="22"/>
              </w:rPr>
            </w:pPr>
            <w:r w:rsidRPr="004B3A4A">
              <w:rPr>
                <w:sz w:val="22"/>
                <w:szCs w:val="22"/>
              </w:rPr>
              <w:t xml:space="preserve">Č:I§:10 </w:t>
            </w:r>
          </w:p>
          <w:p w14:paraId="333D89DA" w14:textId="730AE02B" w:rsidR="00357CEC" w:rsidRPr="001300A9" w:rsidRDefault="00134F85" w:rsidP="00357CEC">
            <w:pPr>
              <w:pStyle w:val="Default"/>
              <w:rPr>
                <w:sz w:val="22"/>
                <w:szCs w:val="22"/>
              </w:rPr>
            </w:pPr>
            <w:r w:rsidRPr="004B3A4A">
              <w:rPr>
                <w:sz w:val="22"/>
                <w:szCs w:val="22"/>
              </w:rPr>
              <w:t>O:2 P:c P:</w:t>
            </w:r>
            <w:r>
              <w:rPr>
                <w:sz w:val="22"/>
                <w:szCs w:val="22"/>
              </w:rPr>
              <w:t>d</w:t>
            </w:r>
          </w:p>
        </w:tc>
        <w:tc>
          <w:tcPr>
            <w:tcW w:w="4253" w:type="dxa"/>
          </w:tcPr>
          <w:p w14:paraId="6C61F158" w14:textId="682A68D2" w:rsidR="00332BCF" w:rsidRPr="00332BCF" w:rsidRDefault="00332BCF" w:rsidP="00332BCF">
            <w:pPr>
              <w:pStyle w:val="Default"/>
              <w:rPr>
                <w:sz w:val="22"/>
                <w:szCs w:val="22"/>
              </w:rPr>
            </w:pPr>
            <w:r>
              <w:rPr>
                <w:sz w:val="22"/>
                <w:szCs w:val="22"/>
              </w:rPr>
              <w:t>(2</w:t>
            </w:r>
            <w:r w:rsidR="00E97F9F" w:rsidRPr="001300A9">
              <w:rPr>
                <w:sz w:val="22"/>
                <w:szCs w:val="22"/>
              </w:rPr>
              <w:t>)</w:t>
            </w:r>
            <w:r>
              <w:rPr>
                <w:sz w:val="22"/>
                <w:szCs w:val="22"/>
              </w:rPr>
              <w:t xml:space="preserve"> </w:t>
            </w:r>
            <w:r w:rsidRPr="00332BCF">
              <w:rPr>
                <w:sz w:val="22"/>
                <w:szCs w:val="22"/>
              </w:rPr>
              <w:t>Bezodplatné kvóty p</w:t>
            </w:r>
            <w:r>
              <w:rPr>
                <w:sz w:val="22"/>
                <w:szCs w:val="22"/>
              </w:rPr>
              <w:t xml:space="preserve">odľa odseku 1 sa neprideľujú </w:t>
            </w:r>
            <w:r w:rsidRPr="00332BCF">
              <w:rPr>
                <w:sz w:val="22"/>
                <w:szCs w:val="22"/>
              </w:rPr>
              <w:t xml:space="preserve"> </w:t>
            </w:r>
          </w:p>
          <w:p w14:paraId="0474A174" w14:textId="72E8A6F1" w:rsidR="00332BCF" w:rsidRPr="00332BCF" w:rsidRDefault="00332BCF" w:rsidP="00332BCF">
            <w:pPr>
              <w:pStyle w:val="Default"/>
              <w:rPr>
                <w:sz w:val="22"/>
                <w:szCs w:val="22"/>
              </w:rPr>
            </w:pPr>
            <w:r>
              <w:rPr>
                <w:sz w:val="22"/>
                <w:szCs w:val="22"/>
              </w:rPr>
              <w:t xml:space="preserve">c) </w:t>
            </w:r>
            <w:r w:rsidRPr="00332BCF">
              <w:rPr>
                <w:sz w:val="22"/>
                <w:szCs w:val="22"/>
              </w:rPr>
              <w:t>prevádzke, ktorej bolo zrušené povolenie na vypúšťanie emisií skleníkových plynov a ktorá bola vyradená zo systému obchodovania na zvyšok kalendárneho roka nasledujúceho po dni nadobudnutia právo</w:t>
            </w:r>
            <w:r w:rsidR="001211DA">
              <w:rPr>
                <w:sz w:val="22"/>
                <w:szCs w:val="22"/>
              </w:rPr>
              <w:t>platnosti rozhodnutia podľa § 5</w:t>
            </w:r>
            <w:r w:rsidR="001211DA">
              <w:t xml:space="preserve"> </w:t>
            </w:r>
            <w:r w:rsidR="001211DA" w:rsidRPr="001211DA">
              <w:rPr>
                <w:sz w:val="22"/>
                <w:szCs w:val="22"/>
              </w:rPr>
              <w:t>a podľa osobitného predpisu,</w:t>
            </w:r>
            <w:r w:rsidR="001211DA" w:rsidRPr="001211DA">
              <w:rPr>
                <w:sz w:val="22"/>
                <w:szCs w:val="22"/>
                <w:vertAlign w:val="superscript"/>
              </w:rPr>
              <w:t>4</w:t>
            </w:r>
            <w:r w:rsidR="001211DA" w:rsidRPr="001211DA">
              <w:rPr>
                <w:sz w:val="22"/>
                <w:szCs w:val="22"/>
              </w:rPr>
              <w:t>)</w:t>
            </w:r>
          </w:p>
          <w:p w14:paraId="5ADE3281" w14:textId="5ED4304F" w:rsidR="00357CEC" w:rsidRPr="001300A9" w:rsidRDefault="00332BCF" w:rsidP="00332BCF">
            <w:pPr>
              <w:pStyle w:val="Default"/>
              <w:rPr>
                <w:sz w:val="22"/>
                <w:szCs w:val="22"/>
              </w:rPr>
            </w:pPr>
            <w:r>
              <w:rPr>
                <w:sz w:val="22"/>
                <w:szCs w:val="22"/>
              </w:rPr>
              <w:t xml:space="preserve">d) </w:t>
            </w:r>
            <w:r w:rsidR="001211DA" w:rsidRPr="001211DA">
              <w:rPr>
                <w:sz w:val="22"/>
                <w:szCs w:val="22"/>
              </w:rPr>
              <w:t xml:space="preserve">prevádzke alebo jej časti, ktorej prevádzkovanie alebo pokračovanie prevádzkovania je technicky nemožné na zvyšok kalendárneho roka nasledujúceho po dni ukončenia </w:t>
            </w:r>
            <w:r w:rsidR="001211DA" w:rsidRPr="001211DA">
              <w:rPr>
                <w:sz w:val="22"/>
                <w:szCs w:val="22"/>
              </w:rPr>
              <w:lastRenderedPageBreak/>
              <w:t>prevádzky alebo jej časti podľa osobitného predpis.</w:t>
            </w:r>
            <w:r w:rsidR="001211DA" w:rsidRPr="001211DA">
              <w:rPr>
                <w:sz w:val="22"/>
                <w:szCs w:val="22"/>
                <w:vertAlign w:val="superscript"/>
              </w:rPr>
              <w:t>4</w:t>
            </w:r>
            <w:r w:rsidR="001211DA" w:rsidRPr="001211DA">
              <w:rPr>
                <w:sz w:val="22"/>
                <w:szCs w:val="22"/>
              </w:rPr>
              <w:t>)</w:t>
            </w:r>
          </w:p>
        </w:tc>
        <w:tc>
          <w:tcPr>
            <w:tcW w:w="567" w:type="dxa"/>
          </w:tcPr>
          <w:p w14:paraId="1944758D" w14:textId="77777777" w:rsidR="00357CEC" w:rsidRPr="001300A9" w:rsidRDefault="00053DCA" w:rsidP="00357CEC">
            <w:pPr>
              <w:pStyle w:val="Default"/>
              <w:rPr>
                <w:sz w:val="22"/>
                <w:szCs w:val="22"/>
              </w:rPr>
            </w:pPr>
            <w:r w:rsidRPr="001300A9">
              <w:rPr>
                <w:sz w:val="22"/>
                <w:szCs w:val="22"/>
              </w:rPr>
              <w:lastRenderedPageBreak/>
              <w:t>Ú</w:t>
            </w:r>
          </w:p>
        </w:tc>
        <w:tc>
          <w:tcPr>
            <w:tcW w:w="1276" w:type="dxa"/>
          </w:tcPr>
          <w:p w14:paraId="725E7145" w14:textId="0DF240CB" w:rsidR="00357CEC" w:rsidRPr="001300A9" w:rsidRDefault="17A5B978" w:rsidP="00357CEC">
            <w:pPr>
              <w:pStyle w:val="Default"/>
              <w:rPr>
                <w:sz w:val="22"/>
                <w:szCs w:val="22"/>
              </w:rPr>
            </w:pPr>
            <w:r w:rsidRPr="2955537D">
              <w:rPr>
                <w:sz w:val="22"/>
                <w:szCs w:val="22"/>
              </w:rPr>
              <w:t xml:space="preserve">Nepridelenie bezodplatných kvót na zvyšok kalendárneho roka upravuje čl. 26 ods. 2 delegovaného nariadenia (EÚ) 2019/331 v </w:t>
            </w:r>
            <w:r w:rsidRPr="2955537D">
              <w:rPr>
                <w:sz w:val="22"/>
                <w:szCs w:val="22"/>
              </w:rPr>
              <w:lastRenderedPageBreak/>
              <w:t>platnom znení.</w:t>
            </w:r>
          </w:p>
        </w:tc>
        <w:tc>
          <w:tcPr>
            <w:tcW w:w="850" w:type="dxa"/>
          </w:tcPr>
          <w:p w14:paraId="2C2C561C" w14:textId="77777777" w:rsidR="00357CEC" w:rsidRPr="001300A9" w:rsidRDefault="00053DCA" w:rsidP="00357CEC">
            <w:pPr>
              <w:pStyle w:val="Default"/>
              <w:rPr>
                <w:sz w:val="22"/>
                <w:szCs w:val="22"/>
              </w:rPr>
            </w:pPr>
            <w:r w:rsidRPr="001300A9">
              <w:rPr>
                <w:sz w:val="22"/>
                <w:szCs w:val="22"/>
              </w:rPr>
              <w:lastRenderedPageBreak/>
              <w:t>GP - N</w:t>
            </w:r>
          </w:p>
        </w:tc>
        <w:tc>
          <w:tcPr>
            <w:tcW w:w="815" w:type="dxa"/>
          </w:tcPr>
          <w:p w14:paraId="3BF03555" w14:textId="77777777" w:rsidR="00357CEC" w:rsidRPr="001300A9" w:rsidRDefault="00357CEC" w:rsidP="00357CEC">
            <w:pPr>
              <w:pStyle w:val="Default"/>
              <w:rPr>
                <w:sz w:val="22"/>
                <w:szCs w:val="22"/>
              </w:rPr>
            </w:pPr>
          </w:p>
        </w:tc>
      </w:tr>
      <w:tr w:rsidR="00DD6EDC" w:rsidRPr="001300A9" w14:paraId="77D8FC8D" w14:textId="77777777" w:rsidTr="360410BC">
        <w:tc>
          <w:tcPr>
            <w:tcW w:w="562" w:type="dxa"/>
          </w:tcPr>
          <w:p w14:paraId="2F75B668" w14:textId="77777777" w:rsidR="00357CEC" w:rsidRPr="001300A9" w:rsidRDefault="00357CEC" w:rsidP="00357CEC">
            <w:pPr>
              <w:pStyle w:val="Default"/>
              <w:rPr>
                <w:sz w:val="22"/>
                <w:szCs w:val="22"/>
              </w:rPr>
            </w:pPr>
            <w:r w:rsidRPr="001300A9">
              <w:rPr>
                <w:sz w:val="22"/>
                <w:szCs w:val="22"/>
              </w:rPr>
              <w:t>Č: 1</w:t>
            </w:r>
          </w:p>
          <w:p w14:paraId="51E38DB2" w14:textId="77777777" w:rsidR="00357CEC" w:rsidRPr="001300A9" w:rsidRDefault="00357CEC" w:rsidP="00357CEC">
            <w:pPr>
              <w:pStyle w:val="Default"/>
              <w:rPr>
                <w:sz w:val="22"/>
                <w:szCs w:val="22"/>
              </w:rPr>
            </w:pPr>
            <w:r w:rsidRPr="001300A9">
              <w:rPr>
                <w:sz w:val="22"/>
                <w:szCs w:val="22"/>
              </w:rPr>
              <w:t>O: 13</w:t>
            </w:r>
          </w:p>
          <w:p w14:paraId="21BFBE4E" w14:textId="77777777" w:rsidR="00357CEC" w:rsidRPr="001300A9" w:rsidRDefault="00357CEC" w:rsidP="00357CEC">
            <w:pPr>
              <w:pStyle w:val="Default"/>
              <w:rPr>
                <w:sz w:val="22"/>
                <w:szCs w:val="22"/>
              </w:rPr>
            </w:pPr>
            <w:r w:rsidRPr="001300A9">
              <w:rPr>
                <w:sz w:val="22"/>
                <w:szCs w:val="22"/>
              </w:rPr>
              <w:t>P: k)</w:t>
            </w:r>
          </w:p>
        </w:tc>
        <w:tc>
          <w:tcPr>
            <w:tcW w:w="4820" w:type="dxa"/>
          </w:tcPr>
          <w:p w14:paraId="53F48B9A" w14:textId="77777777" w:rsidR="00357CEC" w:rsidRPr="001300A9" w:rsidRDefault="00357CEC" w:rsidP="00357CEC">
            <w:pPr>
              <w:pStyle w:val="Default"/>
              <w:rPr>
                <w:sz w:val="22"/>
                <w:szCs w:val="22"/>
              </w:rPr>
            </w:pPr>
            <w:r w:rsidRPr="001300A9">
              <w:rPr>
                <w:sz w:val="22"/>
                <w:szCs w:val="22"/>
              </w:rPr>
              <w:t>22. Ak sú potrebné opravy kvót bezodplatne pridelených podľa článku 11 ods. 2, takéto opravy sa vykonajú odpočítaním kvót z množstva kvót vyčlenených v súlade s odsekom 7 tohto článku alebo pripočítaním kvót k tomuto množstvu.</w:t>
            </w:r>
          </w:p>
        </w:tc>
        <w:tc>
          <w:tcPr>
            <w:tcW w:w="567" w:type="dxa"/>
          </w:tcPr>
          <w:p w14:paraId="679C87E8" w14:textId="77777777" w:rsidR="00357CEC" w:rsidRPr="001300A9" w:rsidRDefault="00357CEC" w:rsidP="00357CEC">
            <w:pPr>
              <w:pStyle w:val="Default"/>
              <w:rPr>
                <w:sz w:val="22"/>
                <w:szCs w:val="22"/>
              </w:rPr>
            </w:pPr>
            <w:proofErr w:type="spellStart"/>
            <w:r w:rsidRPr="001300A9">
              <w:rPr>
                <w:sz w:val="22"/>
                <w:szCs w:val="22"/>
              </w:rPr>
              <w:t>n.a</w:t>
            </w:r>
            <w:proofErr w:type="spellEnd"/>
            <w:r w:rsidRPr="001300A9">
              <w:rPr>
                <w:sz w:val="22"/>
                <w:szCs w:val="22"/>
              </w:rPr>
              <w:t>.</w:t>
            </w:r>
          </w:p>
        </w:tc>
        <w:tc>
          <w:tcPr>
            <w:tcW w:w="283" w:type="dxa"/>
          </w:tcPr>
          <w:p w14:paraId="7B16BDDF" w14:textId="77777777" w:rsidR="00357CEC" w:rsidRPr="001300A9" w:rsidRDefault="00357CEC" w:rsidP="00357CEC">
            <w:pPr>
              <w:pStyle w:val="Default"/>
              <w:rPr>
                <w:sz w:val="22"/>
                <w:szCs w:val="22"/>
              </w:rPr>
            </w:pPr>
          </w:p>
        </w:tc>
        <w:tc>
          <w:tcPr>
            <w:tcW w:w="567" w:type="dxa"/>
          </w:tcPr>
          <w:p w14:paraId="327F181D" w14:textId="77777777" w:rsidR="00357CEC" w:rsidRPr="001300A9" w:rsidRDefault="00357CEC" w:rsidP="00357CEC">
            <w:pPr>
              <w:pStyle w:val="Default"/>
              <w:rPr>
                <w:sz w:val="22"/>
                <w:szCs w:val="22"/>
              </w:rPr>
            </w:pPr>
          </w:p>
        </w:tc>
        <w:tc>
          <w:tcPr>
            <w:tcW w:w="4253" w:type="dxa"/>
          </w:tcPr>
          <w:p w14:paraId="50CCCD00" w14:textId="77777777" w:rsidR="00357CEC" w:rsidRPr="001300A9" w:rsidRDefault="00357CEC" w:rsidP="00357CEC">
            <w:pPr>
              <w:pStyle w:val="Default"/>
              <w:rPr>
                <w:sz w:val="22"/>
                <w:szCs w:val="22"/>
              </w:rPr>
            </w:pPr>
          </w:p>
        </w:tc>
        <w:tc>
          <w:tcPr>
            <w:tcW w:w="567" w:type="dxa"/>
          </w:tcPr>
          <w:p w14:paraId="5BE1693E" w14:textId="77777777" w:rsidR="00357CEC" w:rsidRPr="001300A9" w:rsidRDefault="00357CEC" w:rsidP="00357CEC">
            <w:pPr>
              <w:pStyle w:val="Default"/>
              <w:rPr>
                <w:sz w:val="22"/>
                <w:szCs w:val="22"/>
              </w:rPr>
            </w:pPr>
          </w:p>
        </w:tc>
        <w:tc>
          <w:tcPr>
            <w:tcW w:w="1276" w:type="dxa"/>
          </w:tcPr>
          <w:p w14:paraId="718F4D1B" w14:textId="77777777" w:rsidR="00357CEC" w:rsidRPr="001300A9" w:rsidRDefault="00357CEC" w:rsidP="00357CEC">
            <w:pPr>
              <w:pStyle w:val="Default"/>
              <w:rPr>
                <w:sz w:val="22"/>
                <w:szCs w:val="22"/>
              </w:rPr>
            </w:pPr>
          </w:p>
        </w:tc>
        <w:tc>
          <w:tcPr>
            <w:tcW w:w="850" w:type="dxa"/>
          </w:tcPr>
          <w:p w14:paraId="218DFFFE" w14:textId="77777777" w:rsidR="00357CEC" w:rsidRPr="001300A9" w:rsidRDefault="00357CEC" w:rsidP="00357CEC">
            <w:pPr>
              <w:pStyle w:val="Default"/>
              <w:rPr>
                <w:sz w:val="22"/>
                <w:szCs w:val="22"/>
              </w:rPr>
            </w:pPr>
          </w:p>
        </w:tc>
        <w:tc>
          <w:tcPr>
            <w:tcW w:w="815" w:type="dxa"/>
          </w:tcPr>
          <w:p w14:paraId="5FA27E6D" w14:textId="77777777" w:rsidR="00357CEC" w:rsidRPr="001300A9" w:rsidRDefault="00357CEC" w:rsidP="00357CEC">
            <w:pPr>
              <w:pStyle w:val="Default"/>
              <w:rPr>
                <w:sz w:val="22"/>
                <w:szCs w:val="22"/>
              </w:rPr>
            </w:pPr>
          </w:p>
        </w:tc>
      </w:tr>
      <w:tr w:rsidR="00DD6EDC" w:rsidRPr="001300A9" w14:paraId="69579DEC" w14:textId="77777777" w:rsidTr="360410BC">
        <w:tc>
          <w:tcPr>
            <w:tcW w:w="562" w:type="dxa"/>
          </w:tcPr>
          <w:p w14:paraId="5A5DAF12" w14:textId="77777777" w:rsidR="00357CEC" w:rsidRPr="001300A9" w:rsidRDefault="00357CEC" w:rsidP="00357CEC">
            <w:pPr>
              <w:pStyle w:val="Default"/>
              <w:rPr>
                <w:sz w:val="22"/>
                <w:szCs w:val="22"/>
              </w:rPr>
            </w:pPr>
            <w:r w:rsidRPr="001300A9">
              <w:rPr>
                <w:sz w:val="22"/>
                <w:szCs w:val="22"/>
              </w:rPr>
              <w:t>Č: 1</w:t>
            </w:r>
          </w:p>
          <w:p w14:paraId="57123D80" w14:textId="77777777" w:rsidR="00357CEC" w:rsidRPr="001300A9" w:rsidRDefault="00357CEC" w:rsidP="00357CEC">
            <w:pPr>
              <w:pStyle w:val="Default"/>
              <w:rPr>
                <w:sz w:val="22"/>
                <w:szCs w:val="22"/>
              </w:rPr>
            </w:pPr>
            <w:r w:rsidRPr="001300A9">
              <w:rPr>
                <w:sz w:val="22"/>
                <w:szCs w:val="22"/>
              </w:rPr>
              <w:t>O: 14</w:t>
            </w:r>
          </w:p>
        </w:tc>
        <w:tc>
          <w:tcPr>
            <w:tcW w:w="4820" w:type="dxa"/>
          </w:tcPr>
          <w:p w14:paraId="71CE29EB" w14:textId="77777777" w:rsidR="00357CEC" w:rsidRPr="001300A9" w:rsidRDefault="00357CEC" w:rsidP="00357CEC">
            <w:pPr>
              <w:pStyle w:val="Default"/>
              <w:rPr>
                <w:sz w:val="22"/>
                <w:szCs w:val="22"/>
              </w:rPr>
            </w:pPr>
            <w:r w:rsidRPr="001300A9">
              <w:rPr>
                <w:sz w:val="22"/>
                <w:szCs w:val="22"/>
              </w:rPr>
              <w:t xml:space="preserve">V členskom štáte, v ktorom je v priemere v rokoch 2014 až 2018 jeho podiel emisií z diaľkového vykurovania na celkových takýchto emisiách v Únii vydelený podielom HDP uvedeného členského štátu na celkovom HDP Únie vyšší ako päť, sa pridelia dodatočné bezodplatné kvóty vo výške 30 % množstva určeného podľa článku 10a na diaľkové vykurovanie v období rokov 2026 až 2030 za predpokladu, že sa objem investícií zodpovedajúci hodnote týchto dodatočných bezodplatne pridelených kvót investuje do výrazného zníženia emisií do roku 2030 v súlade s plánmi klimatickej neutrality uvedenými v treťom </w:t>
            </w:r>
            <w:proofErr w:type="spellStart"/>
            <w:r w:rsidRPr="001300A9">
              <w:rPr>
                <w:sz w:val="22"/>
                <w:szCs w:val="22"/>
              </w:rPr>
              <w:t>pododseku</w:t>
            </w:r>
            <w:proofErr w:type="spellEnd"/>
            <w:r w:rsidRPr="001300A9">
              <w:rPr>
                <w:sz w:val="22"/>
                <w:szCs w:val="22"/>
              </w:rPr>
              <w:t xml:space="preserve"> tohto odseku a že sa dosiahnutie cieľov a čiastkových cieľov uvedených v písmene b) daného </w:t>
            </w:r>
            <w:proofErr w:type="spellStart"/>
            <w:r w:rsidRPr="001300A9">
              <w:rPr>
                <w:sz w:val="22"/>
                <w:szCs w:val="22"/>
              </w:rPr>
              <w:t>pododseku</w:t>
            </w:r>
            <w:proofErr w:type="spellEnd"/>
            <w:r w:rsidRPr="001300A9">
              <w:rPr>
                <w:sz w:val="22"/>
                <w:szCs w:val="22"/>
              </w:rPr>
              <w:t xml:space="preserve"> potvrdí overením vykonaným v súlade so štvrtým </w:t>
            </w:r>
            <w:proofErr w:type="spellStart"/>
            <w:r w:rsidRPr="001300A9">
              <w:rPr>
                <w:sz w:val="22"/>
                <w:szCs w:val="22"/>
              </w:rPr>
              <w:t>pododsekom</w:t>
            </w:r>
            <w:proofErr w:type="spellEnd"/>
            <w:r w:rsidRPr="001300A9">
              <w:rPr>
                <w:sz w:val="22"/>
                <w:szCs w:val="22"/>
              </w:rPr>
              <w:t xml:space="preserve"> tohto odseku.</w:t>
            </w:r>
          </w:p>
          <w:p w14:paraId="0D2B1516" w14:textId="77777777" w:rsidR="00357CEC" w:rsidRPr="001300A9" w:rsidRDefault="00357CEC" w:rsidP="00357CEC">
            <w:pPr>
              <w:pStyle w:val="Default"/>
              <w:rPr>
                <w:sz w:val="22"/>
                <w:szCs w:val="22"/>
              </w:rPr>
            </w:pPr>
          </w:p>
          <w:p w14:paraId="48D49215" w14:textId="77777777" w:rsidR="00357CEC" w:rsidRPr="001300A9" w:rsidRDefault="00357CEC" w:rsidP="00357CEC">
            <w:pPr>
              <w:pStyle w:val="Default"/>
              <w:rPr>
                <w:sz w:val="22"/>
                <w:szCs w:val="22"/>
              </w:rPr>
            </w:pPr>
            <w:r w:rsidRPr="001300A9">
              <w:rPr>
                <w:sz w:val="22"/>
                <w:szCs w:val="22"/>
              </w:rPr>
              <w:t xml:space="preserve">Prevádzkovatelia diaľkového vykurovania vypracujú do 1. mája 2024 plán klimatickej neutrality pre zariadenia, v prípade ktorých žiadajú o dodatočné bezodplatné kvóty v súlade s druhým </w:t>
            </w:r>
            <w:proofErr w:type="spellStart"/>
            <w:r w:rsidRPr="001300A9">
              <w:rPr>
                <w:sz w:val="22"/>
                <w:szCs w:val="22"/>
              </w:rPr>
              <w:t>pododsekom</w:t>
            </w:r>
            <w:proofErr w:type="spellEnd"/>
            <w:r w:rsidRPr="001300A9">
              <w:rPr>
                <w:sz w:val="22"/>
                <w:szCs w:val="22"/>
              </w:rPr>
              <w:t xml:space="preserve"> tohto odseku. Uvedený plán musí byť v súlade so zámerom dosiahnuť klimatickú neutralitu stanoveným v článku 2 ods. 1 nariadenia (EÚ) 2021/1119 a musí obsahovať:</w:t>
            </w:r>
          </w:p>
          <w:p w14:paraId="1DF50619" w14:textId="77777777" w:rsidR="00357CEC" w:rsidRPr="001300A9" w:rsidRDefault="00357CEC" w:rsidP="00357CEC">
            <w:pPr>
              <w:pStyle w:val="Default"/>
              <w:numPr>
                <w:ilvl w:val="0"/>
                <w:numId w:val="3"/>
              </w:numPr>
              <w:rPr>
                <w:sz w:val="22"/>
                <w:szCs w:val="22"/>
              </w:rPr>
            </w:pPr>
            <w:r w:rsidRPr="001300A9">
              <w:rPr>
                <w:sz w:val="22"/>
                <w:szCs w:val="22"/>
              </w:rPr>
              <w:lastRenderedPageBreak/>
              <w:t>opatrenia a investície na dosiahnutie klimatickej neutrality do roku 2050 na úrovni zariadení alebo spoločností, a to bez použitia kreditov za kompenzáciu uhlíka;</w:t>
            </w:r>
          </w:p>
          <w:p w14:paraId="5BF7B815" w14:textId="77777777" w:rsidR="00357CEC" w:rsidRPr="001300A9" w:rsidRDefault="00357CEC" w:rsidP="00357CEC">
            <w:pPr>
              <w:pStyle w:val="Default"/>
              <w:numPr>
                <w:ilvl w:val="0"/>
                <w:numId w:val="3"/>
              </w:numPr>
              <w:rPr>
                <w:sz w:val="22"/>
                <w:szCs w:val="22"/>
              </w:rPr>
            </w:pPr>
            <w:r w:rsidRPr="001300A9">
              <w:rPr>
                <w:sz w:val="22"/>
                <w:szCs w:val="22"/>
              </w:rPr>
              <w:t xml:space="preserve">predbežné ciele a čiastkové ciele na meranie pokroku pri dosahovaní klimatickej neutrality, ako sa stanovuje v písmene a) tohto </w:t>
            </w:r>
            <w:proofErr w:type="spellStart"/>
            <w:r w:rsidRPr="001300A9">
              <w:rPr>
                <w:sz w:val="22"/>
                <w:szCs w:val="22"/>
              </w:rPr>
              <w:t>pododseku</w:t>
            </w:r>
            <w:proofErr w:type="spellEnd"/>
            <w:r w:rsidRPr="001300A9">
              <w:rPr>
                <w:sz w:val="22"/>
                <w:szCs w:val="22"/>
              </w:rPr>
              <w:t>, a to do 31. decembra 2025 a následne do 31. decembra každého piateho roku;</w:t>
            </w:r>
          </w:p>
          <w:p w14:paraId="495DF703" w14:textId="77777777" w:rsidR="00357CEC" w:rsidRPr="001300A9" w:rsidRDefault="00357CEC" w:rsidP="00357CEC">
            <w:pPr>
              <w:pStyle w:val="Default"/>
              <w:numPr>
                <w:ilvl w:val="0"/>
                <w:numId w:val="3"/>
              </w:numPr>
              <w:rPr>
                <w:sz w:val="22"/>
                <w:szCs w:val="22"/>
              </w:rPr>
            </w:pPr>
            <w:r w:rsidRPr="001300A9">
              <w:rPr>
                <w:sz w:val="22"/>
                <w:szCs w:val="22"/>
              </w:rPr>
              <w:t xml:space="preserve">odhad vplyvu každého opatrenia a investície uvedených v písmene a) tohto </w:t>
            </w:r>
            <w:proofErr w:type="spellStart"/>
            <w:r w:rsidRPr="001300A9">
              <w:rPr>
                <w:sz w:val="22"/>
                <w:szCs w:val="22"/>
              </w:rPr>
              <w:t>pododseku</w:t>
            </w:r>
            <w:proofErr w:type="spellEnd"/>
            <w:r w:rsidRPr="001300A9">
              <w:rPr>
                <w:sz w:val="22"/>
                <w:szCs w:val="22"/>
              </w:rPr>
              <w:t>, pokiaľ ide o zníženie emisií skleníkových plynov.</w:t>
            </w:r>
          </w:p>
          <w:p w14:paraId="34DA11D2" w14:textId="77777777" w:rsidR="00357CEC" w:rsidRPr="001300A9" w:rsidRDefault="00357CEC" w:rsidP="00357CEC">
            <w:pPr>
              <w:pStyle w:val="Default"/>
              <w:rPr>
                <w:sz w:val="22"/>
                <w:szCs w:val="22"/>
              </w:rPr>
            </w:pPr>
          </w:p>
          <w:p w14:paraId="2CEA7610" w14:textId="77777777" w:rsidR="00357CEC" w:rsidRPr="001300A9" w:rsidRDefault="00357CEC" w:rsidP="00357CEC">
            <w:pPr>
              <w:pStyle w:val="Default"/>
              <w:rPr>
                <w:sz w:val="22"/>
                <w:szCs w:val="22"/>
              </w:rPr>
            </w:pPr>
            <w:r w:rsidRPr="001300A9">
              <w:rPr>
                <w:sz w:val="22"/>
                <w:szCs w:val="22"/>
              </w:rPr>
              <w:t xml:space="preserve">Dosiahnutie cieľov a čiastkových cieľov uvedených v treťom </w:t>
            </w:r>
            <w:proofErr w:type="spellStart"/>
            <w:r w:rsidRPr="001300A9">
              <w:rPr>
                <w:sz w:val="22"/>
                <w:szCs w:val="22"/>
              </w:rPr>
              <w:t>pododseku</w:t>
            </w:r>
            <w:proofErr w:type="spellEnd"/>
            <w:r w:rsidRPr="001300A9">
              <w:rPr>
                <w:sz w:val="22"/>
                <w:szCs w:val="22"/>
              </w:rPr>
              <w:t xml:space="preserve"> písm. b) tohto odseku sa overí za obdobie do 31. decembra 2025 a následne za každé obdobie končiace 31. decembra každého piateho roka v súlade s postupmi overovania a akreditácie stanovenými v článku 15. Bezodplatné kvóty nad rámec toho, čo sa uvádza v prvom </w:t>
            </w:r>
            <w:proofErr w:type="spellStart"/>
            <w:r w:rsidRPr="001300A9">
              <w:rPr>
                <w:sz w:val="22"/>
                <w:szCs w:val="22"/>
              </w:rPr>
              <w:t>pododseku</w:t>
            </w:r>
            <w:proofErr w:type="spellEnd"/>
            <w:r w:rsidRPr="001300A9">
              <w:rPr>
                <w:sz w:val="22"/>
                <w:szCs w:val="22"/>
              </w:rPr>
              <w:t xml:space="preserve"> tohto odseku, sa nepridelia, ak nebolo overené dosiahnutie priebežných cieľov a čiastkových cieľov za obdobie do konca roka 2025 alebo za obdobie rokov 2026 až 2030.</w:t>
            </w:r>
          </w:p>
          <w:p w14:paraId="39C0164F" w14:textId="77777777" w:rsidR="00357CEC" w:rsidRPr="001300A9" w:rsidRDefault="00357CEC" w:rsidP="00357CEC">
            <w:pPr>
              <w:pStyle w:val="Default"/>
              <w:rPr>
                <w:sz w:val="22"/>
                <w:szCs w:val="22"/>
              </w:rPr>
            </w:pPr>
          </w:p>
          <w:p w14:paraId="1924AE04" w14:textId="77777777" w:rsidR="00357CEC" w:rsidRPr="001300A9" w:rsidRDefault="00357CEC" w:rsidP="00357CEC">
            <w:pPr>
              <w:pStyle w:val="Default"/>
              <w:rPr>
                <w:sz w:val="22"/>
                <w:szCs w:val="22"/>
              </w:rPr>
            </w:pPr>
          </w:p>
          <w:p w14:paraId="2F3496B6" w14:textId="77777777" w:rsidR="00357CEC" w:rsidRPr="001300A9" w:rsidRDefault="00357CEC" w:rsidP="00357CEC">
            <w:pPr>
              <w:pStyle w:val="Default"/>
              <w:rPr>
                <w:sz w:val="22"/>
                <w:szCs w:val="22"/>
              </w:rPr>
            </w:pPr>
            <w:r w:rsidRPr="001300A9">
              <w:rPr>
                <w:sz w:val="22"/>
                <w:szCs w:val="22"/>
              </w:rPr>
              <w:t xml:space="preserve">Komisia prijme vykonávacie akty s cieľom spresniť minimálny obsah informácií uvedených v treťom </w:t>
            </w:r>
            <w:proofErr w:type="spellStart"/>
            <w:r w:rsidRPr="001300A9">
              <w:rPr>
                <w:sz w:val="22"/>
                <w:szCs w:val="22"/>
              </w:rPr>
              <w:t>pododseku</w:t>
            </w:r>
            <w:proofErr w:type="spellEnd"/>
            <w:r w:rsidRPr="001300A9">
              <w:rPr>
                <w:sz w:val="22"/>
                <w:szCs w:val="22"/>
              </w:rPr>
              <w:t xml:space="preserve"> písm. a), b) a c) tohto odseku a formát plánov klimatickej neutrality uvedených v danom </w:t>
            </w:r>
            <w:proofErr w:type="spellStart"/>
            <w:r w:rsidRPr="001300A9">
              <w:rPr>
                <w:sz w:val="22"/>
                <w:szCs w:val="22"/>
              </w:rPr>
              <w:t>pododseku</w:t>
            </w:r>
            <w:proofErr w:type="spellEnd"/>
            <w:r w:rsidRPr="001300A9">
              <w:rPr>
                <w:sz w:val="22"/>
                <w:szCs w:val="22"/>
              </w:rPr>
              <w:t xml:space="preserve"> a v článku 10a ods. 1 piatom </w:t>
            </w:r>
            <w:proofErr w:type="spellStart"/>
            <w:r w:rsidRPr="001300A9">
              <w:rPr>
                <w:sz w:val="22"/>
                <w:szCs w:val="22"/>
              </w:rPr>
              <w:t>pododseku</w:t>
            </w:r>
            <w:proofErr w:type="spellEnd"/>
            <w:r w:rsidRPr="001300A9">
              <w:rPr>
                <w:sz w:val="22"/>
                <w:szCs w:val="22"/>
              </w:rPr>
              <w:t xml:space="preserve">. Komisia sa usiluje o synergie s podobnými plánmi, </w:t>
            </w:r>
            <w:r w:rsidRPr="001300A9">
              <w:rPr>
                <w:sz w:val="22"/>
                <w:szCs w:val="22"/>
              </w:rPr>
              <w:lastRenderedPageBreak/>
              <w:t>ako je stanovené v práve Únie. Uvedené vykonávacie akty sa prijmú v súlade s postupom preskúmania uvedeným v článku 22a ods. 2.</w:t>
            </w:r>
          </w:p>
        </w:tc>
        <w:tc>
          <w:tcPr>
            <w:tcW w:w="567" w:type="dxa"/>
          </w:tcPr>
          <w:p w14:paraId="38E842E0" w14:textId="73FE9C53" w:rsidR="00357CEC" w:rsidRPr="001300A9" w:rsidRDefault="00383D96" w:rsidP="00357CEC">
            <w:pPr>
              <w:pStyle w:val="Default"/>
              <w:rPr>
                <w:sz w:val="22"/>
                <w:szCs w:val="22"/>
              </w:rPr>
            </w:pPr>
            <w:proofErr w:type="spellStart"/>
            <w:r w:rsidRPr="001300A9">
              <w:rPr>
                <w:sz w:val="22"/>
                <w:szCs w:val="22"/>
              </w:rPr>
              <w:lastRenderedPageBreak/>
              <w:t>n.a</w:t>
            </w:r>
            <w:proofErr w:type="spellEnd"/>
            <w:r w:rsidRPr="001300A9">
              <w:rPr>
                <w:sz w:val="22"/>
                <w:szCs w:val="22"/>
              </w:rPr>
              <w:t>.</w:t>
            </w:r>
          </w:p>
          <w:p w14:paraId="415A6FC7" w14:textId="77777777" w:rsidR="00357CEC" w:rsidRPr="001300A9" w:rsidRDefault="00357CEC" w:rsidP="00357CEC">
            <w:pPr>
              <w:pStyle w:val="Default"/>
              <w:rPr>
                <w:sz w:val="22"/>
                <w:szCs w:val="22"/>
              </w:rPr>
            </w:pPr>
          </w:p>
          <w:p w14:paraId="457F0E6B" w14:textId="77777777" w:rsidR="00357CEC" w:rsidRPr="001300A9" w:rsidRDefault="00357CEC" w:rsidP="00357CEC">
            <w:pPr>
              <w:pStyle w:val="Default"/>
              <w:rPr>
                <w:sz w:val="22"/>
                <w:szCs w:val="22"/>
              </w:rPr>
            </w:pPr>
          </w:p>
          <w:p w14:paraId="3658F2A4" w14:textId="77777777" w:rsidR="00357CEC" w:rsidRPr="001300A9" w:rsidRDefault="00357CEC" w:rsidP="00357CEC">
            <w:pPr>
              <w:pStyle w:val="Default"/>
              <w:rPr>
                <w:sz w:val="22"/>
                <w:szCs w:val="22"/>
              </w:rPr>
            </w:pPr>
          </w:p>
          <w:p w14:paraId="0D615A45" w14:textId="77777777" w:rsidR="00357CEC" w:rsidRPr="001300A9" w:rsidRDefault="00357CEC" w:rsidP="00357CEC">
            <w:pPr>
              <w:pStyle w:val="Default"/>
              <w:rPr>
                <w:sz w:val="22"/>
                <w:szCs w:val="22"/>
              </w:rPr>
            </w:pPr>
          </w:p>
          <w:p w14:paraId="6AD0B0A0" w14:textId="77777777" w:rsidR="00357CEC" w:rsidRPr="001300A9" w:rsidRDefault="00357CEC" w:rsidP="00357CEC">
            <w:pPr>
              <w:pStyle w:val="Default"/>
              <w:rPr>
                <w:sz w:val="22"/>
                <w:szCs w:val="22"/>
              </w:rPr>
            </w:pPr>
          </w:p>
          <w:p w14:paraId="6314E6BB" w14:textId="77777777" w:rsidR="00357CEC" w:rsidRPr="001300A9" w:rsidRDefault="00357CEC" w:rsidP="00357CEC">
            <w:pPr>
              <w:pStyle w:val="Default"/>
              <w:rPr>
                <w:sz w:val="22"/>
                <w:szCs w:val="22"/>
              </w:rPr>
            </w:pPr>
          </w:p>
          <w:p w14:paraId="33E47079" w14:textId="77777777" w:rsidR="00357CEC" w:rsidRPr="001300A9" w:rsidRDefault="00357CEC" w:rsidP="00357CEC">
            <w:pPr>
              <w:pStyle w:val="Default"/>
              <w:rPr>
                <w:sz w:val="22"/>
                <w:szCs w:val="22"/>
              </w:rPr>
            </w:pPr>
          </w:p>
          <w:p w14:paraId="5DBB91F2" w14:textId="77777777" w:rsidR="00357CEC" w:rsidRPr="001300A9" w:rsidRDefault="00357CEC" w:rsidP="00357CEC">
            <w:pPr>
              <w:pStyle w:val="Default"/>
              <w:rPr>
                <w:sz w:val="22"/>
                <w:szCs w:val="22"/>
              </w:rPr>
            </w:pPr>
          </w:p>
          <w:p w14:paraId="7FDACF65" w14:textId="77777777" w:rsidR="00357CEC" w:rsidRPr="001300A9" w:rsidRDefault="00357CEC" w:rsidP="00357CEC">
            <w:pPr>
              <w:pStyle w:val="Default"/>
              <w:rPr>
                <w:sz w:val="22"/>
                <w:szCs w:val="22"/>
              </w:rPr>
            </w:pPr>
          </w:p>
          <w:p w14:paraId="085357C5" w14:textId="77777777" w:rsidR="00357CEC" w:rsidRPr="001300A9" w:rsidRDefault="00357CEC" w:rsidP="00357CEC">
            <w:pPr>
              <w:pStyle w:val="Default"/>
              <w:rPr>
                <w:sz w:val="22"/>
                <w:szCs w:val="22"/>
              </w:rPr>
            </w:pPr>
          </w:p>
          <w:p w14:paraId="005AE0A2" w14:textId="77777777" w:rsidR="00357CEC" w:rsidRPr="001300A9" w:rsidRDefault="00357CEC" w:rsidP="00357CEC">
            <w:pPr>
              <w:pStyle w:val="Default"/>
              <w:rPr>
                <w:sz w:val="22"/>
                <w:szCs w:val="22"/>
              </w:rPr>
            </w:pPr>
          </w:p>
          <w:p w14:paraId="396865F1" w14:textId="77777777" w:rsidR="00357CEC" w:rsidRPr="001300A9" w:rsidRDefault="00357CEC" w:rsidP="00357CEC">
            <w:pPr>
              <w:pStyle w:val="Default"/>
              <w:rPr>
                <w:sz w:val="22"/>
                <w:szCs w:val="22"/>
              </w:rPr>
            </w:pPr>
          </w:p>
          <w:p w14:paraId="751BA624" w14:textId="77777777" w:rsidR="00357CEC" w:rsidRPr="001300A9" w:rsidRDefault="00357CEC" w:rsidP="00357CEC">
            <w:pPr>
              <w:pStyle w:val="Default"/>
              <w:rPr>
                <w:sz w:val="22"/>
                <w:szCs w:val="22"/>
              </w:rPr>
            </w:pPr>
          </w:p>
          <w:p w14:paraId="40C1A844" w14:textId="77777777" w:rsidR="00357CEC" w:rsidRPr="001300A9" w:rsidRDefault="00357CEC" w:rsidP="00357CEC">
            <w:pPr>
              <w:pStyle w:val="Default"/>
              <w:rPr>
                <w:sz w:val="22"/>
                <w:szCs w:val="22"/>
              </w:rPr>
            </w:pPr>
          </w:p>
          <w:p w14:paraId="606115D6" w14:textId="77777777" w:rsidR="00357CEC" w:rsidRPr="001300A9" w:rsidRDefault="00357CEC" w:rsidP="00357CEC">
            <w:pPr>
              <w:pStyle w:val="Default"/>
              <w:rPr>
                <w:sz w:val="22"/>
                <w:szCs w:val="22"/>
              </w:rPr>
            </w:pPr>
          </w:p>
          <w:p w14:paraId="078FAA7B" w14:textId="77777777" w:rsidR="00357CEC" w:rsidRPr="001300A9" w:rsidRDefault="00357CEC" w:rsidP="00357CEC">
            <w:pPr>
              <w:pStyle w:val="Default"/>
              <w:rPr>
                <w:sz w:val="22"/>
                <w:szCs w:val="22"/>
              </w:rPr>
            </w:pPr>
          </w:p>
          <w:p w14:paraId="5B0EC2E9" w14:textId="0346B787" w:rsidR="002B60A4" w:rsidRPr="001300A9" w:rsidRDefault="002B60A4" w:rsidP="00357CEC">
            <w:pPr>
              <w:pStyle w:val="Default"/>
              <w:rPr>
                <w:sz w:val="22"/>
                <w:szCs w:val="22"/>
              </w:rPr>
            </w:pPr>
          </w:p>
          <w:p w14:paraId="2D8BEE34" w14:textId="09C0226D" w:rsidR="00357CEC" w:rsidRPr="001300A9" w:rsidRDefault="00357CEC" w:rsidP="00357CEC">
            <w:pPr>
              <w:pStyle w:val="Default"/>
              <w:rPr>
                <w:sz w:val="22"/>
                <w:szCs w:val="22"/>
              </w:rPr>
            </w:pPr>
            <w:proofErr w:type="spellStart"/>
            <w:r w:rsidRPr="001300A9">
              <w:rPr>
                <w:sz w:val="22"/>
                <w:szCs w:val="22"/>
              </w:rPr>
              <w:t>n.a</w:t>
            </w:r>
            <w:proofErr w:type="spellEnd"/>
            <w:r w:rsidRPr="001300A9">
              <w:rPr>
                <w:sz w:val="22"/>
                <w:szCs w:val="22"/>
              </w:rPr>
              <w:t>.</w:t>
            </w:r>
          </w:p>
          <w:p w14:paraId="6C3DF93C" w14:textId="77777777" w:rsidR="00357CEC" w:rsidRPr="001300A9" w:rsidRDefault="00357CEC" w:rsidP="00357CEC">
            <w:pPr>
              <w:pStyle w:val="Default"/>
              <w:rPr>
                <w:sz w:val="22"/>
                <w:szCs w:val="22"/>
              </w:rPr>
            </w:pPr>
          </w:p>
          <w:p w14:paraId="208F636B" w14:textId="77777777" w:rsidR="00357CEC" w:rsidRPr="001300A9" w:rsidRDefault="00357CEC" w:rsidP="00357CEC">
            <w:pPr>
              <w:pStyle w:val="Default"/>
              <w:rPr>
                <w:sz w:val="22"/>
                <w:szCs w:val="22"/>
              </w:rPr>
            </w:pPr>
          </w:p>
          <w:p w14:paraId="37E5B3A6" w14:textId="77777777" w:rsidR="00357CEC" w:rsidRPr="001300A9" w:rsidRDefault="00357CEC" w:rsidP="00357CEC">
            <w:pPr>
              <w:pStyle w:val="Default"/>
              <w:rPr>
                <w:sz w:val="22"/>
                <w:szCs w:val="22"/>
              </w:rPr>
            </w:pPr>
          </w:p>
          <w:p w14:paraId="0229AE7E" w14:textId="77777777" w:rsidR="00357CEC" w:rsidRPr="001300A9" w:rsidRDefault="00357CEC" w:rsidP="00357CEC">
            <w:pPr>
              <w:pStyle w:val="Default"/>
              <w:rPr>
                <w:sz w:val="22"/>
                <w:szCs w:val="22"/>
              </w:rPr>
            </w:pPr>
          </w:p>
          <w:p w14:paraId="1417BA52" w14:textId="77777777" w:rsidR="00357CEC" w:rsidRPr="001300A9" w:rsidRDefault="00357CEC" w:rsidP="00357CEC">
            <w:pPr>
              <w:pStyle w:val="Default"/>
              <w:rPr>
                <w:sz w:val="22"/>
                <w:szCs w:val="22"/>
              </w:rPr>
            </w:pPr>
          </w:p>
          <w:p w14:paraId="0CFCB951" w14:textId="77777777" w:rsidR="00E97F9F" w:rsidRPr="001300A9" w:rsidRDefault="00E97F9F" w:rsidP="00357CEC">
            <w:pPr>
              <w:pStyle w:val="Default"/>
              <w:rPr>
                <w:sz w:val="22"/>
                <w:szCs w:val="22"/>
              </w:rPr>
            </w:pPr>
          </w:p>
          <w:p w14:paraId="6F889F45" w14:textId="77777777" w:rsidR="00E97F9F" w:rsidRPr="001300A9" w:rsidRDefault="00E97F9F" w:rsidP="00357CEC">
            <w:pPr>
              <w:pStyle w:val="Default"/>
              <w:rPr>
                <w:sz w:val="22"/>
                <w:szCs w:val="22"/>
              </w:rPr>
            </w:pPr>
          </w:p>
          <w:p w14:paraId="794084F4" w14:textId="77777777" w:rsidR="00E97F9F" w:rsidRPr="001300A9" w:rsidRDefault="00E97F9F" w:rsidP="00357CEC">
            <w:pPr>
              <w:pStyle w:val="Default"/>
              <w:rPr>
                <w:sz w:val="22"/>
                <w:szCs w:val="22"/>
              </w:rPr>
            </w:pPr>
          </w:p>
          <w:p w14:paraId="25A4E715" w14:textId="77777777" w:rsidR="00E97F9F" w:rsidRPr="001300A9" w:rsidRDefault="00E97F9F" w:rsidP="00357CEC">
            <w:pPr>
              <w:pStyle w:val="Default"/>
              <w:rPr>
                <w:sz w:val="22"/>
                <w:szCs w:val="22"/>
              </w:rPr>
            </w:pPr>
          </w:p>
          <w:p w14:paraId="717A210E" w14:textId="77777777" w:rsidR="00E97F9F" w:rsidRPr="001300A9" w:rsidRDefault="00E97F9F" w:rsidP="00357CEC">
            <w:pPr>
              <w:pStyle w:val="Default"/>
              <w:rPr>
                <w:sz w:val="22"/>
                <w:szCs w:val="22"/>
              </w:rPr>
            </w:pPr>
          </w:p>
          <w:p w14:paraId="0BC7F1E2" w14:textId="77777777" w:rsidR="00E97F9F" w:rsidRPr="001300A9" w:rsidRDefault="00E97F9F" w:rsidP="00357CEC">
            <w:pPr>
              <w:pStyle w:val="Default"/>
              <w:rPr>
                <w:sz w:val="22"/>
                <w:szCs w:val="22"/>
              </w:rPr>
            </w:pPr>
          </w:p>
          <w:p w14:paraId="105A66FE" w14:textId="77777777" w:rsidR="00E97F9F" w:rsidRPr="001300A9" w:rsidRDefault="00E97F9F" w:rsidP="00357CEC">
            <w:pPr>
              <w:pStyle w:val="Default"/>
              <w:rPr>
                <w:sz w:val="22"/>
                <w:szCs w:val="22"/>
              </w:rPr>
            </w:pPr>
          </w:p>
          <w:p w14:paraId="356CB20F" w14:textId="77777777" w:rsidR="00E97F9F" w:rsidRPr="001300A9" w:rsidRDefault="00E97F9F" w:rsidP="00357CEC">
            <w:pPr>
              <w:pStyle w:val="Default"/>
              <w:rPr>
                <w:sz w:val="22"/>
                <w:szCs w:val="22"/>
              </w:rPr>
            </w:pPr>
          </w:p>
          <w:p w14:paraId="2B84D125" w14:textId="77777777" w:rsidR="00E97F9F" w:rsidRPr="001300A9" w:rsidRDefault="00E97F9F" w:rsidP="00357CEC">
            <w:pPr>
              <w:pStyle w:val="Default"/>
              <w:rPr>
                <w:sz w:val="22"/>
                <w:szCs w:val="22"/>
              </w:rPr>
            </w:pPr>
          </w:p>
          <w:p w14:paraId="52094078" w14:textId="77777777" w:rsidR="00E97F9F" w:rsidRPr="001300A9" w:rsidRDefault="00E97F9F" w:rsidP="00357CEC">
            <w:pPr>
              <w:pStyle w:val="Default"/>
              <w:rPr>
                <w:sz w:val="22"/>
                <w:szCs w:val="22"/>
              </w:rPr>
            </w:pPr>
          </w:p>
          <w:p w14:paraId="071E8D3E" w14:textId="77777777" w:rsidR="00E97F9F" w:rsidRPr="001300A9" w:rsidRDefault="00E97F9F" w:rsidP="00357CEC">
            <w:pPr>
              <w:pStyle w:val="Default"/>
              <w:rPr>
                <w:sz w:val="22"/>
                <w:szCs w:val="22"/>
              </w:rPr>
            </w:pPr>
          </w:p>
          <w:p w14:paraId="0B332AF0" w14:textId="77777777" w:rsidR="00E97F9F" w:rsidRPr="001300A9" w:rsidRDefault="00E97F9F" w:rsidP="00357CEC">
            <w:pPr>
              <w:pStyle w:val="Default"/>
              <w:rPr>
                <w:sz w:val="22"/>
                <w:szCs w:val="22"/>
              </w:rPr>
            </w:pPr>
          </w:p>
          <w:p w14:paraId="1CF5FF28" w14:textId="77777777" w:rsidR="00E97F9F" w:rsidRPr="001300A9" w:rsidRDefault="00E97F9F" w:rsidP="00357CEC">
            <w:pPr>
              <w:pStyle w:val="Default"/>
              <w:rPr>
                <w:sz w:val="22"/>
                <w:szCs w:val="22"/>
              </w:rPr>
            </w:pPr>
          </w:p>
          <w:p w14:paraId="5352B7E6" w14:textId="77777777" w:rsidR="00E97F9F" w:rsidRPr="001300A9" w:rsidRDefault="00E97F9F" w:rsidP="00357CEC">
            <w:pPr>
              <w:pStyle w:val="Default"/>
              <w:rPr>
                <w:sz w:val="22"/>
                <w:szCs w:val="22"/>
              </w:rPr>
            </w:pPr>
          </w:p>
          <w:p w14:paraId="05FAA067" w14:textId="77777777" w:rsidR="00E97F9F" w:rsidRPr="001300A9" w:rsidRDefault="00E97F9F" w:rsidP="00357CEC">
            <w:pPr>
              <w:pStyle w:val="Default"/>
              <w:rPr>
                <w:sz w:val="22"/>
                <w:szCs w:val="22"/>
              </w:rPr>
            </w:pPr>
          </w:p>
          <w:p w14:paraId="3D21486E" w14:textId="77777777" w:rsidR="00E97F9F" w:rsidRPr="001300A9" w:rsidRDefault="00E97F9F" w:rsidP="00357CEC">
            <w:pPr>
              <w:pStyle w:val="Default"/>
              <w:rPr>
                <w:sz w:val="22"/>
                <w:szCs w:val="22"/>
              </w:rPr>
            </w:pPr>
          </w:p>
          <w:p w14:paraId="18D1F21D" w14:textId="77777777" w:rsidR="00E97F9F" w:rsidRPr="001300A9" w:rsidRDefault="00E97F9F" w:rsidP="00357CEC">
            <w:pPr>
              <w:pStyle w:val="Default"/>
              <w:rPr>
                <w:sz w:val="22"/>
                <w:szCs w:val="22"/>
              </w:rPr>
            </w:pPr>
          </w:p>
          <w:p w14:paraId="36C0716F" w14:textId="4AFB6AB8" w:rsidR="002B60A4" w:rsidRPr="001300A9" w:rsidRDefault="002B60A4" w:rsidP="00357CEC">
            <w:pPr>
              <w:pStyle w:val="Default"/>
              <w:rPr>
                <w:sz w:val="22"/>
                <w:szCs w:val="22"/>
              </w:rPr>
            </w:pPr>
          </w:p>
          <w:p w14:paraId="6D538526" w14:textId="4941FAF5" w:rsidR="00357CEC" w:rsidRPr="001300A9" w:rsidRDefault="00357CEC" w:rsidP="00357CEC">
            <w:pPr>
              <w:pStyle w:val="Default"/>
              <w:rPr>
                <w:sz w:val="22"/>
                <w:szCs w:val="22"/>
              </w:rPr>
            </w:pPr>
            <w:proofErr w:type="spellStart"/>
            <w:r w:rsidRPr="001300A9">
              <w:rPr>
                <w:sz w:val="22"/>
                <w:szCs w:val="22"/>
              </w:rPr>
              <w:t>n.a</w:t>
            </w:r>
            <w:proofErr w:type="spellEnd"/>
            <w:r w:rsidRPr="001300A9">
              <w:rPr>
                <w:sz w:val="22"/>
                <w:szCs w:val="22"/>
              </w:rPr>
              <w:t>.</w:t>
            </w:r>
          </w:p>
        </w:tc>
        <w:tc>
          <w:tcPr>
            <w:tcW w:w="283" w:type="dxa"/>
          </w:tcPr>
          <w:p w14:paraId="3827FDD6" w14:textId="77777777" w:rsidR="00357CEC" w:rsidRPr="001300A9" w:rsidRDefault="00357CEC" w:rsidP="00357CEC">
            <w:pPr>
              <w:pStyle w:val="Default"/>
              <w:rPr>
                <w:sz w:val="22"/>
                <w:szCs w:val="22"/>
              </w:rPr>
            </w:pPr>
          </w:p>
        </w:tc>
        <w:tc>
          <w:tcPr>
            <w:tcW w:w="567" w:type="dxa"/>
          </w:tcPr>
          <w:p w14:paraId="7141DE78" w14:textId="77777777" w:rsidR="00357CEC" w:rsidRPr="001300A9" w:rsidRDefault="00357CEC" w:rsidP="00357CEC">
            <w:pPr>
              <w:pStyle w:val="Default"/>
              <w:rPr>
                <w:sz w:val="22"/>
                <w:szCs w:val="22"/>
              </w:rPr>
            </w:pPr>
          </w:p>
        </w:tc>
        <w:tc>
          <w:tcPr>
            <w:tcW w:w="4253" w:type="dxa"/>
          </w:tcPr>
          <w:p w14:paraId="070098BC" w14:textId="77777777" w:rsidR="00357CEC" w:rsidRPr="001300A9" w:rsidRDefault="00357CEC" w:rsidP="00357CEC">
            <w:pPr>
              <w:pStyle w:val="Default"/>
              <w:rPr>
                <w:sz w:val="22"/>
                <w:szCs w:val="22"/>
              </w:rPr>
            </w:pPr>
          </w:p>
        </w:tc>
        <w:tc>
          <w:tcPr>
            <w:tcW w:w="567" w:type="dxa"/>
          </w:tcPr>
          <w:p w14:paraId="3CF01094" w14:textId="77777777" w:rsidR="00357CEC" w:rsidRPr="001300A9" w:rsidRDefault="00357CEC" w:rsidP="00357CEC">
            <w:pPr>
              <w:pStyle w:val="Default"/>
              <w:rPr>
                <w:sz w:val="22"/>
                <w:szCs w:val="22"/>
              </w:rPr>
            </w:pPr>
          </w:p>
        </w:tc>
        <w:tc>
          <w:tcPr>
            <w:tcW w:w="1276" w:type="dxa"/>
          </w:tcPr>
          <w:p w14:paraId="6EB12E7B" w14:textId="6B07716F" w:rsidR="00357CEC" w:rsidRDefault="000150AA" w:rsidP="00357CEC">
            <w:pPr>
              <w:pStyle w:val="Default"/>
              <w:rPr>
                <w:sz w:val="22"/>
                <w:szCs w:val="22"/>
              </w:rPr>
            </w:pPr>
            <w:r>
              <w:rPr>
                <w:sz w:val="22"/>
                <w:szCs w:val="22"/>
              </w:rPr>
              <w:t>Oprávnené členské štáty sú uvedené v prílohe VIII delegovaného nariadenia (EÚ) 2019/331 v platnom znení (BG, CS, LV a PL).</w:t>
            </w:r>
          </w:p>
          <w:p w14:paraId="64BFDD6D" w14:textId="77777777" w:rsidR="000150AA" w:rsidRDefault="000150AA" w:rsidP="00357CEC">
            <w:pPr>
              <w:pStyle w:val="Default"/>
              <w:rPr>
                <w:sz w:val="22"/>
                <w:szCs w:val="22"/>
              </w:rPr>
            </w:pPr>
            <w:r w:rsidRPr="000150AA">
              <w:rPr>
                <w:sz w:val="22"/>
                <w:szCs w:val="22"/>
              </w:rPr>
              <w:t xml:space="preserve">Hodnoty predstavujúce 80. </w:t>
            </w:r>
            <w:proofErr w:type="spellStart"/>
            <w:r w:rsidRPr="000150AA">
              <w:rPr>
                <w:sz w:val="22"/>
                <w:szCs w:val="22"/>
              </w:rPr>
              <w:t>percentil</w:t>
            </w:r>
            <w:proofErr w:type="spellEnd"/>
            <w:r w:rsidRPr="000150AA">
              <w:rPr>
                <w:sz w:val="22"/>
                <w:szCs w:val="22"/>
              </w:rPr>
              <w:t xml:space="preserve"> podľa čl. 10a ods. 1 smernice 2003/87/ES</w:t>
            </w:r>
            <w:r>
              <w:rPr>
                <w:sz w:val="22"/>
                <w:szCs w:val="22"/>
              </w:rPr>
              <w:t xml:space="preserve"> (plán klimatickej neutrality) sú uvedené </w:t>
            </w:r>
            <w:r>
              <w:rPr>
                <w:sz w:val="22"/>
                <w:szCs w:val="22"/>
              </w:rPr>
              <w:lastRenderedPageBreak/>
              <w:t>v dokumente zverejnenom na stránke EK</w:t>
            </w:r>
          </w:p>
          <w:p w14:paraId="60B8E504" w14:textId="252C86D4" w:rsidR="000150AA" w:rsidRPr="001300A9" w:rsidRDefault="00DC79A9" w:rsidP="00357CEC">
            <w:pPr>
              <w:pStyle w:val="Default"/>
              <w:rPr>
                <w:sz w:val="22"/>
                <w:szCs w:val="22"/>
              </w:rPr>
            </w:pPr>
            <w:hyperlink r:id="rId11" w:history="1">
              <w:r w:rsidR="000150AA" w:rsidRPr="00286907">
                <w:rPr>
                  <w:rStyle w:val="Hypertextovprepojenie"/>
                  <w:sz w:val="22"/>
                  <w:szCs w:val="22"/>
                </w:rPr>
                <w:t>https://climate.ec.europa.eu/system/files/2023-10/policy_ets_allowances_conditionality_cnp_values_en.pdf</w:t>
              </w:r>
            </w:hyperlink>
            <w:r w:rsidR="000150AA">
              <w:rPr>
                <w:sz w:val="22"/>
                <w:szCs w:val="22"/>
              </w:rPr>
              <w:t xml:space="preserve"> </w:t>
            </w:r>
          </w:p>
        </w:tc>
        <w:tc>
          <w:tcPr>
            <w:tcW w:w="850" w:type="dxa"/>
          </w:tcPr>
          <w:p w14:paraId="3036AFD5" w14:textId="77777777" w:rsidR="00357CEC" w:rsidRPr="001300A9" w:rsidRDefault="00357CEC" w:rsidP="00357CEC">
            <w:pPr>
              <w:pStyle w:val="Default"/>
              <w:rPr>
                <w:sz w:val="22"/>
                <w:szCs w:val="22"/>
              </w:rPr>
            </w:pPr>
          </w:p>
        </w:tc>
        <w:tc>
          <w:tcPr>
            <w:tcW w:w="815" w:type="dxa"/>
          </w:tcPr>
          <w:p w14:paraId="3D044F01" w14:textId="77777777" w:rsidR="00357CEC" w:rsidRPr="001300A9" w:rsidRDefault="00357CEC" w:rsidP="00357CEC">
            <w:pPr>
              <w:pStyle w:val="Default"/>
              <w:rPr>
                <w:sz w:val="22"/>
                <w:szCs w:val="22"/>
              </w:rPr>
            </w:pPr>
          </w:p>
        </w:tc>
      </w:tr>
      <w:tr w:rsidR="00DD6EDC" w:rsidRPr="001300A9" w14:paraId="1B0B1C91" w14:textId="77777777" w:rsidTr="360410BC">
        <w:tc>
          <w:tcPr>
            <w:tcW w:w="562" w:type="dxa"/>
          </w:tcPr>
          <w:p w14:paraId="6152484A" w14:textId="77777777" w:rsidR="00357CEC" w:rsidRPr="001300A9" w:rsidRDefault="00357CEC" w:rsidP="00357CEC">
            <w:pPr>
              <w:pStyle w:val="Default"/>
              <w:rPr>
                <w:sz w:val="22"/>
                <w:szCs w:val="22"/>
              </w:rPr>
            </w:pPr>
            <w:r w:rsidRPr="001300A9">
              <w:rPr>
                <w:sz w:val="22"/>
                <w:szCs w:val="22"/>
              </w:rPr>
              <w:lastRenderedPageBreak/>
              <w:t>Č: 1</w:t>
            </w:r>
          </w:p>
          <w:p w14:paraId="2CAC2BC1" w14:textId="77777777" w:rsidR="00357CEC" w:rsidRPr="001300A9" w:rsidRDefault="00357CEC" w:rsidP="00357CEC">
            <w:pPr>
              <w:pStyle w:val="Default"/>
              <w:rPr>
                <w:sz w:val="22"/>
                <w:szCs w:val="22"/>
              </w:rPr>
            </w:pPr>
            <w:r w:rsidRPr="001300A9">
              <w:rPr>
                <w:sz w:val="22"/>
                <w:szCs w:val="22"/>
              </w:rPr>
              <w:t>O: 15</w:t>
            </w:r>
          </w:p>
        </w:tc>
        <w:tc>
          <w:tcPr>
            <w:tcW w:w="4820" w:type="dxa"/>
          </w:tcPr>
          <w:p w14:paraId="64176207" w14:textId="3A60E052" w:rsidR="00357CEC" w:rsidRPr="001300A9" w:rsidRDefault="00357CEC" w:rsidP="0058242C">
            <w:pPr>
              <w:pStyle w:val="Default"/>
              <w:rPr>
                <w:sz w:val="22"/>
                <w:szCs w:val="22"/>
              </w:rPr>
            </w:pPr>
            <w:r w:rsidRPr="001300A9">
              <w:rPr>
                <w:sz w:val="22"/>
                <w:szCs w:val="22"/>
              </w:rPr>
              <w:t xml:space="preserve">7. Členské štáty vyžadujú, aby zariadenia na výrobu elektrickej energie a prevádzkovatelia sietí využívajúci dané kvóty do 28. februára každého roka predložili správu o realizácii svojich vybraných investícií, ktorej súčasťou je aj bilancia bezodplatne prideľovaných kvót a vynaložených investičných nákladov a druhy podporovaných investícií. Členské štáty o tom podávajú správy Komisii a Komisia tieto správy zverejňuje. </w:t>
            </w:r>
          </w:p>
        </w:tc>
        <w:tc>
          <w:tcPr>
            <w:tcW w:w="567" w:type="dxa"/>
          </w:tcPr>
          <w:p w14:paraId="70189B5B" w14:textId="77777777" w:rsidR="00357CEC" w:rsidRPr="001300A9" w:rsidRDefault="00357CEC" w:rsidP="00357CEC">
            <w:pPr>
              <w:pStyle w:val="Default"/>
              <w:rPr>
                <w:sz w:val="22"/>
                <w:szCs w:val="22"/>
              </w:rPr>
            </w:pPr>
            <w:proofErr w:type="spellStart"/>
            <w:r w:rsidRPr="001300A9">
              <w:rPr>
                <w:sz w:val="22"/>
                <w:szCs w:val="22"/>
              </w:rPr>
              <w:t>n.a</w:t>
            </w:r>
            <w:proofErr w:type="spellEnd"/>
            <w:r w:rsidRPr="001300A9">
              <w:rPr>
                <w:sz w:val="22"/>
                <w:szCs w:val="22"/>
              </w:rPr>
              <w:t>.</w:t>
            </w:r>
          </w:p>
        </w:tc>
        <w:tc>
          <w:tcPr>
            <w:tcW w:w="283" w:type="dxa"/>
          </w:tcPr>
          <w:p w14:paraId="7B0CD2B6" w14:textId="77777777" w:rsidR="00357CEC" w:rsidRPr="001300A9" w:rsidRDefault="00357CEC" w:rsidP="00357CEC">
            <w:pPr>
              <w:pStyle w:val="Default"/>
              <w:rPr>
                <w:sz w:val="22"/>
                <w:szCs w:val="22"/>
              </w:rPr>
            </w:pPr>
          </w:p>
        </w:tc>
        <w:tc>
          <w:tcPr>
            <w:tcW w:w="567" w:type="dxa"/>
          </w:tcPr>
          <w:p w14:paraId="35FC9C9C" w14:textId="77777777" w:rsidR="00357CEC" w:rsidRPr="001300A9" w:rsidRDefault="00357CEC" w:rsidP="00357CEC">
            <w:pPr>
              <w:pStyle w:val="Default"/>
              <w:rPr>
                <w:sz w:val="22"/>
                <w:szCs w:val="22"/>
              </w:rPr>
            </w:pPr>
          </w:p>
        </w:tc>
        <w:tc>
          <w:tcPr>
            <w:tcW w:w="4253" w:type="dxa"/>
          </w:tcPr>
          <w:p w14:paraId="3710D654" w14:textId="77777777" w:rsidR="00357CEC" w:rsidRPr="001300A9" w:rsidRDefault="00357CEC" w:rsidP="00357CEC">
            <w:pPr>
              <w:pStyle w:val="Default"/>
              <w:rPr>
                <w:sz w:val="22"/>
                <w:szCs w:val="22"/>
              </w:rPr>
            </w:pPr>
          </w:p>
        </w:tc>
        <w:tc>
          <w:tcPr>
            <w:tcW w:w="567" w:type="dxa"/>
          </w:tcPr>
          <w:p w14:paraId="1BFB1D33" w14:textId="77777777" w:rsidR="00357CEC" w:rsidRPr="001300A9" w:rsidRDefault="00357CEC" w:rsidP="00357CEC">
            <w:pPr>
              <w:pStyle w:val="Default"/>
              <w:rPr>
                <w:sz w:val="22"/>
                <w:szCs w:val="22"/>
              </w:rPr>
            </w:pPr>
          </w:p>
        </w:tc>
        <w:tc>
          <w:tcPr>
            <w:tcW w:w="1276" w:type="dxa"/>
          </w:tcPr>
          <w:p w14:paraId="0B9BE859" w14:textId="77777777" w:rsidR="00357CEC" w:rsidRPr="001300A9" w:rsidRDefault="00357CEC" w:rsidP="00357CEC">
            <w:pPr>
              <w:pStyle w:val="Default"/>
              <w:rPr>
                <w:sz w:val="22"/>
                <w:szCs w:val="22"/>
              </w:rPr>
            </w:pPr>
          </w:p>
        </w:tc>
        <w:tc>
          <w:tcPr>
            <w:tcW w:w="850" w:type="dxa"/>
          </w:tcPr>
          <w:p w14:paraId="772D685C" w14:textId="77777777" w:rsidR="00357CEC" w:rsidRPr="001300A9" w:rsidRDefault="00357CEC" w:rsidP="00357CEC">
            <w:pPr>
              <w:pStyle w:val="Default"/>
              <w:rPr>
                <w:sz w:val="22"/>
                <w:szCs w:val="22"/>
              </w:rPr>
            </w:pPr>
          </w:p>
        </w:tc>
        <w:tc>
          <w:tcPr>
            <w:tcW w:w="815" w:type="dxa"/>
          </w:tcPr>
          <w:p w14:paraId="24097CF2" w14:textId="77777777" w:rsidR="00357CEC" w:rsidRPr="001300A9" w:rsidRDefault="00357CEC" w:rsidP="00357CEC">
            <w:pPr>
              <w:pStyle w:val="Default"/>
              <w:rPr>
                <w:sz w:val="22"/>
                <w:szCs w:val="22"/>
              </w:rPr>
            </w:pPr>
          </w:p>
        </w:tc>
      </w:tr>
      <w:tr w:rsidR="00DD6EDC" w:rsidRPr="001300A9" w14:paraId="771E3C4D" w14:textId="77777777" w:rsidTr="360410BC">
        <w:tc>
          <w:tcPr>
            <w:tcW w:w="562" w:type="dxa"/>
          </w:tcPr>
          <w:p w14:paraId="1453B98D" w14:textId="77777777" w:rsidR="00357CEC" w:rsidRPr="001300A9" w:rsidRDefault="00357CEC" w:rsidP="00357CEC">
            <w:pPr>
              <w:pStyle w:val="Default"/>
              <w:rPr>
                <w:sz w:val="22"/>
                <w:szCs w:val="22"/>
              </w:rPr>
            </w:pPr>
            <w:r w:rsidRPr="001300A9">
              <w:rPr>
                <w:sz w:val="22"/>
                <w:szCs w:val="22"/>
              </w:rPr>
              <w:t>Č: 1</w:t>
            </w:r>
          </w:p>
          <w:p w14:paraId="6B0205A6" w14:textId="77777777" w:rsidR="00357CEC" w:rsidRPr="001300A9" w:rsidRDefault="00357CEC" w:rsidP="00357CEC">
            <w:pPr>
              <w:pStyle w:val="Default"/>
              <w:rPr>
                <w:sz w:val="22"/>
                <w:szCs w:val="22"/>
              </w:rPr>
            </w:pPr>
            <w:r w:rsidRPr="001300A9">
              <w:rPr>
                <w:sz w:val="22"/>
                <w:szCs w:val="22"/>
              </w:rPr>
              <w:t>O: 16</w:t>
            </w:r>
          </w:p>
        </w:tc>
        <w:tc>
          <w:tcPr>
            <w:tcW w:w="4820" w:type="dxa"/>
          </w:tcPr>
          <w:p w14:paraId="479FB0AF" w14:textId="77777777" w:rsidR="00357CEC" w:rsidRPr="001300A9" w:rsidRDefault="00357CEC" w:rsidP="00357CEC">
            <w:pPr>
              <w:pStyle w:val="Default"/>
              <w:rPr>
                <w:i/>
                <w:sz w:val="22"/>
                <w:szCs w:val="22"/>
              </w:rPr>
            </w:pPr>
            <w:r w:rsidRPr="001300A9">
              <w:rPr>
                <w:i/>
                <w:sz w:val="22"/>
                <w:szCs w:val="22"/>
              </w:rPr>
              <w:t xml:space="preserve">Článok 10ca </w:t>
            </w:r>
          </w:p>
          <w:p w14:paraId="5449FB52" w14:textId="77777777" w:rsidR="00357CEC" w:rsidRPr="001300A9" w:rsidRDefault="00357CEC" w:rsidP="00357CEC">
            <w:pPr>
              <w:pStyle w:val="Default"/>
              <w:rPr>
                <w:i/>
                <w:sz w:val="22"/>
                <w:szCs w:val="22"/>
              </w:rPr>
            </w:pPr>
            <w:r w:rsidRPr="001300A9">
              <w:rPr>
                <w:i/>
                <w:sz w:val="22"/>
                <w:szCs w:val="22"/>
              </w:rPr>
              <w:t>Kratšia lehota na prechodné bezodplatné prideľovanie kvót na modernizáciu v odvetví energetiky</w:t>
            </w:r>
          </w:p>
          <w:p w14:paraId="353B5926" w14:textId="77777777" w:rsidR="00357CEC" w:rsidRPr="001300A9" w:rsidRDefault="00357CEC" w:rsidP="00357CEC">
            <w:pPr>
              <w:pStyle w:val="Default"/>
              <w:rPr>
                <w:sz w:val="22"/>
                <w:szCs w:val="22"/>
              </w:rPr>
            </w:pPr>
            <w:r w:rsidRPr="001300A9">
              <w:rPr>
                <w:sz w:val="22"/>
                <w:szCs w:val="22"/>
              </w:rPr>
              <w:t>Odchylne od článku 10c môžu dotknuté členské štáty prechodne bezodplatne prideľovať kvóty zariadeniam v súlade s uvedeným článkom len na investície uskutočnené do 31. decembra 2024. Všetky kvóty, ktoré majú dotknuté členské štáty k dispozícii v súlade s článkom 10c na obdobie rokov 2021 až 2030 a ktoré sa nepoužijú na takéto investície, sa v pomere určenom príslušným členským štátom:</w:t>
            </w:r>
          </w:p>
          <w:p w14:paraId="40D7D0E9" w14:textId="77777777" w:rsidR="00357CEC" w:rsidRPr="001300A9" w:rsidRDefault="00357CEC" w:rsidP="00357CEC">
            <w:pPr>
              <w:pStyle w:val="Default"/>
              <w:rPr>
                <w:sz w:val="22"/>
                <w:szCs w:val="22"/>
              </w:rPr>
            </w:pPr>
            <w:r w:rsidRPr="001300A9">
              <w:rPr>
                <w:sz w:val="22"/>
                <w:szCs w:val="22"/>
              </w:rPr>
              <w:t>a) pripočítajú k celkovému množstvu kvót, s ktorými má dotknutý členský štát obchodovať formou aukcie podľa článku 10 ods. 2; alebo</w:t>
            </w:r>
          </w:p>
          <w:p w14:paraId="327646C6" w14:textId="77777777" w:rsidR="00357CEC" w:rsidRPr="001300A9" w:rsidRDefault="00357CEC" w:rsidP="00357CEC">
            <w:pPr>
              <w:pStyle w:val="Default"/>
              <w:rPr>
                <w:sz w:val="22"/>
                <w:szCs w:val="22"/>
              </w:rPr>
            </w:pPr>
            <w:r w:rsidRPr="001300A9">
              <w:rPr>
                <w:sz w:val="22"/>
                <w:szCs w:val="22"/>
              </w:rPr>
              <w:t>b) sa použijú na podporu investícií v rámci modernizačného fondu uvedeného v článku 10d v súlade s pravidlami uplatniteľnými na príjmy z kvót podľa článku 10d ods. 4.</w:t>
            </w:r>
          </w:p>
          <w:p w14:paraId="7E85E262" w14:textId="77777777" w:rsidR="00357CEC" w:rsidRPr="001300A9" w:rsidRDefault="00357CEC" w:rsidP="00357CEC">
            <w:pPr>
              <w:pStyle w:val="Default"/>
              <w:rPr>
                <w:sz w:val="22"/>
                <w:szCs w:val="22"/>
              </w:rPr>
            </w:pPr>
          </w:p>
          <w:p w14:paraId="714ABC3D" w14:textId="77777777" w:rsidR="00357CEC" w:rsidRPr="001300A9" w:rsidRDefault="00357CEC" w:rsidP="00357CEC">
            <w:pPr>
              <w:pStyle w:val="Default"/>
              <w:rPr>
                <w:sz w:val="22"/>
                <w:szCs w:val="22"/>
              </w:rPr>
            </w:pPr>
            <w:r w:rsidRPr="001300A9">
              <w:rPr>
                <w:sz w:val="22"/>
                <w:szCs w:val="22"/>
              </w:rPr>
              <w:t xml:space="preserve">Dotknutý členský štát do 15. mája 2024 oznámi Komisii príslušné množstvá kvót, ktoré sa majú použiť podľa článku 10 ods. 2 prvého </w:t>
            </w:r>
            <w:proofErr w:type="spellStart"/>
            <w:r w:rsidRPr="001300A9">
              <w:rPr>
                <w:sz w:val="22"/>
                <w:szCs w:val="22"/>
              </w:rPr>
              <w:t>pododseku</w:t>
            </w:r>
            <w:proofErr w:type="spellEnd"/>
            <w:r w:rsidRPr="001300A9">
              <w:rPr>
                <w:sz w:val="22"/>
                <w:szCs w:val="22"/>
              </w:rPr>
              <w:t xml:space="preserve"> písm. a) </w:t>
            </w:r>
            <w:r w:rsidRPr="001300A9">
              <w:rPr>
                <w:sz w:val="22"/>
                <w:szCs w:val="22"/>
              </w:rPr>
              <w:lastRenderedPageBreak/>
              <w:t>a odchylne od článku 10d ods. 4 druhej vety podľa článku 10d.</w:t>
            </w:r>
          </w:p>
        </w:tc>
        <w:tc>
          <w:tcPr>
            <w:tcW w:w="567" w:type="dxa"/>
          </w:tcPr>
          <w:p w14:paraId="5B246D10" w14:textId="77777777" w:rsidR="00357CEC" w:rsidRPr="001300A9" w:rsidRDefault="00357CEC" w:rsidP="00357CEC">
            <w:pPr>
              <w:pStyle w:val="Default"/>
              <w:rPr>
                <w:sz w:val="22"/>
                <w:szCs w:val="22"/>
              </w:rPr>
            </w:pPr>
            <w:proofErr w:type="spellStart"/>
            <w:r w:rsidRPr="001300A9">
              <w:rPr>
                <w:sz w:val="22"/>
                <w:szCs w:val="22"/>
              </w:rPr>
              <w:lastRenderedPageBreak/>
              <w:t>n.a</w:t>
            </w:r>
            <w:proofErr w:type="spellEnd"/>
            <w:r w:rsidRPr="001300A9">
              <w:rPr>
                <w:sz w:val="22"/>
                <w:szCs w:val="22"/>
              </w:rPr>
              <w:t>.</w:t>
            </w:r>
          </w:p>
        </w:tc>
        <w:tc>
          <w:tcPr>
            <w:tcW w:w="283" w:type="dxa"/>
          </w:tcPr>
          <w:p w14:paraId="1F78F739" w14:textId="77777777" w:rsidR="00357CEC" w:rsidRPr="001300A9" w:rsidRDefault="00357CEC" w:rsidP="00357CEC">
            <w:pPr>
              <w:pStyle w:val="Default"/>
              <w:rPr>
                <w:sz w:val="22"/>
                <w:szCs w:val="22"/>
              </w:rPr>
            </w:pPr>
          </w:p>
        </w:tc>
        <w:tc>
          <w:tcPr>
            <w:tcW w:w="567" w:type="dxa"/>
          </w:tcPr>
          <w:p w14:paraId="7EB11B92" w14:textId="77777777" w:rsidR="00357CEC" w:rsidRPr="001300A9" w:rsidRDefault="00357CEC" w:rsidP="00357CEC">
            <w:pPr>
              <w:pStyle w:val="Default"/>
              <w:rPr>
                <w:sz w:val="22"/>
                <w:szCs w:val="22"/>
              </w:rPr>
            </w:pPr>
          </w:p>
        </w:tc>
        <w:tc>
          <w:tcPr>
            <w:tcW w:w="4253" w:type="dxa"/>
          </w:tcPr>
          <w:p w14:paraId="6B7BB662" w14:textId="77777777" w:rsidR="00357CEC" w:rsidRPr="001300A9" w:rsidRDefault="00357CEC" w:rsidP="00357CEC">
            <w:pPr>
              <w:pStyle w:val="Default"/>
              <w:rPr>
                <w:sz w:val="22"/>
                <w:szCs w:val="22"/>
              </w:rPr>
            </w:pPr>
          </w:p>
        </w:tc>
        <w:tc>
          <w:tcPr>
            <w:tcW w:w="567" w:type="dxa"/>
          </w:tcPr>
          <w:p w14:paraId="0410C1AB" w14:textId="77777777" w:rsidR="00357CEC" w:rsidRPr="001300A9" w:rsidRDefault="00357CEC" w:rsidP="00357CEC">
            <w:pPr>
              <w:pStyle w:val="Default"/>
              <w:rPr>
                <w:sz w:val="22"/>
                <w:szCs w:val="22"/>
              </w:rPr>
            </w:pPr>
          </w:p>
        </w:tc>
        <w:tc>
          <w:tcPr>
            <w:tcW w:w="1276" w:type="dxa"/>
          </w:tcPr>
          <w:p w14:paraId="11E27E89" w14:textId="77777777" w:rsidR="00357CEC" w:rsidRPr="001300A9" w:rsidRDefault="00357CEC" w:rsidP="00357CEC">
            <w:pPr>
              <w:pStyle w:val="Default"/>
              <w:rPr>
                <w:sz w:val="22"/>
                <w:szCs w:val="22"/>
              </w:rPr>
            </w:pPr>
          </w:p>
        </w:tc>
        <w:tc>
          <w:tcPr>
            <w:tcW w:w="850" w:type="dxa"/>
          </w:tcPr>
          <w:p w14:paraId="391D1733" w14:textId="77777777" w:rsidR="00357CEC" w:rsidRPr="001300A9" w:rsidRDefault="00357CEC" w:rsidP="00357CEC">
            <w:pPr>
              <w:pStyle w:val="Default"/>
              <w:rPr>
                <w:sz w:val="22"/>
                <w:szCs w:val="22"/>
              </w:rPr>
            </w:pPr>
          </w:p>
        </w:tc>
        <w:tc>
          <w:tcPr>
            <w:tcW w:w="815" w:type="dxa"/>
          </w:tcPr>
          <w:p w14:paraId="2C0FD9AB" w14:textId="77777777" w:rsidR="00357CEC" w:rsidRPr="001300A9" w:rsidRDefault="00357CEC" w:rsidP="00357CEC">
            <w:pPr>
              <w:pStyle w:val="Default"/>
              <w:rPr>
                <w:sz w:val="22"/>
                <w:szCs w:val="22"/>
              </w:rPr>
            </w:pPr>
          </w:p>
        </w:tc>
      </w:tr>
      <w:tr w:rsidR="00DD6EDC" w:rsidRPr="001300A9" w14:paraId="4A656268" w14:textId="77777777" w:rsidTr="360410BC">
        <w:tc>
          <w:tcPr>
            <w:tcW w:w="562" w:type="dxa"/>
          </w:tcPr>
          <w:p w14:paraId="5DFC453D" w14:textId="77777777" w:rsidR="00357CEC" w:rsidRPr="001300A9" w:rsidRDefault="00357CEC" w:rsidP="00357CEC">
            <w:pPr>
              <w:pStyle w:val="Default"/>
              <w:rPr>
                <w:sz w:val="22"/>
                <w:szCs w:val="22"/>
              </w:rPr>
            </w:pPr>
            <w:r w:rsidRPr="001300A9">
              <w:rPr>
                <w:sz w:val="22"/>
                <w:szCs w:val="22"/>
              </w:rPr>
              <w:t>Č: 1</w:t>
            </w:r>
          </w:p>
          <w:p w14:paraId="31F92B53" w14:textId="77777777" w:rsidR="00357CEC" w:rsidRPr="001300A9" w:rsidRDefault="00357CEC" w:rsidP="00357CEC">
            <w:pPr>
              <w:pStyle w:val="Default"/>
              <w:rPr>
                <w:sz w:val="22"/>
                <w:szCs w:val="22"/>
              </w:rPr>
            </w:pPr>
            <w:r w:rsidRPr="001300A9">
              <w:rPr>
                <w:sz w:val="22"/>
                <w:szCs w:val="22"/>
              </w:rPr>
              <w:t>O: 17</w:t>
            </w:r>
          </w:p>
          <w:p w14:paraId="3EFFD3C9" w14:textId="77777777" w:rsidR="00357CEC" w:rsidRPr="001300A9" w:rsidRDefault="00357CEC" w:rsidP="00357CEC">
            <w:pPr>
              <w:pStyle w:val="Default"/>
              <w:rPr>
                <w:sz w:val="22"/>
                <w:szCs w:val="22"/>
              </w:rPr>
            </w:pPr>
            <w:r w:rsidRPr="001300A9">
              <w:rPr>
                <w:sz w:val="22"/>
                <w:szCs w:val="22"/>
              </w:rPr>
              <w:t>P: a)</w:t>
            </w:r>
          </w:p>
        </w:tc>
        <w:tc>
          <w:tcPr>
            <w:tcW w:w="4820" w:type="dxa"/>
          </w:tcPr>
          <w:p w14:paraId="776CAE8B" w14:textId="77777777" w:rsidR="00357CEC" w:rsidRPr="001300A9" w:rsidRDefault="00357CEC" w:rsidP="00357CEC">
            <w:pPr>
              <w:pStyle w:val="Default"/>
              <w:rPr>
                <w:sz w:val="22"/>
                <w:szCs w:val="22"/>
              </w:rPr>
            </w:pPr>
            <w:r w:rsidRPr="001300A9">
              <w:rPr>
                <w:sz w:val="22"/>
                <w:szCs w:val="22"/>
              </w:rPr>
              <w:t>1. Na obdobie rokov 2021 až 2030 sa zriaďuje fond na podporu investícií navrhovaných prijímajúcimi členskými štátmi vrátane financovania malých investičných projektov zameraných na modernizáciu energetických systémov a zlepšenie energetickej efektívnosti („modernizačný fond“). Modernizačný fond sa financuje prostredníctvom obchodovania s kvótami formou aukcie v zmysle článku 10, pokiaľ ide o prijímajúce členské štáty stanovené v uvedenom článku.</w:t>
            </w:r>
          </w:p>
          <w:p w14:paraId="1F70F340" w14:textId="77777777" w:rsidR="00357CEC" w:rsidRPr="001300A9" w:rsidRDefault="00357CEC" w:rsidP="00357CEC">
            <w:pPr>
              <w:pStyle w:val="Default"/>
              <w:rPr>
                <w:sz w:val="22"/>
                <w:szCs w:val="22"/>
              </w:rPr>
            </w:pPr>
          </w:p>
          <w:p w14:paraId="4B308F54" w14:textId="77777777" w:rsidR="00357CEC" w:rsidRPr="001300A9" w:rsidRDefault="00357CEC" w:rsidP="00357CEC">
            <w:pPr>
              <w:pStyle w:val="Default"/>
              <w:rPr>
                <w:sz w:val="22"/>
                <w:szCs w:val="22"/>
              </w:rPr>
            </w:pPr>
            <w:r w:rsidRPr="001300A9">
              <w:rPr>
                <w:sz w:val="22"/>
                <w:szCs w:val="22"/>
              </w:rPr>
              <w:t>Podporované investície musia byť v súlade s cieľmi tejto smernice, ako aj s cieľmi uvedenými v oznámení Komisie z 11. decembra 2019 o Európskom ekologickom dohovore a v nariadení (EÚ) 2021/1119 a s dlhodobými cieľmi vyjadrenými v Parížskej dohode. Prijímajúce členské štáty môžu vo vhodných prípadoch využívať zdroje z modernizačného fondu na financovanie investícií zahŕňajúcich susediace pohraničné regióny Únie. Zariadeniam na výrobu energie, v ktorých sa využívajú fosílne palivá, sa z modernizačného fondu neposkytuje žiadna podpora. Príjmy z kvót, na ktoré sa vzťahuje oznámenie podľa článku 10d ods. 4 tejto smernice, sa však môžu použiť na investície týkajúce sa plynných fosílnych palív.</w:t>
            </w:r>
          </w:p>
          <w:p w14:paraId="20F76262" w14:textId="77777777" w:rsidR="00357CEC" w:rsidRPr="001300A9" w:rsidRDefault="00357CEC" w:rsidP="00357CEC">
            <w:pPr>
              <w:pStyle w:val="Default"/>
              <w:rPr>
                <w:sz w:val="22"/>
                <w:szCs w:val="22"/>
              </w:rPr>
            </w:pPr>
          </w:p>
          <w:p w14:paraId="4D860D69" w14:textId="77777777" w:rsidR="00357CEC" w:rsidRPr="001300A9" w:rsidRDefault="00357CEC" w:rsidP="00357CEC">
            <w:pPr>
              <w:pStyle w:val="Default"/>
              <w:rPr>
                <w:sz w:val="22"/>
                <w:szCs w:val="22"/>
              </w:rPr>
            </w:pPr>
            <w:r w:rsidRPr="001300A9">
              <w:rPr>
                <w:sz w:val="22"/>
                <w:szCs w:val="22"/>
              </w:rPr>
              <w:t xml:space="preserve">Okrem toho sa príjmy z kvót uvedených v článku 10 ods. 1 treťom </w:t>
            </w:r>
            <w:proofErr w:type="spellStart"/>
            <w:r w:rsidRPr="001300A9">
              <w:rPr>
                <w:sz w:val="22"/>
                <w:szCs w:val="22"/>
              </w:rPr>
              <w:t>pododseku</w:t>
            </w:r>
            <w:proofErr w:type="spellEnd"/>
            <w:r w:rsidRPr="001300A9">
              <w:rPr>
                <w:sz w:val="22"/>
                <w:szCs w:val="22"/>
              </w:rPr>
              <w:t xml:space="preserve"> tejto smernice môžu použiť na investície do plynných fosílnych palív, ak sa činnosť kvalifikuje ako environmentálne udržateľná podľa nariadenia Európskeho parlamentu a </w:t>
            </w:r>
            <w:r w:rsidRPr="001300A9">
              <w:rPr>
                <w:sz w:val="22"/>
                <w:szCs w:val="22"/>
              </w:rPr>
              <w:lastRenderedPageBreak/>
              <w:t>Rady (EÚ) 2020/852* a je riadne odôvodnená z dôvodov zaistenia energetickej bezpečnosti, a to za predpokladu, že v prípade výroby energie sa s kvótami obchoduje formou aukcie pred 31. decembrom 2027 a v prípade investícií zahŕňajúcich následné využívanie plynu sa s kvótami obchoduje formou aukcie pred 31. decembrom 2028.</w:t>
            </w:r>
          </w:p>
          <w:p w14:paraId="2ABD5DBF" w14:textId="77777777" w:rsidR="00357CEC" w:rsidRPr="001300A9" w:rsidRDefault="00357CEC" w:rsidP="00357CEC">
            <w:pPr>
              <w:pStyle w:val="Default"/>
              <w:rPr>
                <w:sz w:val="22"/>
                <w:szCs w:val="22"/>
              </w:rPr>
            </w:pPr>
          </w:p>
          <w:p w14:paraId="3DC231BE" w14:textId="77777777" w:rsidR="00357CEC" w:rsidRPr="001300A9" w:rsidRDefault="00357CEC" w:rsidP="00357CEC">
            <w:pPr>
              <w:pStyle w:val="Default"/>
              <w:rPr>
                <w:sz w:val="22"/>
                <w:szCs w:val="22"/>
              </w:rPr>
            </w:pPr>
            <w:r w:rsidRPr="001300A9">
              <w:rPr>
                <w:sz w:val="22"/>
                <w:szCs w:val="22"/>
              </w:rPr>
              <w:t>* Nariadenie Európskeho parlamentu a Rady (EÚ) 2020/852 z 18. júna 2020 o vytvorení rámca na uľahčenie udržateľných investícií a o zmene nariadenia (EÚ) 2019/2088 (Ú. v. EÚ L 198, 22.6.2020, s. 13).</w:t>
            </w:r>
          </w:p>
        </w:tc>
        <w:tc>
          <w:tcPr>
            <w:tcW w:w="567" w:type="dxa"/>
          </w:tcPr>
          <w:p w14:paraId="5DFB1931" w14:textId="77777777" w:rsidR="00357CEC" w:rsidRPr="001300A9" w:rsidRDefault="00357CEC" w:rsidP="00357CEC">
            <w:pPr>
              <w:pStyle w:val="Default"/>
              <w:rPr>
                <w:sz w:val="22"/>
                <w:szCs w:val="22"/>
              </w:rPr>
            </w:pPr>
            <w:proofErr w:type="spellStart"/>
            <w:r w:rsidRPr="001300A9">
              <w:rPr>
                <w:sz w:val="22"/>
                <w:szCs w:val="22"/>
              </w:rPr>
              <w:lastRenderedPageBreak/>
              <w:t>n.a</w:t>
            </w:r>
            <w:proofErr w:type="spellEnd"/>
            <w:r w:rsidRPr="001300A9">
              <w:rPr>
                <w:sz w:val="22"/>
                <w:szCs w:val="22"/>
              </w:rPr>
              <w:t>.</w:t>
            </w:r>
          </w:p>
        </w:tc>
        <w:tc>
          <w:tcPr>
            <w:tcW w:w="283" w:type="dxa"/>
          </w:tcPr>
          <w:p w14:paraId="05025E79" w14:textId="77777777" w:rsidR="00357CEC" w:rsidRPr="001300A9" w:rsidRDefault="00357CEC" w:rsidP="00357CEC">
            <w:pPr>
              <w:pStyle w:val="Default"/>
              <w:rPr>
                <w:sz w:val="22"/>
                <w:szCs w:val="22"/>
              </w:rPr>
            </w:pPr>
          </w:p>
        </w:tc>
        <w:tc>
          <w:tcPr>
            <w:tcW w:w="567" w:type="dxa"/>
          </w:tcPr>
          <w:p w14:paraId="46EEEA20" w14:textId="77777777" w:rsidR="00357CEC" w:rsidRPr="001300A9" w:rsidRDefault="00357CEC" w:rsidP="00357CEC">
            <w:pPr>
              <w:pStyle w:val="Default"/>
              <w:rPr>
                <w:sz w:val="22"/>
                <w:szCs w:val="22"/>
              </w:rPr>
            </w:pPr>
          </w:p>
        </w:tc>
        <w:tc>
          <w:tcPr>
            <w:tcW w:w="4253" w:type="dxa"/>
          </w:tcPr>
          <w:p w14:paraId="5698A0DF" w14:textId="77777777" w:rsidR="00357CEC" w:rsidRPr="001300A9" w:rsidRDefault="00357CEC" w:rsidP="00357CEC">
            <w:pPr>
              <w:pStyle w:val="Default"/>
              <w:rPr>
                <w:sz w:val="22"/>
                <w:szCs w:val="22"/>
              </w:rPr>
            </w:pPr>
          </w:p>
        </w:tc>
        <w:tc>
          <w:tcPr>
            <w:tcW w:w="567" w:type="dxa"/>
          </w:tcPr>
          <w:p w14:paraId="38605D49" w14:textId="77777777" w:rsidR="00357CEC" w:rsidRPr="001300A9" w:rsidRDefault="00357CEC" w:rsidP="00357CEC">
            <w:pPr>
              <w:pStyle w:val="Default"/>
              <w:rPr>
                <w:sz w:val="22"/>
                <w:szCs w:val="22"/>
              </w:rPr>
            </w:pPr>
          </w:p>
        </w:tc>
        <w:tc>
          <w:tcPr>
            <w:tcW w:w="1276" w:type="dxa"/>
          </w:tcPr>
          <w:p w14:paraId="63E77DED" w14:textId="77777777" w:rsidR="00357CEC" w:rsidRPr="001300A9" w:rsidRDefault="00357CEC" w:rsidP="00357CEC">
            <w:pPr>
              <w:pStyle w:val="Default"/>
              <w:rPr>
                <w:sz w:val="22"/>
                <w:szCs w:val="22"/>
              </w:rPr>
            </w:pPr>
          </w:p>
        </w:tc>
        <w:tc>
          <w:tcPr>
            <w:tcW w:w="850" w:type="dxa"/>
          </w:tcPr>
          <w:p w14:paraId="42D6E715" w14:textId="77777777" w:rsidR="00357CEC" w:rsidRPr="001300A9" w:rsidRDefault="00357CEC" w:rsidP="00357CEC">
            <w:pPr>
              <w:pStyle w:val="Default"/>
              <w:rPr>
                <w:sz w:val="22"/>
                <w:szCs w:val="22"/>
              </w:rPr>
            </w:pPr>
          </w:p>
        </w:tc>
        <w:tc>
          <w:tcPr>
            <w:tcW w:w="815" w:type="dxa"/>
          </w:tcPr>
          <w:p w14:paraId="496BDF61" w14:textId="77777777" w:rsidR="00357CEC" w:rsidRPr="001300A9" w:rsidRDefault="00357CEC" w:rsidP="00357CEC">
            <w:pPr>
              <w:pStyle w:val="Default"/>
              <w:rPr>
                <w:sz w:val="22"/>
                <w:szCs w:val="22"/>
              </w:rPr>
            </w:pPr>
          </w:p>
        </w:tc>
      </w:tr>
      <w:tr w:rsidR="00DD6EDC" w:rsidRPr="001300A9" w14:paraId="5FC7ED34" w14:textId="77777777" w:rsidTr="360410BC">
        <w:tc>
          <w:tcPr>
            <w:tcW w:w="562" w:type="dxa"/>
          </w:tcPr>
          <w:p w14:paraId="2E7D0547" w14:textId="77777777" w:rsidR="00357CEC" w:rsidRPr="001300A9" w:rsidRDefault="00357CEC" w:rsidP="00357CEC">
            <w:pPr>
              <w:pStyle w:val="Default"/>
              <w:rPr>
                <w:sz w:val="22"/>
                <w:szCs w:val="22"/>
              </w:rPr>
            </w:pPr>
            <w:r w:rsidRPr="001300A9">
              <w:rPr>
                <w:sz w:val="22"/>
                <w:szCs w:val="22"/>
              </w:rPr>
              <w:t>Č: 1</w:t>
            </w:r>
          </w:p>
          <w:p w14:paraId="0D4031F0" w14:textId="77777777" w:rsidR="00357CEC" w:rsidRPr="001300A9" w:rsidRDefault="00357CEC" w:rsidP="00357CEC">
            <w:pPr>
              <w:pStyle w:val="Default"/>
              <w:rPr>
                <w:sz w:val="22"/>
                <w:szCs w:val="22"/>
              </w:rPr>
            </w:pPr>
            <w:r w:rsidRPr="001300A9">
              <w:rPr>
                <w:sz w:val="22"/>
                <w:szCs w:val="22"/>
              </w:rPr>
              <w:t>O: 17</w:t>
            </w:r>
          </w:p>
          <w:p w14:paraId="72C8800D" w14:textId="77777777" w:rsidR="00357CEC" w:rsidRPr="001300A9" w:rsidRDefault="00357CEC" w:rsidP="00357CEC">
            <w:pPr>
              <w:pStyle w:val="Default"/>
              <w:rPr>
                <w:sz w:val="22"/>
                <w:szCs w:val="22"/>
              </w:rPr>
            </w:pPr>
            <w:r w:rsidRPr="001300A9">
              <w:rPr>
                <w:sz w:val="22"/>
                <w:szCs w:val="22"/>
              </w:rPr>
              <w:t>P: b)</w:t>
            </w:r>
          </w:p>
        </w:tc>
        <w:tc>
          <w:tcPr>
            <w:tcW w:w="4820" w:type="dxa"/>
          </w:tcPr>
          <w:p w14:paraId="10E577F3" w14:textId="77777777" w:rsidR="00357CEC" w:rsidRPr="001300A9" w:rsidRDefault="00357CEC" w:rsidP="00357CEC">
            <w:pPr>
              <w:pStyle w:val="Default"/>
              <w:rPr>
                <w:sz w:val="22"/>
                <w:szCs w:val="22"/>
              </w:rPr>
            </w:pPr>
            <w:r w:rsidRPr="001300A9">
              <w:rPr>
                <w:sz w:val="22"/>
                <w:szCs w:val="22"/>
              </w:rPr>
              <w:t xml:space="preserve">2. Najmenej 80 % príjmov z kvót uvedených v článku 10 ods. 1 treťom </w:t>
            </w:r>
            <w:proofErr w:type="spellStart"/>
            <w:r w:rsidRPr="001300A9">
              <w:rPr>
                <w:sz w:val="22"/>
                <w:szCs w:val="22"/>
              </w:rPr>
              <w:t>pododseku</w:t>
            </w:r>
            <w:proofErr w:type="spellEnd"/>
            <w:r w:rsidRPr="001300A9">
              <w:rPr>
                <w:sz w:val="22"/>
                <w:szCs w:val="22"/>
              </w:rPr>
              <w:t xml:space="preserve"> a z kvót, na ktoré sa vzťahuje oznámenie podľa článku 10d ods. 4, a aspoň 90 % príjmov z kvót uvedených v článku 10 ods. 1 štvrtom </w:t>
            </w:r>
            <w:proofErr w:type="spellStart"/>
            <w:r w:rsidRPr="001300A9">
              <w:rPr>
                <w:sz w:val="22"/>
                <w:szCs w:val="22"/>
              </w:rPr>
              <w:t>pododseku</w:t>
            </w:r>
            <w:proofErr w:type="spellEnd"/>
            <w:r w:rsidRPr="001300A9">
              <w:rPr>
                <w:sz w:val="22"/>
                <w:szCs w:val="22"/>
              </w:rPr>
              <w:t xml:space="preserve"> sa použije na podporu investícií do týchto oblastí:</w:t>
            </w:r>
          </w:p>
          <w:p w14:paraId="4E375741" w14:textId="77777777" w:rsidR="00357CEC" w:rsidRPr="001300A9" w:rsidRDefault="00357CEC" w:rsidP="00357CEC">
            <w:pPr>
              <w:pStyle w:val="Default"/>
              <w:rPr>
                <w:sz w:val="22"/>
                <w:szCs w:val="22"/>
              </w:rPr>
            </w:pPr>
            <w:r w:rsidRPr="001300A9">
              <w:rPr>
                <w:sz w:val="22"/>
                <w:szCs w:val="22"/>
              </w:rPr>
              <w:t>a) výroba a využívanie elektrickej energie z obnoviteľných zdrojov vrátane obnoviteľného vodíka;</w:t>
            </w:r>
          </w:p>
          <w:p w14:paraId="3C1B385F" w14:textId="77777777" w:rsidR="00357CEC" w:rsidRPr="001300A9" w:rsidRDefault="00357CEC" w:rsidP="00357CEC">
            <w:pPr>
              <w:pStyle w:val="Default"/>
              <w:rPr>
                <w:sz w:val="22"/>
                <w:szCs w:val="22"/>
              </w:rPr>
            </w:pPr>
            <w:r w:rsidRPr="001300A9">
              <w:rPr>
                <w:sz w:val="22"/>
                <w:szCs w:val="22"/>
              </w:rPr>
              <w:t>b) vykurovanie a chladenie s využitím elektrickej energie z obnoviteľných zdrojov;</w:t>
            </w:r>
          </w:p>
          <w:p w14:paraId="7B4E7398" w14:textId="77777777" w:rsidR="00357CEC" w:rsidRPr="001300A9" w:rsidRDefault="00357CEC" w:rsidP="00357CEC">
            <w:pPr>
              <w:pStyle w:val="Default"/>
              <w:rPr>
                <w:sz w:val="22"/>
                <w:szCs w:val="22"/>
              </w:rPr>
            </w:pPr>
            <w:r w:rsidRPr="001300A9">
              <w:rPr>
                <w:sz w:val="22"/>
                <w:szCs w:val="22"/>
              </w:rPr>
              <w:t>c) zníženie celkovej spotreby energie prostredníctvom energetickej efektívnosti, a to aj v priemysle, doprave, odvetví budov, poľnohospodárstve či odpadovom hospodárstve;</w:t>
            </w:r>
          </w:p>
          <w:p w14:paraId="0BB57B51" w14:textId="77777777" w:rsidR="00357CEC" w:rsidRPr="001300A9" w:rsidRDefault="00357CEC" w:rsidP="00357CEC">
            <w:pPr>
              <w:pStyle w:val="Default"/>
              <w:rPr>
                <w:sz w:val="22"/>
                <w:szCs w:val="22"/>
              </w:rPr>
            </w:pPr>
            <w:r w:rsidRPr="001300A9">
              <w:rPr>
                <w:sz w:val="22"/>
                <w:szCs w:val="22"/>
              </w:rPr>
              <w:t>d) uskladňovanie energie a modernizácia energetických sietí vrátane riadenia strany spotreby, potrubí diaľkového vykurovania, sietí na prenos elektrickej energie, zlepšovania prepojení medzi členskými štátmi a infraštruktúry na mobilitu s nulovými emisiami;</w:t>
            </w:r>
          </w:p>
          <w:p w14:paraId="4C4897E2" w14:textId="77777777" w:rsidR="00357CEC" w:rsidRPr="001300A9" w:rsidRDefault="00357CEC" w:rsidP="00357CEC">
            <w:pPr>
              <w:pStyle w:val="Default"/>
              <w:rPr>
                <w:sz w:val="22"/>
                <w:szCs w:val="22"/>
              </w:rPr>
            </w:pPr>
            <w:r w:rsidRPr="001300A9">
              <w:rPr>
                <w:sz w:val="22"/>
                <w:szCs w:val="22"/>
              </w:rPr>
              <w:t xml:space="preserve">e) podpora pre domácnosti s nízkymi príjmami, a to aj vo vidieckych a odľahlých oblastiach, určená na </w:t>
            </w:r>
            <w:r w:rsidRPr="001300A9">
              <w:rPr>
                <w:sz w:val="22"/>
                <w:szCs w:val="22"/>
              </w:rPr>
              <w:lastRenderedPageBreak/>
              <w:t>riešenie problému energetickej chudoby a na účely modernizácie ich vykurovacích systémov; a</w:t>
            </w:r>
          </w:p>
          <w:p w14:paraId="17F7A18E" w14:textId="77777777" w:rsidR="00357CEC" w:rsidRPr="001300A9" w:rsidRDefault="00357CEC" w:rsidP="00357CEC">
            <w:pPr>
              <w:pStyle w:val="Default"/>
              <w:rPr>
                <w:sz w:val="22"/>
                <w:szCs w:val="22"/>
              </w:rPr>
            </w:pPr>
            <w:r w:rsidRPr="001300A9">
              <w:rPr>
                <w:sz w:val="22"/>
                <w:szCs w:val="22"/>
              </w:rPr>
              <w:t xml:space="preserve">f) spravodlivá transformácia v regiónoch závislých od uhlíka v prijímajúcich členských štátoch s cieľom podporiť uplatnenie zamestnancov na iných pozíciách, ich rekvalifikovanie či zvyšovanie ich kvalifikácie, vzdelávanie, iniciatívy zamerané na hľadanie zamestnania a </w:t>
            </w:r>
            <w:proofErr w:type="spellStart"/>
            <w:r w:rsidRPr="001300A9">
              <w:rPr>
                <w:sz w:val="22"/>
                <w:szCs w:val="22"/>
              </w:rPr>
              <w:t>startupy</w:t>
            </w:r>
            <w:proofErr w:type="spellEnd"/>
            <w:r w:rsidRPr="001300A9">
              <w:rPr>
                <w:sz w:val="22"/>
                <w:szCs w:val="22"/>
              </w:rPr>
              <w:t xml:space="preserve">, a to v dialógu s občianskou spoločnosťou a so sociálnymi partnermi spôsobom, ktorý je v súlade s príslušnými opatreniami, ktoré členské štáty zahrnuli do svojich plánov spravodlivej transformácie územia, a prispieva k nim, v súlade s článkom 8 ods. 2 prvým </w:t>
            </w:r>
            <w:proofErr w:type="spellStart"/>
            <w:r w:rsidRPr="001300A9">
              <w:rPr>
                <w:sz w:val="22"/>
                <w:szCs w:val="22"/>
              </w:rPr>
              <w:t>pododsekom</w:t>
            </w:r>
            <w:proofErr w:type="spellEnd"/>
            <w:r w:rsidRPr="001300A9">
              <w:rPr>
                <w:sz w:val="22"/>
                <w:szCs w:val="22"/>
              </w:rPr>
              <w:t xml:space="preserve"> písm. k) nariadenia (EÚ) 2021/1056, v relevantných prípadoch.</w:t>
            </w:r>
          </w:p>
        </w:tc>
        <w:tc>
          <w:tcPr>
            <w:tcW w:w="567" w:type="dxa"/>
          </w:tcPr>
          <w:p w14:paraId="11FD8002" w14:textId="77777777" w:rsidR="00357CEC" w:rsidRPr="001300A9" w:rsidRDefault="00357CEC" w:rsidP="00357CEC">
            <w:pPr>
              <w:pStyle w:val="Default"/>
              <w:rPr>
                <w:sz w:val="22"/>
                <w:szCs w:val="22"/>
              </w:rPr>
            </w:pPr>
            <w:proofErr w:type="spellStart"/>
            <w:r w:rsidRPr="001300A9">
              <w:rPr>
                <w:sz w:val="22"/>
                <w:szCs w:val="22"/>
              </w:rPr>
              <w:lastRenderedPageBreak/>
              <w:t>n.a</w:t>
            </w:r>
            <w:proofErr w:type="spellEnd"/>
            <w:r w:rsidRPr="001300A9">
              <w:rPr>
                <w:sz w:val="22"/>
                <w:szCs w:val="22"/>
              </w:rPr>
              <w:t>.</w:t>
            </w:r>
          </w:p>
        </w:tc>
        <w:tc>
          <w:tcPr>
            <w:tcW w:w="283" w:type="dxa"/>
          </w:tcPr>
          <w:p w14:paraId="452481C7" w14:textId="77777777" w:rsidR="00357CEC" w:rsidRPr="001300A9" w:rsidRDefault="00357CEC" w:rsidP="00357CEC">
            <w:pPr>
              <w:pStyle w:val="Default"/>
              <w:rPr>
                <w:sz w:val="22"/>
                <w:szCs w:val="22"/>
              </w:rPr>
            </w:pPr>
          </w:p>
        </w:tc>
        <w:tc>
          <w:tcPr>
            <w:tcW w:w="567" w:type="dxa"/>
          </w:tcPr>
          <w:p w14:paraId="249379D9" w14:textId="77777777" w:rsidR="00357CEC" w:rsidRPr="001300A9" w:rsidRDefault="00357CEC" w:rsidP="00357CEC">
            <w:pPr>
              <w:pStyle w:val="Default"/>
              <w:rPr>
                <w:sz w:val="22"/>
                <w:szCs w:val="22"/>
              </w:rPr>
            </w:pPr>
          </w:p>
        </w:tc>
        <w:tc>
          <w:tcPr>
            <w:tcW w:w="4253" w:type="dxa"/>
          </w:tcPr>
          <w:p w14:paraId="48B64968" w14:textId="77777777" w:rsidR="00357CEC" w:rsidRPr="001300A9" w:rsidRDefault="00357CEC" w:rsidP="00357CEC">
            <w:pPr>
              <w:pStyle w:val="Default"/>
              <w:rPr>
                <w:sz w:val="22"/>
                <w:szCs w:val="22"/>
              </w:rPr>
            </w:pPr>
          </w:p>
        </w:tc>
        <w:tc>
          <w:tcPr>
            <w:tcW w:w="567" w:type="dxa"/>
          </w:tcPr>
          <w:p w14:paraId="142AF0E0" w14:textId="77777777" w:rsidR="00357CEC" w:rsidRPr="001300A9" w:rsidRDefault="00357CEC" w:rsidP="00357CEC">
            <w:pPr>
              <w:pStyle w:val="Default"/>
              <w:rPr>
                <w:sz w:val="22"/>
                <w:szCs w:val="22"/>
              </w:rPr>
            </w:pPr>
          </w:p>
        </w:tc>
        <w:tc>
          <w:tcPr>
            <w:tcW w:w="1276" w:type="dxa"/>
          </w:tcPr>
          <w:p w14:paraId="4E678FE6" w14:textId="65D8C137" w:rsidR="00357CEC" w:rsidRPr="001300A9" w:rsidRDefault="00260BC4" w:rsidP="00357CEC">
            <w:pPr>
              <w:pStyle w:val="Default"/>
              <w:rPr>
                <w:sz w:val="22"/>
                <w:szCs w:val="22"/>
              </w:rPr>
            </w:pPr>
            <w:r>
              <w:rPr>
                <w:sz w:val="22"/>
                <w:szCs w:val="22"/>
              </w:rPr>
              <w:t>Transpozícia je zabezpečená v</w:t>
            </w:r>
            <w:r w:rsidR="00E93283" w:rsidRPr="00E93283">
              <w:rPr>
                <w:sz w:val="22"/>
                <w:szCs w:val="22"/>
              </w:rPr>
              <w:t xml:space="preserve">ykonávacím nariadením Komisie (EÚ) 2020/1001 z 9. júla 2020, ktorým sa stanovujú podrobné pravidlá uplatňovania smernice Európskeho parlamentu a Rady 2003/87/ES, pokiaľ ide </w:t>
            </w:r>
            <w:r w:rsidR="00E93283" w:rsidRPr="00E93283">
              <w:rPr>
                <w:sz w:val="22"/>
                <w:szCs w:val="22"/>
              </w:rPr>
              <w:lastRenderedPageBreak/>
              <w:t>o prevádzkovanie modernizačného fondu na podporu investícií na modernizáciu energetických systémov a zlepšenie energetickej efektívnosti niektorých členských štátov (Ú. v. ES L 221 10.7.2020, s. 107) – konkrétne ide o články 2 a 6.</w:t>
            </w:r>
          </w:p>
        </w:tc>
        <w:tc>
          <w:tcPr>
            <w:tcW w:w="850" w:type="dxa"/>
          </w:tcPr>
          <w:p w14:paraId="7608522D" w14:textId="77777777" w:rsidR="00357CEC" w:rsidRPr="001300A9" w:rsidRDefault="00357CEC" w:rsidP="00357CEC">
            <w:pPr>
              <w:pStyle w:val="Default"/>
              <w:rPr>
                <w:sz w:val="22"/>
                <w:szCs w:val="22"/>
              </w:rPr>
            </w:pPr>
          </w:p>
        </w:tc>
        <w:tc>
          <w:tcPr>
            <w:tcW w:w="815" w:type="dxa"/>
          </w:tcPr>
          <w:p w14:paraId="38459091" w14:textId="77777777" w:rsidR="00357CEC" w:rsidRPr="001300A9" w:rsidRDefault="00357CEC" w:rsidP="00357CEC">
            <w:pPr>
              <w:pStyle w:val="Default"/>
              <w:rPr>
                <w:sz w:val="22"/>
                <w:szCs w:val="22"/>
              </w:rPr>
            </w:pPr>
          </w:p>
        </w:tc>
      </w:tr>
      <w:tr w:rsidR="00DD6EDC" w:rsidRPr="001300A9" w14:paraId="7C045684" w14:textId="77777777" w:rsidTr="360410BC">
        <w:tc>
          <w:tcPr>
            <w:tcW w:w="562" w:type="dxa"/>
          </w:tcPr>
          <w:p w14:paraId="13E3DEA0" w14:textId="77777777" w:rsidR="00357CEC" w:rsidRPr="001300A9" w:rsidRDefault="00357CEC" w:rsidP="00357CEC">
            <w:pPr>
              <w:pStyle w:val="Default"/>
              <w:rPr>
                <w:sz w:val="22"/>
                <w:szCs w:val="22"/>
              </w:rPr>
            </w:pPr>
            <w:r w:rsidRPr="001300A9">
              <w:rPr>
                <w:sz w:val="22"/>
                <w:szCs w:val="22"/>
              </w:rPr>
              <w:t>Č: 1</w:t>
            </w:r>
          </w:p>
          <w:p w14:paraId="27E067D5" w14:textId="77777777" w:rsidR="00357CEC" w:rsidRPr="001300A9" w:rsidRDefault="00357CEC" w:rsidP="00357CEC">
            <w:pPr>
              <w:pStyle w:val="Default"/>
              <w:rPr>
                <w:sz w:val="22"/>
                <w:szCs w:val="22"/>
              </w:rPr>
            </w:pPr>
            <w:r w:rsidRPr="001300A9">
              <w:rPr>
                <w:sz w:val="22"/>
                <w:szCs w:val="22"/>
              </w:rPr>
              <w:t>O: 17</w:t>
            </w:r>
          </w:p>
          <w:p w14:paraId="66FC29B2" w14:textId="77777777" w:rsidR="00357CEC" w:rsidRPr="001300A9" w:rsidRDefault="00357CEC" w:rsidP="00357CEC">
            <w:pPr>
              <w:pStyle w:val="Default"/>
              <w:rPr>
                <w:sz w:val="22"/>
                <w:szCs w:val="22"/>
              </w:rPr>
            </w:pPr>
            <w:r w:rsidRPr="001300A9">
              <w:rPr>
                <w:sz w:val="22"/>
                <w:szCs w:val="22"/>
              </w:rPr>
              <w:t>P: c)</w:t>
            </w:r>
          </w:p>
        </w:tc>
        <w:tc>
          <w:tcPr>
            <w:tcW w:w="4820" w:type="dxa"/>
          </w:tcPr>
          <w:p w14:paraId="72D89144" w14:textId="77777777" w:rsidR="00357CEC" w:rsidRPr="001300A9" w:rsidRDefault="00357CEC" w:rsidP="00357CEC">
            <w:pPr>
              <w:pStyle w:val="Default"/>
              <w:rPr>
                <w:sz w:val="22"/>
                <w:szCs w:val="22"/>
              </w:rPr>
            </w:pPr>
            <w:r w:rsidRPr="001300A9">
              <w:rPr>
                <w:sz w:val="22"/>
                <w:szCs w:val="22"/>
              </w:rPr>
              <w:t>11. Investičný výbor každoročne podáva Komisii správu o skúsenostiach s hodnotením investícií, najmä pokiaľ ide o znižovanie emisií a náklady na znižovanie emisií. Komisia do 31. decembra 2024 s ohľadom na zistenia investičného výboru preskúma oblasti pre projekty uvedené v odseku 2 a základ, z ktorého investičný výbor vychádza pri tvorbe svojich odporúčaní.</w:t>
            </w:r>
          </w:p>
          <w:p w14:paraId="7949C45A" w14:textId="77777777" w:rsidR="00357CEC" w:rsidRPr="001300A9" w:rsidRDefault="00357CEC" w:rsidP="00357CEC">
            <w:pPr>
              <w:pStyle w:val="Default"/>
              <w:rPr>
                <w:sz w:val="22"/>
                <w:szCs w:val="22"/>
              </w:rPr>
            </w:pPr>
          </w:p>
          <w:p w14:paraId="1DFEAB35" w14:textId="77777777" w:rsidR="00357CEC" w:rsidRPr="001300A9" w:rsidRDefault="00357CEC" w:rsidP="00357CEC">
            <w:pPr>
              <w:pStyle w:val="Default"/>
              <w:rPr>
                <w:sz w:val="22"/>
                <w:szCs w:val="22"/>
              </w:rPr>
            </w:pPr>
            <w:r w:rsidRPr="001300A9">
              <w:rPr>
                <w:sz w:val="22"/>
                <w:szCs w:val="22"/>
              </w:rPr>
              <w:lastRenderedPageBreak/>
              <w:t>Investičný výbor zabezpečí uverejnenie výročnej správy. Komisia poskytne výročnú správu Európskemu parlamentu a Rade.</w:t>
            </w:r>
          </w:p>
        </w:tc>
        <w:tc>
          <w:tcPr>
            <w:tcW w:w="567" w:type="dxa"/>
          </w:tcPr>
          <w:p w14:paraId="4DFAC321" w14:textId="77777777" w:rsidR="00357CEC" w:rsidRPr="001300A9" w:rsidRDefault="00357CEC" w:rsidP="00357CEC">
            <w:pPr>
              <w:pStyle w:val="Default"/>
              <w:rPr>
                <w:sz w:val="22"/>
                <w:szCs w:val="22"/>
              </w:rPr>
            </w:pPr>
            <w:proofErr w:type="spellStart"/>
            <w:r w:rsidRPr="001300A9">
              <w:rPr>
                <w:sz w:val="22"/>
                <w:szCs w:val="22"/>
              </w:rPr>
              <w:lastRenderedPageBreak/>
              <w:t>n.a</w:t>
            </w:r>
            <w:proofErr w:type="spellEnd"/>
            <w:r w:rsidRPr="001300A9">
              <w:rPr>
                <w:sz w:val="22"/>
                <w:szCs w:val="22"/>
              </w:rPr>
              <w:t>.</w:t>
            </w:r>
          </w:p>
        </w:tc>
        <w:tc>
          <w:tcPr>
            <w:tcW w:w="283" w:type="dxa"/>
          </w:tcPr>
          <w:p w14:paraId="281CAFA4" w14:textId="77777777" w:rsidR="00357CEC" w:rsidRPr="001300A9" w:rsidRDefault="00357CEC" w:rsidP="00357CEC">
            <w:pPr>
              <w:pStyle w:val="Default"/>
              <w:rPr>
                <w:sz w:val="22"/>
                <w:szCs w:val="22"/>
              </w:rPr>
            </w:pPr>
          </w:p>
        </w:tc>
        <w:tc>
          <w:tcPr>
            <w:tcW w:w="567" w:type="dxa"/>
          </w:tcPr>
          <w:p w14:paraId="6F8AFA92" w14:textId="77777777" w:rsidR="00357CEC" w:rsidRPr="001300A9" w:rsidRDefault="00357CEC" w:rsidP="00357CEC">
            <w:pPr>
              <w:pStyle w:val="Default"/>
              <w:rPr>
                <w:sz w:val="22"/>
                <w:szCs w:val="22"/>
              </w:rPr>
            </w:pPr>
          </w:p>
        </w:tc>
        <w:tc>
          <w:tcPr>
            <w:tcW w:w="4253" w:type="dxa"/>
          </w:tcPr>
          <w:p w14:paraId="41BBA4A1" w14:textId="77777777" w:rsidR="00357CEC" w:rsidRPr="001300A9" w:rsidRDefault="00357CEC" w:rsidP="00357CEC">
            <w:pPr>
              <w:pStyle w:val="Default"/>
              <w:rPr>
                <w:sz w:val="22"/>
                <w:szCs w:val="22"/>
              </w:rPr>
            </w:pPr>
          </w:p>
        </w:tc>
        <w:tc>
          <w:tcPr>
            <w:tcW w:w="567" w:type="dxa"/>
          </w:tcPr>
          <w:p w14:paraId="56A79C6A" w14:textId="77777777" w:rsidR="00357CEC" w:rsidRPr="001300A9" w:rsidRDefault="00357CEC" w:rsidP="00357CEC">
            <w:pPr>
              <w:pStyle w:val="Default"/>
              <w:rPr>
                <w:sz w:val="22"/>
                <w:szCs w:val="22"/>
              </w:rPr>
            </w:pPr>
          </w:p>
        </w:tc>
        <w:tc>
          <w:tcPr>
            <w:tcW w:w="1276" w:type="dxa"/>
          </w:tcPr>
          <w:p w14:paraId="772865DF" w14:textId="77777777" w:rsidR="00357CEC" w:rsidRPr="001300A9" w:rsidRDefault="00357CEC" w:rsidP="00357CEC">
            <w:pPr>
              <w:pStyle w:val="Default"/>
              <w:rPr>
                <w:sz w:val="22"/>
                <w:szCs w:val="22"/>
              </w:rPr>
            </w:pPr>
          </w:p>
        </w:tc>
        <w:tc>
          <w:tcPr>
            <w:tcW w:w="850" w:type="dxa"/>
          </w:tcPr>
          <w:p w14:paraId="63D91445" w14:textId="77777777" w:rsidR="00357CEC" w:rsidRPr="001300A9" w:rsidRDefault="00357CEC" w:rsidP="00357CEC">
            <w:pPr>
              <w:pStyle w:val="Default"/>
              <w:rPr>
                <w:sz w:val="22"/>
                <w:szCs w:val="22"/>
              </w:rPr>
            </w:pPr>
          </w:p>
        </w:tc>
        <w:tc>
          <w:tcPr>
            <w:tcW w:w="815" w:type="dxa"/>
          </w:tcPr>
          <w:p w14:paraId="19EB8970" w14:textId="77777777" w:rsidR="00357CEC" w:rsidRPr="001300A9" w:rsidRDefault="00357CEC" w:rsidP="00357CEC">
            <w:pPr>
              <w:pStyle w:val="Default"/>
              <w:rPr>
                <w:sz w:val="22"/>
                <w:szCs w:val="22"/>
              </w:rPr>
            </w:pPr>
          </w:p>
        </w:tc>
      </w:tr>
      <w:tr w:rsidR="00DD6EDC" w:rsidRPr="001300A9" w14:paraId="34C6A383" w14:textId="77777777" w:rsidTr="360410BC">
        <w:tc>
          <w:tcPr>
            <w:tcW w:w="562" w:type="dxa"/>
          </w:tcPr>
          <w:p w14:paraId="4D77F512" w14:textId="77777777" w:rsidR="00357CEC" w:rsidRPr="001300A9" w:rsidRDefault="00357CEC" w:rsidP="00357CEC">
            <w:pPr>
              <w:pStyle w:val="Default"/>
              <w:rPr>
                <w:sz w:val="22"/>
                <w:szCs w:val="22"/>
              </w:rPr>
            </w:pPr>
            <w:r w:rsidRPr="001300A9">
              <w:rPr>
                <w:sz w:val="22"/>
                <w:szCs w:val="22"/>
              </w:rPr>
              <w:t>Č: 1</w:t>
            </w:r>
          </w:p>
          <w:p w14:paraId="0E019BC5" w14:textId="77777777" w:rsidR="00357CEC" w:rsidRPr="001300A9" w:rsidRDefault="00357CEC" w:rsidP="00357CEC">
            <w:pPr>
              <w:pStyle w:val="Default"/>
              <w:rPr>
                <w:sz w:val="22"/>
                <w:szCs w:val="22"/>
              </w:rPr>
            </w:pPr>
            <w:r w:rsidRPr="001300A9">
              <w:rPr>
                <w:sz w:val="22"/>
                <w:szCs w:val="22"/>
              </w:rPr>
              <w:t>O: 18</w:t>
            </w:r>
          </w:p>
        </w:tc>
        <w:tc>
          <w:tcPr>
            <w:tcW w:w="4820" w:type="dxa"/>
          </w:tcPr>
          <w:p w14:paraId="6EC17B14" w14:textId="77777777" w:rsidR="00357CEC" w:rsidRPr="001300A9" w:rsidRDefault="00357CEC" w:rsidP="00357CEC">
            <w:pPr>
              <w:pStyle w:val="Default"/>
              <w:rPr>
                <w:i/>
                <w:sz w:val="22"/>
                <w:szCs w:val="22"/>
              </w:rPr>
            </w:pPr>
            <w:r w:rsidRPr="001300A9">
              <w:rPr>
                <w:i/>
                <w:sz w:val="22"/>
                <w:szCs w:val="22"/>
              </w:rPr>
              <w:t xml:space="preserve">Článok 10f </w:t>
            </w:r>
          </w:p>
          <w:p w14:paraId="0F9B960B" w14:textId="77777777" w:rsidR="00357CEC" w:rsidRPr="001300A9" w:rsidRDefault="00357CEC" w:rsidP="00357CEC">
            <w:pPr>
              <w:pStyle w:val="Default"/>
              <w:rPr>
                <w:i/>
                <w:sz w:val="22"/>
                <w:szCs w:val="22"/>
              </w:rPr>
            </w:pPr>
            <w:r w:rsidRPr="001300A9">
              <w:rPr>
                <w:i/>
                <w:sz w:val="22"/>
                <w:szCs w:val="22"/>
              </w:rPr>
              <w:t>Zásada „nespôsobovať významnú škodu“</w:t>
            </w:r>
          </w:p>
          <w:p w14:paraId="5ED7ED80" w14:textId="77777777" w:rsidR="00357CEC" w:rsidRPr="001300A9" w:rsidRDefault="00357CEC" w:rsidP="00357CEC">
            <w:pPr>
              <w:pStyle w:val="Default"/>
              <w:rPr>
                <w:sz w:val="22"/>
                <w:szCs w:val="22"/>
              </w:rPr>
            </w:pPr>
            <w:r w:rsidRPr="001300A9">
              <w:rPr>
                <w:sz w:val="22"/>
                <w:szCs w:val="22"/>
              </w:rPr>
              <w:t xml:space="preserve">Od 1. januára 2025 prijímajúce členské štáty a Komisia používajú príjmy z obchodovania s kvótami formou aukcie určenými pre inovačný fond podľa článku 10a ods. 8 a kvótami uvedenými v článku 10 ods. 1 treťom a štvrtom </w:t>
            </w:r>
            <w:proofErr w:type="spellStart"/>
            <w:r w:rsidRPr="001300A9">
              <w:rPr>
                <w:sz w:val="22"/>
                <w:szCs w:val="22"/>
              </w:rPr>
              <w:t>pododseku</w:t>
            </w:r>
            <w:proofErr w:type="spellEnd"/>
            <w:r w:rsidRPr="001300A9">
              <w:rPr>
                <w:sz w:val="22"/>
                <w:szCs w:val="22"/>
              </w:rPr>
              <w:t xml:space="preserve"> v súlade s kritériami zásady „nespôsobovať významnú škodu“ stanovenými v článku 17 nariadenia (EÚ) 2020/852, ak sa takéto príjmy využívajú na hospodársku činnosť, v prípade ktorej boli podľa článku 10 ods. 3 písm. b) uvedeného nariadenia stanovené technické kritériá preskúmania na určenie toho, či hospodárska činnosť spôsobuje významnú škodu, pokiaľ ide o jeden alebo viacero príslušných environmentálnych cieľov.</w:t>
            </w:r>
          </w:p>
        </w:tc>
        <w:tc>
          <w:tcPr>
            <w:tcW w:w="567" w:type="dxa"/>
          </w:tcPr>
          <w:p w14:paraId="1CBF289C" w14:textId="77777777" w:rsidR="00357CEC" w:rsidRPr="001300A9" w:rsidRDefault="00357CEC" w:rsidP="00357CEC">
            <w:pPr>
              <w:pStyle w:val="Default"/>
              <w:rPr>
                <w:sz w:val="22"/>
                <w:szCs w:val="22"/>
              </w:rPr>
            </w:pPr>
            <w:proofErr w:type="spellStart"/>
            <w:r w:rsidRPr="001300A9">
              <w:rPr>
                <w:sz w:val="22"/>
                <w:szCs w:val="22"/>
              </w:rPr>
              <w:t>n.a</w:t>
            </w:r>
            <w:proofErr w:type="spellEnd"/>
            <w:r w:rsidRPr="001300A9">
              <w:rPr>
                <w:sz w:val="22"/>
                <w:szCs w:val="22"/>
              </w:rPr>
              <w:t>.</w:t>
            </w:r>
          </w:p>
        </w:tc>
        <w:tc>
          <w:tcPr>
            <w:tcW w:w="283" w:type="dxa"/>
          </w:tcPr>
          <w:p w14:paraId="6C85ABBB" w14:textId="77777777" w:rsidR="00357CEC" w:rsidRPr="001300A9" w:rsidRDefault="00357CEC" w:rsidP="00357CEC">
            <w:pPr>
              <w:pStyle w:val="Default"/>
              <w:rPr>
                <w:sz w:val="22"/>
                <w:szCs w:val="22"/>
              </w:rPr>
            </w:pPr>
          </w:p>
        </w:tc>
        <w:tc>
          <w:tcPr>
            <w:tcW w:w="567" w:type="dxa"/>
          </w:tcPr>
          <w:p w14:paraId="5F1A1493" w14:textId="77777777" w:rsidR="00357CEC" w:rsidRPr="001300A9" w:rsidRDefault="00357CEC" w:rsidP="00357CEC">
            <w:pPr>
              <w:pStyle w:val="Default"/>
              <w:rPr>
                <w:sz w:val="22"/>
                <w:szCs w:val="22"/>
              </w:rPr>
            </w:pPr>
          </w:p>
        </w:tc>
        <w:tc>
          <w:tcPr>
            <w:tcW w:w="4253" w:type="dxa"/>
          </w:tcPr>
          <w:p w14:paraId="06943E1F" w14:textId="77777777" w:rsidR="00357CEC" w:rsidRPr="001300A9" w:rsidRDefault="00357CEC" w:rsidP="00357CEC">
            <w:pPr>
              <w:pStyle w:val="Default"/>
              <w:rPr>
                <w:sz w:val="22"/>
                <w:szCs w:val="22"/>
              </w:rPr>
            </w:pPr>
          </w:p>
        </w:tc>
        <w:tc>
          <w:tcPr>
            <w:tcW w:w="567" w:type="dxa"/>
          </w:tcPr>
          <w:p w14:paraId="001FE243" w14:textId="77777777" w:rsidR="00357CEC" w:rsidRPr="001300A9" w:rsidRDefault="00357CEC" w:rsidP="00357CEC">
            <w:pPr>
              <w:pStyle w:val="Default"/>
              <w:rPr>
                <w:sz w:val="22"/>
                <w:szCs w:val="22"/>
              </w:rPr>
            </w:pPr>
          </w:p>
        </w:tc>
        <w:tc>
          <w:tcPr>
            <w:tcW w:w="1276" w:type="dxa"/>
          </w:tcPr>
          <w:p w14:paraId="6237E440" w14:textId="4A2F9294" w:rsidR="00357CEC" w:rsidRPr="001300A9" w:rsidRDefault="4422CCF2" w:rsidP="632F6AE6">
            <w:pPr>
              <w:pStyle w:val="Default"/>
              <w:rPr>
                <w:sz w:val="22"/>
                <w:szCs w:val="22"/>
              </w:rPr>
            </w:pPr>
            <w:r w:rsidRPr="632F6AE6">
              <w:rPr>
                <w:rFonts w:eastAsia="Times New Roman"/>
                <w:sz w:val="22"/>
                <w:szCs w:val="22"/>
              </w:rPr>
              <w:t xml:space="preserve">Transpozícia je zabezpečená Vykonávacím nariadením Komisie (EÚ) 2020/1001 z 9. júla 2020, ktorým sa stanovujú podrobné pravidlá uplatňovania smernice Európskeho parlamentu a Rady 2003/87/ES, pokiaľ ide o prevádzkovanie modernizačného fondu na podporu investícií na modernizáciu energetických systémov a </w:t>
            </w:r>
            <w:r w:rsidRPr="632F6AE6">
              <w:rPr>
                <w:rFonts w:eastAsia="Times New Roman"/>
                <w:sz w:val="22"/>
                <w:szCs w:val="22"/>
              </w:rPr>
              <w:lastRenderedPageBreak/>
              <w:t>zlepšenie energetickej efektívnosti niektorých členských štátov (Ú. v. ES L 221 10.7.2020, s. 107) – konkrétne ide o články 6 a 7.</w:t>
            </w:r>
          </w:p>
        </w:tc>
        <w:tc>
          <w:tcPr>
            <w:tcW w:w="850" w:type="dxa"/>
          </w:tcPr>
          <w:p w14:paraId="153C6922" w14:textId="77777777" w:rsidR="00357CEC" w:rsidRPr="001300A9" w:rsidRDefault="00357CEC" w:rsidP="00357CEC">
            <w:pPr>
              <w:pStyle w:val="Default"/>
              <w:rPr>
                <w:sz w:val="22"/>
                <w:szCs w:val="22"/>
              </w:rPr>
            </w:pPr>
          </w:p>
        </w:tc>
        <w:tc>
          <w:tcPr>
            <w:tcW w:w="815" w:type="dxa"/>
          </w:tcPr>
          <w:p w14:paraId="499A0535" w14:textId="77777777" w:rsidR="00357CEC" w:rsidRPr="001300A9" w:rsidRDefault="00357CEC" w:rsidP="00357CEC">
            <w:pPr>
              <w:pStyle w:val="Default"/>
              <w:rPr>
                <w:sz w:val="22"/>
                <w:szCs w:val="22"/>
              </w:rPr>
            </w:pPr>
          </w:p>
        </w:tc>
      </w:tr>
      <w:tr w:rsidR="00DD6EDC" w:rsidRPr="001300A9" w14:paraId="46A40632" w14:textId="77777777" w:rsidTr="360410BC">
        <w:tc>
          <w:tcPr>
            <w:tcW w:w="562" w:type="dxa"/>
          </w:tcPr>
          <w:p w14:paraId="437BA996" w14:textId="77777777" w:rsidR="00357CEC" w:rsidRPr="001300A9" w:rsidRDefault="00357CEC" w:rsidP="00357CEC">
            <w:pPr>
              <w:pStyle w:val="Default"/>
              <w:rPr>
                <w:sz w:val="22"/>
                <w:szCs w:val="22"/>
              </w:rPr>
            </w:pPr>
            <w:r w:rsidRPr="001300A9">
              <w:rPr>
                <w:sz w:val="22"/>
                <w:szCs w:val="22"/>
              </w:rPr>
              <w:t>Č: 1</w:t>
            </w:r>
          </w:p>
          <w:p w14:paraId="7A25C6E4" w14:textId="77777777" w:rsidR="00357CEC" w:rsidRPr="001300A9" w:rsidRDefault="00357CEC" w:rsidP="00357CEC">
            <w:pPr>
              <w:pStyle w:val="Default"/>
              <w:rPr>
                <w:sz w:val="22"/>
                <w:szCs w:val="22"/>
              </w:rPr>
            </w:pPr>
            <w:r w:rsidRPr="001300A9">
              <w:rPr>
                <w:sz w:val="22"/>
                <w:szCs w:val="22"/>
              </w:rPr>
              <w:t>O: 19</w:t>
            </w:r>
          </w:p>
        </w:tc>
        <w:tc>
          <w:tcPr>
            <w:tcW w:w="4820" w:type="dxa"/>
          </w:tcPr>
          <w:p w14:paraId="164C0C25" w14:textId="77777777" w:rsidR="00357CEC" w:rsidRPr="001300A9" w:rsidRDefault="00357CEC" w:rsidP="00357CEC">
            <w:pPr>
              <w:pStyle w:val="Default"/>
              <w:rPr>
                <w:sz w:val="22"/>
                <w:szCs w:val="22"/>
              </w:rPr>
            </w:pPr>
            <w:r w:rsidRPr="001300A9">
              <w:rPr>
                <w:sz w:val="22"/>
                <w:szCs w:val="22"/>
              </w:rPr>
              <w:t>V článku 11 ods. 2 sa dátum „28. februára“ nahrádza dátumom „30. júna“.</w:t>
            </w:r>
          </w:p>
        </w:tc>
        <w:tc>
          <w:tcPr>
            <w:tcW w:w="567" w:type="dxa"/>
          </w:tcPr>
          <w:p w14:paraId="7E7AAFE5" w14:textId="77777777" w:rsidR="00357CEC" w:rsidRPr="001300A9" w:rsidRDefault="00357CEC" w:rsidP="00357CEC">
            <w:pPr>
              <w:pStyle w:val="Default"/>
              <w:rPr>
                <w:sz w:val="22"/>
                <w:szCs w:val="22"/>
              </w:rPr>
            </w:pPr>
            <w:r w:rsidRPr="001300A9">
              <w:rPr>
                <w:sz w:val="22"/>
                <w:szCs w:val="22"/>
              </w:rPr>
              <w:t>N</w:t>
            </w:r>
          </w:p>
          <w:p w14:paraId="43BAD6D5" w14:textId="66837637" w:rsidR="00357CEC" w:rsidRPr="001300A9" w:rsidRDefault="00357CEC" w:rsidP="00357CEC">
            <w:pPr>
              <w:pStyle w:val="Default"/>
              <w:rPr>
                <w:sz w:val="22"/>
                <w:szCs w:val="22"/>
              </w:rPr>
            </w:pPr>
          </w:p>
        </w:tc>
        <w:tc>
          <w:tcPr>
            <w:tcW w:w="283" w:type="dxa"/>
          </w:tcPr>
          <w:p w14:paraId="71D07FEB" w14:textId="780D0F14" w:rsidR="00357CEC" w:rsidRPr="001300A9" w:rsidRDefault="002C79F4" w:rsidP="00357CEC">
            <w:pPr>
              <w:pStyle w:val="Default"/>
              <w:rPr>
                <w:sz w:val="22"/>
                <w:szCs w:val="22"/>
              </w:rPr>
            </w:pPr>
            <w:r>
              <w:rPr>
                <w:sz w:val="22"/>
                <w:szCs w:val="22"/>
              </w:rPr>
              <w:t>NZ</w:t>
            </w:r>
          </w:p>
        </w:tc>
        <w:tc>
          <w:tcPr>
            <w:tcW w:w="567" w:type="dxa"/>
          </w:tcPr>
          <w:p w14:paraId="0395CE2F" w14:textId="3663AEFD" w:rsidR="00357CEC" w:rsidRPr="004B3A4A" w:rsidRDefault="00134F85" w:rsidP="00357CEC">
            <w:pPr>
              <w:pStyle w:val="Default"/>
              <w:rPr>
                <w:sz w:val="22"/>
                <w:szCs w:val="22"/>
              </w:rPr>
            </w:pPr>
            <w:r w:rsidRPr="004B3A4A">
              <w:rPr>
                <w:sz w:val="22"/>
                <w:szCs w:val="22"/>
              </w:rPr>
              <w:t>Č:I§:</w:t>
            </w:r>
            <w:r w:rsidR="008703B8" w:rsidRPr="004B3A4A">
              <w:rPr>
                <w:sz w:val="22"/>
                <w:szCs w:val="22"/>
              </w:rPr>
              <w:t>26</w:t>
            </w:r>
          </w:p>
          <w:p w14:paraId="66C852B4" w14:textId="4B576517" w:rsidR="008703B8" w:rsidRPr="001300A9" w:rsidRDefault="33C58BC9" w:rsidP="00357CEC">
            <w:pPr>
              <w:pStyle w:val="Default"/>
              <w:rPr>
                <w:sz w:val="22"/>
                <w:szCs w:val="22"/>
              </w:rPr>
            </w:pPr>
            <w:r w:rsidRPr="5F673433">
              <w:rPr>
                <w:sz w:val="22"/>
                <w:szCs w:val="22"/>
              </w:rPr>
              <w:t>O:1</w:t>
            </w:r>
            <w:r w:rsidR="7642CF99" w:rsidRPr="5F673433">
              <w:rPr>
                <w:sz w:val="22"/>
                <w:szCs w:val="22"/>
              </w:rPr>
              <w:t xml:space="preserve"> </w:t>
            </w:r>
            <w:r w:rsidRPr="5F673433">
              <w:rPr>
                <w:sz w:val="22"/>
                <w:szCs w:val="22"/>
              </w:rPr>
              <w:t>P:eP:g</w:t>
            </w:r>
          </w:p>
        </w:tc>
        <w:tc>
          <w:tcPr>
            <w:tcW w:w="4253" w:type="dxa"/>
          </w:tcPr>
          <w:p w14:paraId="4BB1F21B" w14:textId="1029A2D1" w:rsidR="0036390A" w:rsidRPr="0036390A" w:rsidRDefault="0036390A" w:rsidP="0036390A">
            <w:pPr>
              <w:pStyle w:val="Default"/>
              <w:rPr>
                <w:sz w:val="22"/>
                <w:szCs w:val="22"/>
              </w:rPr>
            </w:pPr>
            <w:r w:rsidRPr="0036390A">
              <w:rPr>
                <w:sz w:val="22"/>
                <w:szCs w:val="22"/>
              </w:rPr>
              <w:t>V § 26 ods. 1 sa vypúšťa písmeno e).</w:t>
            </w:r>
          </w:p>
          <w:p w14:paraId="770D7500" w14:textId="04A1C456" w:rsidR="00357CEC" w:rsidRPr="001300A9" w:rsidRDefault="0036390A" w:rsidP="0036390A">
            <w:pPr>
              <w:pStyle w:val="Default"/>
              <w:rPr>
                <w:sz w:val="22"/>
                <w:szCs w:val="22"/>
              </w:rPr>
            </w:pPr>
            <w:r w:rsidRPr="0036390A">
              <w:rPr>
                <w:sz w:val="22"/>
                <w:szCs w:val="22"/>
              </w:rPr>
              <w:t>Doterajšie písmená f) až w) sa označujú ako písmená e) až v).</w:t>
            </w:r>
            <w:r w:rsidR="008703B8" w:rsidRPr="001300A9">
              <w:rPr>
                <w:sz w:val="22"/>
                <w:szCs w:val="22"/>
              </w:rPr>
              <w:t>V § 26 ods. 1 písm. e) sa slová „28. februára“ nahrádzajú slovami „30. júna“.</w:t>
            </w:r>
          </w:p>
          <w:p w14:paraId="704946DF" w14:textId="77777777" w:rsidR="0036390A" w:rsidRPr="0036390A" w:rsidRDefault="0036390A" w:rsidP="0036390A">
            <w:pPr>
              <w:pStyle w:val="Default"/>
              <w:rPr>
                <w:sz w:val="22"/>
                <w:szCs w:val="22"/>
              </w:rPr>
            </w:pPr>
            <w:r w:rsidRPr="0036390A">
              <w:rPr>
                <w:sz w:val="22"/>
                <w:szCs w:val="22"/>
              </w:rPr>
              <w:t xml:space="preserve">V § 26 ods. 1 sa vypúšťa písmeno g). </w:t>
            </w:r>
          </w:p>
          <w:p w14:paraId="2E19B8CE" w14:textId="58BC9F50" w:rsidR="008703B8" w:rsidRPr="001300A9" w:rsidRDefault="0036390A" w:rsidP="0036390A">
            <w:pPr>
              <w:pStyle w:val="Default"/>
              <w:rPr>
                <w:sz w:val="22"/>
                <w:szCs w:val="22"/>
              </w:rPr>
            </w:pPr>
            <w:r w:rsidRPr="0036390A">
              <w:rPr>
                <w:sz w:val="22"/>
                <w:szCs w:val="22"/>
              </w:rPr>
              <w:t>Doterajšie písmená  h) až v) sa označujú ako písmená g) až u).</w:t>
            </w:r>
            <w:r>
              <w:rPr>
                <w:sz w:val="22"/>
                <w:szCs w:val="22"/>
              </w:rPr>
              <w:t xml:space="preserve"> </w:t>
            </w:r>
            <w:r w:rsidR="008703B8" w:rsidRPr="001300A9">
              <w:rPr>
                <w:sz w:val="22"/>
                <w:szCs w:val="22"/>
              </w:rPr>
              <w:t>V § 26 ods. 1 písm. g) sa slová „28. februára.“ nahrádzajú slovami „30. júna,“ a vypúšťajú sa slová „alebo § 15“.</w:t>
            </w:r>
          </w:p>
        </w:tc>
        <w:tc>
          <w:tcPr>
            <w:tcW w:w="567" w:type="dxa"/>
          </w:tcPr>
          <w:p w14:paraId="2BD38284" w14:textId="4090435E" w:rsidR="00357CEC" w:rsidRPr="001300A9" w:rsidRDefault="008703B8" w:rsidP="00357CEC">
            <w:pPr>
              <w:pStyle w:val="Default"/>
              <w:rPr>
                <w:sz w:val="22"/>
                <w:szCs w:val="22"/>
              </w:rPr>
            </w:pPr>
            <w:r w:rsidRPr="001300A9">
              <w:rPr>
                <w:sz w:val="22"/>
                <w:szCs w:val="22"/>
              </w:rPr>
              <w:t>Ú</w:t>
            </w:r>
          </w:p>
        </w:tc>
        <w:tc>
          <w:tcPr>
            <w:tcW w:w="1276" w:type="dxa"/>
          </w:tcPr>
          <w:p w14:paraId="6418D8EA" w14:textId="77777777" w:rsidR="0036390A" w:rsidRDefault="0036390A" w:rsidP="00357CEC">
            <w:pPr>
              <w:pStyle w:val="Default"/>
              <w:rPr>
                <w:sz w:val="22"/>
                <w:szCs w:val="22"/>
              </w:rPr>
            </w:pPr>
            <w:r>
              <w:rPr>
                <w:sz w:val="22"/>
                <w:szCs w:val="22"/>
              </w:rPr>
              <w:t>§ 26</w:t>
            </w:r>
          </w:p>
          <w:p w14:paraId="6D96FBA0" w14:textId="77777777" w:rsidR="00357CEC" w:rsidRDefault="0036390A" w:rsidP="00357CEC">
            <w:pPr>
              <w:pStyle w:val="Default"/>
              <w:rPr>
                <w:sz w:val="22"/>
                <w:szCs w:val="22"/>
              </w:rPr>
            </w:pPr>
            <w:r>
              <w:rPr>
                <w:sz w:val="22"/>
                <w:szCs w:val="22"/>
              </w:rPr>
              <w:t>(1) Ministerstvo</w:t>
            </w:r>
          </w:p>
          <w:p w14:paraId="0E82071A" w14:textId="77777777" w:rsidR="0036390A" w:rsidRDefault="0036390A" w:rsidP="00357CEC">
            <w:pPr>
              <w:pStyle w:val="Default"/>
              <w:rPr>
                <w:sz w:val="22"/>
                <w:szCs w:val="22"/>
              </w:rPr>
            </w:pPr>
            <w:r w:rsidRPr="0036390A">
              <w:rPr>
                <w:sz w:val="22"/>
                <w:szCs w:val="22"/>
              </w:rPr>
              <w:t xml:space="preserve">e) oznamuje každoročne do 30. júna vnútroštátnemu správcovi množstvo kvót, ktoré má byť bezodplatne pridelené, pre  prevádzkovateľov  na  základe  údajov  podľa  § 21  </w:t>
            </w:r>
            <w:r w:rsidRPr="0036390A">
              <w:rPr>
                <w:sz w:val="22"/>
                <w:szCs w:val="22"/>
              </w:rPr>
              <w:lastRenderedPageBreak/>
              <w:t>ods. 4  písm.  c), okrem prevádzok, ktoré podliehajú oznámeniu Komisii podľa osobitného predpisu,9)</w:t>
            </w:r>
          </w:p>
          <w:p w14:paraId="6C42C6F6" w14:textId="2525F88D" w:rsidR="0036390A" w:rsidRPr="001300A9" w:rsidRDefault="0036390A" w:rsidP="00357CEC">
            <w:pPr>
              <w:pStyle w:val="Default"/>
              <w:rPr>
                <w:sz w:val="22"/>
                <w:szCs w:val="22"/>
              </w:rPr>
            </w:pPr>
            <w:r w:rsidRPr="0036390A">
              <w:rPr>
                <w:sz w:val="22"/>
                <w:szCs w:val="22"/>
              </w:rPr>
              <w:t>g) oznamuje vnútroštátnemu  správcovi  množstvo  bezodplatne  pridelených  kvót  pre prevádzkovateľov lietadi</w:t>
            </w:r>
            <w:r w:rsidR="000866EA">
              <w:rPr>
                <w:sz w:val="22"/>
                <w:szCs w:val="22"/>
              </w:rPr>
              <w:t>el na základe § 11</w:t>
            </w:r>
            <w:r w:rsidRPr="0036390A">
              <w:rPr>
                <w:sz w:val="22"/>
                <w:szCs w:val="22"/>
              </w:rPr>
              <w:t>, ktoré má byť pridelené každoročne do 30. júna,</w:t>
            </w:r>
          </w:p>
        </w:tc>
        <w:tc>
          <w:tcPr>
            <w:tcW w:w="850" w:type="dxa"/>
          </w:tcPr>
          <w:p w14:paraId="58D7B05F" w14:textId="2F6D0262" w:rsidR="00357CEC" w:rsidRPr="001300A9" w:rsidRDefault="008703B8" w:rsidP="00357CEC">
            <w:pPr>
              <w:pStyle w:val="Default"/>
              <w:rPr>
                <w:sz w:val="22"/>
                <w:szCs w:val="22"/>
              </w:rPr>
            </w:pPr>
            <w:r w:rsidRPr="001300A9">
              <w:rPr>
                <w:sz w:val="22"/>
                <w:szCs w:val="22"/>
              </w:rPr>
              <w:lastRenderedPageBreak/>
              <w:t>GP - N</w:t>
            </w:r>
          </w:p>
        </w:tc>
        <w:tc>
          <w:tcPr>
            <w:tcW w:w="815" w:type="dxa"/>
          </w:tcPr>
          <w:p w14:paraId="659600A7" w14:textId="77777777" w:rsidR="00357CEC" w:rsidRPr="001300A9" w:rsidRDefault="00357CEC" w:rsidP="00357CEC">
            <w:pPr>
              <w:pStyle w:val="Default"/>
              <w:rPr>
                <w:sz w:val="22"/>
                <w:szCs w:val="22"/>
              </w:rPr>
            </w:pPr>
          </w:p>
        </w:tc>
      </w:tr>
      <w:tr w:rsidR="00DD6EDC" w:rsidRPr="001300A9" w14:paraId="3953CA02" w14:textId="77777777" w:rsidTr="360410BC">
        <w:tc>
          <w:tcPr>
            <w:tcW w:w="562" w:type="dxa"/>
          </w:tcPr>
          <w:p w14:paraId="1D8E8BDA" w14:textId="77777777" w:rsidR="00357CEC" w:rsidRPr="001300A9" w:rsidRDefault="00357CEC" w:rsidP="00357CEC">
            <w:pPr>
              <w:pStyle w:val="Default"/>
              <w:rPr>
                <w:sz w:val="22"/>
                <w:szCs w:val="22"/>
              </w:rPr>
            </w:pPr>
            <w:r w:rsidRPr="001300A9">
              <w:rPr>
                <w:sz w:val="22"/>
                <w:szCs w:val="22"/>
              </w:rPr>
              <w:t>Č: 1</w:t>
            </w:r>
          </w:p>
          <w:p w14:paraId="0097DBF4" w14:textId="77777777" w:rsidR="00357CEC" w:rsidRPr="001300A9" w:rsidRDefault="00357CEC" w:rsidP="00357CEC">
            <w:pPr>
              <w:pStyle w:val="Default"/>
              <w:rPr>
                <w:sz w:val="22"/>
                <w:szCs w:val="22"/>
              </w:rPr>
            </w:pPr>
            <w:r w:rsidRPr="001300A9">
              <w:rPr>
                <w:sz w:val="22"/>
                <w:szCs w:val="22"/>
              </w:rPr>
              <w:t>O: 20</w:t>
            </w:r>
          </w:p>
        </w:tc>
        <w:tc>
          <w:tcPr>
            <w:tcW w:w="4820" w:type="dxa"/>
          </w:tcPr>
          <w:p w14:paraId="5CDDC421" w14:textId="77777777" w:rsidR="00357CEC" w:rsidRPr="001300A9" w:rsidRDefault="00357CEC" w:rsidP="00357CEC">
            <w:pPr>
              <w:pStyle w:val="Default"/>
              <w:rPr>
                <w:sz w:val="22"/>
                <w:szCs w:val="22"/>
              </w:rPr>
            </w:pPr>
            <w:r w:rsidRPr="001300A9">
              <w:rPr>
                <w:sz w:val="22"/>
                <w:szCs w:val="22"/>
              </w:rPr>
              <w:t>Názov kapitoly IV sa nahrádza takto:</w:t>
            </w:r>
          </w:p>
          <w:p w14:paraId="42BA1170" w14:textId="77777777" w:rsidR="00357CEC" w:rsidRPr="001300A9" w:rsidRDefault="00357CEC" w:rsidP="00357CEC">
            <w:pPr>
              <w:pStyle w:val="Default"/>
              <w:rPr>
                <w:sz w:val="22"/>
                <w:szCs w:val="22"/>
              </w:rPr>
            </w:pPr>
            <w:r w:rsidRPr="001300A9">
              <w:rPr>
                <w:sz w:val="22"/>
                <w:szCs w:val="22"/>
              </w:rPr>
              <w:t>„Ustanovenia, ktoré sa vzťahujú na leteckú dopravu, námornú dopravu a stacionárne zariadenia“.</w:t>
            </w:r>
          </w:p>
        </w:tc>
        <w:tc>
          <w:tcPr>
            <w:tcW w:w="567" w:type="dxa"/>
          </w:tcPr>
          <w:p w14:paraId="773BC6C2" w14:textId="77777777" w:rsidR="00357CEC" w:rsidRPr="001300A9" w:rsidRDefault="00357CEC" w:rsidP="00357CEC">
            <w:pPr>
              <w:pStyle w:val="Default"/>
              <w:rPr>
                <w:sz w:val="22"/>
                <w:szCs w:val="22"/>
              </w:rPr>
            </w:pPr>
            <w:proofErr w:type="spellStart"/>
            <w:r w:rsidRPr="001300A9">
              <w:rPr>
                <w:sz w:val="22"/>
                <w:szCs w:val="22"/>
              </w:rPr>
              <w:t>n.a</w:t>
            </w:r>
            <w:proofErr w:type="spellEnd"/>
            <w:r w:rsidRPr="001300A9">
              <w:rPr>
                <w:sz w:val="22"/>
                <w:szCs w:val="22"/>
              </w:rPr>
              <w:t>.</w:t>
            </w:r>
          </w:p>
        </w:tc>
        <w:tc>
          <w:tcPr>
            <w:tcW w:w="283" w:type="dxa"/>
          </w:tcPr>
          <w:p w14:paraId="4B44EED8" w14:textId="77777777" w:rsidR="00357CEC" w:rsidRPr="001300A9" w:rsidRDefault="00357CEC" w:rsidP="00357CEC">
            <w:pPr>
              <w:pStyle w:val="Default"/>
              <w:rPr>
                <w:sz w:val="22"/>
                <w:szCs w:val="22"/>
              </w:rPr>
            </w:pPr>
          </w:p>
        </w:tc>
        <w:tc>
          <w:tcPr>
            <w:tcW w:w="567" w:type="dxa"/>
          </w:tcPr>
          <w:p w14:paraId="2E8BC3BD" w14:textId="77777777" w:rsidR="00357CEC" w:rsidRPr="001300A9" w:rsidRDefault="00357CEC" w:rsidP="00357CEC">
            <w:pPr>
              <w:pStyle w:val="Default"/>
              <w:rPr>
                <w:sz w:val="22"/>
                <w:szCs w:val="22"/>
              </w:rPr>
            </w:pPr>
          </w:p>
        </w:tc>
        <w:tc>
          <w:tcPr>
            <w:tcW w:w="4253" w:type="dxa"/>
          </w:tcPr>
          <w:p w14:paraId="42E0F962" w14:textId="77777777" w:rsidR="00357CEC" w:rsidRPr="001300A9" w:rsidRDefault="00357CEC" w:rsidP="00357CEC">
            <w:pPr>
              <w:pStyle w:val="Default"/>
              <w:rPr>
                <w:sz w:val="22"/>
                <w:szCs w:val="22"/>
              </w:rPr>
            </w:pPr>
          </w:p>
        </w:tc>
        <w:tc>
          <w:tcPr>
            <w:tcW w:w="567" w:type="dxa"/>
          </w:tcPr>
          <w:p w14:paraId="4BCC08A1" w14:textId="77777777" w:rsidR="00357CEC" w:rsidRPr="001300A9" w:rsidRDefault="00357CEC" w:rsidP="00357CEC">
            <w:pPr>
              <w:pStyle w:val="Default"/>
              <w:rPr>
                <w:sz w:val="22"/>
                <w:szCs w:val="22"/>
              </w:rPr>
            </w:pPr>
          </w:p>
        </w:tc>
        <w:tc>
          <w:tcPr>
            <w:tcW w:w="1276" w:type="dxa"/>
          </w:tcPr>
          <w:p w14:paraId="6D73F522" w14:textId="77777777" w:rsidR="00357CEC" w:rsidRPr="001300A9" w:rsidRDefault="00357CEC" w:rsidP="00357CEC">
            <w:pPr>
              <w:pStyle w:val="Default"/>
              <w:rPr>
                <w:sz w:val="22"/>
                <w:szCs w:val="22"/>
              </w:rPr>
            </w:pPr>
          </w:p>
        </w:tc>
        <w:tc>
          <w:tcPr>
            <w:tcW w:w="850" w:type="dxa"/>
          </w:tcPr>
          <w:p w14:paraId="149001BB" w14:textId="77777777" w:rsidR="00357CEC" w:rsidRPr="001300A9" w:rsidRDefault="00357CEC" w:rsidP="00357CEC">
            <w:pPr>
              <w:pStyle w:val="Default"/>
              <w:rPr>
                <w:sz w:val="22"/>
                <w:szCs w:val="22"/>
              </w:rPr>
            </w:pPr>
          </w:p>
        </w:tc>
        <w:tc>
          <w:tcPr>
            <w:tcW w:w="815" w:type="dxa"/>
          </w:tcPr>
          <w:p w14:paraId="739F1775" w14:textId="77777777" w:rsidR="00357CEC" w:rsidRPr="001300A9" w:rsidRDefault="00357CEC" w:rsidP="00357CEC">
            <w:pPr>
              <w:pStyle w:val="Default"/>
              <w:rPr>
                <w:sz w:val="22"/>
                <w:szCs w:val="22"/>
              </w:rPr>
            </w:pPr>
          </w:p>
        </w:tc>
      </w:tr>
      <w:tr w:rsidR="00DD6EDC" w:rsidRPr="001300A9" w14:paraId="6B0EBF63" w14:textId="77777777" w:rsidTr="360410BC">
        <w:tc>
          <w:tcPr>
            <w:tcW w:w="562" w:type="dxa"/>
          </w:tcPr>
          <w:p w14:paraId="5E7974C8" w14:textId="77777777" w:rsidR="00357CEC" w:rsidRPr="001300A9" w:rsidRDefault="00357CEC" w:rsidP="00357CEC">
            <w:pPr>
              <w:pStyle w:val="Default"/>
              <w:rPr>
                <w:sz w:val="22"/>
                <w:szCs w:val="22"/>
              </w:rPr>
            </w:pPr>
            <w:r w:rsidRPr="001300A9">
              <w:rPr>
                <w:sz w:val="22"/>
                <w:szCs w:val="22"/>
              </w:rPr>
              <w:lastRenderedPageBreak/>
              <w:t>Č: 1</w:t>
            </w:r>
          </w:p>
          <w:p w14:paraId="7482167D" w14:textId="77777777" w:rsidR="00357CEC" w:rsidRPr="001300A9" w:rsidRDefault="00357CEC" w:rsidP="00357CEC">
            <w:pPr>
              <w:pStyle w:val="Default"/>
              <w:rPr>
                <w:sz w:val="22"/>
                <w:szCs w:val="22"/>
              </w:rPr>
            </w:pPr>
            <w:r w:rsidRPr="001300A9">
              <w:rPr>
                <w:sz w:val="22"/>
                <w:szCs w:val="22"/>
              </w:rPr>
              <w:t>O: 21</w:t>
            </w:r>
          </w:p>
          <w:p w14:paraId="3DA5A096" w14:textId="77777777" w:rsidR="00357CEC" w:rsidRPr="001300A9" w:rsidRDefault="00357CEC" w:rsidP="00357CEC">
            <w:pPr>
              <w:pStyle w:val="Default"/>
              <w:rPr>
                <w:sz w:val="22"/>
                <w:szCs w:val="22"/>
              </w:rPr>
            </w:pPr>
            <w:r w:rsidRPr="001300A9">
              <w:rPr>
                <w:sz w:val="22"/>
                <w:szCs w:val="22"/>
              </w:rPr>
              <w:t>P: a)</w:t>
            </w:r>
          </w:p>
        </w:tc>
        <w:tc>
          <w:tcPr>
            <w:tcW w:w="4820" w:type="dxa"/>
            <w:shd w:val="clear" w:color="auto" w:fill="auto"/>
          </w:tcPr>
          <w:p w14:paraId="160E78FB" w14:textId="77777777" w:rsidR="00357CEC" w:rsidRPr="001300A9" w:rsidRDefault="00357CEC" w:rsidP="00357CEC">
            <w:pPr>
              <w:pStyle w:val="Default"/>
              <w:rPr>
                <w:sz w:val="22"/>
                <w:szCs w:val="22"/>
              </w:rPr>
            </w:pPr>
            <w:r w:rsidRPr="001300A9">
              <w:rPr>
                <w:sz w:val="22"/>
                <w:szCs w:val="22"/>
              </w:rPr>
              <w:t xml:space="preserve">2. Členské štáty zabezpečia, aby sa kvóty vydané príslušným orgánom iného členského štátu uznávali na účely plnenia povinností </w:t>
            </w:r>
            <w:r w:rsidRPr="00223C49">
              <w:rPr>
                <w:sz w:val="22"/>
                <w:szCs w:val="22"/>
              </w:rPr>
              <w:t>prevádzkovateľa, prevádzkovateľa lietadla alebo lodnej spoločnosti</w:t>
            </w:r>
            <w:r w:rsidRPr="001300A9">
              <w:rPr>
                <w:sz w:val="22"/>
                <w:szCs w:val="22"/>
              </w:rPr>
              <w:t xml:space="preserve"> podľa odseku 3.</w:t>
            </w:r>
          </w:p>
        </w:tc>
        <w:tc>
          <w:tcPr>
            <w:tcW w:w="567" w:type="dxa"/>
            <w:shd w:val="clear" w:color="auto" w:fill="auto"/>
          </w:tcPr>
          <w:p w14:paraId="4443EA88" w14:textId="77777777" w:rsidR="00357CEC" w:rsidRPr="001300A9" w:rsidRDefault="00357CEC" w:rsidP="00357CEC">
            <w:pPr>
              <w:pStyle w:val="Default"/>
              <w:rPr>
                <w:sz w:val="22"/>
                <w:szCs w:val="22"/>
              </w:rPr>
            </w:pPr>
            <w:r w:rsidRPr="001300A9">
              <w:rPr>
                <w:sz w:val="22"/>
                <w:szCs w:val="22"/>
              </w:rPr>
              <w:t>N</w:t>
            </w:r>
          </w:p>
          <w:p w14:paraId="7C8949D4" w14:textId="47A79B8C" w:rsidR="00357CEC" w:rsidRPr="001300A9" w:rsidRDefault="00357CEC" w:rsidP="00357CEC">
            <w:pPr>
              <w:pStyle w:val="Default"/>
              <w:rPr>
                <w:sz w:val="22"/>
                <w:szCs w:val="22"/>
              </w:rPr>
            </w:pPr>
          </w:p>
        </w:tc>
        <w:tc>
          <w:tcPr>
            <w:tcW w:w="283" w:type="dxa"/>
          </w:tcPr>
          <w:p w14:paraId="39E255D5" w14:textId="6755B4C0" w:rsidR="00357CEC" w:rsidRPr="001300A9" w:rsidRDefault="002C79F4" w:rsidP="00357CEC">
            <w:pPr>
              <w:pStyle w:val="Default"/>
              <w:rPr>
                <w:sz w:val="22"/>
                <w:szCs w:val="22"/>
              </w:rPr>
            </w:pPr>
            <w:r>
              <w:rPr>
                <w:sz w:val="22"/>
                <w:szCs w:val="22"/>
              </w:rPr>
              <w:t>NZ</w:t>
            </w:r>
          </w:p>
        </w:tc>
        <w:tc>
          <w:tcPr>
            <w:tcW w:w="567" w:type="dxa"/>
          </w:tcPr>
          <w:p w14:paraId="761C3695" w14:textId="77777777" w:rsidR="009D481F" w:rsidRPr="004B3A4A" w:rsidRDefault="009D481F" w:rsidP="00357CEC">
            <w:pPr>
              <w:pStyle w:val="Default"/>
              <w:rPr>
                <w:sz w:val="22"/>
                <w:szCs w:val="22"/>
              </w:rPr>
            </w:pPr>
            <w:r w:rsidRPr="004B3A4A">
              <w:rPr>
                <w:sz w:val="22"/>
                <w:szCs w:val="22"/>
              </w:rPr>
              <w:t>Č:I§:20</w:t>
            </w:r>
          </w:p>
          <w:p w14:paraId="3B03A41F" w14:textId="1076CC87" w:rsidR="00357CEC" w:rsidRPr="001300A9" w:rsidRDefault="009D481F" w:rsidP="00357CEC">
            <w:pPr>
              <w:pStyle w:val="Default"/>
              <w:rPr>
                <w:sz w:val="22"/>
                <w:szCs w:val="22"/>
              </w:rPr>
            </w:pPr>
            <w:r w:rsidRPr="004B3A4A">
              <w:rPr>
                <w:sz w:val="22"/>
                <w:szCs w:val="22"/>
              </w:rPr>
              <w:t>O:</w:t>
            </w:r>
            <w:r w:rsidR="00EE7BC5" w:rsidRPr="004B3A4A">
              <w:rPr>
                <w:sz w:val="22"/>
                <w:szCs w:val="22"/>
              </w:rPr>
              <w:t>3</w:t>
            </w:r>
          </w:p>
        </w:tc>
        <w:tc>
          <w:tcPr>
            <w:tcW w:w="4253" w:type="dxa"/>
          </w:tcPr>
          <w:p w14:paraId="15BC07A4" w14:textId="168ACE15" w:rsidR="00357CEC" w:rsidRPr="001300A9" w:rsidRDefault="00EE7BC5" w:rsidP="00357CEC">
            <w:pPr>
              <w:pStyle w:val="Default"/>
              <w:rPr>
                <w:sz w:val="22"/>
                <w:szCs w:val="22"/>
              </w:rPr>
            </w:pPr>
            <w:r w:rsidRPr="001300A9">
              <w:rPr>
                <w:sz w:val="22"/>
                <w:szCs w:val="22"/>
              </w:rPr>
              <w:t xml:space="preserve">(3) </w:t>
            </w:r>
            <w:r w:rsidR="001211DA" w:rsidRPr="001211DA">
              <w:rPr>
                <w:sz w:val="22"/>
                <w:szCs w:val="22"/>
              </w:rPr>
              <w:t>Kvóty skleníkových plynov vydané príslušným orgánom iného členského štátu sú rovnocenné s</w:t>
            </w:r>
            <w:r w:rsidR="001211DA" w:rsidRPr="12FF1431">
              <w:rPr>
                <w:sz w:val="22"/>
                <w:szCs w:val="22"/>
              </w:rPr>
              <w:t> </w:t>
            </w:r>
            <w:r w:rsidR="001211DA" w:rsidRPr="001211DA">
              <w:rPr>
                <w:sz w:val="22"/>
                <w:szCs w:val="22"/>
              </w:rPr>
              <w:t>kvótami vydanými ministerstvom a</w:t>
            </w:r>
            <w:r w:rsidR="001211DA" w:rsidRPr="12FF1431">
              <w:rPr>
                <w:sz w:val="22"/>
                <w:szCs w:val="22"/>
              </w:rPr>
              <w:t> </w:t>
            </w:r>
            <w:r w:rsidR="001211DA" w:rsidRPr="001211DA">
              <w:rPr>
                <w:sz w:val="22"/>
                <w:szCs w:val="22"/>
              </w:rPr>
              <w:t>ich držitelia ich môžu použiť na plnenie povinnosti podľa odsekov 7</w:t>
            </w:r>
            <w:r w:rsidR="2846CE06" w:rsidRPr="12FF1431">
              <w:rPr>
                <w:sz w:val="22"/>
                <w:szCs w:val="22"/>
              </w:rPr>
              <w:t>, 8</w:t>
            </w:r>
            <w:r w:rsidR="001211DA" w:rsidRPr="001211DA">
              <w:rPr>
                <w:sz w:val="22"/>
                <w:szCs w:val="22"/>
              </w:rPr>
              <w:t xml:space="preserve"> a </w:t>
            </w:r>
            <w:r w:rsidR="001211DA" w:rsidRPr="12FF1431">
              <w:rPr>
                <w:sz w:val="22"/>
                <w:szCs w:val="22"/>
              </w:rPr>
              <w:t>1</w:t>
            </w:r>
            <w:r w:rsidR="2E27FFEF" w:rsidRPr="12FF1431">
              <w:rPr>
                <w:sz w:val="22"/>
                <w:szCs w:val="22"/>
              </w:rPr>
              <w:t>3</w:t>
            </w:r>
            <w:r w:rsidRPr="001300A9">
              <w:rPr>
                <w:sz w:val="22"/>
                <w:szCs w:val="22"/>
              </w:rPr>
              <w:t>.</w:t>
            </w:r>
          </w:p>
        </w:tc>
        <w:tc>
          <w:tcPr>
            <w:tcW w:w="567" w:type="dxa"/>
          </w:tcPr>
          <w:p w14:paraId="697DD1E7" w14:textId="77814F7F" w:rsidR="00357CEC" w:rsidRPr="001300A9" w:rsidRDefault="001211DA" w:rsidP="00357CEC">
            <w:pPr>
              <w:pStyle w:val="Default"/>
              <w:rPr>
                <w:sz w:val="22"/>
                <w:szCs w:val="22"/>
              </w:rPr>
            </w:pPr>
            <w:r w:rsidRPr="004B3A4A">
              <w:rPr>
                <w:sz w:val="22"/>
                <w:szCs w:val="22"/>
              </w:rPr>
              <w:t>Č</w:t>
            </w:r>
          </w:p>
        </w:tc>
        <w:tc>
          <w:tcPr>
            <w:tcW w:w="1276" w:type="dxa"/>
          </w:tcPr>
          <w:p w14:paraId="1AEA7505" w14:textId="77777777" w:rsidR="00357CEC" w:rsidRPr="001300A9" w:rsidRDefault="00357CEC" w:rsidP="00357CEC">
            <w:pPr>
              <w:pStyle w:val="Default"/>
              <w:rPr>
                <w:sz w:val="22"/>
                <w:szCs w:val="22"/>
              </w:rPr>
            </w:pPr>
          </w:p>
        </w:tc>
        <w:tc>
          <w:tcPr>
            <w:tcW w:w="850" w:type="dxa"/>
          </w:tcPr>
          <w:p w14:paraId="2F97FC16" w14:textId="3F3C00E9" w:rsidR="00357CEC" w:rsidRPr="001300A9" w:rsidRDefault="00EE7BC5" w:rsidP="00357CEC">
            <w:pPr>
              <w:pStyle w:val="Default"/>
              <w:rPr>
                <w:sz w:val="22"/>
                <w:szCs w:val="22"/>
              </w:rPr>
            </w:pPr>
            <w:r w:rsidRPr="001300A9">
              <w:rPr>
                <w:sz w:val="22"/>
                <w:szCs w:val="22"/>
              </w:rPr>
              <w:t>GP - N</w:t>
            </w:r>
          </w:p>
        </w:tc>
        <w:tc>
          <w:tcPr>
            <w:tcW w:w="815" w:type="dxa"/>
          </w:tcPr>
          <w:p w14:paraId="74AEA577" w14:textId="77777777" w:rsidR="00357CEC" w:rsidRPr="001300A9" w:rsidRDefault="00357CEC" w:rsidP="00357CEC">
            <w:pPr>
              <w:pStyle w:val="Default"/>
              <w:rPr>
                <w:sz w:val="22"/>
                <w:szCs w:val="22"/>
              </w:rPr>
            </w:pPr>
          </w:p>
        </w:tc>
      </w:tr>
      <w:tr w:rsidR="00DD6EDC" w:rsidRPr="001300A9" w14:paraId="57C57BCF" w14:textId="77777777" w:rsidTr="360410BC">
        <w:tc>
          <w:tcPr>
            <w:tcW w:w="562" w:type="dxa"/>
          </w:tcPr>
          <w:p w14:paraId="2FD12E3B" w14:textId="77777777" w:rsidR="00357CEC" w:rsidRPr="001300A9" w:rsidRDefault="00357CEC" w:rsidP="00357CEC">
            <w:pPr>
              <w:pStyle w:val="Default"/>
              <w:rPr>
                <w:sz w:val="22"/>
                <w:szCs w:val="22"/>
              </w:rPr>
            </w:pPr>
            <w:r w:rsidRPr="001300A9">
              <w:rPr>
                <w:sz w:val="22"/>
                <w:szCs w:val="22"/>
              </w:rPr>
              <w:t>Č: 1</w:t>
            </w:r>
          </w:p>
          <w:p w14:paraId="06E74B41" w14:textId="77777777" w:rsidR="00357CEC" w:rsidRPr="001300A9" w:rsidRDefault="00357CEC" w:rsidP="00357CEC">
            <w:pPr>
              <w:pStyle w:val="Default"/>
              <w:rPr>
                <w:sz w:val="22"/>
                <w:szCs w:val="22"/>
              </w:rPr>
            </w:pPr>
            <w:r w:rsidRPr="001300A9">
              <w:rPr>
                <w:sz w:val="22"/>
                <w:szCs w:val="22"/>
              </w:rPr>
              <w:t>O: 21</w:t>
            </w:r>
          </w:p>
          <w:p w14:paraId="723EAA77" w14:textId="77777777" w:rsidR="00357CEC" w:rsidRPr="001300A9" w:rsidRDefault="00357CEC" w:rsidP="00357CEC">
            <w:pPr>
              <w:pStyle w:val="Default"/>
              <w:rPr>
                <w:sz w:val="22"/>
                <w:szCs w:val="22"/>
              </w:rPr>
            </w:pPr>
            <w:r w:rsidRPr="001300A9">
              <w:rPr>
                <w:sz w:val="22"/>
                <w:szCs w:val="22"/>
              </w:rPr>
              <w:t>P: b)</w:t>
            </w:r>
          </w:p>
        </w:tc>
        <w:tc>
          <w:tcPr>
            <w:tcW w:w="4820" w:type="dxa"/>
          </w:tcPr>
          <w:p w14:paraId="691E9DB9" w14:textId="77777777" w:rsidR="00357CEC" w:rsidRPr="001300A9" w:rsidRDefault="00357CEC" w:rsidP="00357CEC">
            <w:pPr>
              <w:pStyle w:val="Default"/>
              <w:rPr>
                <w:sz w:val="22"/>
                <w:szCs w:val="22"/>
              </w:rPr>
            </w:pPr>
            <w:r w:rsidRPr="001300A9">
              <w:rPr>
                <w:sz w:val="22"/>
                <w:szCs w:val="22"/>
              </w:rPr>
              <w:t>odsek 2a sa vypúšťa</w:t>
            </w:r>
          </w:p>
        </w:tc>
        <w:tc>
          <w:tcPr>
            <w:tcW w:w="567" w:type="dxa"/>
          </w:tcPr>
          <w:p w14:paraId="5695C435" w14:textId="77777777" w:rsidR="00357CEC" w:rsidRPr="001300A9" w:rsidRDefault="00357CEC" w:rsidP="00357CEC">
            <w:pPr>
              <w:pStyle w:val="Default"/>
              <w:rPr>
                <w:sz w:val="22"/>
                <w:szCs w:val="22"/>
              </w:rPr>
            </w:pPr>
            <w:r w:rsidRPr="001300A9">
              <w:rPr>
                <w:sz w:val="22"/>
                <w:szCs w:val="22"/>
              </w:rPr>
              <w:t>N</w:t>
            </w:r>
          </w:p>
        </w:tc>
        <w:tc>
          <w:tcPr>
            <w:tcW w:w="283" w:type="dxa"/>
          </w:tcPr>
          <w:p w14:paraId="4A9504B6" w14:textId="60E9E5E3" w:rsidR="00357CEC" w:rsidRPr="001300A9" w:rsidRDefault="002C79F4" w:rsidP="00357CEC">
            <w:pPr>
              <w:pStyle w:val="Default"/>
              <w:rPr>
                <w:sz w:val="22"/>
                <w:szCs w:val="22"/>
              </w:rPr>
            </w:pPr>
            <w:r>
              <w:rPr>
                <w:sz w:val="22"/>
                <w:szCs w:val="22"/>
              </w:rPr>
              <w:t>NZ</w:t>
            </w:r>
          </w:p>
        </w:tc>
        <w:tc>
          <w:tcPr>
            <w:tcW w:w="567" w:type="dxa"/>
          </w:tcPr>
          <w:p w14:paraId="1A330EA6" w14:textId="77777777" w:rsidR="00DA3F1C" w:rsidRPr="004B3A4A" w:rsidRDefault="00DA3F1C" w:rsidP="00357CEC">
            <w:pPr>
              <w:pStyle w:val="Default"/>
              <w:rPr>
                <w:sz w:val="22"/>
                <w:szCs w:val="22"/>
              </w:rPr>
            </w:pPr>
            <w:r w:rsidRPr="004B3A4A">
              <w:rPr>
                <w:sz w:val="22"/>
                <w:szCs w:val="22"/>
              </w:rPr>
              <w:t>Č:I</w:t>
            </w:r>
            <w:r w:rsidR="00381966" w:rsidRPr="004B3A4A">
              <w:rPr>
                <w:sz w:val="22"/>
                <w:szCs w:val="22"/>
              </w:rPr>
              <w:t>§</w:t>
            </w:r>
            <w:r w:rsidRPr="004B3A4A">
              <w:rPr>
                <w:sz w:val="22"/>
                <w:szCs w:val="22"/>
              </w:rPr>
              <w:t>:20</w:t>
            </w:r>
          </w:p>
          <w:p w14:paraId="51E2A3B1" w14:textId="42B89C30" w:rsidR="00357CEC" w:rsidRPr="001300A9" w:rsidRDefault="00DA3F1C" w:rsidP="00357CEC">
            <w:pPr>
              <w:pStyle w:val="Default"/>
              <w:rPr>
                <w:sz w:val="22"/>
                <w:szCs w:val="22"/>
              </w:rPr>
            </w:pPr>
            <w:r w:rsidRPr="004B3A4A">
              <w:rPr>
                <w:sz w:val="22"/>
                <w:szCs w:val="22"/>
              </w:rPr>
              <w:t>O:</w:t>
            </w:r>
            <w:r w:rsidR="00381966" w:rsidRPr="004B3A4A">
              <w:rPr>
                <w:sz w:val="22"/>
                <w:szCs w:val="22"/>
              </w:rPr>
              <w:t>7</w:t>
            </w:r>
          </w:p>
        </w:tc>
        <w:tc>
          <w:tcPr>
            <w:tcW w:w="4253" w:type="dxa"/>
          </w:tcPr>
          <w:p w14:paraId="04B6E738" w14:textId="2D0464B3" w:rsidR="001211DA" w:rsidRPr="001211DA" w:rsidRDefault="001211DA" w:rsidP="00332BCF">
            <w:pPr>
              <w:pStyle w:val="Default"/>
              <w:rPr>
                <w:color w:val="auto"/>
                <w:sz w:val="22"/>
                <w:szCs w:val="22"/>
              </w:rPr>
            </w:pPr>
            <w:r w:rsidRPr="4792BE4F">
              <w:rPr>
                <w:color w:val="auto"/>
                <w:sz w:val="22"/>
                <w:szCs w:val="22"/>
              </w:rPr>
              <w:t>V § 20 ods. 7 a 8 sa slovo „apríla“ nahrádza slovom „septembra“</w:t>
            </w:r>
          </w:p>
          <w:p w14:paraId="7EAE9484" w14:textId="7CEC2446" w:rsidR="00260BC4" w:rsidRPr="001300A9" w:rsidRDefault="79BBF508" w:rsidP="00332BCF">
            <w:pPr>
              <w:pStyle w:val="Default"/>
              <w:rPr>
                <w:sz w:val="22"/>
                <w:szCs w:val="22"/>
              </w:rPr>
            </w:pPr>
            <w:r w:rsidRPr="5F673433">
              <w:rPr>
                <w:color w:val="auto"/>
                <w:sz w:val="22"/>
                <w:szCs w:val="22"/>
                <w:vertAlign w:val="superscript"/>
              </w:rPr>
              <w:t>5</w:t>
            </w:r>
            <w:r w:rsidRPr="5F673433">
              <w:rPr>
                <w:color w:val="auto"/>
                <w:sz w:val="22"/>
                <w:szCs w:val="22"/>
              </w:rPr>
              <w:t>) Vykonávacie nariadenie Komisie (EÚ) 2018/2067 z 19. decembra 2018 o overovaní údajov a o akreditácii overovateľov podľa smernice Európskeho parlamentu a Rady 2003/87/ES (Ú. v. EÚ L 334, 31. 12. 2018).</w:t>
            </w:r>
          </w:p>
        </w:tc>
        <w:tc>
          <w:tcPr>
            <w:tcW w:w="567" w:type="dxa"/>
          </w:tcPr>
          <w:p w14:paraId="0A847648" w14:textId="64D025C9" w:rsidR="00357CEC" w:rsidRPr="001300A9" w:rsidRDefault="00381966" w:rsidP="00357CEC">
            <w:pPr>
              <w:pStyle w:val="Default"/>
              <w:rPr>
                <w:sz w:val="22"/>
                <w:szCs w:val="22"/>
              </w:rPr>
            </w:pPr>
            <w:r w:rsidRPr="001300A9">
              <w:rPr>
                <w:sz w:val="22"/>
                <w:szCs w:val="22"/>
              </w:rPr>
              <w:t>Ú</w:t>
            </w:r>
          </w:p>
        </w:tc>
        <w:tc>
          <w:tcPr>
            <w:tcW w:w="1276" w:type="dxa"/>
          </w:tcPr>
          <w:p w14:paraId="16BA520B" w14:textId="3571EFA6" w:rsidR="00357CEC" w:rsidRPr="00410BF7" w:rsidRDefault="77910A51" w:rsidP="5F673433">
            <w:pPr>
              <w:pStyle w:val="Default"/>
              <w:rPr>
                <w:color w:val="auto"/>
                <w:sz w:val="22"/>
                <w:szCs w:val="22"/>
              </w:rPr>
            </w:pPr>
            <w:r w:rsidRPr="5F673433">
              <w:rPr>
                <w:color w:val="auto"/>
                <w:sz w:val="22"/>
                <w:szCs w:val="22"/>
              </w:rPr>
              <w:t>Prevádzkovateľ lietadla odovzdá do 30. septembra kalendárneho roka množstvo kvót, ktoré sa rovná celkovým emisiám z leteckých činností uvedených v prílohe č. 1 tabuľke D, ktoré uskutočnil za predchádzajúci kalendárny rok, a boli overené v súlade s kritériami podľa osobitného predpisu</w:t>
            </w:r>
            <w:r w:rsidRPr="5F673433">
              <w:rPr>
                <w:color w:val="auto"/>
                <w:sz w:val="22"/>
                <w:szCs w:val="22"/>
                <w:vertAlign w:val="superscript"/>
              </w:rPr>
              <w:t>5</w:t>
            </w:r>
            <w:r w:rsidRPr="5F673433">
              <w:rPr>
                <w:color w:val="auto"/>
                <w:sz w:val="22"/>
                <w:szCs w:val="22"/>
              </w:rPr>
              <w:t xml:space="preserve">) a </w:t>
            </w:r>
            <w:r w:rsidRPr="5F673433">
              <w:rPr>
                <w:color w:val="auto"/>
                <w:sz w:val="22"/>
                <w:szCs w:val="22"/>
              </w:rPr>
              <w:lastRenderedPageBreak/>
              <w:t>prílohy č. 3b.</w:t>
            </w:r>
          </w:p>
        </w:tc>
        <w:tc>
          <w:tcPr>
            <w:tcW w:w="850" w:type="dxa"/>
          </w:tcPr>
          <w:p w14:paraId="04EA3815" w14:textId="5A61BBCA" w:rsidR="00357CEC" w:rsidRPr="001300A9" w:rsidRDefault="00381966" w:rsidP="00357CEC">
            <w:pPr>
              <w:pStyle w:val="Default"/>
              <w:rPr>
                <w:sz w:val="22"/>
                <w:szCs w:val="22"/>
              </w:rPr>
            </w:pPr>
            <w:r w:rsidRPr="001300A9">
              <w:rPr>
                <w:sz w:val="22"/>
                <w:szCs w:val="22"/>
              </w:rPr>
              <w:lastRenderedPageBreak/>
              <w:t>GP - N</w:t>
            </w:r>
          </w:p>
        </w:tc>
        <w:tc>
          <w:tcPr>
            <w:tcW w:w="815" w:type="dxa"/>
          </w:tcPr>
          <w:p w14:paraId="28762711" w14:textId="77777777" w:rsidR="00357CEC" w:rsidRPr="001300A9" w:rsidRDefault="00357CEC" w:rsidP="00357CEC">
            <w:pPr>
              <w:pStyle w:val="Default"/>
              <w:rPr>
                <w:sz w:val="22"/>
                <w:szCs w:val="22"/>
              </w:rPr>
            </w:pPr>
          </w:p>
        </w:tc>
      </w:tr>
      <w:tr w:rsidR="00DD6EDC" w:rsidRPr="001300A9" w14:paraId="593D01BF" w14:textId="77777777" w:rsidTr="360410BC">
        <w:tc>
          <w:tcPr>
            <w:tcW w:w="562" w:type="dxa"/>
          </w:tcPr>
          <w:p w14:paraId="4E2B9CB9" w14:textId="77777777" w:rsidR="00357CEC" w:rsidRPr="001300A9" w:rsidRDefault="00357CEC" w:rsidP="00357CEC">
            <w:pPr>
              <w:pStyle w:val="Default"/>
              <w:rPr>
                <w:sz w:val="22"/>
                <w:szCs w:val="22"/>
              </w:rPr>
            </w:pPr>
            <w:r w:rsidRPr="001300A9">
              <w:rPr>
                <w:sz w:val="22"/>
                <w:szCs w:val="22"/>
              </w:rPr>
              <w:t>Č: 1</w:t>
            </w:r>
          </w:p>
          <w:p w14:paraId="7A284DF4" w14:textId="77777777" w:rsidR="00357CEC" w:rsidRPr="001300A9" w:rsidRDefault="00357CEC" w:rsidP="00357CEC">
            <w:pPr>
              <w:pStyle w:val="Default"/>
              <w:rPr>
                <w:sz w:val="22"/>
                <w:szCs w:val="22"/>
              </w:rPr>
            </w:pPr>
            <w:r w:rsidRPr="001300A9">
              <w:rPr>
                <w:sz w:val="22"/>
                <w:szCs w:val="22"/>
              </w:rPr>
              <w:t>O: 21</w:t>
            </w:r>
          </w:p>
          <w:p w14:paraId="7743874B" w14:textId="77777777" w:rsidR="00357CEC" w:rsidRPr="001300A9" w:rsidRDefault="00357CEC" w:rsidP="00357CEC">
            <w:pPr>
              <w:pStyle w:val="Default"/>
              <w:rPr>
                <w:sz w:val="22"/>
                <w:szCs w:val="22"/>
              </w:rPr>
            </w:pPr>
            <w:r w:rsidRPr="001300A9">
              <w:rPr>
                <w:sz w:val="22"/>
                <w:szCs w:val="22"/>
              </w:rPr>
              <w:t>P: c)</w:t>
            </w:r>
          </w:p>
        </w:tc>
        <w:tc>
          <w:tcPr>
            <w:tcW w:w="4820" w:type="dxa"/>
          </w:tcPr>
          <w:p w14:paraId="74AA399C" w14:textId="77777777" w:rsidR="00357CEC" w:rsidRPr="001300A9" w:rsidRDefault="00357CEC" w:rsidP="00357CEC">
            <w:pPr>
              <w:pStyle w:val="Default"/>
              <w:rPr>
                <w:sz w:val="22"/>
                <w:szCs w:val="22"/>
              </w:rPr>
            </w:pPr>
            <w:r w:rsidRPr="001300A9">
              <w:rPr>
                <w:sz w:val="22"/>
                <w:szCs w:val="22"/>
              </w:rPr>
              <w:t xml:space="preserve">3. </w:t>
            </w:r>
            <w:r w:rsidRPr="004B3A4A">
              <w:rPr>
                <w:sz w:val="22"/>
                <w:szCs w:val="22"/>
              </w:rPr>
              <w:t>Členské štáty, riadiace členské štáty a riadiace orgány vo vzťahu k lodnej spoločnosti</w:t>
            </w:r>
            <w:r w:rsidRPr="001300A9">
              <w:rPr>
                <w:sz w:val="22"/>
                <w:szCs w:val="22"/>
              </w:rPr>
              <w:t xml:space="preserve"> zabezpečia, aby do 30. septembra každého roka:</w:t>
            </w:r>
          </w:p>
          <w:p w14:paraId="3E4FB4F9" w14:textId="0041FD0F" w:rsidR="00D82BC4" w:rsidRPr="001300A9" w:rsidRDefault="00357CEC" w:rsidP="00357CEC">
            <w:pPr>
              <w:pStyle w:val="Default"/>
              <w:rPr>
                <w:sz w:val="22"/>
                <w:szCs w:val="22"/>
              </w:rPr>
            </w:pPr>
            <w:r w:rsidRPr="001300A9">
              <w:rPr>
                <w:sz w:val="22"/>
                <w:szCs w:val="22"/>
              </w:rPr>
              <w:t>a) prevádzkovateľ každého zariadenia odovzdal množstvo kvót, ktoré sa rovná celkovým emisiám z daného zariadenia počas predchádzajúceho kalendárneho roka, ktoré sa overili v súlade s článkom 15;</w:t>
            </w:r>
          </w:p>
          <w:p w14:paraId="0E6DE09A" w14:textId="68F1073B" w:rsidR="00D82E61" w:rsidRPr="001300A9" w:rsidRDefault="00357CEC" w:rsidP="00357CEC">
            <w:pPr>
              <w:pStyle w:val="Default"/>
              <w:rPr>
                <w:sz w:val="22"/>
                <w:szCs w:val="22"/>
              </w:rPr>
            </w:pPr>
            <w:r w:rsidRPr="4792BE4F">
              <w:rPr>
                <w:sz w:val="22"/>
                <w:szCs w:val="22"/>
              </w:rPr>
              <w:t>b) každý prevádzkovateľ lietadla odovzdal množstvo kvót, ktoré sa rovná jeho celkovým emisiám počas predchádzajúceho kalendárneho roka, ktoré sa overili v súlade s článkom 15;</w:t>
            </w:r>
          </w:p>
          <w:p w14:paraId="2226BF76" w14:textId="77777777" w:rsidR="00357CEC" w:rsidRPr="001300A9" w:rsidRDefault="00357CEC" w:rsidP="00357CEC">
            <w:pPr>
              <w:pStyle w:val="Default"/>
              <w:rPr>
                <w:sz w:val="22"/>
                <w:szCs w:val="22"/>
              </w:rPr>
            </w:pPr>
            <w:r w:rsidRPr="001300A9">
              <w:rPr>
                <w:sz w:val="22"/>
                <w:szCs w:val="22"/>
              </w:rPr>
              <w:t>c) každá lodná spoločnosť odovzdala množstvo kvót, ktoré sa rovná jej celkovým emisiám počas predchádzajúceho kalendárneho roka, ktoré sa overili v súlade s článkom 3ge.</w:t>
            </w:r>
          </w:p>
          <w:p w14:paraId="2832C6FC" w14:textId="3588D699" w:rsidR="00E7234C" w:rsidRPr="001300A9" w:rsidRDefault="00E7234C" w:rsidP="00357CEC">
            <w:pPr>
              <w:pStyle w:val="Default"/>
              <w:rPr>
                <w:sz w:val="22"/>
                <w:szCs w:val="22"/>
              </w:rPr>
            </w:pPr>
          </w:p>
          <w:p w14:paraId="42D2E96D" w14:textId="77777777" w:rsidR="00E7234C" w:rsidRPr="001300A9" w:rsidRDefault="00E7234C" w:rsidP="00357CEC">
            <w:pPr>
              <w:pStyle w:val="Default"/>
              <w:rPr>
                <w:sz w:val="22"/>
                <w:szCs w:val="22"/>
              </w:rPr>
            </w:pPr>
          </w:p>
          <w:p w14:paraId="4DA605FD" w14:textId="77777777" w:rsidR="00E7234C" w:rsidRPr="001300A9" w:rsidRDefault="00E7234C" w:rsidP="00357CEC">
            <w:pPr>
              <w:pStyle w:val="Default"/>
              <w:rPr>
                <w:sz w:val="22"/>
                <w:szCs w:val="22"/>
              </w:rPr>
            </w:pPr>
          </w:p>
          <w:p w14:paraId="7F84468E" w14:textId="77777777" w:rsidR="00D82E61" w:rsidRDefault="00D82E61" w:rsidP="00357CEC">
            <w:pPr>
              <w:pStyle w:val="Default"/>
              <w:rPr>
                <w:sz w:val="22"/>
                <w:szCs w:val="22"/>
              </w:rPr>
            </w:pPr>
          </w:p>
          <w:p w14:paraId="0ECB8B75" w14:textId="77777777" w:rsidR="00D82E61" w:rsidRDefault="00D82E61" w:rsidP="00357CEC">
            <w:pPr>
              <w:pStyle w:val="Default"/>
              <w:rPr>
                <w:sz w:val="22"/>
                <w:szCs w:val="22"/>
              </w:rPr>
            </w:pPr>
          </w:p>
          <w:p w14:paraId="0E10B650" w14:textId="77777777" w:rsidR="00D82E61" w:rsidRDefault="00D82E61" w:rsidP="00357CEC">
            <w:pPr>
              <w:pStyle w:val="Default"/>
              <w:rPr>
                <w:sz w:val="22"/>
                <w:szCs w:val="22"/>
              </w:rPr>
            </w:pPr>
          </w:p>
          <w:p w14:paraId="46AE0D36" w14:textId="77777777" w:rsidR="00D82E61" w:rsidRDefault="00D82E61" w:rsidP="00357CEC">
            <w:pPr>
              <w:pStyle w:val="Default"/>
              <w:rPr>
                <w:sz w:val="22"/>
                <w:szCs w:val="22"/>
              </w:rPr>
            </w:pPr>
          </w:p>
          <w:p w14:paraId="413C5F98" w14:textId="77777777" w:rsidR="00D82E61" w:rsidRDefault="00D82E61" w:rsidP="00357CEC">
            <w:pPr>
              <w:pStyle w:val="Default"/>
              <w:rPr>
                <w:sz w:val="22"/>
                <w:szCs w:val="22"/>
              </w:rPr>
            </w:pPr>
          </w:p>
          <w:p w14:paraId="6DDD34B2" w14:textId="77777777" w:rsidR="00D82E61" w:rsidRDefault="00D82E61" w:rsidP="00357CEC">
            <w:pPr>
              <w:pStyle w:val="Default"/>
              <w:rPr>
                <w:sz w:val="22"/>
                <w:szCs w:val="22"/>
              </w:rPr>
            </w:pPr>
          </w:p>
          <w:p w14:paraId="1D0F6572" w14:textId="42C9FD44" w:rsidR="00D82E61" w:rsidRDefault="00D82E61" w:rsidP="00357CEC">
            <w:pPr>
              <w:pStyle w:val="Default"/>
              <w:rPr>
                <w:sz w:val="22"/>
                <w:szCs w:val="22"/>
              </w:rPr>
            </w:pPr>
          </w:p>
          <w:p w14:paraId="6CBF15D2" w14:textId="77777777" w:rsidR="00D82E61" w:rsidRDefault="00D82E61" w:rsidP="00357CEC">
            <w:pPr>
              <w:pStyle w:val="Default"/>
              <w:rPr>
                <w:sz w:val="22"/>
                <w:szCs w:val="22"/>
              </w:rPr>
            </w:pPr>
          </w:p>
          <w:p w14:paraId="7E1B72AD" w14:textId="77777777" w:rsidR="00190F49" w:rsidRDefault="00190F49" w:rsidP="00357CEC">
            <w:pPr>
              <w:pStyle w:val="Default"/>
              <w:rPr>
                <w:sz w:val="22"/>
                <w:szCs w:val="22"/>
              </w:rPr>
            </w:pPr>
          </w:p>
          <w:p w14:paraId="6834E390" w14:textId="01824847" w:rsidR="00357CEC" w:rsidRPr="001300A9" w:rsidRDefault="00357CEC" w:rsidP="00357CEC">
            <w:pPr>
              <w:pStyle w:val="Default"/>
              <w:rPr>
                <w:sz w:val="22"/>
                <w:szCs w:val="22"/>
              </w:rPr>
            </w:pPr>
            <w:r w:rsidRPr="001300A9">
              <w:rPr>
                <w:sz w:val="22"/>
                <w:szCs w:val="22"/>
              </w:rPr>
              <w:t xml:space="preserve">Členské štáty, riadiace členské štáty a riadiace orgány vo vzťahu k lodnej spoločnosti zabezpečia, aby sa kvóty odovzdané v súlade s prvým </w:t>
            </w:r>
            <w:proofErr w:type="spellStart"/>
            <w:r w:rsidRPr="001300A9">
              <w:rPr>
                <w:sz w:val="22"/>
                <w:szCs w:val="22"/>
              </w:rPr>
              <w:t>pododsekom</w:t>
            </w:r>
            <w:proofErr w:type="spellEnd"/>
            <w:r w:rsidRPr="001300A9">
              <w:rPr>
                <w:sz w:val="22"/>
                <w:szCs w:val="22"/>
              </w:rPr>
              <w:t xml:space="preserve"> následne zrušili.</w:t>
            </w:r>
          </w:p>
        </w:tc>
        <w:tc>
          <w:tcPr>
            <w:tcW w:w="567" w:type="dxa"/>
          </w:tcPr>
          <w:p w14:paraId="500B072B" w14:textId="77777777" w:rsidR="00357CEC" w:rsidRPr="001300A9" w:rsidRDefault="00357CEC" w:rsidP="00357CEC">
            <w:pPr>
              <w:pStyle w:val="Default"/>
              <w:rPr>
                <w:sz w:val="22"/>
                <w:szCs w:val="22"/>
              </w:rPr>
            </w:pPr>
            <w:r w:rsidRPr="4792BE4F">
              <w:rPr>
                <w:sz w:val="22"/>
                <w:szCs w:val="22"/>
              </w:rPr>
              <w:t>N</w:t>
            </w:r>
          </w:p>
          <w:p w14:paraId="0E79FE6C" w14:textId="1FE68F5D" w:rsidR="4792BE4F" w:rsidRDefault="4792BE4F" w:rsidP="4792BE4F">
            <w:pPr>
              <w:pStyle w:val="Default"/>
              <w:rPr>
                <w:sz w:val="22"/>
                <w:szCs w:val="22"/>
              </w:rPr>
            </w:pPr>
          </w:p>
          <w:p w14:paraId="77081E33" w14:textId="736A3EAA" w:rsidR="4792BE4F" w:rsidRDefault="4792BE4F" w:rsidP="4792BE4F">
            <w:pPr>
              <w:pStyle w:val="Default"/>
              <w:rPr>
                <w:sz w:val="22"/>
                <w:szCs w:val="22"/>
              </w:rPr>
            </w:pPr>
          </w:p>
          <w:p w14:paraId="44933264" w14:textId="6CAB8B4D" w:rsidR="4792BE4F" w:rsidRDefault="4792BE4F" w:rsidP="4792BE4F">
            <w:pPr>
              <w:pStyle w:val="Default"/>
              <w:rPr>
                <w:sz w:val="22"/>
                <w:szCs w:val="22"/>
              </w:rPr>
            </w:pPr>
          </w:p>
          <w:p w14:paraId="2EA002B1" w14:textId="69A808FB" w:rsidR="4792BE4F" w:rsidRDefault="4792BE4F" w:rsidP="4792BE4F">
            <w:pPr>
              <w:pStyle w:val="Default"/>
              <w:rPr>
                <w:sz w:val="22"/>
                <w:szCs w:val="22"/>
              </w:rPr>
            </w:pPr>
          </w:p>
          <w:p w14:paraId="3DB52E00" w14:textId="2380FD25" w:rsidR="4792BE4F" w:rsidRDefault="4792BE4F" w:rsidP="4792BE4F">
            <w:pPr>
              <w:pStyle w:val="Default"/>
              <w:rPr>
                <w:sz w:val="22"/>
                <w:szCs w:val="22"/>
              </w:rPr>
            </w:pPr>
          </w:p>
          <w:p w14:paraId="214EA8E1" w14:textId="08645CB0" w:rsidR="4792BE4F" w:rsidRDefault="4792BE4F" w:rsidP="4792BE4F">
            <w:pPr>
              <w:pStyle w:val="Default"/>
              <w:rPr>
                <w:sz w:val="22"/>
                <w:szCs w:val="22"/>
              </w:rPr>
            </w:pPr>
          </w:p>
          <w:p w14:paraId="4826FD83" w14:textId="50EC489E" w:rsidR="4792BE4F" w:rsidRDefault="4792BE4F" w:rsidP="4792BE4F">
            <w:pPr>
              <w:pStyle w:val="Default"/>
              <w:rPr>
                <w:sz w:val="22"/>
                <w:szCs w:val="22"/>
              </w:rPr>
            </w:pPr>
          </w:p>
          <w:p w14:paraId="16C53220" w14:textId="1DB32BED" w:rsidR="4792BE4F" w:rsidRDefault="4792BE4F" w:rsidP="4792BE4F">
            <w:pPr>
              <w:pStyle w:val="Default"/>
              <w:rPr>
                <w:sz w:val="22"/>
                <w:szCs w:val="22"/>
              </w:rPr>
            </w:pPr>
          </w:p>
          <w:p w14:paraId="48396FA3" w14:textId="03646E2D" w:rsidR="4792BE4F" w:rsidRDefault="4792BE4F" w:rsidP="4792BE4F">
            <w:pPr>
              <w:pStyle w:val="Default"/>
              <w:rPr>
                <w:sz w:val="22"/>
                <w:szCs w:val="22"/>
              </w:rPr>
            </w:pPr>
          </w:p>
          <w:p w14:paraId="7714C943" w14:textId="4B89FABA" w:rsidR="4792BE4F" w:rsidRDefault="4792BE4F" w:rsidP="4792BE4F">
            <w:pPr>
              <w:pStyle w:val="Default"/>
              <w:rPr>
                <w:sz w:val="22"/>
                <w:szCs w:val="22"/>
              </w:rPr>
            </w:pPr>
          </w:p>
          <w:p w14:paraId="0C851968" w14:textId="11D42446" w:rsidR="4792BE4F" w:rsidRDefault="4792BE4F" w:rsidP="4792BE4F">
            <w:pPr>
              <w:pStyle w:val="Default"/>
              <w:rPr>
                <w:sz w:val="22"/>
                <w:szCs w:val="22"/>
              </w:rPr>
            </w:pPr>
          </w:p>
          <w:p w14:paraId="05890DDC" w14:textId="7394DD23" w:rsidR="00357CEC" w:rsidRPr="001300A9" w:rsidRDefault="1D935789" w:rsidP="00357CEC">
            <w:pPr>
              <w:pStyle w:val="Default"/>
              <w:rPr>
                <w:sz w:val="22"/>
                <w:szCs w:val="22"/>
              </w:rPr>
            </w:pPr>
            <w:r w:rsidRPr="4792BE4F">
              <w:rPr>
                <w:sz w:val="22"/>
                <w:szCs w:val="22"/>
              </w:rPr>
              <w:t>N</w:t>
            </w:r>
          </w:p>
          <w:p w14:paraId="7D0A060F" w14:textId="77777777" w:rsidR="00357CEC" w:rsidRPr="001300A9" w:rsidRDefault="00357CEC" w:rsidP="00357CEC">
            <w:pPr>
              <w:pStyle w:val="Default"/>
              <w:rPr>
                <w:sz w:val="22"/>
                <w:szCs w:val="22"/>
              </w:rPr>
            </w:pPr>
          </w:p>
          <w:p w14:paraId="2621F775" w14:textId="06843F71" w:rsidR="00357CEC" w:rsidRPr="001300A9" w:rsidRDefault="00357CEC" w:rsidP="00357CEC">
            <w:pPr>
              <w:pStyle w:val="Default"/>
              <w:rPr>
                <w:sz w:val="22"/>
                <w:szCs w:val="22"/>
              </w:rPr>
            </w:pPr>
          </w:p>
        </w:tc>
        <w:tc>
          <w:tcPr>
            <w:tcW w:w="283" w:type="dxa"/>
          </w:tcPr>
          <w:p w14:paraId="23219B74" w14:textId="5F1FB537" w:rsidR="00DA3F1C" w:rsidRDefault="4020AB01" w:rsidP="00357CEC">
            <w:pPr>
              <w:pStyle w:val="Default"/>
              <w:rPr>
                <w:sz w:val="22"/>
                <w:szCs w:val="22"/>
              </w:rPr>
            </w:pPr>
            <w:r w:rsidRPr="5F673433">
              <w:rPr>
                <w:sz w:val="22"/>
                <w:szCs w:val="22"/>
              </w:rPr>
              <w:t>NZ</w:t>
            </w:r>
          </w:p>
          <w:p w14:paraId="29F2522D" w14:textId="1DDBFDA5" w:rsidR="5F673433" w:rsidRDefault="5F673433" w:rsidP="5F673433">
            <w:pPr>
              <w:pStyle w:val="Default"/>
              <w:rPr>
                <w:sz w:val="22"/>
                <w:szCs w:val="22"/>
              </w:rPr>
            </w:pPr>
          </w:p>
          <w:p w14:paraId="79157B22" w14:textId="77777777" w:rsidR="00DA3F1C" w:rsidRDefault="00DA3F1C" w:rsidP="00357CEC">
            <w:pPr>
              <w:pStyle w:val="Default"/>
              <w:rPr>
                <w:sz w:val="22"/>
                <w:szCs w:val="22"/>
              </w:rPr>
            </w:pPr>
          </w:p>
          <w:p w14:paraId="529288AD" w14:textId="77777777" w:rsidR="00DA3F1C" w:rsidRDefault="00DA3F1C" w:rsidP="00357CEC">
            <w:pPr>
              <w:pStyle w:val="Default"/>
              <w:rPr>
                <w:sz w:val="22"/>
                <w:szCs w:val="22"/>
              </w:rPr>
            </w:pPr>
          </w:p>
          <w:p w14:paraId="347D8E77" w14:textId="77777777" w:rsidR="00DA3F1C" w:rsidRDefault="00DA3F1C" w:rsidP="00357CEC">
            <w:pPr>
              <w:pStyle w:val="Default"/>
              <w:rPr>
                <w:sz w:val="22"/>
                <w:szCs w:val="22"/>
              </w:rPr>
            </w:pPr>
          </w:p>
          <w:p w14:paraId="5BC50A4A" w14:textId="77777777" w:rsidR="00DA3F1C" w:rsidRDefault="00DA3F1C" w:rsidP="00357CEC">
            <w:pPr>
              <w:pStyle w:val="Default"/>
              <w:rPr>
                <w:sz w:val="22"/>
                <w:szCs w:val="22"/>
              </w:rPr>
            </w:pPr>
          </w:p>
          <w:p w14:paraId="7F6E93E6" w14:textId="77777777" w:rsidR="00DA3F1C" w:rsidRDefault="00DA3F1C" w:rsidP="00357CEC">
            <w:pPr>
              <w:pStyle w:val="Default"/>
              <w:rPr>
                <w:sz w:val="22"/>
                <w:szCs w:val="22"/>
              </w:rPr>
            </w:pPr>
          </w:p>
          <w:p w14:paraId="5A3CA10B" w14:textId="09A0B161" w:rsidR="00D82E61" w:rsidRDefault="00D82E61" w:rsidP="00357CEC">
            <w:pPr>
              <w:pStyle w:val="Default"/>
              <w:rPr>
                <w:sz w:val="22"/>
                <w:szCs w:val="22"/>
              </w:rPr>
            </w:pPr>
          </w:p>
          <w:p w14:paraId="6AED2319" w14:textId="0DBCEBAC" w:rsidR="4792BE4F" w:rsidRDefault="4792BE4F" w:rsidP="4792BE4F">
            <w:pPr>
              <w:pStyle w:val="Default"/>
              <w:rPr>
                <w:sz w:val="22"/>
                <w:szCs w:val="22"/>
              </w:rPr>
            </w:pPr>
          </w:p>
          <w:p w14:paraId="022A7E72" w14:textId="55EFF675" w:rsidR="5F673433" w:rsidRDefault="5F673433" w:rsidP="5F673433">
            <w:pPr>
              <w:pStyle w:val="Default"/>
              <w:rPr>
                <w:sz w:val="22"/>
                <w:szCs w:val="22"/>
              </w:rPr>
            </w:pPr>
          </w:p>
          <w:p w14:paraId="42350938" w14:textId="77777777" w:rsidR="00DA3F1C" w:rsidRDefault="00DA3F1C" w:rsidP="00357CEC">
            <w:pPr>
              <w:pStyle w:val="Default"/>
              <w:rPr>
                <w:sz w:val="22"/>
                <w:szCs w:val="22"/>
              </w:rPr>
            </w:pPr>
            <w:r>
              <w:rPr>
                <w:sz w:val="22"/>
                <w:szCs w:val="22"/>
              </w:rPr>
              <w:t>NZ</w:t>
            </w:r>
          </w:p>
          <w:p w14:paraId="69A87ACE" w14:textId="77777777" w:rsidR="00D82E61" w:rsidRDefault="00D82E61" w:rsidP="00357CEC">
            <w:pPr>
              <w:pStyle w:val="Default"/>
              <w:rPr>
                <w:sz w:val="22"/>
                <w:szCs w:val="22"/>
              </w:rPr>
            </w:pPr>
          </w:p>
          <w:p w14:paraId="5672CC58" w14:textId="77777777" w:rsidR="00D82E61" w:rsidRDefault="00D82E61" w:rsidP="00357CEC">
            <w:pPr>
              <w:pStyle w:val="Default"/>
              <w:rPr>
                <w:sz w:val="22"/>
                <w:szCs w:val="22"/>
              </w:rPr>
            </w:pPr>
          </w:p>
          <w:p w14:paraId="270E385B" w14:textId="77777777" w:rsidR="00D82E61" w:rsidRDefault="00D82E61" w:rsidP="00357CEC">
            <w:pPr>
              <w:pStyle w:val="Default"/>
              <w:rPr>
                <w:sz w:val="22"/>
                <w:szCs w:val="22"/>
              </w:rPr>
            </w:pPr>
          </w:p>
          <w:p w14:paraId="220EA630" w14:textId="348AD774" w:rsidR="00B9527B" w:rsidRDefault="00B9527B" w:rsidP="00357CEC">
            <w:pPr>
              <w:pStyle w:val="Default"/>
              <w:rPr>
                <w:sz w:val="22"/>
                <w:szCs w:val="22"/>
              </w:rPr>
            </w:pPr>
          </w:p>
          <w:p w14:paraId="728ABC47" w14:textId="5D6469F9" w:rsidR="00DA3F1C" w:rsidRDefault="00D82E61" w:rsidP="00357CEC">
            <w:pPr>
              <w:pStyle w:val="Default"/>
              <w:rPr>
                <w:sz w:val="22"/>
                <w:szCs w:val="22"/>
              </w:rPr>
            </w:pPr>
            <w:r>
              <w:rPr>
                <w:sz w:val="22"/>
                <w:szCs w:val="22"/>
              </w:rPr>
              <w:t>NZ</w:t>
            </w:r>
          </w:p>
          <w:p w14:paraId="1527D637" w14:textId="77777777" w:rsidR="00DA3F1C" w:rsidRDefault="00DA3F1C" w:rsidP="00357CEC">
            <w:pPr>
              <w:pStyle w:val="Default"/>
              <w:rPr>
                <w:sz w:val="22"/>
                <w:szCs w:val="22"/>
              </w:rPr>
            </w:pPr>
          </w:p>
          <w:p w14:paraId="3C0A1595" w14:textId="77777777" w:rsidR="00DA3F1C" w:rsidRDefault="00DA3F1C" w:rsidP="00357CEC">
            <w:pPr>
              <w:pStyle w:val="Default"/>
              <w:rPr>
                <w:sz w:val="22"/>
                <w:szCs w:val="22"/>
              </w:rPr>
            </w:pPr>
          </w:p>
          <w:p w14:paraId="6FE7B3B4" w14:textId="77777777" w:rsidR="00DA3F1C" w:rsidRDefault="00DA3F1C" w:rsidP="00357CEC">
            <w:pPr>
              <w:pStyle w:val="Default"/>
              <w:rPr>
                <w:sz w:val="22"/>
                <w:szCs w:val="22"/>
              </w:rPr>
            </w:pPr>
          </w:p>
          <w:p w14:paraId="5E64538D" w14:textId="77777777" w:rsidR="00DA3F1C" w:rsidRDefault="00DA3F1C" w:rsidP="00357CEC">
            <w:pPr>
              <w:pStyle w:val="Default"/>
              <w:rPr>
                <w:sz w:val="22"/>
                <w:szCs w:val="22"/>
              </w:rPr>
            </w:pPr>
          </w:p>
          <w:p w14:paraId="0618B7F5" w14:textId="77777777" w:rsidR="00D82E61" w:rsidRDefault="00D82E61" w:rsidP="00357CEC">
            <w:pPr>
              <w:pStyle w:val="Default"/>
              <w:rPr>
                <w:sz w:val="22"/>
                <w:szCs w:val="22"/>
              </w:rPr>
            </w:pPr>
          </w:p>
          <w:p w14:paraId="609CFC27" w14:textId="44C22CA1" w:rsidR="00190F49" w:rsidRDefault="00190F49" w:rsidP="00357CEC">
            <w:pPr>
              <w:pStyle w:val="Default"/>
              <w:rPr>
                <w:sz w:val="22"/>
                <w:szCs w:val="22"/>
              </w:rPr>
            </w:pPr>
          </w:p>
          <w:p w14:paraId="001F0C43" w14:textId="632D6C34" w:rsidR="00DA3F1C" w:rsidRPr="001300A9" w:rsidRDefault="00DA3F1C" w:rsidP="00357CEC">
            <w:pPr>
              <w:pStyle w:val="Default"/>
              <w:rPr>
                <w:sz w:val="22"/>
                <w:szCs w:val="22"/>
              </w:rPr>
            </w:pPr>
            <w:r>
              <w:rPr>
                <w:sz w:val="22"/>
                <w:szCs w:val="22"/>
              </w:rPr>
              <w:t>NZ</w:t>
            </w:r>
          </w:p>
        </w:tc>
        <w:tc>
          <w:tcPr>
            <w:tcW w:w="567" w:type="dxa"/>
          </w:tcPr>
          <w:p w14:paraId="2A47351C" w14:textId="77777777" w:rsidR="00DA3F1C" w:rsidRPr="004B3A4A" w:rsidRDefault="00DA3F1C" w:rsidP="00A8324C">
            <w:pPr>
              <w:pStyle w:val="Default"/>
              <w:rPr>
                <w:sz w:val="22"/>
                <w:szCs w:val="22"/>
              </w:rPr>
            </w:pPr>
            <w:r w:rsidRPr="004B3A4A">
              <w:rPr>
                <w:sz w:val="22"/>
                <w:szCs w:val="22"/>
              </w:rPr>
              <w:t>Č:I§:20</w:t>
            </w:r>
          </w:p>
          <w:p w14:paraId="701C1060" w14:textId="2AE2C8B5" w:rsidR="00A8324C" w:rsidRPr="001300A9" w:rsidRDefault="00DA3F1C" w:rsidP="00A8324C">
            <w:pPr>
              <w:pStyle w:val="Default"/>
              <w:rPr>
                <w:sz w:val="22"/>
                <w:szCs w:val="22"/>
              </w:rPr>
            </w:pPr>
            <w:r w:rsidRPr="4792BE4F">
              <w:rPr>
                <w:sz w:val="22"/>
                <w:szCs w:val="22"/>
              </w:rPr>
              <w:t>O:</w:t>
            </w:r>
            <w:r w:rsidR="39F4CB0D" w:rsidRPr="4792BE4F">
              <w:rPr>
                <w:sz w:val="22"/>
                <w:szCs w:val="22"/>
              </w:rPr>
              <w:t xml:space="preserve">7 a </w:t>
            </w:r>
            <w:r w:rsidR="00A8324C" w:rsidRPr="4792BE4F">
              <w:rPr>
                <w:sz w:val="22"/>
                <w:szCs w:val="22"/>
              </w:rPr>
              <w:t>8</w:t>
            </w:r>
          </w:p>
          <w:p w14:paraId="0D503680" w14:textId="10B628B9" w:rsidR="00A8324C" w:rsidRPr="001300A9" w:rsidRDefault="00A8324C" w:rsidP="00A8324C">
            <w:pPr>
              <w:pStyle w:val="Default"/>
              <w:rPr>
                <w:sz w:val="22"/>
                <w:szCs w:val="22"/>
              </w:rPr>
            </w:pPr>
          </w:p>
          <w:p w14:paraId="39455B69" w14:textId="77777777" w:rsidR="001B0A76" w:rsidRDefault="001B0A76" w:rsidP="00A8324C">
            <w:pPr>
              <w:pStyle w:val="Default"/>
              <w:rPr>
                <w:sz w:val="22"/>
                <w:szCs w:val="22"/>
              </w:rPr>
            </w:pPr>
          </w:p>
          <w:p w14:paraId="425EF457" w14:textId="77777777" w:rsidR="001B0A76" w:rsidRDefault="001B0A76" w:rsidP="00A8324C">
            <w:pPr>
              <w:pStyle w:val="Default"/>
              <w:rPr>
                <w:sz w:val="22"/>
                <w:szCs w:val="22"/>
              </w:rPr>
            </w:pPr>
          </w:p>
          <w:p w14:paraId="0F366316" w14:textId="77777777" w:rsidR="001B0A76" w:rsidRDefault="001B0A76" w:rsidP="00A8324C">
            <w:pPr>
              <w:pStyle w:val="Default"/>
              <w:rPr>
                <w:sz w:val="22"/>
                <w:szCs w:val="22"/>
              </w:rPr>
            </w:pPr>
          </w:p>
          <w:p w14:paraId="489B4859" w14:textId="1DD5765E" w:rsidR="001B0A76" w:rsidRDefault="001B0A76" w:rsidP="00A8324C">
            <w:pPr>
              <w:pStyle w:val="Default"/>
              <w:rPr>
                <w:sz w:val="22"/>
                <w:szCs w:val="22"/>
              </w:rPr>
            </w:pPr>
          </w:p>
          <w:p w14:paraId="518EB1BE" w14:textId="6354B73B" w:rsidR="00D82E61" w:rsidRDefault="00D82E61" w:rsidP="00A8324C">
            <w:pPr>
              <w:pStyle w:val="Default"/>
              <w:rPr>
                <w:sz w:val="22"/>
                <w:szCs w:val="22"/>
              </w:rPr>
            </w:pPr>
          </w:p>
          <w:p w14:paraId="2B87FB19" w14:textId="779BA38F" w:rsidR="4792BE4F" w:rsidRDefault="4792BE4F" w:rsidP="4792BE4F">
            <w:pPr>
              <w:pStyle w:val="Default"/>
              <w:rPr>
                <w:sz w:val="22"/>
                <w:szCs w:val="22"/>
              </w:rPr>
            </w:pPr>
          </w:p>
          <w:p w14:paraId="43CD17C4" w14:textId="1F0B9BA5" w:rsidR="00A8324C" w:rsidRPr="001300A9" w:rsidRDefault="00DA3F1C" w:rsidP="00A8324C">
            <w:pPr>
              <w:pStyle w:val="Default"/>
              <w:rPr>
                <w:sz w:val="22"/>
                <w:szCs w:val="22"/>
              </w:rPr>
            </w:pPr>
            <w:r w:rsidRPr="006C1C99">
              <w:rPr>
                <w:sz w:val="22"/>
                <w:szCs w:val="22"/>
              </w:rPr>
              <w:t>Č:I§:20 O:</w:t>
            </w:r>
            <w:r w:rsidR="00B84959" w:rsidRPr="006C1C99">
              <w:rPr>
                <w:sz w:val="22"/>
                <w:szCs w:val="22"/>
              </w:rPr>
              <w:t>13</w:t>
            </w:r>
          </w:p>
          <w:p w14:paraId="366E71A5" w14:textId="44063CFB" w:rsidR="00D82E61" w:rsidRDefault="00D82E61" w:rsidP="00A8324C">
            <w:pPr>
              <w:pStyle w:val="Default"/>
              <w:rPr>
                <w:sz w:val="22"/>
                <w:szCs w:val="22"/>
              </w:rPr>
            </w:pPr>
          </w:p>
          <w:p w14:paraId="3E5E4E43" w14:textId="77777777" w:rsidR="00B9527B" w:rsidRDefault="00B9527B" w:rsidP="00A8324C">
            <w:pPr>
              <w:pStyle w:val="Default"/>
              <w:rPr>
                <w:sz w:val="22"/>
                <w:szCs w:val="22"/>
              </w:rPr>
            </w:pPr>
          </w:p>
          <w:p w14:paraId="3B9FE3CF" w14:textId="7B9EC8B5" w:rsidR="00D82E61" w:rsidRPr="006C1C99" w:rsidRDefault="00D82E61" w:rsidP="00A8324C">
            <w:pPr>
              <w:pStyle w:val="Default"/>
              <w:rPr>
                <w:sz w:val="22"/>
                <w:szCs w:val="22"/>
              </w:rPr>
            </w:pPr>
            <w:r w:rsidRPr="4792BE4F">
              <w:rPr>
                <w:sz w:val="22"/>
                <w:szCs w:val="22"/>
              </w:rPr>
              <w:t>Č:I§:21</w:t>
            </w:r>
          </w:p>
          <w:p w14:paraId="78DC93DA" w14:textId="04F7FEE6" w:rsidR="00D82E61" w:rsidRPr="001300A9" w:rsidRDefault="00D82E61" w:rsidP="00A8324C">
            <w:pPr>
              <w:pStyle w:val="Default"/>
              <w:rPr>
                <w:sz w:val="22"/>
                <w:szCs w:val="22"/>
              </w:rPr>
            </w:pPr>
            <w:r w:rsidRPr="4792BE4F">
              <w:rPr>
                <w:sz w:val="22"/>
                <w:szCs w:val="22"/>
              </w:rPr>
              <w:t>O:5P:</w:t>
            </w:r>
            <w:r w:rsidR="2CA30901" w:rsidRPr="4792BE4F">
              <w:rPr>
                <w:sz w:val="22"/>
                <w:szCs w:val="22"/>
              </w:rPr>
              <w:t>b</w:t>
            </w:r>
            <w:r w:rsidR="3847670C" w:rsidRPr="4792BE4F">
              <w:rPr>
                <w:sz w:val="22"/>
                <w:szCs w:val="22"/>
              </w:rPr>
              <w:t>, c</w:t>
            </w:r>
          </w:p>
          <w:p w14:paraId="30E7C029" w14:textId="77777777" w:rsidR="00E7234C" w:rsidRPr="001300A9" w:rsidRDefault="00E7234C" w:rsidP="00357CEC">
            <w:pPr>
              <w:pStyle w:val="Default"/>
              <w:rPr>
                <w:sz w:val="22"/>
                <w:szCs w:val="22"/>
              </w:rPr>
            </w:pPr>
          </w:p>
          <w:p w14:paraId="0045373D" w14:textId="77777777" w:rsidR="00D82E61" w:rsidRDefault="00D82E61" w:rsidP="00357CEC">
            <w:pPr>
              <w:pStyle w:val="Default"/>
              <w:rPr>
                <w:sz w:val="22"/>
                <w:szCs w:val="22"/>
              </w:rPr>
            </w:pPr>
          </w:p>
          <w:p w14:paraId="2F15676C" w14:textId="1FB9589D" w:rsidR="00190F49" w:rsidRDefault="00190F49" w:rsidP="00357CEC">
            <w:pPr>
              <w:pStyle w:val="Default"/>
              <w:rPr>
                <w:sz w:val="22"/>
                <w:szCs w:val="22"/>
              </w:rPr>
            </w:pPr>
          </w:p>
          <w:p w14:paraId="70612409" w14:textId="5511DD41" w:rsidR="00DA3F1C" w:rsidRPr="006C1C99" w:rsidRDefault="00DA3F1C" w:rsidP="00357CEC">
            <w:pPr>
              <w:pStyle w:val="Default"/>
              <w:rPr>
                <w:sz w:val="22"/>
                <w:szCs w:val="22"/>
              </w:rPr>
            </w:pPr>
            <w:r w:rsidRPr="4792BE4F">
              <w:rPr>
                <w:sz w:val="22"/>
                <w:szCs w:val="22"/>
              </w:rPr>
              <w:t>Č:I§:20</w:t>
            </w:r>
          </w:p>
          <w:p w14:paraId="42262821" w14:textId="5C9338AC" w:rsidR="00357CEC" w:rsidRPr="001300A9" w:rsidRDefault="00DA3F1C" w:rsidP="00357CEC">
            <w:pPr>
              <w:pStyle w:val="Default"/>
              <w:rPr>
                <w:sz w:val="22"/>
                <w:szCs w:val="22"/>
              </w:rPr>
            </w:pPr>
            <w:r w:rsidRPr="006C1C99">
              <w:rPr>
                <w:sz w:val="22"/>
                <w:szCs w:val="22"/>
              </w:rPr>
              <w:t>O:</w:t>
            </w:r>
            <w:r w:rsidR="00A8324C" w:rsidRPr="006C1C99">
              <w:rPr>
                <w:sz w:val="22"/>
                <w:szCs w:val="22"/>
              </w:rPr>
              <w:t>4</w:t>
            </w:r>
          </w:p>
        </w:tc>
        <w:tc>
          <w:tcPr>
            <w:tcW w:w="4253" w:type="dxa"/>
          </w:tcPr>
          <w:p w14:paraId="075504C9" w14:textId="41EE28EB" w:rsidR="00E7234C" w:rsidRPr="004B3A4A" w:rsidRDefault="001211DA" w:rsidP="00E7234C">
            <w:pPr>
              <w:pStyle w:val="Default"/>
              <w:rPr>
                <w:sz w:val="22"/>
                <w:szCs w:val="22"/>
              </w:rPr>
            </w:pPr>
            <w:r w:rsidRPr="004B3A4A">
              <w:rPr>
                <w:sz w:val="22"/>
                <w:szCs w:val="22"/>
              </w:rPr>
              <w:t>V § 20 ods. 7 a 8 sa slovo „apríla“ nahrádza slovom „septembra“</w:t>
            </w:r>
          </w:p>
          <w:p w14:paraId="55A2926A" w14:textId="77777777" w:rsidR="00E7234C" w:rsidRPr="004B3A4A" w:rsidRDefault="00E7234C" w:rsidP="00E7234C">
            <w:pPr>
              <w:pStyle w:val="Default"/>
              <w:rPr>
                <w:sz w:val="22"/>
                <w:szCs w:val="22"/>
              </w:rPr>
            </w:pPr>
          </w:p>
          <w:p w14:paraId="41ACDDDD" w14:textId="3C27CC0F" w:rsidR="00E7234C" w:rsidRPr="004B3A4A" w:rsidRDefault="00E7234C" w:rsidP="00E7234C">
            <w:pPr>
              <w:pStyle w:val="Default"/>
              <w:rPr>
                <w:sz w:val="22"/>
                <w:szCs w:val="22"/>
              </w:rPr>
            </w:pPr>
          </w:p>
          <w:p w14:paraId="5C883F6F" w14:textId="77777777" w:rsidR="00B84959" w:rsidRPr="004B3A4A" w:rsidRDefault="00B84959" w:rsidP="00E7234C">
            <w:pPr>
              <w:pStyle w:val="Default"/>
              <w:rPr>
                <w:sz w:val="22"/>
                <w:szCs w:val="22"/>
              </w:rPr>
            </w:pPr>
          </w:p>
          <w:p w14:paraId="6262F8F5" w14:textId="77777777" w:rsidR="006C1C99" w:rsidRDefault="006C1C99" w:rsidP="00E7234C">
            <w:pPr>
              <w:pStyle w:val="Default"/>
              <w:rPr>
                <w:sz w:val="22"/>
                <w:szCs w:val="22"/>
              </w:rPr>
            </w:pPr>
          </w:p>
          <w:p w14:paraId="3FACDE94" w14:textId="77777777" w:rsidR="006C1C99" w:rsidRDefault="006C1C99" w:rsidP="00E7234C">
            <w:pPr>
              <w:pStyle w:val="Default"/>
              <w:rPr>
                <w:sz w:val="22"/>
                <w:szCs w:val="22"/>
              </w:rPr>
            </w:pPr>
          </w:p>
          <w:p w14:paraId="698AF05C" w14:textId="77777777" w:rsidR="006C1C99" w:rsidRDefault="006C1C99" w:rsidP="00E7234C">
            <w:pPr>
              <w:pStyle w:val="Default"/>
              <w:rPr>
                <w:sz w:val="22"/>
                <w:szCs w:val="22"/>
              </w:rPr>
            </w:pPr>
          </w:p>
          <w:p w14:paraId="6BC625C8" w14:textId="77777777" w:rsidR="006C1C99" w:rsidRDefault="006C1C99" w:rsidP="00E7234C">
            <w:pPr>
              <w:pStyle w:val="Default"/>
              <w:rPr>
                <w:sz w:val="22"/>
                <w:szCs w:val="22"/>
              </w:rPr>
            </w:pPr>
          </w:p>
          <w:p w14:paraId="5BD481CF" w14:textId="77777777" w:rsidR="006C1C99" w:rsidRDefault="006C1C99" w:rsidP="00E7234C">
            <w:pPr>
              <w:pStyle w:val="Default"/>
              <w:rPr>
                <w:sz w:val="22"/>
                <w:szCs w:val="22"/>
              </w:rPr>
            </w:pPr>
          </w:p>
          <w:p w14:paraId="692F50D8" w14:textId="7972F529" w:rsidR="4792BE4F" w:rsidRDefault="4792BE4F" w:rsidP="4792BE4F">
            <w:pPr>
              <w:pStyle w:val="Default"/>
              <w:rPr>
                <w:sz w:val="22"/>
                <w:szCs w:val="22"/>
              </w:rPr>
            </w:pPr>
          </w:p>
          <w:p w14:paraId="3BFBDD8A" w14:textId="708FEFCB" w:rsidR="4792BE4F" w:rsidRDefault="4792BE4F" w:rsidP="4792BE4F">
            <w:pPr>
              <w:pStyle w:val="Default"/>
              <w:rPr>
                <w:sz w:val="22"/>
                <w:szCs w:val="22"/>
              </w:rPr>
            </w:pPr>
          </w:p>
          <w:p w14:paraId="5DCC3A9B" w14:textId="399338C7" w:rsidR="00E7234C" w:rsidRPr="004B3A4A" w:rsidRDefault="00E7234C" w:rsidP="00E7234C">
            <w:pPr>
              <w:pStyle w:val="Default"/>
              <w:rPr>
                <w:sz w:val="22"/>
                <w:szCs w:val="22"/>
              </w:rPr>
            </w:pPr>
            <w:r w:rsidRPr="004B3A4A">
              <w:rPr>
                <w:sz w:val="22"/>
                <w:szCs w:val="22"/>
              </w:rPr>
              <w:t>(1</w:t>
            </w:r>
            <w:r w:rsidR="006C1C99">
              <w:rPr>
                <w:sz w:val="22"/>
                <w:szCs w:val="22"/>
              </w:rPr>
              <w:t>3</w:t>
            </w:r>
            <w:r w:rsidRPr="004B3A4A">
              <w:rPr>
                <w:sz w:val="22"/>
                <w:szCs w:val="22"/>
              </w:rPr>
              <w:t xml:space="preserve">) </w:t>
            </w:r>
            <w:r w:rsidR="00744ECB" w:rsidRPr="004B3A4A">
              <w:rPr>
                <w:sz w:val="22"/>
                <w:szCs w:val="22"/>
              </w:rPr>
              <w:t>L</w:t>
            </w:r>
            <w:r w:rsidR="001B0A76" w:rsidRPr="004B3A4A">
              <w:rPr>
                <w:sz w:val="22"/>
                <w:szCs w:val="22"/>
              </w:rPr>
              <w:t>odn</w:t>
            </w:r>
            <w:r w:rsidR="00744ECB" w:rsidRPr="004B3A4A">
              <w:rPr>
                <w:sz w:val="22"/>
                <w:szCs w:val="22"/>
              </w:rPr>
              <w:t>á</w:t>
            </w:r>
            <w:r w:rsidR="001B0A76" w:rsidRPr="004B3A4A">
              <w:rPr>
                <w:sz w:val="22"/>
                <w:szCs w:val="22"/>
              </w:rPr>
              <w:t xml:space="preserve"> spoločnos</w:t>
            </w:r>
            <w:r w:rsidR="00744ECB" w:rsidRPr="004B3A4A">
              <w:rPr>
                <w:sz w:val="22"/>
                <w:szCs w:val="22"/>
              </w:rPr>
              <w:t>ť</w:t>
            </w:r>
            <w:r w:rsidRPr="004B3A4A">
              <w:rPr>
                <w:sz w:val="22"/>
                <w:szCs w:val="22"/>
              </w:rPr>
              <w:t xml:space="preserve"> odovzdá do 30. septembra kalendárneho roka množstvo kvót, ktoré sa rovná celkovým emisiám počas predchádzajúceho kalendárneho roka, ktoré boli overené v súlade s kritériami podľa osobitného predpisu</w:t>
            </w:r>
            <w:r w:rsidRPr="004B3A4A">
              <w:rPr>
                <w:sz w:val="22"/>
                <w:szCs w:val="22"/>
                <w:vertAlign w:val="superscript"/>
              </w:rPr>
              <w:t>12b</w:t>
            </w:r>
            <w:r w:rsidRPr="004B3A4A">
              <w:rPr>
                <w:sz w:val="22"/>
                <w:szCs w:val="22"/>
              </w:rPr>
              <w:t>).</w:t>
            </w:r>
          </w:p>
          <w:p w14:paraId="17C33A7D" w14:textId="77777777" w:rsidR="00E7234C" w:rsidRPr="004B3A4A" w:rsidRDefault="00E7234C" w:rsidP="00E7234C">
            <w:pPr>
              <w:pStyle w:val="Default"/>
              <w:rPr>
                <w:sz w:val="22"/>
                <w:szCs w:val="22"/>
              </w:rPr>
            </w:pPr>
          </w:p>
          <w:p w14:paraId="7EE44481" w14:textId="77777777" w:rsidR="00D82E61" w:rsidRPr="004B3A4A" w:rsidRDefault="00D82E61" w:rsidP="00D82E61">
            <w:pPr>
              <w:pStyle w:val="Default"/>
              <w:rPr>
                <w:sz w:val="22"/>
                <w:szCs w:val="22"/>
              </w:rPr>
            </w:pPr>
            <w:r w:rsidRPr="004B3A4A">
              <w:rPr>
                <w:sz w:val="22"/>
                <w:szCs w:val="22"/>
              </w:rPr>
              <w:t>(5) Prevádzkovateľ lodnej spoločnosti je povinný</w:t>
            </w:r>
          </w:p>
          <w:p w14:paraId="16250D7D" w14:textId="2E53C0EB" w:rsidR="00D82E61" w:rsidRPr="004B3A4A" w:rsidRDefault="00D82E61" w:rsidP="00D82E61">
            <w:pPr>
              <w:pStyle w:val="Default"/>
              <w:rPr>
                <w:sz w:val="22"/>
                <w:szCs w:val="22"/>
              </w:rPr>
            </w:pPr>
            <w:r w:rsidRPr="004B3A4A">
              <w:rPr>
                <w:sz w:val="22"/>
                <w:szCs w:val="22"/>
              </w:rPr>
              <w:t>b) odovzdať kvóty skleníkových plynov podľa § 20 ods. 1</w:t>
            </w:r>
            <w:r w:rsidR="00B84959" w:rsidRPr="004B3A4A">
              <w:rPr>
                <w:sz w:val="22"/>
                <w:szCs w:val="22"/>
              </w:rPr>
              <w:t>3</w:t>
            </w:r>
            <w:r w:rsidRPr="004B3A4A">
              <w:rPr>
                <w:sz w:val="22"/>
                <w:szCs w:val="22"/>
              </w:rPr>
              <w:t>,</w:t>
            </w:r>
          </w:p>
          <w:p w14:paraId="26833B5E" w14:textId="77777777" w:rsidR="00D82E61" w:rsidRPr="004B3A4A" w:rsidRDefault="00D82E61" w:rsidP="00D82E61">
            <w:pPr>
              <w:pStyle w:val="Default"/>
              <w:rPr>
                <w:sz w:val="22"/>
                <w:szCs w:val="22"/>
              </w:rPr>
            </w:pPr>
            <w:r w:rsidRPr="004B3A4A">
              <w:rPr>
                <w:sz w:val="22"/>
                <w:szCs w:val="22"/>
              </w:rPr>
              <w:t>c) plniť povinnosti podľa písmen a) a b) aj v roku nasledujúcom po kalendárnom roku, v ktorom bola lodnej spoločnosti odňatá registrácia.</w:t>
            </w:r>
          </w:p>
          <w:p w14:paraId="3FE5B8D6" w14:textId="42E71CAD" w:rsidR="006C1C99" w:rsidRDefault="006C1C99" w:rsidP="00E7234C">
            <w:pPr>
              <w:pStyle w:val="Default"/>
              <w:rPr>
                <w:sz w:val="22"/>
                <w:szCs w:val="22"/>
              </w:rPr>
            </w:pPr>
          </w:p>
          <w:p w14:paraId="4E2FE18F" w14:textId="6646A99C" w:rsidR="00357CEC" w:rsidRPr="004B3A4A" w:rsidRDefault="00E7234C" w:rsidP="00E7234C">
            <w:pPr>
              <w:pStyle w:val="Default"/>
              <w:rPr>
                <w:sz w:val="22"/>
                <w:szCs w:val="22"/>
              </w:rPr>
            </w:pPr>
            <w:r w:rsidRPr="004B3A4A">
              <w:rPr>
                <w:sz w:val="22"/>
                <w:szCs w:val="22"/>
              </w:rPr>
              <w:t xml:space="preserve">(4) Kvóty skleníkových plynov odovzdané podľa </w:t>
            </w:r>
            <w:r w:rsidR="00B84959" w:rsidRPr="004B3A4A">
              <w:rPr>
                <w:rStyle w:val="normaltextrun"/>
                <w:shd w:val="clear" w:color="auto" w:fill="FFFFFF"/>
              </w:rPr>
              <w:t>21 ods. 1 písm. b), § 21 ods. 2 písm. b) a § 21 ods. 5 písm. b)</w:t>
            </w:r>
            <w:r w:rsidRPr="004B3A4A">
              <w:rPr>
                <w:sz w:val="22"/>
                <w:szCs w:val="22"/>
              </w:rPr>
              <w:t xml:space="preserve"> nesmú byť odovzdané znovu.</w:t>
            </w:r>
          </w:p>
          <w:p w14:paraId="4DBADE82" w14:textId="36D0C3F8" w:rsidR="00744ECB" w:rsidRPr="004B3A4A" w:rsidRDefault="043D1CB6" w:rsidP="00E7234C">
            <w:pPr>
              <w:pStyle w:val="Default"/>
              <w:rPr>
                <w:sz w:val="22"/>
                <w:szCs w:val="22"/>
              </w:rPr>
            </w:pPr>
            <w:r w:rsidRPr="5F673433">
              <w:rPr>
                <w:sz w:val="22"/>
                <w:szCs w:val="22"/>
                <w:vertAlign w:val="superscript"/>
              </w:rPr>
              <w:lastRenderedPageBreak/>
              <w:t>5</w:t>
            </w:r>
            <w:r w:rsidRPr="5F673433">
              <w:rPr>
                <w:sz w:val="22"/>
                <w:szCs w:val="22"/>
              </w:rPr>
              <w:t>) Vykonávacie nariadenie Komisie (EÚ) 2018/2067 z 19. decembra 2018 o overovaní údajov a o akreditácii overovateľov podľa smernice Európskeho parlamentu a Rady 2003/87/ES (Ú. v. EÚ L 334, 31. 12. 2018).</w:t>
            </w:r>
          </w:p>
          <w:p w14:paraId="4CDE3FE6" w14:textId="0EF495C9" w:rsidR="00DA3F1C" w:rsidRPr="004B3A4A" w:rsidRDefault="043D1CB6" w:rsidP="00E7234C">
            <w:pPr>
              <w:pStyle w:val="Default"/>
              <w:rPr>
                <w:sz w:val="22"/>
                <w:szCs w:val="22"/>
              </w:rPr>
            </w:pPr>
            <w:r w:rsidRPr="5F673433">
              <w:rPr>
                <w:sz w:val="22"/>
                <w:szCs w:val="22"/>
                <w:vertAlign w:val="superscript"/>
              </w:rPr>
              <w:t>12b</w:t>
            </w:r>
            <w:r w:rsidRPr="5F673433">
              <w:rPr>
                <w:sz w:val="22"/>
                <w:szCs w:val="22"/>
              </w:rPr>
              <w:t>) Kapitola III nariadenia (EÚ) 2015/757.</w:t>
            </w:r>
          </w:p>
        </w:tc>
        <w:tc>
          <w:tcPr>
            <w:tcW w:w="567" w:type="dxa"/>
          </w:tcPr>
          <w:p w14:paraId="4EB2D48E" w14:textId="7602F4F9" w:rsidR="00EA0E5C" w:rsidRPr="004B3A4A" w:rsidRDefault="00890347" w:rsidP="00357CEC">
            <w:pPr>
              <w:pStyle w:val="Default"/>
              <w:rPr>
                <w:color w:val="auto"/>
                <w:sz w:val="22"/>
                <w:szCs w:val="22"/>
              </w:rPr>
            </w:pPr>
            <w:r w:rsidRPr="00223C49">
              <w:rPr>
                <w:color w:val="auto"/>
                <w:sz w:val="22"/>
                <w:szCs w:val="22"/>
              </w:rPr>
              <w:lastRenderedPageBreak/>
              <w:t>Č</w:t>
            </w:r>
          </w:p>
          <w:p w14:paraId="05D3E713" w14:textId="77777777" w:rsidR="00EA0E5C" w:rsidRPr="001300A9" w:rsidRDefault="00EA0E5C" w:rsidP="00357CEC">
            <w:pPr>
              <w:pStyle w:val="Default"/>
              <w:rPr>
                <w:sz w:val="22"/>
                <w:szCs w:val="22"/>
              </w:rPr>
            </w:pPr>
          </w:p>
          <w:p w14:paraId="1ABCC9B3" w14:textId="77777777" w:rsidR="00EA0E5C" w:rsidRPr="001300A9" w:rsidRDefault="00EA0E5C" w:rsidP="00357CEC">
            <w:pPr>
              <w:pStyle w:val="Default"/>
              <w:rPr>
                <w:sz w:val="22"/>
                <w:szCs w:val="22"/>
              </w:rPr>
            </w:pPr>
          </w:p>
          <w:p w14:paraId="2E6E6979" w14:textId="77777777" w:rsidR="00EA0E5C" w:rsidRPr="001300A9" w:rsidRDefault="00EA0E5C" w:rsidP="00357CEC">
            <w:pPr>
              <w:pStyle w:val="Default"/>
              <w:rPr>
                <w:sz w:val="22"/>
                <w:szCs w:val="22"/>
              </w:rPr>
            </w:pPr>
          </w:p>
          <w:p w14:paraId="5C09B91E" w14:textId="77777777" w:rsidR="00EA0E5C" w:rsidRPr="001300A9" w:rsidRDefault="00EA0E5C" w:rsidP="00357CEC">
            <w:pPr>
              <w:pStyle w:val="Default"/>
              <w:rPr>
                <w:sz w:val="22"/>
                <w:szCs w:val="22"/>
              </w:rPr>
            </w:pPr>
          </w:p>
          <w:p w14:paraId="03F8F502" w14:textId="467BF9EE" w:rsidR="00EA0E5C" w:rsidRPr="001300A9" w:rsidRDefault="00EA0E5C" w:rsidP="00EA0E5C">
            <w:pPr>
              <w:pStyle w:val="Default"/>
              <w:rPr>
                <w:sz w:val="22"/>
                <w:szCs w:val="22"/>
              </w:rPr>
            </w:pPr>
          </w:p>
          <w:p w14:paraId="1579FECC" w14:textId="77777777" w:rsidR="00EA0E5C" w:rsidRPr="001300A9" w:rsidRDefault="00EA0E5C" w:rsidP="00357CEC">
            <w:pPr>
              <w:pStyle w:val="Default"/>
              <w:rPr>
                <w:sz w:val="22"/>
                <w:szCs w:val="22"/>
              </w:rPr>
            </w:pPr>
          </w:p>
          <w:p w14:paraId="53FAC717" w14:textId="77777777" w:rsidR="00EA0E5C" w:rsidRPr="001300A9" w:rsidRDefault="00EA0E5C" w:rsidP="00357CEC">
            <w:pPr>
              <w:pStyle w:val="Default"/>
              <w:rPr>
                <w:sz w:val="22"/>
                <w:szCs w:val="22"/>
              </w:rPr>
            </w:pPr>
          </w:p>
          <w:p w14:paraId="692BD9F5" w14:textId="77777777" w:rsidR="00EA0E5C" w:rsidRPr="001300A9" w:rsidRDefault="00EA0E5C" w:rsidP="00357CEC">
            <w:pPr>
              <w:pStyle w:val="Default"/>
              <w:rPr>
                <w:sz w:val="22"/>
                <w:szCs w:val="22"/>
              </w:rPr>
            </w:pPr>
          </w:p>
          <w:p w14:paraId="325613F3" w14:textId="77777777" w:rsidR="00EA0E5C" w:rsidRPr="001300A9" w:rsidRDefault="00EA0E5C" w:rsidP="00357CEC">
            <w:pPr>
              <w:pStyle w:val="Default"/>
              <w:rPr>
                <w:sz w:val="22"/>
                <w:szCs w:val="22"/>
              </w:rPr>
            </w:pPr>
          </w:p>
          <w:p w14:paraId="0AD8ED81" w14:textId="77777777" w:rsidR="00EA0E5C" w:rsidRPr="001300A9" w:rsidRDefault="00EA0E5C" w:rsidP="00357CEC">
            <w:pPr>
              <w:pStyle w:val="Default"/>
              <w:rPr>
                <w:sz w:val="22"/>
                <w:szCs w:val="22"/>
              </w:rPr>
            </w:pPr>
          </w:p>
          <w:p w14:paraId="36C4866E" w14:textId="77777777" w:rsidR="00EA0E5C" w:rsidRPr="001300A9" w:rsidRDefault="00EA0E5C" w:rsidP="00357CEC">
            <w:pPr>
              <w:pStyle w:val="Default"/>
              <w:rPr>
                <w:sz w:val="22"/>
                <w:szCs w:val="22"/>
              </w:rPr>
            </w:pPr>
          </w:p>
          <w:p w14:paraId="05462E7A" w14:textId="08C9A0A6" w:rsidR="00EA0E5C" w:rsidRPr="001300A9" w:rsidRDefault="00EA0E5C" w:rsidP="00357CEC">
            <w:pPr>
              <w:pStyle w:val="Default"/>
              <w:rPr>
                <w:sz w:val="22"/>
                <w:szCs w:val="22"/>
              </w:rPr>
            </w:pPr>
          </w:p>
        </w:tc>
        <w:tc>
          <w:tcPr>
            <w:tcW w:w="1276" w:type="dxa"/>
          </w:tcPr>
          <w:p w14:paraId="7071C294" w14:textId="77777777" w:rsidR="00357CEC" w:rsidRPr="001300A9" w:rsidRDefault="00357CEC" w:rsidP="00357CEC">
            <w:pPr>
              <w:pStyle w:val="Default"/>
              <w:rPr>
                <w:sz w:val="22"/>
                <w:szCs w:val="22"/>
              </w:rPr>
            </w:pPr>
          </w:p>
        </w:tc>
        <w:tc>
          <w:tcPr>
            <w:tcW w:w="850" w:type="dxa"/>
          </w:tcPr>
          <w:p w14:paraId="574293D0" w14:textId="32FA64AF" w:rsidR="00EA0E5C" w:rsidRPr="001300A9" w:rsidRDefault="003F78A9" w:rsidP="00357CEC">
            <w:pPr>
              <w:pStyle w:val="Default"/>
              <w:rPr>
                <w:sz w:val="22"/>
                <w:szCs w:val="22"/>
              </w:rPr>
            </w:pPr>
            <w:r w:rsidRPr="001300A9">
              <w:rPr>
                <w:sz w:val="22"/>
                <w:szCs w:val="22"/>
              </w:rPr>
              <w:t>GP - N</w:t>
            </w:r>
          </w:p>
        </w:tc>
        <w:tc>
          <w:tcPr>
            <w:tcW w:w="815" w:type="dxa"/>
          </w:tcPr>
          <w:p w14:paraId="302D69B5" w14:textId="77777777" w:rsidR="00357CEC" w:rsidRPr="001300A9" w:rsidRDefault="00357CEC" w:rsidP="00357CEC">
            <w:pPr>
              <w:pStyle w:val="Default"/>
              <w:rPr>
                <w:sz w:val="22"/>
                <w:szCs w:val="22"/>
              </w:rPr>
            </w:pPr>
          </w:p>
        </w:tc>
      </w:tr>
      <w:tr w:rsidR="00DD6EDC" w:rsidRPr="001300A9" w14:paraId="78CC14C8" w14:textId="77777777" w:rsidTr="360410BC">
        <w:tc>
          <w:tcPr>
            <w:tcW w:w="562" w:type="dxa"/>
          </w:tcPr>
          <w:p w14:paraId="1478D0AF" w14:textId="77777777" w:rsidR="00357CEC" w:rsidRPr="001300A9" w:rsidRDefault="00357CEC" w:rsidP="00357CEC">
            <w:pPr>
              <w:pStyle w:val="Default"/>
              <w:rPr>
                <w:sz w:val="22"/>
                <w:szCs w:val="22"/>
              </w:rPr>
            </w:pPr>
            <w:r w:rsidRPr="001300A9">
              <w:rPr>
                <w:sz w:val="22"/>
                <w:szCs w:val="22"/>
              </w:rPr>
              <w:t>Č: 1</w:t>
            </w:r>
          </w:p>
          <w:p w14:paraId="79EA8A4F" w14:textId="77777777" w:rsidR="00357CEC" w:rsidRPr="001300A9" w:rsidRDefault="00357CEC" w:rsidP="00357CEC">
            <w:pPr>
              <w:pStyle w:val="Default"/>
              <w:rPr>
                <w:sz w:val="22"/>
                <w:szCs w:val="22"/>
              </w:rPr>
            </w:pPr>
            <w:r w:rsidRPr="001300A9">
              <w:rPr>
                <w:sz w:val="22"/>
                <w:szCs w:val="22"/>
              </w:rPr>
              <w:t>O: 21</w:t>
            </w:r>
          </w:p>
          <w:p w14:paraId="35C8F681" w14:textId="77777777" w:rsidR="00357CEC" w:rsidRPr="001300A9" w:rsidRDefault="00357CEC" w:rsidP="00357CEC">
            <w:pPr>
              <w:pStyle w:val="Default"/>
              <w:rPr>
                <w:sz w:val="22"/>
                <w:szCs w:val="22"/>
              </w:rPr>
            </w:pPr>
            <w:r w:rsidRPr="001300A9">
              <w:rPr>
                <w:sz w:val="22"/>
                <w:szCs w:val="22"/>
              </w:rPr>
              <w:t>P: d)</w:t>
            </w:r>
          </w:p>
        </w:tc>
        <w:tc>
          <w:tcPr>
            <w:tcW w:w="4820" w:type="dxa"/>
          </w:tcPr>
          <w:p w14:paraId="79A58BCD" w14:textId="77777777" w:rsidR="00357CEC" w:rsidRPr="001300A9" w:rsidRDefault="00357CEC" w:rsidP="00357CEC">
            <w:pPr>
              <w:pStyle w:val="Default"/>
              <w:rPr>
                <w:sz w:val="22"/>
                <w:szCs w:val="22"/>
              </w:rPr>
            </w:pPr>
            <w:r w:rsidRPr="001300A9">
              <w:rPr>
                <w:sz w:val="22"/>
                <w:szCs w:val="22"/>
              </w:rPr>
              <w:t xml:space="preserve">3-e. Odchylne od odseku 3 prvého </w:t>
            </w:r>
            <w:proofErr w:type="spellStart"/>
            <w:r w:rsidRPr="001300A9">
              <w:rPr>
                <w:sz w:val="22"/>
                <w:szCs w:val="22"/>
              </w:rPr>
              <w:t>pododseku</w:t>
            </w:r>
            <w:proofErr w:type="spellEnd"/>
            <w:r w:rsidRPr="001300A9">
              <w:rPr>
                <w:sz w:val="22"/>
                <w:szCs w:val="22"/>
              </w:rPr>
              <w:t xml:space="preserve"> písm. c) môžu lodné spoločnosti odovzdať o 5 % menej kvót ako ich overené emisie vypustené do 31. decembra 2030 z lodí ľadovej triedy, za predpokladu, že takéto lode patria do ľadovej triedy IA alebo IA Super alebo ekvivalentnej ľadovej triedy stanovenej na základe odporúčania HELCOM 25/7.</w:t>
            </w:r>
          </w:p>
          <w:p w14:paraId="5EF1289D" w14:textId="77777777" w:rsidR="00357CEC" w:rsidRPr="001300A9" w:rsidRDefault="00357CEC" w:rsidP="00357CEC">
            <w:pPr>
              <w:pStyle w:val="Default"/>
              <w:rPr>
                <w:sz w:val="22"/>
                <w:szCs w:val="22"/>
              </w:rPr>
            </w:pPr>
          </w:p>
          <w:p w14:paraId="64AFF3A9" w14:textId="77777777" w:rsidR="00357CEC" w:rsidRPr="001300A9" w:rsidRDefault="00357CEC" w:rsidP="00357CEC">
            <w:pPr>
              <w:pStyle w:val="Default"/>
              <w:rPr>
                <w:sz w:val="22"/>
                <w:szCs w:val="22"/>
              </w:rPr>
            </w:pPr>
            <w:r w:rsidRPr="001300A9">
              <w:rPr>
                <w:sz w:val="22"/>
                <w:szCs w:val="22"/>
              </w:rPr>
              <w:t>Ak sa v porovnaní s overenými emisiami odovzdá menej kvót, po stanovení rozdielu medzi overenými emisiami a odovzdanými kvótami za každý rok sa množstvo kvót zodpovedajúce tomuto rozdielu zruší namiesto obchodovania formou aukcie podľa článku 10.</w:t>
            </w:r>
          </w:p>
          <w:p w14:paraId="4D23986C" w14:textId="77777777" w:rsidR="00357CEC" w:rsidRPr="001300A9" w:rsidRDefault="00357CEC" w:rsidP="00357CEC">
            <w:pPr>
              <w:pStyle w:val="Default"/>
              <w:rPr>
                <w:sz w:val="22"/>
                <w:szCs w:val="22"/>
              </w:rPr>
            </w:pPr>
          </w:p>
          <w:p w14:paraId="699B5501" w14:textId="77777777" w:rsidR="00357CEC" w:rsidRPr="001300A9" w:rsidRDefault="00357CEC" w:rsidP="00357CEC">
            <w:pPr>
              <w:pStyle w:val="Default"/>
              <w:rPr>
                <w:sz w:val="22"/>
                <w:szCs w:val="22"/>
              </w:rPr>
            </w:pPr>
            <w:r w:rsidRPr="001300A9">
              <w:rPr>
                <w:sz w:val="22"/>
                <w:szCs w:val="22"/>
              </w:rPr>
              <w:t xml:space="preserve">3-d. Odchylne od odseku 3 prvého </w:t>
            </w:r>
            <w:proofErr w:type="spellStart"/>
            <w:r w:rsidRPr="001300A9">
              <w:rPr>
                <w:sz w:val="22"/>
                <w:szCs w:val="22"/>
              </w:rPr>
              <w:t>pododseku</w:t>
            </w:r>
            <w:proofErr w:type="spellEnd"/>
            <w:r w:rsidRPr="001300A9">
              <w:rPr>
                <w:sz w:val="22"/>
                <w:szCs w:val="22"/>
              </w:rPr>
              <w:t xml:space="preserve"> písm. c) tohto článku a článku 16 Komisia na žiadosť členského štátu prostredníctvom vykonávacieho aktu stanoví, že členské štáty považujú požiadavky stanovené v uvedených ustanoveniach za splnené a neprijmú žiadne opatrenia proti lodným spoločnostiam, pokiaľ ide o emisie vypustené do 31. decembra 2030 z plavieb osobných lodí, ktoré nie sú výletnými loďami, a lodí </w:t>
            </w:r>
            <w:proofErr w:type="spellStart"/>
            <w:r w:rsidRPr="001300A9">
              <w:rPr>
                <w:sz w:val="22"/>
                <w:szCs w:val="22"/>
              </w:rPr>
              <w:t>ro-pax</w:t>
            </w:r>
            <w:proofErr w:type="spellEnd"/>
            <w:r w:rsidRPr="001300A9">
              <w:rPr>
                <w:sz w:val="22"/>
                <w:szCs w:val="22"/>
              </w:rPr>
              <w:t xml:space="preserve"> medzi prístavom na ostrove, ktorý podlieha právomoci tohto žiadajúceho členského štátu bez cestného alebo železničného spojenia s pevninou a s počtom obyvateľov menej než 200 000 osôb s trvalým pobytom podľa posledných najlepších dostupných údajov v roku </w:t>
            </w:r>
            <w:r w:rsidRPr="001300A9">
              <w:rPr>
                <w:sz w:val="22"/>
                <w:szCs w:val="22"/>
              </w:rPr>
              <w:lastRenderedPageBreak/>
              <w:t>2022, a prístavom podliehajúcim právomoci toho istého členského štátu a z činností takých lodí v prístave v súvislosti s takými plavbami.</w:t>
            </w:r>
          </w:p>
          <w:p w14:paraId="0718E52D" w14:textId="77777777" w:rsidR="00357CEC" w:rsidRPr="001300A9" w:rsidRDefault="00357CEC" w:rsidP="00357CEC">
            <w:pPr>
              <w:pStyle w:val="Default"/>
              <w:rPr>
                <w:sz w:val="22"/>
                <w:szCs w:val="22"/>
              </w:rPr>
            </w:pPr>
          </w:p>
          <w:p w14:paraId="611CB2B5" w14:textId="77777777" w:rsidR="00357CEC" w:rsidRPr="001300A9" w:rsidRDefault="00357CEC" w:rsidP="00357CEC">
            <w:pPr>
              <w:pStyle w:val="Default"/>
              <w:rPr>
                <w:sz w:val="22"/>
                <w:szCs w:val="22"/>
              </w:rPr>
            </w:pPr>
            <w:r w:rsidRPr="001300A9">
              <w:rPr>
                <w:sz w:val="22"/>
                <w:szCs w:val="22"/>
              </w:rPr>
              <w:t xml:space="preserve">Komisia uverejní zoznam ostrovov uvedených v prvom </w:t>
            </w:r>
            <w:proofErr w:type="spellStart"/>
            <w:r w:rsidRPr="001300A9">
              <w:rPr>
                <w:sz w:val="22"/>
                <w:szCs w:val="22"/>
              </w:rPr>
              <w:t>pododseku</w:t>
            </w:r>
            <w:proofErr w:type="spellEnd"/>
            <w:r w:rsidRPr="001300A9">
              <w:rPr>
                <w:sz w:val="22"/>
                <w:szCs w:val="22"/>
              </w:rPr>
              <w:t xml:space="preserve"> a dotknutých prístavov a tento zoznam pravidelne aktualizuje.</w:t>
            </w:r>
          </w:p>
          <w:p w14:paraId="2500AEE9" w14:textId="77777777" w:rsidR="00357CEC" w:rsidRPr="001300A9" w:rsidRDefault="00357CEC" w:rsidP="00357CEC">
            <w:pPr>
              <w:pStyle w:val="Default"/>
              <w:rPr>
                <w:sz w:val="22"/>
                <w:szCs w:val="22"/>
              </w:rPr>
            </w:pPr>
          </w:p>
          <w:p w14:paraId="2642DC5D" w14:textId="77777777" w:rsidR="00357CEC" w:rsidRPr="001300A9" w:rsidRDefault="00357CEC" w:rsidP="00357CEC">
            <w:pPr>
              <w:pStyle w:val="Default"/>
              <w:rPr>
                <w:sz w:val="22"/>
                <w:szCs w:val="22"/>
              </w:rPr>
            </w:pPr>
            <w:r w:rsidRPr="001300A9">
              <w:rPr>
                <w:sz w:val="22"/>
                <w:szCs w:val="22"/>
              </w:rPr>
              <w:t xml:space="preserve">3-c. Odchylne od odseku 3 prvého </w:t>
            </w:r>
            <w:proofErr w:type="spellStart"/>
            <w:r w:rsidRPr="001300A9">
              <w:rPr>
                <w:sz w:val="22"/>
                <w:szCs w:val="22"/>
              </w:rPr>
              <w:t>pododseku</w:t>
            </w:r>
            <w:proofErr w:type="spellEnd"/>
            <w:r w:rsidRPr="001300A9">
              <w:rPr>
                <w:sz w:val="22"/>
                <w:szCs w:val="22"/>
              </w:rPr>
              <w:t xml:space="preserve"> písm. c) tohto článku a článku 16 Komisia na spoločnú žiadosť dvoch členských štátov, z ktorých jeden nemá žiadnu pozemnú hranicu s iným členským štátom a druhý členský štát je geograficky najbližší k členskému štátu bez takej pozemnej hranice, prostredníctvom vykonávacieho aktu stanoví, že členské štáty považujú požiadavky stanovené v týchto ustanoveniach za splnené a že neprijmú žiadne opatrenia proti lodným spoločnostiam, pokiaľ ide o emisie vypustené do 31. decembra 2030 z plavieb vykonávaných osobnými loďami alebo loďami </w:t>
            </w:r>
            <w:proofErr w:type="spellStart"/>
            <w:r w:rsidRPr="001300A9">
              <w:rPr>
                <w:sz w:val="22"/>
                <w:szCs w:val="22"/>
              </w:rPr>
              <w:t>ro-pax</w:t>
            </w:r>
            <w:proofErr w:type="spellEnd"/>
            <w:r w:rsidRPr="001300A9">
              <w:rPr>
                <w:sz w:val="22"/>
                <w:szCs w:val="22"/>
              </w:rPr>
              <w:t xml:space="preserve"> v rámci nadnárodnej zmluvy o službách vo verejnom záujme alebo nadnárodného záväzku vyplývajúceho zo služieb vo verejnom záujme, stanovených v spoločnej žiadosti, ktoré spájajú oba členské štáty, a z činností takých lodí v prístave v súvislosti s takými plavbami.</w:t>
            </w:r>
          </w:p>
          <w:p w14:paraId="6E0CACB5" w14:textId="77777777" w:rsidR="00357CEC" w:rsidRPr="001300A9" w:rsidRDefault="00357CEC" w:rsidP="00357CEC">
            <w:pPr>
              <w:pStyle w:val="Default"/>
              <w:rPr>
                <w:sz w:val="22"/>
                <w:szCs w:val="22"/>
              </w:rPr>
            </w:pPr>
          </w:p>
          <w:p w14:paraId="774A7C2F" w14:textId="77777777" w:rsidR="00357CEC" w:rsidRPr="001300A9" w:rsidRDefault="00357CEC" w:rsidP="00357CEC">
            <w:pPr>
              <w:pStyle w:val="Default"/>
              <w:rPr>
                <w:sz w:val="22"/>
                <w:szCs w:val="22"/>
              </w:rPr>
            </w:pPr>
            <w:r w:rsidRPr="001300A9">
              <w:rPr>
                <w:sz w:val="22"/>
                <w:szCs w:val="22"/>
              </w:rPr>
              <w:t xml:space="preserve">3-b. Povinnosť odovzdať kvóty nevzniká v súvislosti s emisiami vypustenými do 31. decembra 2030 z plavieb medzi prístavom nachádzajúcim sa v najvzdialenejšom regióne členského štátu a prístavom nachádzajúcim sa v tom istom členskom štáte vrátane plavieb medzi prístavmi v najvzdialenejších regiónoch a plavieb medzi prístavmi v najvzdialenejších regiónoch toho istého členského štátu a medzi </w:t>
            </w:r>
            <w:r w:rsidRPr="001300A9">
              <w:rPr>
                <w:sz w:val="22"/>
                <w:szCs w:val="22"/>
              </w:rPr>
              <w:lastRenderedPageBreak/>
              <w:t>nimi a z činností takých lodí v prístave v súvislosti s takými plavbami.</w:t>
            </w:r>
          </w:p>
        </w:tc>
        <w:tc>
          <w:tcPr>
            <w:tcW w:w="567" w:type="dxa"/>
          </w:tcPr>
          <w:p w14:paraId="7F8B0E95" w14:textId="39370DFD" w:rsidR="00357CEC" w:rsidRPr="001300A9" w:rsidRDefault="00183491" w:rsidP="00357CEC">
            <w:pPr>
              <w:pStyle w:val="Default"/>
              <w:rPr>
                <w:sz w:val="22"/>
                <w:szCs w:val="22"/>
              </w:rPr>
            </w:pPr>
            <w:proofErr w:type="spellStart"/>
            <w:r>
              <w:rPr>
                <w:sz w:val="22"/>
                <w:szCs w:val="22"/>
              </w:rPr>
              <w:lastRenderedPageBreak/>
              <w:t>n.a</w:t>
            </w:r>
            <w:proofErr w:type="spellEnd"/>
          </w:p>
          <w:p w14:paraId="734D233F" w14:textId="77777777" w:rsidR="00357CEC" w:rsidRPr="001300A9" w:rsidRDefault="00357CEC" w:rsidP="00357CEC">
            <w:pPr>
              <w:pStyle w:val="Default"/>
              <w:rPr>
                <w:sz w:val="22"/>
                <w:szCs w:val="22"/>
              </w:rPr>
            </w:pPr>
          </w:p>
          <w:p w14:paraId="16AA0D83" w14:textId="77777777" w:rsidR="00EE7BC5" w:rsidRPr="001300A9" w:rsidRDefault="00EE7BC5" w:rsidP="00357CEC">
            <w:pPr>
              <w:pStyle w:val="Default"/>
              <w:rPr>
                <w:sz w:val="22"/>
                <w:szCs w:val="22"/>
              </w:rPr>
            </w:pPr>
          </w:p>
          <w:p w14:paraId="4C139926" w14:textId="77777777" w:rsidR="00EE7BC5" w:rsidRPr="001300A9" w:rsidRDefault="00EE7BC5" w:rsidP="00357CEC">
            <w:pPr>
              <w:pStyle w:val="Default"/>
              <w:rPr>
                <w:sz w:val="22"/>
                <w:szCs w:val="22"/>
              </w:rPr>
            </w:pPr>
          </w:p>
          <w:p w14:paraId="0E1DF19F" w14:textId="77777777" w:rsidR="00EE7BC5" w:rsidRPr="001300A9" w:rsidRDefault="00EE7BC5" w:rsidP="00357CEC">
            <w:pPr>
              <w:pStyle w:val="Default"/>
              <w:rPr>
                <w:sz w:val="22"/>
                <w:szCs w:val="22"/>
              </w:rPr>
            </w:pPr>
          </w:p>
          <w:p w14:paraId="651BBF94" w14:textId="77777777" w:rsidR="00EE7BC5" w:rsidRPr="001300A9" w:rsidRDefault="00EE7BC5" w:rsidP="00357CEC">
            <w:pPr>
              <w:pStyle w:val="Default"/>
              <w:rPr>
                <w:sz w:val="22"/>
                <w:szCs w:val="22"/>
              </w:rPr>
            </w:pPr>
          </w:p>
          <w:p w14:paraId="0ABEE1F5" w14:textId="77777777" w:rsidR="00EE7BC5" w:rsidRPr="001300A9" w:rsidRDefault="00EE7BC5" w:rsidP="00357CEC">
            <w:pPr>
              <w:pStyle w:val="Default"/>
              <w:rPr>
                <w:sz w:val="22"/>
                <w:szCs w:val="22"/>
              </w:rPr>
            </w:pPr>
          </w:p>
          <w:p w14:paraId="0CCA6B5C" w14:textId="77777777" w:rsidR="00EE7BC5" w:rsidRPr="001300A9" w:rsidRDefault="00EE7BC5" w:rsidP="00357CEC">
            <w:pPr>
              <w:pStyle w:val="Default"/>
              <w:rPr>
                <w:sz w:val="22"/>
                <w:szCs w:val="22"/>
              </w:rPr>
            </w:pPr>
          </w:p>
          <w:p w14:paraId="09072A9E" w14:textId="22EA94B1" w:rsidR="4792BE4F" w:rsidRDefault="4792BE4F" w:rsidP="4792BE4F">
            <w:pPr>
              <w:pStyle w:val="Default"/>
              <w:rPr>
                <w:sz w:val="22"/>
                <w:szCs w:val="22"/>
              </w:rPr>
            </w:pPr>
          </w:p>
          <w:p w14:paraId="714E1A3A" w14:textId="57EF277A" w:rsidR="00357CEC" w:rsidRPr="001300A9" w:rsidRDefault="00357CEC" w:rsidP="00357CEC">
            <w:pPr>
              <w:pStyle w:val="Default"/>
              <w:rPr>
                <w:sz w:val="22"/>
                <w:szCs w:val="22"/>
              </w:rPr>
            </w:pPr>
            <w:proofErr w:type="spellStart"/>
            <w:r w:rsidRPr="001300A9">
              <w:rPr>
                <w:sz w:val="22"/>
                <w:szCs w:val="22"/>
              </w:rPr>
              <w:t>n.a</w:t>
            </w:r>
            <w:proofErr w:type="spellEnd"/>
            <w:r w:rsidRPr="001300A9">
              <w:rPr>
                <w:sz w:val="22"/>
                <w:szCs w:val="22"/>
              </w:rPr>
              <w:t>.</w:t>
            </w:r>
          </w:p>
          <w:p w14:paraId="5C51041A" w14:textId="77777777" w:rsidR="00357CEC" w:rsidRPr="001300A9" w:rsidRDefault="00357CEC" w:rsidP="00357CEC">
            <w:pPr>
              <w:pStyle w:val="Default"/>
              <w:rPr>
                <w:sz w:val="22"/>
                <w:szCs w:val="22"/>
              </w:rPr>
            </w:pPr>
          </w:p>
          <w:p w14:paraId="2B173BFA" w14:textId="77777777" w:rsidR="00357CEC" w:rsidRPr="001300A9" w:rsidRDefault="00357CEC" w:rsidP="00357CEC">
            <w:pPr>
              <w:pStyle w:val="Default"/>
              <w:rPr>
                <w:sz w:val="22"/>
                <w:szCs w:val="22"/>
              </w:rPr>
            </w:pPr>
          </w:p>
          <w:p w14:paraId="33121901" w14:textId="77777777" w:rsidR="00EE7BC5" w:rsidRPr="001300A9" w:rsidRDefault="00EE7BC5" w:rsidP="00357CEC">
            <w:pPr>
              <w:pStyle w:val="Default"/>
              <w:rPr>
                <w:sz w:val="22"/>
                <w:szCs w:val="22"/>
              </w:rPr>
            </w:pPr>
          </w:p>
          <w:p w14:paraId="775BD5DF" w14:textId="77777777" w:rsidR="00EE7BC5" w:rsidRPr="001300A9" w:rsidRDefault="00EE7BC5" w:rsidP="00357CEC">
            <w:pPr>
              <w:pStyle w:val="Default"/>
              <w:rPr>
                <w:sz w:val="22"/>
                <w:szCs w:val="22"/>
              </w:rPr>
            </w:pPr>
          </w:p>
          <w:p w14:paraId="3D250DA0" w14:textId="43EC7A69" w:rsidR="00EE7BC5" w:rsidRPr="001300A9" w:rsidRDefault="00EE7BC5" w:rsidP="00357CEC">
            <w:pPr>
              <w:pStyle w:val="Default"/>
              <w:rPr>
                <w:sz w:val="22"/>
                <w:szCs w:val="22"/>
              </w:rPr>
            </w:pPr>
          </w:p>
          <w:p w14:paraId="3564BA31" w14:textId="0FF36722" w:rsidR="00357CEC" w:rsidRPr="001300A9" w:rsidRDefault="00183491" w:rsidP="00357CEC">
            <w:pPr>
              <w:pStyle w:val="Default"/>
              <w:rPr>
                <w:sz w:val="22"/>
                <w:szCs w:val="22"/>
              </w:rPr>
            </w:pPr>
            <w:proofErr w:type="spellStart"/>
            <w:r>
              <w:rPr>
                <w:sz w:val="22"/>
                <w:szCs w:val="22"/>
              </w:rPr>
              <w:t>n.a</w:t>
            </w:r>
            <w:proofErr w:type="spellEnd"/>
            <w:r>
              <w:rPr>
                <w:sz w:val="22"/>
                <w:szCs w:val="22"/>
              </w:rPr>
              <w:t>.</w:t>
            </w:r>
          </w:p>
          <w:p w14:paraId="7D719B8B" w14:textId="77777777" w:rsidR="00357CEC" w:rsidRPr="001300A9" w:rsidRDefault="00357CEC" w:rsidP="00357CEC">
            <w:pPr>
              <w:pStyle w:val="Default"/>
              <w:rPr>
                <w:sz w:val="22"/>
                <w:szCs w:val="22"/>
              </w:rPr>
            </w:pPr>
          </w:p>
          <w:p w14:paraId="0A69231A" w14:textId="77777777" w:rsidR="00357CEC" w:rsidRPr="001300A9" w:rsidRDefault="00357CEC" w:rsidP="00357CEC">
            <w:pPr>
              <w:pStyle w:val="Default"/>
              <w:rPr>
                <w:sz w:val="22"/>
                <w:szCs w:val="22"/>
              </w:rPr>
            </w:pPr>
          </w:p>
          <w:p w14:paraId="7E745CCE" w14:textId="77777777" w:rsidR="00357CEC" w:rsidRPr="001300A9" w:rsidRDefault="00357CEC" w:rsidP="00357CEC">
            <w:pPr>
              <w:pStyle w:val="Default"/>
              <w:rPr>
                <w:sz w:val="22"/>
                <w:szCs w:val="22"/>
              </w:rPr>
            </w:pPr>
          </w:p>
          <w:p w14:paraId="51194C29" w14:textId="77777777" w:rsidR="00357CEC" w:rsidRPr="001300A9" w:rsidRDefault="00357CEC" w:rsidP="00357CEC">
            <w:pPr>
              <w:pStyle w:val="Default"/>
              <w:rPr>
                <w:sz w:val="22"/>
                <w:szCs w:val="22"/>
              </w:rPr>
            </w:pPr>
          </w:p>
          <w:p w14:paraId="528BAE84" w14:textId="77777777" w:rsidR="00357CEC" w:rsidRPr="001300A9" w:rsidRDefault="00357CEC" w:rsidP="00357CEC">
            <w:pPr>
              <w:pStyle w:val="Default"/>
              <w:rPr>
                <w:sz w:val="22"/>
                <w:szCs w:val="22"/>
              </w:rPr>
            </w:pPr>
          </w:p>
          <w:p w14:paraId="646C400D" w14:textId="77777777" w:rsidR="00EE7BC5" w:rsidRPr="001300A9" w:rsidRDefault="00EE7BC5" w:rsidP="00357CEC">
            <w:pPr>
              <w:pStyle w:val="Default"/>
              <w:rPr>
                <w:sz w:val="22"/>
                <w:szCs w:val="22"/>
              </w:rPr>
            </w:pPr>
          </w:p>
          <w:p w14:paraId="29C3170D" w14:textId="77777777" w:rsidR="00EE7BC5" w:rsidRPr="001300A9" w:rsidRDefault="00EE7BC5" w:rsidP="00357CEC">
            <w:pPr>
              <w:pStyle w:val="Default"/>
              <w:rPr>
                <w:sz w:val="22"/>
                <w:szCs w:val="22"/>
              </w:rPr>
            </w:pPr>
          </w:p>
          <w:p w14:paraId="190FFDBC" w14:textId="77777777" w:rsidR="00EE7BC5" w:rsidRPr="001300A9" w:rsidRDefault="00EE7BC5" w:rsidP="00357CEC">
            <w:pPr>
              <w:pStyle w:val="Default"/>
              <w:rPr>
                <w:sz w:val="22"/>
                <w:szCs w:val="22"/>
              </w:rPr>
            </w:pPr>
          </w:p>
          <w:p w14:paraId="495A1B41" w14:textId="77777777" w:rsidR="00EE7BC5" w:rsidRPr="001300A9" w:rsidRDefault="00EE7BC5" w:rsidP="00357CEC">
            <w:pPr>
              <w:pStyle w:val="Default"/>
              <w:rPr>
                <w:sz w:val="22"/>
                <w:szCs w:val="22"/>
              </w:rPr>
            </w:pPr>
          </w:p>
          <w:p w14:paraId="11AFE7B1" w14:textId="77777777" w:rsidR="00EE7BC5" w:rsidRPr="001300A9" w:rsidRDefault="00EE7BC5" w:rsidP="00357CEC">
            <w:pPr>
              <w:pStyle w:val="Default"/>
              <w:rPr>
                <w:sz w:val="22"/>
                <w:szCs w:val="22"/>
              </w:rPr>
            </w:pPr>
          </w:p>
          <w:p w14:paraId="663124D3" w14:textId="77777777" w:rsidR="00EE7BC5" w:rsidRPr="001300A9" w:rsidRDefault="00EE7BC5" w:rsidP="00357CEC">
            <w:pPr>
              <w:pStyle w:val="Default"/>
              <w:rPr>
                <w:sz w:val="22"/>
                <w:szCs w:val="22"/>
              </w:rPr>
            </w:pPr>
          </w:p>
          <w:p w14:paraId="74C4C97E" w14:textId="77777777" w:rsidR="00EE7BC5" w:rsidRPr="001300A9" w:rsidRDefault="00EE7BC5" w:rsidP="00357CEC">
            <w:pPr>
              <w:pStyle w:val="Default"/>
              <w:rPr>
                <w:sz w:val="22"/>
                <w:szCs w:val="22"/>
              </w:rPr>
            </w:pPr>
          </w:p>
          <w:p w14:paraId="1F58D377" w14:textId="77777777" w:rsidR="00EE7BC5" w:rsidRPr="001300A9" w:rsidRDefault="00EE7BC5" w:rsidP="00357CEC">
            <w:pPr>
              <w:pStyle w:val="Default"/>
              <w:rPr>
                <w:sz w:val="22"/>
                <w:szCs w:val="22"/>
              </w:rPr>
            </w:pPr>
          </w:p>
          <w:p w14:paraId="1E5AFD3E" w14:textId="77777777" w:rsidR="00EE7BC5" w:rsidRPr="001300A9" w:rsidRDefault="00EE7BC5" w:rsidP="00357CEC">
            <w:pPr>
              <w:pStyle w:val="Default"/>
              <w:rPr>
                <w:sz w:val="22"/>
                <w:szCs w:val="22"/>
              </w:rPr>
            </w:pPr>
          </w:p>
          <w:p w14:paraId="7D7E7F92" w14:textId="77777777" w:rsidR="00EE7BC5" w:rsidRPr="001300A9" w:rsidRDefault="00EE7BC5" w:rsidP="00357CEC">
            <w:pPr>
              <w:pStyle w:val="Default"/>
              <w:rPr>
                <w:sz w:val="22"/>
                <w:szCs w:val="22"/>
              </w:rPr>
            </w:pPr>
          </w:p>
          <w:p w14:paraId="50313C5F" w14:textId="77777777" w:rsidR="00EE7BC5" w:rsidRPr="001300A9" w:rsidRDefault="00EE7BC5" w:rsidP="00357CEC">
            <w:pPr>
              <w:pStyle w:val="Default"/>
              <w:rPr>
                <w:sz w:val="22"/>
                <w:szCs w:val="22"/>
              </w:rPr>
            </w:pPr>
          </w:p>
          <w:p w14:paraId="390506B5" w14:textId="0FCC6F2B" w:rsidR="00183491" w:rsidRDefault="00183491" w:rsidP="00357CEC">
            <w:pPr>
              <w:pStyle w:val="Default"/>
              <w:rPr>
                <w:sz w:val="22"/>
                <w:szCs w:val="22"/>
              </w:rPr>
            </w:pPr>
          </w:p>
          <w:p w14:paraId="53B2CDD3" w14:textId="6E0B0D2A" w:rsidR="00357CEC" w:rsidRPr="001300A9" w:rsidRDefault="00357CEC" w:rsidP="00357CEC">
            <w:pPr>
              <w:pStyle w:val="Default"/>
              <w:rPr>
                <w:sz w:val="22"/>
                <w:szCs w:val="22"/>
              </w:rPr>
            </w:pPr>
            <w:proofErr w:type="spellStart"/>
            <w:r w:rsidRPr="001300A9">
              <w:rPr>
                <w:sz w:val="22"/>
                <w:szCs w:val="22"/>
              </w:rPr>
              <w:t>n.a</w:t>
            </w:r>
            <w:proofErr w:type="spellEnd"/>
            <w:r w:rsidRPr="001300A9">
              <w:rPr>
                <w:sz w:val="22"/>
                <w:szCs w:val="22"/>
              </w:rPr>
              <w:t>.</w:t>
            </w:r>
          </w:p>
          <w:p w14:paraId="66FF56C1" w14:textId="10DF30BD" w:rsidR="00EE7BC5" w:rsidRPr="001300A9" w:rsidRDefault="00EE7BC5" w:rsidP="00357CEC">
            <w:pPr>
              <w:pStyle w:val="Default"/>
              <w:rPr>
                <w:sz w:val="22"/>
                <w:szCs w:val="22"/>
              </w:rPr>
            </w:pPr>
          </w:p>
          <w:p w14:paraId="50307526" w14:textId="41CCD129" w:rsidR="00183491" w:rsidRDefault="00183491" w:rsidP="00357CEC">
            <w:pPr>
              <w:pStyle w:val="Default"/>
              <w:rPr>
                <w:sz w:val="22"/>
                <w:szCs w:val="22"/>
              </w:rPr>
            </w:pPr>
          </w:p>
          <w:p w14:paraId="4370D6CD" w14:textId="249701E5" w:rsidR="00357CEC" w:rsidRPr="001300A9" w:rsidRDefault="00183491" w:rsidP="00357CEC">
            <w:pPr>
              <w:pStyle w:val="Default"/>
              <w:rPr>
                <w:sz w:val="22"/>
                <w:szCs w:val="22"/>
              </w:rPr>
            </w:pPr>
            <w:proofErr w:type="spellStart"/>
            <w:r>
              <w:rPr>
                <w:sz w:val="22"/>
                <w:szCs w:val="22"/>
              </w:rPr>
              <w:t>n.a</w:t>
            </w:r>
            <w:proofErr w:type="spellEnd"/>
            <w:r>
              <w:rPr>
                <w:sz w:val="22"/>
                <w:szCs w:val="22"/>
              </w:rPr>
              <w:t>.</w:t>
            </w:r>
          </w:p>
          <w:p w14:paraId="5F79445A" w14:textId="77777777" w:rsidR="00357CEC" w:rsidRPr="001300A9" w:rsidRDefault="00357CEC" w:rsidP="00357CEC">
            <w:pPr>
              <w:pStyle w:val="Default"/>
              <w:rPr>
                <w:sz w:val="22"/>
                <w:szCs w:val="22"/>
              </w:rPr>
            </w:pPr>
          </w:p>
          <w:p w14:paraId="4A400D62" w14:textId="77777777" w:rsidR="00357CEC" w:rsidRPr="001300A9" w:rsidRDefault="00357CEC" w:rsidP="00357CEC">
            <w:pPr>
              <w:pStyle w:val="Default"/>
              <w:rPr>
                <w:sz w:val="22"/>
                <w:szCs w:val="22"/>
              </w:rPr>
            </w:pPr>
          </w:p>
          <w:p w14:paraId="164E3688" w14:textId="77777777" w:rsidR="00357CEC" w:rsidRPr="001300A9" w:rsidRDefault="00357CEC" w:rsidP="00357CEC">
            <w:pPr>
              <w:pStyle w:val="Default"/>
              <w:rPr>
                <w:sz w:val="22"/>
                <w:szCs w:val="22"/>
              </w:rPr>
            </w:pPr>
          </w:p>
          <w:p w14:paraId="518EAF49" w14:textId="77777777" w:rsidR="00357CEC" w:rsidRPr="001300A9" w:rsidRDefault="00357CEC" w:rsidP="00357CEC">
            <w:pPr>
              <w:pStyle w:val="Default"/>
              <w:rPr>
                <w:sz w:val="22"/>
                <w:szCs w:val="22"/>
              </w:rPr>
            </w:pPr>
          </w:p>
          <w:p w14:paraId="69E75FFB" w14:textId="77777777" w:rsidR="00357CEC" w:rsidRPr="001300A9" w:rsidRDefault="00357CEC" w:rsidP="00357CEC">
            <w:pPr>
              <w:pStyle w:val="Default"/>
              <w:rPr>
                <w:sz w:val="22"/>
                <w:szCs w:val="22"/>
              </w:rPr>
            </w:pPr>
          </w:p>
          <w:p w14:paraId="368F7A70" w14:textId="77777777" w:rsidR="00EE7BC5" w:rsidRPr="001300A9" w:rsidRDefault="00EE7BC5" w:rsidP="00357CEC">
            <w:pPr>
              <w:pStyle w:val="Default"/>
              <w:rPr>
                <w:sz w:val="22"/>
                <w:szCs w:val="22"/>
              </w:rPr>
            </w:pPr>
          </w:p>
          <w:p w14:paraId="21DDF0EB" w14:textId="77777777" w:rsidR="00EE7BC5" w:rsidRPr="001300A9" w:rsidRDefault="00EE7BC5" w:rsidP="00357CEC">
            <w:pPr>
              <w:pStyle w:val="Default"/>
              <w:rPr>
                <w:sz w:val="22"/>
                <w:szCs w:val="22"/>
              </w:rPr>
            </w:pPr>
          </w:p>
          <w:p w14:paraId="1DFE77C0" w14:textId="77777777" w:rsidR="00EE7BC5" w:rsidRPr="001300A9" w:rsidRDefault="00EE7BC5" w:rsidP="00357CEC">
            <w:pPr>
              <w:pStyle w:val="Default"/>
              <w:rPr>
                <w:sz w:val="22"/>
                <w:szCs w:val="22"/>
              </w:rPr>
            </w:pPr>
          </w:p>
          <w:p w14:paraId="57946648" w14:textId="77777777" w:rsidR="00EE7BC5" w:rsidRPr="001300A9" w:rsidRDefault="00EE7BC5" w:rsidP="00357CEC">
            <w:pPr>
              <w:pStyle w:val="Default"/>
              <w:rPr>
                <w:sz w:val="22"/>
                <w:szCs w:val="22"/>
              </w:rPr>
            </w:pPr>
          </w:p>
          <w:p w14:paraId="61F2B3A0" w14:textId="77777777" w:rsidR="00EE7BC5" w:rsidRPr="001300A9" w:rsidRDefault="00EE7BC5" w:rsidP="00357CEC">
            <w:pPr>
              <w:pStyle w:val="Default"/>
              <w:rPr>
                <w:sz w:val="22"/>
                <w:szCs w:val="22"/>
              </w:rPr>
            </w:pPr>
          </w:p>
          <w:p w14:paraId="1503E017" w14:textId="77777777" w:rsidR="00EE7BC5" w:rsidRPr="001300A9" w:rsidRDefault="00EE7BC5" w:rsidP="00357CEC">
            <w:pPr>
              <w:pStyle w:val="Default"/>
              <w:rPr>
                <w:sz w:val="22"/>
                <w:szCs w:val="22"/>
              </w:rPr>
            </w:pPr>
          </w:p>
          <w:p w14:paraId="53DBB811" w14:textId="77777777" w:rsidR="00EE7BC5" w:rsidRPr="001300A9" w:rsidRDefault="00EE7BC5" w:rsidP="00357CEC">
            <w:pPr>
              <w:pStyle w:val="Default"/>
              <w:rPr>
                <w:sz w:val="22"/>
                <w:szCs w:val="22"/>
              </w:rPr>
            </w:pPr>
          </w:p>
          <w:p w14:paraId="0D92833C" w14:textId="77777777" w:rsidR="00EE7BC5" w:rsidRPr="001300A9" w:rsidRDefault="00EE7BC5" w:rsidP="00357CEC">
            <w:pPr>
              <w:pStyle w:val="Default"/>
              <w:rPr>
                <w:sz w:val="22"/>
                <w:szCs w:val="22"/>
              </w:rPr>
            </w:pPr>
          </w:p>
          <w:p w14:paraId="3A26B54B" w14:textId="77777777" w:rsidR="00EE7BC5" w:rsidRPr="001300A9" w:rsidRDefault="00EE7BC5" w:rsidP="00357CEC">
            <w:pPr>
              <w:pStyle w:val="Default"/>
              <w:rPr>
                <w:sz w:val="22"/>
                <w:szCs w:val="22"/>
              </w:rPr>
            </w:pPr>
          </w:p>
          <w:p w14:paraId="4A48B7CE" w14:textId="77777777" w:rsidR="00EE7BC5" w:rsidRPr="001300A9" w:rsidRDefault="00EE7BC5" w:rsidP="00357CEC">
            <w:pPr>
              <w:pStyle w:val="Default"/>
              <w:rPr>
                <w:sz w:val="22"/>
                <w:szCs w:val="22"/>
              </w:rPr>
            </w:pPr>
          </w:p>
          <w:p w14:paraId="0490AE3F" w14:textId="77777777" w:rsidR="00EE7BC5" w:rsidRPr="001300A9" w:rsidRDefault="00EE7BC5" w:rsidP="00357CEC">
            <w:pPr>
              <w:pStyle w:val="Default"/>
              <w:rPr>
                <w:sz w:val="22"/>
                <w:szCs w:val="22"/>
              </w:rPr>
            </w:pPr>
          </w:p>
          <w:p w14:paraId="718CCA79" w14:textId="77777777" w:rsidR="00EE7BC5" w:rsidRPr="001300A9" w:rsidRDefault="00EE7BC5" w:rsidP="00357CEC">
            <w:pPr>
              <w:pStyle w:val="Default"/>
              <w:rPr>
                <w:sz w:val="22"/>
                <w:szCs w:val="22"/>
              </w:rPr>
            </w:pPr>
          </w:p>
          <w:p w14:paraId="6C59FF91" w14:textId="51DCD81B" w:rsidR="00357CEC" w:rsidRPr="001300A9" w:rsidRDefault="00183491" w:rsidP="00357CEC">
            <w:pPr>
              <w:pStyle w:val="Default"/>
              <w:rPr>
                <w:sz w:val="22"/>
                <w:szCs w:val="22"/>
              </w:rPr>
            </w:pPr>
            <w:proofErr w:type="spellStart"/>
            <w:r w:rsidRPr="4792BE4F">
              <w:rPr>
                <w:sz w:val="22"/>
                <w:szCs w:val="22"/>
              </w:rPr>
              <w:t>n.a</w:t>
            </w:r>
            <w:proofErr w:type="spellEnd"/>
            <w:r w:rsidRPr="4792BE4F">
              <w:rPr>
                <w:sz w:val="22"/>
                <w:szCs w:val="22"/>
              </w:rPr>
              <w:t>.</w:t>
            </w:r>
          </w:p>
          <w:p w14:paraId="53AE4048" w14:textId="58E61223" w:rsidR="00357CEC" w:rsidRPr="001300A9" w:rsidRDefault="00357CEC" w:rsidP="00357CEC">
            <w:pPr>
              <w:pStyle w:val="Default"/>
              <w:rPr>
                <w:sz w:val="22"/>
                <w:szCs w:val="22"/>
              </w:rPr>
            </w:pPr>
          </w:p>
        </w:tc>
        <w:tc>
          <w:tcPr>
            <w:tcW w:w="283" w:type="dxa"/>
          </w:tcPr>
          <w:p w14:paraId="5EE4E57E" w14:textId="77777777" w:rsidR="00357CEC" w:rsidRPr="001300A9" w:rsidRDefault="00357CEC" w:rsidP="00357CEC">
            <w:pPr>
              <w:pStyle w:val="Default"/>
              <w:rPr>
                <w:sz w:val="22"/>
                <w:szCs w:val="22"/>
              </w:rPr>
            </w:pPr>
          </w:p>
        </w:tc>
        <w:tc>
          <w:tcPr>
            <w:tcW w:w="567" w:type="dxa"/>
          </w:tcPr>
          <w:p w14:paraId="0E44FCBA" w14:textId="3E67A4B8" w:rsidR="00357CEC" w:rsidRPr="001300A9" w:rsidRDefault="00357CEC" w:rsidP="00183491">
            <w:pPr>
              <w:pStyle w:val="Default"/>
              <w:rPr>
                <w:sz w:val="22"/>
                <w:szCs w:val="22"/>
              </w:rPr>
            </w:pPr>
          </w:p>
        </w:tc>
        <w:tc>
          <w:tcPr>
            <w:tcW w:w="4253" w:type="dxa"/>
          </w:tcPr>
          <w:p w14:paraId="07A018E8" w14:textId="1198F6FC" w:rsidR="00056FC2" w:rsidRPr="001300A9" w:rsidRDefault="00056FC2" w:rsidP="00183491">
            <w:pPr>
              <w:pStyle w:val="Default"/>
              <w:rPr>
                <w:sz w:val="22"/>
                <w:szCs w:val="22"/>
              </w:rPr>
            </w:pPr>
          </w:p>
        </w:tc>
        <w:tc>
          <w:tcPr>
            <w:tcW w:w="567" w:type="dxa"/>
          </w:tcPr>
          <w:p w14:paraId="00C2142E" w14:textId="1BE86E81" w:rsidR="00357CEC" w:rsidRPr="001300A9" w:rsidRDefault="00357CEC" w:rsidP="00357CEC">
            <w:pPr>
              <w:pStyle w:val="Default"/>
              <w:rPr>
                <w:sz w:val="22"/>
                <w:szCs w:val="22"/>
              </w:rPr>
            </w:pPr>
          </w:p>
          <w:p w14:paraId="5432FCB0" w14:textId="77777777" w:rsidR="00EE7BC5" w:rsidRPr="001300A9" w:rsidRDefault="00EE7BC5" w:rsidP="00357CEC">
            <w:pPr>
              <w:pStyle w:val="Default"/>
              <w:rPr>
                <w:sz w:val="22"/>
                <w:szCs w:val="22"/>
              </w:rPr>
            </w:pPr>
          </w:p>
          <w:p w14:paraId="0E0FAF36" w14:textId="77777777" w:rsidR="00EE7BC5" w:rsidRPr="001300A9" w:rsidRDefault="00EE7BC5" w:rsidP="00357CEC">
            <w:pPr>
              <w:pStyle w:val="Default"/>
              <w:rPr>
                <w:sz w:val="22"/>
                <w:szCs w:val="22"/>
              </w:rPr>
            </w:pPr>
          </w:p>
          <w:p w14:paraId="39C7736C" w14:textId="77777777" w:rsidR="00EE7BC5" w:rsidRPr="001300A9" w:rsidRDefault="00EE7BC5" w:rsidP="00357CEC">
            <w:pPr>
              <w:pStyle w:val="Default"/>
              <w:rPr>
                <w:sz w:val="22"/>
                <w:szCs w:val="22"/>
              </w:rPr>
            </w:pPr>
          </w:p>
          <w:p w14:paraId="2E04FF7D" w14:textId="77777777" w:rsidR="00EE7BC5" w:rsidRPr="001300A9" w:rsidRDefault="00EE7BC5" w:rsidP="00357CEC">
            <w:pPr>
              <w:pStyle w:val="Default"/>
              <w:rPr>
                <w:sz w:val="22"/>
                <w:szCs w:val="22"/>
              </w:rPr>
            </w:pPr>
          </w:p>
          <w:p w14:paraId="39443C44" w14:textId="77777777" w:rsidR="00EE7BC5" w:rsidRPr="001300A9" w:rsidRDefault="00EE7BC5" w:rsidP="00357CEC">
            <w:pPr>
              <w:pStyle w:val="Default"/>
              <w:rPr>
                <w:sz w:val="22"/>
                <w:szCs w:val="22"/>
              </w:rPr>
            </w:pPr>
          </w:p>
          <w:p w14:paraId="798D9C26" w14:textId="77777777" w:rsidR="00EE7BC5" w:rsidRPr="001300A9" w:rsidRDefault="00EE7BC5" w:rsidP="00357CEC">
            <w:pPr>
              <w:pStyle w:val="Default"/>
              <w:rPr>
                <w:sz w:val="22"/>
                <w:szCs w:val="22"/>
              </w:rPr>
            </w:pPr>
          </w:p>
          <w:p w14:paraId="13C270F7" w14:textId="77777777" w:rsidR="00EE7BC5" w:rsidRPr="001300A9" w:rsidRDefault="00EE7BC5" w:rsidP="00357CEC">
            <w:pPr>
              <w:pStyle w:val="Default"/>
              <w:rPr>
                <w:sz w:val="22"/>
                <w:szCs w:val="22"/>
              </w:rPr>
            </w:pPr>
          </w:p>
          <w:p w14:paraId="7E5D45C6" w14:textId="77777777" w:rsidR="00EE7BC5" w:rsidRPr="001300A9" w:rsidRDefault="00EE7BC5" w:rsidP="00357CEC">
            <w:pPr>
              <w:pStyle w:val="Default"/>
              <w:rPr>
                <w:sz w:val="22"/>
                <w:szCs w:val="22"/>
              </w:rPr>
            </w:pPr>
          </w:p>
          <w:p w14:paraId="5E8B6468" w14:textId="77777777" w:rsidR="00EE7BC5" w:rsidRPr="001300A9" w:rsidRDefault="00EE7BC5" w:rsidP="00357CEC">
            <w:pPr>
              <w:pStyle w:val="Default"/>
              <w:rPr>
                <w:sz w:val="22"/>
                <w:szCs w:val="22"/>
              </w:rPr>
            </w:pPr>
          </w:p>
          <w:p w14:paraId="721AE42D" w14:textId="77777777" w:rsidR="00EE7BC5" w:rsidRPr="001300A9" w:rsidRDefault="00EE7BC5" w:rsidP="00357CEC">
            <w:pPr>
              <w:pStyle w:val="Default"/>
              <w:rPr>
                <w:sz w:val="22"/>
                <w:szCs w:val="22"/>
              </w:rPr>
            </w:pPr>
          </w:p>
          <w:p w14:paraId="68B18DE8" w14:textId="77777777" w:rsidR="00EE7BC5" w:rsidRPr="001300A9" w:rsidRDefault="00EE7BC5" w:rsidP="00357CEC">
            <w:pPr>
              <w:pStyle w:val="Default"/>
              <w:rPr>
                <w:sz w:val="22"/>
                <w:szCs w:val="22"/>
              </w:rPr>
            </w:pPr>
          </w:p>
          <w:p w14:paraId="0C5A8382" w14:textId="77777777" w:rsidR="00EE7BC5" w:rsidRPr="001300A9" w:rsidRDefault="00EE7BC5" w:rsidP="00357CEC">
            <w:pPr>
              <w:pStyle w:val="Default"/>
              <w:rPr>
                <w:sz w:val="22"/>
                <w:szCs w:val="22"/>
              </w:rPr>
            </w:pPr>
          </w:p>
          <w:p w14:paraId="01E6FFE0" w14:textId="77777777" w:rsidR="00EE7BC5" w:rsidRPr="001300A9" w:rsidRDefault="00EE7BC5" w:rsidP="00357CEC">
            <w:pPr>
              <w:pStyle w:val="Default"/>
              <w:rPr>
                <w:sz w:val="22"/>
                <w:szCs w:val="22"/>
              </w:rPr>
            </w:pPr>
          </w:p>
          <w:p w14:paraId="203D0453" w14:textId="77777777" w:rsidR="00EE7BC5" w:rsidRPr="001300A9" w:rsidRDefault="00EE7BC5" w:rsidP="00357CEC">
            <w:pPr>
              <w:pStyle w:val="Default"/>
              <w:rPr>
                <w:sz w:val="22"/>
                <w:szCs w:val="22"/>
              </w:rPr>
            </w:pPr>
          </w:p>
          <w:p w14:paraId="5C0C8B47" w14:textId="500525B7" w:rsidR="00EE7BC5" w:rsidRPr="001300A9" w:rsidRDefault="00EE7BC5" w:rsidP="00357CEC">
            <w:pPr>
              <w:pStyle w:val="Default"/>
              <w:rPr>
                <w:sz w:val="22"/>
                <w:szCs w:val="22"/>
              </w:rPr>
            </w:pPr>
          </w:p>
          <w:p w14:paraId="39B00B5B" w14:textId="77777777" w:rsidR="00EE7BC5" w:rsidRPr="001300A9" w:rsidRDefault="00EE7BC5" w:rsidP="00357CEC">
            <w:pPr>
              <w:pStyle w:val="Default"/>
              <w:rPr>
                <w:sz w:val="22"/>
                <w:szCs w:val="22"/>
              </w:rPr>
            </w:pPr>
          </w:p>
          <w:p w14:paraId="58912F1E" w14:textId="77777777" w:rsidR="00EE7BC5" w:rsidRPr="001300A9" w:rsidRDefault="00EE7BC5" w:rsidP="00357CEC">
            <w:pPr>
              <w:pStyle w:val="Default"/>
              <w:rPr>
                <w:sz w:val="22"/>
                <w:szCs w:val="22"/>
              </w:rPr>
            </w:pPr>
          </w:p>
          <w:p w14:paraId="4E39E334" w14:textId="77777777" w:rsidR="00EE7BC5" w:rsidRPr="001300A9" w:rsidRDefault="00EE7BC5" w:rsidP="00357CEC">
            <w:pPr>
              <w:pStyle w:val="Default"/>
              <w:rPr>
                <w:sz w:val="22"/>
                <w:szCs w:val="22"/>
              </w:rPr>
            </w:pPr>
          </w:p>
          <w:p w14:paraId="065B4E80" w14:textId="77777777" w:rsidR="00EE7BC5" w:rsidRPr="001300A9" w:rsidRDefault="00EE7BC5" w:rsidP="00357CEC">
            <w:pPr>
              <w:pStyle w:val="Default"/>
              <w:rPr>
                <w:sz w:val="22"/>
                <w:szCs w:val="22"/>
              </w:rPr>
            </w:pPr>
          </w:p>
          <w:p w14:paraId="46CFC1E2" w14:textId="77777777" w:rsidR="00EE7BC5" w:rsidRPr="001300A9" w:rsidRDefault="00EE7BC5" w:rsidP="00357CEC">
            <w:pPr>
              <w:pStyle w:val="Default"/>
              <w:rPr>
                <w:sz w:val="22"/>
                <w:szCs w:val="22"/>
              </w:rPr>
            </w:pPr>
          </w:p>
          <w:p w14:paraId="6547E3B4" w14:textId="77777777" w:rsidR="00EE7BC5" w:rsidRPr="001300A9" w:rsidRDefault="00EE7BC5" w:rsidP="00357CEC">
            <w:pPr>
              <w:pStyle w:val="Default"/>
              <w:rPr>
                <w:sz w:val="22"/>
                <w:szCs w:val="22"/>
              </w:rPr>
            </w:pPr>
          </w:p>
          <w:p w14:paraId="577744A3" w14:textId="77777777" w:rsidR="00EE7BC5" w:rsidRPr="001300A9" w:rsidRDefault="00EE7BC5" w:rsidP="00357CEC">
            <w:pPr>
              <w:pStyle w:val="Default"/>
              <w:rPr>
                <w:sz w:val="22"/>
                <w:szCs w:val="22"/>
              </w:rPr>
            </w:pPr>
          </w:p>
          <w:p w14:paraId="798870E3" w14:textId="77777777" w:rsidR="00EE7BC5" w:rsidRPr="001300A9" w:rsidRDefault="00EE7BC5" w:rsidP="00357CEC">
            <w:pPr>
              <w:pStyle w:val="Default"/>
              <w:rPr>
                <w:sz w:val="22"/>
                <w:szCs w:val="22"/>
              </w:rPr>
            </w:pPr>
          </w:p>
          <w:p w14:paraId="2CE21306" w14:textId="77777777" w:rsidR="00EE7BC5" w:rsidRPr="001300A9" w:rsidRDefault="00EE7BC5" w:rsidP="00357CEC">
            <w:pPr>
              <w:pStyle w:val="Default"/>
              <w:rPr>
                <w:sz w:val="22"/>
                <w:szCs w:val="22"/>
              </w:rPr>
            </w:pPr>
          </w:p>
          <w:p w14:paraId="4AF7C04B" w14:textId="77777777" w:rsidR="00EE7BC5" w:rsidRPr="001300A9" w:rsidRDefault="00EE7BC5" w:rsidP="00357CEC">
            <w:pPr>
              <w:pStyle w:val="Default"/>
              <w:rPr>
                <w:sz w:val="22"/>
                <w:szCs w:val="22"/>
              </w:rPr>
            </w:pPr>
          </w:p>
          <w:p w14:paraId="0DBF1ECD" w14:textId="77777777" w:rsidR="00EE7BC5" w:rsidRPr="001300A9" w:rsidRDefault="00EE7BC5" w:rsidP="00357CEC">
            <w:pPr>
              <w:pStyle w:val="Default"/>
              <w:rPr>
                <w:sz w:val="22"/>
                <w:szCs w:val="22"/>
              </w:rPr>
            </w:pPr>
          </w:p>
          <w:p w14:paraId="34F34796" w14:textId="77777777" w:rsidR="00EE7BC5" w:rsidRPr="001300A9" w:rsidRDefault="00EE7BC5" w:rsidP="00357CEC">
            <w:pPr>
              <w:pStyle w:val="Default"/>
              <w:rPr>
                <w:sz w:val="22"/>
                <w:szCs w:val="22"/>
              </w:rPr>
            </w:pPr>
          </w:p>
          <w:p w14:paraId="58A781A9" w14:textId="77777777" w:rsidR="00EE7BC5" w:rsidRPr="001300A9" w:rsidRDefault="00EE7BC5" w:rsidP="00357CEC">
            <w:pPr>
              <w:pStyle w:val="Default"/>
              <w:rPr>
                <w:sz w:val="22"/>
                <w:szCs w:val="22"/>
              </w:rPr>
            </w:pPr>
          </w:p>
          <w:p w14:paraId="271E7493" w14:textId="77777777" w:rsidR="00EE7BC5" w:rsidRPr="001300A9" w:rsidRDefault="00EE7BC5" w:rsidP="00357CEC">
            <w:pPr>
              <w:pStyle w:val="Default"/>
              <w:rPr>
                <w:sz w:val="22"/>
                <w:szCs w:val="22"/>
              </w:rPr>
            </w:pPr>
          </w:p>
          <w:p w14:paraId="6036C9E7" w14:textId="77777777" w:rsidR="00EE7BC5" w:rsidRPr="001300A9" w:rsidRDefault="00EE7BC5" w:rsidP="00357CEC">
            <w:pPr>
              <w:pStyle w:val="Default"/>
              <w:rPr>
                <w:sz w:val="22"/>
                <w:szCs w:val="22"/>
              </w:rPr>
            </w:pPr>
          </w:p>
          <w:p w14:paraId="004938CD" w14:textId="77777777" w:rsidR="00EE7BC5" w:rsidRPr="001300A9" w:rsidRDefault="00EE7BC5" w:rsidP="00357CEC">
            <w:pPr>
              <w:pStyle w:val="Default"/>
              <w:rPr>
                <w:sz w:val="22"/>
                <w:szCs w:val="22"/>
              </w:rPr>
            </w:pPr>
          </w:p>
          <w:p w14:paraId="7BBF522C" w14:textId="77777777" w:rsidR="00EE7BC5" w:rsidRPr="001300A9" w:rsidRDefault="00EE7BC5" w:rsidP="00357CEC">
            <w:pPr>
              <w:pStyle w:val="Default"/>
              <w:rPr>
                <w:sz w:val="22"/>
                <w:szCs w:val="22"/>
              </w:rPr>
            </w:pPr>
          </w:p>
          <w:p w14:paraId="6EE4F7C8" w14:textId="77777777" w:rsidR="00EE7BC5" w:rsidRPr="001300A9" w:rsidRDefault="00EE7BC5" w:rsidP="00357CEC">
            <w:pPr>
              <w:pStyle w:val="Default"/>
              <w:rPr>
                <w:sz w:val="22"/>
                <w:szCs w:val="22"/>
              </w:rPr>
            </w:pPr>
          </w:p>
          <w:p w14:paraId="3D08EFB5" w14:textId="77777777" w:rsidR="00EE7BC5" w:rsidRPr="001300A9" w:rsidRDefault="00EE7BC5" w:rsidP="00357CEC">
            <w:pPr>
              <w:pStyle w:val="Default"/>
              <w:rPr>
                <w:sz w:val="22"/>
                <w:szCs w:val="22"/>
              </w:rPr>
            </w:pPr>
          </w:p>
          <w:p w14:paraId="3CCDD820" w14:textId="77777777" w:rsidR="00EE7BC5" w:rsidRPr="001300A9" w:rsidRDefault="00EE7BC5" w:rsidP="00357CEC">
            <w:pPr>
              <w:pStyle w:val="Default"/>
              <w:rPr>
                <w:sz w:val="22"/>
                <w:szCs w:val="22"/>
              </w:rPr>
            </w:pPr>
          </w:p>
          <w:p w14:paraId="6B3C257F" w14:textId="77777777" w:rsidR="00EE7BC5" w:rsidRPr="001300A9" w:rsidRDefault="00EE7BC5" w:rsidP="00357CEC">
            <w:pPr>
              <w:pStyle w:val="Default"/>
              <w:rPr>
                <w:sz w:val="22"/>
                <w:szCs w:val="22"/>
              </w:rPr>
            </w:pPr>
          </w:p>
          <w:p w14:paraId="0D5FF1CA" w14:textId="2D09A704" w:rsidR="00EE7BC5" w:rsidRPr="001300A9" w:rsidRDefault="00EE7BC5" w:rsidP="00357CEC">
            <w:pPr>
              <w:pStyle w:val="Default"/>
              <w:rPr>
                <w:sz w:val="22"/>
                <w:szCs w:val="22"/>
              </w:rPr>
            </w:pPr>
          </w:p>
          <w:p w14:paraId="79B0A2EA" w14:textId="77777777" w:rsidR="00056FC2" w:rsidRPr="001300A9" w:rsidRDefault="00056FC2" w:rsidP="00357CEC">
            <w:pPr>
              <w:pStyle w:val="Default"/>
              <w:rPr>
                <w:sz w:val="22"/>
                <w:szCs w:val="22"/>
              </w:rPr>
            </w:pPr>
          </w:p>
          <w:p w14:paraId="6F1B0B35" w14:textId="77777777" w:rsidR="00056FC2" w:rsidRPr="001300A9" w:rsidRDefault="00056FC2" w:rsidP="00357CEC">
            <w:pPr>
              <w:pStyle w:val="Default"/>
              <w:rPr>
                <w:sz w:val="22"/>
                <w:szCs w:val="22"/>
              </w:rPr>
            </w:pPr>
          </w:p>
          <w:p w14:paraId="732B8915" w14:textId="77777777" w:rsidR="00056FC2" w:rsidRPr="001300A9" w:rsidRDefault="00056FC2" w:rsidP="00357CEC">
            <w:pPr>
              <w:pStyle w:val="Default"/>
              <w:rPr>
                <w:sz w:val="22"/>
                <w:szCs w:val="22"/>
              </w:rPr>
            </w:pPr>
          </w:p>
          <w:p w14:paraId="1BED555F" w14:textId="77777777" w:rsidR="00056FC2" w:rsidRPr="001300A9" w:rsidRDefault="00056FC2" w:rsidP="00357CEC">
            <w:pPr>
              <w:pStyle w:val="Default"/>
              <w:rPr>
                <w:sz w:val="22"/>
                <w:szCs w:val="22"/>
              </w:rPr>
            </w:pPr>
          </w:p>
          <w:p w14:paraId="0745C0C7" w14:textId="77777777" w:rsidR="00056FC2" w:rsidRPr="001300A9" w:rsidRDefault="00056FC2" w:rsidP="00357CEC">
            <w:pPr>
              <w:pStyle w:val="Default"/>
              <w:rPr>
                <w:sz w:val="22"/>
                <w:szCs w:val="22"/>
              </w:rPr>
            </w:pPr>
          </w:p>
          <w:p w14:paraId="405C8B87" w14:textId="77777777" w:rsidR="00056FC2" w:rsidRPr="001300A9" w:rsidRDefault="00056FC2" w:rsidP="00357CEC">
            <w:pPr>
              <w:pStyle w:val="Default"/>
              <w:rPr>
                <w:sz w:val="22"/>
                <w:szCs w:val="22"/>
              </w:rPr>
            </w:pPr>
          </w:p>
          <w:p w14:paraId="70420D76" w14:textId="77777777" w:rsidR="00056FC2" w:rsidRPr="001300A9" w:rsidRDefault="00056FC2" w:rsidP="00357CEC">
            <w:pPr>
              <w:pStyle w:val="Default"/>
              <w:rPr>
                <w:sz w:val="22"/>
                <w:szCs w:val="22"/>
              </w:rPr>
            </w:pPr>
          </w:p>
          <w:p w14:paraId="195A3DB1" w14:textId="77777777" w:rsidR="00056FC2" w:rsidRPr="001300A9" w:rsidRDefault="00056FC2" w:rsidP="00357CEC">
            <w:pPr>
              <w:pStyle w:val="Default"/>
              <w:rPr>
                <w:sz w:val="22"/>
                <w:szCs w:val="22"/>
              </w:rPr>
            </w:pPr>
          </w:p>
          <w:p w14:paraId="55F11062" w14:textId="77777777" w:rsidR="00056FC2" w:rsidRPr="001300A9" w:rsidRDefault="00056FC2" w:rsidP="00357CEC">
            <w:pPr>
              <w:pStyle w:val="Default"/>
              <w:rPr>
                <w:sz w:val="22"/>
                <w:szCs w:val="22"/>
              </w:rPr>
            </w:pPr>
          </w:p>
          <w:p w14:paraId="719D86C6" w14:textId="77777777" w:rsidR="00056FC2" w:rsidRPr="001300A9" w:rsidRDefault="00056FC2" w:rsidP="00357CEC">
            <w:pPr>
              <w:pStyle w:val="Default"/>
              <w:rPr>
                <w:sz w:val="22"/>
                <w:szCs w:val="22"/>
              </w:rPr>
            </w:pPr>
          </w:p>
          <w:p w14:paraId="49ADFC69" w14:textId="77777777" w:rsidR="00056FC2" w:rsidRPr="001300A9" w:rsidRDefault="00056FC2" w:rsidP="00357CEC">
            <w:pPr>
              <w:pStyle w:val="Default"/>
              <w:rPr>
                <w:sz w:val="22"/>
                <w:szCs w:val="22"/>
              </w:rPr>
            </w:pPr>
          </w:p>
          <w:p w14:paraId="05229DA9" w14:textId="77777777" w:rsidR="00056FC2" w:rsidRPr="001300A9" w:rsidRDefault="00056FC2" w:rsidP="00357CEC">
            <w:pPr>
              <w:pStyle w:val="Default"/>
              <w:rPr>
                <w:sz w:val="22"/>
                <w:szCs w:val="22"/>
              </w:rPr>
            </w:pPr>
          </w:p>
          <w:p w14:paraId="557195C3" w14:textId="77777777" w:rsidR="00056FC2" w:rsidRPr="001300A9" w:rsidRDefault="00056FC2" w:rsidP="00357CEC">
            <w:pPr>
              <w:pStyle w:val="Default"/>
              <w:rPr>
                <w:sz w:val="22"/>
                <w:szCs w:val="22"/>
              </w:rPr>
            </w:pPr>
          </w:p>
          <w:p w14:paraId="5481096D" w14:textId="77777777" w:rsidR="00056FC2" w:rsidRPr="001300A9" w:rsidRDefault="00056FC2" w:rsidP="00357CEC">
            <w:pPr>
              <w:pStyle w:val="Default"/>
              <w:rPr>
                <w:sz w:val="22"/>
                <w:szCs w:val="22"/>
              </w:rPr>
            </w:pPr>
          </w:p>
          <w:p w14:paraId="1D592D51" w14:textId="77777777" w:rsidR="00056FC2" w:rsidRPr="001300A9" w:rsidRDefault="00056FC2" w:rsidP="00357CEC">
            <w:pPr>
              <w:pStyle w:val="Default"/>
              <w:rPr>
                <w:sz w:val="22"/>
                <w:szCs w:val="22"/>
              </w:rPr>
            </w:pPr>
          </w:p>
          <w:p w14:paraId="1B1ED596" w14:textId="77777777" w:rsidR="00056FC2" w:rsidRPr="001300A9" w:rsidRDefault="00056FC2" w:rsidP="00357CEC">
            <w:pPr>
              <w:pStyle w:val="Default"/>
              <w:rPr>
                <w:sz w:val="22"/>
                <w:szCs w:val="22"/>
              </w:rPr>
            </w:pPr>
          </w:p>
          <w:p w14:paraId="2C98B52D" w14:textId="77777777" w:rsidR="00056FC2" w:rsidRPr="001300A9" w:rsidRDefault="00056FC2" w:rsidP="00357CEC">
            <w:pPr>
              <w:pStyle w:val="Default"/>
              <w:rPr>
                <w:sz w:val="22"/>
                <w:szCs w:val="22"/>
              </w:rPr>
            </w:pPr>
          </w:p>
          <w:p w14:paraId="26AF6385" w14:textId="77777777" w:rsidR="00056FC2" w:rsidRPr="001300A9" w:rsidRDefault="00056FC2" w:rsidP="00357CEC">
            <w:pPr>
              <w:pStyle w:val="Default"/>
              <w:rPr>
                <w:sz w:val="22"/>
                <w:szCs w:val="22"/>
              </w:rPr>
            </w:pPr>
          </w:p>
          <w:p w14:paraId="23E82BA3" w14:textId="027085FE" w:rsidR="00056FC2" w:rsidRPr="001300A9" w:rsidRDefault="00056FC2" w:rsidP="00357CEC">
            <w:pPr>
              <w:pStyle w:val="Default"/>
              <w:rPr>
                <w:sz w:val="22"/>
                <w:szCs w:val="22"/>
              </w:rPr>
            </w:pPr>
          </w:p>
        </w:tc>
        <w:tc>
          <w:tcPr>
            <w:tcW w:w="1276" w:type="dxa"/>
          </w:tcPr>
          <w:p w14:paraId="1CDEDE44" w14:textId="40A847FA" w:rsidR="00357CEC" w:rsidRPr="001300A9" w:rsidRDefault="00392B15" w:rsidP="00357CEC">
            <w:pPr>
              <w:pStyle w:val="Default"/>
              <w:rPr>
                <w:sz w:val="22"/>
                <w:szCs w:val="22"/>
              </w:rPr>
            </w:pPr>
            <w:r w:rsidRPr="00392B15">
              <w:rPr>
                <w:sz w:val="22"/>
                <w:szCs w:val="22"/>
              </w:rPr>
              <w:lastRenderedPageBreak/>
              <w:t>Vzhľadom na to, že SR</w:t>
            </w:r>
            <w:r>
              <w:rPr>
                <w:sz w:val="22"/>
                <w:szCs w:val="22"/>
              </w:rPr>
              <w:t xml:space="preserve"> je vnútrozemský štát je čl. 1</w:t>
            </w:r>
            <w:r w:rsidRPr="00392B15">
              <w:rPr>
                <w:sz w:val="22"/>
                <w:szCs w:val="22"/>
              </w:rPr>
              <w:t xml:space="preserve"> ods. </w:t>
            </w:r>
            <w:r>
              <w:rPr>
                <w:sz w:val="22"/>
                <w:szCs w:val="22"/>
              </w:rPr>
              <w:t>21 písm. d</w:t>
            </w:r>
            <w:r w:rsidRPr="00392B15">
              <w:rPr>
                <w:sz w:val="22"/>
                <w:szCs w:val="22"/>
              </w:rPr>
              <w:t xml:space="preserve">) </w:t>
            </w:r>
            <w:r>
              <w:rPr>
                <w:sz w:val="22"/>
                <w:szCs w:val="22"/>
              </w:rPr>
              <w:t xml:space="preserve">smernice (EÚ) 2023/959 </w:t>
            </w:r>
            <w:r w:rsidRPr="00392B15">
              <w:rPr>
                <w:sz w:val="22"/>
                <w:szCs w:val="22"/>
              </w:rPr>
              <w:t>nevykonateľný.</w:t>
            </w:r>
          </w:p>
        </w:tc>
        <w:tc>
          <w:tcPr>
            <w:tcW w:w="850" w:type="dxa"/>
          </w:tcPr>
          <w:p w14:paraId="063BF0D7" w14:textId="1405AB30" w:rsidR="00357CEC" w:rsidRPr="001300A9" w:rsidRDefault="00357CEC" w:rsidP="00357CEC">
            <w:pPr>
              <w:pStyle w:val="Default"/>
              <w:rPr>
                <w:sz w:val="22"/>
                <w:szCs w:val="22"/>
              </w:rPr>
            </w:pPr>
          </w:p>
          <w:p w14:paraId="29139E5C" w14:textId="77777777" w:rsidR="00EE7BC5" w:rsidRPr="001300A9" w:rsidRDefault="00EE7BC5" w:rsidP="00357CEC">
            <w:pPr>
              <w:pStyle w:val="Default"/>
              <w:rPr>
                <w:sz w:val="22"/>
                <w:szCs w:val="22"/>
              </w:rPr>
            </w:pPr>
          </w:p>
          <w:p w14:paraId="03CFBA5D" w14:textId="77777777" w:rsidR="00EE7BC5" w:rsidRPr="001300A9" w:rsidRDefault="00EE7BC5" w:rsidP="00357CEC">
            <w:pPr>
              <w:pStyle w:val="Default"/>
              <w:rPr>
                <w:sz w:val="22"/>
                <w:szCs w:val="22"/>
              </w:rPr>
            </w:pPr>
          </w:p>
          <w:p w14:paraId="08A619E9" w14:textId="77777777" w:rsidR="00EE7BC5" w:rsidRPr="001300A9" w:rsidRDefault="00EE7BC5" w:rsidP="00357CEC">
            <w:pPr>
              <w:pStyle w:val="Default"/>
              <w:rPr>
                <w:sz w:val="22"/>
                <w:szCs w:val="22"/>
              </w:rPr>
            </w:pPr>
          </w:p>
          <w:p w14:paraId="210C22C7" w14:textId="77777777" w:rsidR="00EE7BC5" w:rsidRPr="001300A9" w:rsidRDefault="00EE7BC5" w:rsidP="00357CEC">
            <w:pPr>
              <w:pStyle w:val="Default"/>
              <w:rPr>
                <w:sz w:val="22"/>
                <w:szCs w:val="22"/>
              </w:rPr>
            </w:pPr>
          </w:p>
          <w:p w14:paraId="1173BDCA" w14:textId="77777777" w:rsidR="00EE7BC5" w:rsidRPr="001300A9" w:rsidRDefault="00EE7BC5" w:rsidP="00357CEC">
            <w:pPr>
              <w:pStyle w:val="Default"/>
              <w:rPr>
                <w:sz w:val="22"/>
                <w:szCs w:val="22"/>
              </w:rPr>
            </w:pPr>
          </w:p>
          <w:p w14:paraId="060D6F0F" w14:textId="77777777" w:rsidR="00EE7BC5" w:rsidRPr="001300A9" w:rsidRDefault="00EE7BC5" w:rsidP="00357CEC">
            <w:pPr>
              <w:pStyle w:val="Default"/>
              <w:rPr>
                <w:sz w:val="22"/>
                <w:szCs w:val="22"/>
              </w:rPr>
            </w:pPr>
          </w:p>
          <w:p w14:paraId="268D49CD" w14:textId="77777777" w:rsidR="00EE7BC5" w:rsidRPr="001300A9" w:rsidRDefault="00EE7BC5" w:rsidP="00357CEC">
            <w:pPr>
              <w:pStyle w:val="Default"/>
              <w:rPr>
                <w:sz w:val="22"/>
                <w:szCs w:val="22"/>
              </w:rPr>
            </w:pPr>
          </w:p>
          <w:p w14:paraId="7BFEEEA5" w14:textId="77777777" w:rsidR="00EE7BC5" w:rsidRPr="001300A9" w:rsidRDefault="00EE7BC5" w:rsidP="00357CEC">
            <w:pPr>
              <w:pStyle w:val="Default"/>
              <w:rPr>
                <w:sz w:val="22"/>
                <w:szCs w:val="22"/>
              </w:rPr>
            </w:pPr>
          </w:p>
          <w:p w14:paraId="34A94889" w14:textId="77777777" w:rsidR="00EE7BC5" w:rsidRPr="001300A9" w:rsidRDefault="00EE7BC5" w:rsidP="00357CEC">
            <w:pPr>
              <w:pStyle w:val="Default"/>
              <w:rPr>
                <w:sz w:val="22"/>
                <w:szCs w:val="22"/>
              </w:rPr>
            </w:pPr>
          </w:p>
          <w:p w14:paraId="71BCA562" w14:textId="77777777" w:rsidR="00EE7BC5" w:rsidRPr="001300A9" w:rsidRDefault="00EE7BC5" w:rsidP="00357CEC">
            <w:pPr>
              <w:pStyle w:val="Default"/>
              <w:rPr>
                <w:sz w:val="22"/>
                <w:szCs w:val="22"/>
              </w:rPr>
            </w:pPr>
          </w:p>
          <w:p w14:paraId="39B6438A" w14:textId="77777777" w:rsidR="00EE7BC5" w:rsidRPr="001300A9" w:rsidRDefault="00EE7BC5" w:rsidP="00357CEC">
            <w:pPr>
              <w:pStyle w:val="Default"/>
              <w:rPr>
                <w:sz w:val="22"/>
                <w:szCs w:val="22"/>
              </w:rPr>
            </w:pPr>
          </w:p>
          <w:p w14:paraId="4A16297F" w14:textId="77777777" w:rsidR="00EE7BC5" w:rsidRPr="001300A9" w:rsidRDefault="00EE7BC5" w:rsidP="00357CEC">
            <w:pPr>
              <w:pStyle w:val="Default"/>
              <w:rPr>
                <w:sz w:val="22"/>
                <w:szCs w:val="22"/>
              </w:rPr>
            </w:pPr>
          </w:p>
          <w:p w14:paraId="4E234A26" w14:textId="68C467F6" w:rsidR="00EE7BC5" w:rsidRPr="001300A9" w:rsidRDefault="00EE7BC5" w:rsidP="00357CEC">
            <w:pPr>
              <w:pStyle w:val="Default"/>
              <w:rPr>
                <w:sz w:val="22"/>
                <w:szCs w:val="22"/>
              </w:rPr>
            </w:pPr>
          </w:p>
          <w:p w14:paraId="51D54832" w14:textId="77777777" w:rsidR="00EE7BC5" w:rsidRPr="001300A9" w:rsidRDefault="00EE7BC5" w:rsidP="00357CEC">
            <w:pPr>
              <w:pStyle w:val="Default"/>
              <w:rPr>
                <w:sz w:val="22"/>
                <w:szCs w:val="22"/>
              </w:rPr>
            </w:pPr>
          </w:p>
          <w:p w14:paraId="2E01796A" w14:textId="7F5B30C1" w:rsidR="00EE7BC5" w:rsidRPr="001300A9" w:rsidRDefault="00EE7BC5" w:rsidP="00357CEC">
            <w:pPr>
              <w:pStyle w:val="Default"/>
              <w:rPr>
                <w:sz w:val="22"/>
                <w:szCs w:val="22"/>
              </w:rPr>
            </w:pPr>
          </w:p>
          <w:p w14:paraId="0DFDAC40" w14:textId="77777777" w:rsidR="00EE7BC5" w:rsidRPr="001300A9" w:rsidRDefault="00EE7BC5" w:rsidP="00357CEC">
            <w:pPr>
              <w:pStyle w:val="Default"/>
              <w:rPr>
                <w:sz w:val="22"/>
                <w:szCs w:val="22"/>
              </w:rPr>
            </w:pPr>
          </w:p>
          <w:p w14:paraId="5CA459DE" w14:textId="77777777" w:rsidR="00EE7BC5" w:rsidRPr="001300A9" w:rsidRDefault="00EE7BC5" w:rsidP="00357CEC">
            <w:pPr>
              <w:pStyle w:val="Default"/>
              <w:rPr>
                <w:sz w:val="22"/>
                <w:szCs w:val="22"/>
              </w:rPr>
            </w:pPr>
          </w:p>
          <w:p w14:paraId="4CBFF7D5" w14:textId="77777777" w:rsidR="00EE7BC5" w:rsidRPr="001300A9" w:rsidRDefault="00EE7BC5" w:rsidP="00357CEC">
            <w:pPr>
              <w:pStyle w:val="Default"/>
              <w:rPr>
                <w:sz w:val="22"/>
                <w:szCs w:val="22"/>
              </w:rPr>
            </w:pPr>
          </w:p>
          <w:p w14:paraId="65430F29" w14:textId="77777777" w:rsidR="00EE7BC5" w:rsidRPr="001300A9" w:rsidRDefault="00EE7BC5" w:rsidP="00357CEC">
            <w:pPr>
              <w:pStyle w:val="Default"/>
              <w:rPr>
                <w:sz w:val="22"/>
                <w:szCs w:val="22"/>
              </w:rPr>
            </w:pPr>
          </w:p>
          <w:p w14:paraId="7931F74F" w14:textId="77777777" w:rsidR="00EE7BC5" w:rsidRPr="001300A9" w:rsidRDefault="00EE7BC5" w:rsidP="00357CEC">
            <w:pPr>
              <w:pStyle w:val="Default"/>
              <w:rPr>
                <w:sz w:val="22"/>
                <w:szCs w:val="22"/>
              </w:rPr>
            </w:pPr>
          </w:p>
          <w:p w14:paraId="759AF32A" w14:textId="77777777" w:rsidR="00EE7BC5" w:rsidRPr="001300A9" w:rsidRDefault="00EE7BC5" w:rsidP="00357CEC">
            <w:pPr>
              <w:pStyle w:val="Default"/>
              <w:rPr>
                <w:sz w:val="22"/>
                <w:szCs w:val="22"/>
              </w:rPr>
            </w:pPr>
          </w:p>
          <w:p w14:paraId="568673B8" w14:textId="77777777" w:rsidR="00EE7BC5" w:rsidRPr="001300A9" w:rsidRDefault="00EE7BC5" w:rsidP="00357CEC">
            <w:pPr>
              <w:pStyle w:val="Default"/>
              <w:rPr>
                <w:sz w:val="22"/>
                <w:szCs w:val="22"/>
              </w:rPr>
            </w:pPr>
          </w:p>
          <w:p w14:paraId="7BDF0981" w14:textId="77777777" w:rsidR="00EE7BC5" w:rsidRPr="001300A9" w:rsidRDefault="00EE7BC5" w:rsidP="00357CEC">
            <w:pPr>
              <w:pStyle w:val="Default"/>
              <w:rPr>
                <w:sz w:val="22"/>
                <w:szCs w:val="22"/>
              </w:rPr>
            </w:pPr>
          </w:p>
          <w:p w14:paraId="660F85D5" w14:textId="77777777" w:rsidR="00EE7BC5" w:rsidRPr="001300A9" w:rsidRDefault="00EE7BC5" w:rsidP="00357CEC">
            <w:pPr>
              <w:pStyle w:val="Default"/>
              <w:rPr>
                <w:sz w:val="22"/>
                <w:szCs w:val="22"/>
              </w:rPr>
            </w:pPr>
          </w:p>
          <w:p w14:paraId="76835FA3" w14:textId="77777777" w:rsidR="00EE7BC5" w:rsidRPr="001300A9" w:rsidRDefault="00EE7BC5" w:rsidP="00357CEC">
            <w:pPr>
              <w:pStyle w:val="Default"/>
              <w:rPr>
                <w:sz w:val="22"/>
                <w:szCs w:val="22"/>
              </w:rPr>
            </w:pPr>
          </w:p>
          <w:p w14:paraId="6E352CC2" w14:textId="77777777" w:rsidR="00EE7BC5" w:rsidRPr="001300A9" w:rsidRDefault="00EE7BC5" w:rsidP="00357CEC">
            <w:pPr>
              <w:pStyle w:val="Default"/>
              <w:rPr>
                <w:sz w:val="22"/>
                <w:szCs w:val="22"/>
              </w:rPr>
            </w:pPr>
          </w:p>
          <w:p w14:paraId="52A23A33" w14:textId="77777777" w:rsidR="00EE7BC5" w:rsidRPr="001300A9" w:rsidRDefault="00EE7BC5" w:rsidP="00357CEC">
            <w:pPr>
              <w:pStyle w:val="Default"/>
              <w:rPr>
                <w:sz w:val="22"/>
                <w:szCs w:val="22"/>
              </w:rPr>
            </w:pPr>
          </w:p>
          <w:p w14:paraId="69D3C7E9" w14:textId="77777777" w:rsidR="00EE7BC5" w:rsidRPr="001300A9" w:rsidRDefault="00EE7BC5" w:rsidP="00357CEC">
            <w:pPr>
              <w:pStyle w:val="Default"/>
              <w:rPr>
                <w:sz w:val="22"/>
                <w:szCs w:val="22"/>
              </w:rPr>
            </w:pPr>
          </w:p>
          <w:p w14:paraId="01390661" w14:textId="77777777" w:rsidR="00EE7BC5" w:rsidRPr="001300A9" w:rsidRDefault="00EE7BC5" w:rsidP="00357CEC">
            <w:pPr>
              <w:pStyle w:val="Default"/>
              <w:rPr>
                <w:sz w:val="22"/>
                <w:szCs w:val="22"/>
              </w:rPr>
            </w:pPr>
          </w:p>
          <w:p w14:paraId="0A22A965" w14:textId="77777777" w:rsidR="00EE7BC5" w:rsidRPr="001300A9" w:rsidRDefault="00EE7BC5" w:rsidP="00357CEC">
            <w:pPr>
              <w:pStyle w:val="Default"/>
              <w:rPr>
                <w:sz w:val="22"/>
                <w:szCs w:val="22"/>
              </w:rPr>
            </w:pPr>
          </w:p>
          <w:p w14:paraId="3B217B06" w14:textId="77777777" w:rsidR="00EE7BC5" w:rsidRPr="001300A9" w:rsidRDefault="00EE7BC5" w:rsidP="00357CEC">
            <w:pPr>
              <w:pStyle w:val="Default"/>
              <w:rPr>
                <w:sz w:val="22"/>
                <w:szCs w:val="22"/>
              </w:rPr>
            </w:pPr>
          </w:p>
          <w:p w14:paraId="62407486" w14:textId="77777777" w:rsidR="00EE7BC5" w:rsidRPr="001300A9" w:rsidRDefault="00EE7BC5" w:rsidP="00357CEC">
            <w:pPr>
              <w:pStyle w:val="Default"/>
              <w:rPr>
                <w:sz w:val="22"/>
                <w:szCs w:val="22"/>
              </w:rPr>
            </w:pPr>
          </w:p>
          <w:p w14:paraId="2170758F" w14:textId="77777777" w:rsidR="00EE7BC5" w:rsidRPr="001300A9" w:rsidRDefault="00EE7BC5" w:rsidP="00357CEC">
            <w:pPr>
              <w:pStyle w:val="Default"/>
              <w:rPr>
                <w:sz w:val="22"/>
                <w:szCs w:val="22"/>
              </w:rPr>
            </w:pPr>
          </w:p>
          <w:p w14:paraId="1A2D003D" w14:textId="77777777" w:rsidR="00EE7BC5" w:rsidRPr="001300A9" w:rsidRDefault="00EE7BC5" w:rsidP="00357CEC">
            <w:pPr>
              <w:pStyle w:val="Default"/>
              <w:rPr>
                <w:sz w:val="22"/>
                <w:szCs w:val="22"/>
              </w:rPr>
            </w:pPr>
          </w:p>
          <w:p w14:paraId="7716D117" w14:textId="77777777" w:rsidR="00EE7BC5" w:rsidRPr="001300A9" w:rsidRDefault="00EE7BC5" w:rsidP="00357CEC">
            <w:pPr>
              <w:pStyle w:val="Default"/>
              <w:rPr>
                <w:sz w:val="22"/>
                <w:szCs w:val="22"/>
              </w:rPr>
            </w:pPr>
          </w:p>
          <w:p w14:paraId="276D17A6" w14:textId="77777777" w:rsidR="00EE7BC5" w:rsidRPr="001300A9" w:rsidRDefault="00EE7BC5" w:rsidP="00357CEC">
            <w:pPr>
              <w:pStyle w:val="Default"/>
              <w:rPr>
                <w:sz w:val="22"/>
                <w:szCs w:val="22"/>
              </w:rPr>
            </w:pPr>
          </w:p>
          <w:p w14:paraId="524B816E" w14:textId="1AFBDB9A" w:rsidR="00EE7BC5" w:rsidRPr="001300A9" w:rsidRDefault="00EE7BC5" w:rsidP="00357CEC">
            <w:pPr>
              <w:pStyle w:val="Default"/>
              <w:rPr>
                <w:sz w:val="22"/>
                <w:szCs w:val="22"/>
              </w:rPr>
            </w:pPr>
          </w:p>
          <w:p w14:paraId="465ED6E4" w14:textId="77777777" w:rsidR="00056FC2" w:rsidRPr="001300A9" w:rsidRDefault="00056FC2" w:rsidP="00357CEC">
            <w:pPr>
              <w:pStyle w:val="Default"/>
              <w:rPr>
                <w:sz w:val="22"/>
                <w:szCs w:val="22"/>
              </w:rPr>
            </w:pPr>
          </w:p>
          <w:p w14:paraId="59203B5F" w14:textId="446851E8" w:rsidR="00056FC2" w:rsidRPr="001300A9" w:rsidRDefault="00056FC2" w:rsidP="00357CEC">
            <w:pPr>
              <w:pStyle w:val="Default"/>
              <w:rPr>
                <w:sz w:val="22"/>
                <w:szCs w:val="22"/>
              </w:rPr>
            </w:pPr>
          </w:p>
          <w:p w14:paraId="711B0054" w14:textId="33E8888F" w:rsidR="00056FC2" w:rsidRPr="001300A9" w:rsidRDefault="00056FC2" w:rsidP="00357CEC">
            <w:pPr>
              <w:pStyle w:val="Default"/>
              <w:rPr>
                <w:sz w:val="22"/>
                <w:szCs w:val="22"/>
              </w:rPr>
            </w:pPr>
          </w:p>
          <w:p w14:paraId="7ACB9B1B" w14:textId="700A4DBF" w:rsidR="00056FC2" w:rsidRPr="001300A9" w:rsidRDefault="00056FC2" w:rsidP="00357CEC">
            <w:pPr>
              <w:pStyle w:val="Default"/>
              <w:rPr>
                <w:sz w:val="22"/>
                <w:szCs w:val="22"/>
              </w:rPr>
            </w:pPr>
          </w:p>
          <w:p w14:paraId="56558ACD" w14:textId="2ABAC266" w:rsidR="00056FC2" w:rsidRPr="001300A9" w:rsidRDefault="00056FC2" w:rsidP="00357CEC">
            <w:pPr>
              <w:pStyle w:val="Default"/>
              <w:rPr>
                <w:sz w:val="22"/>
                <w:szCs w:val="22"/>
              </w:rPr>
            </w:pPr>
          </w:p>
          <w:p w14:paraId="59C09A6B" w14:textId="4CF0F321" w:rsidR="00056FC2" w:rsidRPr="001300A9" w:rsidRDefault="00056FC2" w:rsidP="00357CEC">
            <w:pPr>
              <w:pStyle w:val="Default"/>
              <w:rPr>
                <w:sz w:val="22"/>
                <w:szCs w:val="22"/>
              </w:rPr>
            </w:pPr>
          </w:p>
          <w:p w14:paraId="52AC2748" w14:textId="316BDD62" w:rsidR="00056FC2" w:rsidRPr="001300A9" w:rsidRDefault="00056FC2" w:rsidP="00357CEC">
            <w:pPr>
              <w:pStyle w:val="Default"/>
              <w:rPr>
                <w:sz w:val="22"/>
                <w:szCs w:val="22"/>
              </w:rPr>
            </w:pPr>
          </w:p>
          <w:p w14:paraId="1218C57B" w14:textId="5B5CC118" w:rsidR="00056FC2" w:rsidRPr="001300A9" w:rsidRDefault="00056FC2" w:rsidP="00357CEC">
            <w:pPr>
              <w:pStyle w:val="Default"/>
              <w:rPr>
                <w:sz w:val="22"/>
                <w:szCs w:val="22"/>
              </w:rPr>
            </w:pPr>
          </w:p>
          <w:p w14:paraId="1068A584" w14:textId="19A26CBB" w:rsidR="00056FC2" w:rsidRPr="001300A9" w:rsidRDefault="00056FC2" w:rsidP="00357CEC">
            <w:pPr>
              <w:pStyle w:val="Default"/>
              <w:rPr>
                <w:sz w:val="22"/>
                <w:szCs w:val="22"/>
              </w:rPr>
            </w:pPr>
          </w:p>
          <w:p w14:paraId="0732091F" w14:textId="25948CCE" w:rsidR="00056FC2" w:rsidRPr="001300A9" w:rsidRDefault="00056FC2" w:rsidP="00357CEC">
            <w:pPr>
              <w:pStyle w:val="Default"/>
              <w:rPr>
                <w:sz w:val="22"/>
                <w:szCs w:val="22"/>
              </w:rPr>
            </w:pPr>
          </w:p>
          <w:p w14:paraId="4EEA8A8F" w14:textId="16D273FB" w:rsidR="00056FC2" w:rsidRPr="001300A9" w:rsidRDefault="00056FC2" w:rsidP="00357CEC">
            <w:pPr>
              <w:pStyle w:val="Default"/>
              <w:rPr>
                <w:sz w:val="22"/>
                <w:szCs w:val="22"/>
              </w:rPr>
            </w:pPr>
          </w:p>
          <w:p w14:paraId="22B82A78" w14:textId="0E41FF9C" w:rsidR="00056FC2" w:rsidRPr="001300A9" w:rsidRDefault="00056FC2" w:rsidP="00357CEC">
            <w:pPr>
              <w:pStyle w:val="Default"/>
              <w:rPr>
                <w:sz w:val="22"/>
                <w:szCs w:val="22"/>
              </w:rPr>
            </w:pPr>
          </w:p>
          <w:p w14:paraId="14F7B820" w14:textId="7E5F5CCB" w:rsidR="00056FC2" w:rsidRPr="001300A9" w:rsidRDefault="00056FC2" w:rsidP="00357CEC">
            <w:pPr>
              <w:pStyle w:val="Default"/>
              <w:rPr>
                <w:sz w:val="22"/>
                <w:szCs w:val="22"/>
              </w:rPr>
            </w:pPr>
          </w:p>
          <w:p w14:paraId="2B77C84A" w14:textId="2D4B9221" w:rsidR="00056FC2" w:rsidRPr="001300A9" w:rsidRDefault="00056FC2" w:rsidP="00357CEC">
            <w:pPr>
              <w:pStyle w:val="Default"/>
              <w:rPr>
                <w:sz w:val="22"/>
                <w:szCs w:val="22"/>
              </w:rPr>
            </w:pPr>
          </w:p>
          <w:p w14:paraId="4731CE42" w14:textId="5CC2A4BF" w:rsidR="00056FC2" w:rsidRPr="001300A9" w:rsidRDefault="00056FC2" w:rsidP="00357CEC">
            <w:pPr>
              <w:pStyle w:val="Default"/>
              <w:rPr>
                <w:sz w:val="22"/>
                <w:szCs w:val="22"/>
              </w:rPr>
            </w:pPr>
          </w:p>
          <w:p w14:paraId="32372D5F" w14:textId="09D46444" w:rsidR="00056FC2" w:rsidRPr="001300A9" w:rsidRDefault="00056FC2" w:rsidP="00357CEC">
            <w:pPr>
              <w:pStyle w:val="Default"/>
              <w:rPr>
                <w:sz w:val="22"/>
                <w:szCs w:val="22"/>
              </w:rPr>
            </w:pPr>
          </w:p>
          <w:p w14:paraId="34173482" w14:textId="794634B7" w:rsidR="00056FC2" w:rsidRPr="001300A9" w:rsidRDefault="00056FC2" w:rsidP="00357CEC">
            <w:pPr>
              <w:pStyle w:val="Default"/>
              <w:rPr>
                <w:sz w:val="22"/>
                <w:szCs w:val="22"/>
              </w:rPr>
            </w:pPr>
          </w:p>
          <w:p w14:paraId="15615A5A" w14:textId="77777777" w:rsidR="00056FC2" w:rsidRPr="001300A9" w:rsidRDefault="00056FC2" w:rsidP="00357CEC">
            <w:pPr>
              <w:pStyle w:val="Default"/>
              <w:rPr>
                <w:sz w:val="22"/>
                <w:szCs w:val="22"/>
              </w:rPr>
            </w:pPr>
          </w:p>
          <w:p w14:paraId="2D018636" w14:textId="7DB4E28F" w:rsidR="00056FC2" w:rsidRPr="001300A9" w:rsidRDefault="00056FC2" w:rsidP="00357CEC">
            <w:pPr>
              <w:pStyle w:val="Default"/>
              <w:rPr>
                <w:sz w:val="22"/>
                <w:szCs w:val="22"/>
              </w:rPr>
            </w:pPr>
          </w:p>
        </w:tc>
        <w:tc>
          <w:tcPr>
            <w:tcW w:w="815" w:type="dxa"/>
          </w:tcPr>
          <w:p w14:paraId="2E867F3D" w14:textId="77777777" w:rsidR="00357CEC" w:rsidRPr="001300A9" w:rsidRDefault="00357CEC" w:rsidP="00357CEC">
            <w:pPr>
              <w:pStyle w:val="Default"/>
              <w:rPr>
                <w:sz w:val="22"/>
                <w:szCs w:val="22"/>
              </w:rPr>
            </w:pPr>
          </w:p>
        </w:tc>
      </w:tr>
      <w:tr w:rsidR="00DD6EDC" w:rsidRPr="001300A9" w14:paraId="266B4D8D" w14:textId="77777777" w:rsidTr="360410BC">
        <w:tc>
          <w:tcPr>
            <w:tcW w:w="562" w:type="dxa"/>
          </w:tcPr>
          <w:p w14:paraId="484643C0" w14:textId="77777777" w:rsidR="00357CEC" w:rsidRPr="001300A9" w:rsidRDefault="00357CEC" w:rsidP="00357CEC">
            <w:pPr>
              <w:pStyle w:val="Default"/>
              <w:rPr>
                <w:sz w:val="22"/>
                <w:szCs w:val="22"/>
              </w:rPr>
            </w:pPr>
            <w:r w:rsidRPr="001300A9">
              <w:rPr>
                <w:sz w:val="22"/>
                <w:szCs w:val="22"/>
              </w:rPr>
              <w:lastRenderedPageBreak/>
              <w:t>Č: 1</w:t>
            </w:r>
          </w:p>
          <w:p w14:paraId="4AA209C5" w14:textId="77777777" w:rsidR="00357CEC" w:rsidRPr="001300A9" w:rsidRDefault="00357CEC" w:rsidP="00357CEC">
            <w:pPr>
              <w:pStyle w:val="Default"/>
              <w:rPr>
                <w:sz w:val="22"/>
                <w:szCs w:val="22"/>
              </w:rPr>
            </w:pPr>
            <w:r w:rsidRPr="001300A9">
              <w:rPr>
                <w:sz w:val="22"/>
                <w:szCs w:val="22"/>
              </w:rPr>
              <w:t>O: 21</w:t>
            </w:r>
          </w:p>
          <w:p w14:paraId="455DAF6B" w14:textId="77777777" w:rsidR="00357CEC" w:rsidRPr="001300A9" w:rsidRDefault="00357CEC" w:rsidP="00357CEC">
            <w:pPr>
              <w:pStyle w:val="Default"/>
              <w:rPr>
                <w:sz w:val="22"/>
                <w:szCs w:val="22"/>
              </w:rPr>
            </w:pPr>
            <w:r w:rsidRPr="001300A9">
              <w:rPr>
                <w:sz w:val="22"/>
                <w:szCs w:val="22"/>
              </w:rPr>
              <w:t>P: e)</w:t>
            </w:r>
          </w:p>
        </w:tc>
        <w:tc>
          <w:tcPr>
            <w:tcW w:w="4820" w:type="dxa"/>
          </w:tcPr>
          <w:p w14:paraId="361F8871" w14:textId="77777777" w:rsidR="00357CEC" w:rsidRPr="001300A9" w:rsidRDefault="00357CEC" w:rsidP="00357CEC">
            <w:pPr>
              <w:pStyle w:val="Default"/>
              <w:rPr>
                <w:sz w:val="22"/>
                <w:szCs w:val="22"/>
              </w:rPr>
            </w:pPr>
            <w:r w:rsidRPr="001300A9">
              <w:rPr>
                <w:sz w:val="22"/>
                <w:szCs w:val="22"/>
              </w:rPr>
              <w:t>3-a. Ak je to potrebné a tak dlho, ako to bude potrebné s cieľom chrániť environmentálnu integritu systému EU ETS, sa prevádzkovateľom, prevádzkovateľom lietadiel a lodným spoločnostiam v rámci systému EU ETS zakazuje používanie kvót, ktoré vydáva členský štát, v prípade ktorého prestávajú platiť povinnosti týkajúce sa prevádzkovateľov, prevádzkovateľov lietadiel a lodných spoločností. Delegované akty uvedené v článku 19 ods. 3 určia opatrenia, ktoré sa zavedú v prípadoch uvedených v tomto odseku.</w:t>
            </w:r>
          </w:p>
        </w:tc>
        <w:tc>
          <w:tcPr>
            <w:tcW w:w="567" w:type="dxa"/>
          </w:tcPr>
          <w:p w14:paraId="72C23874" w14:textId="77777777" w:rsidR="00357CEC" w:rsidRPr="001300A9" w:rsidRDefault="00357CEC" w:rsidP="00357CEC">
            <w:pPr>
              <w:pStyle w:val="Default"/>
              <w:rPr>
                <w:sz w:val="22"/>
                <w:szCs w:val="22"/>
              </w:rPr>
            </w:pPr>
            <w:proofErr w:type="spellStart"/>
            <w:r w:rsidRPr="001300A9">
              <w:rPr>
                <w:sz w:val="22"/>
                <w:szCs w:val="22"/>
              </w:rPr>
              <w:t>n.a</w:t>
            </w:r>
            <w:proofErr w:type="spellEnd"/>
            <w:r w:rsidRPr="001300A9">
              <w:rPr>
                <w:sz w:val="22"/>
                <w:szCs w:val="22"/>
              </w:rPr>
              <w:t>.</w:t>
            </w:r>
          </w:p>
        </w:tc>
        <w:tc>
          <w:tcPr>
            <w:tcW w:w="283" w:type="dxa"/>
          </w:tcPr>
          <w:p w14:paraId="1FFCBF71" w14:textId="77777777" w:rsidR="00357CEC" w:rsidRPr="001300A9" w:rsidRDefault="00357CEC" w:rsidP="00357CEC">
            <w:pPr>
              <w:pStyle w:val="Default"/>
              <w:rPr>
                <w:sz w:val="22"/>
                <w:szCs w:val="22"/>
              </w:rPr>
            </w:pPr>
          </w:p>
        </w:tc>
        <w:tc>
          <w:tcPr>
            <w:tcW w:w="567" w:type="dxa"/>
          </w:tcPr>
          <w:p w14:paraId="3E490AEC" w14:textId="77777777" w:rsidR="00357CEC" w:rsidRPr="001300A9" w:rsidRDefault="00357CEC" w:rsidP="00357CEC">
            <w:pPr>
              <w:pStyle w:val="Default"/>
              <w:rPr>
                <w:sz w:val="22"/>
                <w:szCs w:val="22"/>
              </w:rPr>
            </w:pPr>
          </w:p>
        </w:tc>
        <w:tc>
          <w:tcPr>
            <w:tcW w:w="4253" w:type="dxa"/>
          </w:tcPr>
          <w:p w14:paraId="1334D468" w14:textId="77777777" w:rsidR="00357CEC" w:rsidRPr="001300A9" w:rsidRDefault="00357CEC" w:rsidP="00357CEC">
            <w:pPr>
              <w:pStyle w:val="Default"/>
              <w:rPr>
                <w:sz w:val="22"/>
                <w:szCs w:val="22"/>
              </w:rPr>
            </w:pPr>
          </w:p>
        </w:tc>
        <w:tc>
          <w:tcPr>
            <w:tcW w:w="567" w:type="dxa"/>
          </w:tcPr>
          <w:p w14:paraId="6CC556FF" w14:textId="77777777" w:rsidR="00357CEC" w:rsidRPr="001300A9" w:rsidRDefault="00357CEC" w:rsidP="00357CEC">
            <w:pPr>
              <w:pStyle w:val="Default"/>
              <w:rPr>
                <w:sz w:val="22"/>
                <w:szCs w:val="22"/>
              </w:rPr>
            </w:pPr>
          </w:p>
        </w:tc>
        <w:tc>
          <w:tcPr>
            <w:tcW w:w="1276" w:type="dxa"/>
          </w:tcPr>
          <w:p w14:paraId="69A75DD5" w14:textId="77777777" w:rsidR="00357CEC" w:rsidRPr="001300A9" w:rsidRDefault="00357CEC" w:rsidP="00357CEC">
            <w:pPr>
              <w:pStyle w:val="Default"/>
              <w:rPr>
                <w:sz w:val="22"/>
                <w:szCs w:val="22"/>
              </w:rPr>
            </w:pPr>
          </w:p>
        </w:tc>
        <w:tc>
          <w:tcPr>
            <w:tcW w:w="850" w:type="dxa"/>
          </w:tcPr>
          <w:p w14:paraId="54C7B57B" w14:textId="77777777" w:rsidR="00357CEC" w:rsidRPr="001300A9" w:rsidRDefault="00357CEC" w:rsidP="00357CEC">
            <w:pPr>
              <w:pStyle w:val="Default"/>
              <w:rPr>
                <w:sz w:val="22"/>
                <w:szCs w:val="22"/>
              </w:rPr>
            </w:pPr>
          </w:p>
        </w:tc>
        <w:tc>
          <w:tcPr>
            <w:tcW w:w="815" w:type="dxa"/>
          </w:tcPr>
          <w:p w14:paraId="0C8A0841" w14:textId="77777777" w:rsidR="00357CEC" w:rsidRPr="001300A9" w:rsidRDefault="00357CEC" w:rsidP="00357CEC">
            <w:pPr>
              <w:pStyle w:val="Default"/>
              <w:rPr>
                <w:sz w:val="22"/>
                <w:szCs w:val="22"/>
              </w:rPr>
            </w:pPr>
          </w:p>
        </w:tc>
      </w:tr>
      <w:tr w:rsidR="00DD6EDC" w:rsidRPr="001300A9" w14:paraId="706D6D14" w14:textId="77777777" w:rsidTr="360410BC">
        <w:tc>
          <w:tcPr>
            <w:tcW w:w="562" w:type="dxa"/>
          </w:tcPr>
          <w:p w14:paraId="7D8AECF1" w14:textId="77777777" w:rsidR="00357CEC" w:rsidRPr="001300A9" w:rsidRDefault="00357CEC" w:rsidP="00357CEC">
            <w:pPr>
              <w:pStyle w:val="Default"/>
              <w:rPr>
                <w:sz w:val="22"/>
                <w:szCs w:val="22"/>
              </w:rPr>
            </w:pPr>
            <w:r w:rsidRPr="001300A9">
              <w:rPr>
                <w:sz w:val="22"/>
                <w:szCs w:val="22"/>
              </w:rPr>
              <w:t>Č: 1</w:t>
            </w:r>
          </w:p>
          <w:p w14:paraId="55B0C7C5" w14:textId="77777777" w:rsidR="00357CEC" w:rsidRPr="001300A9" w:rsidRDefault="00357CEC" w:rsidP="00357CEC">
            <w:pPr>
              <w:pStyle w:val="Default"/>
              <w:rPr>
                <w:sz w:val="22"/>
                <w:szCs w:val="22"/>
              </w:rPr>
            </w:pPr>
            <w:r w:rsidRPr="001300A9">
              <w:rPr>
                <w:sz w:val="22"/>
                <w:szCs w:val="22"/>
              </w:rPr>
              <w:t>O: 21</w:t>
            </w:r>
          </w:p>
          <w:p w14:paraId="79ECB1E5" w14:textId="77777777" w:rsidR="00357CEC" w:rsidRPr="001300A9" w:rsidRDefault="00357CEC" w:rsidP="00357CEC">
            <w:pPr>
              <w:pStyle w:val="Default"/>
              <w:rPr>
                <w:sz w:val="22"/>
                <w:szCs w:val="22"/>
              </w:rPr>
            </w:pPr>
            <w:r w:rsidRPr="001300A9">
              <w:rPr>
                <w:sz w:val="22"/>
                <w:szCs w:val="22"/>
              </w:rPr>
              <w:t>P: f)</w:t>
            </w:r>
          </w:p>
        </w:tc>
        <w:tc>
          <w:tcPr>
            <w:tcW w:w="4820" w:type="dxa"/>
          </w:tcPr>
          <w:p w14:paraId="08719C86" w14:textId="77777777" w:rsidR="00357CEC" w:rsidRPr="001300A9" w:rsidRDefault="00357CEC" w:rsidP="00357CEC">
            <w:pPr>
              <w:pStyle w:val="Default"/>
              <w:rPr>
                <w:sz w:val="22"/>
                <w:szCs w:val="22"/>
              </w:rPr>
            </w:pPr>
            <w:r w:rsidRPr="001300A9">
              <w:rPr>
                <w:sz w:val="22"/>
                <w:szCs w:val="22"/>
              </w:rPr>
              <w:t>3b. Povinnosť odovzdať kvóty nevzniká v súvislosti s emisiami skleníkových plynov, ktoré sa považujú za zachytené a využívané takým spôsobom, že sa stali trvalo chemicky viazané v produkte tak, aby pri jeho bežnom používaní vrátane akejkoľvek bežnej činnosti, ku ktorej dochádza po skončení životnosti produktu, neunikali do atmosféry.</w:t>
            </w:r>
          </w:p>
          <w:p w14:paraId="098E7DC0" w14:textId="77777777" w:rsidR="00357CEC" w:rsidRPr="001300A9" w:rsidRDefault="00357CEC" w:rsidP="00357CEC">
            <w:pPr>
              <w:pStyle w:val="Default"/>
              <w:rPr>
                <w:sz w:val="22"/>
                <w:szCs w:val="22"/>
              </w:rPr>
            </w:pPr>
          </w:p>
          <w:p w14:paraId="3A7AE3A6" w14:textId="77777777" w:rsidR="00357CEC" w:rsidRPr="001300A9" w:rsidRDefault="00357CEC" w:rsidP="00357CEC">
            <w:pPr>
              <w:pStyle w:val="Default"/>
              <w:rPr>
                <w:sz w:val="22"/>
                <w:szCs w:val="22"/>
              </w:rPr>
            </w:pPr>
            <w:r w:rsidRPr="001300A9">
              <w:rPr>
                <w:sz w:val="22"/>
                <w:szCs w:val="22"/>
              </w:rPr>
              <w:t xml:space="preserve">Komisia prijme delegované akty v súlade s článkom 23 s cieľom doplniť túto smernicu týkajúce sa požiadaviek súvisiacich s posudzovaním, či sa skleníkové plyny stali trvalo chemicky viazané, ako sa uvádza v prvom </w:t>
            </w:r>
            <w:proofErr w:type="spellStart"/>
            <w:r w:rsidRPr="001300A9">
              <w:rPr>
                <w:sz w:val="22"/>
                <w:szCs w:val="22"/>
              </w:rPr>
              <w:t>pododseku</w:t>
            </w:r>
            <w:proofErr w:type="spellEnd"/>
            <w:r w:rsidRPr="001300A9">
              <w:rPr>
                <w:sz w:val="22"/>
                <w:szCs w:val="22"/>
              </w:rPr>
              <w:t xml:space="preserve"> tohto odseku.</w:t>
            </w:r>
          </w:p>
        </w:tc>
        <w:tc>
          <w:tcPr>
            <w:tcW w:w="567" w:type="dxa"/>
          </w:tcPr>
          <w:p w14:paraId="177C3A4A" w14:textId="77777777" w:rsidR="00357CEC" w:rsidRPr="001300A9" w:rsidRDefault="00357CEC" w:rsidP="00357CEC">
            <w:pPr>
              <w:pStyle w:val="Default"/>
              <w:rPr>
                <w:sz w:val="22"/>
                <w:szCs w:val="22"/>
              </w:rPr>
            </w:pPr>
            <w:r w:rsidRPr="001300A9">
              <w:rPr>
                <w:sz w:val="22"/>
                <w:szCs w:val="22"/>
              </w:rPr>
              <w:t>N</w:t>
            </w:r>
          </w:p>
          <w:p w14:paraId="67C8EA95" w14:textId="77777777" w:rsidR="00357CEC" w:rsidRPr="001300A9" w:rsidRDefault="00357CEC" w:rsidP="00357CEC">
            <w:pPr>
              <w:pStyle w:val="Default"/>
              <w:rPr>
                <w:sz w:val="22"/>
                <w:szCs w:val="22"/>
              </w:rPr>
            </w:pPr>
          </w:p>
          <w:p w14:paraId="21DC5210" w14:textId="77777777" w:rsidR="00357CEC" w:rsidRPr="001300A9" w:rsidRDefault="00357CEC" w:rsidP="00357CEC">
            <w:pPr>
              <w:pStyle w:val="Default"/>
              <w:rPr>
                <w:sz w:val="22"/>
                <w:szCs w:val="22"/>
              </w:rPr>
            </w:pPr>
          </w:p>
          <w:p w14:paraId="2BAB57BD" w14:textId="77777777" w:rsidR="00056FC2" w:rsidRPr="001300A9" w:rsidRDefault="00056FC2" w:rsidP="00357CEC">
            <w:pPr>
              <w:pStyle w:val="Default"/>
              <w:rPr>
                <w:sz w:val="22"/>
                <w:szCs w:val="22"/>
              </w:rPr>
            </w:pPr>
          </w:p>
          <w:p w14:paraId="46AD1331" w14:textId="77777777" w:rsidR="00056FC2" w:rsidRPr="001300A9" w:rsidRDefault="00056FC2" w:rsidP="00357CEC">
            <w:pPr>
              <w:pStyle w:val="Default"/>
              <w:rPr>
                <w:sz w:val="22"/>
                <w:szCs w:val="22"/>
              </w:rPr>
            </w:pPr>
          </w:p>
          <w:p w14:paraId="60A6B487" w14:textId="77777777" w:rsidR="00056FC2" w:rsidRPr="001300A9" w:rsidRDefault="00056FC2" w:rsidP="00357CEC">
            <w:pPr>
              <w:pStyle w:val="Default"/>
              <w:rPr>
                <w:sz w:val="22"/>
                <w:szCs w:val="22"/>
              </w:rPr>
            </w:pPr>
          </w:p>
          <w:p w14:paraId="22D5320C" w14:textId="77777777" w:rsidR="00056FC2" w:rsidRPr="001300A9" w:rsidRDefault="00056FC2" w:rsidP="00357CEC">
            <w:pPr>
              <w:pStyle w:val="Default"/>
              <w:rPr>
                <w:sz w:val="22"/>
                <w:szCs w:val="22"/>
              </w:rPr>
            </w:pPr>
          </w:p>
          <w:p w14:paraId="290889D2" w14:textId="77777777" w:rsidR="00056FC2" w:rsidRPr="001300A9" w:rsidRDefault="00056FC2" w:rsidP="00357CEC">
            <w:pPr>
              <w:pStyle w:val="Default"/>
              <w:rPr>
                <w:sz w:val="22"/>
                <w:szCs w:val="22"/>
              </w:rPr>
            </w:pPr>
          </w:p>
          <w:p w14:paraId="55B84CD4" w14:textId="7C9E4540" w:rsidR="4792BE4F" w:rsidRDefault="4792BE4F" w:rsidP="4792BE4F">
            <w:pPr>
              <w:pStyle w:val="Default"/>
              <w:rPr>
                <w:sz w:val="22"/>
                <w:szCs w:val="22"/>
              </w:rPr>
            </w:pPr>
          </w:p>
          <w:p w14:paraId="1C44F3ED" w14:textId="67EDCE19" w:rsidR="00357CEC" w:rsidRPr="001300A9" w:rsidRDefault="00357CEC" w:rsidP="00357CEC">
            <w:pPr>
              <w:pStyle w:val="Default"/>
              <w:rPr>
                <w:sz w:val="22"/>
                <w:szCs w:val="22"/>
              </w:rPr>
            </w:pPr>
            <w:proofErr w:type="spellStart"/>
            <w:r w:rsidRPr="001300A9">
              <w:rPr>
                <w:sz w:val="22"/>
                <w:szCs w:val="22"/>
              </w:rPr>
              <w:t>n.a</w:t>
            </w:r>
            <w:proofErr w:type="spellEnd"/>
            <w:r w:rsidRPr="001300A9">
              <w:rPr>
                <w:sz w:val="22"/>
                <w:szCs w:val="22"/>
              </w:rPr>
              <w:t>.</w:t>
            </w:r>
          </w:p>
        </w:tc>
        <w:tc>
          <w:tcPr>
            <w:tcW w:w="283" w:type="dxa"/>
          </w:tcPr>
          <w:p w14:paraId="1C4E82D9" w14:textId="202E20C3" w:rsidR="00357CEC" w:rsidRPr="001300A9" w:rsidRDefault="00436704" w:rsidP="00357CEC">
            <w:pPr>
              <w:pStyle w:val="Default"/>
              <w:rPr>
                <w:sz w:val="22"/>
                <w:szCs w:val="22"/>
              </w:rPr>
            </w:pPr>
            <w:r>
              <w:rPr>
                <w:sz w:val="22"/>
                <w:szCs w:val="22"/>
              </w:rPr>
              <w:t>NZ</w:t>
            </w:r>
          </w:p>
        </w:tc>
        <w:tc>
          <w:tcPr>
            <w:tcW w:w="567" w:type="dxa"/>
          </w:tcPr>
          <w:p w14:paraId="501BF641" w14:textId="405E6739" w:rsidR="00DA3F1C" w:rsidRPr="006C1C99" w:rsidRDefault="006C1C99" w:rsidP="00056FC2">
            <w:pPr>
              <w:pStyle w:val="Default"/>
              <w:rPr>
                <w:sz w:val="22"/>
                <w:szCs w:val="22"/>
              </w:rPr>
            </w:pPr>
            <w:r>
              <w:rPr>
                <w:sz w:val="22"/>
                <w:szCs w:val="22"/>
              </w:rPr>
              <w:t>Č:I§:20 O:14</w:t>
            </w:r>
            <w:r w:rsidR="00DA3F1C" w:rsidRPr="006C1C99">
              <w:rPr>
                <w:sz w:val="22"/>
                <w:szCs w:val="22"/>
              </w:rPr>
              <w:t xml:space="preserve"> </w:t>
            </w:r>
          </w:p>
          <w:p w14:paraId="57260268" w14:textId="62380A56" w:rsidR="00056FC2" w:rsidRPr="001300A9" w:rsidRDefault="00DA3F1C" w:rsidP="00056FC2">
            <w:pPr>
              <w:pStyle w:val="Default"/>
              <w:rPr>
                <w:sz w:val="22"/>
                <w:szCs w:val="22"/>
              </w:rPr>
            </w:pPr>
            <w:r w:rsidRPr="006C1C99">
              <w:rPr>
                <w:sz w:val="22"/>
                <w:szCs w:val="22"/>
              </w:rPr>
              <w:t>P:b</w:t>
            </w:r>
          </w:p>
          <w:p w14:paraId="0AFE77B5" w14:textId="77777777" w:rsidR="00357CEC" w:rsidRPr="001300A9" w:rsidRDefault="00357CEC" w:rsidP="00357CEC">
            <w:pPr>
              <w:pStyle w:val="Default"/>
              <w:rPr>
                <w:sz w:val="22"/>
                <w:szCs w:val="22"/>
              </w:rPr>
            </w:pPr>
          </w:p>
        </w:tc>
        <w:tc>
          <w:tcPr>
            <w:tcW w:w="4253" w:type="dxa"/>
          </w:tcPr>
          <w:p w14:paraId="5F43090F" w14:textId="109EBEC5" w:rsidR="00357CEC" w:rsidRPr="001300A9" w:rsidRDefault="00056FC2" w:rsidP="00357CEC">
            <w:pPr>
              <w:pStyle w:val="Default"/>
              <w:rPr>
                <w:sz w:val="22"/>
                <w:szCs w:val="22"/>
              </w:rPr>
            </w:pPr>
            <w:r w:rsidRPr="001300A9">
              <w:rPr>
                <w:sz w:val="22"/>
                <w:szCs w:val="22"/>
              </w:rPr>
              <w:t xml:space="preserve">b) </w:t>
            </w:r>
            <w:r w:rsidR="00B84959" w:rsidRPr="00B84959">
              <w:rPr>
                <w:sz w:val="22"/>
                <w:szCs w:val="22"/>
              </w:rPr>
              <w:t>v súvislosti s emisiami skleníkových plynov prevádzok, ktoré sa považujú za zachytené a využívané takým spôsobom, že sa stali trvalo chemicky viazané v produkte tak, aby pri jeho bežnom používaní vrátane akejkoľvek bežnej činnosti, ku ktorej dochádza po skončení životnosti produktu, neunikali do atmosféry.</w:t>
            </w:r>
          </w:p>
        </w:tc>
        <w:tc>
          <w:tcPr>
            <w:tcW w:w="567" w:type="dxa"/>
          </w:tcPr>
          <w:p w14:paraId="29BF6808" w14:textId="479C16FA" w:rsidR="00357CEC" w:rsidRPr="001300A9" w:rsidRDefault="00056FC2" w:rsidP="00357CEC">
            <w:pPr>
              <w:pStyle w:val="Default"/>
              <w:rPr>
                <w:sz w:val="22"/>
                <w:szCs w:val="22"/>
              </w:rPr>
            </w:pPr>
            <w:r w:rsidRPr="001300A9">
              <w:rPr>
                <w:sz w:val="22"/>
                <w:szCs w:val="22"/>
              </w:rPr>
              <w:t>Ú</w:t>
            </w:r>
          </w:p>
        </w:tc>
        <w:tc>
          <w:tcPr>
            <w:tcW w:w="1276" w:type="dxa"/>
          </w:tcPr>
          <w:p w14:paraId="2F06BDBE" w14:textId="77777777" w:rsidR="00357CEC" w:rsidRPr="001300A9" w:rsidRDefault="00357CEC" w:rsidP="00357CEC">
            <w:pPr>
              <w:pStyle w:val="Default"/>
              <w:rPr>
                <w:sz w:val="22"/>
                <w:szCs w:val="22"/>
              </w:rPr>
            </w:pPr>
          </w:p>
        </w:tc>
        <w:tc>
          <w:tcPr>
            <w:tcW w:w="850" w:type="dxa"/>
          </w:tcPr>
          <w:p w14:paraId="30A9FCC3" w14:textId="56D79A29" w:rsidR="00357CEC" w:rsidRPr="001300A9" w:rsidRDefault="00056FC2" w:rsidP="00357CEC">
            <w:pPr>
              <w:pStyle w:val="Default"/>
              <w:rPr>
                <w:sz w:val="22"/>
                <w:szCs w:val="22"/>
              </w:rPr>
            </w:pPr>
            <w:r w:rsidRPr="001300A9">
              <w:rPr>
                <w:sz w:val="22"/>
                <w:szCs w:val="22"/>
              </w:rPr>
              <w:t>GP - N</w:t>
            </w:r>
          </w:p>
        </w:tc>
        <w:tc>
          <w:tcPr>
            <w:tcW w:w="815" w:type="dxa"/>
          </w:tcPr>
          <w:p w14:paraId="04529D69" w14:textId="77777777" w:rsidR="00357CEC" w:rsidRPr="001300A9" w:rsidRDefault="00357CEC" w:rsidP="00357CEC">
            <w:pPr>
              <w:pStyle w:val="Default"/>
              <w:rPr>
                <w:sz w:val="22"/>
                <w:szCs w:val="22"/>
              </w:rPr>
            </w:pPr>
          </w:p>
        </w:tc>
      </w:tr>
      <w:tr w:rsidR="00DD6EDC" w:rsidRPr="001300A9" w14:paraId="45B9DDB6" w14:textId="77777777" w:rsidTr="360410BC">
        <w:tc>
          <w:tcPr>
            <w:tcW w:w="562" w:type="dxa"/>
          </w:tcPr>
          <w:p w14:paraId="30FE915A" w14:textId="77777777" w:rsidR="00357CEC" w:rsidRPr="001300A9" w:rsidRDefault="00357CEC" w:rsidP="00357CEC">
            <w:pPr>
              <w:pStyle w:val="Default"/>
              <w:rPr>
                <w:sz w:val="22"/>
                <w:szCs w:val="22"/>
              </w:rPr>
            </w:pPr>
            <w:r w:rsidRPr="001300A9">
              <w:rPr>
                <w:sz w:val="22"/>
                <w:szCs w:val="22"/>
              </w:rPr>
              <w:t>Č: 1</w:t>
            </w:r>
          </w:p>
          <w:p w14:paraId="311AF18E" w14:textId="77777777" w:rsidR="00357CEC" w:rsidRPr="001300A9" w:rsidRDefault="00357CEC" w:rsidP="00357CEC">
            <w:pPr>
              <w:pStyle w:val="Default"/>
              <w:rPr>
                <w:sz w:val="22"/>
                <w:szCs w:val="22"/>
              </w:rPr>
            </w:pPr>
            <w:r w:rsidRPr="001300A9">
              <w:rPr>
                <w:sz w:val="22"/>
                <w:szCs w:val="22"/>
              </w:rPr>
              <w:t>O: 21</w:t>
            </w:r>
          </w:p>
          <w:p w14:paraId="71B18F7A" w14:textId="77777777" w:rsidR="00357CEC" w:rsidRPr="001300A9" w:rsidRDefault="00357CEC" w:rsidP="00357CEC">
            <w:pPr>
              <w:pStyle w:val="Default"/>
              <w:rPr>
                <w:sz w:val="22"/>
                <w:szCs w:val="22"/>
              </w:rPr>
            </w:pPr>
            <w:r w:rsidRPr="001300A9">
              <w:rPr>
                <w:sz w:val="22"/>
                <w:szCs w:val="22"/>
              </w:rPr>
              <w:t>P: g)</w:t>
            </w:r>
          </w:p>
        </w:tc>
        <w:tc>
          <w:tcPr>
            <w:tcW w:w="4820" w:type="dxa"/>
          </w:tcPr>
          <w:p w14:paraId="43DA32AE" w14:textId="77777777" w:rsidR="00357CEC" w:rsidRPr="001300A9" w:rsidRDefault="00357CEC" w:rsidP="00357CEC">
            <w:pPr>
              <w:pStyle w:val="Default"/>
              <w:rPr>
                <w:sz w:val="22"/>
                <w:szCs w:val="22"/>
              </w:rPr>
            </w:pPr>
            <w:r w:rsidRPr="001300A9">
              <w:rPr>
                <w:sz w:val="22"/>
                <w:szCs w:val="22"/>
              </w:rPr>
              <w:t>4. Členské štáty vykonajú potrebné kroky, aby sa kvóty zrušili, kedykoľvek o to požiada ich držiteľ. V prípade uzavretia výrobnej kapacity elektrickej energie na ich území v dôsledku dodatočných vnútroštátnych opatrení môžu členské štáty, a dôrazne sa k tomu nabádajú, zrušiť kvóty z celkového množstva kvót, s ktorými majú obchodovať formou aukcie podľa článku 10 ods. 2, až do sumy zodpo</w:t>
            </w:r>
            <w:r w:rsidRPr="001300A9">
              <w:rPr>
                <w:sz w:val="22"/>
                <w:szCs w:val="22"/>
              </w:rPr>
              <w:lastRenderedPageBreak/>
              <w:t>vedajúcej priemerným overeným emisiám dotknutého zariadenia v období piatich rokov pred uzavretím. Dotknutý členský štát informuje Komisiu o takomto plánovanom zrušení alebo dôvodoch nezrušenia v súlade s delegovanými aktmi prijatými podľa článku 10 ods. 4.</w:t>
            </w:r>
          </w:p>
        </w:tc>
        <w:tc>
          <w:tcPr>
            <w:tcW w:w="567" w:type="dxa"/>
          </w:tcPr>
          <w:p w14:paraId="24D724B0" w14:textId="423E34AC" w:rsidR="00357CEC" w:rsidRPr="001300A9" w:rsidRDefault="00383D96" w:rsidP="00357CEC">
            <w:pPr>
              <w:pStyle w:val="Default"/>
              <w:rPr>
                <w:sz w:val="22"/>
                <w:szCs w:val="22"/>
              </w:rPr>
            </w:pPr>
            <w:proofErr w:type="spellStart"/>
            <w:r w:rsidRPr="001300A9">
              <w:rPr>
                <w:sz w:val="22"/>
                <w:szCs w:val="22"/>
              </w:rPr>
              <w:lastRenderedPageBreak/>
              <w:t>n.a</w:t>
            </w:r>
            <w:proofErr w:type="spellEnd"/>
            <w:r w:rsidRPr="001300A9">
              <w:rPr>
                <w:sz w:val="22"/>
                <w:szCs w:val="22"/>
              </w:rPr>
              <w:t>.</w:t>
            </w:r>
          </w:p>
        </w:tc>
        <w:tc>
          <w:tcPr>
            <w:tcW w:w="283" w:type="dxa"/>
          </w:tcPr>
          <w:p w14:paraId="6CA747DB" w14:textId="77777777" w:rsidR="00357CEC" w:rsidRPr="001300A9" w:rsidRDefault="00357CEC" w:rsidP="00357CEC">
            <w:pPr>
              <w:pStyle w:val="Default"/>
              <w:rPr>
                <w:sz w:val="22"/>
                <w:szCs w:val="22"/>
              </w:rPr>
            </w:pPr>
          </w:p>
        </w:tc>
        <w:tc>
          <w:tcPr>
            <w:tcW w:w="567" w:type="dxa"/>
          </w:tcPr>
          <w:p w14:paraId="687C872E" w14:textId="77777777" w:rsidR="00357CEC" w:rsidRPr="001300A9" w:rsidRDefault="00357CEC" w:rsidP="00357CEC">
            <w:pPr>
              <w:pStyle w:val="Default"/>
              <w:rPr>
                <w:sz w:val="22"/>
                <w:szCs w:val="22"/>
              </w:rPr>
            </w:pPr>
          </w:p>
        </w:tc>
        <w:tc>
          <w:tcPr>
            <w:tcW w:w="4253" w:type="dxa"/>
          </w:tcPr>
          <w:p w14:paraId="0C5ADBD6" w14:textId="77777777" w:rsidR="00357CEC" w:rsidRPr="001300A9" w:rsidRDefault="00357CEC" w:rsidP="00357CEC">
            <w:pPr>
              <w:pStyle w:val="Default"/>
              <w:rPr>
                <w:sz w:val="22"/>
                <w:szCs w:val="22"/>
              </w:rPr>
            </w:pPr>
          </w:p>
        </w:tc>
        <w:tc>
          <w:tcPr>
            <w:tcW w:w="567" w:type="dxa"/>
          </w:tcPr>
          <w:p w14:paraId="14B05858" w14:textId="77777777" w:rsidR="00357CEC" w:rsidRPr="001300A9" w:rsidRDefault="00357CEC" w:rsidP="00357CEC">
            <w:pPr>
              <w:pStyle w:val="Default"/>
              <w:rPr>
                <w:sz w:val="22"/>
                <w:szCs w:val="22"/>
              </w:rPr>
            </w:pPr>
          </w:p>
        </w:tc>
        <w:tc>
          <w:tcPr>
            <w:tcW w:w="1276" w:type="dxa"/>
          </w:tcPr>
          <w:p w14:paraId="4C39D2E7" w14:textId="027AB86A" w:rsidR="00357CEC" w:rsidRPr="001300A9" w:rsidRDefault="00B9527B" w:rsidP="00357CEC">
            <w:pPr>
              <w:pStyle w:val="Default"/>
              <w:rPr>
                <w:sz w:val="22"/>
                <w:szCs w:val="22"/>
              </w:rPr>
            </w:pPr>
            <w:r w:rsidRPr="00B9527B">
              <w:rPr>
                <w:sz w:val="22"/>
                <w:szCs w:val="22"/>
              </w:rPr>
              <w:t>Implementácia sa vykonáva v súlade s čl. 25 delegovaného nariadenia (EÚ) 2023/2830.</w:t>
            </w:r>
          </w:p>
        </w:tc>
        <w:tc>
          <w:tcPr>
            <w:tcW w:w="850" w:type="dxa"/>
          </w:tcPr>
          <w:p w14:paraId="615CC4D4" w14:textId="77777777" w:rsidR="00357CEC" w:rsidRPr="001300A9" w:rsidRDefault="00357CEC" w:rsidP="00357CEC">
            <w:pPr>
              <w:pStyle w:val="Default"/>
              <w:rPr>
                <w:sz w:val="22"/>
                <w:szCs w:val="22"/>
              </w:rPr>
            </w:pPr>
          </w:p>
        </w:tc>
        <w:tc>
          <w:tcPr>
            <w:tcW w:w="815" w:type="dxa"/>
          </w:tcPr>
          <w:p w14:paraId="3EF7DBD9" w14:textId="77777777" w:rsidR="00357CEC" w:rsidRPr="001300A9" w:rsidRDefault="00357CEC" w:rsidP="00357CEC">
            <w:pPr>
              <w:pStyle w:val="Default"/>
              <w:rPr>
                <w:sz w:val="22"/>
                <w:szCs w:val="22"/>
              </w:rPr>
            </w:pPr>
          </w:p>
        </w:tc>
      </w:tr>
      <w:tr w:rsidR="00DD6EDC" w:rsidRPr="001300A9" w14:paraId="1D2C3FA0" w14:textId="77777777" w:rsidTr="360410BC">
        <w:tc>
          <w:tcPr>
            <w:tcW w:w="562" w:type="dxa"/>
          </w:tcPr>
          <w:p w14:paraId="067B6CB5" w14:textId="77777777" w:rsidR="00357CEC" w:rsidRPr="001300A9" w:rsidRDefault="00357CEC" w:rsidP="00357CEC">
            <w:pPr>
              <w:pStyle w:val="Default"/>
              <w:rPr>
                <w:sz w:val="22"/>
                <w:szCs w:val="22"/>
              </w:rPr>
            </w:pPr>
            <w:r w:rsidRPr="001300A9">
              <w:rPr>
                <w:sz w:val="22"/>
                <w:szCs w:val="22"/>
              </w:rPr>
              <w:t>Č: 1</w:t>
            </w:r>
          </w:p>
          <w:p w14:paraId="48060A36" w14:textId="77777777" w:rsidR="00357CEC" w:rsidRPr="001300A9" w:rsidRDefault="00357CEC" w:rsidP="00357CEC">
            <w:pPr>
              <w:pStyle w:val="Default"/>
              <w:rPr>
                <w:sz w:val="22"/>
                <w:szCs w:val="22"/>
              </w:rPr>
            </w:pPr>
            <w:r w:rsidRPr="001300A9">
              <w:rPr>
                <w:sz w:val="22"/>
                <w:szCs w:val="22"/>
              </w:rPr>
              <w:t>O: 22</w:t>
            </w:r>
          </w:p>
        </w:tc>
        <w:tc>
          <w:tcPr>
            <w:tcW w:w="4820" w:type="dxa"/>
          </w:tcPr>
          <w:p w14:paraId="2AC284C6" w14:textId="77777777" w:rsidR="00357CEC" w:rsidRPr="001300A9" w:rsidRDefault="00357CEC" w:rsidP="00357CEC">
            <w:pPr>
              <w:pStyle w:val="Default"/>
              <w:rPr>
                <w:sz w:val="22"/>
                <w:szCs w:val="22"/>
              </w:rPr>
            </w:pPr>
            <w:r w:rsidRPr="001300A9">
              <w:rPr>
                <w:sz w:val="22"/>
                <w:szCs w:val="22"/>
              </w:rPr>
              <w:t xml:space="preserve">Komisia prijme vykonávacie akty týkajúce sa podrobných postupov na monitorovanie emisií a podávanie správ o emisiách a v príslušných prípadoch aj údajov o činnostiach uvedených v prílohe I k tejto smernici a vplyvov leteckej dopravy, ktoré nesúvisia s emisiami CO2, na trasách, v prípade ktorých sa emisie nahlasujú v rámci tejto smernice, pričom uvedené vykonávacie akty vychádzajú zo zásad monitorovania a podávania správ stanovených v prílohe IV k tejto smernici a požiadaviek stanovených v odsekoch 2 a 5 tohto článku. V uvedených vykonávacích aktoch sa v požiadavkách na monitorovanie emisií a podávanie správ o emisiách a ich vplyvoch vrátane vplyvov leteckej dopravy, ktoré nesúvisia s emisiami CO2, stanoví aj potenciál globálneho otepľovania jednotlivých skleníkových plynov a zohľadnia sa aktuálne vedecké poznatky o vplyvoch emisií z leteckej dopravy, ktoré nesúvisia s emisiami CO2. V uvedených vykonávacích aktoch sa stanoví uplatňovanie kritérií týkajúcich sa udržateľnosti a úspor emisií skleníkových plynov v záujme využívania biomasy, ktoré sú stanovené v smernici (EÚ) 2018/2001, a to s akýmikoľvek úpravami potrebnými na ich uplatňovanie podľa tejto smernice, s cieľom dosiahnuť v prípade takejto biomasy nulové emisie. Spresňuje sa v nich spôsob, ako treba započítavať ukladanie emisií v prípade kombinácie zdrojov s nulovými emisiami a zdrojov, ktoré sa nevyznačujú nulovými emisiami. Takisto </w:t>
            </w:r>
            <w:r w:rsidRPr="001300A9">
              <w:rPr>
                <w:sz w:val="22"/>
                <w:szCs w:val="22"/>
              </w:rPr>
              <w:lastRenderedPageBreak/>
              <w:t>sa v nich spresňuje spôsob, ako treba započítavať emisie z obnoviteľných palív iného ako biologického pôvodu a z recyklovaných uhlíkových palív, pričom sa zabezpečí, aby sa takéto emisie započítavali a aby sa zabránilo ich dvojitému započítaniu.</w:t>
            </w:r>
          </w:p>
        </w:tc>
        <w:tc>
          <w:tcPr>
            <w:tcW w:w="567" w:type="dxa"/>
          </w:tcPr>
          <w:p w14:paraId="036C5A87" w14:textId="77777777" w:rsidR="00357CEC" w:rsidRPr="001300A9" w:rsidRDefault="00357CEC" w:rsidP="00357CEC">
            <w:pPr>
              <w:pStyle w:val="Default"/>
              <w:rPr>
                <w:sz w:val="22"/>
                <w:szCs w:val="22"/>
              </w:rPr>
            </w:pPr>
            <w:proofErr w:type="spellStart"/>
            <w:r w:rsidRPr="001300A9">
              <w:rPr>
                <w:sz w:val="22"/>
                <w:szCs w:val="22"/>
              </w:rPr>
              <w:lastRenderedPageBreak/>
              <w:t>n.a</w:t>
            </w:r>
            <w:proofErr w:type="spellEnd"/>
            <w:r w:rsidRPr="001300A9">
              <w:rPr>
                <w:sz w:val="22"/>
                <w:szCs w:val="22"/>
              </w:rPr>
              <w:t>.</w:t>
            </w:r>
          </w:p>
        </w:tc>
        <w:tc>
          <w:tcPr>
            <w:tcW w:w="283" w:type="dxa"/>
          </w:tcPr>
          <w:p w14:paraId="6ED9A22A" w14:textId="77777777" w:rsidR="00357CEC" w:rsidRPr="001300A9" w:rsidRDefault="00357CEC" w:rsidP="00357CEC">
            <w:pPr>
              <w:pStyle w:val="Default"/>
              <w:rPr>
                <w:sz w:val="22"/>
                <w:szCs w:val="22"/>
              </w:rPr>
            </w:pPr>
          </w:p>
        </w:tc>
        <w:tc>
          <w:tcPr>
            <w:tcW w:w="567" w:type="dxa"/>
          </w:tcPr>
          <w:p w14:paraId="2E2F1D25" w14:textId="77777777" w:rsidR="00357CEC" w:rsidRPr="001300A9" w:rsidRDefault="00357CEC" w:rsidP="00357CEC">
            <w:pPr>
              <w:pStyle w:val="Default"/>
              <w:rPr>
                <w:sz w:val="22"/>
                <w:szCs w:val="22"/>
              </w:rPr>
            </w:pPr>
          </w:p>
        </w:tc>
        <w:tc>
          <w:tcPr>
            <w:tcW w:w="4253" w:type="dxa"/>
          </w:tcPr>
          <w:p w14:paraId="607DDFE4" w14:textId="77777777" w:rsidR="00357CEC" w:rsidRPr="001300A9" w:rsidRDefault="00357CEC" w:rsidP="00357CEC">
            <w:pPr>
              <w:pStyle w:val="Default"/>
              <w:rPr>
                <w:sz w:val="22"/>
                <w:szCs w:val="22"/>
              </w:rPr>
            </w:pPr>
          </w:p>
        </w:tc>
        <w:tc>
          <w:tcPr>
            <w:tcW w:w="567" w:type="dxa"/>
          </w:tcPr>
          <w:p w14:paraId="58032AA8" w14:textId="77777777" w:rsidR="00357CEC" w:rsidRPr="001300A9" w:rsidRDefault="00357CEC" w:rsidP="00357CEC">
            <w:pPr>
              <w:pStyle w:val="Default"/>
              <w:rPr>
                <w:sz w:val="22"/>
                <w:szCs w:val="22"/>
              </w:rPr>
            </w:pPr>
          </w:p>
        </w:tc>
        <w:tc>
          <w:tcPr>
            <w:tcW w:w="1276" w:type="dxa"/>
          </w:tcPr>
          <w:p w14:paraId="0C886067" w14:textId="77777777" w:rsidR="00357CEC" w:rsidRPr="001300A9" w:rsidRDefault="00357CEC" w:rsidP="00357CEC">
            <w:pPr>
              <w:pStyle w:val="Default"/>
              <w:rPr>
                <w:sz w:val="22"/>
                <w:szCs w:val="22"/>
              </w:rPr>
            </w:pPr>
          </w:p>
        </w:tc>
        <w:tc>
          <w:tcPr>
            <w:tcW w:w="850" w:type="dxa"/>
          </w:tcPr>
          <w:p w14:paraId="66E6FC13" w14:textId="77777777" w:rsidR="00357CEC" w:rsidRPr="001300A9" w:rsidRDefault="00357CEC" w:rsidP="00357CEC">
            <w:pPr>
              <w:pStyle w:val="Default"/>
              <w:rPr>
                <w:sz w:val="22"/>
                <w:szCs w:val="22"/>
              </w:rPr>
            </w:pPr>
          </w:p>
        </w:tc>
        <w:tc>
          <w:tcPr>
            <w:tcW w:w="815" w:type="dxa"/>
          </w:tcPr>
          <w:p w14:paraId="466148A2" w14:textId="77777777" w:rsidR="00357CEC" w:rsidRPr="001300A9" w:rsidRDefault="00357CEC" w:rsidP="00357CEC">
            <w:pPr>
              <w:pStyle w:val="Default"/>
              <w:rPr>
                <w:sz w:val="22"/>
                <w:szCs w:val="22"/>
              </w:rPr>
            </w:pPr>
          </w:p>
        </w:tc>
      </w:tr>
      <w:tr w:rsidR="00DD6EDC" w:rsidRPr="001300A9" w14:paraId="0903D7F8" w14:textId="77777777" w:rsidTr="360410BC">
        <w:tc>
          <w:tcPr>
            <w:tcW w:w="562" w:type="dxa"/>
          </w:tcPr>
          <w:p w14:paraId="4591AF9F" w14:textId="77777777" w:rsidR="00357CEC" w:rsidRPr="001300A9" w:rsidRDefault="00357CEC" w:rsidP="00357CEC">
            <w:pPr>
              <w:pStyle w:val="Default"/>
              <w:rPr>
                <w:sz w:val="22"/>
                <w:szCs w:val="22"/>
              </w:rPr>
            </w:pPr>
            <w:r w:rsidRPr="001300A9">
              <w:rPr>
                <w:sz w:val="22"/>
                <w:szCs w:val="22"/>
              </w:rPr>
              <w:t>Č: 1</w:t>
            </w:r>
          </w:p>
          <w:p w14:paraId="010B4015" w14:textId="77777777" w:rsidR="00357CEC" w:rsidRPr="001300A9" w:rsidRDefault="00357CEC" w:rsidP="00357CEC">
            <w:pPr>
              <w:pStyle w:val="Default"/>
              <w:rPr>
                <w:sz w:val="22"/>
                <w:szCs w:val="22"/>
              </w:rPr>
            </w:pPr>
            <w:r w:rsidRPr="001300A9">
              <w:rPr>
                <w:sz w:val="22"/>
                <w:szCs w:val="22"/>
              </w:rPr>
              <w:t>O: 23</w:t>
            </w:r>
          </w:p>
          <w:p w14:paraId="27A60686" w14:textId="77777777" w:rsidR="00357CEC" w:rsidRPr="001300A9" w:rsidRDefault="00357CEC" w:rsidP="00357CEC">
            <w:pPr>
              <w:pStyle w:val="Default"/>
              <w:rPr>
                <w:sz w:val="22"/>
                <w:szCs w:val="22"/>
              </w:rPr>
            </w:pPr>
            <w:r w:rsidRPr="001300A9">
              <w:rPr>
                <w:sz w:val="22"/>
                <w:szCs w:val="22"/>
              </w:rPr>
              <w:t>P: a)</w:t>
            </w:r>
          </w:p>
        </w:tc>
        <w:tc>
          <w:tcPr>
            <w:tcW w:w="4820" w:type="dxa"/>
          </w:tcPr>
          <w:p w14:paraId="2755128E" w14:textId="77777777" w:rsidR="00357CEC" w:rsidRPr="001300A9" w:rsidRDefault="00357CEC" w:rsidP="00357CEC">
            <w:pPr>
              <w:pStyle w:val="Default"/>
              <w:rPr>
                <w:sz w:val="22"/>
                <w:szCs w:val="22"/>
              </w:rPr>
            </w:pPr>
            <w:r w:rsidRPr="001300A9">
              <w:rPr>
                <w:sz w:val="22"/>
                <w:szCs w:val="22"/>
              </w:rPr>
              <w:t>2</w:t>
            </w:r>
            <w:r w:rsidRPr="006C1C99">
              <w:rPr>
                <w:sz w:val="22"/>
                <w:szCs w:val="22"/>
              </w:rPr>
              <w:t>. Členské štáty zabezpečia zverejnenie mien prevádzkovateľov, prevádzkovateľov lietadiel a lodných spoločností, ktoré porušujú požiadavky týkajúce sa odovzdávania dostatočného</w:t>
            </w:r>
            <w:r w:rsidRPr="001300A9">
              <w:rPr>
                <w:sz w:val="22"/>
                <w:szCs w:val="22"/>
              </w:rPr>
              <w:t xml:space="preserve"> množstva kvót podľa tejto smernice.</w:t>
            </w:r>
          </w:p>
        </w:tc>
        <w:tc>
          <w:tcPr>
            <w:tcW w:w="567" w:type="dxa"/>
          </w:tcPr>
          <w:p w14:paraId="05B5A8B2" w14:textId="77777777" w:rsidR="00357CEC" w:rsidRPr="001300A9" w:rsidRDefault="00357CEC" w:rsidP="00357CEC">
            <w:pPr>
              <w:pStyle w:val="Default"/>
              <w:rPr>
                <w:sz w:val="22"/>
                <w:szCs w:val="22"/>
              </w:rPr>
            </w:pPr>
            <w:r w:rsidRPr="001300A9">
              <w:rPr>
                <w:sz w:val="22"/>
                <w:szCs w:val="22"/>
              </w:rPr>
              <w:t>N</w:t>
            </w:r>
          </w:p>
          <w:p w14:paraId="25155AFE" w14:textId="7FF31F29" w:rsidR="00357CEC" w:rsidRPr="001300A9" w:rsidRDefault="00357CEC" w:rsidP="00357CEC">
            <w:pPr>
              <w:pStyle w:val="Default"/>
              <w:rPr>
                <w:sz w:val="22"/>
                <w:szCs w:val="22"/>
              </w:rPr>
            </w:pPr>
          </w:p>
        </w:tc>
        <w:tc>
          <w:tcPr>
            <w:tcW w:w="283" w:type="dxa"/>
          </w:tcPr>
          <w:p w14:paraId="3F508572" w14:textId="655DC3A5" w:rsidR="00357CEC" w:rsidRPr="001300A9" w:rsidRDefault="00436704" w:rsidP="00357CEC">
            <w:pPr>
              <w:pStyle w:val="Default"/>
              <w:rPr>
                <w:sz w:val="22"/>
                <w:szCs w:val="22"/>
              </w:rPr>
            </w:pPr>
            <w:r>
              <w:rPr>
                <w:sz w:val="22"/>
                <w:szCs w:val="22"/>
              </w:rPr>
              <w:t>NZ</w:t>
            </w:r>
          </w:p>
        </w:tc>
        <w:tc>
          <w:tcPr>
            <w:tcW w:w="567" w:type="dxa"/>
          </w:tcPr>
          <w:p w14:paraId="0F1C4D55" w14:textId="7BCFE20E" w:rsidR="00357CEC" w:rsidRPr="001300A9" w:rsidRDefault="00DA3F1C" w:rsidP="00357CEC">
            <w:pPr>
              <w:pStyle w:val="Default"/>
              <w:rPr>
                <w:sz w:val="22"/>
                <w:szCs w:val="22"/>
              </w:rPr>
            </w:pPr>
            <w:r w:rsidRPr="006C1C99">
              <w:rPr>
                <w:sz w:val="22"/>
                <w:szCs w:val="22"/>
              </w:rPr>
              <w:t>Č:I§:28 O:</w:t>
            </w:r>
            <w:r w:rsidR="001B2C1D" w:rsidRPr="006C1C99">
              <w:rPr>
                <w:sz w:val="22"/>
                <w:szCs w:val="22"/>
              </w:rPr>
              <w:t>7</w:t>
            </w:r>
          </w:p>
        </w:tc>
        <w:tc>
          <w:tcPr>
            <w:tcW w:w="4253" w:type="dxa"/>
          </w:tcPr>
          <w:p w14:paraId="4BCF68AE" w14:textId="6E5525E4" w:rsidR="00357CEC" w:rsidRPr="001300A9" w:rsidRDefault="00260BC4" w:rsidP="00056FFD">
            <w:pPr>
              <w:pStyle w:val="Default"/>
              <w:rPr>
                <w:sz w:val="22"/>
                <w:szCs w:val="22"/>
              </w:rPr>
            </w:pPr>
            <w:r>
              <w:rPr>
                <w:sz w:val="22"/>
                <w:szCs w:val="22"/>
              </w:rPr>
              <w:t xml:space="preserve">(7) </w:t>
            </w:r>
            <w:r w:rsidR="005E655C" w:rsidRPr="001300A9">
              <w:rPr>
                <w:sz w:val="22"/>
                <w:szCs w:val="22"/>
              </w:rPr>
              <w:t>Ministerstvo zverejňuje na svojom webovom sídle zoznam povinných účastníkov systému obchodovania, ktorí porušia požiadavku na odovzdanie množstva kvót podľa § 21 ods. 1 písm. b), § 21 ods. 2 p</w:t>
            </w:r>
            <w:r w:rsidR="00056FFD">
              <w:rPr>
                <w:sz w:val="22"/>
                <w:szCs w:val="22"/>
              </w:rPr>
              <w:t>ísm. b) a § 21 ods. 5 písm. b).</w:t>
            </w:r>
          </w:p>
        </w:tc>
        <w:tc>
          <w:tcPr>
            <w:tcW w:w="567" w:type="dxa"/>
          </w:tcPr>
          <w:p w14:paraId="6EEFBAE4" w14:textId="7161C6C4" w:rsidR="00357CEC" w:rsidRPr="001300A9" w:rsidRDefault="00890347" w:rsidP="00357CEC">
            <w:pPr>
              <w:pStyle w:val="Default"/>
              <w:rPr>
                <w:sz w:val="22"/>
                <w:szCs w:val="22"/>
              </w:rPr>
            </w:pPr>
            <w:r w:rsidRPr="00223C49">
              <w:rPr>
                <w:sz w:val="22"/>
                <w:szCs w:val="22"/>
              </w:rPr>
              <w:t>Č</w:t>
            </w:r>
          </w:p>
        </w:tc>
        <w:tc>
          <w:tcPr>
            <w:tcW w:w="1276" w:type="dxa"/>
          </w:tcPr>
          <w:p w14:paraId="7DE1BB4E" w14:textId="77777777" w:rsidR="00357CEC" w:rsidRPr="001300A9" w:rsidRDefault="00357CEC" w:rsidP="00357CEC">
            <w:pPr>
              <w:pStyle w:val="Default"/>
              <w:rPr>
                <w:sz w:val="22"/>
                <w:szCs w:val="22"/>
              </w:rPr>
            </w:pPr>
          </w:p>
        </w:tc>
        <w:tc>
          <w:tcPr>
            <w:tcW w:w="850" w:type="dxa"/>
          </w:tcPr>
          <w:p w14:paraId="2D8665D3" w14:textId="77777777" w:rsidR="00CF726A" w:rsidRPr="001300A9" w:rsidRDefault="00CF726A" w:rsidP="00CF726A">
            <w:pPr>
              <w:pStyle w:val="Default"/>
              <w:rPr>
                <w:sz w:val="22"/>
                <w:szCs w:val="22"/>
              </w:rPr>
            </w:pPr>
            <w:r w:rsidRPr="001300A9">
              <w:rPr>
                <w:sz w:val="22"/>
                <w:szCs w:val="22"/>
              </w:rPr>
              <w:t>GP - N</w:t>
            </w:r>
          </w:p>
          <w:p w14:paraId="57DB908D" w14:textId="77777777" w:rsidR="00357CEC" w:rsidRPr="001300A9" w:rsidRDefault="00357CEC" w:rsidP="00357CEC">
            <w:pPr>
              <w:pStyle w:val="Default"/>
              <w:rPr>
                <w:sz w:val="22"/>
                <w:szCs w:val="22"/>
              </w:rPr>
            </w:pPr>
          </w:p>
        </w:tc>
        <w:tc>
          <w:tcPr>
            <w:tcW w:w="815" w:type="dxa"/>
          </w:tcPr>
          <w:p w14:paraId="1D455CBF" w14:textId="77777777" w:rsidR="00357CEC" w:rsidRPr="001300A9" w:rsidRDefault="00357CEC" w:rsidP="00357CEC">
            <w:pPr>
              <w:pStyle w:val="Default"/>
              <w:rPr>
                <w:sz w:val="22"/>
                <w:szCs w:val="22"/>
              </w:rPr>
            </w:pPr>
          </w:p>
        </w:tc>
      </w:tr>
      <w:tr w:rsidR="00DD6EDC" w:rsidRPr="001300A9" w14:paraId="04C278F9" w14:textId="77777777" w:rsidTr="360410BC">
        <w:tc>
          <w:tcPr>
            <w:tcW w:w="562" w:type="dxa"/>
          </w:tcPr>
          <w:p w14:paraId="7380EAA1" w14:textId="77777777" w:rsidR="00357CEC" w:rsidRPr="001300A9" w:rsidRDefault="00357CEC" w:rsidP="00357CEC">
            <w:pPr>
              <w:pStyle w:val="Default"/>
              <w:rPr>
                <w:sz w:val="22"/>
                <w:szCs w:val="22"/>
              </w:rPr>
            </w:pPr>
            <w:r w:rsidRPr="001300A9">
              <w:rPr>
                <w:sz w:val="22"/>
                <w:szCs w:val="22"/>
              </w:rPr>
              <w:t>Č: 1</w:t>
            </w:r>
          </w:p>
          <w:p w14:paraId="33B622C4" w14:textId="77777777" w:rsidR="00357CEC" w:rsidRPr="001300A9" w:rsidRDefault="00357CEC" w:rsidP="00357CEC">
            <w:pPr>
              <w:pStyle w:val="Default"/>
              <w:rPr>
                <w:sz w:val="22"/>
                <w:szCs w:val="22"/>
              </w:rPr>
            </w:pPr>
            <w:r w:rsidRPr="001300A9">
              <w:rPr>
                <w:sz w:val="22"/>
                <w:szCs w:val="22"/>
              </w:rPr>
              <w:t>O: 23</w:t>
            </w:r>
          </w:p>
          <w:p w14:paraId="6D6091D7" w14:textId="77777777" w:rsidR="00357CEC" w:rsidRPr="001300A9" w:rsidRDefault="00357CEC" w:rsidP="00357CEC">
            <w:pPr>
              <w:pStyle w:val="Default"/>
              <w:rPr>
                <w:sz w:val="22"/>
                <w:szCs w:val="22"/>
              </w:rPr>
            </w:pPr>
            <w:r w:rsidRPr="001300A9">
              <w:rPr>
                <w:sz w:val="22"/>
                <w:szCs w:val="22"/>
              </w:rPr>
              <w:t>P: b)</w:t>
            </w:r>
          </w:p>
        </w:tc>
        <w:tc>
          <w:tcPr>
            <w:tcW w:w="4820" w:type="dxa"/>
          </w:tcPr>
          <w:p w14:paraId="2CC7E0BD" w14:textId="77777777" w:rsidR="00357CEC" w:rsidRPr="001300A9" w:rsidRDefault="00357CEC" w:rsidP="00357CEC">
            <w:pPr>
              <w:pStyle w:val="Default"/>
              <w:rPr>
                <w:sz w:val="22"/>
                <w:szCs w:val="22"/>
              </w:rPr>
            </w:pPr>
            <w:r w:rsidRPr="001300A9">
              <w:rPr>
                <w:sz w:val="22"/>
                <w:szCs w:val="22"/>
              </w:rPr>
              <w:t>v odseku 3 sa dátum „30. apríla“ nahrádza dátumom „30. septembra“</w:t>
            </w:r>
          </w:p>
        </w:tc>
        <w:tc>
          <w:tcPr>
            <w:tcW w:w="567" w:type="dxa"/>
          </w:tcPr>
          <w:p w14:paraId="0B05816A" w14:textId="77777777" w:rsidR="00357CEC" w:rsidRPr="001300A9" w:rsidRDefault="00357CEC" w:rsidP="00357CEC">
            <w:pPr>
              <w:pStyle w:val="Default"/>
              <w:rPr>
                <w:sz w:val="22"/>
                <w:szCs w:val="22"/>
              </w:rPr>
            </w:pPr>
            <w:r w:rsidRPr="001300A9">
              <w:rPr>
                <w:sz w:val="22"/>
                <w:szCs w:val="22"/>
              </w:rPr>
              <w:t>N</w:t>
            </w:r>
          </w:p>
          <w:p w14:paraId="6D426F4F" w14:textId="7D75D6D6" w:rsidR="00357CEC" w:rsidRPr="001300A9" w:rsidRDefault="00357CEC" w:rsidP="00CE191C">
            <w:pPr>
              <w:pStyle w:val="Default"/>
              <w:rPr>
                <w:sz w:val="22"/>
                <w:szCs w:val="22"/>
              </w:rPr>
            </w:pPr>
          </w:p>
        </w:tc>
        <w:tc>
          <w:tcPr>
            <w:tcW w:w="283" w:type="dxa"/>
          </w:tcPr>
          <w:p w14:paraId="28B5258F" w14:textId="5CE9D645" w:rsidR="00357CEC" w:rsidRPr="001300A9" w:rsidRDefault="00436704" w:rsidP="00357CEC">
            <w:pPr>
              <w:pStyle w:val="Default"/>
              <w:rPr>
                <w:sz w:val="22"/>
                <w:szCs w:val="22"/>
              </w:rPr>
            </w:pPr>
            <w:r>
              <w:rPr>
                <w:sz w:val="22"/>
                <w:szCs w:val="22"/>
              </w:rPr>
              <w:t>NZ</w:t>
            </w:r>
          </w:p>
        </w:tc>
        <w:tc>
          <w:tcPr>
            <w:tcW w:w="567" w:type="dxa"/>
          </w:tcPr>
          <w:p w14:paraId="214864DE" w14:textId="6DA2E3D5" w:rsidR="00CE191C" w:rsidRPr="006C1C99" w:rsidRDefault="00DA3F1C" w:rsidP="00357CEC">
            <w:pPr>
              <w:pStyle w:val="Default"/>
              <w:rPr>
                <w:sz w:val="22"/>
                <w:szCs w:val="22"/>
              </w:rPr>
            </w:pPr>
            <w:r w:rsidRPr="006C1C99">
              <w:rPr>
                <w:sz w:val="22"/>
                <w:szCs w:val="22"/>
              </w:rPr>
              <w:t>Č:I §:</w:t>
            </w:r>
            <w:r w:rsidR="00CE191C" w:rsidRPr="006C1C99">
              <w:rPr>
                <w:sz w:val="22"/>
                <w:szCs w:val="22"/>
              </w:rPr>
              <w:t>28</w:t>
            </w:r>
          </w:p>
          <w:p w14:paraId="486E9C2A" w14:textId="1E20C87E" w:rsidR="00357CEC" w:rsidRPr="001300A9" w:rsidRDefault="00DA3F1C" w:rsidP="00357CEC">
            <w:pPr>
              <w:pStyle w:val="Default"/>
              <w:rPr>
                <w:sz w:val="22"/>
                <w:szCs w:val="22"/>
              </w:rPr>
            </w:pPr>
            <w:r w:rsidRPr="006C1C99">
              <w:rPr>
                <w:sz w:val="22"/>
                <w:szCs w:val="22"/>
              </w:rPr>
              <w:t>O:</w:t>
            </w:r>
            <w:r w:rsidR="00CE191C" w:rsidRPr="006C1C99">
              <w:rPr>
                <w:sz w:val="22"/>
                <w:szCs w:val="22"/>
              </w:rPr>
              <w:t>1</w:t>
            </w:r>
          </w:p>
        </w:tc>
        <w:tc>
          <w:tcPr>
            <w:tcW w:w="4253" w:type="dxa"/>
          </w:tcPr>
          <w:p w14:paraId="5669E075" w14:textId="5A007369" w:rsidR="00357CEC" w:rsidRPr="001300A9" w:rsidRDefault="00E7234C" w:rsidP="00357CEC">
            <w:pPr>
              <w:pStyle w:val="Default"/>
              <w:rPr>
                <w:sz w:val="22"/>
                <w:szCs w:val="22"/>
              </w:rPr>
            </w:pPr>
            <w:r w:rsidRPr="001300A9">
              <w:rPr>
                <w:sz w:val="22"/>
                <w:szCs w:val="22"/>
              </w:rPr>
              <w:t>(1</w:t>
            </w:r>
            <w:r w:rsidRPr="00056FFD">
              <w:rPr>
                <w:sz w:val="22"/>
                <w:szCs w:val="22"/>
              </w:rPr>
              <w:t xml:space="preserve">) </w:t>
            </w:r>
            <w:r w:rsidR="00056FFD">
              <w:rPr>
                <w:sz w:val="22"/>
                <w:szCs w:val="22"/>
              </w:rPr>
              <w:t>O</w:t>
            </w:r>
            <w:r w:rsidR="00056FFD" w:rsidRPr="00056FFD">
              <w:rPr>
                <w:sz w:val="22"/>
                <w:szCs w:val="22"/>
              </w:rPr>
              <w:t>kresný úrad, a ak ide o prevádzkovateľa lietadla a lodnú spoločnosť ministerstvo, uloží prevádzkovateľovi, prevádzkovateľovi lietadla a lodnej spoločnosti, ktorý každoročne do 30. septembra neodovzdá do registra kvóty potrebné na pokrytie emisií za predchádzajúci  rok  podľa  § 21  ods. 1 písm.  b), ods. 2  písm.  b) a ods. 5 písm. b), pokutu  100  eur za  každú  nepokrytú  tonu  ekvivalentu  oxidu  uhličitého  emitovaného  z prevádzky, lietadla a námornej lode. Zaplatenie pokuty za neodovzdanie kvót nezbavuje prevádzkovateľa, prevádzkovateľa lietadla a lodnú spoločnosť povinnosti odovzdať kvóty rovnajúce sa príslušnému prekročeniu emisií najneskôr pri odovzdávaní kvót za nasledujúci kalendárny rok. Pokuty za neodovzdanie  kvót  vydaných  na  obdobie  podľa  § 23 ods. 1 sa zvýšia v súlade s európskym indexom spotrebiteľských cien.</w:t>
            </w:r>
          </w:p>
        </w:tc>
        <w:tc>
          <w:tcPr>
            <w:tcW w:w="567" w:type="dxa"/>
          </w:tcPr>
          <w:p w14:paraId="36D4C33E" w14:textId="3313D89D" w:rsidR="00357CEC" w:rsidRPr="001300A9" w:rsidRDefault="00E7234C" w:rsidP="00357CEC">
            <w:pPr>
              <w:pStyle w:val="Default"/>
              <w:rPr>
                <w:sz w:val="22"/>
                <w:szCs w:val="22"/>
              </w:rPr>
            </w:pPr>
            <w:r w:rsidRPr="006C1C99">
              <w:rPr>
                <w:sz w:val="22"/>
                <w:szCs w:val="22"/>
              </w:rPr>
              <w:t>Ú</w:t>
            </w:r>
          </w:p>
        </w:tc>
        <w:tc>
          <w:tcPr>
            <w:tcW w:w="1276" w:type="dxa"/>
          </w:tcPr>
          <w:p w14:paraId="1B52FA17" w14:textId="77777777" w:rsidR="00357CEC" w:rsidRPr="001300A9" w:rsidRDefault="00357CEC" w:rsidP="00357CEC">
            <w:pPr>
              <w:pStyle w:val="Default"/>
              <w:rPr>
                <w:sz w:val="22"/>
                <w:szCs w:val="22"/>
              </w:rPr>
            </w:pPr>
          </w:p>
        </w:tc>
        <w:tc>
          <w:tcPr>
            <w:tcW w:w="850" w:type="dxa"/>
          </w:tcPr>
          <w:p w14:paraId="595112A8" w14:textId="729FC1B5" w:rsidR="00357CEC" w:rsidRPr="001300A9" w:rsidRDefault="00E7234C" w:rsidP="00357CEC">
            <w:pPr>
              <w:pStyle w:val="Default"/>
              <w:rPr>
                <w:sz w:val="22"/>
                <w:szCs w:val="22"/>
              </w:rPr>
            </w:pPr>
            <w:r w:rsidRPr="001300A9">
              <w:rPr>
                <w:sz w:val="22"/>
                <w:szCs w:val="22"/>
              </w:rPr>
              <w:t>GP - N</w:t>
            </w:r>
          </w:p>
        </w:tc>
        <w:tc>
          <w:tcPr>
            <w:tcW w:w="815" w:type="dxa"/>
          </w:tcPr>
          <w:p w14:paraId="164589C1" w14:textId="77777777" w:rsidR="00357CEC" w:rsidRPr="001300A9" w:rsidRDefault="00357CEC" w:rsidP="00357CEC">
            <w:pPr>
              <w:pStyle w:val="Default"/>
              <w:rPr>
                <w:sz w:val="22"/>
                <w:szCs w:val="22"/>
              </w:rPr>
            </w:pPr>
          </w:p>
        </w:tc>
      </w:tr>
      <w:tr w:rsidR="00DD6EDC" w:rsidRPr="001300A9" w14:paraId="4B3669E3" w14:textId="77777777" w:rsidTr="360410BC">
        <w:tc>
          <w:tcPr>
            <w:tcW w:w="562" w:type="dxa"/>
          </w:tcPr>
          <w:p w14:paraId="33A7A35A" w14:textId="77777777" w:rsidR="00357CEC" w:rsidRPr="001300A9" w:rsidRDefault="00357CEC" w:rsidP="00357CEC">
            <w:pPr>
              <w:pStyle w:val="Default"/>
              <w:rPr>
                <w:sz w:val="22"/>
                <w:szCs w:val="22"/>
              </w:rPr>
            </w:pPr>
            <w:r w:rsidRPr="001300A9">
              <w:rPr>
                <w:sz w:val="22"/>
                <w:szCs w:val="22"/>
              </w:rPr>
              <w:t>Č: 1</w:t>
            </w:r>
          </w:p>
          <w:p w14:paraId="413284B1" w14:textId="77777777" w:rsidR="00357CEC" w:rsidRPr="001300A9" w:rsidRDefault="00357CEC" w:rsidP="00357CEC">
            <w:pPr>
              <w:pStyle w:val="Default"/>
              <w:rPr>
                <w:sz w:val="22"/>
                <w:szCs w:val="22"/>
              </w:rPr>
            </w:pPr>
            <w:r w:rsidRPr="001300A9">
              <w:rPr>
                <w:sz w:val="22"/>
                <w:szCs w:val="22"/>
              </w:rPr>
              <w:t>O: 23</w:t>
            </w:r>
          </w:p>
          <w:p w14:paraId="4A1961B4" w14:textId="77777777" w:rsidR="00357CEC" w:rsidRPr="001300A9" w:rsidRDefault="00357CEC" w:rsidP="00357CEC">
            <w:pPr>
              <w:pStyle w:val="Default"/>
              <w:rPr>
                <w:sz w:val="22"/>
                <w:szCs w:val="22"/>
              </w:rPr>
            </w:pPr>
            <w:r w:rsidRPr="001300A9">
              <w:rPr>
                <w:sz w:val="22"/>
                <w:szCs w:val="22"/>
              </w:rPr>
              <w:lastRenderedPageBreak/>
              <w:t>P: c)</w:t>
            </w:r>
          </w:p>
        </w:tc>
        <w:tc>
          <w:tcPr>
            <w:tcW w:w="4820" w:type="dxa"/>
          </w:tcPr>
          <w:p w14:paraId="4AC60357" w14:textId="77777777" w:rsidR="00357CEC" w:rsidRPr="001300A9" w:rsidRDefault="00357CEC" w:rsidP="00357CEC">
            <w:pPr>
              <w:pStyle w:val="Default"/>
              <w:rPr>
                <w:sz w:val="22"/>
                <w:szCs w:val="22"/>
              </w:rPr>
            </w:pPr>
            <w:r w:rsidRPr="001300A9">
              <w:rPr>
                <w:sz w:val="22"/>
                <w:szCs w:val="22"/>
              </w:rPr>
              <w:lastRenderedPageBreak/>
              <w:t>3a. Pokuty stanovené v odseku 3 sa uplatňujú aj v prípade lodných spoločností.</w:t>
            </w:r>
          </w:p>
        </w:tc>
        <w:tc>
          <w:tcPr>
            <w:tcW w:w="567" w:type="dxa"/>
          </w:tcPr>
          <w:p w14:paraId="297B0F5A" w14:textId="77777777" w:rsidR="00357CEC" w:rsidRPr="001300A9" w:rsidRDefault="00357CEC" w:rsidP="00357CEC">
            <w:pPr>
              <w:pStyle w:val="Default"/>
              <w:rPr>
                <w:sz w:val="22"/>
                <w:szCs w:val="22"/>
              </w:rPr>
            </w:pPr>
            <w:r w:rsidRPr="001300A9">
              <w:rPr>
                <w:sz w:val="22"/>
                <w:szCs w:val="22"/>
              </w:rPr>
              <w:t>N</w:t>
            </w:r>
          </w:p>
          <w:p w14:paraId="7108B500" w14:textId="78E5E747" w:rsidR="00357CEC" w:rsidRPr="001300A9" w:rsidRDefault="00357CEC" w:rsidP="00357CEC">
            <w:pPr>
              <w:pStyle w:val="Default"/>
              <w:rPr>
                <w:sz w:val="22"/>
                <w:szCs w:val="22"/>
              </w:rPr>
            </w:pPr>
          </w:p>
        </w:tc>
        <w:tc>
          <w:tcPr>
            <w:tcW w:w="283" w:type="dxa"/>
          </w:tcPr>
          <w:p w14:paraId="7614C1E0" w14:textId="24D18644" w:rsidR="00357CEC" w:rsidRPr="001300A9" w:rsidRDefault="00436704" w:rsidP="00357CEC">
            <w:pPr>
              <w:pStyle w:val="Default"/>
              <w:rPr>
                <w:sz w:val="22"/>
                <w:szCs w:val="22"/>
              </w:rPr>
            </w:pPr>
            <w:r>
              <w:rPr>
                <w:sz w:val="22"/>
                <w:szCs w:val="22"/>
              </w:rPr>
              <w:t>NZ</w:t>
            </w:r>
          </w:p>
        </w:tc>
        <w:tc>
          <w:tcPr>
            <w:tcW w:w="567" w:type="dxa"/>
          </w:tcPr>
          <w:p w14:paraId="3B87E7FB" w14:textId="77777777" w:rsidR="00DA3F1C" w:rsidRPr="006C1C99" w:rsidRDefault="00DA3F1C" w:rsidP="00357CEC">
            <w:pPr>
              <w:pStyle w:val="Default"/>
              <w:rPr>
                <w:sz w:val="22"/>
                <w:szCs w:val="22"/>
              </w:rPr>
            </w:pPr>
            <w:r w:rsidRPr="006C1C99">
              <w:rPr>
                <w:sz w:val="22"/>
                <w:szCs w:val="22"/>
              </w:rPr>
              <w:t>Č:I</w:t>
            </w:r>
            <w:r w:rsidR="00107D98" w:rsidRPr="006C1C99">
              <w:rPr>
                <w:sz w:val="22"/>
                <w:szCs w:val="22"/>
              </w:rPr>
              <w:t>§</w:t>
            </w:r>
            <w:r w:rsidRPr="006C1C99">
              <w:rPr>
                <w:sz w:val="22"/>
                <w:szCs w:val="22"/>
              </w:rPr>
              <w:t>:</w:t>
            </w:r>
            <w:r w:rsidR="00107D98" w:rsidRPr="006C1C99">
              <w:rPr>
                <w:sz w:val="22"/>
                <w:szCs w:val="22"/>
              </w:rPr>
              <w:t>26</w:t>
            </w:r>
          </w:p>
          <w:p w14:paraId="1057E2E0" w14:textId="079DA164" w:rsidR="00107D98" w:rsidRDefault="00DA3F1C" w:rsidP="00357CEC">
            <w:pPr>
              <w:pStyle w:val="Default"/>
              <w:rPr>
                <w:sz w:val="22"/>
                <w:szCs w:val="22"/>
              </w:rPr>
            </w:pPr>
            <w:r w:rsidRPr="006C1C99">
              <w:rPr>
                <w:sz w:val="22"/>
                <w:szCs w:val="22"/>
              </w:rPr>
              <w:lastRenderedPageBreak/>
              <w:t>O:</w:t>
            </w:r>
            <w:r w:rsidR="00107D98" w:rsidRPr="006C1C99">
              <w:rPr>
                <w:sz w:val="22"/>
                <w:szCs w:val="22"/>
              </w:rPr>
              <w:t xml:space="preserve">1 </w:t>
            </w:r>
            <w:r w:rsidRPr="006C1C99">
              <w:rPr>
                <w:sz w:val="22"/>
                <w:szCs w:val="22"/>
              </w:rPr>
              <w:t>P:</w:t>
            </w:r>
            <w:r w:rsidR="00107D98" w:rsidRPr="006C1C99">
              <w:rPr>
                <w:sz w:val="22"/>
                <w:szCs w:val="22"/>
              </w:rPr>
              <w:t>j</w:t>
            </w:r>
          </w:p>
          <w:p w14:paraId="36D0AFF5" w14:textId="77777777" w:rsidR="001F56D7" w:rsidRDefault="001F56D7" w:rsidP="00357CEC">
            <w:pPr>
              <w:pStyle w:val="Default"/>
              <w:rPr>
                <w:sz w:val="22"/>
                <w:szCs w:val="22"/>
              </w:rPr>
            </w:pPr>
          </w:p>
          <w:p w14:paraId="044D1F20" w14:textId="77777777" w:rsidR="001F56D7" w:rsidRDefault="001F56D7" w:rsidP="00357CEC">
            <w:pPr>
              <w:pStyle w:val="Default"/>
              <w:rPr>
                <w:sz w:val="22"/>
                <w:szCs w:val="22"/>
              </w:rPr>
            </w:pPr>
          </w:p>
          <w:p w14:paraId="7C991B63" w14:textId="77777777" w:rsidR="001F56D7" w:rsidRDefault="001F56D7" w:rsidP="00357CEC">
            <w:pPr>
              <w:pStyle w:val="Default"/>
              <w:rPr>
                <w:sz w:val="22"/>
                <w:szCs w:val="22"/>
              </w:rPr>
            </w:pPr>
          </w:p>
          <w:p w14:paraId="22DA6F47" w14:textId="6FA753D1" w:rsidR="00DA3F1C" w:rsidRDefault="00DA3F1C" w:rsidP="00357CEC">
            <w:pPr>
              <w:pStyle w:val="Default"/>
              <w:rPr>
                <w:sz w:val="22"/>
                <w:szCs w:val="22"/>
              </w:rPr>
            </w:pPr>
          </w:p>
          <w:p w14:paraId="2D2E7422" w14:textId="77777777" w:rsidR="00DA3F1C" w:rsidRPr="006C1C99" w:rsidRDefault="00DA3F1C" w:rsidP="00357CEC">
            <w:pPr>
              <w:pStyle w:val="Default"/>
              <w:rPr>
                <w:sz w:val="22"/>
                <w:szCs w:val="22"/>
              </w:rPr>
            </w:pPr>
            <w:r w:rsidRPr="006C1C99">
              <w:rPr>
                <w:sz w:val="22"/>
                <w:szCs w:val="22"/>
              </w:rPr>
              <w:t>Č:I§:28</w:t>
            </w:r>
          </w:p>
          <w:p w14:paraId="155E9867" w14:textId="69ADFDF9" w:rsidR="00357CEC" w:rsidRPr="001300A9" w:rsidRDefault="00DA3F1C" w:rsidP="00357CEC">
            <w:pPr>
              <w:pStyle w:val="Default"/>
              <w:rPr>
                <w:sz w:val="22"/>
                <w:szCs w:val="22"/>
              </w:rPr>
            </w:pPr>
            <w:r w:rsidRPr="006C1C99">
              <w:rPr>
                <w:sz w:val="22"/>
                <w:szCs w:val="22"/>
              </w:rPr>
              <w:t>O:</w:t>
            </w:r>
            <w:r w:rsidR="00E7234C" w:rsidRPr="006C1C99">
              <w:rPr>
                <w:sz w:val="22"/>
                <w:szCs w:val="22"/>
              </w:rPr>
              <w:t>1</w:t>
            </w:r>
          </w:p>
        </w:tc>
        <w:tc>
          <w:tcPr>
            <w:tcW w:w="4253" w:type="dxa"/>
          </w:tcPr>
          <w:p w14:paraId="159368BD" w14:textId="3E0CF839" w:rsidR="001F56D7" w:rsidRDefault="001F56D7" w:rsidP="00357CEC">
            <w:pPr>
              <w:pStyle w:val="Default"/>
              <w:rPr>
                <w:sz w:val="22"/>
                <w:szCs w:val="22"/>
              </w:rPr>
            </w:pPr>
            <w:r>
              <w:rPr>
                <w:sz w:val="22"/>
                <w:szCs w:val="22"/>
              </w:rPr>
              <w:lastRenderedPageBreak/>
              <w:t>(1) Ministerstvo</w:t>
            </w:r>
          </w:p>
          <w:p w14:paraId="47A585A0" w14:textId="3D129F42" w:rsidR="001F56D7" w:rsidRDefault="1E85DAD6" w:rsidP="00357CEC">
            <w:pPr>
              <w:pStyle w:val="Default"/>
              <w:rPr>
                <w:sz w:val="22"/>
                <w:szCs w:val="22"/>
              </w:rPr>
            </w:pPr>
            <w:r w:rsidRPr="5F673433">
              <w:rPr>
                <w:sz w:val="22"/>
                <w:szCs w:val="22"/>
              </w:rPr>
              <w:t xml:space="preserve">j) </w:t>
            </w:r>
            <w:r w:rsidR="196FD94F" w:rsidRPr="5F673433">
              <w:rPr>
                <w:sz w:val="22"/>
                <w:szCs w:val="22"/>
              </w:rPr>
              <w:t>ukladá pokuty za iné správne delikty podľa § 28, ak ide o prevádzkovateľa lietadla a lod</w:t>
            </w:r>
            <w:r w:rsidR="196FD94F" w:rsidRPr="5F673433">
              <w:rPr>
                <w:sz w:val="22"/>
                <w:szCs w:val="22"/>
              </w:rPr>
              <w:lastRenderedPageBreak/>
              <w:t>nej spoločnosti; a bezodkladne oznámi Komisii zmeny právnej úpravy ukladania pokút pre prevádzkovateľov, prevádzkovateľov lietadla, lodné spoločnosti a regulované subjekty,</w:t>
            </w:r>
          </w:p>
          <w:p w14:paraId="43A2377D" w14:textId="36BECD2D" w:rsidR="5F673433" w:rsidRDefault="5F673433" w:rsidP="5F673433">
            <w:pPr>
              <w:pStyle w:val="Default"/>
              <w:rPr>
                <w:sz w:val="22"/>
                <w:szCs w:val="22"/>
              </w:rPr>
            </w:pPr>
          </w:p>
          <w:p w14:paraId="69095BCA" w14:textId="332AC15C" w:rsidR="00357CEC" w:rsidRPr="001300A9" w:rsidRDefault="00E7234C" w:rsidP="002F2379">
            <w:pPr>
              <w:pStyle w:val="Default"/>
              <w:rPr>
                <w:sz w:val="22"/>
                <w:szCs w:val="22"/>
              </w:rPr>
            </w:pPr>
            <w:r w:rsidRPr="001300A9">
              <w:rPr>
                <w:sz w:val="22"/>
                <w:szCs w:val="22"/>
              </w:rPr>
              <w:t xml:space="preserve">(1) </w:t>
            </w:r>
            <w:r w:rsidR="002F2379" w:rsidRPr="002F2379">
              <w:rPr>
                <w:sz w:val="22"/>
                <w:szCs w:val="22"/>
              </w:rPr>
              <w:t>Okresný úrad, a ak ide o prevádzkovateľa lietadla a lodnú spoločnosť ministerstvo, uloží prevádzkovateľovi, prevádzkovateľovi lietadla a lodnej spoločnosti, ktorý každoročne do 30. septembra neodovzdá do registra kvóty potrebné na pokrytie emisií za predchádzajúci  rok  podľa  § 21  ods. 1 písm.  b), ods. 2  písm.  b) a ods. 5 písm. b),</w:t>
            </w:r>
            <w:r w:rsidR="002F2379">
              <w:rPr>
                <w:sz w:val="22"/>
                <w:szCs w:val="22"/>
              </w:rPr>
              <w:t xml:space="preserve"> pokutu  100  eur za  každú  ne</w:t>
            </w:r>
            <w:r w:rsidR="002F2379" w:rsidRPr="002F2379">
              <w:rPr>
                <w:sz w:val="22"/>
                <w:szCs w:val="22"/>
              </w:rPr>
              <w:t>pokrytú  t</w:t>
            </w:r>
            <w:r w:rsidR="002F2379">
              <w:rPr>
                <w:sz w:val="22"/>
                <w:szCs w:val="22"/>
              </w:rPr>
              <w:t>onu  ekvivalentu  oxidu  uhliči</w:t>
            </w:r>
            <w:r w:rsidR="002F2379" w:rsidRPr="002F2379">
              <w:rPr>
                <w:sz w:val="22"/>
                <w:szCs w:val="22"/>
              </w:rPr>
              <w:t xml:space="preserve">tého  emitovaného  z prevádzky, lietadla a námornej lode. Zaplatenie </w:t>
            </w:r>
            <w:r w:rsidR="002F2379">
              <w:rPr>
                <w:sz w:val="22"/>
                <w:szCs w:val="22"/>
              </w:rPr>
              <w:t>pokuty za neo</w:t>
            </w:r>
            <w:r w:rsidR="002F2379" w:rsidRPr="002F2379">
              <w:rPr>
                <w:sz w:val="22"/>
                <w:szCs w:val="22"/>
              </w:rPr>
              <w:t>dovzdanie kvót n</w:t>
            </w:r>
            <w:r w:rsidR="002F2379">
              <w:rPr>
                <w:sz w:val="22"/>
                <w:szCs w:val="22"/>
              </w:rPr>
              <w:t>ezbavuje prevádzkovate</w:t>
            </w:r>
            <w:r w:rsidR="002F2379" w:rsidRPr="002F2379">
              <w:rPr>
                <w:sz w:val="22"/>
                <w:szCs w:val="22"/>
              </w:rPr>
              <w:t>ľa, prevá</w:t>
            </w:r>
            <w:r w:rsidR="002F2379">
              <w:rPr>
                <w:sz w:val="22"/>
                <w:szCs w:val="22"/>
              </w:rPr>
              <w:t>dzkovateľa lietadla a lodnú spo</w:t>
            </w:r>
            <w:r w:rsidR="002F2379" w:rsidRPr="002F2379">
              <w:rPr>
                <w:sz w:val="22"/>
                <w:szCs w:val="22"/>
              </w:rPr>
              <w:t xml:space="preserve">ločnosť </w:t>
            </w:r>
            <w:r w:rsidR="002F2379">
              <w:rPr>
                <w:sz w:val="22"/>
                <w:szCs w:val="22"/>
              </w:rPr>
              <w:t>povinnosti odovzdať kvóty rovna</w:t>
            </w:r>
            <w:r w:rsidR="002F2379" w:rsidRPr="002F2379">
              <w:rPr>
                <w:sz w:val="22"/>
                <w:szCs w:val="22"/>
              </w:rPr>
              <w:t>júce sa príslušnému prekročeniu emisií najneskô</w:t>
            </w:r>
            <w:r w:rsidR="002F2379">
              <w:rPr>
                <w:sz w:val="22"/>
                <w:szCs w:val="22"/>
              </w:rPr>
              <w:t>r pri odovzdávaní kvót za nasle</w:t>
            </w:r>
            <w:r w:rsidR="002F2379" w:rsidRPr="002F2379">
              <w:rPr>
                <w:sz w:val="22"/>
                <w:szCs w:val="22"/>
              </w:rPr>
              <w:t xml:space="preserve">dujúci </w:t>
            </w:r>
            <w:r w:rsidR="002F2379">
              <w:rPr>
                <w:sz w:val="22"/>
                <w:szCs w:val="22"/>
              </w:rPr>
              <w:t>kalendárny rok. Pokuty za neodo</w:t>
            </w:r>
            <w:r w:rsidR="002F2379" w:rsidRPr="002F2379">
              <w:rPr>
                <w:sz w:val="22"/>
                <w:szCs w:val="22"/>
              </w:rPr>
              <w:t>vzdanie  kvót  vydaných  na  obdobie  podľa  § 23 ods. 1 sa zvýšia v súlade s európskym indexom spotrebiteľských cien.</w:t>
            </w:r>
          </w:p>
        </w:tc>
        <w:tc>
          <w:tcPr>
            <w:tcW w:w="567" w:type="dxa"/>
          </w:tcPr>
          <w:p w14:paraId="40207B65" w14:textId="77777777" w:rsidR="00357CEC" w:rsidRDefault="00E7234C" w:rsidP="00357CEC">
            <w:pPr>
              <w:pStyle w:val="Default"/>
              <w:rPr>
                <w:sz w:val="22"/>
                <w:szCs w:val="22"/>
              </w:rPr>
            </w:pPr>
            <w:r w:rsidRPr="001300A9">
              <w:rPr>
                <w:sz w:val="22"/>
                <w:szCs w:val="22"/>
              </w:rPr>
              <w:lastRenderedPageBreak/>
              <w:t>Ú</w:t>
            </w:r>
          </w:p>
          <w:p w14:paraId="35007235" w14:textId="77777777" w:rsidR="001F56D7" w:rsidRDefault="001F56D7" w:rsidP="00357CEC">
            <w:pPr>
              <w:pStyle w:val="Default"/>
              <w:rPr>
                <w:sz w:val="22"/>
                <w:szCs w:val="22"/>
              </w:rPr>
            </w:pPr>
          </w:p>
          <w:p w14:paraId="07D0850F" w14:textId="77777777" w:rsidR="001F56D7" w:rsidRDefault="001F56D7" w:rsidP="00357CEC">
            <w:pPr>
              <w:pStyle w:val="Default"/>
              <w:rPr>
                <w:sz w:val="22"/>
                <w:szCs w:val="22"/>
              </w:rPr>
            </w:pPr>
          </w:p>
          <w:p w14:paraId="75E13EDF" w14:textId="77777777" w:rsidR="001F56D7" w:rsidRDefault="001F56D7" w:rsidP="00357CEC">
            <w:pPr>
              <w:pStyle w:val="Default"/>
              <w:rPr>
                <w:sz w:val="22"/>
                <w:szCs w:val="22"/>
              </w:rPr>
            </w:pPr>
          </w:p>
          <w:p w14:paraId="799BDAEA" w14:textId="77777777" w:rsidR="001F56D7" w:rsidRDefault="001F56D7" w:rsidP="00357CEC">
            <w:pPr>
              <w:pStyle w:val="Default"/>
              <w:rPr>
                <w:sz w:val="22"/>
                <w:szCs w:val="22"/>
              </w:rPr>
            </w:pPr>
          </w:p>
          <w:p w14:paraId="4D75B667" w14:textId="77777777" w:rsidR="001F56D7" w:rsidRDefault="001F56D7" w:rsidP="00357CEC">
            <w:pPr>
              <w:pStyle w:val="Default"/>
              <w:rPr>
                <w:sz w:val="22"/>
                <w:szCs w:val="22"/>
              </w:rPr>
            </w:pPr>
          </w:p>
          <w:p w14:paraId="2C0E08DB" w14:textId="77777777" w:rsidR="001F56D7" w:rsidRDefault="001F56D7" w:rsidP="00357CEC">
            <w:pPr>
              <w:pStyle w:val="Default"/>
              <w:rPr>
                <w:sz w:val="22"/>
                <w:szCs w:val="22"/>
              </w:rPr>
            </w:pPr>
          </w:p>
          <w:p w14:paraId="28897533" w14:textId="77777777" w:rsidR="001F56D7" w:rsidRDefault="001F56D7" w:rsidP="00357CEC">
            <w:pPr>
              <w:pStyle w:val="Default"/>
              <w:rPr>
                <w:sz w:val="22"/>
                <w:szCs w:val="22"/>
              </w:rPr>
            </w:pPr>
          </w:p>
          <w:p w14:paraId="15131BE5" w14:textId="77777777" w:rsidR="001F56D7" w:rsidRDefault="001F56D7" w:rsidP="00357CEC">
            <w:pPr>
              <w:pStyle w:val="Default"/>
              <w:rPr>
                <w:sz w:val="22"/>
                <w:szCs w:val="22"/>
              </w:rPr>
            </w:pPr>
          </w:p>
          <w:p w14:paraId="27135350" w14:textId="61558DE1" w:rsidR="001F56D7" w:rsidRPr="001300A9" w:rsidRDefault="001F56D7" w:rsidP="00357CEC">
            <w:pPr>
              <w:pStyle w:val="Default"/>
              <w:rPr>
                <w:sz w:val="22"/>
                <w:szCs w:val="22"/>
              </w:rPr>
            </w:pPr>
            <w:r w:rsidRPr="006C1C99">
              <w:rPr>
                <w:color w:val="auto"/>
                <w:sz w:val="22"/>
                <w:szCs w:val="22"/>
              </w:rPr>
              <w:t>Ú</w:t>
            </w:r>
          </w:p>
        </w:tc>
        <w:tc>
          <w:tcPr>
            <w:tcW w:w="1276" w:type="dxa"/>
          </w:tcPr>
          <w:p w14:paraId="2B6FF25D" w14:textId="77777777" w:rsidR="00357CEC" w:rsidRPr="001300A9" w:rsidRDefault="00357CEC" w:rsidP="00357CEC">
            <w:pPr>
              <w:pStyle w:val="Default"/>
              <w:rPr>
                <w:sz w:val="22"/>
                <w:szCs w:val="22"/>
              </w:rPr>
            </w:pPr>
          </w:p>
        </w:tc>
        <w:tc>
          <w:tcPr>
            <w:tcW w:w="850" w:type="dxa"/>
          </w:tcPr>
          <w:p w14:paraId="41915D95" w14:textId="00BFE810" w:rsidR="00357CEC" w:rsidRDefault="00E7234C" w:rsidP="00357CEC">
            <w:pPr>
              <w:pStyle w:val="Default"/>
              <w:rPr>
                <w:sz w:val="22"/>
                <w:szCs w:val="22"/>
              </w:rPr>
            </w:pPr>
            <w:r w:rsidRPr="001300A9">
              <w:rPr>
                <w:sz w:val="22"/>
                <w:szCs w:val="22"/>
              </w:rPr>
              <w:t>GP - N</w:t>
            </w:r>
          </w:p>
          <w:p w14:paraId="137CB10C" w14:textId="77777777" w:rsidR="001F56D7" w:rsidRDefault="001F56D7" w:rsidP="00357CEC">
            <w:pPr>
              <w:pStyle w:val="Default"/>
              <w:rPr>
                <w:sz w:val="22"/>
                <w:szCs w:val="22"/>
              </w:rPr>
            </w:pPr>
          </w:p>
          <w:p w14:paraId="0406BB14" w14:textId="77777777" w:rsidR="001F56D7" w:rsidRDefault="001F56D7" w:rsidP="00357CEC">
            <w:pPr>
              <w:pStyle w:val="Default"/>
              <w:rPr>
                <w:sz w:val="22"/>
                <w:szCs w:val="22"/>
              </w:rPr>
            </w:pPr>
          </w:p>
          <w:p w14:paraId="697E74C1" w14:textId="77777777" w:rsidR="001F56D7" w:rsidRDefault="001F56D7" w:rsidP="00357CEC">
            <w:pPr>
              <w:pStyle w:val="Default"/>
              <w:rPr>
                <w:sz w:val="22"/>
                <w:szCs w:val="22"/>
              </w:rPr>
            </w:pPr>
          </w:p>
          <w:p w14:paraId="6D5A2FD4" w14:textId="77777777" w:rsidR="001F56D7" w:rsidRDefault="001F56D7" w:rsidP="00357CEC">
            <w:pPr>
              <w:pStyle w:val="Default"/>
              <w:rPr>
                <w:sz w:val="22"/>
                <w:szCs w:val="22"/>
              </w:rPr>
            </w:pPr>
          </w:p>
          <w:p w14:paraId="208BD481" w14:textId="77777777" w:rsidR="001F56D7" w:rsidRDefault="001F56D7" w:rsidP="00357CEC">
            <w:pPr>
              <w:pStyle w:val="Default"/>
              <w:rPr>
                <w:sz w:val="22"/>
                <w:szCs w:val="22"/>
              </w:rPr>
            </w:pPr>
          </w:p>
          <w:p w14:paraId="2FC3AE8A" w14:textId="77777777" w:rsidR="001F56D7" w:rsidRDefault="001F56D7" w:rsidP="00357CEC">
            <w:pPr>
              <w:pStyle w:val="Default"/>
              <w:rPr>
                <w:sz w:val="22"/>
                <w:szCs w:val="22"/>
              </w:rPr>
            </w:pPr>
          </w:p>
          <w:p w14:paraId="4601A48A" w14:textId="5F0CA30C" w:rsidR="001F56D7" w:rsidRDefault="001F56D7" w:rsidP="00357CEC">
            <w:pPr>
              <w:pStyle w:val="Default"/>
              <w:rPr>
                <w:sz w:val="22"/>
                <w:szCs w:val="22"/>
              </w:rPr>
            </w:pPr>
          </w:p>
          <w:p w14:paraId="00B1AC83" w14:textId="2D276DEC" w:rsidR="001F56D7" w:rsidRPr="001300A9" w:rsidRDefault="001F56D7" w:rsidP="00357CEC">
            <w:pPr>
              <w:pStyle w:val="Default"/>
              <w:rPr>
                <w:sz w:val="22"/>
                <w:szCs w:val="22"/>
              </w:rPr>
            </w:pPr>
            <w:r>
              <w:rPr>
                <w:sz w:val="22"/>
                <w:szCs w:val="22"/>
              </w:rPr>
              <w:t>GP - N</w:t>
            </w:r>
          </w:p>
        </w:tc>
        <w:tc>
          <w:tcPr>
            <w:tcW w:w="815" w:type="dxa"/>
          </w:tcPr>
          <w:p w14:paraId="3B33BF15" w14:textId="77777777" w:rsidR="00357CEC" w:rsidRPr="001300A9" w:rsidRDefault="00357CEC" w:rsidP="00357CEC">
            <w:pPr>
              <w:pStyle w:val="Default"/>
              <w:rPr>
                <w:sz w:val="22"/>
                <w:szCs w:val="22"/>
              </w:rPr>
            </w:pPr>
          </w:p>
        </w:tc>
      </w:tr>
      <w:tr w:rsidR="00DD6EDC" w:rsidRPr="001300A9" w14:paraId="0FDE3AA8" w14:textId="77777777" w:rsidTr="360410BC">
        <w:tc>
          <w:tcPr>
            <w:tcW w:w="562" w:type="dxa"/>
          </w:tcPr>
          <w:p w14:paraId="018905EE" w14:textId="77777777" w:rsidR="00357CEC" w:rsidRPr="001300A9" w:rsidRDefault="00357CEC" w:rsidP="00357CEC">
            <w:pPr>
              <w:pStyle w:val="Default"/>
              <w:rPr>
                <w:sz w:val="22"/>
                <w:szCs w:val="22"/>
              </w:rPr>
            </w:pPr>
            <w:r w:rsidRPr="001300A9">
              <w:rPr>
                <w:sz w:val="22"/>
                <w:szCs w:val="22"/>
              </w:rPr>
              <w:t>Č: 1</w:t>
            </w:r>
          </w:p>
          <w:p w14:paraId="00B5347C" w14:textId="77777777" w:rsidR="00357CEC" w:rsidRPr="001300A9" w:rsidRDefault="00357CEC" w:rsidP="00357CEC">
            <w:pPr>
              <w:pStyle w:val="Default"/>
              <w:rPr>
                <w:sz w:val="22"/>
                <w:szCs w:val="22"/>
              </w:rPr>
            </w:pPr>
            <w:r w:rsidRPr="001300A9">
              <w:rPr>
                <w:sz w:val="22"/>
                <w:szCs w:val="22"/>
              </w:rPr>
              <w:t>O: 23</w:t>
            </w:r>
          </w:p>
          <w:p w14:paraId="42AB354A" w14:textId="77777777" w:rsidR="00357CEC" w:rsidRPr="001300A9" w:rsidRDefault="00357CEC" w:rsidP="00357CEC">
            <w:pPr>
              <w:pStyle w:val="Default"/>
              <w:rPr>
                <w:sz w:val="22"/>
                <w:szCs w:val="22"/>
              </w:rPr>
            </w:pPr>
            <w:r w:rsidRPr="001300A9">
              <w:rPr>
                <w:sz w:val="22"/>
                <w:szCs w:val="22"/>
              </w:rPr>
              <w:t>P: d)</w:t>
            </w:r>
          </w:p>
        </w:tc>
        <w:tc>
          <w:tcPr>
            <w:tcW w:w="4820" w:type="dxa"/>
          </w:tcPr>
          <w:p w14:paraId="3D283EB8" w14:textId="77777777" w:rsidR="00357CEC" w:rsidRPr="001300A9" w:rsidRDefault="00357CEC" w:rsidP="00357CEC">
            <w:pPr>
              <w:pStyle w:val="Default"/>
              <w:rPr>
                <w:sz w:val="22"/>
                <w:szCs w:val="22"/>
              </w:rPr>
            </w:pPr>
            <w:r w:rsidRPr="001300A9">
              <w:rPr>
                <w:sz w:val="22"/>
                <w:szCs w:val="22"/>
              </w:rPr>
              <w:t>11a. V prípade lodnej spoločnosti, ktorá nesplnila povinnosti týkajúce sa odovzdávania kvót počas dvoch alebo viacerých po sebe nasledujúcich období nahlasovania, a ak sa súlad nepodarilo zabezpečiť inými donucovacími opatreniami, môže príslušný orgán členského štátu, v ktorom sa nachádza prístav vstupu, po tom, ako dotknutej lodnej spoločnosti umožní predložiť pripomienky, vydať rozhodnutie o vyhostení, ktoré sa oznámi Komisii, Európskej námornej bezpečnostnej agentúre (ďalej len „EMSA“), ostatným členským štátom a dotknutému vlajkovému štátu. V dôsledku vydania takéhoto rozhodnutia o vyhostení každý členský štát s výnimkou členského štátu, pod ktorého vlajkou sa daná loď plaví, odmietne lodiam, za ktoré nesie zodpovednosť dotknutá lodná spoločnosť, vstup do všetkých svojich prístavov, kým si lodná spoločnosť nesplní svoje povinnosti týkajúce sa odovzdania kvót v súlade s článkom 12. Ak sa loď plaví pod vlajkou členského štátu a vpláva do jedného z jeho prístavov alebo sa zistí, že sa nachádza v takomto prístave, dotknutý členský štát po tom, ako dotknutej lodnej spoločnosti umožní predložiť pripomienky, zadrží uvedenú loď dovtedy, kým si lodná spoločnosť nesplní svoje povinnosti týkajúce sa odovzdania kvót.</w:t>
            </w:r>
          </w:p>
          <w:p w14:paraId="4BFAFA7A" w14:textId="77777777" w:rsidR="00357CEC" w:rsidRPr="001300A9" w:rsidRDefault="00357CEC" w:rsidP="00357CEC">
            <w:pPr>
              <w:pStyle w:val="Default"/>
              <w:rPr>
                <w:sz w:val="22"/>
                <w:szCs w:val="22"/>
              </w:rPr>
            </w:pPr>
          </w:p>
          <w:p w14:paraId="7667E7CB" w14:textId="77777777" w:rsidR="00357CEC" w:rsidRPr="001300A9" w:rsidRDefault="00357CEC" w:rsidP="00357CEC">
            <w:pPr>
              <w:pStyle w:val="Default"/>
              <w:rPr>
                <w:sz w:val="22"/>
                <w:szCs w:val="22"/>
              </w:rPr>
            </w:pPr>
            <w:r w:rsidRPr="001300A9">
              <w:rPr>
                <w:sz w:val="22"/>
                <w:szCs w:val="22"/>
              </w:rPr>
              <w:t xml:space="preserve">Ak sa loď lodnej spoločnosti uvedenej v prvom </w:t>
            </w:r>
            <w:proofErr w:type="spellStart"/>
            <w:r w:rsidRPr="001300A9">
              <w:rPr>
                <w:sz w:val="22"/>
                <w:szCs w:val="22"/>
              </w:rPr>
              <w:t>pododseku</w:t>
            </w:r>
            <w:proofErr w:type="spellEnd"/>
            <w:r w:rsidRPr="001300A9">
              <w:rPr>
                <w:sz w:val="22"/>
                <w:szCs w:val="22"/>
              </w:rPr>
              <w:t xml:space="preserve"> nachádza v jednom z prístavov členského štátu, pod ktorého vlajkou sa loď plaví, dotknutý členský štát môže po tom, ako dotknutej lodnej spoločnosti umožní predložiť pripomienky, vydať príkaz vlajkového štátu na zadržanie lode dovtedy, kým si lodná spoločnosť nesplní svoje povinnosti týkajúce sa odovzdania kvót. Informuje o tom Komisiu, agentúru EMSA a ostatné členské štáty. V dôsledku vydania takéhoto príkazu vlajkového štátu na zadržanie lode prijme každý členský štát rovnaké opatrenia, aké sa vyžadujú, aby boli prijaté po vydaní rozhodnutia o vyhostení v súlade s prvým </w:t>
            </w:r>
            <w:proofErr w:type="spellStart"/>
            <w:r w:rsidRPr="001300A9">
              <w:rPr>
                <w:sz w:val="22"/>
                <w:szCs w:val="22"/>
              </w:rPr>
              <w:t>pododsekom</w:t>
            </w:r>
            <w:proofErr w:type="spellEnd"/>
            <w:r w:rsidRPr="001300A9">
              <w:rPr>
                <w:sz w:val="22"/>
                <w:szCs w:val="22"/>
              </w:rPr>
              <w:t xml:space="preserve"> druhou vetou.</w:t>
            </w:r>
          </w:p>
          <w:p w14:paraId="0B344FE9" w14:textId="77777777" w:rsidR="00357CEC" w:rsidRPr="001300A9" w:rsidRDefault="00357CEC" w:rsidP="00357CEC">
            <w:pPr>
              <w:pStyle w:val="Default"/>
              <w:rPr>
                <w:sz w:val="22"/>
                <w:szCs w:val="22"/>
              </w:rPr>
            </w:pPr>
          </w:p>
          <w:p w14:paraId="70EA462E" w14:textId="77777777" w:rsidR="00357CEC" w:rsidRPr="001300A9" w:rsidRDefault="00357CEC" w:rsidP="00357CEC">
            <w:pPr>
              <w:pStyle w:val="Default"/>
              <w:rPr>
                <w:sz w:val="22"/>
                <w:szCs w:val="22"/>
              </w:rPr>
            </w:pPr>
            <w:r w:rsidRPr="001300A9">
              <w:rPr>
                <w:sz w:val="22"/>
                <w:szCs w:val="22"/>
              </w:rPr>
              <w:t>Týmto odsekom nie sú dotknuté medzinárodné námorné predpisy uplatniteľné na lode v stave núdze.</w:t>
            </w:r>
          </w:p>
        </w:tc>
        <w:tc>
          <w:tcPr>
            <w:tcW w:w="567" w:type="dxa"/>
          </w:tcPr>
          <w:p w14:paraId="669336D0" w14:textId="77777777" w:rsidR="00357CEC" w:rsidRPr="001300A9" w:rsidRDefault="00357CEC" w:rsidP="00357CEC">
            <w:pPr>
              <w:pStyle w:val="Default"/>
              <w:rPr>
                <w:sz w:val="22"/>
                <w:szCs w:val="22"/>
              </w:rPr>
            </w:pPr>
            <w:r w:rsidRPr="001300A9">
              <w:rPr>
                <w:sz w:val="22"/>
                <w:szCs w:val="22"/>
              </w:rPr>
              <w:t>N</w:t>
            </w:r>
          </w:p>
          <w:p w14:paraId="38AABD2D" w14:textId="2BE4FD1C" w:rsidR="00357CEC" w:rsidRPr="001300A9" w:rsidRDefault="00357CEC" w:rsidP="00357CEC">
            <w:pPr>
              <w:pStyle w:val="Default"/>
              <w:rPr>
                <w:sz w:val="22"/>
                <w:szCs w:val="22"/>
              </w:rPr>
            </w:pPr>
          </w:p>
        </w:tc>
        <w:tc>
          <w:tcPr>
            <w:tcW w:w="283" w:type="dxa"/>
          </w:tcPr>
          <w:p w14:paraId="09284B9B" w14:textId="6C2DEF0D" w:rsidR="00357CEC" w:rsidRPr="001300A9" w:rsidRDefault="00436704" w:rsidP="00357CEC">
            <w:pPr>
              <w:pStyle w:val="Default"/>
              <w:rPr>
                <w:sz w:val="22"/>
                <w:szCs w:val="22"/>
              </w:rPr>
            </w:pPr>
            <w:r>
              <w:rPr>
                <w:sz w:val="22"/>
                <w:szCs w:val="22"/>
              </w:rPr>
              <w:t>NZ</w:t>
            </w:r>
          </w:p>
        </w:tc>
        <w:tc>
          <w:tcPr>
            <w:tcW w:w="567" w:type="dxa"/>
          </w:tcPr>
          <w:p w14:paraId="69E92E21" w14:textId="00DEEF72" w:rsidR="00357CEC" w:rsidRPr="001300A9" w:rsidRDefault="00287825" w:rsidP="00357CEC">
            <w:pPr>
              <w:pStyle w:val="Default"/>
              <w:rPr>
                <w:sz w:val="22"/>
                <w:szCs w:val="22"/>
              </w:rPr>
            </w:pPr>
            <w:r w:rsidRPr="006C1C99">
              <w:rPr>
                <w:sz w:val="22"/>
                <w:szCs w:val="22"/>
              </w:rPr>
              <w:t>Č:I§:28 O:</w:t>
            </w:r>
            <w:r w:rsidR="00884513" w:rsidRPr="006C1C99">
              <w:rPr>
                <w:sz w:val="22"/>
                <w:szCs w:val="22"/>
              </w:rPr>
              <w:t>12 až 15</w:t>
            </w:r>
          </w:p>
        </w:tc>
        <w:tc>
          <w:tcPr>
            <w:tcW w:w="4253" w:type="dxa"/>
          </w:tcPr>
          <w:p w14:paraId="5FAD8CFB" w14:textId="648E8DFE" w:rsidR="002F2379" w:rsidRDefault="3A1D6096" w:rsidP="00056FC2">
            <w:pPr>
              <w:pStyle w:val="Default"/>
              <w:rPr>
                <w:sz w:val="22"/>
                <w:szCs w:val="22"/>
              </w:rPr>
            </w:pPr>
            <w:r w:rsidRPr="5F673433">
              <w:rPr>
                <w:sz w:val="22"/>
                <w:szCs w:val="22"/>
              </w:rPr>
              <w:t>(12</w:t>
            </w:r>
            <w:r w:rsidR="34925BF6" w:rsidRPr="5F673433">
              <w:rPr>
                <w:sz w:val="22"/>
                <w:szCs w:val="22"/>
              </w:rPr>
              <w:t xml:space="preserve">) </w:t>
            </w:r>
            <w:r w:rsidR="201034CF" w:rsidRPr="5F673433">
              <w:rPr>
                <w:sz w:val="22"/>
                <w:szCs w:val="22"/>
              </w:rPr>
              <w:t>Ak si lodná spoločnosť nesplnila povinnosti odovzdať kvóty podľa §  20 ods. 1</w:t>
            </w:r>
            <w:r w:rsidR="51E31EB6" w:rsidRPr="5F673433">
              <w:rPr>
                <w:sz w:val="22"/>
                <w:szCs w:val="22"/>
              </w:rPr>
              <w:t>3</w:t>
            </w:r>
            <w:r w:rsidR="201034CF" w:rsidRPr="5F673433">
              <w:rPr>
                <w:sz w:val="22"/>
                <w:szCs w:val="22"/>
              </w:rPr>
              <w:t xml:space="preserve"> počas dvoch alebo viacerých po sebe nasledujúcich období nahlasovania a ak sa ich odovzdanie nepodarilo zabezpečiť ani uložením pokuty, môže príslušný orgán členského štátu, v ktorom sa nachádza prístav vstupu, po tom, ako dotknutej lodnej spoločnosti umožní predložiť pripomienky, vydať rozhodnutie o vyhostení, ktoré oznámi Komisii, Európskej námornej bezpečnostnej agentúre, ostatným členským štátom a dotknutému vlajkovému štátu. V dôsledku vydania takéhoto rozhodnutia o vyhostení každý členský štát s výnimkou členského štátu, pod ktorého vlajkou sa daná námorná loď plaví, odmietne námorným lodiam, za ktoré nesie zodpovednosť dotknutá lodná spoločnosť, vstup do všetkých svojich prístavov, kým si lodná spoločnosť nesplní svoje povinnosti týkajúce sa odovzdania kvót podľa tohto zákona. Ak sa námorná loď plaví pod vlajkou členského štátu a vpláva do jedného z jeho prístavov alebo sa zistí, že sa nachádza v takomto prístave, dotknutý členský štát po tom, ako dotknutej lodnej spoločnosti umožní predložiť pripomienky, zadrží uvedenú námornú loď dovtedy, kým si lodná spoločnosť nesplní svoje povinnosti týkajúce sa odovzdania kvót.</w:t>
            </w:r>
          </w:p>
          <w:p w14:paraId="3A881B0C" w14:textId="48B4EB24" w:rsidR="00056FC2" w:rsidRPr="001300A9" w:rsidRDefault="00884513" w:rsidP="00056FC2">
            <w:pPr>
              <w:pStyle w:val="Default"/>
              <w:rPr>
                <w:sz w:val="22"/>
                <w:szCs w:val="22"/>
              </w:rPr>
            </w:pPr>
            <w:r>
              <w:rPr>
                <w:sz w:val="22"/>
                <w:szCs w:val="22"/>
              </w:rPr>
              <w:t>(13</w:t>
            </w:r>
            <w:r w:rsidR="00056FC2" w:rsidRPr="001300A9">
              <w:rPr>
                <w:sz w:val="22"/>
                <w:szCs w:val="22"/>
              </w:rPr>
              <w:t xml:space="preserve">) </w:t>
            </w:r>
            <w:r w:rsidR="002F2379" w:rsidRPr="002F2379">
              <w:rPr>
                <w:sz w:val="22"/>
                <w:szCs w:val="22"/>
              </w:rPr>
              <w:t>Ak sa námorná loď lodnej spoločnosti uvedenej v odseku 1 nachádza v jednom z prístavov členského štátu, pod ktorého vlajkou sa námorná loď plaví, dotknutý členský štát môže po tom, ako dotknutej lodnej spoločnosti umožní predložiť pripomienky, vydať príkaz vlajkového štátu na zadržanie námornej lode dovtedy, kým si lodná spoločnosť nesplní svoje povinnosti týkajúce sa odovzdania kvót. Informuje o tom Komisiu, Európsku námornú bezpečnostnú agentúru a ostatné členské štáty</w:t>
            </w:r>
            <w:r w:rsidR="00056FC2" w:rsidRPr="001300A9">
              <w:rPr>
                <w:sz w:val="22"/>
                <w:szCs w:val="22"/>
              </w:rPr>
              <w:t xml:space="preserve">. </w:t>
            </w:r>
          </w:p>
          <w:p w14:paraId="303629F4" w14:textId="2BD370DA" w:rsidR="00056FC2" w:rsidRPr="001300A9" w:rsidRDefault="00884513" w:rsidP="00056FC2">
            <w:pPr>
              <w:pStyle w:val="Default"/>
              <w:rPr>
                <w:sz w:val="22"/>
                <w:szCs w:val="22"/>
              </w:rPr>
            </w:pPr>
            <w:r>
              <w:rPr>
                <w:sz w:val="22"/>
                <w:szCs w:val="22"/>
              </w:rPr>
              <w:t>(14</w:t>
            </w:r>
            <w:r w:rsidR="00056FC2" w:rsidRPr="001300A9">
              <w:rPr>
                <w:sz w:val="22"/>
                <w:szCs w:val="22"/>
              </w:rPr>
              <w:t>) V dôsledku vydania príkazu vlajkového štátu n</w:t>
            </w:r>
            <w:r>
              <w:rPr>
                <w:sz w:val="22"/>
                <w:szCs w:val="22"/>
              </w:rPr>
              <w:t>a zadržanie lode podľa odseku 13</w:t>
            </w:r>
            <w:r w:rsidR="00056FC2" w:rsidRPr="001300A9">
              <w:rPr>
                <w:sz w:val="22"/>
                <w:szCs w:val="22"/>
              </w:rPr>
              <w:t xml:space="preserve"> prijme každý členský štát rovnaké opatrenia, aké sa vyžadujú, aby boli prijaté po vydaní rozhodnutia o v</w:t>
            </w:r>
            <w:r>
              <w:rPr>
                <w:sz w:val="22"/>
                <w:szCs w:val="22"/>
              </w:rPr>
              <w:t>yhostení v súlade s odsekom 12</w:t>
            </w:r>
            <w:r w:rsidR="00056FC2" w:rsidRPr="001300A9">
              <w:rPr>
                <w:sz w:val="22"/>
                <w:szCs w:val="22"/>
              </w:rPr>
              <w:t>.</w:t>
            </w:r>
          </w:p>
          <w:p w14:paraId="319BAA5D" w14:textId="6DCDF788" w:rsidR="00357CEC" w:rsidRPr="001300A9" w:rsidRDefault="00884513" w:rsidP="00056FC2">
            <w:pPr>
              <w:pStyle w:val="Default"/>
              <w:rPr>
                <w:sz w:val="22"/>
                <w:szCs w:val="22"/>
              </w:rPr>
            </w:pPr>
            <w:r>
              <w:rPr>
                <w:sz w:val="22"/>
                <w:szCs w:val="22"/>
              </w:rPr>
              <w:t>(15</w:t>
            </w:r>
            <w:r w:rsidR="0058242C" w:rsidRPr="001300A9">
              <w:rPr>
                <w:sz w:val="22"/>
                <w:szCs w:val="22"/>
              </w:rPr>
              <w:t>) Od</w:t>
            </w:r>
            <w:r>
              <w:rPr>
                <w:sz w:val="22"/>
                <w:szCs w:val="22"/>
              </w:rPr>
              <w:t>sekmi 12 až 14</w:t>
            </w:r>
            <w:r w:rsidR="00056FC2" w:rsidRPr="001300A9">
              <w:rPr>
                <w:sz w:val="22"/>
                <w:szCs w:val="22"/>
              </w:rPr>
              <w:t xml:space="preserve"> nie sú dotknuté medzinárodné námorné predpisy uplatniteľné na lode v stave núdze.</w:t>
            </w:r>
          </w:p>
        </w:tc>
        <w:tc>
          <w:tcPr>
            <w:tcW w:w="567" w:type="dxa"/>
          </w:tcPr>
          <w:p w14:paraId="3BE38DB9" w14:textId="2A144A4E" w:rsidR="00357CEC" w:rsidRPr="001300A9" w:rsidRDefault="00056FC2" w:rsidP="00357CEC">
            <w:pPr>
              <w:pStyle w:val="Default"/>
              <w:rPr>
                <w:sz w:val="22"/>
                <w:szCs w:val="22"/>
              </w:rPr>
            </w:pPr>
            <w:r w:rsidRPr="001300A9">
              <w:rPr>
                <w:sz w:val="22"/>
                <w:szCs w:val="22"/>
              </w:rPr>
              <w:t>Ú</w:t>
            </w:r>
          </w:p>
        </w:tc>
        <w:tc>
          <w:tcPr>
            <w:tcW w:w="1276" w:type="dxa"/>
          </w:tcPr>
          <w:p w14:paraId="23C0C72E" w14:textId="77777777" w:rsidR="00357CEC" w:rsidRPr="001300A9" w:rsidRDefault="00357CEC" w:rsidP="00357CEC">
            <w:pPr>
              <w:pStyle w:val="Default"/>
              <w:rPr>
                <w:sz w:val="22"/>
                <w:szCs w:val="22"/>
              </w:rPr>
            </w:pPr>
          </w:p>
        </w:tc>
        <w:tc>
          <w:tcPr>
            <w:tcW w:w="850" w:type="dxa"/>
          </w:tcPr>
          <w:p w14:paraId="35A5E270" w14:textId="7DEF75A9" w:rsidR="00357CEC" w:rsidRPr="001300A9" w:rsidRDefault="00056FC2" w:rsidP="00357CEC">
            <w:pPr>
              <w:pStyle w:val="Default"/>
              <w:rPr>
                <w:sz w:val="22"/>
                <w:szCs w:val="22"/>
              </w:rPr>
            </w:pPr>
            <w:r w:rsidRPr="001300A9">
              <w:rPr>
                <w:sz w:val="22"/>
                <w:szCs w:val="22"/>
              </w:rPr>
              <w:t>GP - N</w:t>
            </w:r>
          </w:p>
        </w:tc>
        <w:tc>
          <w:tcPr>
            <w:tcW w:w="815" w:type="dxa"/>
          </w:tcPr>
          <w:p w14:paraId="37ECBB67" w14:textId="77777777" w:rsidR="00357CEC" w:rsidRPr="001300A9" w:rsidRDefault="00357CEC" w:rsidP="00357CEC">
            <w:pPr>
              <w:pStyle w:val="Default"/>
              <w:rPr>
                <w:sz w:val="22"/>
                <w:szCs w:val="22"/>
              </w:rPr>
            </w:pPr>
          </w:p>
        </w:tc>
      </w:tr>
      <w:tr w:rsidR="00DD6EDC" w:rsidRPr="001300A9" w14:paraId="4D6C3D70" w14:textId="77777777" w:rsidTr="360410BC">
        <w:tc>
          <w:tcPr>
            <w:tcW w:w="562" w:type="dxa"/>
          </w:tcPr>
          <w:p w14:paraId="5B7D0982" w14:textId="77777777" w:rsidR="00357CEC" w:rsidRPr="001300A9" w:rsidRDefault="00357CEC" w:rsidP="00357CEC">
            <w:pPr>
              <w:pStyle w:val="Default"/>
              <w:rPr>
                <w:sz w:val="22"/>
                <w:szCs w:val="22"/>
              </w:rPr>
            </w:pPr>
            <w:r w:rsidRPr="001300A9">
              <w:rPr>
                <w:sz w:val="22"/>
                <w:szCs w:val="22"/>
              </w:rPr>
              <w:t>Č: 1</w:t>
            </w:r>
          </w:p>
          <w:p w14:paraId="66E2AF31" w14:textId="77777777" w:rsidR="00357CEC" w:rsidRPr="001300A9" w:rsidRDefault="00357CEC" w:rsidP="00357CEC">
            <w:pPr>
              <w:pStyle w:val="Default"/>
              <w:rPr>
                <w:sz w:val="22"/>
                <w:szCs w:val="22"/>
              </w:rPr>
            </w:pPr>
            <w:r w:rsidRPr="001300A9">
              <w:rPr>
                <w:sz w:val="22"/>
                <w:szCs w:val="22"/>
              </w:rPr>
              <w:t>O: 24</w:t>
            </w:r>
          </w:p>
        </w:tc>
        <w:tc>
          <w:tcPr>
            <w:tcW w:w="4820" w:type="dxa"/>
          </w:tcPr>
          <w:p w14:paraId="2167EB61" w14:textId="77777777" w:rsidR="00357CEC" w:rsidRPr="001300A9" w:rsidRDefault="00357CEC" w:rsidP="00357CEC">
            <w:pPr>
              <w:pStyle w:val="Default"/>
              <w:rPr>
                <w:sz w:val="22"/>
                <w:szCs w:val="22"/>
              </w:rPr>
            </w:pPr>
            <w:r w:rsidRPr="001300A9">
              <w:rPr>
                <w:sz w:val="22"/>
                <w:szCs w:val="22"/>
              </w:rPr>
              <w:t>Článok 18b Pomoc Komisie, agentúry EMSA a iných príslušných organizácií</w:t>
            </w:r>
          </w:p>
          <w:p w14:paraId="2ABDB664" w14:textId="77777777" w:rsidR="00357CEC" w:rsidRPr="001300A9" w:rsidRDefault="00357CEC" w:rsidP="00357CEC">
            <w:pPr>
              <w:pStyle w:val="Default"/>
              <w:rPr>
                <w:sz w:val="22"/>
                <w:szCs w:val="22"/>
              </w:rPr>
            </w:pPr>
            <w:r w:rsidRPr="001300A9">
              <w:rPr>
                <w:sz w:val="22"/>
                <w:szCs w:val="22"/>
              </w:rPr>
              <w:t>1. Komisia, riadiaci členský štát a riadiace orgány vo vzťahu k lodnej spoločnosti môžu na účely vykonávania svojich povinností podľa článku 3c ods. 4 a článkov 3g, 3gd, 3ge, 3gf, 3gg a 18a požiadať o pomoc Európsku námornú bezpečnostnú agentúru alebo inú príslušnú organizáciu a na daný účel môžu s týmito organizáciami uzavrieť akékoľvek náležité dohody.</w:t>
            </w:r>
          </w:p>
          <w:p w14:paraId="4B0ADF1D" w14:textId="77777777" w:rsidR="00357CEC" w:rsidRPr="001300A9" w:rsidRDefault="00357CEC" w:rsidP="00357CEC">
            <w:pPr>
              <w:pStyle w:val="Default"/>
              <w:rPr>
                <w:sz w:val="22"/>
                <w:szCs w:val="22"/>
              </w:rPr>
            </w:pPr>
          </w:p>
          <w:p w14:paraId="7B1E2BA1" w14:textId="77777777" w:rsidR="00357CEC" w:rsidRPr="001300A9" w:rsidRDefault="00357CEC" w:rsidP="00357CEC">
            <w:pPr>
              <w:pStyle w:val="Default"/>
              <w:rPr>
                <w:sz w:val="22"/>
                <w:szCs w:val="22"/>
              </w:rPr>
            </w:pPr>
            <w:r w:rsidRPr="001300A9">
              <w:rPr>
                <w:sz w:val="22"/>
                <w:szCs w:val="22"/>
              </w:rPr>
              <w:t>2. Komisia sa s pomocou agentúry EMSA usiluje pripraviť vhodné nástroje a usmernenia na uľahčenie a koordináciu overovania a presadzovania práva v súvislosti s uplatňovaním tejto smernice na námornú dopravu. Takéto usmernenia a nástroje sa v rámci možností sprístupnia členským štátom a overovateľom na účely výmeny informácií a s cieľom lepšie zabezpečiť dôsledné presadzovanie vnútroštátnych opatrení, ktorými sa transponuje táto smernica.</w:t>
            </w:r>
          </w:p>
        </w:tc>
        <w:tc>
          <w:tcPr>
            <w:tcW w:w="567" w:type="dxa"/>
          </w:tcPr>
          <w:p w14:paraId="4F7CC65C" w14:textId="77777777" w:rsidR="00357CEC" w:rsidRPr="001300A9" w:rsidRDefault="00357CEC" w:rsidP="00357CEC">
            <w:pPr>
              <w:pStyle w:val="Default"/>
              <w:rPr>
                <w:sz w:val="22"/>
                <w:szCs w:val="22"/>
              </w:rPr>
            </w:pPr>
            <w:proofErr w:type="spellStart"/>
            <w:r w:rsidRPr="001300A9">
              <w:rPr>
                <w:sz w:val="22"/>
                <w:szCs w:val="22"/>
              </w:rPr>
              <w:t>n.a</w:t>
            </w:r>
            <w:proofErr w:type="spellEnd"/>
            <w:r w:rsidRPr="001300A9">
              <w:rPr>
                <w:sz w:val="22"/>
                <w:szCs w:val="22"/>
              </w:rPr>
              <w:t>.</w:t>
            </w:r>
          </w:p>
        </w:tc>
        <w:tc>
          <w:tcPr>
            <w:tcW w:w="283" w:type="dxa"/>
          </w:tcPr>
          <w:p w14:paraId="00D28F78" w14:textId="77777777" w:rsidR="00357CEC" w:rsidRPr="001300A9" w:rsidRDefault="00357CEC" w:rsidP="00357CEC">
            <w:pPr>
              <w:pStyle w:val="Default"/>
              <w:rPr>
                <w:sz w:val="22"/>
                <w:szCs w:val="22"/>
              </w:rPr>
            </w:pPr>
          </w:p>
        </w:tc>
        <w:tc>
          <w:tcPr>
            <w:tcW w:w="567" w:type="dxa"/>
          </w:tcPr>
          <w:p w14:paraId="28D68C1E" w14:textId="77777777" w:rsidR="00357CEC" w:rsidRPr="001300A9" w:rsidRDefault="00357CEC" w:rsidP="00357CEC">
            <w:pPr>
              <w:pStyle w:val="Default"/>
              <w:rPr>
                <w:sz w:val="22"/>
                <w:szCs w:val="22"/>
              </w:rPr>
            </w:pPr>
          </w:p>
        </w:tc>
        <w:tc>
          <w:tcPr>
            <w:tcW w:w="4253" w:type="dxa"/>
          </w:tcPr>
          <w:p w14:paraId="49CA241B" w14:textId="77777777" w:rsidR="00357CEC" w:rsidRPr="001300A9" w:rsidRDefault="00357CEC" w:rsidP="00357CEC">
            <w:pPr>
              <w:pStyle w:val="Default"/>
              <w:rPr>
                <w:sz w:val="22"/>
                <w:szCs w:val="22"/>
              </w:rPr>
            </w:pPr>
          </w:p>
        </w:tc>
        <w:tc>
          <w:tcPr>
            <w:tcW w:w="567" w:type="dxa"/>
          </w:tcPr>
          <w:p w14:paraId="6AD7F08B" w14:textId="77777777" w:rsidR="00357CEC" w:rsidRPr="001300A9" w:rsidRDefault="00357CEC" w:rsidP="00357CEC">
            <w:pPr>
              <w:pStyle w:val="Default"/>
              <w:rPr>
                <w:sz w:val="22"/>
                <w:szCs w:val="22"/>
              </w:rPr>
            </w:pPr>
          </w:p>
        </w:tc>
        <w:tc>
          <w:tcPr>
            <w:tcW w:w="1276" w:type="dxa"/>
          </w:tcPr>
          <w:p w14:paraId="7933E6A6" w14:textId="77777777" w:rsidR="00357CEC" w:rsidRPr="001300A9" w:rsidRDefault="00357CEC" w:rsidP="00357CEC">
            <w:pPr>
              <w:pStyle w:val="Default"/>
              <w:rPr>
                <w:sz w:val="22"/>
                <w:szCs w:val="22"/>
              </w:rPr>
            </w:pPr>
          </w:p>
        </w:tc>
        <w:tc>
          <w:tcPr>
            <w:tcW w:w="850" w:type="dxa"/>
          </w:tcPr>
          <w:p w14:paraId="57246CB5" w14:textId="77777777" w:rsidR="00357CEC" w:rsidRPr="001300A9" w:rsidRDefault="00357CEC" w:rsidP="00357CEC">
            <w:pPr>
              <w:pStyle w:val="Default"/>
              <w:rPr>
                <w:sz w:val="22"/>
                <w:szCs w:val="22"/>
              </w:rPr>
            </w:pPr>
          </w:p>
        </w:tc>
        <w:tc>
          <w:tcPr>
            <w:tcW w:w="815" w:type="dxa"/>
          </w:tcPr>
          <w:p w14:paraId="2B6B4614" w14:textId="77777777" w:rsidR="00357CEC" w:rsidRPr="001300A9" w:rsidRDefault="00357CEC" w:rsidP="00357CEC">
            <w:pPr>
              <w:pStyle w:val="Default"/>
              <w:rPr>
                <w:sz w:val="22"/>
                <w:szCs w:val="22"/>
              </w:rPr>
            </w:pPr>
          </w:p>
        </w:tc>
      </w:tr>
      <w:tr w:rsidR="00DD6EDC" w:rsidRPr="001300A9" w14:paraId="3EDDADFE" w14:textId="77777777" w:rsidTr="360410BC">
        <w:tc>
          <w:tcPr>
            <w:tcW w:w="562" w:type="dxa"/>
          </w:tcPr>
          <w:p w14:paraId="4C7DD92A" w14:textId="77777777" w:rsidR="00357CEC" w:rsidRPr="001300A9" w:rsidRDefault="00357CEC" w:rsidP="00357CEC">
            <w:pPr>
              <w:pStyle w:val="Default"/>
              <w:rPr>
                <w:sz w:val="22"/>
                <w:szCs w:val="22"/>
              </w:rPr>
            </w:pPr>
            <w:r w:rsidRPr="001300A9">
              <w:rPr>
                <w:sz w:val="22"/>
                <w:szCs w:val="22"/>
              </w:rPr>
              <w:t>Č: 1</w:t>
            </w:r>
          </w:p>
          <w:p w14:paraId="1300F42E" w14:textId="77777777" w:rsidR="00357CEC" w:rsidRPr="001300A9" w:rsidRDefault="00357CEC" w:rsidP="00357CEC">
            <w:pPr>
              <w:pStyle w:val="Default"/>
              <w:rPr>
                <w:sz w:val="22"/>
                <w:szCs w:val="22"/>
              </w:rPr>
            </w:pPr>
            <w:r w:rsidRPr="001300A9">
              <w:rPr>
                <w:sz w:val="22"/>
                <w:szCs w:val="22"/>
              </w:rPr>
              <w:t>O: 25</w:t>
            </w:r>
          </w:p>
          <w:p w14:paraId="26A44CF9" w14:textId="77777777" w:rsidR="00357CEC" w:rsidRPr="001300A9" w:rsidRDefault="00357CEC" w:rsidP="00357CEC">
            <w:pPr>
              <w:pStyle w:val="Default"/>
              <w:rPr>
                <w:sz w:val="22"/>
                <w:szCs w:val="22"/>
              </w:rPr>
            </w:pPr>
            <w:r w:rsidRPr="001300A9">
              <w:rPr>
                <w:sz w:val="22"/>
                <w:szCs w:val="22"/>
              </w:rPr>
              <w:t>P: a)</w:t>
            </w:r>
          </w:p>
        </w:tc>
        <w:tc>
          <w:tcPr>
            <w:tcW w:w="4820" w:type="dxa"/>
          </w:tcPr>
          <w:p w14:paraId="0829B225" w14:textId="77777777" w:rsidR="00357CEC" w:rsidRPr="001300A9" w:rsidRDefault="00357CEC" w:rsidP="00357CEC">
            <w:pPr>
              <w:pStyle w:val="Default"/>
              <w:rPr>
                <w:sz w:val="22"/>
                <w:szCs w:val="22"/>
              </w:rPr>
            </w:pPr>
            <w:r w:rsidRPr="001300A9">
              <w:rPr>
                <w:sz w:val="22"/>
                <w:szCs w:val="22"/>
              </w:rPr>
              <w:t>2. Právomoc prijímať delegované akty uvedená v článku 3c ods. 6, článku 3d ods. 3, článku 10 ods. 4, článku 10a ods. 1, 8 a 8a, článku 10b ods. 5, článku 12 ods. 3b, článku 19 ods. 3, článku 22, článku 24 ods. 3, článku 24a ods. 1, článku 25a ods. 1, článku 28c a článku 30j ods. 1 sa Komisii udeľuje na dobu neurčitú od 8. apríla 2018.</w:t>
            </w:r>
          </w:p>
          <w:p w14:paraId="42A3E612" w14:textId="77777777" w:rsidR="00357CEC" w:rsidRPr="001300A9" w:rsidRDefault="00357CEC" w:rsidP="00357CEC">
            <w:pPr>
              <w:pStyle w:val="Default"/>
              <w:rPr>
                <w:sz w:val="22"/>
                <w:szCs w:val="22"/>
              </w:rPr>
            </w:pPr>
          </w:p>
          <w:p w14:paraId="24BE15F6" w14:textId="77777777" w:rsidR="00357CEC" w:rsidRPr="001300A9" w:rsidRDefault="00357CEC" w:rsidP="00357CEC">
            <w:pPr>
              <w:pStyle w:val="Default"/>
              <w:rPr>
                <w:sz w:val="22"/>
                <w:szCs w:val="22"/>
              </w:rPr>
            </w:pPr>
            <w:r w:rsidRPr="001300A9">
              <w:rPr>
                <w:sz w:val="22"/>
                <w:szCs w:val="22"/>
              </w:rPr>
              <w:t xml:space="preserve">3. Delegovanie právomoci uvedené v článku 3c ods. 6, článku 3d ods. 3, článku 10 ods. 4, článku 10a ods. 1, 8 a 8a, článku 10b ods. 5, článku 12 ods. 3b, článku 19 ods. 3, článku 22, článku 24 ods. 3, článku 24a ods. 1, článku 25a ods. 1, článku 28c a článku 30j ods. 1 môže Európsky parlament alebo Rada kedykoľvek odvolať. Rozhodnutím o odvolaní sa ukončuje delegovanie právomoci, ktoré sa v ňom uvádza. Rozhodnutie nadobúda účinnosť dňom nasledujúcim po jeho uverejnení v </w:t>
            </w:r>
            <w:r w:rsidRPr="001300A9">
              <w:rPr>
                <w:i/>
                <w:sz w:val="22"/>
                <w:szCs w:val="22"/>
              </w:rPr>
              <w:t>Úradnom vestníku Európskej únie</w:t>
            </w:r>
            <w:r w:rsidRPr="001300A9">
              <w:rPr>
                <w:sz w:val="22"/>
                <w:szCs w:val="22"/>
              </w:rPr>
              <w:t xml:space="preserve"> alebo k neskoršiemu dátumu, ktorý je v ňom určený. Nie je ním dotknutá platnosť delegovaných aktov, ktoré už nadobudli účinnosť.</w:t>
            </w:r>
          </w:p>
        </w:tc>
        <w:tc>
          <w:tcPr>
            <w:tcW w:w="567" w:type="dxa"/>
          </w:tcPr>
          <w:p w14:paraId="2B5D348B" w14:textId="77777777" w:rsidR="00357CEC" w:rsidRPr="001300A9" w:rsidRDefault="00357CEC" w:rsidP="00357CEC">
            <w:pPr>
              <w:pStyle w:val="Default"/>
              <w:rPr>
                <w:sz w:val="22"/>
                <w:szCs w:val="22"/>
              </w:rPr>
            </w:pPr>
            <w:proofErr w:type="spellStart"/>
            <w:r w:rsidRPr="001300A9">
              <w:rPr>
                <w:sz w:val="22"/>
                <w:szCs w:val="22"/>
              </w:rPr>
              <w:t>n.a</w:t>
            </w:r>
            <w:proofErr w:type="spellEnd"/>
            <w:r w:rsidRPr="001300A9">
              <w:rPr>
                <w:sz w:val="22"/>
                <w:szCs w:val="22"/>
              </w:rPr>
              <w:t>.</w:t>
            </w:r>
          </w:p>
        </w:tc>
        <w:tc>
          <w:tcPr>
            <w:tcW w:w="283" w:type="dxa"/>
          </w:tcPr>
          <w:p w14:paraId="31B5787C" w14:textId="77777777" w:rsidR="00357CEC" w:rsidRPr="001300A9" w:rsidRDefault="00357CEC" w:rsidP="00357CEC">
            <w:pPr>
              <w:pStyle w:val="Default"/>
              <w:rPr>
                <w:sz w:val="22"/>
                <w:szCs w:val="22"/>
              </w:rPr>
            </w:pPr>
          </w:p>
        </w:tc>
        <w:tc>
          <w:tcPr>
            <w:tcW w:w="567" w:type="dxa"/>
          </w:tcPr>
          <w:p w14:paraId="19DC0B89" w14:textId="77777777" w:rsidR="00357CEC" w:rsidRPr="001300A9" w:rsidRDefault="00357CEC" w:rsidP="00357CEC">
            <w:pPr>
              <w:pStyle w:val="Default"/>
              <w:rPr>
                <w:sz w:val="22"/>
                <w:szCs w:val="22"/>
              </w:rPr>
            </w:pPr>
          </w:p>
        </w:tc>
        <w:tc>
          <w:tcPr>
            <w:tcW w:w="4253" w:type="dxa"/>
          </w:tcPr>
          <w:p w14:paraId="29B33C1F" w14:textId="77777777" w:rsidR="00357CEC" w:rsidRPr="001300A9" w:rsidRDefault="00357CEC" w:rsidP="00357CEC">
            <w:pPr>
              <w:pStyle w:val="Default"/>
              <w:rPr>
                <w:sz w:val="22"/>
                <w:szCs w:val="22"/>
              </w:rPr>
            </w:pPr>
          </w:p>
        </w:tc>
        <w:tc>
          <w:tcPr>
            <w:tcW w:w="567" w:type="dxa"/>
          </w:tcPr>
          <w:p w14:paraId="5C163153" w14:textId="77777777" w:rsidR="00357CEC" w:rsidRPr="001300A9" w:rsidRDefault="00357CEC" w:rsidP="00357CEC">
            <w:pPr>
              <w:pStyle w:val="Default"/>
              <w:rPr>
                <w:sz w:val="22"/>
                <w:szCs w:val="22"/>
              </w:rPr>
            </w:pPr>
          </w:p>
        </w:tc>
        <w:tc>
          <w:tcPr>
            <w:tcW w:w="1276" w:type="dxa"/>
          </w:tcPr>
          <w:p w14:paraId="5A6F229B" w14:textId="77777777" w:rsidR="00357CEC" w:rsidRPr="001300A9" w:rsidRDefault="00357CEC" w:rsidP="00357CEC">
            <w:pPr>
              <w:pStyle w:val="Default"/>
              <w:rPr>
                <w:sz w:val="22"/>
                <w:szCs w:val="22"/>
              </w:rPr>
            </w:pPr>
          </w:p>
        </w:tc>
        <w:tc>
          <w:tcPr>
            <w:tcW w:w="850" w:type="dxa"/>
          </w:tcPr>
          <w:p w14:paraId="748F6BE6" w14:textId="77777777" w:rsidR="00357CEC" w:rsidRPr="001300A9" w:rsidRDefault="00357CEC" w:rsidP="00357CEC">
            <w:pPr>
              <w:pStyle w:val="Default"/>
              <w:rPr>
                <w:sz w:val="22"/>
                <w:szCs w:val="22"/>
              </w:rPr>
            </w:pPr>
          </w:p>
        </w:tc>
        <w:tc>
          <w:tcPr>
            <w:tcW w:w="815" w:type="dxa"/>
          </w:tcPr>
          <w:p w14:paraId="3D2B3D5B" w14:textId="77777777" w:rsidR="00357CEC" w:rsidRPr="001300A9" w:rsidRDefault="00357CEC" w:rsidP="00357CEC">
            <w:pPr>
              <w:pStyle w:val="Default"/>
              <w:rPr>
                <w:sz w:val="22"/>
                <w:szCs w:val="22"/>
              </w:rPr>
            </w:pPr>
          </w:p>
        </w:tc>
      </w:tr>
      <w:tr w:rsidR="00DD6EDC" w:rsidRPr="001300A9" w14:paraId="4EBA0660" w14:textId="77777777" w:rsidTr="360410BC">
        <w:tc>
          <w:tcPr>
            <w:tcW w:w="562" w:type="dxa"/>
          </w:tcPr>
          <w:p w14:paraId="5968AC42" w14:textId="77777777" w:rsidR="00357CEC" w:rsidRPr="001300A9" w:rsidRDefault="00357CEC" w:rsidP="00357CEC">
            <w:pPr>
              <w:pStyle w:val="Default"/>
              <w:rPr>
                <w:sz w:val="22"/>
                <w:szCs w:val="22"/>
              </w:rPr>
            </w:pPr>
            <w:r w:rsidRPr="001300A9">
              <w:rPr>
                <w:sz w:val="22"/>
                <w:szCs w:val="22"/>
              </w:rPr>
              <w:t>Č: 1</w:t>
            </w:r>
          </w:p>
          <w:p w14:paraId="1FA548A7" w14:textId="77777777" w:rsidR="00357CEC" w:rsidRPr="001300A9" w:rsidRDefault="00357CEC" w:rsidP="00357CEC">
            <w:pPr>
              <w:pStyle w:val="Default"/>
              <w:rPr>
                <w:sz w:val="22"/>
                <w:szCs w:val="22"/>
              </w:rPr>
            </w:pPr>
            <w:r w:rsidRPr="001300A9">
              <w:rPr>
                <w:sz w:val="22"/>
                <w:szCs w:val="22"/>
              </w:rPr>
              <w:t>O: 25</w:t>
            </w:r>
          </w:p>
          <w:p w14:paraId="22E0FEFE" w14:textId="77777777" w:rsidR="00357CEC" w:rsidRPr="001300A9" w:rsidRDefault="00357CEC" w:rsidP="00357CEC">
            <w:pPr>
              <w:pStyle w:val="Default"/>
              <w:rPr>
                <w:sz w:val="22"/>
                <w:szCs w:val="22"/>
              </w:rPr>
            </w:pPr>
            <w:r w:rsidRPr="001300A9">
              <w:rPr>
                <w:sz w:val="22"/>
                <w:szCs w:val="22"/>
              </w:rPr>
              <w:t>P: b)</w:t>
            </w:r>
          </w:p>
        </w:tc>
        <w:tc>
          <w:tcPr>
            <w:tcW w:w="4820" w:type="dxa"/>
          </w:tcPr>
          <w:p w14:paraId="2CA32553" w14:textId="77777777" w:rsidR="00357CEC" w:rsidRPr="001300A9" w:rsidRDefault="00357CEC" w:rsidP="00357CEC">
            <w:pPr>
              <w:pStyle w:val="Default"/>
              <w:rPr>
                <w:sz w:val="22"/>
                <w:szCs w:val="22"/>
              </w:rPr>
            </w:pPr>
            <w:r w:rsidRPr="001300A9">
              <w:rPr>
                <w:sz w:val="22"/>
                <w:szCs w:val="22"/>
              </w:rPr>
              <w:t>6. Delegovaný akt prijatý podľa článku 3c ods. 6, článku 3d ods. 3, článku 10 ods. 4, článku 10a ods. 1, 8 alebo 8a, článku 10b ods. 5, článku 12 ods. 3b, článku 19 ods. 3, článku 22, článku 24 ods. 3, článku 24a ods. 1, článku 25a ods. 1, článku 28c alebo článku 30j ods. 1 nadobudne účinnosť, len ak Európsky parlament alebo Rada voči nemu nevzniesli námietku v lehote dvoch mesiacov odo dňa oznámenia uvedeného aktu Európskemu parlamentu a Rade alebo ak pred uplynutím uvedenej lehoty Európsky parlament a Rada informovali Komisiu o svojom rozhodnutí nevzniesť námietku. Na podnet Európskeho parlamentu alebo Rady sa táto lehota predĺži o dva mesiace.</w:t>
            </w:r>
          </w:p>
        </w:tc>
        <w:tc>
          <w:tcPr>
            <w:tcW w:w="567" w:type="dxa"/>
          </w:tcPr>
          <w:p w14:paraId="09DBACD5" w14:textId="77777777" w:rsidR="00357CEC" w:rsidRPr="001300A9" w:rsidRDefault="00357CEC" w:rsidP="00357CEC">
            <w:pPr>
              <w:pStyle w:val="Default"/>
              <w:rPr>
                <w:sz w:val="22"/>
                <w:szCs w:val="22"/>
              </w:rPr>
            </w:pPr>
            <w:proofErr w:type="spellStart"/>
            <w:r w:rsidRPr="001300A9">
              <w:rPr>
                <w:sz w:val="22"/>
                <w:szCs w:val="22"/>
              </w:rPr>
              <w:t>n.a</w:t>
            </w:r>
            <w:proofErr w:type="spellEnd"/>
            <w:r w:rsidRPr="001300A9">
              <w:rPr>
                <w:sz w:val="22"/>
                <w:szCs w:val="22"/>
              </w:rPr>
              <w:t>.</w:t>
            </w:r>
          </w:p>
        </w:tc>
        <w:tc>
          <w:tcPr>
            <w:tcW w:w="283" w:type="dxa"/>
          </w:tcPr>
          <w:p w14:paraId="4B822C63" w14:textId="77777777" w:rsidR="00357CEC" w:rsidRPr="001300A9" w:rsidRDefault="00357CEC" w:rsidP="00357CEC">
            <w:pPr>
              <w:pStyle w:val="Default"/>
              <w:rPr>
                <w:sz w:val="22"/>
                <w:szCs w:val="22"/>
              </w:rPr>
            </w:pPr>
          </w:p>
        </w:tc>
        <w:tc>
          <w:tcPr>
            <w:tcW w:w="567" w:type="dxa"/>
          </w:tcPr>
          <w:p w14:paraId="5BEDB6F8" w14:textId="77777777" w:rsidR="00357CEC" w:rsidRPr="001300A9" w:rsidRDefault="00357CEC" w:rsidP="00357CEC">
            <w:pPr>
              <w:pStyle w:val="Default"/>
              <w:rPr>
                <w:sz w:val="22"/>
                <w:szCs w:val="22"/>
              </w:rPr>
            </w:pPr>
          </w:p>
        </w:tc>
        <w:tc>
          <w:tcPr>
            <w:tcW w:w="4253" w:type="dxa"/>
          </w:tcPr>
          <w:p w14:paraId="49911C3D" w14:textId="77777777" w:rsidR="00357CEC" w:rsidRPr="001300A9" w:rsidRDefault="00357CEC" w:rsidP="00357CEC">
            <w:pPr>
              <w:pStyle w:val="Default"/>
              <w:rPr>
                <w:sz w:val="22"/>
                <w:szCs w:val="22"/>
              </w:rPr>
            </w:pPr>
          </w:p>
        </w:tc>
        <w:tc>
          <w:tcPr>
            <w:tcW w:w="567" w:type="dxa"/>
          </w:tcPr>
          <w:p w14:paraId="5EF52953" w14:textId="77777777" w:rsidR="00357CEC" w:rsidRPr="001300A9" w:rsidRDefault="00357CEC" w:rsidP="00357CEC">
            <w:pPr>
              <w:pStyle w:val="Default"/>
              <w:rPr>
                <w:sz w:val="22"/>
                <w:szCs w:val="22"/>
              </w:rPr>
            </w:pPr>
          </w:p>
        </w:tc>
        <w:tc>
          <w:tcPr>
            <w:tcW w:w="1276" w:type="dxa"/>
          </w:tcPr>
          <w:p w14:paraId="7E3F34D5" w14:textId="77777777" w:rsidR="00357CEC" w:rsidRPr="001300A9" w:rsidRDefault="00357CEC" w:rsidP="00357CEC">
            <w:pPr>
              <w:pStyle w:val="Default"/>
              <w:rPr>
                <w:sz w:val="22"/>
                <w:szCs w:val="22"/>
              </w:rPr>
            </w:pPr>
          </w:p>
        </w:tc>
        <w:tc>
          <w:tcPr>
            <w:tcW w:w="850" w:type="dxa"/>
          </w:tcPr>
          <w:p w14:paraId="59DACDDB" w14:textId="77777777" w:rsidR="00357CEC" w:rsidRPr="001300A9" w:rsidRDefault="00357CEC" w:rsidP="00357CEC">
            <w:pPr>
              <w:pStyle w:val="Default"/>
              <w:rPr>
                <w:sz w:val="22"/>
                <w:szCs w:val="22"/>
              </w:rPr>
            </w:pPr>
          </w:p>
        </w:tc>
        <w:tc>
          <w:tcPr>
            <w:tcW w:w="815" w:type="dxa"/>
          </w:tcPr>
          <w:p w14:paraId="3A183BC7" w14:textId="77777777" w:rsidR="00357CEC" w:rsidRPr="001300A9" w:rsidRDefault="00357CEC" w:rsidP="00357CEC">
            <w:pPr>
              <w:pStyle w:val="Default"/>
              <w:rPr>
                <w:sz w:val="22"/>
                <w:szCs w:val="22"/>
              </w:rPr>
            </w:pPr>
          </w:p>
        </w:tc>
      </w:tr>
      <w:tr w:rsidR="00DD6EDC" w:rsidRPr="001300A9" w14:paraId="5695A590" w14:textId="77777777" w:rsidTr="360410BC">
        <w:tc>
          <w:tcPr>
            <w:tcW w:w="562" w:type="dxa"/>
          </w:tcPr>
          <w:p w14:paraId="51937CD9" w14:textId="77777777" w:rsidR="00357CEC" w:rsidRPr="001300A9" w:rsidRDefault="00357CEC" w:rsidP="00357CEC">
            <w:pPr>
              <w:pStyle w:val="Default"/>
              <w:rPr>
                <w:sz w:val="22"/>
                <w:szCs w:val="22"/>
              </w:rPr>
            </w:pPr>
            <w:r w:rsidRPr="001300A9">
              <w:rPr>
                <w:sz w:val="22"/>
                <w:szCs w:val="22"/>
              </w:rPr>
              <w:t>Č: 1</w:t>
            </w:r>
          </w:p>
          <w:p w14:paraId="222960DC" w14:textId="77777777" w:rsidR="00357CEC" w:rsidRPr="001300A9" w:rsidRDefault="00357CEC" w:rsidP="00357CEC">
            <w:pPr>
              <w:pStyle w:val="Default"/>
              <w:rPr>
                <w:sz w:val="22"/>
                <w:szCs w:val="22"/>
              </w:rPr>
            </w:pPr>
            <w:r w:rsidRPr="001300A9">
              <w:rPr>
                <w:sz w:val="22"/>
                <w:szCs w:val="22"/>
              </w:rPr>
              <w:t>O: 26</w:t>
            </w:r>
          </w:p>
        </w:tc>
        <w:tc>
          <w:tcPr>
            <w:tcW w:w="4820" w:type="dxa"/>
          </w:tcPr>
          <w:p w14:paraId="28758B1A" w14:textId="77777777" w:rsidR="00357CEC" w:rsidRPr="001300A9" w:rsidRDefault="00357CEC" w:rsidP="00357CEC">
            <w:pPr>
              <w:pStyle w:val="Default"/>
              <w:rPr>
                <w:i/>
                <w:sz w:val="22"/>
                <w:szCs w:val="22"/>
              </w:rPr>
            </w:pPr>
            <w:r w:rsidRPr="001300A9">
              <w:rPr>
                <w:i/>
                <w:sz w:val="22"/>
                <w:szCs w:val="22"/>
              </w:rPr>
              <w:t xml:space="preserve">Článok 29 </w:t>
            </w:r>
          </w:p>
          <w:p w14:paraId="40661A3E" w14:textId="77777777" w:rsidR="00357CEC" w:rsidRPr="001300A9" w:rsidRDefault="00357CEC" w:rsidP="00357CEC">
            <w:pPr>
              <w:pStyle w:val="Default"/>
              <w:rPr>
                <w:i/>
                <w:sz w:val="22"/>
                <w:szCs w:val="22"/>
              </w:rPr>
            </w:pPr>
            <w:r w:rsidRPr="001300A9">
              <w:rPr>
                <w:i/>
                <w:sz w:val="22"/>
                <w:szCs w:val="22"/>
              </w:rPr>
              <w:t>Podávanie správy s cieľom zabezpečiť lepšie fungovanie trhu s CO2</w:t>
            </w:r>
          </w:p>
          <w:p w14:paraId="2809A666" w14:textId="77777777" w:rsidR="00357CEC" w:rsidRPr="001300A9" w:rsidRDefault="00357CEC" w:rsidP="00357CEC">
            <w:pPr>
              <w:pStyle w:val="Default"/>
              <w:rPr>
                <w:sz w:val="22"/>
                <w:szCs w:val="22"/>
              </w:rPr>
            </w:pPr>
            <w:r w:rsidRPr="001300A9">
              <w:rPr>
                <w:sz w:val="22"/>
                <w:szCs w:val="22"/>
              </w:rPr>
              <w:t>Ak pravidelné správy o trhu s uhlíkom uvedené v článku 10 ods. 5 a 6 obsahujú dôkazy, že trh s uhlíkom riadne nefunguje, Komisia do troch mesiacov predloží správu Európskemu parlamentu a Rade. K správe môžu byť v prípade potreby pripojené legislatívne návrhy zamerané na zvýšenie transparentnosti a integrity trhu s uhlíkom vrátane súvisiacich trhov s derivátmi a zaoberajúce sa nápravnými opatreniami na zlepšenie jeho fungovania, ako aj na posilnenie prevencie a odhaľovania činností zneužívania trhu.</w:t>
            </w:r>
          </w:p>
        </w:tc>
        <w:tc>
          <w:tcPr>
            <w:tcW w:w="567" w:type="dxa"/>
          </w:tcPr>
          <w:p w14:paraId="154163C9" w14:textId="77777777" w:rsidR="00357CEC" w:rsidRPr="001300A9" w:rsidRDefault="00357CEC" w:rsidP="00357CEC">
            <w:pPr>
              <w:pStyle w:val="Default"/>
              <w:rPr>
                <w:sz w:val="22"/>
                <w:szCs w:val="22"/>
              </w:rPr>
            </w:pPr>
            <w:proofErr w:type="spellStart"/>
            <w:r w:rsidRPr="001300A9">
              <w:rPr>
                <w:sz w:val="22"/>
                <w:szCs w:val="22"/>
              </w:rPr>
              <w:t>n.a</w:t>
            </w:r>
            <w:proofErr w:type="spellEnd"/>
            <w:r w:rsidRPr="001300A9">
              <w:rPr>
                <w:sz w:val="22"/>
                <w:szCs w:val="22"/>
              </w:rPr>
              <w:t>.</w:t>
            </w:r>
          </w:p>
        </w:tc>
        <w:tc>
          <w:tcPr>
            <w:tcW w:w="283" w:type="dxa"/>
          </w:tcPr>
          <w:p w14:paraId="089DC980" w14:textId="77777777" w:rsidR="00357CEC" w:rsidRPr="001300A9" w:rsidRDefault="00357CEC" w:rsidP="00357CEC">
            <w:pPr>
              <w:pStyle w:val="Default"/>
              <w:rPr>
                <w:sz w:val="22"/>
                <w:szCs w:val="22"/>
              </w:rPr>
            </w:pPr>
          </w:p>
        </w:tc>
        <w:tc>
          <w:tcPr>
            <w:tcW w:w="567" w:type="dxa"/>
          </w:tcPr>
          <w:p w14:paraId="2847DECF" w14:textId="77777777" w:rsidR="00357CEC" w:rsidRPr="001300A9" w:rsidRDefault="00357CEC" w:rsidP="00357CEC">
            <w:pPr>
              <w:pStyle w:val="Default"/>
              <w:rPr>
                <w:sz w:val="22"/>
                <w:szCs w:val="22"/>
              </w:rPr>
            </w:pPr>
          </w:p>
        </w:tc>
        <w:tc>
          <w:tcPr>
            <w:tcW w:w="4253" w:type="dxa"/>
          </w:tcPr>
          <w:p w14:paraId="683B8496" w14:textId="77777777" w:rsidR="00357CEC" w:rsidRPr="001300A9" w:rsidRDefault="00357CEC" w:rsidP="00357CEC">
            <w:pPr>
              <w:pStyle w:val="Default"/>
              <w:rPr>
                <w:sz w:val="22"/>
                <w:szCs w:val="22"/>
              </w:rPr>
            </w:pPr>
          </w:p>
        </w:tc>
        <w:tc>
          <w:tcPr>
            <w:tcW w:w="567" w:type="dxa"/>
          </w:tcPr>
          <w:p w14:paraId="4E5A6314" w14:textId="77777777" w:rsidR="00357CEC" w:rsidRPr="001300A9" w:rsidRDefault="00357CEC" w:rsidP="00357CEC">
            <w:pPr>
              <w:pStyle w:val="Default"/>
              <w:rPr>
                <w:sz w:val="22"/>
                <w:szCs w:val="22"/>
              </w:rPr>
            </w:pPr>
          </w:p>
        </w:tc>
        <w:tc>
          <w:tcPr>
            <w:tcW w:w="1276" w:type="dxa"/>
          </w:tcPr>
          <w:p w14:paraId="7C97E861" w14:textId="77777777" w:rsidR="00357CEC" w:rsidRPr="001300A9" w:rsidRDefault="00357CEC" w:rsidP="00357CEC">
            <w:pPr>
              <w:pStyle w:val="Default"/>
              <w:rPr>
                <w:sz w:val="22"/>
                <w:szCs w:val="22"/>
              </w:rPr>
            </w:pPr>
          </w:p>
        </w:tc>
        <w:tc>
          <w:tcPr>
            <w:tcW w:w="850" w:type="dxa"/>
          </w:tcPr>
          <w:p w14:paraId="6ABAC394" w14:textId="77777777" w:rsidR="00357CEC" w:rsidRPr="001300A9" w:rsidRDefault="00357CEC" w:rsidP="00357CEC">
            <w:pPr>
              <w:pStyle w:val="Default"/>
              <w:rPr>
                <w:sz w:val="22"/>
                <w:szCs w:val="22"/>
              </w:rPr>
            </w:pPr>
          </w:p>
        </w:tc>
        <w:tc>
          <w:tcPr>
            <w:tcW w:w="815" w:type="dxa"/>
          </w:tcPr>
          <w:p w14:paraId="19EDE5CD" w14:textId="77777777" w:rsidR="00357CEC" w:rsidRPr="001300A9" w:rsidRDefault="00357CEC" w:rsidP="00357CEC">
            <w:pPr>
              <w:pStyle w:val="Default"/>
              <w:rPr>
                <w:sz w:val="22"/>
                <w:szCs w:val="22"/>
              </w:rPr>
            </w:pPr>
          </w:p>
        </w:tc>
      </w:tr>
      <w:tr w:rsidR="00DD6EDC" w:rsidRPr="001300A9" w14:paraId="14DDE557" w14:textId="77777777" w:rsidTr="360410BC">
        <w:tc>
          <w:tcPr>
            <w:tcW w:w="562" w:type="dxa"/>
          </w:tcPr>
          <w:p w14:paraId="45FD7914" w14:textId="77777777" w:rsidR="00357CEC" w:rsidRPr="001300A9" w:rsidRDefault="00357CEC" w:rsidP="00357CEC">
            <w:pPr>
              <w:pStyle w:val="Default"/>
              <w:rPr>
                <w:sz w:val="22"/>
                <w:szCs w:val="22"/>
              </w:rPr>
            </w:pPr>
            <w:r w:rsidRPr="001300A9">
              <w:rPr>
                <w:sz w:val="22"/>
                <w:szCs w:val="22"/>
              </w:rPr>
              <w:t>Č: 1</w:t>
            </w:r>
          </w:p>
          <w:p w14:paraId="281AC018" w14:textId="77777777" w:rsidR="00357CEC" w:rsidRPr="001300A9" w:rsidRDefault="00357CEC" w:rsidP="00357CEC">
            <w:pPr>
              <w:pStyle w:val="Default"/>
              <w:rPr>
                <w:sz w:val="22"/>
                <w:szCs w:val="22"/>
              </w:rPr>
            </w:pPr>
            <w:r w:rsidRPr="001300A9">
              <w:rPr>
                <w:sz w:val="22"/>
                <w:szCs w:val="22"/>
              </w:rPr>
              <w:t>O: 27</w:t>
            </w:r>
          </w:p>
        </w:tc>
        <w:tc>
          <w:tcPr>
            <w:tcW w:w="4820" w:type="dxa"/>
          </w:tcPr>
          <w:p w14:paraId="25482BAB" w14:textId="77777777" w:rsidR="00357CEC" w:rsidRPr="001300A9" w:rsidRDefault="00357CEC" w:rsidP="00357CEC">
            <w:pPr>
              <w:pStyle w:val="Default"/>
              <w:rPr>
                <w:i/>
                <w:sz w:val="22"/>
                <w:szCs w:val="22"/>
              </w:rPr>
            </w:pPr>
            <w:r w:rsidRPr="001300A9">
              <w:rPr>
                <w:i/>
                <w:sz w:val="22"/>
                <w:szCs w:val="22"/>
              </w:rPr>
              <w:t xml:space="preserve">Článok 29a </w:t>
            </w:r>
          </w:p>
          <w:p w14:paraId="5CBFF585" w14:textId="77777777" w:rsidR="00357CEC" w:rsidRPr="001300A9" w:rsidRDefault="00357CEC" w:rsidP="00357CEC">
            <w:pPr>
              <w:pStyle w:val="Default"/>
              <w:rPr>
                <w:i/>
                <w:sz w:val="22"/>
                <w:szCs w:val="22"/>
              </w:rPr>
            </w:pPr>
            <w:r w:rsidRPr="001300A9">
              <w:rPr>
                <w:i/>
                <w:sz w:val="22"/>
                <w:szCs w:val="22"/>
              </w:rPr>
              <w:t>Opatrenia v prípade nadmerného kolísania cien</w:t>
            </w:r>
          </w:p>
          <w:p w14:paraId="4B3AC436" w14:textId="77777777" w:rsidR="00357CEC" w:rsidRPr="001300A9" w:rsidRDefault="00357CEC" w:rsidP="00357CEC">
            <w:pPr>
              <w:pStyle w:val="Default"/>
              <w:rPr>
                <w:sz w:val="22"/>
                <w:szCs w:val="22"/>
              </w:rPr>
            </w:pPr>
            <w:r w:rsidRPr="001300A9">
              <w:rPr>
                <w:sz w:val="22"/>
                <w:szCs w:val="22"/>
              </w:rPr>
              <w:t>1. Ak je priemerná cena kvót za šesť predchádzajúcich kalendárnych mesiacov vyššia ako 2,4-násobok priemernej ceny kvót za referenčné obdobie predchádzajúcich dvoch rokov, uvoľní sa 75 miliónov kvót z trhovej stabilizačnej rezervy v súlade s článkom 1 ods. 7 rozhodnutia (EÚ) 2015/1814.</w:t>
            </w:r>
          </w:p>
          <w:p w14:paraId="28861DBE" w14:textId="77777777" w:rsidR="00357CEC" w:rsidRPr="001300A9" w:rsidRDefault="00357CEC" w:rsidP="00357CEC">
            <w:pPr>
              <w:pStyle w:val="Default"/>
              <w:rPr>
                <w:sz w:val="22"/>
                <w:szCs w:val="22"/>
              </w:rPr>
            </w:pPr>
          </w:p>
          <w:p w14:paraId="3C2FB87F" w14:textId="77777777" w:rsidR="00357CEC" w:rsidRPr="001300A9" w:rsidRDefault="00357CEC" w:rsidP="00357CEC">
            <w:pPr>
              <w:pStyle w:val="Default"/>
              <w:rPr>
                <w:sz w:val="22"/>
                <w:szCs w:val="22"/>
              </w:rPr>
            </w:pPr>
            <w:r w:rsidRPr="001300A9">
              <w:rPr>
                <w:sz w:val="22"/>
                <w:szCs w:val="22"/>
              </w:rPr>
              <w:t xml:space="preserve">Cena kvót uvedená v prvom </w:t>
            </w:r>
            <w:proofErr w:type="spellStart"/>
            <w:r w:rsidRPr="001300A9">
              <w:rPr>
                <w:sz w:val="22"/>
                <w:szCs w:val="22"/>
              </w:rPr>
              <w:t>pododseku</w:t>
            </w:r>
            <w:proofErr w:type="spellEnd"/>
            <w:r w:rsidRPr="001300A9">
              <w:rPr>
                <w:sz w:val="22"/>
                <w:szCs w:val="22"/>
              </w:rPr>
              <w:t xml:space="preserve"> tohto odseku je cena aukcií, ktoré sa v prípade kvót, na ktoré sa vzťahujú kapitoly II a III, uskutočňujú v súlade s delegovanými aktmi prijatými podľa článku 10 ods. 4.</w:t>
            </w:r>
          </w:p>
          <w:p w14:paraId="0DC5BC01" w14:textId="77777777" w:rsidR="00357CEC" w:rsidRPr="001300A9" w:rsidRDefault="00357CEC" w:rsidP="00357CEC">
            <w:pPr>
              <w:pStyle w:val="Default"/>
              <w:rPr>
                <w:sz w:val="22"/>
                <w:szCs w:val="22"/>
              </w:rPr>
            </w:pPr>
          </w:p>
          <w:p w14:paraId="75CA19FF" w14:textId="77777777" w:rsidR="00357CEC" w:rsidRPr="001300A9" w:rsidRDefault="00357CEC" w:rsidP="00357CEC">
            <w:pPr>
              <w:pStyle w:val="Default"/>
              <w:rPr>
                <w:sz w:val="22"/>
                <w:szCs w:val="22"/>
              </w:rPr>
            </w:pPr>
            <w:r w:rsidRPr="001300A9">
              <w:rPr>
                <w:sz w:val="22"/>
                <w:szCs w:val="22"/>
              </w:rPr>
              <w:t xml:space="preserve">Referenčným obdobím predchádzajúcich dvoch rokov uvedeným v prvom </w:t>
            </w:r>
            <w:proofErr w:type="spellStart"/>
            <w:r w:rsidRPr="001300A9">
              <w:rPr>
                <w:sz w:val="22"/>
                <w:szCs w:val="22"/>
              </w:rPr>
              <w:t>pododseku</w:t>
            </w:r>
            <w:proofErr w:type="spellEnd"/>
            <w:r w:rsidRPr="001300A9">
              <w:rPr>
                <w:sz w:val="22"/>
                <w:szCs w:val="22"/>
              </w:rPr>
              <w:t xml:space="preserve"> je dvojročné obdobie, ktoré sa končí pred prvým mesiacom obdobia šiestich kalendárnych mesiacov uvedeného v danom </w:t>
            </w:r>
            <w:proofErr w:type="spellStart"/>
            <w:r w:rsidRPr="001300A9">
              <w:rPr>
                <w:sz w:val="22"/>
                <w:szCs w:val="22"/>
              </w:rPr>
              <w:t>pododseku</w:t>
            </w:r>
            <w:proofErr w:type="spellEnd"/>
            <w:r w:rsidRPr="001300A9">
              <w:rPr>
                <w:sz w:val="22"/>
                <w:szCs w:val="22"/>
              </w:rPr>
              <w:t>.</w:t>
            </w:r>
          </w:p>
          <w:p w14:paraId="65544F35" w14:textId="77777777" w:rsidR="00357CEC" w:rsidRPr="001300A9" w:rsidRDefault="00357CEC" w:rsidP="00357CEC">
            <w:pPr>
              <w:pStyle w:val="Default"/>
              <w:rPr>
                <w:sz w:val="22"/>
                <w:szCs w:val="22"/>
              </w:rPr>
            </w:pPr>
          </w:p>
          <w:p w14:paraId="6E6FA2F5" w14:textId="77777777" w:rsidR="00357CEC" w:rsidRPr="001300A9" w:rsidRDefault="00357CEC" w:rsidP="00357CEC">
            <w:pPr>
              <w:pStyle w:val="Default"/>
              <w:rPr>
                <w:sz w:val="22"/>
                <w:szCs w:val="22"/>
              </w:rPr>
            </w:pPr>
            <w:r w:rsidRPr="001300A9">
              <w:rPr>
                <w:sz w:val="22"/>
                <w:szCs w:val="22"/>
              </w:rPr>
              <w:t xml:space="preserve">Ak je podmienka uvedená v prvom </w:t>
            </w:r>
            <w:proofErr w:type="spellStart"/>
            <w:r w:rsidRPr="001300A9">
              <w:rPr>
                <w:sz w:val="22"/>
                <w:szCs w:val="22"/>
              </w:rPr>
              <w:t>pododseku</w:t>
            </w:r>
            <w:proofErr w:type="spellEnd"/>
            <w:r w:rsidRPr="001300A9">
              <w:rPr>
                <w:sz w:val="22"/>
                <w:szCs w:val="22"/>
              </w:rPr>
              <w:t xml:space="preserve"> tohto odseku splnená a odsek 2 sa neuplatňuje, Komisia na tento účel uverejní v </w:t>
            </w:r>
            <w:r w:rsidRPr="001300A9">
              <w:rPr>
                <w:i/>
                <w:sz w:val="22"/>
                <w:szCs w:val="22"/>
              </w:rPr>
              <w:t>Úradnom vestníku Európskej únie</w:t>
            </w:r>
            <w:r w:rsidRPr="001300A9">
              <w:rPr>
                <w:sz w:val="22"/>
                <w:szCs w:val="22"/>
              </w:rPr>
              <w:t xml:space="preserve"> oznámenie, v ktorom uvedie dátum, ku ktorému bola podmienka splnená.</w:t>
            </w:r>
          </w:p>
          <w:p w14:paraId="4BCB70C3" w14:textId="77777777" w:rsidR="00357CEC" w:rsidRPr="001300A9" w:rsidRDefault="00357CEC" w:rsidP="00357CEC">
            <w:pPr>
              <w:pStyle w:val="Default"/>
              <w:rPr>
                <w:sz w:val="22"/>
                <w:szCs w:val="22"/>
              </w:rPr>
            </w:pPr>
          </w:p>
          <w:p w14:paraId="56B1C813" w14:textId="77777777" w:rsidR="00357CEC" w:rsidRPr="001300A9" w:rsidRDefault="00357CEC" w:rsidP="00357CEC">
            <w:pPr>
              <w:pStyle w:val="Default"/>
              <w:rPr>
                <w:sz w:val="22"/>
                <w:szCs w:val="22"/>
              </w:rPr>
            </w:pPr>
            <w:r w:rsidRPr="001300A9">
              <w:rPr>
                <w:sz w:val="22"/>
                <w:szCs w:val="22"/>
              </w:rPr>
              <w:t xml:space="preserve">Komisia uverejní počas prvých troch pracovných dní každého mesiaca priemernú cenu kvót za predchádzajúcich šesť kalendárnych mesiacov a priemernú cenu kvót za referenčné obdobie predchádzajúcich dvoch rokov. Ak podmienka uvedená v prvom </w:t>
            </w:r>
            <w:proofErr w:type="spellStart"/>
            <w:r w:rsidRPr="001300A9">
              <w:rPr>
                <w:sz w:val="22"/>
                <w:szCs w:val="22"/>
              </w:rPr>
              <w:t>pododseku</w:t>
            </w:r>
            <w:proofErr w:type="spellEnd"/>
            <w:r w:rsidRPr="001300A9">
              <w:rPr>
                <w:sz w:val="22"/>
                <w:szCs w:val="22"/>
              </w:rPr>
              <w:t xml:space="preserve"> nie je splnená, Komisia uverejní aj úroveň, ktorú by mala priemerná cena kvót dosiahnuť v nasledujúcom mesiaci, aby sa splnila podmienka stanovená v uvedenom </w:t>
            </w:r>
            <w:proofErr w:type="spellStart"/>
            <w:r w:rsidRPr="001300A9">
              <w:rPr>
                <w:sz w:val="22"/>
                <w:szCs w:val="22"/>
              </w:rPr>
              <w:t>pododseku</w:t>
            </w:r>
            <w:proofErr w:type="spellEnd"/>
            <w:r w:rsidRPr="001300A9">
              <w:rPr>
                <w:sz w:val="22"/>
                <w:szCs w:val="22"/>
              </w:rPr>
              <w:t>.</w:t>
            </w:r>
          </w:p>
          <w:p w14:paraId="7D555591" w14:textId="77777777" w:rsidR="00357CEC" w:rsidRPr="001300A9" w:rsidRDefault="00357CEC" w:rsidP="00357CEC">
            <w:pPr>
              <w:pStyle w:val="Default"/>
              <w:rPr>
                <w:sz w:val="22"/>
                <w:szCs w:val="22"/>
              </w:rPr>
            </w:pPr>
          </w:p>
          <w:p w14:paraId="4DC0A59E" w14:textId="77777777" w:rsidR="00357CEC" w:rsidRPr="001300A9" w:rsidRDefault="00357CEC" w:rsidP="00357CEC">
            <w:pPr>
              <w:pStyle w:val="Default"/>
              <w:rPr>
                <w:sz w:val="22"/>
                <w:szCs w:val="22"/>
              </w:rPr>
            </w:pPr>
            <w:r w:rsidRPr="001300A9">
              <w:rPr>
                <w:sz w:val="22"/>
                <w:szCs w:val="22"/>
              </w:rPr>
              <w:t>2. Ak bola splnená podmienka na uvoľnenie kvót z trhovej stabilizačnej rezervy podľa odseku 1, podmienka uvedená v danom odseku sa považuje za opäť splnenú najskôr po dvanástich mesiacoch od skončenia predchádzajúceho uvoľnenia.</w:t>
            </w:r>
          </w:p>
          <w:p w14:paraId="729E87AC" w14:textId="77777777" w:rsidR="00357CEC" w:rsidRPr="001300A9" w:rsidRDefault="00357CEC" w:rsidP="00357CEC">
            <w:pPr>
              <w:pStyle w:val="Default"/>
              <w:rPr>
                <w:sz w:val="22"/>
                <w:szCs w:val="22"/>
              </w:rPr>
            </w:pPr>
          </w:p>
          <w:p w14:paraId="46C7B331" w14:textId="77777777" w:rsidR="00357CEC" w:rsidRPr="001300A9" w:rsidRDefault="00357CEC" w:rsidP="00357CEC">
            <w:pPr>
              <w:pStyle w:val="Default"/>
              <w:rPr>
                <w:sz w:val="22"/>
                <w:szCs w:val="22"/>
              </w:rPr>
            </w:pPr>
            <w:r w:rsidRPr="001300A9">
              <w:rPr>
                <w:sz w:val="22"/>
                <w:szCs w:val="22"/>
              </w:rPr>
              <w:t>3. Podrobné opatrenia na uplatňovanie opatrení uvedených v odsekoch 1 a 2 tohto článku sa stanovia v delegovaných aktoch uvedených v článku 10 ods. 4.</w:t>
            </w:r>
          </w:p>
        </w:tc>
        <w:tc>
          <w:tcPr>
            <w:tcW w:w="567" w:type="dxa"/>
          </w:tcPr>
          <w:p w14:paraId="7632333E" w14:textId="77777777" w:rsidR="00357CEC" w:rsidRPr="001300A9" w:rsidRDefault="00357CEC" w:rsidP="00357CEC">
            <w:pPr>
              <w:pStyle w:val="Default"/>
              <w:rPr>
                <w:sz w:val="22"/>
                <w:szCs w:val="22"/>
              </w:rPr>
            </w:pPr>
            <w:proofErr w:type="spellStart"/>
            <w:r w:rsidRPr="001300A9">
              <w:rPr>
                <w:sz w:val="22"/>
                <w:szCs w:val="22"/>
              </w:rPr>
              <w:t>n.a</w:t>
            </w:r>
            <w:proofErr w:type="spellEnd"/>
            <w:r w:rsidRPr="001300A9">
              <w:rPr>
                <w:sz w:val="22"/>
                <w:szCs w:val="22"/>
              </w:rPr>
              <w:t>.</w:t>
            </w:r>
          </w:p>
        </w:tc>
        <w:tc>
          <w:tcPr>
            <w:tcW w:w="283" w:type="dxa"/>
          </w:tcPr>
          <w:p w14:paraId="7EE4C68F" w14:textId="77777777" w:rsidR="00357CEC" w:rsidRPr="001300A9" w:rsidRDefault="00357CEC" w:rsidP="00357CEC">
            <w:pPr>
              <w:pStyle w:val="Default"/>
              <w:rPr>
                <w:sz w:val="22"/>
                <w:szCs w:val="22"/>
              </w:rPr>
            </w:pPr>
          </w:p>
        </w:tc>
        <w:tc>
          <w:tcPr>
            <w:tcW w:w="567" w:type="dxa"/>
          </w:tcPr>
          <w:p w14:paraId="29A251AA" w14:textId="77777777" w:rsidR="00357CEC" w:rsidRPr="001300A9" w:rsidRDefault="00357CEC" w:rsidP="00357CEC">
            <w:pPr>
              <w:pStyle w:val="Default"/>
              <w:rPr>
                <w:sz w:val="22"/>
                <w:szCs w:val="22"/>
              </w:rPr>
            </w:pPr>
          </w:p>
        </w:tc>
        <w:tc>
          <w:tcPr>
            <w:tcW w:w="4253" w:type="dxa"/>
          </w:tcPr>
          <w:p w14:paraId="5323A805" w14:textId="77777777" w:rsidR="00357CEC" w:rsidRPr="001300A9" w:rsidRDefault="00357CEC" w:rsidP="00357CEC">
            <w:pPr>
              <w:pStyle w:val="Default"/>
              <w:rPr>
                <w:sz w:val="22"/>
                <w:szCs w:val="22"/>
              </w:rPr>
            </w:pPr>
          </w:p>
        </w:tc>
        <w:tc>
          <w:tcPr>
            <w:tcW w:w="567" w:type="dxa"/>
          </w:tcPr>
          <w:p w14:paraId="19F1A9AD" w14:textId="77777777" w:rsidR="00357CEC" w:rsidRPr="001300A9" w:rsidRDefault="00357CEC" w:rsidP="00357CEC">
            <w:pPr>
              <w:pStyle w:val="Default"/>
              <w:rPr>
                <w:sz w:val="22"/>
                <w:szCs w:val="22"/>
              </w:rPr>
            </w:pPr>
          </w:p>
        </w:tc>
        <w:tc>
          <w:tcPr>
            <w:tcW w:w="1276" w:type="dxa"/>
          </w:tcPr>
          <w:p w14:paraId="67070DDD" w14:textId="77777777" w:rsidR="00357CEC" w:rsidRPr="001300A9" w:rsidRDefault="00357CEC" w:rsidP="00357CEC">
            <w:pPr>
              <w:pStyle w:val="Default"/>
              <w:rPr>
                <w:sz w:val="22"/>
                <w:szCs w:val="22"/>
              </w:rPr>
            </w:pPr>
          </w:p>
        </w:tc>
        <w:tc>
          <w:tcPr>
            <w:tcW w:w="850" w:type="dxa"/>
          </w:tcPr>
          <w:p w14:paraId="14ABC416" w14:textId="77777777" w:rsidR="00357CEC" w:rsidRPr="001300A9" w:rsidRDefault="00357CEC" w:rsidP="00357CEC">
            <w:pPr>
              <w:pStyle w:val="Default"/>
              <w:rPr>
                <w:sz w:val="22"/>
                <w:szCs w:val="22"/>
              </w:rPr>
            </w:pPr>
          </w:p>
        </w:tc>
        <w:tc>
          <w:tcPr>
            <w:tcW w:w="815" w:type="dxa"/>
          </w:tcPr>
          <w:p w14:paraId="1C8E2994" w14:textId="77777777" w:rsidR="00357CEC" w:rsidRPr="001300A9" w:rsidRDefault="00357CEC" w:rsidP="00357CEC">
            <w:pPr>
              <w:pStyle w:val="Default"/>
              <w:rPr>
                <w:sz w:val="22"/>
                <w:szCs w:val="22"/>
              </w:rPr>
            </w:pPr>
          </w:p>
        </w:tc>
      </w:tr>
      <w:tr w:rsidR="00DD6EDC" w:rsidRPr="001300A9" w14:paraId="3C3D49E3" w14:textId="77777777" w:rsidTr="360410BC">
        <w:tc>
          <w:tcPr>
            <w:tcW w:w="562" w:type="dxa"/>
          </w:tcPr>
          <w:p w14:paraId="1FB3F487" w14:textId="77777777" w:rsidR="00357CEC" w:rsidRPr="001300A9" w:rsidRDefault="00357CEC" w:rsidP="00357CEC">
            <w:pPr>
              <w:pStyle w:val="Default"/>
              <w:rPr>
                <w:sz w:val="22"/>
                <w:szCs w:val="22"/>
              </w:rPr>
            </w:pPr>
            <w:r w:rsidRPr="001300A9">
              <w:rPr>
                <w:sz w:val="22"/>
                <w:szCs w:val="22"/>
              </w:rPr>
              <w:t>Č: 1</w:t>
            </w:r>
          </w:p>
          <w:p w14:paraId="55B8A22D" w14:textId="77777777" w:rsidR="00357CEC" w:rsidRPr="001300A9" w:rsidRDefault="00357CEC" w:rsidP="00357CEC">
            <w:pPr>
              <w:pStyle w:val="Default"/>
              <w:rPr>
                <w:sz w:val="22"/>
                <w:szCs w:val="22"/>
              </w:rPr>
            </w:pPr>
            <w:r w:rsidRPr="001300A9">
              <w:rPr>
                <w:sz w:val="22"/>
                <w:szCs w:val="22"/>
              </w:rPr>
              <w:t>O: 28</w:t>
            </w:r>
          </w:p>
          <w:p w14:paraId="27328EF6" w14:textId="77777777" w:rsidR="00357CEC" w:rsidRPr="001300A9" w:rsidRDefault="00357CEC" w:rsidP="00357CEC">
            <w:pPr>
              <w:pStyle w:val="Default"/>
              <w:rPr>
                <w:sz w:val="22"/>
                <w:szCs w:val="22"/>
              </w:rPr>
            </w:pPr>
            <w:r w:rsidRPr="001300A9">
              <w:rPr>
                <w:sz w:val="22"/>
                <w:szCs w:val="22"/>
              </w:rPr>
              <w:t>P: a)</w:t>
            </w:r>
          </w:p>
        </w:tc>
        <w:tc>
          <w:tcPr>
            <w:tcW w:w="4820" w:type="dxa"/>
          </w:tcPr>
          <w:p w14:paraId="59A33B72" w14:textId="77777777" w:rsidR="00357CEC" w:rsidRPr="001300A9" w:rsidRDefault="00357CEC" w:rsidP="00357CEC">
            <w:pPr>
              <w:pStyle w:val="Default"/>
              <w:rPr>
                <w:sz w:val="22"/>
                <w:szCs w:val="22"/>
              </w:rPr>
            </w:pPr>
            <w:r w:rsidRPr="001300A9">
              <w:rPr>
                <w:sz w:val="22"/>
                <w:szCs w:val="22"/>
              </w:rPr>
              <w:t>1. Táto smernica sa preskúma z hľadiska medzinárodného vývoja a úsilia vynaloženého na dosiahnutie dlhodobých cieľov Parížskej dohody a všetkých príslušných záväzkov vyplývajúcich z konferencie zmluvných strán Rámcového dohovoru Organizácie Spojených národov o zmene klímy.</w:t>
            </w:r>
          </w:p>
        </w:tc>
        <w:tc>
          <w:tcPr>
            <w:tcW w:w="567" w:type="dxa"/>
          </w:tcPr>
          <w:p w14:paraId="662C7A93" w14:textId="77777777" w:rsidR="00357CEC" w:rsidRPr="001300A9" w:rsidRDefault="00357CEC" w:rsidP="00357CEC">
            <w:pPr>
              <w:pStyle w:val="Default"/>
              <w:rPr>
                <w:sz w:val="22"/>
                <w:szCs w:val="22"/>
              </w:rPr>
            </w:pPr>
            <w:proofErr w:type="spellStart"/>
            <w:r w:rsidRPr="001300A9">
              <w:rPr>
                <w:sz w:val="22"/>
                <w:szCs w:val="22"/>
              </w:rPr>
              <w:t>n.a</w:t>
            </w:r>
            <w:proofErr w:type="spellEnd"/>
            <w:r w:rsidRPr="001300A9">
              <w:rPr>
                <w:sz w:val="22"/>
                <w:szCs w:val="22"/>
              </w:rPr>
              <w:t>.</w:t>
            </w:r>
          </w:p>
        </w:tc>
        <w:tc>
          <w:tcPr>
            <w:tcW w:w="283" w:type="dxa"/>
          </w:tcPr>
          <w:p w14:paraId="53674466" w14:textId="77777777" w:rsidR="00357CEC" w:rsidRPr="001300A9" w:rsidRDefault="00357CEC" w:rsidP="00357CEC">
            <w:pPr>
              <w:pStyle w:val="Default"/>
              <w:rPr>
                <w:sz w:val="22"/>
                <w:szCs w:val="22"/>
              </w:rPr>
            </w:pPr>
          </w:p>
        </w:tc>
        <w:tc>
          <w:tcPr>
            <w:tcW w:w="567" w:type="dxa"/>
          </w:tcPr>
          <w:p w14:paraId="3BB7E595" w14:textId="77777777" w:rsidR="00357CEC" w:rsidRPr="001300A9" w:rsidRDefault="00357CEC" w:rsidP="00357CEC">
            <w:pPr>
              <w:pStyle w:val="Default"/>
              <w:rPr>
                <w:sz w:val="22"/>
                <w:szCs w:val="22"/>
              </w:rPr>
            </w:pPr>
          </w:p>
        </w:tc>
        <w:tc>
          <w:tcPr>
            <w:tcW w:w="4253" w:type="dxa"/>
          </w:tcPr>
          <w:p w14:paraId="18EF4785" w14:textId="77777777" w:rsidR="00357CEC" w:rsidRPr="001300A9" w:rsidRDefault="00357CEC" w:rsidP="00357CEC">
            <w:pPr>
              <w:pStyle w:val="Default"/>
              <w:rPr>
                <w:sz w:val="22"/>
                <w:szCs w:val="22"/>
              </w:rPr>
            </w:pPr>
          </w:p>
        </w:tc>
        <w:tc>
          <w:tcPr>
            <w:tcW w:w="567" w:type="dxa"/>
          </w:tcPr>
          <w:p w14:paraId="2E976A3F" w14:textId="77777777" w:rsidR="00357CEC" w:rsidRPr="001300A9" w:rsidRDefault="00357CEC" w:rsidP="00357CEC">
            <w:pPr>
              <w:pStyle w:val="Default"/>
              <w:rPr>
                <w:sz w:val="22"/>
                <w:szCs w:val="22"/>
              </w:rPr>
            </w:pPr>
          </w:p>
        </w:tc>
        <w:tc>
          <w:tcPr>
            <w:tcW w:w="1276" w:type="dxa"/>
          </w:tcPr>
          <w:p w14:paraId="01D3BDD2" w14:textId="77777777" w:rsidR="00357CEC" w:rsidRPr="001300A9" w:rsidRDefault="00357CEC" w:rsidP="00357CEC">
            <w:pPr>
              <w:pStyle w:val="Default"/>
              <w:rPr>
                <w:sz w:val="22"/>
                <w:szCs w:val="22"/>
              </w:rPr>
            </w:pPr>
          </w:p>
        </w:tc>
        <w:tc>
          <w:tcPr>
            <w:tcW w:w="850" w:type="dxa"/>
          </w:tcPr>
          <w:p w14:paraId="3325C6FB" w14:textId="77777777" w:rsidR="00357CEC" w:rsidRPr="001300A9" w:rsidRDefault="00357CEC" w:rsidP="00357CEC">
            <w:pPr>
              <w:pStyle w:val="Default"/>
              <w:rPr>
                <w:sz w:val="22"/>
                <w:szCs w:val="22"/>
              </w:rPr>
            </w:pPr>
          </w:p>
        </w:tc>
        <w:tc>
          <w:tcPr>
            <w:tcW w:w="815" w:type="dxa"/>
          </w:tcPr>
          <w:p w14:paraId="4B4F4CAC" w14:textId="77777777" w:rsidR="00357CEC" w:rsidRPr="001300A9" w:rsidRDefault="00357CEC" w:rsidP="00357CEC">
            <w:pPr>
              <w:pStyle w:val="Default"/>
              <w:rPr>
                <w:sz w:val="22"/>
                <w:szCs w:val="22"/>
              </w:rPr>
            </w:pPr>
          </w:p>
        </w:tc>
      </w:tr>
      <w:tr w:rsidR="00DD6EDC" w:rsidRPr="001300A9" w14:paraId="50FA66C5" w14:textId="77777777" w:rsidTr="360410BC">
        <w:tc>
          <w:tcPr>
            <w:tcW w:w="562" w:type="dxa"/>
          </w:tcPr>
          <w:p w14:paraId="1648566B" w14:textId="77777777" w:rsidR="00357CEC" w:rsidRPr="001300A9" w:rsidRDefault="00357CEC" w:rsidP="00357CEC">
            <w:pPr>
              <w:pStyle w:val="Default"/>
              <w:rPr>
                <w:sz w:val="22"/>
                <w:szCs w:val="22"/>
              </w:rPr>
            </w:pPr>
            <w:r w:rsidRPr="001300A9">
              <w:rPr>
                <w:sz w:val="22"/>
                <w:szCs w:val="22"/>
              </w:rPr>
              <w:t>Č: 1</w:t>
            </w:r>
          </w:p>
          <w:p w14:paraId="70280F40" w14:textId="77777777" w:rsidR="00357CEC" w:rsidRPr="001300A9" w:rsidRDefault="00357CEC" w:rsidP="00357CEC">
            <w:pPr>
              <w:pStyle w:val="Default"/>
              <w:rPr>
                <w:sz w:val="22"/>
                <w:szCs w:val="22"/>
              </w:rPr>
            </w:pPr>
            <w:r w:rsidRPr="001300A9">
              <w:rPr>
                <w:sz w:val="22"/>
                <w:szCs w:val="22"/>
              </w:rPr>
              <w:t>O: 28</w:t>
            </w:r>
          </w:p>
          <w:p w14:paraId="4BDDF5EC" w14:textId="77777777" w:rsidR="00357CEC" w:rsidRPr="001300A9" w:rsidRDefault="00357CEC" w:rsidP="00357CEC">
            <w:pPr>
              <w:pStyle w:val="Default"/>
              <w:rPr>
                <w:sz w:val="22"/>
                <w:szCs w:val="22"/>
              </w:rPr>
            </w:pPr>
            <w:r w:rsidRPr="001300A9">
              <w:rPr>
                <w:sz w:val="22"/>
                <w:szCs w:val="22"/>
              </w:rPr>
              <w:t>P: b)</w:t>
            </w:r>
          </w:p>
        </w:tc>
        <w:tc>
          <w:tcPr>
            <w:tcW w:w="4820" w:type="dxa"/>
          </w:tcPr>
          <w:p w14:paraId="1D303953" w14:textId="77777777" w:rsidR="00357CEC" w:rsidRPr="001300A9" w:rsidRDefault="00357CEC" w:rsidP="00357CEC">
            <w:pPr>
              <w:pStyle w:val="Default"/>
              <w:rPr>
                <w:sz w:val="22"/>
                <w:szCs w:val="22"/>
              </w:rPr>
            </w:pPr>
            <w:r w:rsidRPr="001300A9">
              <w:rPr>
                <w:sz w:val="22"/>
                <w:szCs w:val="22"/>
              </w:rPr>
              <w:t>2. Opatrenia na podporu určitých energeticky náročných priemyselných odvetví, ktoré môžu byť vystavené úniku uhlíka, ako sa uvádza v článkoch 10a a 10b tejto smernice, sa preskúmavajú aj z hľadiska opatrení politiky v oblasti klímy v iných významných ekonomikách. V tejto súvislosti Komisia tiež zváži, či by sa opatrenia súvisiace s kompenzáciou nepriamych nákladov mali ďalej harmonizovať. Opatrenia uplatniteľné na odvetvia, na ktoré sa vzťahuje mechanizmus CBAM, sa preskúmavajú z hľadiska uplatňovania nariadenia (EÚ) 2023/...+. Komisia do 1. januára 2028 a potom každé dva roky v rámci svojich správ Európskemu parlamentu a Rade podľa článku 30 ods. 6 uvedeného nariadenia posúdi vplyv mechanizmu CBAM na riziko úniku uhlíka, a to aj vo vzťahu k vývozu.</w:t>
            </w:r>
          </w:p>
          <w:p w14:paraId="5E13EFC8" w14:textId="77777777" w:rsidR="00357CEC" w:rsidRPr="001300A9" w:rsidRDefault="00357CEC" w:rsidP="00357CEC">
            <w:pPr>
              <w:pStyle w:val="Default"/>
              <w:rPr>
                <w:sz w:val="22"/>
                <w:szCs w:val="22"/>
              </w:rPr>
            </w:pPr>
          </w:p>
          <w:p w14:paraId="3DE2A233" w14:textId="77777777" w:rsidR="00357CEC" w:rsidRPr="001300A9" w:rsidRDefault="00357CEC" w:rsidP="00357CEC">
            <w:pPr>
              <w:pStyle w:val="Default"/>
              <w:rPr>
                <w:sz w:val="22"/>
                <w:szCs w:val="22"/>
              </w:rPr>
            </w:pPr>
            <w:r w:rsidRPr="001300A9">
              <w:rPr>
                <w:sz w:val="22"/>
                <w:szCs w:val="22"/>
              </w:rPr>
              <w:t>V správe sa posúdi potreba prijatia dodatočných opatrení vrátane legislatívnych opatrení s cieľom riešiť riziká úniku uhlíka. K správe sa v prípade potreby pripojí legislatívny návrh.</w:t>
            </w:r>
          </w:p>
        </w:tc>
        <w:tc>
          <w:tcPr>
            <w:tcW w:w="567" w:type="dxa"/>
          </w:tcPr>
          <w:p w14:paraId="3A755080" w14:textId="77777777" w:rsidR="00357CEC" w:rsidRPr="001300A9" w:rsidRDefault="00357CEC" w:rsidP="00357CEC">
            <w:pPr>
              <w:pStyle w:val="Default"/>
              <w:rPr>
                <w:sz w:val="22"/>
                <w:szCs w:val="22"/>
              </w:rPr>
            </w:pPr>
            <w:proofErr w:type="spellStart"/>
            <w:r w:rsidRPr="001300A9">
              <w:rPr>
                <w:sz w:val="22"/>
                <w:szCs w:val="22"/>
              </w:rPr>
              <w:t>n.a</w:t>
            </w:r>
            <w:proofErr w:type="spellEnd"/>
            <w:r w:rsidRPr="001300A9">
              <w:rPr>
                <w:sz w:val="22"/>
                <w:szCs w:val="22"/>
              </w:rPr>
              <w:t>.</w:t>
            </w:r>
          </w:p>
        </w:tc>
        <w:tc>
          <w:tcPr>
            <w:tcW w:w="283" w:type="dxa"/>
          </w:tcPr>
          <w:p w14:paraId="419E0D66" w14:textId="77777777" w:rsidR="00357CEC" w:rsidRPr="001300A9" w:rsidRDefault="00357CEC" w:rsidP="00357CEC">
            <w:pPr>
              <w:pStyle w:val="Default"/>
              <w:rPr>
                <w:sz w:val="22"/>
                <w:szCs w:val="22"/>
              </w:rPr>
            </w:pPr>
          </w:p>
        </w:tc>
        <w:tc>
          <w:tcPr>
            <w:tcW w:w="567" w:type="dxa"/>
          </w:tcPr>
          <w:p w14:paraId="6774E628" w14:textId="77777777" w:rsidR="00357CEC" w:rsidRPr="001300A9" w:rsidRDefault="00357CEC" w:rsidP="00357CEC">
            <w:pPr>
              <w:pStyle w:val="Default"/>
              <w:rPr>
                <w:sz w:val="22"/>
                <w:szCs w:val="22"/>
              </w:rPr>
            </w:pPr>
          </w:p>
        </w:tc>
        <w:tc>
          <w:tcPr>
            <w:tcW w:w="4253" w:type="dxa"/>
          </w:tcPr>
          <w:p w14:paraId="0AAE8026" w14:textId="77777777" w:rsidR="00357CEC" w:rsidRPr="001300A9" w:rsidRDefault="00357CEC" w:rsidP="00357CEC">
            <w:pPr>
              <w:pStyle w:val="Default"/>
              <w:rPr>
                <w:sz w:val="22"/>
                <w:szCs w:val="22"/>
              </w:rPr>
            </w:pPr>
          </w:p>
        </w:tc>
        <w:tc>
          <w:tcPr>
            <w:tcW w:w="567" w:type="dxa"/>
          </w:tcPr>
          <w:p w14:paraId="6376EFB2" w14:textId="77777777" w:rsidR="00357CEC" w:rsidRPr="001300A9" w:rsidRDefault="00357CEC" w:rsidP="00357CEC">
            <w:pPr>
              <w:pStyle w:val="Default"/>
              <w:rPr>
                <w:sz w:val="22"/>
                <w:szCs w:val="22"/>
              </w:rPr>
            </w:pPr>
          </w:p>
        </w:tc>
        <w:tc>
          <w:tcPr>
            <w:tcW w:w="1276" w:type="dxa"/>
          </w:tcPr>
          <w:p w14:paraId="64D65ADA" w14:textId="77777777" w:rsidR="00357CEC" w:rsidRPr="001300A9" w:rsidRDefault="00357CEC" w:rsidP="00357CEC">
            <w:pPr>
              <w:pStyle w:val="Default"/>
              <w:rPr>
                <w:sz w:val="22"/>
                <w:szCs w:val="22"/>
              </w:rPr>
            </w:pPr>
          </w:p>
        </w:tc>
        <w:tc>
          <w:tcPr>
            <w:tcW w:w="850" w:type="dxa"/>
          </w:tcPr>
          <w:p w14:paraId="0E683936" w14:textId="77777777" w:rsidR="00357CEC" w:rsidRPr="001300A9" w:rsidRDefault="00357CEC" w:rsidP="00357CEC">
            <w:pPr>
              <w:pStyle w:val="Default"/>
              <w:rPr>
                <w:sz w:val="22"/>
                <w:szCs w:val="22"/>
              </w:rPr>
            </w:pPr>
          </w:p>
        </w:tc>
        <w:tc>
          <w:tcPr>
            <w:tcW w:w="815" w:type="dxa"/>
          </w:tcPr>
          <w:p w14:paraId="4F678231" w14:textId="77777777" w:rsidR="00357CEC" w:rsidRPr="001300A9" w:rsidRDefault="00357CEC" w:rsidP="00357CEC">
            <w:pPr>
              <w:pStyle w:val="Default"/>
              <w:rPr>
                <w:sz w:val="22"/>
                <w:szCs w:val="22"/>
              </w:rPr>
            </w:pPr>
          </w:p>
        </w:tc>
      </w:tr>
      <w:tr w:rsidR="00DD6EDC" w:rsidRPr="001300A9" w14:paraId="5F2D43BE" w14:textId="77777777" w:rsidTr="360410BC">
        <w:tc>
          <w:tcPr>
            <w:tcW w:w="562" w:type="dxa"/>
          </w:tcPr>
          <w:p w14:paraId="31456CA8" w14:textId="77777777" w:rsidR="00357CEC" w:rsidRPr="001300A9" w:rsidRDefault="00357CEC" w:rsidP="00357CEC">
            <w:pPr>
              <w:pStyle w:val="Default"/>
              <w:rPr>
                <w:sz w:val="22"/>
                <w:szCs w:val="22"/>
              </w:rPr>
            </w:pPr>
            <w:r w:rsidRPr="001300A9">
              <w:rPr>
                <w:sz w:val="22"/>
                <w:szCs w:val="22"/>
              </w:rPr>
              <w:t>Č: 1</w:t>
            </w:r>
          </w:p>
          <w:p w14:paraId="4F6641BF" w14:textId="77777777" w:rsidR="00357CEC" w:rsidRPr="001300A9" w:rsidRDefault="00357CEC" w:rsidP="00357CEC">
            <w:pPr>
              <w:pStyle w:val="Default"/>
              <w:rPr>
                <w:sz w:val="22"/>
                <w:szCs w:val="22"/>
              </w:rPr>
            </w:pPr>
            <w:r w:rsidRPr="001300A9">
              <w:rPr>
                <w:sz w:val="22"/>
                <w:szCs w:val="22"/>
              </w:rPr>
              <w:t>O: 28</w:t>
            </w:r>
          </w:p>
          <w:p w14:paraId="20F518A0" w14:textId="77777777" w:rsidR="00357CEC" w:rsidRPr="001300A9" w:rsidRDefault="00357CEC" w:rsidP="00357CEC">
            <w:pPr>
              <w:pStyle w:val="Default"/>
              <w:rPr>
                <w:sz w:val="22"/>
                <w:szCs w:val="22"/>
              </w:rPr>
            </w:pPr>
            <w:r w:rsidRPr="001300A9">
              <w:rPr>
                <w:sz w:val="22"/>
                <w:szCs w:val="22"/>
              </w:rPr>
              <w:t>P: c)</w:t>
            </w:r>
          </w:p>
        </w:tc>
        <w:tc>
          <w:tcPr>
            <w:tcW w:w="4820" w:type="dxa"/>
          </w:tcPr>
          <w:p w14:paraId="75BE7C9A" w14:textId="77777777" w:rsidR="00357CEC" w:rsidRPr="001300A9" w:rsidRDefault="00357CEC" w:rsidP="00357CEC">
            <w:pPr>
              <w:pStyle w:val="Default"/>
              <w:rPr>
                <w:sz w:val="22"/>
                <w:szCs w:val="22"/>
              </w:rPr>
            </w:pPr>
            <w:r w:rsidRPr="001300A9">
              <w:rPr>
                <w:sz w:val="22"/>
                <w:szCs w:val="22"/>
              </w:rPr>
              <w:t>3. Komisia podá Európskemu parlamentu a Rade v kontexte každého globálneho hodnotenia, ktoré sa dohodlo v rámci Parížskej dohody, správu, najmä pokiaľ ide o potrebu ďalších politík a opatrení Únie na účely potrebného zníženia emisií skleníkových plynov zo strany Únie a jej členských štátov, okrem iného aj v súvislosti s lineárnym koeficientom uvedeným v článku 9 tejto smernice. Komisia môže v prípade potreby predložiť Európskemu parlamentu a Rade legislatívne návrhy na zmenu tejto smernice, najmä v záujme zabezpečiť súlad s cieľom dosiahnuť klimatickú neutralitu, ktorý je stanovený v článku 2 ods. 1 nariadenia (EÚ) 2021/1119, a s cieľmi Únie v oblasti klímy, ktoré sú stanovené v článku 4 uvedeného nariadenia. Komisia pri predkladaní svojich legislatívnych návrhov na tento účel okrem iného zváži plánovaný orientačný rozpočet Únie na emisie skleníkových plynov na obdobie rokov 2030 až 2050, ako sa uvádza v článku 4 ods. 4 uvedeného nariadenia.</w:t>
            </w:r>
          </w:p>
        </w:tc>
        <w:tc>
          <w:tcPr>
            <w:tcW w:w="567" w:type="dxa"/>
          </w:tcPr>
          <w:p w14:paraId="27BF0EEA" w14:textId="77777777" w:rsidR="00357CEC" w:rsidRPr="001300A9" w:rsidRDefault="00357CEC" w:rsidP="00357CEC">
            <w:pPr>
              <w:pStyle w:val="Default"/>
              <w:rPr>
                <w:sz w:val="22"/>
                <w:szCs w:val="22"/>
              </w:rPr>
            </w:pPr>
            <w:proofErr w:type="spellStart"/>
            <w:r w:rsidRPr="001300A9">
              <w:rPr>
                <w:sz w:val="22"/>
                <w:szCs w:val="22"/>
              </w:rPr>
              <w:t>n.a</w:t>
            </w:r>
            <w:proofErr w:type="spellEnd"/>
            <w:r w:rsidRPr="001300A9">
              <w:rPr>
                <w:sz w:val="22"/>
                <w:szCs w:val="22"/>
              </w:rPr>
              <w:t>.</w:t>
            </w:r>
          </w:p>
        </w:tc>
        <w:tc>
          <w:tcPr>
            <w:tcW w:w="283" w:type="dxa"/>
          </w:tcPr>
          <w:p w14:paraId="67AC014B" w14:textId="77777777" w:rsidR="00357CEC" w:rsidRPr="001300A9" w:rsidRDefault="00357CEC" w:rsidP="00357CEC">
            <w:pPr>
              <w:pStyle w:val="Default"/>
              <w:rPr>
                <w:sz w:val="22"/>
                <w:szCs w:val="22"/>
              </w:rPr>
            </w:pPr>
          </w:p>
        </w:tc>
        <w:tc>
          <w:tcPr>
            <w:tcW w:w="567" w:type="dxa"/>
          </w:tcPr>
          <w:p w14:paraId="4CBA95BA" w14:textId="77777777" w:rsidR="00357CEC" w:rsidRPr="001300A9" w:rsidRDefault="00357CEC" w:rsidP="00357CEC">
            <w:pPr>
              <w:pStyle w:val="Default"/>
              <w:rPr>
                <w:sz w:val="22"/>
                <w:szCs w:val="22"/>
              </w:rPr>
            </w:pPr>
          </w:p>
        </w:tc>
        <w:tc>
          <w:tcPr>
            <w:tcW w:w="4253" w:type="dxa"/>
          </w:tcPr>
          <w:p w14:paraId="2D0EE799" w14:textId="77777777" w:rsidR="00357CEC" w:rsidRPr="001300A9" w:rsidRDefault="00357CEC" w:rsidP="00357CEC">
            <w:pPr>
              <w:pStyle w:val="Default"/>
              <w:rPr>
                <w:sz w:val="22"/>
                <w:szCs w:val="22"/>
              </w:rPr>
            </w:pPr>
          </w:p>
        </w:tc>
        <w:tc>
          <w:tcPr>
            <w:tcW w:w="567" w:type="dxa"/>
          </w:tcPr>
          <w:p w14:paraId="2FD7A90E" w14:textId="77777777" w:rsidR="00357CEC" w:rsidRPr="001300A9" w:rsidRDefault="00357CEC" w:rsidP="00357CEC">
            <w:pPr>
              <w:pStyle w:val="Default"/>
              <w:rPr>
                <w:sz w:val="22"/>
                <w:szCs w:val="22"/>
              </w:rPr>
            </w:pPr>
          </w:p>
        </w:tc>
        <w:tc>
          <w:tcPr>
            <w:tcW w:w="1276" w:type="dxa"/>
          </w:tcPr>
          <w:p w14:paraId="7F7D5B12" w14:textId="77777777" w:rsidR="00357CEC" w:rsidRPr="001300A9" w:rsidRDefault="00357CEC" w:rsidP="00357CEC">
            <w:pPr>
              <w:pStyle w:val="Default"/>
              <w:rPr>
                <w:sz w:val="22"/>
                <w:szCs w:val="22"/>
              </w:rPr>
            </w:pPr>
          </w:p>
        </w:tc>
        <w:tc>
          <w:tcPr>
            <w:tcW w:w="850" w:type="dxa"/>
          </w:tcPr>
          <w:p w14:paraId="071BAB57" w14:textId="77777777" w:rsidR="00357CEC" w:rsidRPr="001300A9" w:rsidRDefault="00357CEC" w:rsidP="00357CEC">
            <w:pPr>
              <w:pStyle w:val="Default"/>
              <w:rPr>
                <w:sz w:val="22"/>
                <w:szCs w:val="22"/>
              </w:rPr>
            </w:pPr>
          </w:p>
        </w:tc>
        <w:tc>
          <w:tcPr>
            <w:tcW w:w="815" w:type="dxa"/>
          </w:tcPr>
          <w:p w14:paraId="4B88EE5D" w14:textId="77777777" w:rsidR="00357CEC" w:rsidRPr="001300A9" w:rsidRDefault="00357CEC" w:rsidP="00357CEC">
            <w:pPr>
              <w:pStyle w:val="Default"/>
              <w:rPr>
                <w:sz w:val="22"/>
                <w:szCs w:val="22"/>
              </w:rPr>
            </w:pPr>
          </w:p>
        </w:tc>
      </w:tr>
      <w:tr w:rsidR="00DD6EDC" w:rsidRPr="001300A9" w14:paraId="2F036AB2" w14:textId="77777777" w:rsidTr="360410BC">
        <w:tc>
          <w:tcPr>
            <w:tcW w:w="562" w:type="dxa"/>
          </w:tcPr>
          <w:p w14:paraId="668CC7AF" w14:textId="77777777" w:rsidR="00357CEC" w:rsidRPr="001300A9" w:rsidRDefault="00357CEC" w:rsidP="00357CEC">
            <w:pPr>
              <w:pStyle w:val="Default"/>
              <w:rPr>
                <w:sz w:val="22"/>
                <w:szCs w:val="22"/>
              </w:rPr>
            </w:pPr>
            <w:r w:rsidRPr="001300A9">
              <w:rPr>
                <w:sz w:val="22"/>
                <w:szCs w:val="22"/>
              </w:rPr>
              <w:t>Č: 1</w:t>
            </w:r>
          </w:p>
          <w:p w14:paraId="41D5617C" w14:textId="77777777" w:rsidR="00357CEC" w:rsidRPr="001300A9" w:rsidRDefault="00357CEC" w:rsidP="00357CEC">
            <w:pPr>
              <w:pStyle w:val="Default"/>
              <w:rPr>
                <w:sz w:val="22"/>
                <w:szCs w:val="22"/>
              </w:rPr>
            </w:pPr>
            <w:r w:rsidRPr="001300A9">
              <w:rPr>
                <w:sz w:val="22"/>
                <w:szCs w:val="22"/>
              </w:rPr>
              <w:t>O: 28</w:t>
            </w:r>
          </w:p>
          <w:p w14:paraId="3209B4E1" w14:textId="77777777" w:rsidR="00357CEC" w:rsidRPr="001300A9" w:rsidRDefault="00357CEC" w:rsidP="00357CEC">
            <w:pPr>
              <w:pStyle w:val="Default"/>
              <w:rPr>
                <w:sz w:val="22"/>
                <w:szCs w:val="22"/>
              </w:rPr>
            </w:pPr>
            <w:r w:rsidRPr="001300A9">
              <w:rPr>
                <w:sz w:val="22"/>
                <w:szCs w:val="22"/>
              </w:rPr>
              <w:t>P: d)</w:t>
            </w:r>
          </w:p>
        </w:tc>
        <w:tc>
          <w:tcPr>
            <w:tcW w:w="4820" w:type="dxa"/>
          </w:tcPr>
          <w:p w14:paraId="396CE59E" w14:textId="77777777" w:rsidR="00357CEC" w:rsidRPr="001300A9" w:rsidRDefault="00357CEC" w:rsidP="00357CEC">
            <w:pPr>
              <w:pStyle w:val="Default"/>
              <w:rPr>
                <w:sz w:val="22"/>
                <w:szCs w:val="22"/>
              </w:rPr>
            </w:pPr>
            <w:r w:rsidRPr="001300A9">
              <w:rPr>
                <w:sz w:val="22"/>
                <w:szCs w:val="22"/>
              </w:rPr>
              <w:t>5. Komisia do 31. júla 2026 predloží Európskemu parlamentu a Rade správu o týchto záležitostiach, ku ktorej v prípade potreby pripojí legislatívny návrh a posúdenie vplyvu:</w:t>
            </w:r>
          </w:p>
          <w:p w14:paraId="21B1BBFC" w14:textId="77777777" w:rsidR="00357CEC" w:rsidRPr="001300A9" w:rsidRDefault="00357CEC" w:rsidP="00357CEC">
            <w:pPr>
              <w:pStyle w:val="Default"/>
              <w:rPr>
                <w:sz w:val="22"/>
                <w:szCs w:val="22"/>
              </w:rPr>
            </w:pPr>
            <w:r w:rsidRPr="001300A9">
              <w:rPr>
                <w:sz w:val="22"/>
                <w:szCs w:val="22"/>
              </w:rPr>
              <w:t>a) ako by sa mohli započítavať záporné emisie pochádzajúce zo skleníkových plynov, ktoré sa odstraňujú z atmosféry a bezpečne a trvalo uskladňujú, a ako by sa mohli uvedené záporné emisie zahrnúť do obchodovania s emisiami, ak je to vhodné, čo by malo zahŕňať jasný rozsah pôsobnosti a prísne kritériá takéhoto zahrnutia a záruky na zabezpečenie toho, aby sa takýmito záchytmi nekompenzovalo potrebné zníženie emisií v súlade s cieľmi Únie v oblasti klímy stanovenými v nariadení (EÚ) 2021/1119;</w:t>
            </w:r>
          </w:p>
          <w:p w14:paraId="3A85875E" w14:textId="77777777" w:rsidR="00357CEC" w:rsidRPr="001300A9" w:rsidRDefault="00357CEC" w:rsidP="00357CEC">
            <w:pPr>
              <w:pStyle w:val="Default"/>
              <w:rPr>
                <w:sz w:val="22"/>
                <w:szCs w:val="22"/>
              </w:rPr>
            </w:pPr>
            <w:r w:rsidRPr="001300A9">
              <w:rPr>
                <w:sz w:val="22"/>
                <w:szCs w:val="22"/>
              </w:rPr>
              <w:t>b) uskutočniteľnosť zníženia prahových hodnôt celkového menovitého tepelného príkonu 20 MW pre činnosti uvedené v prílohe I od roku 2031;</w:t>
            </w:r>
          </w:p>
          <w:p w14:paraId="2FA6EC4E" w14:textId="77777777" w:rsidR="00357CEC" w:rsidRPr="001300A9" w:rsidRDefault="00357CEC" w:rsidP="00357CEC">
            <w:pPr>
              <w:pStyle w:val="Default"/>
              <w:rPr>
                <w:sz w:val="22"/>
                <w:szCs w:val="22"/>
              </w:rPr>
            </w:pPr>
            <w:r w:rsidRPr="001300A9">
              <w:rPr>
                <w:sz w:val="22"/>
                <w:szCs w:val="22"/>
              </w:rPr>
              <w:t>c) či sa účinne započítavajú všetky emisie skleníkových plynov, na ktoré sa vzťahuje táto smernica, a či sa účinne predchádza dvojitému započítaniu; posúdi sa najmä započítavanie emisií skleníkových plynov, ktoré sa považujú za zachytené a využité v produkte iným spôsobom, ako sa uvádza v článku 12 ods. 3b.</w:t>
            </w:r>
          </w:p>
          <w:p w14:paraId="31C426EE" w14:textId="77777777" w:rsidR="00357CEC" w:rsidRPr="001300A9" w:rsidRDefault="00357CEC" w:rsidP="00357CEC">
            <w:pPr>
              <w:pStyle w:val="Default"/>
              <w:rPr>
                <w:sz w:val="22"/>
                <w:szCs w:val="22"/>
              </w:rPr>
            </w:pPr>
          </w:p>
          <w:p w14:paraId="4D1653F3" w14:textId="77777777" w:rsidR="00357CEC" w:rsidRPr="001300A9" w:rsidRDefault="00357CEC" w:rsidP="00357CEC">
            <w:pPr>
              <w:pStyle w:val="Default"/>
              <w:rPr>
                <w:sz w:val="22"/>
                <w:szCs w:val="22"/>
              </w:rPr>
            </w:pPr>
            <w:r w:rsidRPr="001300A9">
              <w:rPr>
                <w:sz w:val="22"/>
                <w:szCs w:val="22"/>
              </w:rPr>
              <w:t>6. Pri preskúmaní tejto smernice v súlade s odsekmi 1, 2 a 3 tohto článku Komisia analyzuje, ako možno vytvoriť prepojenia medzi systémom EU ETS a inými trhmi s uhlíkom bez toho, aby to bránilo dosiahnutiu cieľa klimatickej neutrality a cieľov Únie v oblasti klímy stanovených v nariadení (EÚ) 2021/1119.</w:t>
            </w:r>
          </w:p>
          <w:p w14:paraId="6C9F62CC" w14:textId="77777777" w:rsidR="00357CEC" w:rsidRPr="001300A9" w:rsidRDefault="00357CEC" w:rsidP="00357CEC">
            <w:pPr>
              <w:pStyle w:val="Default"/>
              <w:rPr>
                <w:sz w:val="22"/>
                <w:szCs w:val="22"/>
              </w:rPr>
            </w:pPr>
          </w:p>
          <w:p w14:paraId="399E1DED" w14:textId="77777777" w:rsidR="00357CEC" w:rsidRPr="001300A9" w:rsidRDefault="00357CEC" w:rsidP="00357CEC">
            <w:pPr>
              <w:pStyle w:val="Default"/>
              <w:rPr>
                <w:sz w:val="22"/>
                <w:szCs w:val="22"/>
              </w:rPr>
            </w:pPr>
            <w:r w:rsidRPr="001300A9">
              <w:rPr>
                <w:sz w:val="22"/>
                <w:szCs w:val="22"/>
              </w:rPr>
              <w:t>7. Komisia do 31. júla 2026 predloží Európskemu parlamentu a Rade správu, v ktorej posúdi uskutočniteľnosť začlenenia spaľovní komunálneho odpadu do systému EU ETS, a to aj s cieľom ich začlenenia od roku 2028 a s posúdením potenciálnej potreby možnosti, aby členský štát mohol rozhodnúť o neuplatňovaní do 31. decembra 2030. V tejto súvislosti Komisia zohľadní význam všetkých odvetví, ktoré prispievajú k znižovaniu emisií, a potenciálny odklon odpadu smerom k zneškodňovaniu skládkovaním v Únii a vývozu odpadu do tretích krajín. Komisia okrem toho zohľadní príslušné kritériá, ako sú účinky na vnútorný trh, možné narušenia hospodárskej súťaže, environmentálna integrita, zosúladenie s cieľmi smernice Európskeho parlamentu a Rady 2008/98/ES* a spoľahlivosť a presnosť, pokiaľ ide o monitorovanie a výpočet emisií. Komisia v prípade potreby a bez toho, aby bol dotknutý článok 4 uvedenej smernice, pripojí k uvedenej správe legislatívny návrh s cieľom uplatňovať ustanovenia tejto kapitoly na povolenia na emisie skleníkových plynov a prideľovanie a vydávanie dodatočných kvót, pokiaľ ide o spaľovne komunálneho odpadu, a zabrániť možnému odklonu odpadu.</w:t>
            </w:r>
          </w:p>
          <w:p w14:paraId="01EEE3A5" w14:textId="77777777" w:rsidR="00357CEC" w:rsidRPr="001300A9" w:rsidRDefault="00357CEC" w:rsidP="00357CEC">
            <w:pPr>
              <w:pStyle w:val="Default"/>
              <w:rPr>
                <w:sz w:val="22"/>
                <w:szCs w:val="22"/>
              </w:rPr>
            </w:pPr>
          </w:p>
          <w:p w14:paraId="449FDC8D" w14:textId="77777777" w:rsidR="00357CEC" w:rsidRPr="001300A9" w:rsidRDefault="00357CEC" w:rsidP="00357CEC">
            <w:pPr>
              <w:pStyle w:val="Default"/>
              <w:rPr>
                <w:sz w:val="22"/>
                <w:szCs w:val="22"/>
              </w:rPr>
            </w:pPr>
            <w:r w:rsidRPr="001300A9">
              <w:rPr>
                <w:sz w:val="22"/>
                <w:szCs w:val="22"/>
              </w:rPr>
              <w:t xml:space="preserve">V správe uvedenej v prvom </w:t>
            </w:r>
            <w:proofErr w:type="spellStart"/>
            <w:r w:rsidRPr="001300A9">
              <w:rPr>
                <w:sz w:val="22"/>
                <w:szCs w:val="22"/>
              </w:rPr>
              <w:t>pododseku</w:t>
            </w:r>
            <w:proofErr w:type="spellEnd"/>
            <w:r w:rsidRPr="001300A9">
              <w:rPr>
                <w:sz w:val="22"/>
                <w:szCs w:val="22"/>
              </w:rPr>
              <w:t xml:space="preserve"> Komisia posúdi aj možnosť zahrnúť do systému EU ETS ďalšie procesy nakladania s odpadom, najmä skládky, ktoré vytvárajú emisie metánu a oxidu dusného v Únii. Komisia môže v prípade potreby k tejto správe pripojiť aj legislatívny návrh na zahrnutie takýchto iných procesov nakladania s odpadom do systému EU ETS.</w:t>
            </w:r>
          </w:p>
          <w:p w14:paraId="43DCDC20" w14:textId="77777777" w:rsidR="00357CEC" w:rsidRPr="001300A9" w:rsidRDefault="00357CEC" w:rsidP="00357CEC">
            <w:pPr>
              <w:pStyle w:val="Default"/>
              <w:rPr>
                <w:sz w:val="22"/>
                <w:szCs w:val="22"/>
              </w:rPr>
            </w:pPr>
          </w:p>
          <w:p w14:paraId="0AF58C5F" w14:textId="77777777" w:rsidR="00357CEC" w:rsidRPr="001300A9" w:rsidRDefault="00357CEC" w:rsidP="00357CEC">
            <w:pPr>
              <w:pStyle w:val="Default"/>
              <w:rPr>
                <w:sz w:val="22"/>
                <w:szCs w:val="22"/>
              </w:rPr>
            </w:pPr>
            <w:r w:rsidRPr="001300A9">
              <w:rPr>
                <w:sz w:val="22"/>
                <w:szCs w:val="22"/>
              </w:rPr>
              <w:t>* Smernica Európskeho parlamentu a Rady 2008/98/ES z 19. novembra 2008 o odpade a o zrušení určitých smerníc (Ú. v. EÚ L 312, 22.11.2008, s. 3).</w:t>
            </w:r>
          </w:p>
        </w:tc>
        <w:tc>
          <w:tcPr>
            <w:tcW w:w="567" w:type="dxa"/>
          </w:tcPr>
          <w:p w14:paraId="0916DCB3" w14:textId="77777777" w:rsidR="00357CEC" w:rsidRPr="001300A9" w:rsidRDefault="00357CEC" w:rsidP="00357CEC">
            <w:pPr>
              <w:pStyle w:val="Default"/>
              <w:rPr>
                <w:sz w:val="22"/>
                <w:szCs w:val="22"/>
              </w:rPr>
            </w:pPr>
            <w:proofErr w:type="spellStart"/>
            <w:r w:rsidRPr="001300A9">
              <w:rPr>
                <w:sz w:val="22"/>
                <w:szCs w:val="22"/>
              </w:rPr>
              <w:t>n.a</w:t>
            </w:r>
            <w:proofErr w:type="spellEnd"/>
            <w:r w:rsidRPr="001300A9">
              <w:rPr>
                <w:sz w:val="22"/>
                <w:szCs w:val="22"/>
              </w:rPr>
              <w:t>.</w:t>
            </w:r>
          </w:p>
        </w:tc>
        <w:tc>
          <w:tcPr>
            <w:tcW w:w="283" w:type="dxa"/>
          </w:tcPr>
          <w:p w14:paraId="4D1D7DBE" w14:textId="77777777" w:rsidR="00357CEC" w:rsidRPr="001300A9" w:rsidRDefault="00357CEC" w:rsidP="00357CEC">
            <w:pPr>
              <w:pStyle w:val="Default"/>
              <w:rPr>
                <w:sz w:val="22"/>
                <w:szCs w:val="22"/>
              </w:rPr>
            </w:pPr>
          </w:p>
        </w:tc>
        <w:tc>
          <w:tcPr>
            <w:tcW w:w="567" w:type="dxa"/>
          </w:tcPr>
          <w:p w14:paraId="7F6DBD22" w14:textId="77777777" w:rsidR="00357CEC" w:rsidRPr="001300A9" w:rsidRDefault="00357CEC" w:rsidP="00357CEC">
            <w:pPr>
              <w:pStyle w:val="Default"/>
              <w:rPr>
                <w:sz w:val="22"/>
                <w:szCs w:val="22"/>
              </w:rPr>
            </w:pPr>
          </w:p>
        </w:tc>
        <w:tc>
          <w:tcPr>
            <w:tcW w:w="4253" w:type="dxa"/>
          </w:tcPr>
          <w:p w14:paraId="2FFDBCC3" w14:textId="77777777" w:rsidR="00357CEC" w:rsidRPr="001300A9" w:rsidRDefault="00357CEC" w:rsidP="00357CEC">
            <w:pPr>
              <w:pStyle w:val="Default"/>
              <w:rPr>
                <w:sz w:val="22"/>
                <w:szCs w:val="22"/>
              </w:rPr>
            </w:pPr>
          </w:p>
        </w:tc>
        <w:tc>
          <w:tcPr>
            <w:tcW w:w="567" w:type="dxa"/>
          </w:tcPr>
          <w:p w14:paraId="343F3E9C" w14:textId="77777777" w:rsidR="00357CEC" w:rsidRPr="001300A9" w:rsidRDefault="00357CEC" w:rsidP="00357CEC">
            <w:pPr>
              <w:pStyle w:val="Default"/>
              <w:rPr>
                <w:sz w:val="22"/>
                <w:szCs w:val="22"/>
              </w:rPr>
            </w:pPr>
          </w:p>
        </w:tc>
        <w:tc>
          <w:tcPr>
            <w:tcW w:w="1276" w:type="dxa"/>
          </w:tcPr>
          <w:p w14:paraId="7951C23B" w14:textId="77777777" w:rsidR="00357CEC" w:rsidRPr="001300A9" w:rsidRDefault="00357CEC" w:rsidP="00357CEC">
            <w:pPr>
              <w:pStyle w:val="Default"/>
              <w:rPr>
                <w:sz w:val="22"/>
                <w:szCs w:val="22"/>
              </w:rPr>
            </w:pPr>
          </w:p>
        </w:tc>
        <w:tc>
          <w:tcPr>
            <w:tcW w:w="850" w:type="dxa"/>
          </w:tcPr>
          <w:p w14:paraId="50955049" w14:textId="77777777" w:rsidR="00357CEC" w:rsidRPr="001300A9" w:rsidRDefault="00357CEC" w:rsidP="00357CEC">
            <w:pPr>
              <w:pStyle w:val="Default"/>
              <w:rPr>
                <w:sz w:val="22"/>
                <w:szCs w:val="22"/>
              </w:rPr>
            </w:pPr>
          </w:p>
        </w:tc>
        <w:tc>
          <w:tcPr>
            <w:tcW w:w="815" w:type="dxa"/>
          </w:tcPr>
          <w:p w14:paraId="0B35EE4B" w14:textId="77777777" w:rsidR="00357CEC" w:rsidRPr="001300A9" w:rsidRDefault="00357CEC" w:rsidP="00357CEC">
            <w:pPr>
              <w:pStyle w:val="Default"/>
              <w:rPr>
                <w:sz w:val="22"/>
                <w:szCs w:val="22"/>
              </w:rPr>
            </w:pPr>
          </w:p>
        </w:tc>
      </w:tr>
      <w:tr w:rsidR="00DD6EDC" w:rsidRPr="001300A9" w14:paraId="1BA08FBA" w14:textId="77777777" w:rsidTr="360410BC">
        <w:tc>
          <w:tcPr>
            <w:tcW w:w="562" w:type="dxa"/>
          </w:tcPr>
          <w:p w14:paraId="3120F207" w14:textId="77777777" w:rsidR="00357CEC" w:rsidRPr="001300A9" w:rsidRDefault="00357CEC" w:rsidP="00357CEC">
            <w:pPr>
              <w:pStyle w:val="Default"/>
              <w:rPr>
                <w:sz w:val="22"/>
                <w:szCs w:val="22"/>
              </w:rPr>
            </w:pPr>
            <w:r w:rsidRPr="001300A9">
              <w:rPr>
                <w:sz w:val="22"/>
                <w:szCs w:val="22"/>
              </w:rPr>
              <w:t>Č: 1</w:t>
            </w:r>
          </w:p>
          <w:p w14:paraId="57F1B555" w14:textId="77777777" w:rsidR="00357CEC" w:rsidRPr="001300A9" w:rsidRDefault="00357CEC" w:rsidP="00357CEC">
            <w:pPr>
              <w:pStyle w:val="Default"/>
              <w:rPr>
                <w:sz w:val="22"/>
                <w:szCs w:val="22"/>
              </w:rPr>
            </w:pPr>
            <w:r w:rsidRPr="001300A9">
              <w:rPr>
                <w:sz w:val="22"/>
                <w:szCs w:val="22"/>
              </w:rPr>
              <w:t>O: 29</w:t>
            </w:r>
          </w:p>
        </w:tc>
        <w:tc>
          <w:tcPr>
            <w:tcW w:w="4820" w:type="dxa"/>
          </w:tcPr>
          <w:p w14:paraId="6EC65FF5" w14:textId="77777777" w:rsidR="00357CEC" w:rsidRPr="001300A9" w:rsidRDefault="00357CEC" w:rsidP="00357CEC">
            <w:pPr>
              <w:pStyle w:val="Default"/>
              <w:rPr>
                <w:sz w:val="22"/>
                <w:szCs w:val="22"/>
              </w:rPr>
            </w:pPr>
            <w:r w:rsidRPr="001300A9">
              <w:rPr>
                <w:sz w:val="22"/>
                <w:szCs w:val="22"/>
              </w:rPr>
              <w:t>Za článok 30 sa vkladá táto kapitola:</w:t>
            </w:r>
          </w:p>
          <w:p w14:paraId="4B5C314A" w14:textId="77777777" w:rsidR="00357CEC" w:rsidRPr="001300A9" w:rsidRDefault="00357CEC" w:rsidP="00357CEC">
            <w:pPr>
              <w:pStyle w:val="Default"/>
              <w:rPr>
                <w:sz w:val="22"/>
                <w:szCs w:val="22"/>
              </w:rPr>
            </w:pPr>
            <w:r w:rsidRPr="001300A9">
              <w:rPr>
                <w:sz w:val="22"/>
                <w:szCs w:val="22"/>
              </w:rPr>
              <w:t xml:space="preserve">Kapitola </w:t>
            </w:r>
            <w:proofErr w:type="spellStart"/>
            <w:r w:rsidRPr="001300A9">
              <w:rPr>
                <w:sz w:val="22"/>
                <w:szCs w:val="22"/>
              </w:rPr>
              <w:t>IVa</w:t>
            </w:r>
            <w:proofErr w:type="spellEnd"/>
            <w:r w:rsidRPr="001300A9">
              <w:rPr>
                <w:sz w:val="22"/>
                <w:szCs w:val="22"/>
              </w:rPr>
              <w:t xml:space="preserve"> </w:t>
            </w:r>
          </w:p>
          <w:p w14:paraId="2ADBC451" w14:textId="77777777" w:rsidR="00357CEC" w:rsidRPr="001300A9" w:rsidRDefault="00357CEC" w:rsidP="00357CEC">
            <w:pPr>
              <w:pStyle w:val="Default"/>
              <w:rPr>
                <w:sz w:val="22"/>
                <w:szCs w:val="22"/>
              </w:rPr>
            </w:pPr>
            <w:r w:rsidRPr="001300A9">
              <w:rPr>
                <w:sz w:val="22"/>
                <w:szCs w:val="22"/>
              </w:rPr>
              <w:t>Systém obchodovania s emisiami pre odvetvie budov, odvetvie cestnej dopravy a ďalšie odvetvia</w:t>
            </w:r>
          </w:p>
          <w:p w14:paraId="4C07287F" w14:textId="77777777" w:rsidR="00357CEC" w:rsidRPr="001300A9" w:rsidRDefault="00357CEC" w:rsidP="00357CEC">
            <w:pPr>
              <w:pStyle w:val="Default"/>
              <w:rPr>
                <w:sz w:val="22"/>
                <w:szCs w:val="22"/>
              </w:rPr>
            </w:pPr>
          </w:p>
          <w:p w14:paraId="49A97E81" w14:textId="77777777" w:rsidR="00357CEC" w:rsidRPr="001300A9" w:rsidRDefault="00357CEC" w:rsidP="00357CEC">
            <w:pPr>
              <w:pStyle w:val="Default"/>
              <w:rPr>
                <w:i/>
                <w:sz w:val="22"/>
                <w:szCs w:val="22"/>
              </w:rPr>
            </w:pPr>
            <w:r w:rsidRPr="001300A9">
              <w:rPr>
                <w:i/>
                <w:sz w:val="22"/>
                <w:szCs w:val="22"/>
              </w:rPr>
              <w:t>Článok 30a</w:t>
            </w:r>
          </w:p>
          <w:p w14:paraId="06670A10" w14:textId="77777777" w:rsidR="00357CEC" w:rsidRPr="001300A9" w:rsidRDefault="00357CEC" w:rsidP="00357CEC">
            <w:pPr>
              <w:pStyle w:val="Default"/>
              <w:rPr>
                <w:i/>
                <w:sz w:val="22"/>
                <w:szCs w:val="22"/>
              </w:rPr>
            </w:pPr>
            <w:r w:rsidRPr="001300A9">
              <w:rPr>
                <w:i/>
                <w:sz w:val="22"/>
                <w:szCs w:val="22"/>
              </w:rPr>
              <w:t>Rozsah pôsobnosti</w:t>
            </w:r>
          </w:p>
          <w:p w14:paraId="39F9AA35" w14:textId="77777777" w:rsidR="00357CEC" w:rsidRPr="001300A9" w:rsidRDefault="00357CEC" w:rsidP="00357CEC">
            <w:pPr>
              <w:pStyle w:val="Default"/>
              <w:rPr>
                <w:sz w:val="22"/>
                <w:szCs w:val="22"/>
              </w:rPr>
            </w:pPr>
            <w:r w:rsidRPr="001300A9">
              <w:rPr>
                <w:sz w:val="22"/>
                <w:szCs w:val="22"/>
              </w:rPr>
              <w:t>Ustanovenia tejto kapitoly sa vzťahujú na emisie, povolenia na emisie skleníkových plynov, vydávanie a odovzdávanie kvót, ako aj na monitorovanie, nahlasovanie a overovanie v súvislosti s činnosťami uvedenými v prílohe III. Táto kapitola sa nevzťahuje na žiadne emisie, na ktoré sa vzťahujú kapitoly II a III.</w:t>
            </w:r>
          </w:p>
          <w:p w14:paraId="3A03750B" w14:textId="77777777" w:rsidR="00357CEC" w:rsidRPr="001300A9" w:rsidRDefault="00357CEC" w:rsidP="00357CEC">
            <w:pPr>
              <w:pStyle w:val="Default"/>
              <w:rPr>
                <w:sz w:val="22"/>
                <w:szCs w:val="22"/>
              </w:rPr>
            </w:pPr>
          </w:p>
          <w:p w14:paraId="31ADECE8" w14:textId="77777777" w:rsidR="00357CEC" w:rsidRPr="001300A9" w:rsidRDefault="00357CEC" w:rsidP="00357CEC">
            <w:pPr>
              <w:pStyle w:val="Default"/>
              <w:rPr>
                <w:i/>
                <w:sz w:val="22"/>
                <w:szCs w:val="22"/>
              </w:rPr>
            </w:pPr>
            <w:r w:rsidRPr="001300A9">
              <w:rPr>
                <w:i/>
                <w:sz w:val="22"/>
                <w:szCs w:val="22"/>
              </w:rPr>
              <w:t>Článok 30b</w:t>
            </w:r>
          </w:p>
          <w:p w14:paraId="786645D0" w14:textId="77777777" w:rsidR="00357CEC" w:rsidRPr="001300A9" w:rsidRDefault="00357CEC" w:rsidP="00357CEC">
            <w:pPr>
              <w:pStyle w:val="Default"/>
              <w:rPr>
                <w:i/>
                <w:sz w:val="22"/>
                <w:szCs w:val="22"/>
              </w:rPr>
            </w:pPr>
            <w:r w:rsidRPr="001300A9">
              <w:rPr>
                <w:i/>
                <w:sz w:val="22"/>
                <w:szCs w:val="22"/>
              </w:rPr>
              <w:t>Povolenia na emisie skleníkových plynov</w:t>
            </w:r>
          </w:p>
          <w:p w14:paraId="06912BFC" w14:textId="77777777" w:rsidR="00357CEC" w:rsidRPr="001300A9" w:rsidRDefault="00357CEC" w:rsidP="00357CEC">
            <w:pPr>
              <w:pStyle w:val="Default"/>
              <w:rPr>
                <w:i/>
                <w:sz w:val="22"/>
                <w:szCs w:val="22"/>
              </w:rPr>
            </w:pPr>
            <w:r w:rsidRPr="001300A9">
              <w:rPr>
                <w:sz w:val="22"/>
                <w:szCs w:val="22"/>
              </w:rPr>
              <w:t>1. Členské štáty zabezpečia, aby žiadny regulovaný subjekt od 1. januára 2025 nevykonával činnosť uvedenú v prílohe III, ak tento regulovaný subjekt nie je držiteľom povolenia vydaného príslušným orgánom v súlade s odsekmi 2 a 3.</w:t>
            </w:r>
          </w:p>
          <w:p w14:paraId="0A5119EC" w14:textId="77777777" w:rsidR="00357CEC" w:rsidRPr="001300A9" w:rsidRDefault="00357CEC" w:rsidP="00357CEC">
            <w:pPr>
              <w:pStyle w:val="Default"/>
              <w:ind w:left="170"/>
              <w:rPr>
                <w:i/>
                <w:sz w:val="22"/>
                <w:szCs w:val="22"/>
              </w:rPr>
            </w:pPr>
          </w:p>
          <w:p w14:paraId="645C2F20" w14:textId="77777777" w:rsidR="00357CEC" w:rsidRPr="001300A9" w:rsidRDefault="00357CEC" w:rsidP="00357CEC">
            <w:pPr>
              <w:pStyle w:val="Default"/>
              <w:rPr>
                <w:i/>
                <w:sz w:val="22"/>
                <w:szCs w:val="22"/>
              </w:rPr>
            </w:pPr>
            <w:r w:rsidRPr="001300A9">
              <w:rPr>
                <w:sz w:val="22"/>
                <w:szCs w:val="22"/>
              </w:rPr>
              <w:t>2. Žiadosť o povolenie na emisie skleníkových plynov podľa tejto kapitoly, ktorú regulovaný subjekt predložil príslušnému orgánu podľa odseku 1, musí obsahovať aspoň opis:</w:t>
            </w:r>
          </w:p>
          <w:p w14:paraId="3F88C7E6" w14:textId="77777777" w:rsidR="00357CEC" w:rsidRPr="001300A9" w:rsidRDefault="00357CEC" w:rsidP="00357CEC">
            <w:pPr>
              <w:pStyle w:val="Default"/>
              <w:rPr>
                <w:sz w:val="22"/>
                <w:szCs w:val="22"/>
              </w:rPr>
            </w:pPr>
            <w:r w:rsidRPr="001300A9">
              <w:rPr>
                <w:sz w:val="22"/>
                <w:szCs w:val="22"/>
              </w:rPr>
              <w:t>a) regulovaného subjektu;</w:t>
            </w:r>
          </w:p>
          <w:p w14:paraId="7D69A442" w14:textId="77777777" w:rsidR="00357CEC" w:rsidRPr="001300A9" w:rsidRDefault="00357CEC" w:rsidP="00357CEC">
            <w:pPr>
              <w:pStyle w:val="Default"/>
              <w:rPr>
                <w:sz w:val="22"/>
                <w:szCs w:val="22"/>
              </w:rPr>
            </w:pPr>
            <w:r w:rsidRPr="001300A9">
              <w:rPr>
                <w:sz w:val="22"/>
                <w:szCs w:val="22"/>
              </w:rPr>
              <w:t>b) druhov palív, ktoré daný subjekt uvádza do daňového voľného obehu a ktoré sa využívajú na účely spaľovania v odvetviach uvedených v prílohe III, ako aj opis prostriedkov, ktoré tento subjekt využíva pri uvádzaní daných palív do daňového voľného obehu;</w:t>
            </w:r>
          </w:p>
          <w:p w14:paraId="58CF72C8" w14:textId="77777777" w:rsidR="00357CEC" w:rsidRPr="001300A9" w:rsidRDefault="00357CEC" w:rsidP="00357CEC">
            <w:pPr>
              <w:pStyle w:val="Default"/>
              <w:rPr>
                <w:sz w:val="22"/>
                <w:szCs w:val="22"/>
              </w:rPr>
            </w:pPr>
            <w:r w:rsidRPr="001300A9">
              <w:rPr>
                <w:sz w:val="22"/>
                <w:szCs w:val="22"/>
              </w:rPr>
              <w:t>c) konečného použitia alebo konečných použití palív uvedených do daňového voľného obehu v prípade činnosti uvedenej v prílohe III;</w:t>
            </w:r>
          </w:p>
          <w:p w14:paraId="297357C5" w14:textId="77777777" w:rsidR="00357CEC" w:rsidRPr="001300A9" w:rsidRDefault="00357CEC" w:rsidP="00357CEC">
            <w:pPr>
              <w:pStyle w:val="Default"/>
              <w:rPr>
                <w:sz w:val="22"/>
                <w:szCs w:val="22"/>
              </w:rPr>
            </w:pPr>
            <w:r w:rsidRPr="001300A9">
              <w:rPr>
                <w:sz w:val="22"/>
                <w:szCs w:val="22"/>
              </w:rPr>
              <w:t>d) opatrení plánovaných na účely monitorovania a nahlasovania emisií v súlade s vykonávacími aktmi uvedenými v článkoch 14 a 30f;</w:t>
            </w:r>
          </w:p>
          <w:p w14:paraId="48FAF6BC" w14:textId="77777777" w:rsidR="00357CEC" w:rsidRPr="001300A9" w:rsidRDefault="00357CEC" w:rsidP="00357CEC">
            <w:pPr>
              <w:pStyle w:val="Default"/>
              <w:rPr>
                <w:sz w:val="22"/>
                <w:szCs w:val="22"/>
              </w:rPr>
            </w:pPr>
            <w:r w:rsidRPr="001300A9">
              <w:rPr>
                <w:sz w:val="22"/>
                <w:szCs w:val="22"/>
              </w:rPr>
              <w:t>e) netechnického zhrnutia informácií uvedených v písmenách a) až d) tohto odseku.</w:t>
            </w:r>
          </w:p>
          <w:p w14:paraId="5ED85FCA" w14:textId="77777777" w:rsidR="00357CEC" w:rsidRPr="001300A9" w:rsidRDefault="00357CEC" w:rsidP="00357CEC">
            <w:pPr>
              <w:pStyle w:val="Default"/>
              <w:rPr>
                <w:sz w:val="22"/>
                <w:szCs w:val="22"/>
              </w:rPr>
            </w:pPr>
          </w:p>
          <w:p w14:paraId="5C4E48C4" w14:textId="77777777" w:rsidR="00A66FDC" w:rsidRPr="001300A9" w:rsidRDefault="00A66FDC" w:rsidP="00357CEC">
            <w:pPr>
              <w:pStyle w:val="Default"/>
              <w:rPr>
                <w:sz w:val="22"/>
                <w:szCs w:val="22"/>
              </w:rPr>
            </w:pPr>
          </w:p>
          <w:p w14:paraId="3F229F00" w14:textId="2C63FDFF" w:rsidR="00A66FDC" w:rsidRPr="001300A9" w:rsidRDefault="00A66FDC" w:rsidP="00357CEC">
            <w:pPr>
              <w:pStyle w:val="Default"/>
              <w:rPr>
                <w:sz w:val="22"/>
                <w:szCs w:val="22"/>
              </w:rPr>
            </w:pPr>
          </w:p>
          <w:p w14:paraId="1638BCF7" w14:textId="4570DB84" w:rsidR="00A66FDC" w:rsidRPr="001300A9" w:rsidRDefault="00A66FDC" w:rsidP="00357CEC">
            <w:pPr>
              <w:pStyle w:val="Default"/>
              <w:rPr>
                <w:sz w:val="22"/>
                <w:szCs w:val="22"/>
              </w:rPr>
            </w:pPr>
          </w:p>
          <w:p w14:paraId="45CD8956" w14:textId="77777777" w:rsidR="009D0AA1" w:rsidRDefault="009D0AA1" w:rsidP="00357CEC">
            <w:pPr>
              <w:pStyle w:val="Default"/>
              <w:rPr>
                <w:sz w:val="22"/>
                <w:szCs w:val="22"/>
              </w:rPr>
            </w:pPr>
          </w:p>
          <w:p w14:paraId="0B3097F5" w14:textId="77777777" w:rsidR="009D0AA1" w:rsidRDefault="009D0AA1" w:rsidP="00357CEC">
            <w:pPr>
              <w:pStyle w:val="Default"/>
              <w:rPr>
                <w:sz w:val="22"/>
                <w:szCs w:val="22"/>
              </w:rPr>
            </w:pPr>
          </w:p>
          <w:p w14:paraId="2DDFABE4" w14:textId="791A90C4" w:rsidR="00357CEC" w:rsidRPr="001300A9" w:rsidRDefault="00357CEC" w:rsidP="00357CEC">
            <w:pPr>
              <w:pStyle w:val="Default"/>
              <w:rPr>
                <w:sz w:val="22"/>
                <w:szCs w:val="22"/>
              </w:rPr>
            </w:pPr>
            <w:r w:rsidRPr="001300A9">
              <w:rPr>
                <w:sz w:val="22"/>
                <w:szCs w:val="22"/>
              </w:rPr>
              <w:t>3. Príslušný orgán vydá povolenie na emisie skleníkových plynov, ktorým regulovanému subjektu uvedenému v odseku 1 udelí povolenie na činnosť uvedenú v prílohe III, ak sa presvedčí o tom, že daný subjekt je schopný monitorovať a nahlasovať emisie zodpovedajúce množstvám palív uvedených do daňového voľného obehu podľa prílohy III.</w:t>
            </w:r>
          </w:p>
          <w:p w14:paraId="7B275198" w14:textId="3F073162" w:rsidR="00D82E61" w:rsidRPr="001300A9" w:rsidRDefault="00D82E61" w:rsidP="00357CEC">
            <w:pPr>
              <w:pStyle w:val="Default"/>
              <w:rPr>
                <w:sz w:val="22"/>
                <w:szCs w:val="22"/>
              </w:rPr>
            </w:pPr>
          </w:p>
          <w:p w14:paraId="2C315C86" w14:textId="2543A20B" w:rsidR="00357CEC" w:rsidRPr="001300A9" w:rsidRDefault="00357CEC" w:rsidP="00357CEC">
            <w:pPr>
              <w:pStyle w:val="Default"/>
              <w:rPr>
                <w:sz w:val="22"/>
                <w:szCs w:val="22"/>
              </w:rPr>
            </w:pPr>
            <w:r w:rsidRPr="001300A9">
              <w:rPr>
                <w:sz w:val="22"/>
                <w:szCs w:val="22"/>
              </w:rPr>
              <w:t>4. Povolenia na emisie skleníkových plynov musia obsahovať aspoň:</w:t>
            </w:r>
          </w:p>
          <w:p w14:paraId="7CB75904" w14:textId="77777777" w:rsidR="00357CEC" w:rsidRPr="001300A9" w:rsidRDefault="00357CEC" w:rsidP="00357CEC">
            <w:pPr>
              <w:pStyle w:val="Default"/>
              <w:rPr>
                <w:sz w:val="22"/>
                <w:szCs w:val="22"/>
              </w:rPr>
            </w:pPr>
            <w:r w:rsidRPr="001300A9">
              <w:rPr>
                <w:sz w:val="22"/>
                <w:szCs w:val="22"/>
              </w:rPr>
              <w:t>a) názov a adresu regulovaného subjektu;</w:t>
            </w:r>
          </w:p>
          <w:p w14:paraId="20DEF494" w14:textId="77777777" w:rsidR="00357CEC" w:rsidRPr="001300A9" w:rsidRDefault="00357CEC" w:rsidP="00357CEC">
            <w:pPr>
              <w:pStyle w:val="Default"/>
              <w:rPr>
                <w:sz w:val="22"/>
                <w:szCs w:val="22"/>
              </w:rPr>
            </w:pPr>
            <w:r w:rsidRPr="001300A9">
              <w:rPr>
                <w:sz w:val="22"/>
                <w:szCs w:val="22"/>
              </w:rPr>
              <w:t>b) opis prostriedkov, ktoré regulovaný subjekt využíva pri uvádzaní palív do daňového voľného obehu v odvetviach, na ktoré sa vzťahuje táto kapitola;</w:t>
            </w:r>
          </w:p>
          <w:p w14:paraId="24598AA3" w14:textId="77777777" w:rsidR="00357CEC" w:rsidRPr="001300A9" w:rsidRDefault="00357CEC" w:rsidP="00357CEC">
            <w:pPr>
              <w:pStyle w:val="Default"/>
              <w:rPr>
                <w:sz w:val="22"/>
                <w:szCs w:val="22"/>
              </w:rPr>
            </w:pPr>
            <w:r w:rsidRPr="001300A9">
              <w:rPr>
                <w:sz w:val="22"/>
                <w:szCs w:val="22"/>
              </w:rPr>
              <w:t>c) zoznam palív, ktoré regulovaný subjekt uvádza do daňového voľného obehu v odvetviach, na ktoré sa vzťahuje táto kapitola;</w:t>
            </w:r>
          </w:p>
          <w:p w14:paraId="1A2863E3" w14:textId="77777777" w:rsidR="00357CEC" w:rsidRPr="001300A9" w:rsidRDefault="00357CEC" w:rsidP="00357CEC">
            <w:pPr>
              <w:pStyle w:val="Default"/>
              <w:rPr>
                <w:sz w:val="22"/>
                <w:szCs w:val="22"/>
              </w:rPr>
            </w:pPr>
            <w:r w:rsidRPr="001300A9">
              <w:rPr>
                <w:sz w:val="22"/>
                <w:szCs w:val="22"/>
              </w:rPr>
              <w:t>d) plán monitorovania, ktorý spĺňa požiadavky stanovené vo vykonávacích aktoch uvedených v článku 14;</w:t>
            </w:r>
          </w:p>
          <w:p w14:paraId="1A8CB8AF" w14:textId="77777777" w:rsidR="00357CEC" w:rsidRPr="001300A9" w:rsidRDefault="00357CEC" w:rsidP="00357CEC">
            <w:pPr>
              <w:pStyle w:val="Default"/>
              <w:rPr>
                <w:sz w:val="22"/>
                <w:szCs w:val="22"/>
              </w:rPr>
            </w:pPr>
            <w:r w:rsidRPr="001300A9">
              <w:rPr>
                <w:sz w:val="22"/>
                <w:szCs w:val="22"/>
              </w:rPr>
              <w:t>e) požiadavky týkajúce sa nahlasovania stanovené vo vykonávacích aktoch uvedených v článku 14;</w:t>
            </w:r>
          </w:p>
          <w:p w14:paraId="2395D46A" w14:textId="77777777" w:rsidR="00357CEC" w:rsidRPr="001300A9" w:rsidRDefault="00357CEC" w:rsidP="00357CEC">
            <w:pPr>
              <w:pStyle w:val="Default"/>
              <w:rPr>
                <w:sz w:val="22"/>
                <w:szCs w:val="22"/>
              </w:rPr>
            </w:pPr>
            <w:r w:rsidRPr="001300A9">
              <w:rPr>
                <w:sz w:val="22"/>
                <w:szCs w:val="22"/>
              </w:rPr>
              <w:t>f) záväzok odovzdať kvóty vydané podľa tejto kapitoly v množstve rovnajúcom sa celkovým emisiám v každom kalendárnom roku, ktoré sa overili v súlade s článkom 15, v lehote stanovenej v článku 30e ods. 2.</w:t>
            </w:r>
          </w:p>
          <w:p w14:paraId="46029AE2" w14:textId="4E4501BB" w:rsidR="00357CEC" w:rsidRPr="001300A9" w:rsidRDefault="00357CEC" w:rsidP="00357CEC">
            <w:pPr>
              <w:pStyle w:val="Default"/>
              <w:rPr>
                <w:sz w:val="22"/>
                <w:szCs w:val="22"/>
              </w:rPr>
            </w:pPr>
          </w:p>
          <w:p w14:paraId="688420BC" w14:textId="58127CEE" w:rsidR="0082715B" w:rsidRDefault="0082715B" w:rsidP="00357CEC">
            <w:pPr>
              <w:pStyle w:val="Default"/>
              <w:rPr>
                <w:sz w:val="22"/>
                <w:szCs w:val="22"/>
              </w:rPr>
            </w:pPr>
          </w:p>
          <w:p w14:paraId="584F8B81" w14:textId="7EA7B3EB" w:rsidR="009D0AA1" w:rsidRDefault="009D0AA1" w:rsidP="00357CEC">
            <w:pPr>
              <w:pStyle w:val="Default"/>
              <w:rPr>
                <w:sz w:val="22"/>
                <w:szCs w:val="22"/>
              </w:rPr>
            </w:pPr>
          </w:p>
          <w:p w14:paraId="02AE3955" w14:textId="77777777" w:rsidR="009D0AA1" w:rsidRPr="001300A9" w:rsidRDefault="009D0AA1" w:rsidP="00357CEC">
            <w:pPr>
              <w:pStyle w:val="Default"/>
              <w:rPr>
                <w:sz w:val="22"/>
                <w:szCs w:val="22"/>
              </w:rPr>
            </w:pPr>
          </w:p>
          <w:p w14:paraId="33DF766C" w14:textId="321764EF" w:rsidR="00357CEC" w:rsidRDefault="00357CEC" w:rsidP="00287825">
            <w:pPr>
              <w:pStyle w:val="Default"/>
              <w:rPr>
                <w:sz w:val="22"/>
                <w:szCs w:val="22"/>
              </w:rPr>
            </w:pPr>
            <w:r w:rsidRPr="0090089A">
              <w:rPr>
                <w:sz w:val="22"/>
                <w:szCs w:val="22"/>
              </w:rPr>
              <w:t>5. Členské štáty môžu regulovaným subjektom umožniť aktualizovať plány monitorovania bez zmeny povolenia. Regulované subjekty musia príslušnému orgánu predkladať na schválenie všetky aktualizované plány monitorovania.</w:t>
            </w:r>
          </w:p>
          <w:p w14:paraId="4687F2F9" w14:textId="77777777" w:rsidR="00287825" w:rsidRPr="001300A9" w:rsidRDefault="00287825" w:rsidP="00287825">
            <w:pPr>
              <w:pStyle w:val="Default"/>
              <w:rPr>
                <w:sz w:val="22"/>
                <w:szCs w:val="22"/>
              </w:rPr>
            </w:pPr>
          </w:p>
          <w:p w14:paraId="1ECEE008" w14:textId="77777777" w:rsidR="00357CEC" w:rsidRPr="001300A9" w:rsidRDefault="00357CEC" w:rsidP="00357CEC">
            <w:pPr>
              <w:pStyle w:val="Default"/>
              <w:rPr>
                <w:sz w:val="22"/>
                <w:szCs w:val="22"/>
              </w:rPr>
            </w:pPr>
            <w:r w:rsidRPr="001300A9">
              <w:rPr>
                <w:sz w:val="22"/>
                <w:szCs w:val="22"/>
              </w:rPr>
              <w:t>6.  Regulovaný subjekt informuje príslušný orgán o všetkých plánovaných zmenách povahy svojej činnosti alebo o zmenách týkajúcich sa palív uvádzaných týmto subjektom do daňového voľného obehu, ktoré si môžu vyžadovať aktualizáciu povolenia na emisie skleníkových plynov. Vo vhodných prípadoch príslušný orgán aktualizuje povolenie v súlade s vykonávacími aktmi uvedenými v článku 14. Ak dôjde k zmene identity regulovaného subjektu, na ktorý sa vzťahuje táto kapitola, príslušný orgán dané povolenie aktualizuje s cieľom doplniť doň názov a adresu nového regulovaného subjektu.</w:t>
            </w:r>
          </w:p>
          <w:p w14:paraId="017561BC" w14:textId="77777777" w:rsidR="00357CEC" w:rsidRPr="001300A9" w:rsidRDefault="00357CEC" w:rsidP="00357CEC">
            <w:pPr>
              <w:pStyle w:val="Default"/>
              <w:rPr>
                <w:color w:val="auto"/>
                <w:sz w:val="22"/>
                <w:szCs w:val="22"/>
              </w:rPr>
            </w:pPr>
          </w:p>
          <w:p w14:paraId="5927F8AD" w14:textId="77777777" w:rsidR="00E7409F" w:rsidRPr="001300A9" w:rsidRDefault="00E7409F" w:rsidP="00357CEC">
            <w:pPr>
              <w:pStyle w:val="Default"/>
              <w:rPr>
                <w:i/>
                <w:sz w:val="22"/>
                <w:szCs w:val="22"/>
              </w:rPr>
            </w:pPr>
          </w:p>
          <w:p w14:paraId="449F11A9" w14:textId="77777777" w:rsidR="00E7409F" w:rsidRPr="001300A9" w:rsidRDefault="00E7409F" w:rsidP="00357CEC">
            <w:pPr>
              <w:pStyle w:val="Default"/>
              <w:rPr>
                <w:i/>
                <w:sz w:val="22"/>
                <w:szCs w:val="22"/>
              </w:rPr>
            </w:pPr>
          </w:p>
          <w:p w14:paraId="22587E5E" w14:textId="77777777" w:rsidR="00E7409F" w:rsidRPr="001300A9" w:rsidRDefault="00E7409F" w:rsidP="00357CEC">
            <w:pPr>
              <w:pStyle w:val="Default"/>
              <w:rPr>
                <w:i/>
                <w:sz w:val="22"/>
                <w:szCs w:val="22"/>
              </w:rPr>
            </w:pPr>
          </w:p>
          <w:p w14:paraId="3E9263A4" w14:textId="77777777" w:rsidR="00E7409F" w:rsidRPr="001300A9" w:rsidRDefault="00E7409F" w:rsidP="00357CEC">
            <w:pPr>
              <w:pStyle w:val="Default"/>
              <w:rPr>
                <w:i/>
                <w:sz w:val="22"/>
                <w:szCs w:val="22"/>
              </w:rPr>
            </w:pPr>
          </w:p>
          <w:p w14:paraId="13A2D44F" w14:textId="77777777" w:rsidR="00E7409F" w:rsidRPr="001300A9" w:rsidRDefault="00E7409F" w:rsidP="00357CEC">
            <w:pPr>
              <w:pStyle w:val="Default"/>
              <w:rPr>
                <w:i/>
                <w:sz w:val="22"/>
                <w:szCs w:val="22"/>
              </w:rPr>
            </w:pPr>
          </w:p>
          <w:p w14:paraId="66E14E7B" w14:textId="77777777" w:rsidR="00E7409F" w:rsidRPr="001300A9" w:rsidRDefault="00E7409F" w:rsidP="00357CEC">
            <w:pPr>
              <w:pStyle w:val="Default"/>
              <w:rPr>
                <w:i/>
                <w:sz w:val="22"/>
                <w:szCs w:val="22"/>
              </w:rPr>
            </w:pPr>
          </w:p>
          <w:p w14:paraId="6C2E2F61" w14:textId="77777777" w:rsidR="00E7409F" w:rsidRPr="001300A9" w:rsidRDefault="00E7409F" w:rsidP="00357CEC">
            <w:pPr>
              <w:pStyle w:val="Default"/>
              <w:rPr>
                <w:i/>
                <w:sz w:val="22"/>
                <w:szCs w:val="22"/>
              </w:rPr>
            </w:pPr>
          </w:p>
          <w:p w14:paraId="2402F175" w14:textId="77777777" w:rsidR="00E7409F" w:rsidRPr="001300A9" w:rsidRDefault="00E7409F" w:rsidP="00357CEC">
            <w:pPr>
              <w:pStyle w:val="Default"/>
              <w:rPr>
                <w:i/>
                <w:sz w:val="22"/>
                <w:szCs w:val="22"/>
              </w:rPr>
            </w:pPr>
          </w:p>
          <w:p w14:paraId="3362B466" w14:textId="77777777" w:rsidR="00E7409F" w:rsidRPr="001300A9" w:rsidRDefault="00E7409F" w:rsidP="00357CEC">
            <w:pPr>
              <w:pStyle w:val="Default"/>
              <w:rPr>
                <w:i/>
                <w:sz w:val="22"/>
                <w:szCs w:val="22"/>
              </w:rPr>
            </w:pPr>
          </w:p>
          <w:p w14:paraId="2489345B" w14:textId="77777777" w:rsidR="00E7409F" w:rsidRPr="001300A9" w:rsidRDefault="00E7409F" w:rsidP="00357CEC">
            <w:pPr>
              <w:pStyle w:val="Default"/>
              <w:rPr>
                <w:i/>
                <w:sz w:val="22"/>
                <w:szCs w:val="22"/>
              </w:rPr>
            </w:pPr>
          </w:p>
          <w:p w14:paraId="28B33078" w14:textId="77777777" w:rsidR="00E7409F" w:rsidRPr="001300A9" w:rsidRDefault="00E7409F" w:rsidP="00357CEC">
            <w:pPr>
              <w:pStyle w:val="Default"/>
              <w:rPr>
                <w:i/>
                <w:sz w:val="22"/>
                <w:szCs w:val="22"/>
              </w:rPr>
            </w:pPr>
          </w:p>
          <w:p w14:paraId="181544BD" w14:textId="77777777" w:rsidR="00E7409F" w:rsidRPr="001300A9" w:rsidRDefault="00E7409F" w:rsidP="00357CEC">
            <w:pPr>
              <w:pStyle w:val="Default"/>
              <w:rPr>
                <w:i/>
                <w:sz w:val="22"/>
                <w:szCs w:val="22"/>
              </w:rPr>
            </w:pPr>
          </w:p>
          <w:p w14:paraId="6C35EF2C" w14:textId="77777777" w:rsidR="00E7409F" w:rsidRPr="001300A9" w:rsidRDefault="00E7409F" w:rsidP="00357CEC">
            <w:pPr>
              <w:pStyle w:val="Default"/>
              <w:rPr>
                <w:i/>
                <w:sz w:val="22"/>
                <w:szCs w:val="22"/>
              </w:rPr>
            </w:pPr>
          </w:p>
          <w:p w14:paraId="6F635D94" w14:textId="77777777" w:rsidR="00E7409F" w:rsidRPr="001300A9" w:rsidRDefault="00E7409F" w:rsidP="00357CEC">
            <w:pPr>
              <w:pStyle w:val="Default"/>
              <w:rPr>
                <w:i/>
                <w:sz w:val="22"/>
                <w:szCs w:val="22"/>
              </w:rPr>
            </w:pPr>
          </w:p>
          <w:p w14:paraId="639956BC" w14:textId="77777777" w:rsidR="00E7409F" w:rsidRPr="001300A9" w:rsidRDefault="00E7409F" w:rsidP="00357CEC">
            <w:pPr>
              <w:pStyle w:val="Default"/>
              <w:rPr>
                <w:i/>
                <w:sz w:val="22"/>
                <w:szCs w:val="22"/>
              </w:rPr>
            </w:pPr>
          </w:p>
          <w:p w14:paraId="2526BD34" w14:textId="77777777" w:rsidR="00E7409F" w:rsidRPr="001300A9" w:rsidRDefault="00E7409F" w:rsidP="00357CEC">
            <w:pPr>
              <w:pStyle w:val="Default"/>
              <w:rPr>
                <w:i/>
                <w:sz w:val="22"/>
                <w:szCs w:val="22"/>
              </w:rPr>
            </w:pPr>
          </w:p>
          <w:p w14:paraId="46BAD5B9" w14:textId="77777777" w:rsidR="00E7409F" w:rsidRPr="001300A9" w:rsidRDefault="00E7409F" w:rsidP="00357CEC">
            <w:pPr>
              <w:pStyle w:val="Default"/>
              <w:rPr>
                <w:i/>
                <w:sz w:val="22"/>
                <w:szCs w:val="22"/>
              </w:rPr>
            </w:pPr>
          </w:p>
          <w:p w14:paraId="6084EE0F" w14:textId="77777777" w:rsidR="00E7409F" w:rsidRPr="001300A9" w:rsidRDefault="00E7409F" w:rsidP="00357CEC">
            <w:pPr>
              <w:pStyle w:val="Default"/>
              <w:rPr>
                <w:i/>
                <w:sz w:val="22"/>
                <w:szCs w:val="22"/>
              </w:rPr>
            </w:pPr>
          </w:p>
          <w:p w14:paraId="2B3F3CFB" w14:textId="77777777" w:rsidR="00E7409F" w:rsidRPr="001300A9" w:rsidRDefault="00E7409F" w:rsidP="00357CEC">
            <w:pPr>
              <w:pStyle w:val="Default"/>
              <w:rPr>
                <w:i/>
                <w:sz w:val="22"/>
                <w:szCs w:val="22"/>
              </w:rPr>
            </w:pPr>
          </w:p>
          <w:p w14:paraId="5D3965D0" w14:textId="77777777" w:rsidR="00E7409F" w:rsidRPr="001300A9" w:rsidRDefault="00E7409F" w:rsidP="00357CEC">
            <w:pPr>
              <w:pStyle w:val="Default"/>
              <w:rPr>
                <w:i/>
                <w:sz w:val="22"/>
                <w:szCs w:val="22"/>
              </w:rPr>
            </w:pPr>
          </w:p>
          <w:p w14:paraId="0F65DEFF" w14:textId="77777777" w:rsidR="00287825" w:rsidRDefault="00287825" w:rsidP="00357CEC">
            <w:pPr>
              <w:pStyle w:val="Default"/>
              <w:rPr>
                <w:i/>
                <w:sz w:val="22"/>
                <w:szCs w:val="22"/>
              </w:rPr>
            </w:pPr>
          </w:p>
          <w:p w14:paraId="7C77B450" w14:textId="77777777" w:rsidR="00287825" w:rsidRDefault="00287825" w:rsidP="00357CEC">
            <w:pPr>
              <w:pStyle w:val="Default"/>
              <w:rPr>
                <w:i/>
                <w:sz w:val="22"/>
                <w:szCs w:val="22"/>
              </w:rPr>
            </w:pPr>
          </w:p>
          <w:p w14:paraId="0F332013" w14:textId="5228A611" w:rsidR="00357CEC" w:rsidRPr="001300A9" w:rsidRDefault="00357CEC" w:rsidP="00357CEC">
            <w:pPr>
              <w:pStyle w:val="Default"/>
              <w:rPr>
                <w:i/>
                <w:sz w:val="22"/>
                <w:szCs w:val="22"/>
              </w:rPr>
            </w:pPr>
            <w:r w:rsidRPr="001300A9">
              <w:rPr>
                <w:i/>
                <w:sz w:val="22"/>
                <w:szCs w:val="22"/>
              </w:rPr>
              <w:t>Článok 30c</w:t>
            </w:r>
          </w:p>
          <w:p w14:paraId="376223EA" w14:textId="77777777" w:rsidR="00357CEC" w:rsidRPr="001300A9" w:rsidRDefault="00357CEC" w:rsidP="00357CEC">
            <w:pPr>
              <w:pStyle w:val="Default"/>
              <w:rPr>
                <w:i/>
                <w:sz w:val="22"/>
                <w:szCs w:val="22"/>
              </w:rPr>
            </w:pPr>
            <w:proofErr w:type="spellStart"/>
            <w:r w:rsidRPr="001300A9">
              <w:rPr>
                <w:i/>
                <w:sz w:val="22"/>
                <w:szCs w:val="22"/>
              </w:rPr>
              <w:t>Celoúnijné</w:t>
            </w:r>
            <w:proofErr w:type="spellEnd"/>
            <w:r w:rsidRPr="001300A9">
              <w:rPr>
                <w:i/>
                <w:sz w:val="22"/>
                <w:szCs w:val="22"/>
              </w:rPr>
              <w:t xml:space="preserve"> množstvo kvót</w:t>
            </w:r>
          </w:p>
          <w:p w14:paraId="4B089106" w14:textId="77777777" w:rsidR="00357CEC" w:rsidRPr="001300A9" w:rsidRDefault="00357CEC" w:rsidP="00357CEC">
            <w:pPr>
              <w:pStyle w:val="Default"/>
              <w:rPr>
                <w:sz w:val="22"/>
                <w:szCs w:val="22"/>
              </w:rPr>
            </w:pPr>
            <w:r w:rsidRPr="001300A9">
              <w:rPr>
                <w:sz w:val="22"/>
                <w:szCs w:val="22"/>
              </w:rPr>
              <w:t xml:space="preserve">1. </w:t>
            </w:r>
            <w:proofErr w:type="spellStart"/>
            <w:r w:rsidRPr="001300A9">
              <w:rPr>
                <w:sz w:val="22"/>
                <w:szCs w:val="22"/>
              </w:rPr>
              <w:t>Celoúnijné</w:t>
            </w:r>
            <w:proofErr w:type="spellEnd"/>
            <w:r w:rsidRPr="001300A9">
              <w:rPr>
                <w:sz w:val="22"/>
                <w:szCs w:val="22"/>
              </w:rPr>
              <w:t xml:space="preserve"> množstvo kvót, ktoré sa od roku 2027 každoročne vydávajú podľa tejto kapitoly, začne lineárne klesať počnúc rokom 2024. Hodnota na rok 2024 sa vymedzuje ako emisné limity na rok 2024 vypočítané na základe referenčných emisií podľa článku 4 ods. 2 nariadenia Európskeho parlamentu a Rady (EÚ) 2018/842* v prípade odvetví, na ktoré sa vzťahuje táto kapitola, pričom sa v prípade všetkých emisií v rozsahu pôsobnosti uvedeného nariadenia uplatňuje lineárna trajektória znižovania. Dané množstvo sa po roku 2024 každoročne zníži o lineárny redukčný koeficient vo výške 5,10 %. Do 1. januára 2025 Komisia zverejní </w:t>
            </w:r>
            <w:proofErr w:type="spellStart"/>
            <w:r w:rsidRPr="001300A9">
              <w:rPr>
                <w:sz w:val="22"/>
                <w:szCs w:val="22"/>
              </w:rPr>
              <w:t>celoúnijné</w:t>
            </w:r>
            <w:proofErr w:type="spellEnd"/>
            <w:r w:rsidRPr="001300A9">
              <w:rPr>
                <w:sz w:val="22"/>
                <w:szCs w:val="22"/>
              </w:rPr>
              <w:t xml:space="preserve"> množstvo kvót na rok 2027.</w:t>
            </w:r>
          </w:p>
          <w:p w14:paraId="22B08094" w14:textId="77777777" w:rsidR="00357CEC" w:rsidRPr="001300A9" w:rsidRDefault="00357CEC" w:rsidP="00357CEC">
            <w:pPr>
              <w:pStyle w:val="Default"/>
              <w:rPr>
                <w:sz w:val="22"/>
                <w:szCs w:val="22"/>
              </w:rPr>
            </w:pPr>
          </w:p>
          <w:p w14:paraId="684168BB" w14:textId="77777777" w:rsidR="00357CEC" w:rsidRPr="001300A9" w:rsidRDefault="00357CEC" w:rsidP="00357CEC">
            <w:pPr>
              <w:pStyle w:val="Default"/>
              <w:rPr>
                <w:sz w:val="22"/>
                <w:szCs w:val="22"/>
              </w:rPr>
            </w:pPr>
            <w:r w:rsidRPr="001300A9">
              <w:rPr>
                <w:sz w:val="22"/>
                <w:szCs w:val="22"/>
              </w:rPr>
              <w:t xml:space="preserve">2. </w:t>
            </w:r>
            <w:proofErr w:type="spellStart"/>
            <w:r w:rsidRPr="001300A9">
              <w:rPr>
                <w:sz w:val="22"/>
                <w:szCs w:val="22"/>
              </w:rPr>
              <w:t>Celoúnijné</w:t>
            </w:r>
            <w:proofErr w:type="spellEnd"/>
            <w:r w:rsidRPr="001300A9">
              <w:rPr>
                <w:sz w:val="22"/>
                <w:szCs w:val="22"/>
              </w:rPr>
              <w:t xml:space="preserve"> množstvo kvót, ktoré sa od roku 2028 každoročne vydávajú podľa tejto kapitoly, začne lineárne klesať počnúc rokom 2025 na základe priemerných emisií nahlásených podľa tejto kapitoly za roky 2024 až 2026. Dané množstvo kvót sa zníži o lineárny redukčný koeficient vo výške 5,38 % s výnimkou prípadov, keď sa uplatňujú podmienky stanovené v bode 1 prílohy </w:t>
            </w:r>
            <w:proofErr w:type="spellStart"/>
            <w:r w:rsidRPr="001300A9">
              <w:rPr>
                <w:sz w:val="22"/>
                <w:szCs w:val="22"/>
              </w:rPr>
              <w:t>IIIa</w:t>
            </w:r>
            <w:proofErr w:type="spellEnd"/>
            <w:r w:rsidRPr="001300A9">
              <w:rPr>
                <w:sz w:val="22"/>
                <w:szCs w:val="22"/>
              </w:rPr>
              <w:t xml:space="preserve">, pričom v takom prípade sa predmetné množstvo zníži o lineárny redukčný koeficient upravený v súlade s pravidlami stanovenými v bode 2 prílohy </w:t>
            </w:r>
            <w:proofErr w:type="spellStart"/>
            <w:r w:rsidRPr="001300A9">
              <w:rPr>
                <w:sz w:val="22"/>
                <w:szCs w:val="22"/>
              </w:rPr>
              <w:t>IIIa</w:t>
            </w:r>
            <w:proofErr w:type="spellEnd"/>
            <w:r w:rsidRPr="001300A9">
              <w:rPr>
                <w:sz w:val="22"/>
                <w:szCs w:val="22"/>
              </w:rPr>
              <w:t xml:space="preserve">. Do 30. júna 2027 Komisia zverejní </w:t>
            </w:r>
            <w:proofErr w:type="spellStart"/>
            <w:r w:rsidRPr="001300A9">
              <w:rPr>
                <w:sz w:val="22"/>
                <w:szCs w:val="22"/>
              </w:rPr>
              <w:t>celoúnijné</w:t>
            </w:r>
            <w:proofErr w:type="spellEnd"/>
            <w:r w:rsidRPr="001300A9">
              <w:rPr>
                <w:sz w:val="22"/>
                <w:szCs w:val="22"/>
              </w:rPr>
              <w:t xml:space="preserve"> množstvo kvót na rok 2028 a v prípade potreby aj upravený lineárny redukčný koeficient.</w:t>
            </w:r>
          </w:p>
          <w:p w14:paraId="305BCC44" w14:textId="77777777" w:rsidR="00357CEC" w:rsidRPr="001300A9" w:rsidRDefault="00357CEC" w:rsidP="00357CEC">
            <w:pPr>
              <w:pStyle w:val="Default"/>
              <w:rPr>
                <w:sz w:val="22"/>
                <w:szCs w:val="22"/>
              </w:rPr>
            </w:pPr>
          </w:p>
          <w:p w14:paraId="4CB8099F" w14:textId="77777777" w:rsidR="00357CEC" w:rsidRPr="001300A9" w:rsidRDefault="00357CEC" w:rsidP="00357CEC">
            <w:pPr>
              <w:pStyle w:val="Default"/>
              <w:rPr>
                <w:sz w:val="22"/>
                <w:szCs w:val="22"/>
              </w:rPr>
            </w:pPr>
            <w:r w:rsidRPr="001300A9">
              <w:rPr>
                <w:sz w:val="22"/>
                <w:szCs w:val="22"/>
              </w:rPr>
              <w:t xml:space="preserve">3. Množstvo kvót pre celú Úniu vydaných podľa tejto kapitoly sa upraví na každý rok od roku 2028 s cieľom kompenzovať množstvo odovzdaných kvót v prípadoch, keď nebolo možné zabrániť dvojitému započítaniu emisií alebo keď boli kvóty odovzdané v prípade emisií, na ktoré sa nevzťahuje táto kapitola, ako sa uvádza v článku 30f ods. 5. Úprava zodpovedá celkovému množstvu kvót, na ktoré sa vzťahuje táto kapitola a ktoré boli kompenzované v príslušnom roku nahlasovania podľa vykonávacích aktov uvedených v článku 30f ods. 5 druhom </w:t>
            </w:r>
            <w:proofErr w:type="spellStart"/>
            <w:r w:rsidRPr="001300A9">
              <w:rPr>
                <w:sz w:val="22"/>
                <w:szCs w:val="22"/>
              </w:rPr>
              <w:t>pododseku</w:t>
            </w:r>
            <w:proofErr w:type="spellEnd"/>
            <w:r w:rsidRPr="001300A9">
              <w:rPr>
                <w:sz w:val="22"/>
                <w:szCs w:val="22"/>
              </w:rPr>
              <w:t>.</w:t>
            </w:r>
          </w:p>
          <w:p w14:paraId="4B55E616" w14:textId="77777777" w:rsidR="00357CEC" w:rsidRPr="001300A9" w:rsidRDefault="00357CEC" w:rsidP="00357CEC">
            <w:pPr>
              <w:pStyle w:val="Default"/>
              <w:rPr>
                <w:sz w:val="22"/>
                <w:szCs w:val="22"/>
              </w:rPr>
            </w:pPr>
          </w:p>
          <w:p w14:paraId="3968C537" w14:textId="77777777" w:rsidR="00357CEC" w:rsidRPr="001300A9" w:rsidRDefault="00357CEC" w:rsidP="00357CEC">
            <w:pPr>
              <w:pStyle w:val="Default"/>
              <w:rPr>
                <w:sz w:val="22"/>
                <w:szCs w:val="22"/>
              </w:rPr>
            </w:pPr>
            <w:r w:rsidRPr="001300A9">
              <w:rPr>
                <w:sz w:val="22"/>
                <w:szCs w:val="22"/>
              </w:rPr>
              <w:t>4. Členský štát, ktorý podľa článku 30j jednostranne rozširuje činnosť uvedenú v prílohe III na odvetvia, ktoré nie sú uvedené v uvedenej prílohe, zabezpečí, aby dotknuté regulované subjekty do 30. apríla príslušného roka predložili dotknutému príslušnému orgánu riadne odôvodnenú správu v súlade s článkom 30f. Ak sú predložené údaje riadne odôvodnené, príslušný orgán to oznámi Komisii do 30. júna príslušného roka. Množstvo kvót, ktoré sa má vydať podľa odseku 1 tohto článku, sa upraví s prihliadnutím na riadne odôvodnenú správu predloženú regulovanými subjektmi.</w:t>
            </w:r>
          </w:p>
          <w:p w14:paraId="0362A60D" w14:textId="77777777" w:rsidR="00357CEC" w:rsidRPr="001300A9" w:rsidRDefault="00357CEC" w:rsidP="00357CEC">
            <w:pPr>
              <w:pStyle w:val="Default"/>
              <w:rPr>
                <w:sz w:val="22"/>
                <w:szCs w:val="22"/>
              </w:rPr>
            </w:pPr>
          </w:p>
          <w:p w14:paraId="7A88F6BE" w14:textId="77777777" w:rsidR="00357CEC" w:rsidRPr="001300A9" w:rsidRDefault="00357CEC" w:rsidP="00357CEC">
            <w:pPr>
              <w:pStyle w:val="Default"/>
              <w:rPr>
                <w:i/>
                <w:sz w:val="22"/>
                <w:szCs w:val="22"/>
              </w:rPr>
            </w:pPr>
            <w:r w:rsidRPr="001300A9">
              <w:rPr>
                <w:i/>
                <w:sz w:val="22"/>
                <w:szCs w:val="22"/>
              </w:rPr>
              <w:t>Článok 30d</w:t>
            </w:r>
          </w:p>
          <w:p w14:paraId="736ED5CD" w14:textId="77777777" w:rsidR="00357CEC" w:rsidRPr="001300A9" w:rsidRDefault="00357CEC" w:rsidP="00357CEC">
            <w:pPr>
              <w:pStyle w:val="Default"/>
              <w:rPr>
                <w:i/>
                <w:sz w:val="22"/>
                <w:szCs w:val="22"/>
              </w:rPr>
            </w:pPr>
            <w:r w:rsidRPr="001300A9">
              <w:rPr>
                <w:i/>
                <w:sz w:val="22"/>
                <w:szCs w:val="22"/>
              </w:rPr>
              <w:t>Obchodovanie s kvótami formou aukcie v prípade činnosti uvedenej v prílohe III</w:t>
            </w:r>
          </w:p>
          <w:p w14:paraId="7E0D0032" w14:textId="77777777" w:rsidR="00357CEC" w:rsidRPr="001300A9" w:rsidRDefault="00357CEC" w:rsidP="00357CEC">
            <w:pPr>
              <w:pStyle w:val="Default"/>
              <w:rPr>
                <w:sz w:val="22"/>
                <w:szCs w:val="22"/>
              </w:rPr>
            </w:pPr>
            <w:r w:rsidRPr="001300A9">
              <w:rPr>
                <w:sz w:val="22"/>
                <w:szCs w:val="22"/>
              </w:rPr>
              <w:t>1. Od roku 2027 sa s kvótami, na ktoré sa vzťahuje táto kapitola, obchoduje formou aukcie, pokiaľ nie sú umiestnené v trhovej stabilizačnej rezerve zriadenej rozhodnutím (EÚ) 2015/1814. S kvótami, na ktoré sa vzťahuje táto kapitola, sa obchoduje formou aukcie oddelene od kvót, na ktoré sa vzťahujú kapitoly II a III tejto smernice.</w:t>
            </w:r>
          </w:p>
          <w:p w14:paraId="53CD7F90" w14:textId="77777777" w:rsidR="00357CEC" w:rsidRPr="001300A9" w:rsidRDefault="00357CEC" w:rsidP="00357CEC">
            <w:pPr>
              <w:pStyle w:val="Default"/>
              <w:rPr>
                <w:sz w:val="22"/>
                <w:szCs w:val="22"/>
              </w:rPr>
            </w:pPr>
          </w:p>
          <w:p w14:paraId="0DA3ABD4" w14:textId="77777777" w:rsidR="00357CEC" w:rsidRPr="001300A9" w:rsidRDefault="00357CEC" w:rsidP="00357CEC">
            <w:pPr>
              <w:pStyle w:val="Default"/>
              <w:rPr>
                <w:sz w:val="22"/>
                <w:szCs w:val="22"/>
              </w:rPr>
            </w:pPr>
            <w:r w:rsidRPr="001300A9">
              <w:rPr>
                <w:sz w:val="22"/>
                <w:szCs w:val="22"/>
              </w:rPr>
              <w:t xml:space="preserve">2. Aukčné obchodovanie s kvótami, na ktoré sa vzťahuje táto kapitola, sa začína v roku 2027 s množstvom zodpovedajúcim 130 % aukčných objemov na rok 2027, ktoré sú stanovené na základe </w:t>
            </w:r>
            <w:proofErr w:type="spellStart"/>
            <w:r w:rsidRPr="001300A9">
              <w:rPr>
                <w:sz w:val="22"/>
                <w:szCs w:val="22"/>
              </w:rPr>
              <w:t>celoúnijného</w:t>
            </w:r>
            <w:proofErr w:type="spellEnd"/>
            <w:r w:rsidRPr="001300A9">
              <w:rPr>
                <w:sz w:val="22"/>
                <w:szCs w:val="22"/>
              </w:rPr>
              <w:t xml:space="preserve"> množstva kvót na daný rok a na základe príslušných aukčných podielov a objemov podľa odsekov 3 až 6 tohto článku. Dodatočných 30 %, s ktorými sa má obchodovať formou aukcie, sa použije len na účely odovzdávania kvót podľa článku 30e ods. 2 a môže sa s nimi obchodovať formou aukcie do 31. mája 2028. Dodatočných 30 %sa odpočíta od aukčných objemov na obdobie rokov 2029 až 2031. Podmienky týkajúce sa aukcií uvedených v tomto odseku sa stanovujú v súlade s odsekom 7 a článkom 10 ods. 4.</w:t>
            </w:r>
          </w:p>
          <w:p w14:paraId="5B03A8CC" w14:textId="77777777" w:rsidR="00357CEC" w:rsidRPr="001300A9" w:rsidRDefault="00357CEC" w:rsidP="00357CEC">
            <w:pPr>
              <w:pStyle w:val="Default"/>
              <w:rPr>
                <w:sz w:val="22"/>
                <w:szCs w:val="22"/>
              </w:rPr>
            </w:pPr>
            <w:r w:rsidRPr="001300A9">
              <w:rPr>
                <w:sz w:val="22"/>
                <w:szCs w:val="22"/>
              </w:rPr>
              <w:t>V roku 2027 sa 600 miliónov kvót, na ktoré sa vzťahuje táto kapitola, umiestni do trhovej stabilizačnej rezervy, ako v nej držané prostriedky, podľa článku 1a ods. 3 rozhodnutia (EÚ) 2015/1814.</w:t>
            </w:r>
          </w:p>
          <w:p w14:paraId="366F9092" w14:textId="77777777" w:rsidR="00357CEC" w:rsidRPr="001300A9" w:rsidRDefault="00357CEC" w:rsidP="00357CEC">
            <w:pPr>
              <w:pStyle w:val="Default"/>
              <w:rPr>
                <w:sz w:val="22"/>
                <w:szCs w:val="22"/>
              </w:rPr>
            </w:pPr>
          </w:p>
          <w:p w14:paraId="710A118B" w14:textId="77777777" w:rsidR="00357CEC" w:rsidRPr="001300A9" w:rsidRDefault="00357CEC" w:rsidP="00357CEC">
            <w:pPr>
              <w:pStyle w:val="Default"/>
              <w:rPr>
                <w:sz w:val="22"/>
                <w:szCs w:val="22"/>
              </w:rPr>
            </w:pPr>
            <w:r w:rsidRPr="001300A9">
              <w:rPr>
                <w:sz w:val="22"/>
                <w:szCs w:val="22"/>
              </w:rPr>
              <w:t>3. 150 miliónov kvót vydaných podľa tejto kapitoly sa vydraží formou aukcie a všetky príjmy z uvedených aukcií sa do roku 2032 sprístupnia na účely Sociálno-klimatického fondu zriadeného podľa nariadenia (EÚ) 2023../...+.</w:t>
            </w:r>
          </w:p>
          <w:p w14:paraId="2A4FFFE7" w14:textId="77777777" w:rsidR="00357CEC" w:rsidRPr="001300A9" w:rsidRDefault="00357CEC" w:rsidP="00357CEC">
            <w:pPr>
              <w:pStyle w:val="Default"/>
              <w:rPr>
                <w:sz w:val="22"/>
                <w:szCs w:val="22"/>
              </w:rPr>
            </w:pPr>
          </w:p>
          <w:p w14:paraId="5A1904E0" w14:textId="77777777" w:rsidR="00357CEC" w:rsidRPr="001300A9" w:rsidRDefault="00357CEC" w:rsidP="00357CEC">
            <w:pPr>
              <w:pStyle w:val="Default"/>
              <w:rPr>
                <w:sz w:val="22"/>
                <w:szCs w:val="22"/>
              </w:rPr>
            </w:pPr>
            <w:r w:rsidRPr="001300A9">
              <w:rPr>
                <w:sz w:val="22"/>
                <w:szCs w:val="22"/>
              </w:rPr>
              <w:t>4. Zo zostávajúceho množstva kvót a s cieľom získať spolu s príjmami z kvót uvedených v odseku 3 tohto článku a článku 10a ods. 8b maximálnu sumu 65 000 000 000 EUR Komisia zabezpečí, aby sa vydražilo dodatočné množstvo kvót, na ktoré sa vzťahuje táto kapitola, a aby sa príjmy z týchto aukcií sprístupňovali na účely Sociálno-klimatického fondu zriadeného nariadením (EÚ) 2023/...+ do roku 2032.</w:t>
            </w:r>
          </w:p>
          <w:p w14:paraId="0CDCFBEA" w14:textId="77777777" w:rsidR="00357CEC" w:rsidRPr="001300A9" w:rsidRDefault="00357CEC" w:rsidP="00357CEC">
            <w:pPr>
              <w:pStyle w:val="Default"/>
              <w:rPr>
                <w:sz w:val="22"/>
                <w:szCs w:val="22"/>
              </w:rPr>
            </w:pPr>
          </w:p>
          <w:p w14:paraId="14B90120" w14:textId="77777777" w:rsidR="00357CEC" w:rsidRPr="001300A9" w:rsidRDefault="00357CEC" w:rsidP="00357CEC">
            <w:pPr>
              <w:pStyle w:val="Default"/>
              <w:rPr>
                <w:sz w:val="22"/>
                <w:szCs w:val="22"/>
              </w:rPr>
            </w:pPr>
            <w:r w:rsidRPr="001300A9">
              <w:rPr>
                <w:sz w:val="22"/>
                <w:szCs w:val="22"/>
              </w:rPr>
              <w:t>Komisia zabezpečí, aby sa s kvótami určenými pre Sociálno-klimatický fond, ktoré sú uvedené v odseku 3 tohto článku a v tomto odseku, obchodovalo formou aukcie v súlade so zásadami a podmienkami uvedenými v článku 10 ods. 4 a v delegovaných aktoch prijatých podľa uvedeného článku.</w:t>
            </w:r>
          </w:p>
          <w:p w14:paraId="186CD62F" w14:textId="77777777" w:rsidR="00357CEC" w:rsidRPr="001300A9" w:rsidRDefault="00357CEC" w:rsidP="00357CEC">
            <w:pPr>
              <w:pStyle w:val="Default"/>
              <w:rPr>
                <w:sz w:val="22"/>
                <w:szCs w:val="22"/>
              </w:rPr>
            </w:pPr>
          </w:p>
          <w:p w14:paraId="22618D56" w14:textId="77777777" w:rsidR="00357CEC" w:rsidRPr="001300A9" w:rsidRDefault="00357CEC" w:rsidP="00357CEC">
            <w:pPr>
              <w:pStyle w:val="Default"/>
              <w:rPr>
                <w:sz w:val="22"/>
                <w:szCs w:val="22"/>
              </w:rPr>
            </w:pPr>
            <w:r w:rsidRPr="001300A9">
              <w:rPr>
                <w:sz w:val="22"/>
                <w:szCs w:val="22"/>
              </w:rPr>
              <w:t xml:space="preserve">Príjmy z obchodovania formou aukcie s kvótami uvedenými v odseku 3 tohto článku a v tomto odseku predstavujú vonkajšie pripísané príjmy v súlade s článkom 21 ods. 5 nariadenia (EÚ, </w:t>
            </w:r>
            <w:proofErr w:type="spellStart"/>
            <w:r w:rsidRPr="001300A9">
              <w:rPr>
                <w:sz w:val="22"/>
                <w:szCs w:val="22"/>
              </w:rPr>
              <w:t>Euratom</w:t>
            </w:r>
            <w:proofErr w:type="spellEnd"/>
            <w:r w:rsidRPr="001300A9">
              <w:rPr>
                <w:sz w:val="22"/>
                <w:szCs w:val="22"/>
              </w:rPr>
              <w:t>) 2018/1046 a použijú sa v súlade s pravidlami, ktoré sa vzťahujú na Sociálno-klimatický fond.</w:t>
            </w:r>
          </w:p>
          <w:p w14:paraId="1377E1EE" w14:textId="77777777" w:rsidR="00357CEC" w:rsidRPr="001300A9" w:rsidRDefault="00357CEC" w:rsidP="00357CEC">
            <w:pPr>
              <w:pStyle w:val="Default"/>
              <w:rPr>
                <w:sz w:val="22"/>
                <w:szCs w:val="22"/>
              </w:rPr>
            </w:pPr>
          </w:p>
          <w:p w14:paraId="79231816" w14:textId="77777777" w:rsidR="00357CEC" w:rsidRPr="001300A9" w:rsidRDefault="00357CEC" w:rsidP="00357CEC">
            <w:pPr>
              <w:pStyle w:val="Default"/>
              <w:rPr>
                <w:sz w:val="22"/>
                <w:szCs w:val="22"/>
              </w:rPr>
            </w:pPr>
            <w:r w:rsidRPr="001300A9">
              <w:rPr>
                <w:sz w:val="22"/>
                <w:szCs w:val="22"/>
              </w:rPr>
              <w:t>Ročná suma pridelená Sociálno-klimatickému fondu v súlade s článkom 10a ods. 8b, odsekom 3 tohto článku a týmto odsekom nesmie presiahnuť:</w:t>
            </w:r>
          </w:p>
          <w:p w14:paraId="525FFFC6" w14:textId="77777777" w:rsidR="00357CEC" w:rsidRPr="001300A9" w:rsidRDefault="00357CEC" w:rsidP="00357CEC">
            <w:pPr>
              <w:pStyle w:val="Default"/>
              <w:rPr>
                <w:sz w:val="22"/>
                <w:szCs w:val="22"/>
              </w:rPr>
            </w:pPr>
            <w:r w:rsidRPr="001300A9">
              <w:rPr>
                <w:sz w:val="22"/>
                <w:szCs w:val="22"/>
              </w:rPr>
              <w:t>a) na rok 2026 sumu 4 000 000 000 EUR;</w:t>
            </w:r>
          </w:p>
          <w:p w14:paraId="47E42B77" w14:textId="77777777" w:rsidR="00357CEC" w:rsidRPr="001300A9" w:rsidRDefault="00357CEC" w:rsidP="00357CEC">
            <w:pPr>
              <w:pStyle w:val="Default"/>
              <w:rPr>
                <w:sz w:val="22"/>
                <w:szCs w:val="22"/>
              </w:rPr>
            </w:pPr>
            <w:r w:rsidRPr="001300A9">
              <w:rPr>
                <w:sz w:val="22"/>
                <w:szCs w:val="22"/>
              </w:rPr>
              <w:t>b) na rok 2027 sumu 10 900 000 000 EUR;</w:t>
            </w:r>
          </w:p>
          <w:p w14:paraId="17645A96" w14:textId="77777777" w:rsidR="00357CEC" w:rsidRPr="001300A9" w:rsidRDefault="00357CEC" w:rsidP="00357CEC">
            <w:pPr>
              <w:pStyle w:val="Default"/>
              <w:rPr>
                <w:sz w:val="22"/>
                <w:szCs w:val="22"/>
              </w:rPr>
            </w:pPr>
            <w:r w:rsidRPr="001300A9">
              <w:rPr>
                <w:sz w:val="22"/>
                <w:szCs w:val="22"/>
              </w:rPr>
              <w:t>c) na rok 2028 sumu 10 500 000 000 EUR;</w:t>
            </w:r>
          </w:p>
          <w:p w14:paraId="7FF3E49C" w14:textId="77777777" w:rsidR="00357CEC" w:rsidRPr="001300A9" w:rsidRDefault="00357CEC" w:rsidP="00357CEC">
            <w:pPr>
              <w:pStyle w:val="Default"/>
              <w:rPr>
                <w:sz w:val="22"/>
                <w:szCs w:val="22"/>
              </w:rPr>
            </w:pPr>
            <w:r w:rsidRPr="001300A9">
              <w:rPr>
                <w:sz w:val="22"/>
                <w:szCs w:val="22"/>
              </w:rPr>
              <w:t>d) na rok 2029 sumu 10 300 000 000 EUR;</w:t>
            </w:r>
          </w:p>
          <w:p w14:paraId="4A9636BF" w14:textId="77777777" w:rsidR="00357CEC" w:rsidRPr="001300A9" w:rsidRDefault="00357CEC" w:rsidP="00357CEC">
            <w:pPr>
              <w:pStyle w:val="Default"/>
              <w:rPr>
                <w:sz w:val="22"/>
                <w:szCs w:val="22"/>
              </w:rPr>
            </w:pPr>
            <w:r w:rsidRPr="001300A9">
              <w:rPr>
                <w:sz w:val="22"/>
                <w:szCs w:val="22"/>
              </w:rPr>
              <w:t>e) na rok 2030 sumu 10 100 000 000 EUR;</w:t>
            </w:r>
          </w:p>
          <w:p w14:paraId="7FBF23CF" w14:textId="77777777" w:rsidR="00357CEC" w:rsidRPr="001300A9" w:rsidRDefault="00357CEC" w:rsidP="00357CEC">
            <w:pPr>
              <w:pStyle w:val="Default"/>
              <w:rPr>
                <w:sz w:val="22"/>
                <w:szCs w:val="22"/>
              </w:rPr>
            </w:pPr>
            <w:r w:rsidRPr="001300A9">
              <w:rPr>
                <w:sz w:val="22"/>
                <w:szCs w:val="22"/>
              </w:rPr>
              <w:t>f) na rok 2031 sumu 9 800 000 000 EUR;</w:t>
            </w:r>
          </w:p>
          <w:p w14:paraId="62CDC803" w14:textId="77777777" w:rsidR="00357CEC" w:rsidRPr="001300A9" w:rsidRDefault="00357CEC" w:rsidP="00357CEC">
            <w:pPr>
              <w:pStyle w:val="Default"/>
              <w:rPr>
                <w:sz w:val="22"/>
                <w:szCs w:val="22"/>
              </w:rPr>
            </w:pPr>
            <w:r w:rsidRPr="001300A9">
              <w:rPr>
                <w:sz w:val="22"/>
                <w:szCs w:val="22"/>
              </w:rPr>
              <w:t>g) na rok 2032 sumu 9 400 000 000 EUR.</w:t>
            </w:r>
          </w:p>
          <w:p w14:paraId="0B7F1933" w14:textId="77777777" w:rsidR="00357CEC" w:rsidRPr="001300A9" w:rsidRDefault="00357CEC" w:rsidP="00357CEC">
            <w:pPr>
              <w:pStyle w:val="Default"/>
              <w:rPr>
                <w:sz w:val="22"/>
                <w:szCs w:val="22"/>
              </w:rPr>
            </w:pPr>
          </w:p>
          <w:p w14:paraId="25F6618A" w14:textId="77777777" w:rsidR="00357CEC" w:rsidRPr="001300A9" w:rsidRDefault="00357CEC" w:rsidP="00357CEC">
            <w:pPr>
              <w:pStyle w:val="Default"/>
              <w:rPr>
                <w:sz w:val="22"/>
                <w:szCs w:val="22"/>
              </w:rPr>
            </w:pPr>
            <w:r w:rsidRPr="001300A9">
              <w:rPr>
                <w:sz w:val="22"/>
                <w:szCs w:val="22"/>
              </w:rPr>
              <w:t xml:space="preserve">Ak sa systém obchodovania s emisiami zriadený v súlade s touto kapitolou odloží do roku 2028 podľa článku 30k, maximálna suma, ktorá sa má sprístupniť Sociálno-klimatickému fondu v súlade s prvým </w:t>
            </w:r>
            <w:proofErr w:type="spellStart"/>
            <w:r w:rsidRPr="001300A9">
              <w:rPr>
                <w:sz w:val="22"/>
                <w:szCs w:val="22"/>
              </w:rPr>
              <w:t>pododsekom</w:t>
            </w:r>
            <w:proofErr w:type="spellEnd"/>
            <w:r w:rsidRPr="001300A9">
              <w:rPr>
                <w:sz w:val="22"/>
                <w:szCs w:val="22"/>
              </w:rPr>
              <w:t xml:space="preserve"> tohto odseku, je 54 600 000 000 EUR. V takom prípade ročné sumy pridelené Sociálno-klimatickému fondu nesmú kumulatívne presiahnuť na roky 2026 a 2027 sumu 4 000 000 000 EUR a v období od 1. januára 2028 do 31. decembra 2032 príslušná ročná suma nesmie presiahnuť:</w:t>
            </w:r>
          </w:p>
          <w:p w14:paraId="7808C4D2" w14:textId="77777777" w:rsidR="00357CEC" w:rsidRPr="001300A9" w:rsidRDefault="00357CEC" w:rsidP="00357CEC">
            <w:pPr>
              <w:pStyle w:val="Default"/>
              <w:rPr>
                <w:sz w:val="22"/>
                <w:szCs w:val="22"/>
              </w:rPr>
            </w:pPr>
            <w:r w:rsidRPr="001300A9">
              <w:rPr>
                <w:sz w:val="22"/>
                <w:szCs w:val="22"/>
              </w:rPr>
              <w:t>a) na rok 2028 sumu 11 400 000 000 EUR;</w:t>
            </w:r>
          </w:p>
          <w:p w14:paraId="03739664" w14:textId="77777777" w:rsidR="00357CEC" w:rsidRPr="001300A9" w:rsidRDefault="00357CEC" w:rsidP="00357CEC">
            <w:pPr>
              <w:pStyle w:val="Default"/>
              <w:rPr>
                <w:sz w:val="22"/>
                <w:szCs w:val="22"/>
              </w:rPr>
            </w:pPr>
            <w:r w:rsidRPr="001300A9">
              <w:rPr>
                <w:sz w:val="22"/>
                <w:szCs w:val="22"/>
              </w:rPr>
              <w:t>b) na rok 2029 sumu 10 300 000 000 EUR;</w:t>
            </w:r>
          </w:p>
          <w:p w14:paraId="045D359A" w14:textId="77777777" w:rsidR="00357CEC" w:rsidRPr="001300A9" w:rsidRDefault="00357CEC" w:rsidP="00357CEC">
            <w:pPr>
              <w:pStyle w:val="Default"/>
              <w:rPr>
                <w:sz w:val="22"/>
                <w:szCs w:val="22"/>
              </w:rPr>
            </w:pPr>
            <w:r w:rsidRPr="001300A9">
              <w:rPr>
                <w:sz w:val="22"/>
                <w:szCs w:val="22"/>
              </w:rPr>
              <w:t>c) na rok 2030 sumu 10 100 000 000 EUR;</w:t>
            </w:r>
          </w:p>
          <w:p w14:paraId="06DDFC10" w14:textId="77777777" w:rsidR="00357CEC" w:rsidRPr="001300A9" w:rsidRDefault="00357CEC" w:rsidP="00357CEC">
            <w:pPr>
              <w:pStyle w:val="Default"/>
              <w:rPr>
                <w:sz w:val="22"/>
                <w:szCs w:val="22"/>
              </w:rPr>
            </w:pPr>
            <w:r w:rsidRPr="001300A9">
              <w:rPr>
                <w:sz w:val="22"/>
                <w:szCs w:val="22"/>
              </w:rPr>
              <w:t>d) na rok 2031 sumu 9 800 000 000 EUR;</w:t>
            </w:r>
          </w:p>
          <w:p w14:paraId="0D1B9E40" w14:textId="77777777" w:rsidR="00357CEC" w:rsidRPr="001300A9" w:rsidRDefault="00357CEC" w:rsidP="00357CEC">
            <w:pPr>
              <w:pStyle w:val="Default"/>
              <w:rPr>
                <w:sz w:val="22"/>
                <w:szCs w:val="22"/>
              </w:rPr>
            </w:pPr>
            <w:r w:rsidRPr="001300A9">
              <w:rPr>
                <w:sz w:val="22"/>
                <w:szCs w:val="22"/>
              </w:rPr>
              <w:t>e) na rok 2032 sumu 9 000 000 000 EUR.</w:t>
            </w:r>
          </w:p>
          <w:p w14:paraId="7792A5B5" w14:textId="77777777" w:rsidR="00357CEC" w:rsidRPr="001300A9" w:rsidRDefault="00357CEC" w:rsidP="00357CEC">
            <w:pPr>
              <w:pStyle w:val="Default"/>
              <w:rPr>
                <w:sz w:val="22"/>
                <w:szCs w:val="22"/>
              </w:rPr>
            </w:pPr>
          </w:p>
          <w:p w14:paraId="4FEC1441" w14:textId="77777777" w:rsidR="00357CEC" w:rsidRPr="001300A9" w:rsidRDefault="00357CEC" w:rsidP="00357CEC">
            <w:pPr>
              <w:pStyle w:val="Default"/>
              <w:rPr>
                <w:sz w:val="22"/>
                <w:szCs w:val="22"/>
              </w:rPr>
            </w:pPr>
            <w:r w:rsidRPr="001300A9">
              <w:rPr>
                <w:sz w:val="22"/>
                <w:szCs w:val="22"/>
              </w:rPr>
              <w:t>Ak sa príjmy z obchodovania formou aukcie uvedeného v odseku 5 tohto článku stanovia v súlade s článkom 311 tretím odsekom ZFEÚ ako vlastný zdroj, článok 10a ods. 8b tejto smernice, odsek 3 tohto článku a tento odsek sa neuplatňuje.</w:t>
            </w:r>
          </w:p>
          <w:p w14:paraId="2ED1D310" w14:textId="77777777" w:rsidR="00357CEC" w:rsidRPr="001300A9" w:rsidRDefault="00357CEC" w:rsidP="00357CEC">
            <w:pPr>
              <w:pStyle w:val="Default"/>
              <w:rPr>
                <w:sz w:val="22"/>
                <w:szCs w:val="22"/>
              </w:rPr>
            </w:pPr>
          </w:p>
          <w:p w14:paraId="429AD14C" w14:textId="77777777" w:rsidR="00357CEC" w:rsidRPr="001300A9" w:rsidRDefault="00357CEC" w:rsidP="00357CEC">
            <w:pPr>
              <w:pStyle w:val="Default"/>
              <w:rPr>
                <w:sz w:val="22"/>
                <w:szCs w:val="22"/>
              </w:rPr>
            </w:pPr>
            <w:r w:rsidRPr="001300A9">
              <w:rPr>
                <w:sz w:val="22"/>
                <w:szCs w:val="22"/>
              </w:rPr>
              <w:t xml:space="preserve">5. Členské štáty vydražia celkové množstvo kvót, na ktoré sa vzťahuje táto kapitola, po odpočítaní množstiev stanovených v odsekoch 3 a 4 tohto článku a potom sa toto množstvo medzi </w:t>
            </w:r>
            <w:proofErr w:type="spellStart"/>
            <w:r w:rsidRPr="001300A9">
              <w:rPr>
                <w:sz w:val="22"/>
                <w:szCs w:val="22"/>
              </w:rPr>
              <w:t>ne</w:t>
            </w:r>
            <w:proofErr w:type="spellEnd"/>
            <w:r w:rsidRPr="001300A9">
              <w:rPr>
                <w:sz w:val="22"/>
                <w:szCs w:val="22"/>
              </w:rPr>
              <w:t xml:space="preserve"> rozdelí v podieloch, ktoré sú rovnaké ako podiel referenčných emisií v zmysle článku 4 ods. 2 nariadenia (EÚ) 2018/842, ktorý vykazuje predmetný členský štát v prípade kategórií zdrojov emisií uvedených druhom odseku písm. b), c) a d) prílohy III k tejto smernici, za priemer obdobia rokov 2016 až 2018, komplexne preskúmaný podľa článku 4 ods. 3 uvedeného nariadenia.</w:t>
            </w:r>
          </w:p>
          <w:p w14:paraId="485C2B33" w14:textId="77777777" w:rsidR="00357CEC" w:rsidRPr="001300A9" w:rsidRDefault="00357CEC" w:rsidP="00357CEC">
            <w:pPr>
              <w:pStyle w:val="Default"/>
              <w:rPr>
                <w:sz w:val="22"/>
                <w:szCs w:val="22"/>
              </w:rPr>
            </w:pPr>
          </w:p>
          <w:p w14:paraId="12F20E29" w14:textId="77777777" w:rsidR="00357CEC" w:rsidRPr="001300A9" w:rsidRDefault="00357CEC" w:rsidP="00357CEC">
            <w:pPr>
              <w:pStyle w:val="Default"/>
              <w:rPr>
                <w:sz w:val="22"/>
                <w:szCs w:val="22"/>
              </w:rPr>
            </w:pPr>
            <w:r w:rsidRPr="001300A9">
              <w:rPr>
                <w:sz w:val="22"/>
                <w:szCs w:val="22"/>
              </w:rPr>
              <w:t>6. Členské štáty určia, ako sa použijú príjmy pochádzajúce z obchodovania s kvótami formou aukcie uvedenými v odseku 5 tohto nariadenia s výnimkou príjmov, ktoré predstavujú vonkajšie pripísané príjmy v súlade s odsekom 4 tohto článku, alebo príjmov stanovených ako vlastné zdroje v súlade s článkom 311 tretím odsekom ZFEÚ a zahrnutých do rozpočtu Únie. Členské štáty použijú svoje vlastné príjmy alebo ekvivalent uvedených príjmov vo finančnej hodnote na jeden alebo viacero účelov uvedených v článku 10 ods. 3 tejto smernice, pričom uprednostnia činnosti, ktoré môžu prispieť k riešeniu sociálnych aspektov obchodovania s emisiami podľa tejto kapitoly, alebo na jedno či viaceré z týchto opatrení:</w:t>
            </w:r>
          </w:p>
          <w:p w14:paraId="6B15EB12" w14:textId="77777777" w:rsidR="00357CEC" w:rsidRPr="001300A9" w:rsidRDefault="00357CEC" w:rsidP="00357CEC">
            <w:pPr>
              <w:pStyle w:val="Default"/>
              <w:rPr>
                <w:sz w:val="22"/>
                <w:szCs w:val="22"/>
              </w:rPr>
            </w:pPr>
            <w:r w:rsidRPr="001300A9">
              <w:rPr>
                <w:sz w:val="22"/>
                <w:szCs w:val="22"/>
              </w:rPr>
              <w:t>a) opatrenia, ktoré majú prispieť k dekarbonizácii vykurovania a chladenia budov alebo k zníženiu energetických potrieb budov vrátane integrácie energie z obnoviteľných zdrojov, a súvisiace opatrenia v súlade s článkom 7 ods. 11 a článkami 12 a 20 smernice 2012/27/EÚ, ako aj opatrenia na poskytnutie finančnej podpory pre domácnosti s nízkymi príjmami, ktoré sa nachádzajú v budovách vyznačujúcich sa najhoršou energetickou hospodárnosťou;</w:t>
            </w:r>
          </w:p>
          <w:p w14:paraId="42E809E0" w14:textId="77777777" w:rsidR="00357CEC" w:rsidRPr="001300A9" w:rsidRDefault="00357CEC" w:rsidP="00357CEC">
            <w:pPr>
              <w:pStyle w:val="Default"/>
              <w:rPr>
                <w:sz w:val="22"/>
                <w:szCs w:val="22"/>
              </w:rPr>
            </w:pPr>
            <w:r w:rsidRPr="001300A9">
              <w:rPr>
                <w:sz w:val="22"/>
                <w:szCs w:val="22"/>
              </w:rPr>
              <w:t xml:space="preserve">b) opatrenia, ktorých cieľom je urýchliť zavádzanie vozidiel s nulovými emisiami alebo poskytnúť finančnú podporu pri zavádzaní plne </w:t>
            </w:r>
            <w:proofErr w:type="spellStart"/>
            <w:r w:rsidRPr="001300A9">
              <w:rPr>
                <w:sz w:val="22"/>
                <w:szCs w:val="22"/>
              </w:rPr>
              <w:t>interoperabilnej</w:t>
            </w:r>
            <w:proofErr w:type="spellEnd"/>
            <w:r w:rsidRPr="001300A9">
              <w:rPr>
                <w:sz w:val="22"/>
                <w:szCs w:val="22"/>
              </w:rPr>
              <w:t xml:space="preserve"> infraštruktúry na dopĺňanie paliva a nabíjanie batérií v prípade vozidiel s nulovými emisiami, alebo opatrenia, ktorých cieľom je podporiť prechod na verejnú dopravu a zlepšiť </w:t>
            </w:r>
            <w:proofErr w:type="spellStart"/>
            <w:r w:rsidRPr="001300A9">
              <w:rPr>
                <w:sz w:val="22"/>
                <w:szCs w:val="22"/>
              </w:rPr>
              <w:t>multimodálnosť</w:t>
            </w:r>
            <w:proofErr w:type="spellEnd"/>
            <w:r w:rsidRPr="001300A9">
              <w:rPr>
                <w:sz w:val="22"/>
                <w:szCs w:val="22"/>
              </w:rPr>
              <w:t xml:space="preserve"> dopravy alebo poskytnúť finančnú podporu v záujme riešenia sociálnych aspektov v súvislosti s využívaním dopravy obyvateľmi s nízkymi a strednými príjmami;</w:t>
            </w:r>
          </w:p>
          <w:p w14:paraId="5ACFA56C" w14:textId="77777777" w:rsidR="00357CEC" w:rsidRPr="001300A9" w:rsidRDefault="00357CEC" w:rsidP="00357CEC">
            <w:pPr>
              <w:pStyle w:val="Default"/>
              <w:rPr>
                <w:sz w:val="22"/>
                <w:szCs w:val="22"/>
              </w:rPr>
            </w:pPr>
            <w:r w:rsidRPr="001300A9">
              <w:rPr>
                <w:sz w:val="22"/>
                <w:szCs w:val="22"/>
              </w:rPr>
              <w:t>c) financovanie svojho sociálno-klimatického plánu v súlade s článkom 15 nariadenia (EÚ) 2023/...+;</w:t>
            </w:r>
          </w:p>
          <w:p w14:paraId="6B0A1246" w14:textId="77777777" w:rsidR="00357CEC" w:rsidRPr="001300A9" w:rsidRDefault="00357CEC" w:rsidP="00357CEC">
            <w:pPr>
              <w:pStyle w:val="Default"/>
              <w:rPr>
                <w:sz w:val="22"/>
                <w:szCs w:val="22"/>
              </w:rPr>
            </w:pPr>
            <w:r w:rsidRPr="001300A9">
              <w:rPr>
                <w:sz w:val="22"/>
                <w:szCs w:val="22"/>
              </w:rPr>
              <w:t>d) poskytnutie finančnej kompenzácie konečným spotrebiteľom v prípadoch, keď nebolo možné zabrániť dvojitému započítaniu emisií alebo keď boli kvóty odovzdané v prípade emisií, na ktoré sa nevzťahuje táto kapitola, ako sa uvádza v článku 30f ods. 5.</w:t>
            </w:r>
          </w:p>
          <w:p w14:paraId="7C6BF2CC" w14:textId="77777777" w:rsidR="00357CEC" w:rsidRPr="001300A9" w:rsidRDefault="00357CEC" w:rsidP="00357CEC">
            <w:pPr>
              <w:pStyle w:val="Default"/>
              <w:rPr>
                <w:sz w:val="22"/>
                <w:szCs w:val="22"/>
              </w:rPr>
            </w:pPr>
          </w:p>
          <w:p w14:paraId="544E878D" w14:textId="77777777" w:rsidR="00357CEC" w:rsidRPr="001300A9" w:rsidRDefault="00357CEC" w:rsidP="00357CEC">
            <w:pPr>
              <w:pStyle w:val="Default"/>
              <w:rPr>
                <w:sz w:val="22"/>
                <w:szCs w:val="22"/>
              </w:rPr>
            </w:pPr>
            <w:r w:rsidRPr="001300A9">
              <w:rPr>
                <w:sz w:val="22"/>
                <w:szCs w:val="22"/>
              </w:rPr>
              <w:t xml:space="preserve">Predpokladá sa, že členské štáty splnili ustanovenia tohto odseku, ak zaviedli a vykonávajú politiky fiškálnej alebo finančnej podpory alebo regulačné politiky slúžiace na posilnenie finančnej podpory, ktoré boli vytvorené na účely stanovené v prvom </w:t>
            </w:r>
            <w:proofErr w:type="spellStart"/>
            <w:r w:rsidRPr="001300A9">
              <w:rPr>
                <w:sz w:val="22"/>
                <w:szCs w:val="22"/>
              </w:rPr>
              <w:t>pododseku</w:t>
            </w:r>
            <w:proofErr w:type="spellEnd"/>
            <w:r w:rsidRPr="001300A9">
              <w:rPr>
                <w:sz w:val="22"/>
                <w:szCs w:val="22"/>
              </w:rPr>
              <w:t xml:space="preserve"> a ktorých hodnota je rovnocenná príjmom uvedeným v danom </w:t>
            </w:r>
            <w:proofErr w:type="spellStart"/>
            <w:r w:rsidRPr="001300A9">
              <w:rPr>
                <w:sz w:val="22"/>
                <w:szCs w:val="22"/>
              </w:rPr>
              <w:t>pododseku</w:t>
            </w:r>
            <w:proofErr w:type="spellEnd"/>
            <w:r w:rsidRPr="001300A9">
              <w:rPr>
                <w:sz w:val="22"/>
                <w:szCs w:val="22"/>
              </w:rPr>
              <w:t xml:space="preserve"> a získaným na základe obchodovania s kvótami formou aukcie v zmysle tejto kapitoly.</w:t>
            </w:r>
          </w:p>
          <w:p w14:paraId="63B30769" w14:textId="77777777" w:rsidR="00357CEC" w:rsidRPr="001300A9" w:rsidRDefault="00357CEC" w:rsidP="00357CEC">
            <w:pPr>
              <w:pStyle w:val="Default"/>
              <w:rPr>
                <w:sz w:val="22"/>
                <w:szCs w:val="22"/>
              </w:rPr>
            </w:pPr>
          </w:p>
          <w:p w14:paraId="66302328" w14:textId="77777777" w:rsidR="00357CEC" w:rsidRPr="001300A9" w:rsidRDefault="00357CEC" w:rsidP="00357CEC">
            <w:pPr>
              <w:pStyle w:val="Default"/>
              <w:rPr>
                <w:sz w:val="22"/>
                <w:szCs w:val="22"/>
              </w:rPr>
            </w:pPr>
            <w:r w:rsidRPr="001300A9">
              <w:rPr>
                <w:sz w:val="22"/>
                <w:szCs w:val="22"/>
              </w:rPr>
              <w:t>Členské štáty informujú Komisiu o použití príjmov a opatreniach prijatých podľa tohto odseku tak, že tieto informácie zahrnú do svojich správ predkladaných podľa nariadenia (EÚ) 2018/1999.</w:t>
            </w:r>
          </w:p>
          <w:p w14:paraId="5FC19177" w14:textId="77777777" w:rsidR="00357CEC" w:rsidRPr="001300A9" w:rsidRDefault="00357CEC" w:rsidP="00357CEC">
            <w:pPr>
              <w:pStyle w:val="Default"/>
              <w:rPr>
                <w:sz w:val="22"/>
                <w:szCs w:val="22"/>
              </w:rPr>
            </w:pPr>
          </w:p>
          <w:p w14:paraId="1FF67D91" w14:textId="77777777" w:rsidR="00357CEC" w:rsidRPr="001300A9" w:rsidRDefault="00357CEC" w:rsidP="00357CEC">
            <w:pPr>
              <w:pStyle w:val="Default"/>
              <w:rPr>
                <w:sz w:val="22"/>
                <w:szCs w:val="22"/>
              </w:rPr>
            </w:pPr>
            <w:r w:rsidRPr="001300A9">
              <w:rPr>
                <w:sz w:val="22"/>
                <w:szCs w:val="22"/>
              </w:rPr>
              <w:t>7. Na kvóty vydané podľa tejto kapitoly sa vzťahuje článok 10 ods. 4 a 5.</w:t>
            </w:r>
          </w:p>
          <w:p w14:paraId="4E3BD667" w14:textId="77777777" w:rsidR="00357CEC" w:rsidRPr="001300A9" w:rsidRDefault="00357CEC" w:rsidP="00357CEC">
            <w:pPr>
              <w:pStyle w:val="Default"/>
              <w:rPr>
                <w:sz w:val="22"/>
                <w:szCs w:val="22"/>
              </w:rPr>
            </w:pPr>
          </w:p>
          <w:p w14:paraId="689D0622" w14:textId="77777777" w:rsidR="00357CEC" w:rsidRPr="001300A9" w:rsidRDefault="00357CEC" w:rsidP="00357CEC">
            <w:pPr>
              <w:pStyle w:val="Default"/>
              <w:rPr>
                <w:i/>
                <w:sz w:val="22"/>
                <w:szCs w:val="22"/>
              </w:rPr>
            </w:pPr>
            <w:r w:rsidRPr="001300A9">
              <w:rPr>
                <w:i/>
                <w:sz w:val="22"/>
                <w:szCs w:val="22"/>
              </w:rPr>
              <w:t>Článok 30e</w:t>
            </w:r>
          </w:p>
          <w:p w14:paraId="6B012296" w14:textId="77777777" w:rsidR="00357CEC" w:rsidRPr="001300A9" w:rsidRDefault="00357CEC" w:rsidP="00357CEC">
            <w:pPr>
              <w:pStyle w:val="Default"/>
              <w:rPr>
                <w:i/>
                <w:sz w:val="22"/>
                <w:szCs w:val="22"/>
              </w:rPr>
            </w:pPr>
            <w:r w:rsidRPr="001300A9">
              <w:rPr>
                <w:i/>
                <w:sz w:val="22"/>
                <w:szCs w:val="22"/>
              </w:rPr>
              <w:t>Prenos, odovzdanie a zrušenie kvót</w:t>
            </w:r>
          </w:p>
          <w:p w14:paraId="2598C556" w14:textId="77777777" w:rsidR="00357CEC" w:rsidRPr="001300A9" w:rsidRDefault="00357CEC" w:rsidP="00357CEC">
            <w:pPr>
              <w:pStyle w:val="Default"/>
              <w:rPr>
                <w:sz w:val="22"/>
                <w:szCs w:val="22"/>
              </w:rPr>
            </w:pPr>
            <w:r w:rsidRPr="001300A9">
              <w:rPr>
                <w:sz w:val="22"/>
                <w:szCs w:val="22"/>
              </w:rPr>
              <w:t>1. Na emisie, regulované subjekty a kvóty, na ktoré sa vzťahuje táto kapitola, sa uplatňuje článok 12 s výnimkou odsekov 3 a 3a, odseku 4 druhej a tretej vety a odseku 5 uvedeného článku. Na uvedený účel:</w:t>
            </w:r>
          </w:p>
          <w:p w14:paraId="70D73CFF" w14:textId="77777777" w:rsidR="00357CEC" w:rsidRPr="001300A9" w:rsidRDefault="00357CEC" w:rsidP="00357CEC">
            <w:pPr>
              <w:pStyle w:val="Default"/>
              <w:rPr>
                <w:sz w:val="22"/>
                <w:szCs w:val="22"/>
              </w:rPr>
            </w:pPr>
            <w:r w:rsidRPr="001300A9">
              <w:rPr>
                <w:sz w:val="22"/>
                <w:szCs w:val="22"/>
              </w:rPr>
              <w:t>a) treba každý odkaz na emisie chápať ako odkaz na emisie, na ktoré sa vzťahuje táto kapitola;</w:t>
            </w:r>
          </w:p>
          <w:p w14:paraId="0C4BEACA" w14:textId="77777777" w:rsidR="00357CEC" w:rsidRPr="001300A9" w:rsidRDefault="00357CEC" w:rsidP="00357CEC">
            <w:pPr>
              <w:pStyle w:val="Default"/>
              <w:rPr>
                <w:sz w:val="22"/>
                <w:szCs w:val="22"/>
              </w:rPr>
            </w:pPr>
            <w:r w:rsidRPr="001300A9">
              <w:rPr>
                <w:sz w:val="22"/>
                <w:szCs w:val="22"/>
              </w:rPr>
              <w:t>b) treba každý odkaz na prevádzkovateľov zariadení chápať ako odkaz na regulované subjekty, na ktoré sa vzťahuje táto kapitola;</w:t>
            </w:r>
          </w:p>
          <w:p w14:paraId="577B0D71" w14:textId="77777777" w:rsidR="00357CEC" w:rsidRPr="001300A9" w:rsidRDefault="00357CEC" w:rsidP="00357CEC">
            <w:pPr>
              <w:pStyle w:val="Default"/>
              <w:rPr>
                <w:sz w:val="22"/>
                <w:szCs w:val="22"/>
              </w:rPr>
            </w:pPr>
            <w:r w:rsidRPr="001300A9">
              <w:rPr>
                <w:sz w:val="22"/>
                <w:szCs w:val="22"/>
              </w:rPr>
              <w:t>c) treba každý odkaz na kvóty chápať ako odkaz na kvóty, na ktoré sa vzťahuje táto kapitola.</w:t>
            </w:r>
          </w:p>
          <w:p w14:paraId="26BF7B86" w14:textId="77777777" w:rsidR="00357CEC" w:rsidRPr="001300A9" w:rsidRDefault="00357CEC" w:rsidP="00357CEC">
            <w:pPr>
              <w:pStyle w:val="Default"/>
              <w:rPr>
                <w:sz w:val="22"/>
                <w:szCs w:val="22"/>
              </w:rPr>
            </w:pPr>
          </w:p>
          <w:p w14:paraId="5564A583" w14:textId="77777777" w:rsidR="009D0AA1" w:rsidRDefault="009D0AA1" w:rsidP="00357CEC">
            <w:pPr>
              <w:pStyle w:val="Default"/>
              <w:rPr>
                <w:sz w:val="22"/>
                <w:szCs w:val="22"/>
              </w:rPr>
            </w:pPr>
          </w:p>
          <w:p w14:paraId="3D33676F" w14:textId="77777777" w:rsidR="009D0AA1" w:rsidRDefault="009D0AA1" w:rsidP="00357CEC">
            <w:pPr>
              <w:pStyle w:val="Default"/>
              <w:rPr>
                <w:sz w:val="22"/>
                <w:szCs w:val="22"/>
              </w:rPr>
            </w:pPr>
          </w:p>
          <w:p w14:paraId="2F869D32" w14:textId="77777777" w:rsidR="009D0AA1" w:rsidRDefault="009D0AA1" w:rsidP="00357CEC">
            <w:pPr>
              <w:pStyle w:val="Default"/>
              <w:rPr>
                <w:sz w:val="22"/>
                <w:szCs w:val="22"/>
              </w:rPr>
            </w:pPr>
          </w:p>
          <w:p w14:paraId="1AF2847F" w14:textId="7813ED61" w:rsidR="00357CEC" w:rsidRPr="001300A9" w:rsidRDefault="00357CEC" w:rsidP="00357CEC">
            <w:pPr>
              <w:pStyle w:val="Default"/>
              <w:rPr>
                <w:sz w:val="22"/>
                <w:szCs w:val="22"/>
              </w:rPr>
            </w:pPr>
            <w:r w:rsidRPr="001300A9">
              <w:rPr>
                <w:sz w:val="22"/>
                <w:szCs w:val="22"/>
              </w:rPr>
              <w:t>2. Členské štáty sú od 1. januára 2028 povinné zabezpečiť, aby regulovaný subjekt každoročne do 31. mája odovzdal množstvo kvót, na ktoré sa vzťahuje táto kapitola, rovnajúce sa celkovým emisiám regulovaného subjektu zodpovedajúcim množstvu palív uvedených do daňového voľného obehu podľa prílohy III za predchádzajúci kalendárny rok, ktoré sa overili v súlade s článkami 15 a 30f, a zabezpečiť aby sa tieto kvóty následne zrušili.</w:t>
            </w:r>
          </w:p>
          <w:p w14:paraId="64D1B42E" w14:textId="77777777" w:rsidR="00357CEC" w:rsidRPr="001300A9" w:rsidRDefault="00357CEC" w:rsidP="00357CEC">
            <w:pPr>
              <w:pStyle w:val="Default"/>
              <w:rPr>
                <w:sz w:val="22"/>
                <w:szCs w:val="22"/>
              </w:rPr>
            </w:pPr>
          </w:p>
          <w:p w14:paraId="51C8A652" w14:textId="77777777" w:rsidR="00C2579D" w:rsidRPr="001300A9" w:rsidRDefault="00C2579D" w:rsidP="00357CEC">
            <w:pPr>
              <w:pStyle w:val="Default"/>
              <w:rPr>
                <w:sz w:val="22"/>
                <w:szCs w:val="22"/>
              </w:rPr>
            </w:pPr>
          </w:p>
          <w:p w14:paraId="6193DF07" w14:textId="77777777" w:rsidR="00C2579D" w:rsidRPr="001300A9" w:rsidRDefault="00C2579D" w:rsidP="00357CEC">
            <w:pPr>
              <w:pStyle w:val="Default"/>
              <w:rPr>
                <w:sz w:val="22"/>
                <w:szCs w:val="22"/>
              </w:rPr>
            </w:pPr>
          </w:p>
          <w:p w14:paraId="2E198BF3" w14:textId="77777777" w:rsidR="00C2579D" w:rsidRPr="001300A9" w:rsidRDefault="00C2579D" w:rsidP="00357CEC">
            <w:pPr>
              <w:pStyle w:val="Default"/>
              <w:rPr>
                <w:sz w:val="22"/>
                <w:szCs w:val="22"/>
              </w:rPr>
            </w:pPr>
          </w:p>
          <w:p w14:paraId="0C18B178" w14:textId="77777777" w:rsidR="00C2579D" w:rsidRPr="001300A9" w:rsidRDefault="00C2579D" w:rsidP="00357CEC">
            <w:pPr>
              <w:pStyle w:val="Default"/>
              <w:rPr>
                <w:sz w:val="22"/>
                <w:szCs w:val="22"/>
              </w:rPr>
            </w:pPr>
          </w:p>
          <w:p w14:paraId="170B0D57" w14:textId="05265FE6" w:rsidR="00C2579D" w:rsidRPr="001300A9" w:rsidRDefault="00C2579D" w:rsidP="00357CEC">
            <w:pPr>
              <w:pStyle w:val="Default"/>
              <w:rPr>
                <w:sz w:val="22"/>
                <w:szCs w:val="22"/>
              </w:rPr>
            </w:pPr>
          </w:p>
          <w:p w14:paraId="20EBC4C5" w14:textId="77777777" w:rsidR="009D0AA1" w:rsidRDefault="009D0AA1" w:rsidP="00357CEC">
            <w:pPr>
              <w:pStyle w:val="Default"/>
              <w:rPr>
                <w:sz w:val="22"/>
                <w:szCs w:val="22"/>
              </w:rPr>
            </w:pPr>
          </w:p>
          <w:p w14:paraId="64A31A09" w14:textId="77777777" w:rsidR="009D0AA1" w:rsidRDefault="009D0AA1" w:rsidP="00357CEC">
            <w:pPr>
              <w:pStyle w:val="Default"/>
              <w:rPr>
                <w:sz w:val="22"/>
                <w:szCs w:val="22"/>
              </w:rPr>
            </w:pPr>
          </w:p>
          <w:p w14:paraId="6023C84C" w14:textId="77777777" w:rsidR="009D0AA1" w:rsidRDefault="009D0AA1" w:rsidP="00357CEC">
            <w:pPr>
              <w:pStyle w:val="Default"/>
              <w:rPr>
                <w:sz w:val="22"/>
                <w:szCs w:val="22"/>
              </w:rPr>
            </w:pPr>
          </w:p>
          <w:p w14:paraId="2DFEB8D1" w14:textId="77777777" w:rsidR="009D0AA1" w:rsidRDefault="009D0AA1" w:rsidP="00357CEC">
            <w:pPr>
              <w:pStyle w:val="Default"/>
              <w:rPr>
                <w:sz w:val="22"/>
                <w:szCs w:val="22"/>
              </w:rPr>
            </w:pPr>
          </w:p>
          <w:p w14:paraId="79DEB9D9" w14:textId="77777777" w:rsidR="009D0AA1" w:rsidRDefault="009D0AA1" w:rsidP="00357CEC">
            <w:pPr>
              <w:pStyle w:val="Default"/>
              <w:rPr>
                <w:sz w:val="22"/>
                <w:szCs w:val="22"/>
              </w:rPr>
            </w:pPr>
          </w:p>
          <w:p w14:paraId="5BFA43D1" w14:textId="2004F95A" w:rsidR="00357CEC" w:rsidRPr="001300A9" w:rsidRDefault="00357CEC" w:rsidP="00357CEC">
            <w:pPr>
              <w:pStyle w:val="Default"/>
              <w:rPr>
                <w:sz w:val="22"/>
                <w:szCs w:val="22"/>
              </w:rPr>
            </w:pPr>
            <w:r w:rsidRPr="001300A9">
              <w:rPr>
                <w:sz w:val="22"/>
                <w:szCs w:val="22"/>
              </w:rPr>
              <w:t>3. Odchylne od odseku 1 a 2, ak regulovaný subjekt usadený v členskom štáte podlieha vnútroštátnej uhlíkovej dani platnej na roky 2027 až 2030, ktorá sa vzťahuje na činnosť uvedenú v prílohe III, môže príslušný orgán dotknutého členského štátu do 31. decembra 2030 oslobodiť tento regulovaný subjekt od povinnosti odovzdať kvóty podľa odseku 2 za daný referenčný rok za predpokladu, že:</w:t>
            </w:r>
          </w:p>
          <w:p w14:paraId="2B08937A" w14:textId="77777777" w:rsidR="00357CEC" w:rsidRPr="001300A9" w:rsidRDefault="00357CEC" w:rsidP="00357CEC">
            <w:pPr>
              <w:pStyle w:val="Default"/>
              <w:rPr>
                <w:sz w:val="22"/>
                <w:szCs w:val="22"/>
              </w:rPr>
            </w:pPr>
            <w:r w:rsidRPr="001300A9">
              <w:rPr>
                <w:sz w:val="22"/>
                <w:szCs w:val="22"/>
              </w:rPr>
              <w:t>a) dotknutý členský štát oznámi Komisii uvedenú národnú uhlíkovú daň do 31. decembra 2023 a do uvedeného dátumu už nadobudlo účinnosť vnútroštátne právo, ktorým sa stanovujú sadzby dane uplatniteľné na roky 2027 až 2030; dotknutý členský štát oznámi Komisii každú následnú zmenu vnútroštátnej uhlíkovej dane;</w:t>
            </w:r>
          </w:p>
          <w:p w14:paraId="030E6E0A" w14:textId="77777777" w:rsidR="00357CEC" w:rsidRPr="001300A9" w:rsidRDefault="00357CEC" w:rsidP="00357CEC">
            <w:pPr>
              <w:pStyle w:val="Default"/>
              <w:rPr>
                <w:sz w:val="22"/>
                <w:szCs w:val="22"/>
              </w:rPr>
            </w:pPr>
            <w:r w:rsidRPr="001300A9">
              <w:rPr>
                <w:sz w:val="22"/>
                <w:szCs w:val="22"/>
              </w:rPr>
              <w:t>b) vnútroštátna uhlíková daň dotknutého členského štátu, ktorú za referenčný rok skutočne zaplatil uvedený regulovaný subjekt, je vyššia ako priemerná aukčná zúčtovacia cena systému obchodovania s emisiami zriadeného podľa tejto kapitoly;</w:t>
            </w:r>
          </w:p>
          <w:p w14:paraId="5BA02A62" w14:textId="77777777" w:rsidR="00357CEC" w:rsidRPr="001300A9" w:rsidRDefault="00357CEC" w:rsidP="00357CEC">
            <w:pPr>
              <w:pStyle w:val="Default"/>
              <w:rPr>
                <w:sz w:val="22"/>
                <w:szCs w:val="22"/>
              </w:rPr>
            </w:pPr>
            <w:r w:rsidRPr="001300A9">
              <w:rPr>
                <w:sz w:val="22"/>
                <w:szCs w:val="22"/>
              </w:rPr>
              <w:t>c) regulovaný subjekt v plnej miere dodržiava povinnosti podľa článku 30b o povoleniach na emisie skleníkových plynov a článku 30f o monitorovaní, nahlasovaní a overovaní svojich emisií;</w:t>
            </w:r>
          </w:p>
          <w:p w14:paraId="2A86C6A6" w14:textId="77777777" w:rsidR="00357CEC" w:rsidRPr="001300A9" w:rsidRDefault="00357CEC" w:rsidP="00357CEC">
            <w:pPr>
              <w:pStyle w:val="Default"/>
              <w:rPr>
                <w:sz w:val="22"/>
                <w:szCs w:val="22"/>
              </w:rPr>
            </w:pPr>
            <w:r w:rsidRPr="001300A9">
              <w:rPr>
                <w:sz w:val="22"/>
                <w:szCs w:val="22"/>
              </w:rPr>
              <w:t xml:space="preserve">d) dotknutý členský štát do 31. mája roka nasledujúceho po referenčnom roku oznámi Komisii uplatňovanie každej takejto výnimky a zodpovedajúce množstvo kvót, ktoré sa majú zrušiť v súlade s písmenom g) tohto </w:t>
            </w:r>
            <w:proofErr w:type="spellStart"/>
            <w:r w:rsidRPr="001300A9">
              <w:rPr>
                <w:sz w:val="22"/>
                <w:szCs w:val="22"/>
              </w:rPr>
              <w:t>pododseku</w:t>
            </w:r>
            <w:proofErr w:type="spellEnd"/>
            <w:r w:rsidRPr="001300A9">
              <w:rPr>
                <w:sz w:val="22"/>
                <w:szCs w:val="22"/>
              </w:rPr>
              <w:t xml:space="preserve"> a delegovanými aktmi prijatými podľa článku 10 ods. 4;</w:t>
            </w:r>
          </w:p>
          <w:p w14:paraId="0F7F9F01" w14:textId="77777777" w:rsidR="00357CEC" w:rsidRPr="001300A9" w:rsidRDefault="00357CEC" w:rsidP="00357CEC">
            <w:pPr>
              <w:pStyle w:val="Default"/>
              <w:rPr>
                <w:sz w:val="22"/>
                <w:szCs w:val="22"/>
              </w:rPr>
            </w:pPr>
            <w:r w:rsidRPr="001300A9">
              <w:rPr>
                <w:sz w:val="22"/>
                <w:szCs w:val="22"/>
              </w:rPr>
              <w:t xml:space="preserve">e) Komisia nevznesie do troch mesiacov od oznámenia podľa písmena a) tohto </w:t>
            </w:r>
            <w:proofErr w:type="spellStart"/>
            <w:r w:rsidRPr="001300A9">
              <w:rPr>
                <w:sz w:val="22"/>
                <w:szCs w:val="22"/>
              </w:rPr>
              <w:t>pododseku</w:t>
            </w:r>
            <w:proofErr w:type="spellEnd"/>
            <w:r w:rsidRPr="001300A9">
              <w:rPr>
                <w:sz w:val="22"/>
                <w:szCs w:val="22"/>
              </w:rPr>
              <w:t xml:space="preserve"> alebo do jedného mesiaca od oznámenia za príslušný rok podľa písmena d) tohto </w:t>
            </w:r>
            <w:proofErr w:type="spellStart"/>
            <w:r w:rsidRPr="001300A9">
              <w:rPr>
                <w:sz w:val="22"/>
                <w:szCs w:val="22"/>
              </w:rPr>
              <w:t>pododseku</w:t>
            </w:r>
            <w:proofErr w:type="spellEnd"/>
            <w:r w:rsidRPr="001300A9">
              <w:rPr>
                <w:sz w:val="22"/>
                <w:szCs w:val="22"/>
              </w:rPr>
              <w:t xml:space="preserve"> námietku proti uplatňovaniu výnimky z dôvodu, že oznámené opatrenie nie je v súlade s podmienkami stanovenými v tomto odseku;</w:t>
            </w:r>
          </w:p>
          <w:p w14:paraId="2E03B4E4" w14:textId="77777777" w:rsidR="00357CEC" w:rsidRPr="001300A9" w:rsidRDefault="00357CEC" w:rsidP="00357CEC">
            <w:pPr>
              <w:pStyle w:val="Default"/>
              <w:rPr>
                <w:sz w:val="22"/>
                <w:szCs w:val="22"/>
              </w:rPr>
            </w:pPr>
            <w:r w:rsidRPr="001300A9">
              <w:rPr>
                <w:sz w:val="22"/>
                <w:szCs w:val="22"/>
              </w:rPr>
              <w:t xml:space="preserve">f) dotknutý členský štát nevydraží množstvo kvót uvedené v článku 30d ods. 5 za konkrétny referenčný rok, kým sa množstvo kvót, ktoré sa má zrušiť podľa tohto odseku, neurčí v súlade s písmenom g) tohto </w:t>
            </w:r>
            <w:proofErr w:type="spellStart"/>
            <w:r w:rsidRPr="001300A9">
              <w:rPr>
                <w:sz w:val="22"/>
                <w:szCs w:val="22"/>
              </w:rPr>
              <w:t>pododseku</w:t>
            </w:r>
            <w:proofErr w:type="spellEnd"/>
            <w:r w:rsidRPr="001300A9">
              <w:rPr>
                <w:sz w:val="22"/>
                <w:szCs w:val="22"/>
              </w:rPr>
              <w:t xml:space="preserve">; dotknutý členský štát nesmie obchodovať formou aukcie so žiadnym dodatočným množstvom kvót podľa článku 30d ods. 2 prvého </w:t>
            </w:r>
            <w:proofErr w:type="spellStart"/>
            <w:r w:rsidRPr="001300A9">
              <w:rPr>
                <w:sz w:val="22"/>
                <w:szCs w:val="22"/>
              </w:rPr>
              <w:t>pododseku</w:t>
            </w:r>
            <w:proofErr w:type="spellEnd"/>
            <w:r w:rsidRPr="001300A9">
              <w:rPr>
                <w:sz w:val="22"/>
                <w:szCs w:val="22"/>
              </w:rPr>
              <w:t>;</w:t>
            </w:r>
          </w:p>
          <w:p w14:paraId="5F3F6C43" w14:textId="77777777" w:rsidR="00357CEC" w:rsidRPr="001300A9" w:rsidRDefault="00357CEC" w:rsidP="00357CEC">
            <w:pPr>
              <w:pStyle w:val="Default"/>
              <w:rPr>
                <w:sz w:val="22"/>
                <w:szCs w:val="22"/>
              </w:rPr>
            </w:pPr>
            <w:r w:rsidRPr="001300A9">
              <w:rPr>
                <w:sz w:val="22"/>
                <w:szCs w:val="22"/>
              </w:rPr>
              <w:t xml:space="preserve">g) dotknutý členský štát zruší množstvo kvót z celkového množstva kvót, s ktorými má obchodovať formou aukcie, uvedené v článku 30d ods. 5, za referenčný rok, ktoré sa rovná overeným emisiám daného regulovaného subjektu podľa tejto kapitoly za referenčný rok; ak je objem kvót, s ktorým sa má po uplatnení písmena f) tohto </w:t>
            </w:r>
            <w:proofErr w:type="spellStart"/>
            <w:r w:rsidRPr="001300A9">
              <w:rPr>
                <w:sz w:val="22"/>
                <w:szCs w:val="22"/>
              </w:rPr>
              <w:t>pododseku</w:t>
            </w:r>
            <w:proofErr w:type="spellEnd"/>
            <w:r w:rsidRPr="001300A9">
              <w:rPr>
                <w:sz w:val="22"/>
                <w:szCs w:val="22"/>
              </w:rPr>
              <w:t xml:space="preserve"> ešte obchodovať formou aukcie v referenčnom roku, nižší ako objem kvót, ktoré sa majú zrušiť podľa tohto odseku, dotknutý členský štát zabezpečí, aby do konca roka nasledujúceho po referenčnom roku zrušil objem kvót zodpovedajúci rozdielu; a</w:t>
            </w:r>
          </w:p>
          <w:p w14:paraId="1F293396" w14:textId="77777777" w:rsidR="00357CEC" w:rsidRPr="001300A9" w:rsidRDefault="00357CEC" w:rsidP="00357CEC">
            <w:pPr>
              <w:pStyle w:val="Default"/>
              <w:rPr>
                <w:sz w:val="22"/>
                <w:szCs w:val="22"/>
              </w:rPr>
            </w:pPr>
            <w:r w:rsidRPr="001300A9">
              <w:rPr>
                <w:sz w:val="22"/>
                <w:szCs w:val="22"/>
              </w:rPr>
              <w:t xml:space="preserve">h) dotknutý členský štát sa v čase prvého oznámenia podľa písmena a) tohto </w:t>
            </w:r>
            <w:proofErr w:type="spellStart"/>
            <w:r w:rsidRPr="001300A9">
              <w:rPr>
                <w:sz w:val="22"/>
                <w:szCs w:val="22"/>
              </w:rPr>
              <w:t>pododseku</w:t>
            </w:r>
            <w:proofErr w:type="spellEnd"/>
            <w:r w:rsidRPr="001300A9">
              <w:rPr>
                <w:sz w:val="22"/>
                <w:szCs w:val="22"/>
              </w:rPr>
              <w:t xml:space="preserve"> zaviaže použiť na jedno alebo viacero opatrení uvedených v článku 30d ods. 6 prvom </w:t>
            </w:r>
            <w:proofErr w:type="spellStart"/>
            <w:r w:rsidRPr="001300A9">
              <w:rPr>
                <w:sz w:val="22"/>
                <w:szCs w:val="22"/>
              </w:rPr>
              <w:t>pododseku</w:t>
            </w:r>
            <w:proofErr w:type="spellEnd"/>
            <w:r w:rsidRPr="001300A9">
              <w:rPr>
                <w:sz w:val="22"/>
                <w:szCs w:val="22"/>
              </w:rPr>
              <w:t xml:space="preserve"> alebo opatrení, na ktoré sa tam odkazuje, sumu rovnajúcu sa príjmom, na ktoré by sa uplatnil článok 30d ods. 6, ak by sa táto výnimka neuplatňovala; uplatňuje sa článok 30d ods. 6 druhý a tretí </w:t>
            </w:r>
            <w:proofErr w:type="spellStart"/>
            <w:r w:rsidRPr="001300A9">
              <w:rPr>
                <w:sz w:val="22"/>
                <w:szCs w:val="22"/>
              </w:rPr>
              <w:t>pododsek</w:t>
            </w:r>
            <w:proofErr w:type="spellEnd"/>
            <w:r w:rsidRPr="001300A9">
              <w:rPr>
                <w:sz w:val="22"/>
                <w:szCs w:val="22"/>
              </w:rPr>
              <w:t xml:space="preserve"> a Komisia zabezpečí, aby informácie získané na tomto základe boli v súlade so záväzkom prijatým podľa tohto písmena.</w:t>
            </w:r>
          </w:p>
          <w:p w14:paraId="0AACD4E4" w14:textId="77777777" w:rsidR="00357CEC" w:rsidRPr="001300A9" w:rsidRDefault="00357CEC" w:rsidP="00357CEC">
            <w:pPr>
              <w:pStyle w:val="Default"/>
              <w:rPr>
                <w:sz w:val="22"/>
                <w:szCs w:val="22"/>
              </w:rPr>
            </w:pPr>
          </w:p>
          <w:p w14:paraId="236FE8AD" w14:textId="77777777" w:rsidR="00357CEC" w:rsidRPr="001300A9" w:rsidRDefault="00357CEC" w:rsidP="00357CEC">
            <w:pPr>
              <w:pStyle w:val="Default"/>
              <w:rPr>
                <w:sz w:val="22"/>
                <w:szCs w:val="22"/>
              </w:rPr>
            </w:pPr>
            <w:r w:rsidRPr="001300A9">
              <w:rPr>
                <w:sz w:val="22"/>
                <w:szCs w:val="22"/>
              </w:rPr>
              <w:t xml:space="preserve">Objem kvót, ktoré sa majú zrušiť podľa prvého </w:t>
            </w:r>
            <w:proofErr w:type="spellStart"/>
            <w:r w:rsidRPr="001300A9">
              <w:rPr>
                <w:sz w:val="22"/>
                <w:szCs w:val="22"/>
              </w:rPr>
              <w:t>pododseku</w:t>
            </w:r>
            <w:proofErr w:type="spellEnd"/>
            <w:r w:rsidRPr="001300A9">
              <w:rPr>
                <w:sz w:val="22"/>
                <w:szCs w:val="22"/>
              </w:rPr>
              <w:t xml:space="preserve"> písm. g) tohto odseku, nemá vplyv na vonkajšie pripísané príjmy stanovené podľa článku 30d ods. 4 tejto smernice ani na vlastné zdroje rozpočtu Únie podľa rozhodnutia Rady (EÚ, </w:t>
            </w:r>
            <w:proofErr w:type="spellStart"/>
            <w:r w:rsidRPr="001300A9">
              <w:rPr>
                <w:sz w:val="22"/>
                <w:szCs w:val="22"/>
              </w:rPr>
              <w:t>Euratom</w:t>
            </w:r>
            <w:proofErr w:type="spellEnd"/>
            <w:r w:rsidRPr="001300A9">
              <w:rPr>
                <w:sz w:val="22"/>
                <w:szCs w:val="22"/>
              </w:rPr>
              <w:t>) 2020/2053** z príjmov z obchodovania s kvótami formou aukcie v súlade s článkom 30d tejto smernice, ak boli stanovené podľa článku 311 tretieho odseku ZFEÚ.</w:t>
            </w:r>
          </w:p>
          <w:p w14:paraId="173DF105" w14:textId="77777777" w:rsidR="00357CEC" w:rsidRPr="001300A9" w:rsidRDefault="00357CEC" w:rsidP="00357CEC">
            <w:pPr>
              <w:pStyle w:val="Default"/>
              <w:rPr>
                <w:sz w:val="22"/>
                <w:szCs w:val="22"/>
              </w:rPr>
            </w:pPr>
          </w:p>
          <w:p w14:paraId="3E53FAD3" w14:textId="77777777" w:rsidR="00357CEC" w:rsidRPr="001300A9" w:rsidRDefault="00357CEC" w:rsidP="00357CEC">
            <w:pPr>
              <w:pStyle w:val="Default"/>
              <w:rPr>
                <w:sz w:val="22"/>
                <w:szCs w:val="22"/>
              </w:rPr>
            </w:pPr>
            <w:r w:rsidRPr="001300A9">
              <w:rPr>
                <w:sz w:val="22"/>
                <w:szCs w:val="22"/>
              </w:rPr>
              <w:t xml:space="preserve">4. Nemocniciam, na ktoré sa nevzťahuje kapitola III, sa môže poskytnúť finančná náhrada za náklady, ktoré sa na </w:t>
            </w:r>
            <w:proofErr w:type="spellStart"/>
            <w:r w:rsidRPr="001300A9">
              <w:rPr>
                <w:sz w:val="22"/>
                <w:szCs w:val="22"/>
              </w:rPr>
              <w:t>ne</w:t>
            </w:r>
            <w:proofErr w:type="spellEnd"/>
            <w:r w:rsidRPr="001300A9">
              <w:rPr>
                <w:sz w:val="22"/>
                <w:szCs w:val="22"/>
              </w:rPr>
              <w:t xml:space="preserve"> preniesli v dôsledku odovzdania kvót podľa tejto kapitoly. Na uvedený účel sa ustanovenia tejto kapitoly uplatniteľné na prípady dvojitého započítania uplatňujú </w:t>
            </w:r>
            <w:proofErr w:type="spellStart"/>
            <w:r w:rsidRPr="001300A9">
              <w:rPr>
                <w:i/>
                <w:sz w:val="22"/>
                <w:szCs w:val="22"/>
              </w:rPr>
              <w:t>mutatis</w:t>
            </w:r>
            <w:proofErr w:type="spellEnd"/>
            <w:r w:rsidRPr="001300A9">
              <w:rPr>
                <w:i/>
                <w:sz w:val="22"/>
                <w:szCs w:val="22"/>
              </w:rPr>
              <w:t xml:space="preserve"> </w:t>
            </w:r>
            <w:proofErr w:type="spellStart"/>
            <w:r w:rsidRPr="001300A9">
              <w:rPr>
                <w:i/>
                <w:sz w:val="22"/>
                <w:szCs w:val="22"/>
              </w:rPr>
              <w:t>mutandis</w:t>
            </w:r>
            <w:proofErr w:type="spellEnd"/>
            <w:r w:rsidRPr="001300A9">
              <w:rPr>
                <w:sz w:val="22"/>
                <w:szCs w:val="22"/>
              </w:rPr>
              <w:t>.</w:t>
            </w:r>
          </w:p>
          <w:p w14:paraId="36CA385C" w14:textId="77777777" w:rsidR="00357CEC" w:rsidRPr="001300A9" w:rsidRDefault="00357CEC" w:rsidP="00357CEC">
            <w:pPr>
              <w:pStyle w:val="Default"/>
              <w:rPr>
                <w:sz w:val="22"/>
                <w:szCs w:val="22"/>
              </w:rPr>
            </w:pPr>
          </w:p>
          <w:p w14:paraId="06E0F4BF" w14:textId="77777777" w:rsidR="00357CEC" w:rsidRPr="001300A9" w:rsidRDefault="00357CEC" w:rsidP="00357CEC">
            <w:pPr>
              <w:pStyle w:val="Default"/>
              <w:rPr>
                <w:i/>
                <w:sz w:val="22"/>
                <w:szCs w:val="22"/>
              </w:rPr>
            </w:pPr>
            <w:r w:rsidRPr="001300A9">
              <w:rPr>
                <w:i/>
                <w:sz w:val="22"/>
                <w:szCs w:val="22"/>
              </w:rPr>
              <w:t>Článok 30f</w:t>
            </w:r>
          </w:p>
          <w:p w14:paraId="7F19F642" w14:textId="77777777" w:rsidR="00357CEC" w:rsidRPr="001300A9" w:rsidRDefault="00357CEC" w:rsidP="00357CEC">
            <w:pPr>
              <w:pStyle w:val="Default"/>
              <w:rPr>
                <w:i/>
                <w:sz w:val="22"/>
                <w:szCs w:val="22"/>
              </w:rPr>
            </w:pPr>
            <w:r w:rsidRPr="001300A9">
              <w:rPr>
                <w:i/>
                <w:sz w:val="22"/>
                <w:szCs w:val="22"/>
              </w:rPr>
              <w:t>Monitorovanie, nahlasovanie, overovanie emisií a akreditácia</w:t>
            </w:r>
          </w:p>
          <w:p w14:paraId="22094EFE" w14:textId="77777777" w:rsidR="00357CEC" w:rsidRPr="001300A9" w:rsidRDefault="00357CEC" w:rsidP="00357CEC">
            <w:pPr>
              <w:pStyle w:val="Default"/>
              <w:rPr>
                <w:sz w:val="22"/>
                <w:szCs w:val="22"/>
              </w:rPr>
            </w:pPr>
            <w:r w:rsidRPr="001300A9">
              <w:rPr>
                <w:sz w:val="22"/>
                <w:szCs w:val="22"/>
              </w:rPr>
              <w:t>1. Na emisie, regulované subjekty a kvóty, na ktoré sa vzťahuje táto kapitola, sa uplatňujú články 14 a 15. Na uvedený účel:</w:t>
            </w:r>
          </w:p>
          <w:p w14:paraId="5A283A6B" w14:textId="77777777" w:rsidR="00357CEC" w:rsidRPr="001300A9" w:rsidRDefault="00357CEC" w:rsidP="00357CEC">
            <w:pPr>
              <w:pStyle w:val="Default"/>
              <w:rPr>
                <w:sz w:val="22"/>
                <w:szCs w:val="22"/>
              </w:rPr>
            </w:pPr>
            <w:r w:rsidRPr="001300A9">
              <w:rPr>
                <w:sz w:val="22"/>
                <w:szCs w:val="22"/>
              </w:rPr>
              <w:t>a) treba každý odkaz na emisie chápať ako odkaz na emisie, na ktoré sa vzťahuje táto kapitola;</w:t>
            </w:r>
          </w:p>
          <w:p w14:paraId="5455F409" w14:textId="77777777" w:rsidR="00357CEC" w:rsidRPr="001300A9" w:rsidRDefault="00357CEC" w:rsidP="00357CEC">
            <w:pPr>
              <w:pStyle w:val="Default"/>
              <w:rPr>
                <w:sz w:val="22"/>
                <w:szCs w:val="22"/>
              </w:rPr>
            </w:pPr>
            <w:r w:rsidRPr="001300A9">
              <w:rPr>
                <w:sz w:val="22"/>
                <w:szCs w:val="22"/>
              </w:rPr>
              <w:t>b) treba každý odkaz na činnosť uvedenú v prílohe I chápať ako odkaz na činnosť uvedenú v prílohe III;</w:t>
            </w:r>
          </w:p>
          <w:p w14:paraId="007FDCF5" w14:textId="77777777" w:rsidR="00357CEC" w:rsidRPr="001300A9" w:rsidRDefault="00357CEC" w:rsidP="00357CEC">
            <w:pPr>
              <w:pStyle w:val="Default"/>
              <w:rPr>
                <w:sz w:val="22"/>
                <w:szCs w:val="22"/>
              </w:rPr>
            </w:pPr>
            <w:r w:rsidRPr="001300A9">
              <w:rPr>
                <w:sz w:val="22"/>
                <w:szCs w:val="22"/>
              </w:rPr>
              <w:t>c) treba každý odkaz na prevádzkovateľov chápať ako odkaz na regulované subjekty, na ktoré sa vzťahuje táto kapitola;</w:t>
            </w:r>
          </w:p>
          <w:p w14:paraId="444C54C2" w14:textId="77777777" w:rsidR="00357CEC" w:rsidRPr="001300A9" w:rsidRDefault="00357CEC" w:rsidP="00357CEC">
            <w:pPr>
              <w:pStyle w:val="Default"/>
              <w:rPr>
                <w:sz w:val="22"/>
                <w:szCs w:val="22"/>
              </w:rPr>
            </w:pPr>
            <w:r w:rsidRPr="001300A9">
              <w:rPr>
                <w:sz w:val="22"/>
                <w:szCs w:val="22"/>
              </w:rPr>
              <w:t>d) treba každý odkaz na kvóty chápať ako odkaz na kvóty, na ktoré sa vzťahuje táto kapitola;</w:t>
            </w:r>
          </w:p>
          <w:p w14:paraId="3F5C6155" w14:textId="77777777" w:rsidR="00357CEC" w:rsidRPr="001300A9" w:rsidRDefault="00357CEC" w:rsidP="00357CEC">
            <w:pPr>
              <w:pStyle w:val="Default"/>
              <w:rPr>
                <w:sz w:val="22"/>
                <w:szCs w:val="22"/>
              </w:rPr>
            </w:pPr>
            <w:r w:rsidRPr="001300A9">
              <w:rPr>
                <w:sz w:val="22"/>
                <w:szCs w:val="22"/>
              </w:rPr>
              <w:t>e) treba každý odkaz na dátum v článku 15 chápať ako odkaz na 30. apríl.</w:t>
            </w:r>
          </w:p>
          <w:p w14:paraId="560ECA6D" w14:textId="433D80A5" w:rsidR="00357CEC" w:rsidRDefault="00357CEC" w:rsidP="00357CEC">
            <w:pPr>
              <w:pStyle w:val="Default"/>
              <w:rPr>
                <w:sz w:val="22"/>
                <w:szCs w:val="22"/>
              </w:rPr>
            </w:pPr>
          </w:p>
          <w:p w14:paraId="297D2311" w14:textId="40B716F2" w:rsidR="004E1026" w:rsidRDefault="004E1026" w:rsidP="00357CEC">
            <w:pPr>
              <w:pStyle w:val="Default"/>
              <w:rPr>
                <w:sz w:val="22"/>
                <w:szCs w:val="22"/>
              </w:rPr>
            </w:pPr>
          </w:p>
          <w:p w14:paraId="4AF81E9A" w14:textId="2BBAC7DF" w:rsidR="004E1026" w:rsidRDefault="004E1026" w:rsidP="00357CEC">
            <w:pPr>
              <w:pStyle w:val="Default"/>
              <w:rPr>
                <w:sz w:val="22"/>
                <w:szCs w:val="22"/>
              </w:rPr>
            </w:pPr>
          </w:p>
          <w:p w14:paraId="37928C41" w14:textId="0C1B7614" w:rsidR="004E1026" w:rsidRDefault="004E1026" w:rsidP="00357CEC">
            <w:pPr>
              <w:pStyle w:val="Default"/>
              <w:rPr>
                <w:sz w:val="22"/>
                <w:szCs w:val="22"/>
              </w:rPr>
            </w:pPr>
          </w:p>
          <w:p w14:paraId="148D964A" w14:textId="35F87938" w:rsidR="004E1026" w:rsidRDefault="004E1026" w:rsidP="00357CEC">
            <w:pPr>
              <w:pStyle w:val="Default"/>
              <w:rPr>
                <w:sz w:val="22"/>
                <w:szCs w:val="22"/>
              </w:rPr>
            </w:pPr>
          </w:p>
          <w:p w14:paraId="184F3C7A" w14:textId="77777777" w:rsidR="009D0AA1" w:rsidRPr="001300A9" w:rsidRDefault="009D0AA1" w:rsidP="00357CEC">
            <w:pPr>
              <w:pStyle w:val="Default"/>
              <w:rPr>
                <w:sz w:val="22"/>
                <w:szCs w:val="22"/>
              </w:rPr>
            </w:pPr>
          </w:p>
          <w:p w14:paraId="10789B8E" w14:textId="77777777" w:rsidR="00357CEC" w:rsidRPr="001300A9" w:rsidRDefault="00357CEC" w:rsidP="00357CEC">
            <w:pPr>
              <w:pStyle w:val="Default"/>
              <w:rPr>
                <w:sz w:val="22"/>
                <w:szCs w:val="22"/>
              </w:rPr>
            </w:pPr>
            <w:r w:rsidRPr="001300A9">
              <w:rPr>
                <w:sz w:val="22"/>
                <w:szCs w:val="22"/>
              </w:rPr>
              <w:t>2. Členské štáty zabezpečia, aby každý regulovaný subjekt od roku 2025 monitoroval za každý kalendárny rok emisie zodpovedajúce množstvám palív uvedených do daňového voľného obehu podľa prílohy III. Zároveň musia zabezpečiť, aby každý regulovaný subjekt počnúc rokom 2026 uvedené emisie v nasledujúcom roku nahlasoval príslušnému orgánu v súlade s vykonávacím aktom uvedeným v článku 14 ods. 1.</w:t>
            </w:r>
          </w:p>
          <w:p w14:paraId="524D54C2" w14:textId="3D69EF40" w:rsidR="004A64C9" w:rsidRPr="001300A9" w:rsidRDefault="004A64C9" w:rsidP="00357CEC">
            <w:pPr>
              <w:pStyle w:val="Default"/>
              <w:rPr>
                <w:sz w:val="22"/>
                <w:szCs w:val="22"/>
              </w:rPr>
            </w:pPr>
          </w:p>
          <w:p w14:paraId="2190450E" w14:textId="77777777" w:rsidR="00357CEC" w:rsidRPr="001300A9" w:rsidRDefault="00357CEC" w:rsidP="00357CEC">
            <w:pPr>
              <w:pStyle w:val="Default"/>
              <w:rPr>
                <w:sz w:val="22"/>
                <w:szCs w:val="22"/>
              </w:rPr>
            </w:pPr>
            <w:r w:rsidRPr="001300A9">
              <w:rPr>
                <w:sz w:val="22"/>
                <w:szCs w:val="22"/>
              </w:rPr>
              <w:t>3. Od 1. januára 2028 členské štáty zabezpečia, aby do 30. apríla každého roka do roku 2030 každý regulovaný subjekt nahlasoval priemerný podiel nákladov súvisiacich s odovzdaním kvót podľa tejto kapitoly, ktoré preniesol na spotrebiteľov za predchádzajúci rok. Komisia prijme vykonávacie akty týkajúce sa požiadaviek a vzorov pre uvedené správy. Uvedené vykonávacie akty sa prijmú v súlade s postupom preskúmania uvedeným v článku 22a ods. 2. Komisia posúdi predložené správy a každoročne podá správu o svojich zisteniach Európskemu parlamentu a Rade. Ak Komisia zistí, že existujú nevhodné postupy, pokiaľ ide o prenos nákladov na uhlík, k správe môžu byť v prípade potreby priložené legislatívne návrhy zamerané na riešenie takýchto nesprávnych praktík.</w:t>
            </w:r>
          </w:p>
          <w:p w14:paraId="36B5DE29" w14:textId="77777777" w:rsidR="00357CEC" w:rsidRPr="001300A9" w:rsidRDefault="00357CEC" w:rsidP="00357CEC">
            <w:pPr>
              <w:pStyle w:val="Default"/>
              <w:rPr>
                <w:sz w:val="22"/>
                <w:szCs w:val="22"/>
              </w:rPr>
            </w:pPr>
          </w:p>
          <w:p w14:paraId="7A18ADF2" w14:textId="75CD1794" w:rsidR="00357CEC" w:rsidRPr="001300A9" w:rsidRDefault="00357CEC" w:rsidP="00357CEC">
            <w:pPr>
              <w:pStyle w:val="Default"/>
              <w:rPr>
                <w:sz w:val="22"/>
                <w:szCs w:val="22"/>
              </w:rPr>
            </w:pPr>
            <w:r w:rsidRPr="001300A9">
              <w:rPr>
                <w:sz w:val="22"/>
                <w:szCs w:val="22"/>
              </w:rPr>
              <w:t xml:space="preserve">4. Členské štáty zabezpečia, aby každý regulovaný subjekt, ktorý je k 1. januáru 2025 držiteľom povolenia v súlade s článkom 30b, nahlásil do 30. apríla 2025 svoje historické emisie za rok 2024. </w:t>
            </w:r>
          </w:p>
          <w:p w14:paraId="1FD62210" w14:textId="77777777" w:rsidR="00357CEC" w:rsidRPr="001300A9" w:rsidRDefault="00357CEC" w:rsidP="00357CEC">
            <w:pPr>
              <w:pStyle w:val="Default"/>
              <w:rPr>
                <w:sz w:val="22"/>
                <w:szCs w:val="22"/>
              </w:rPr>
            </w:pPr>
          </w:p>
          <w:p w14:paraId="74E5911B" w14:textId="77777777" w:rsidR="00357CEC" w:rsidRPr="001300A9" w:rsidRDefault="00357CEC" w:rsidP="00357CEC">
            <w:pPr>
              <w:pStyle w:val="Default"/>
              <w:rPr>
                <w:sz w:val="22"/>
                <w:szCs w:val="22"/>
              </w:rPr>
            </w:pPr>
            <w:r w:rsidRPr="001300A9">
              <w:rPr>
                <w:sz w:val="22"/>
                <w:szCs w:val="22"/>
              </w:rPr>
              <w:t>5. Členské štáty zabezpečia, aby boli regulované subjekty schopné podľa druhu paliva spoľahlivo a presne identifikovať a zdokumentovať presné množstvá paliva uvedené do daňového voľného obehu, ktoré sa používajú na účely spaľovania v odvetviach uvedených v prílohe III, ako aj konečné použitie palív uvedených do daňového voľného obehu regulovanými subjektmi. Členské štáty prijmú vhodné opatrenia na obmedzenie rizika dvojitého započítania emisií, na ktoré sa vzťahuje táto kapitola, a emisií podľa kapitol II a III, ako aj rizika odovzdania kvót za emisie, na ktoré sa nevzťahuje táto kapitola.</w:t>
            </w:r>
          </w:p>
          <w:p w14:paraId="25FCBC16" w14:textId="77777777" w:rsidR="00357CEC" w:rsidRPr="001300A9" w:rsidRDefault="00357CEC" w:rsidP="00357CEC">
            <w:pPr>
              <w:pStyle w:val="Default"/>
              <w:rPr>
                <w:sz w:val="22"/>
                <w:szCs w:val="22"/>
              </w:rPr>
            </w:pPr>
          </w:p>
          <w:p w14:paraId="6BC85475" w14:textId="77777777" w:rsidR="00357CEC" w:rsidRPr="001300A9" w:rsidRDefault="00357CEC" w:rsidP="00357CEC">
            <w:pPr>
              <w:pStyle w:val="Default"/>
              <w:rPr>
                <w:sz w:val="22"/>
                <w:szCs w:val="22"/>
              </w:rPr>
            </w:pPr>
            <w:r w:rsidRPr="001300A9">
              <w:rPr>
                <w:sz w:val="22"/>
                <w:szCs w:val="22"/>
              </w:rPr>
              <w:t>Komisia prijme vykonávacie akty týkajúce sa podrobných pravidiel na zabránenie dvojitému započítaniu a odovzdávaniu kvót v prípade emisií, na ktoré sa nevzťahuje táto kapitola, ako aj na poskytovanie finančnej kompenzácie konečným spotrebiteľom palív v prípadoch, keď takémuto dvojitému započítaniu alebo odovzdaniu nemožno zabrániť. Uvedené vykonávacie akty sa prijmú v súlade s postupom preskúmania uvedeným v článku 22a ods. 2. Výpočet finančnej kompenzácie pre konečných spotrebiteľov palív vychádza z priemernej ceny kvót na aukciách vykonaných v súlade s delegovanými aktmi prijatými podľa článku 10 ods. 4 v príslušnom roku nahlasovania.</w:t>
            </w:r>
          </w:p>
          <w:p w14:paraId="7F5CFCBE" w14:textId="77777777" w:rsidR="00357CEC" w:rsidRPr="001300A9" w:rsidRDefault="00357CEC" w:rsidP="00357CEC">
            <w:pPr>
              <w:pStyle w:val="Default"/>
              <w:rPr>
                <w:sz w:val="22"/>
                <w:szCs w:val="22"/>
              </w:rPr>
            </w:pPr>
          </w:p>
          <w:p w14:paraId="2D590920" w14:textId="77777777" w:rsidR="00357CEC" w:rsidRPr="001300A9" w:rsidRDefault="00357CEC" w:rsidP="00357CEC">
            <w:pPr>
              <w:pStyle w:val="Default"/>
              <w:rPr>
                <w:sz w:val="22"/>
                <w:szCs w:val="22"/>
              </w:rPr>
            </w:pPr>
            <w:r w:rsidRPr="001300A9">
              <w:rPr>
                <w:sz w:val="22"/>
                <w:szCs w:val="22"/>
              </w:rPr>
              <w:t>6. Zásady monitorovania a nahlasovania emisií, na ktoré sa vzťahuje táto kapitola, sú stanovené v časti C prílohy IV.</w:t>
            </w:r>
          </w:p>
          <w:p w14:paraId="4BBFCD17" w14:textId="77777777" w:rsidR="00357CEC" w:rsidRPr="001300A9" w:rsidRDefault="00357CEC" w:rsidP="00357CEC">
            <w:pPr>
              <w:pStyle w:val="Default"/>
              <w:rPr>
                <w:sz w:val="22"/>
                <w:szCs w:val="22"/>
              </w:rPr>
            </w:pPr>
          </w:p>
          <w:p w14:paraId="182BDB9A" w14:textId="77777777" w:rsidR="00357CEC" w:rsidRPr="001300A9" w:rsidRDefault="00357CEC" w:rsidP="00357CEC">
            <w:pPr>
              <w:pStyle w:val="Default"/>
              <w:rPr>
                <w:sz w:val="22"/>
                <w:szCs w:val="22"/>
              </w:rPr>
            </w:pPr>
            <w:r w:rsidRPr="001300A9">
              <w:rPr>
                <w:sz w:val="22"/>
                <w:szCs w:val="22"/>
              </w:rPr>
              <w:t>7. Kritéria overovania emisií, na ktoré sa vzťahuje táto kapitola, sú stanovené v časti C prílohy V.</w:t>
            </w:r>
          </w:p>
          <w:p w14:paraId="65945A2A" w14:textId="77777777" w:rsidR="00357CEC" w:rsidRPr="001300A9" w:rsidRDefault="00357CEC" w:rsidP="00357CEC">
            <w:pPr>
              <w:pStyle w:val="Default"/>
              <w:rPr>
                <w:sz w:val="22"/>
                <w:szCs w:val="22"/>
              </w:rPr>
            </w:pPr>
          </w:p>
          <w:p w14:paraId="0753F872" w14:textId="77777777" w:rsidR="00357CEC" w:rsidRPr="001300A9" w:rsidRDefault="00357CEC" w:rsidP="00357CEC">
            <w:pPr>
              <w:pStyle w:val="Default"/>
              <w:rPr>
                <w:sz w:val="22"/>
                <w:szCs w:val="22"/>
              </w:rPr>
            </w:pPr>
            <w:r w:rsidRPr="001300A9">
              <w:rPr>
                <w:sz w:val="22"/>
                <w:szCs w:val="22"/>
              </w:rPr>
              <w:t>8. Členské štáty môžu povoliť zjednodušené opatrenia na monitorovanie, nahlasovanie a overovanie v prípade regulovaných subjektov, ktorých ročné emisie zodpovedajúce množstvu palív uvedených do daňového voľného obehu sú nižšie ako 1 000 ton ekvivalentu CO2, v súlade s vykonávacími aktmi uvedenými v článku 14 ods. 1.</w:t>
            </w:r>
          </w:p>
          <w:p w14:paraId="3B6ED234" w14:textId="77777777" w:rsidR="00357CEC" w:rsidRPr="001300A9" w:rsidRDefault="00357CEC" w:rsidP="00357CEC">
            <w:pPr>
              <w:pStyle w:val="Default"/>
              <w:rPr>
                <w:sz w:val="22"/>
                <w:szCs w:val="22"/>
              </w:rPr>
            </w:pPr>
          </w:p>
          <w:p w14:paraId="2582F5DA" w14:textId="77777777" w:rsidR="00357CEC" w:rsidRPr="001300A9" w:rsidRDefault="00357CEC" w:rsidP="00357CEC">
            <w:pPr>
              <w:pStyle w:val="Default"/>
              <w:rPr>
                <w:i/>
                <w:sz w:val="22"/>
                <w:szCs w:val="22"/>
              </w:rPr>
            </w:pPr>
            <w:r w:rsidRPr="001300A9">
              <w:rPr>
                <w:i/>
                <w:sz w:val="22"/>
                <w:szCs w:val="22"/>
              </w:rPr>
              <w:t>Článok 30g</w:t>
            </w:r>
          </w:p>
          <w:p w14:paraId="2C1E6152" w14:textId="77777777" w:rsidR="00357CEC" w:rsidRPr="001300A9" w:rsidRDefault="00357CEC" w:rsidP="00357CEC">
            <w:pPr>
              <w:pStyle w:val="Default"/>
              <w:rPr>
                <w:i/>
                <w:sz w:val="22"/>
                <w:szCs w:val="22"/>
              </w:rPr>
            </w:pPr>
            <w:r w:rsidRPr="001300A9">
              <w:rPr>
                <w:i/>
                <w:sz w:val="22"/>
                <w:szCs w:val="22"/>
              </w:rPr>
              <w:t>Správa</w:t>
            </w:r>
          </w:p>
          <w:p w14:paraId="24885850" w14:textId="77777777" w:rsidR="00357CEC" w:rsidRPr="001300A9" w:rsidRDefault="00357CEC" w:rsidP="00357CEC">
            <w:pPr>
              <w:pStyle w:val="Default"/>
              <w:rPr>
                <w:sz w:val="22"/>
                <w:szCs w:val="22"/>
              </w:rPr>
            </w:pPr>
            <w:r w:rsidRPr="001300A9">
              <w:rPr>
                <w:sz w:val="22"/>
                <w:szCs w:val="22"/>
              </w:rPr>
              <w:t>Na emisie, regulované subjekty a kvóty, na ktoré sa vzťahuje táto kapitola, sa uplatňujú články 13 a 15a, článok 16 ods. 1, 2, 3, 4 a 12 a články 17, 18, 19, 20, 21, 22, 22a, 23 a 29. Na uvedený účel:</w:t>
            </w:r>
          </w:p>
          <w:p w14:paraId="1DB0C085" w14:textId="77777777" w:rsidR="00357CEC" w:rsidRPr="001300A9" w:rsidRDefault="00357CEC" w:rsidP="00357CEC">
            <w:pPr>
              <w:pStyle w:val="Default"/>
              <w:rPr>
                <w:sz w:val="22"/>
                <w:szCs w:val="22"/>
              </w:rPr>
            </w:pPr>
            <w:r w:rsidRPr="001300A9">
              <w:rPr>
                <w:sz w:val="22"/>
                <w:szCs w:val="22"/>
              </w:rPr>
              <w:t>a) treba každý odkaz na emisie chápať ako odkaz na emisie, na ktoré sa vzťahuje táto kapitola;</w:t>
            </w:r>
          </w:p>
          <w:p w14:paraId="20D65E6C" w14:textId="77777777" w:rsidR="00357CEC" w:rsidRPr="001300A9" w:rsidRDefault="00357CEC" w:rsidP="00357CEC">
            <w:pPr>
              <w:pStyle w:val="Default"/>
              <w:rPr>
                <w:sz w:val="22"/>
                <w:szCs w:val="22"/>
              </w:rPr>
            </w:pPr>
            <w:r w:rsidRPr="001300A9">
              <w:rPr>
                <w:sz w:val="22"/>
                <w:szCs w:val="22"/>
              </w:rPr>
              <w:t>b) treba každý odkaz na prevádzkovateľov chápať ako odkaz na regulované subjekty, na ktoré sa vzťahuje táto kapitola;</w:t>
            </w:r>
          </w:p>
          <w:p w14:paraId="5AF1203C" w14:textId="77777777" w:rsidR="00357CEC" w:rsidRPr="001300A9" w:rsidRDefault="00357CEC" w:rsidP="00357CEC">
            <w:pPr>
              <w:pStyle w:val="Default"/>
              <w:rPr>
                <w:sz w:val="22"/>
                <w:szCs w:val="22"/>
              </w:rPr>
            </w:pPr>
            <w:r w:rsidRPr="001300A9">
              <w:rPr>
                <w:sz w:val="22"/>
                <w:szCs w:val="22"/>
              </w:rPr>
              <w:t>c) treba každý odkaz na kvóty chápať ako odkaz na kvóty, na ktoré sa vzťahuje táto kapitola.</w:t>
            </w:r>
          </w:p>
          <w:p w14:paraId="6F6E972E" w14:textId="77777777" w:rsidR="00357CEC" w:rsidRPr="001300A9" w:rsidRDefault="00357CEC" w:rsidP="00357CEC">
            <w:pPr>
              <w:pStyle w:val="Default"/>
              <w:rPr>
                <w:sz w:val="22"/>
                <w:szCs w:val="22"/>
              </w:rPr>
            </w:pPr>
          </w:p>
          <w:p w14:paraId="4109F992" w14:textId="77777777" w:rsidR="00F060CE" w:rsidRPr="001300A9" w:rsidRDefault="00F060CE" w:rsidP="00357CEC">
            <w:pPr>
              <w:pStyle w:val="Default"/>
              <w:rPr>
                <w:i/>
                <w:sz w:val="22"/>
                <w:szCs w:val="22"/>
              </w:rPr>
            </w:pPr>
          </w:p>
          <w:p w14:paraId="5173AF08" w14:textId="77777777" w:rsidR="00F060CE" w:rsidRPr="001300A9" w:rsidRDefault="00F060CE" w:rsidP="00357CEC">
            <w:pPr>
              <w:pStyle w:val="Default"/>
              <w:rPr>
                <w:i/>
                <w:sz w:val="22"/>
                <w:szCs w:val="22"/>
              </w:rPr>
            </w:pPr>
          </w:p>
          <w:p w14:paraId="74B3D5CB" w14:textId="77777777" w:rsidR="00F060CE" w:rsidRPr="001300A9" w:rsidRDefault="00F060CE" w:rsidP="00357CEC">
            <w:pPr>
              <w:pStyle w:val="Default"/>
              <w:rPr>
                <w:i/>
                <w:sz w:val="22"/>
                <w:szCs w:val="22"/>
              </w:rPr>
            </w:pPr>
          </w:p>
          <w:p w14:paraId="3B71E1DA" w14:textId="77777777" w:rsidR="00F060CE" w:rsidRPr="001300A9" w:rsidRDefault="00F060CE" w:rsidP="00357CEC">
            <w:pPr>
              <w:pStyle w:val="Default"/>
              <w:rPr>
                <w:i/>
                <w:sz w:val="22"/>
                <w:szCs w:val="22"/>
              </w:rPr>
            </w:pPr>
          </w:p>
          <w:p w14:paraId="5CC7AED3" w14:textId="77777777" w:rsidR="00F060CE" w:rsidRPr="001300A9" w:rsidRDefault="00F060CE" w:rsidP="00357CEC">
            <w:pPr>
              <w:pStyle w:val="Default"/>
              <w:rPr>
                <w:i/>
                <w:sz w:val="22"/>
                <w:szCs w:val="22"/>
              </w:rPr>
            </w:pPr>
          </w:p>
          <w:p w14:paraId="2DE42073" w14:textId="77777777" w:rsidR="00F060CE" w:rsidRPr="001300A9" w:rsidRDefault="00F060CE" w:rsidP="00357CEC">
            <w:pPr>
              <w:pStyle w:val="Default"/>
              <w:rPr>
                <w:i/>
                <w:sz w:val="22"/>
                <w:szCs w:val="22"/>
              </w:rPr>
            </w:pPr>
          </w:p>
          <w:p w14:paraId="3F914436" w14:textId="77777777" w:rsidR="00F060CE" w:rsidRPr="001300A9" w:rsidRDefault="00F060CE" w:rsidP="00357CEC">
            <w:pPr>
              <w:pStyle w:val="Default"/>
              <w:rPr>
                <w:i/>
                <w:sz w:val="22"/>
                <w:szCs w:val="22"/>
              </w:rPr>
            </w:pPr>
          </w:p>
          <w:p w14:paraId="6E753132" w14:textId="77777777" w:rsidR="00F060CE" w:rsidRPr="001300A9" w:rsidRDefault="00F060CE" w:rsidP="00357CEC">
            <w:pPr>
              <w:pStyle w:val="Default"/>
              <w:rPr>
                <w:i/>
                <w:sz w:val="22"/>
                <w:szCs w:val="22"/>
              </w:rPr>
            </w:pPr>
          </w:p>
          <w:p w14:paraId="47F8C359" w14:textId="77777777" w:rsidR="00F060CE" w:rsidRPr="001300A9" w:rsidRDefault="00F060CE" w:rsidP="00357CEC">
            <w:pPr>
              <w:pStyle w:val="Default"/>
              <w:rPr>
                <w:i/>
                <w:sz w:val="22"/>
                <w:szCs w:val="22"/>
              </w:rPr>
            </w:pPr>
          </w:p>
          <w:p w14:paraId="7CDCA1B7" w14:textId="77777777" w:rsidR="00F060CE" w:rsidRPr="001300A9" w:rsidRDefault="00F060CE" w:rsidP="00357CEC">
            <w:pPr>
              <w:pStyle w:val="Default"/>
              <w:rPr>
                <w:i/>
                <w:sz w:val="22"/>
                <w:szCs w:val="22"/>
              </w:rPr>
            </w:pPr>
          </w:p>
          <w:p w14:paraId="03071AFC" w14:textId="77777777" w:rsidR="00F060CE" w:rsidRPr="001300A9" w:rsidRDefault="00F060CE" w:rsidP="00357CEC">
            <w:pPr>
              <w:pStyle w:val="Default"/>
              <w:rPr>
                <w:i/>
                <w:sz w:val="22"/>
                <w:szCs w:val="22"/>
              </w:rPr>
            </w:pPr>
          </w:p>
          <w:p w14:paraId="7E458330" w14:textId="77777777" w:rsidR="00F060CE" w:rsidRPr="001300A9" w:rsidRDefault="00F060CE" w:rsidP="00357CEC">
            <w:pPr>
              <w:pStyle w:val="Default"/>
              <w:rPr>
                <w:i/>
                <w:sz w:val="22"/>
                <w:szCs w:val="22"/>
              </w:rPr>
            </w:pPr>
          </w:p>
          <w:p w14:paraId="23319728" w14:textId="77777777" w:rsidR="00F060CE" w:rsidRPr="001300A9" w:rsidRDefault="00F060CE" w:rsidP="00357CEC">
            <w:pPr>
              <w:pStyle w:val="Default"/>
              <w:rPr>
                <w:i/>
                <w:sz w:val="22"/>
                <w:szCs w:val="22"/>
              </w:rPr>
            </w:pPr>
          </w:p>
          <w:p w14:paraId="2099E149" w14:textId="77777777" w:rsidR="00F060CE" w:rsidRPr="001300A9" w:rsidRDefault="00F060CE" w:rsidP="00357CEC">
            <w:pPr>
              <w:pStyle w:val="Default"/>
              <w:rPr>
                <w:i/>
                <w:sz w:val="22"/>
                <w:szCs w:val="22"/>
              </w:rPr>
            </w:pPr>
          </w:p>
          <w:p w14:paraId="0B791F51" w14:textId="77777777" w:rsidR="00F060CE" w:rsidRPr="001300A9" w:rsidRDefault="00F060CE" w:rsidP="00357CEC">
            <w:pPr>
              <w:pStyle w:val="Default"/>
              <w:rPr>
                <w:i/>
                <w:sz w:val="22"/>
                <w:szCs w:val="22"/>
              </w:rPr>
            </w:pPr>
          </w:p>
          <w:p w14:paraId="3196A8DC" w14:textId="77777777" w:rsidR="00F060CE" w:rsidRPr="001300A9" w:rsidRDefault="00F060CE" w:rsidP="00357CEC">
            <w:pPr>
              <w:pStyle w:val="Default"/>
              <w:rPr>
                <w:i/>
                <w:sz w:val="22"/>
                <w:szCs w:val="22"/>
              </w:rPr>
            </w:pPr>
          </w:p>
          <w:p w14:paraId="4677DE6C" w14:textId="77777777" w:rsidR="00F060CE" w:rsidRPr="001300A9" w:rsidRDefault="00F060CE" w:rsidP="00357CEC">
            <w:pPr>
              <w:pStyle w:val="Default"/>
              <w:rPr>
                <w:i/>
                <w:sz w:val="22"/>
                <w:szCs w:val="22"/>
              </w:rPr>
            </w:pPr>
          </w:p>
          <w:p w14:paraId="3706D3D2" w14:textId="77777777" w:rsidR="00F060CE" w:rsidRPr="001300A9" w:rsidRDefault="00F060CE" w:rsidP="00357CEC">
            <w:pPr>
              <w:pStyle w:val="Default"/>
              <w:rPr>
                <w:i/>
                <w:sz w:val="22"/>
                <w:szCs w:val="22"/>
              </w:rPr>
            </w:pPr>
          </w:p>
          <w:p w14:paraId="366C5BD6" w14:textId="77777777" w:rsidR="00F060CE" w:rsidRPr="001300A9" w:rsidRDefault="00F060CE" w:rsidP="00357CEC">
            <w:pPr>
              <w:pStyle w:val="Default"/>
              <w:rPr>
                <w:i/>
                <w:sz w:val="22"/>
                <w:szCs w:val="22"/>
              </w:rPr>
            </w:pPr>
          </w:p>
          <w:p w14:paraId="45C9AA18" w14:textId="77777777" w:rsidR="00F060CE" w:rsidRPr="001300A9" w:rsidRDefault="00F060CE" w:rsidP="00357CEC">
            <w:pPr>
              <w:pStyle w:val="Default"/>
              <w:rPr>
                <w:i/>
                <w:sz w:val="22"/>
                <w:szCs w:val="22"/>
              </w:rPr>
            </w:pPr>
          </w:p>
          <w:p w14:paraId="6295BE00" w14:textId="77777777" w:rsidR="00F060CE" w:rsidRPr="001300A9" w:rsidRDefault="00F060CE" w:rsidP="00357CEC">
            <w:pPr>
              <w:pStyle w:val="Default"/>
              <w:rPr>
                <w:i/>
                <w:sz w:val="22"/>
                <w:szCs w:val="22"/>
              </w:rPr>
            </w:pPr>
          </w:p>
          <w:p w14:paraId="13161108" w14:textId="77777777" w:rsidR="00F060CE" w:rsidRPr="001300A9" w:rsidRDefault="00F060CE" w:rsidP="00357CEC">
            <w:pPr>
              <w:pStyle w:val="Default"/>
              <w:rPr>
                <w:i/>
                <w:sz w:val="22"/>
                <w:szCs w:val="22"/>
              </w:rPr>
            </w:pPr>
          </w:p>
          <w:p w14:paraId="773D5079" w14:textId="77777777" w:rsidR="00F060CE" w:rsidRPr="001300A9" w:rsidRDefault="00F060CE" w:rsidP="00357CEC">
            <w:pPr>
              <w:pStyle w:val="Default"/>
              <w:rPr>
                <w:i/>
                <w:sz w:val="22"/>
                <w:szCs w:val="22"/>
              </w:rPr>
            </w:pPr>
          </w:p>
          <w:p w14:paraId="28E9D1E6" w14:textId="77777777" w:rsidR="00F060CE" w:rsidRPr="001300A9" w:rsidRDefault="00F060CE" w:rsidP="00357CEC">
            <w:pPr>
              <w:pStyle w:val="Default"/>
              <w:rPr>
                <w:i/>
                <w:sz w:val="22"/>
                <w:szCs w:val="22"/>
              </w:rPr>
            </w:pPr>
          </w:p>
          <w:p w14:paraId="2EC45F69" w14:textId="77777777" w:rsidR="00F060CE" w:rsidRPr="001300A9" w:rsidRDefault="00F060CE" w:rsidP="00357CEC">
            <w:pPr>
              <w:pStyle w:val="Default"/>
              <w:rPr>
                <w:i/>
                <w:sz w:val="22"/>
                <w:szCs w:val="22"/>
              </w:rPr>
            </w:pPr>
          </w:p>
          <w:p w14:paraId="414A23AA" w14:textId="77777777" w:rsidR="00F060CE" w:rsidRPr="001300A9" w:rsidRDefault="00F060CE" w:rsidP="00357CEC">
            <w:pPr>
              <w:pStyle w:val="Default"/>
              <w:rPr>
                <w:i/>
                <w:sz w:val="22"/>
                <w:szCs w:val="22"/>
              </w:rPr>
            </w:pPr>
          </w:p>
          <w:p w14:paraId="45A7B328" w14:textId="77777777" w:rsidR="00F060CE" w:rsidRPr="001300A9" w:rsidRDefault="00F060CE" w:rsidP="00357CEC">
            <w:pPr>
              <w:pStyle w:val="Default"/>
              <w:rPr>
                <w:i/>
                <w:sz w:val="22"/>
                <w:szCs w:val="22"/>
              </w:rPr>
            </w:pPr>
          </w:p>
          <w:p w14:paraId="4B711EB1" w14:textId="77777777" w:rsidR="00F060CE" w:rsidRPr="001300A9" w:rsidRDefault="00F060CE" w:rsidP="00357CEC">
            <w:pPr>
              <w:pStyle w:val="Default"/>
              <w:rPr>
                <w:i/>
                <w:sz w:val="22"/>
                <w:szCs w:val="22"/>
              </w:rPr>
            </w:pPr>
          </w:p>
          <w:p w14:paraId="6F719D73" w14:textId="77777777" w:rsidR="00F060CE" w:rsidRPr="001300A9" w:rsidRDefault="00F060CE" w:rsidP="00357CEC">
            <w:pPr>
              <w:pStyle w:val="Default"/>
              <w:rPr>
                <w:i/>
                <w:sz w:val="22"/>
                <w:szCs w:val="22"/>
              </w:rPr>
            </w:pPr>
          </w:p>
          <w:p w14:paraId="7335E3B9" w14:textId="77777777" w:rsidR="00F060CE" w:rsidRPr="001300A9" w:rsidRDefault="00F060CE" w:rsidP="00357CEC">
            <w:pPr>
              <w:pStyle w:val="Default"/>
              <w:rPr>
                <w:i/>
                <w:sz w:val="22"/>
                <w:szCs w:val="22"/>
              </w:rPr>
            </w:pPr>
          </w:p>
          <w:p w14:paraId="1C921CEF" w14:textId="77777777" w:rsidR="00F060CE" w:rsidRPr="001300A9" w:rsidRDefault="00F060CE" w:rsidP="00357CEC">
            <w:pPr>
              <w:pStyle w:val="Default"/>
              <w:rPr>
                <w:i/>
                <w:sz w:val="22"/>
                <w:szCs w:val="22"/>
              </w:rPr>
            </w:pPr>
          </w:p>
          <w:p w14:paraId="606F4EBF" w14:textId="77777777" w:rsidR="00F060CE" w:rsidRPr="001300A9" w:rsidRDefault="00F060CE" w:rsidP="00357CEC">
            <w:pPr>
              <w:pStyle w:val="Default"/>
              <w:rPr>
                <w:i/>
                <w:sz w:val="22"/>
                <w:szCs w:val="22"/>
              </w:rPr>
            </w:pPr>
          </w:p>
          <w:p w14:paraId="3A58503D" w14:textId="77777777" w:rsidR="00F060CE" w:rsidRPr="001300A9" w:rsidRDefault="00F060CE" w:rsidP="00357CEC">
            <w:pPr>
              <w:pStyle w:val="Default"/>
              <w:rPr>
                <w:i/>
                <w:sz w:val="22"/>
                <w:szCs w:val="22"/>
              </w:rPr>
            </w:pPr>
          </w:p>
          <w:p w14:paraId="67337288" w14:textId="77777777" w:rsidR="00F060CE" w:rsidRPr="001300A9" w:rsidRDefault="00F060CE" w:rsidP="00357CEC">
            <w:pPr>
              <w:pStyle w:val="Default"/>
              <w:rPr>
                <w:i/>
                <w:sz w:val="22"/>
                <w:szCs w:val="22"/>
              </w:rPr>
            </w:pPr>
          </w:p>
          <w:p w14:paraId="7B4A3091" w14:textId="77777777" w:rsidR="00F060CE" w:rsidRPr="001300A9" w:rsidRDefault="00F060CE" w:rsidP="00357CEC">
            <w:pPr>
              <w:pStyle w:val="Default"/>
              <w:rPr>
                <w:i/>
                <w:sz w:val="22"/>
                <w:szCs w:val="22"/>
              </w:rPr>
            </w:pPr>
          </w:p>
          <w:p w14:paraId="7D51F6EF" w14:textId="77777777" w:rsidR="00F060CE" w:rsidRPr="001300A9" w:rsidRDefault="00F060CE" w:rsidP="00357CEC">
            <w:pPr>
              <w:pStyle w:val="Default"/>
              <w:rPr>
                <w:i/>
                <w:sz w:val="22"/>
                <w:szCs w:val="22"/>
              </w:rPr>
            </w:pPr>
          </w:p>
          <w:p w14:paraId="2E4BFFE8" w14:textId="77777777" w:rsidR="00F060CE" w:rsidRPr="001300A9" w:rsidRDefault="00F060CE" w:rsidP="00357CEC">
            <w:pPr>
              <w:pStyle w:val="Default"/>
              <w:rPr>
                <w:i/>
                <w:sz w:val="22"/>
                <w:szCs w:val="22"/>
              </w:rPr>
            </w:pPr>
          </w:p>
          <w:p w14:paraId="41E2BDE4" w14:textId="77777777" w:rsidR="00F060CE" w:rsidRPr="001300A9" w:rsidRDefault="00F060CE" w:rsidP="00357CEC">
            <w:pPr>
              <w:pStyle w:val="Default"/>
              <w:rPr>
                <w:i/>
                <w:sz w:val="22"/>
                <w:szCs w:val="22"/>
              </w:rPr>
            </w:pPr>
          </w:p>
          <w:p w14:paraId="1AE09998" w14:textId="77777777" w:rsidR="00F060CE" w:rsidRPr="001300A9" w:rsidRDefault="00F060CE" w:rsidP="00357CEC">
            <w:pPr>
              <w:pStyle w:val="Default"/>
              <w:rPr>
                <w:i/>
                <w:sz w:val="22"/>
                <w:szCs w:val="22"/>
              </w:rPr>
            </w:pPr>
          </w:p>
          <w:p w14:paraId="517BE2E8" w14:textId="77777777" w:rsidR="00F060CE" w:rsidRPr="001300A9" w:rsidRDefault="00F060CE" w:rsidP="00357CEC">
            <w:pPr>
              <w:pStyle w:val="Default"/>
              <w:rPr>
                <w:i/>
                <w:sz w:val="22"/>
                <w:szCs w:val="22"/>
              </w:rPr>
            </w:pPr>
          </w:p>
          <w:p w14:paraId="1D6012DF" w14:textId="77777777" w:rsidR="00F060CE" w:rsidRPr="001300A9" w:rsidRDefault="00F060CE" w:rsidP="00357CEC">
            <w:pPr>
              <w:pStyle w:val="Default"/>
              <w:rPr>
                <w:i/>
                <w:sz w:val="22"/>
                <w:szCs w:val="22"/>
              </w:rPr>
            </w:pPr>
          </w:p>
          <w:p w14:paraId="42F20835" w14:textId="77777777" w:rsidR="00F060CE" w:rsidRPr="001300A9" w:rsidRDefault="00F060CE" w:rsidP="00357CEC">
            <w:pPr>
              <w:pStyle w:val="Default"/>
              <w:rPr>
                <w:i/>
                <w:sz w:val="22"/>
                <w:szCs w:val="22"/>
              </w:rPr>
            </w:pPr>
          </w:p>
          <w:p w14:paraId="3E09E467" w14:textId="77777777" w:rsidR="00F060CE" w:rsidRPr="001300A9" w:rsidRDefault="00F060CE" w:rsidP="00357CEC">
            <w:pPr>
              <w:pStyle w:val="Default"/>
              <w:rPr>
                <w:i/>
                <w:sz w:val="22"/>
                <w:szCs w:val="22"/>
              </w:rPr>
            </w:pPr>
          </w:p>
          <w:p w14:paraId="45066D43" w14:textId="77777777" w:rsidR="00F060CE" w:rsidRPr="001300A9" w:rsidRDefault="00F060CE" w:rsidP="00357CEC">
            <w:pPr>
              <w:pStyle w:val="Default"/>
              <w:rPr>
                <w:i/>
                <w:sz w:val="22"/>
                <w:szCs w:val="22"/>
              </w:rPr>
            </w:pPr>
          </w:p>
          <w:p w14:paraId="1C7BF6FB" w14:textId="77777777" w:rsidR="00F060CE" w:rsidRPr="001300A9" w:rsidRDefault="00F060CE" w:rsidP="00357CEC">
            <w:pPr>
              <w:pStyle w:val="Default"/>
              <w:rPr>
                <w:i/>
                <w:sz w:val="22"/>
                <w:szCs w:val="22"/>
              </w:rPr>
            </w:pPr>
          </w:p>
          <w:p w14:paraId="6047FAAD" w14:textId="77777777" w:rsidR="00F060CE" w:rsidRPr="001300A9" w:rsidRDefault="00F060CE" w:rsidP="00357CEC">
            <w:pPr>
              <w:pStyle w:val="Default"/>
              <w:rPr>
                <w:i/>
                <w:sz w:val="22"/>
                <w:szCs w:val="22"/>
              </w:rPr>
            </w:pPr>
          </w:p>
          <w:p w14:paraId="7F8A9D81" w14:textId="77777777" w:rsidR="00F060CE" w:rsidRPr="001300A9" w:rsidRDefault="00F060CE" w:rsidP="00357CEC">
            <w:pPr>
              <w:pStyle w:val="Default"/>
              <w:rPr>
                <w:i/>
                <w:sz w:val="22"/>
                <w:szCs w:val="22"/>
              </w:rPr>
            </w:pPr>
          </w:p>
          <w:p w14:paraId="56AA255E" w14:textId="77777777" w:rsidR="00F060CE" w:rsidRPr="001300A9" w:rsidRDefault="00F060CE" w:rsidP="00357CEC">
            <w:pPr>
              <w:pStyle w:val="Default"/>
              <w:rPr>
                <w:i/>
                <w:sz w:val="22"/>
                <w:szCs w:val="22"/>
              </w:rPr>
            </w:pPr>
          </w:p>
          <w:p w14:paraId="3A9F3614" w14:textId="77777777" w:rsidR="00F060CE" w:rsidRPr="001300A9" w:rsidRDefault="00F060CE" w:rsidP="00357CEC">
            <w:pPr>
              <w:pStyle w:val="Default"/>
              <w:rPr>
                <w:i/>
                <w:sz w:val="22"/>
                <w:szCs w:val="22"/>
              </w:rPr>
            </w:pPr>
          </w:p>
          <w:p w14:paraId="24F6A359" w14:textId="77777777" w:rsidR="00F060CE" w:rsidRPr="001300A9" w:rsidRDefault="00F060CE" w:rsidP="00357CEC">
            <w:pPr>
              <w:pStyle w:val="Default"/>
              <w:rPr>
                <w:i/>
                <w:sz w:val="22"/>
                <w:szCs w:val="22"/>
              </w:rPr>
            </w:pPr>
          </w:p>
          <w:p w14:paraId="0A055619" w14:textId="77777777" w:rsidR="00F060CE" w:rsidRPr="001300A9" w:rsidRDefault="00F060CE" w:rsidP="00357CEC">
            <w:pPr>
              <w:pStyle w:val="Default"/>
              <w:rPr>
                <w:i/>
                <w:sz w:val="22"/>
                <w:szCs w:val="22"/>
              </w:rPr>
            </w:pPr>
          </w:p>
          <w:p w14:paraId="5BB018DC" w14:textId="77777777" w:rsidR="00F060CE" w:rsidRPr="001300A9" w:rsidRDefault="00F060CE" w:rsidP="00357CEC">
            <w:pPr>
              <w:pStyle w:val="Default"/>
              <w:rPr>
                <w:i/>
                <w:sz w:val="22"/>
                <w:szCs w:val="22"/>
              </w:rPr>
            </w:pPr>
          </w:p>
          <w:p w14:paraId="00AAA372" w14:textId="09C4BDC0" w:rsidR="00357CEC" w:rsidRPr="001300A9" w:rsidRDefault="00357CEC" w:rsidP="00357CEC">
            <w:pPr>
              <w:pStyle w:val="Default"/>
              <w:rPr>
                <w:i/>
                <w:sz w:val="22"/>
                <w:szCs w:val="22"/>
              </w:rPr>
            </w:pPr>
            <w:r w:rsidRPr="001300A9">
              <w:rPr>
                <w:i/>
                <w:sz w:val="22"/>
                <w:szCs w:val="22"/>
              </w:rPr>
              <w:t>Článok 30h</w:t>
            </w:r>
          </w:p>
          <w:p w14:paraId="2D4CF6E6" w14:textId="77777777" w:rsidR="00357CEC" w:rsidRPr="001300A9" w:rsidRDefault="00357CEC" w:rsidP="00357CEC">
            <w:pPr>
              <w:pStyle w:val="Default"/>
              <w:rPr>
                <w:i/>
                <w:sz w:val="22"/>
                <w:szCs w:val="22"/>
              </w:rPr>
            </w:pPr>
            <w:r w:rsidRPr="001300A9">
              <w:rPr>
                <w:i/>
                <w:sz w:val="22"/>
                <w:szCs w:val="22"/>
              </w:rPr>
              <w:t>Opatrenia v prípade nadmerného zvýšenia cien</w:t>
            </w:r>
          </w:p>
          <w:p w14:paraId="7CA8AF04" w14:textId="77777777" w:rsidR="00357CEC" w:rsidRPr="001300A9" w:rsidRDefault="00357CEC" w:rsidP="00357CEC">
            <w:pPr>
              <w:pStyle w:val="Default"/>
              <w:rPr>
                <w:sz w:val="22"/>
                <w:szCs w:val="22"/>
              </w:rPr>
            </w:pPr>
            <w:r w:rsidRPr="001300A9">
              <w:rPr>
                <w:sz w:val="22"/>
                <w:szCs w:val="22"/>
              </w:rPr>
              <w:t>1. Ak je priemerná cena kvót v rámci aukcií uskutočňovaných v súlade s aktmi prijatými podľa článku 10 ods. 4 počas viac ako troch po sebe nasledujúcich mesiacov vyššia ako dvojnásobok priemernej ceny kvót počas šiestich predchádzajúcich po sebe nasledujúcich mesiacov v rámci aukcií s kvótami, na ktoré sa vzťahuje táto kapitola, uvoľní sa 50 miliónov kvót, na ktoré sa vzťahuje táto kapitola, z trhovej stabilizačnej rezervy v súlade s článkom 1a ods. 7 rozhodnutia (EÚ) 2015/1814.</w:t>
            </w:r>
          </w:p>
          <w:p w14:paraId="6E4F3382" w14:textId="77777777" w:rsidR="00357CEC" w:rsidRPr="001300A9" w:rsidRDefault="00357CEC" w:rsidP="00357CEC">
            <w:pPr>
              <w:pStyle w:val="Default"/>
              <w:rPr>
                <w:sz w:val="22"/>
                <w:szCs w:val="22"/>
              </w:rPr>
            </w:pPr>
          </w:p>
          <w:p w14:paraId="6F77FEFB" w14:textId="77777777" w:rsidR="00357CEC" w:rsidRPr="001300A9" w:rsidRDefault="00357CEC" w:rsidP="00357CEC">
            <w:pPr>
              <w:pStyle w:val="Default"/>
              <w:rPr>
                <w:sz w:val="22"/>
                <w:szCs w:val="22"/>
              </w:rPr>
            </w:pPr>
            <w:r w:rsidRPr="001300A9">
              <w:rPr>
                <w:sz w:val="22"/>
                <w:szCs w:val="22"/>
              </w:rPr>
              <w:t xml:space="preserve">Pokiaľ ide o roky 2027 a 2028, podmienky uvedené v prvom </w:t>
            </w:r>
            <w:proofErr w:type="spellStart"/>
            <w:r w:rsidRPr="001300A9">
              <w:rPr>
                <w:sz w:val="22"/>
                <w:szCs w:val="22"/>
              </w:rPr>
              <w:t>pododseku</w:t>
            </w:r>
            <w:proofErr w:type="spellEnd"/>
            <w:r w:rsidRPr="001300A9">
              <w:rPr>
                <w:sz w:val="22"/>
                <w:szCs w:val="22"/>
              </w:rPr>
              <w:t xml:space="preserve"> sú splnené, ak je priemerná cena kvót počas viac ako troch po sebe nasledujúcich mesiacov vyššia ako 1,5-násobok priemernej ceny kvót počas referenčného obdobia šiestich predchádzajúcich po sebe nasledujúcich mesiacov.</w:t>
            </w:r>
          </w:p>
          <w:p w14:paraId="697DCDA8" w14:textId="77777777" w:rsidR="00357CEC" w:rsidRPr="001300A9" w:rsidRDefault="00357CEC" w:rsidP="00357CEC">
            <w:pPr>
              <w:pStyle w:val="Default"/>
              <w:rPr>
                <w:sz w:val="22"/>
                <w:szCs w:val="22"/>
              </w:rPr>
            </w:pPr>
          </w:p>
          <w:p w14:paraId="1A478438" w14:textId="77777777" w:rsidR="00357CEC" w:rsidRPr="001300A9" w:rsidRDefault="00357CEC" w:rsidP="00357CEC">
            <w:pPr>
              <w:pStyle w:val="Default"/>
              <w:rPr>
                <w:sz w:val="22"/>
                <w:szCs w:val="22"/>
              </w:rPr>
            </w:pPr>
            <w:r w:rsidRPr="001300A9">
              <w:rPr>
                <w:sz w:val="22"/>
                <w:szCs w:val="22"/>
              </w:rPr>
              <w:t>2. Ak priemerná cena kvót uvedená v odseku 1 tohto článku prekročí za obdobie dvoch po sebe nasledujúcich mesiacov cenu 45 EUR, uvoľní sa 20 miliónov kvót, na ktoré sa vzťahuje táto kapitola, z trhovej stabilizačnej rezervy v súlade s článkom 1a ods. 7 rozhodnutia (EÚ) 2015/1814. Uplatňuje sa indexácia založená na európskom indexe spotrebiteľských cien za rok 2020. Kvóty sa uvoľnia prostredníctvom mechanizmu uvedeného v tomto odseku do 31. decembra 2029.</w:t>
            </w:r>
          </w:p>
          <w:p w14:paraId="44A8182F" w14:textId="77777777" w:rsidR="00357CEC" w:rsidRPr="001300A9" w:rsidRDefault="00357CEC" w:rsidP="00357CEC">
            <w:pPr>
              <w:pStyle w:val="Default"/>
              <w:rPr>
                <w:sz w:val="22"/>
                <w:szCs w:val="22"/>
              </w:rPr>
            </w:pPr>
          </w:p>
          <w:p w14:paraId="7FB4939E" w14:textId="77777777" w:rsidR="00357CEC" w:rsidRPr="001300A9" w:rsidRDefault="00357CEC" w:rsidP="00357CEC">
            <w:pPr>
              <w:pStyle w:val="Default"/>
              <w:rPr>
                <w:sz w:val="22"/>
                <w:szCs w:val="22"/>
              </w:rPr>
            </w:pPr>
            <w:r w:rsidRPr="001300A9">
              <w:rPr>
                <w:sz w:val="22"/>
                <w:szCs w:val="22"/>
              </w:rPr>
              <w:t>3. Ak je priemerná cena kvót uvedených v odseku 1 tohto článku vyššia ako trojnásobok priemernej ceny kvóty počas šiestich predchádzajúcich po sebe nasledujúcich mesiacov, uvoľní sa 150 miliónov kvót, na ktoré sa vzťahuje táto kapitola, z trhovej stabilizačnej rezervy v súlade s článkom 1a ods. 7 rozhodnutia (EÚ) 2015/1814.</w:t>
            </w:r>
          </w:p>
          <w:p w14:paraId="4D901EB7" w14:textId="77777777" w:rsidR="00357CEC" w:rsidRPr="001300A9" w:rsidRDefault="00357CEC" w:rsidP="00357CEC">
            <w:pPr>
              <w:pStyle w:val="Default"/>
              <w:rPr>
                <w:sz w:val="22"/>
                <w:szCs w:val="22"/>
              </w:rPr>
            </w:pPr>
          </w:p>
          <w:p w14:paraId="2CF7384F" w14:textId="77777777" w:rsidR="00357CEC" w:rsidRPr="001300A9" w:rsidRDefault="00357CEC" w:rsidP="00357CEC">
            <w:pPr>
              <w:pStyle w:val="Default"/>
              <w:rPr>
                <w:sz w:val="22"/>
                <w:szCs w:val="22"/>
              </w:rPr>
            </w:pPr>
            <w:r w:rsidRPr="001300A9">
              <w:rPr>
                <w:sz w:val="22"/>
                <w:szCs w:val="22"/>
              </w:rPr>
              <w:t>4. Ak bola podmienka uvedená v odseku 2 splnená v ten istý deň ako podmienka uvedená v odseku 1 alebo 3, dodatočné kvóty sa uvoľnia len podľa odseku 1 alebo 3.</w:t>
            </w:r>
          </w:p>
          <w:p w14:paraId="233802C5" w14:textId="77777777" w:rsidR="00357CEC" w:rsidRPr="001300A9" w:rsidRDefault="00357CEC" w:rsidP="00357CEC">
            <w:pPr>
              <w:pStyle w:val="Default"/>
              <w:rPr>
                <w:sz w:val="22"/>
                <w:szCs w:val="22"/>
              </w:rPr>
            </w:pPr>
          </w:p>
          <w:p w14:paraId="36CF11C3" w14:textId="77777777" w:rsidR="00357CEC" w:rsidRPr="001300A9" w:rsidRDefault="00357CEC" w:rsidP="00357CEC">
            <w:pPr>
              <w:pStyle w:val="Default"/>
              <w:rPr>
                <w:sz w:val="22"/>
                <w:szCs w:val="22"/>
              </w:rPr>
            </w:pPr>
            <w:r w:rsidRPr="001300A9">
              <w:rPr>
                <w:sz w:val="22"/>
                <w:szCs w:val="22"/>
              </w:rPr>
              <w:t>5. Pred 31. decembrom 2029 Komisia predloží Európskemu parlamentu a Rade správu, v ktorej posúdi, či je mechanizmus uvedený v odseku 2 účinný a či by sa v ňom malo pokračovať. Komisia v prípade potreby priloží k tejto správe legislatívny návrh pre Európsky parlament a Radu na zmenu tejto smernice s cieľom upraviť uvedený mechanizmus.</w:t>
            </w:r>
          </w:p>
          <w:p w14:paraId="40E949A5" w14:textId="77777777" w:rsidR="00357CEC" w:rsidRPr="001300A9" w:rsidRDefault="00357CEC" w:rsidP="00357CEC">
            <w:pPr>
              <w:pStyle w:val="Default"/>
              <w:rPr>
                <w:sz w:val="22"/>
                <w:szCs w:val="22"/>
              </w:rPr>
            </w:pPr>
          </w:p>
          <w:p w14:paraId="50BB16AF" w14:textId="77777777" w:rsidR="00357CEC" w:rsidRPr="001300A9" w:rsidRDefault="00357CEC" w:rsidP="00357CEC">
            <w:pPr>
              <w:pStyle w:val="Default"/>
              <w:rPr>
                <w:sz w:val="22"/>
                <w:szCs w:val="22"/>
              </w:rPr>
            </w:pPr>
            <w:r w:rsidRPr="001300A9">
              <w:rPr>
                <w:sz w:val="22"/>
                <w:szCs w:val="22"/>
              </w:rPr>
              <w:t>6. Ak bola splnená jedna alebo viacero podmienok uvedených v odsekoch 1, 2 alebo 3 a viedla k uvoľneniu kvót, dodatočné kvóty sa podľa tohto článku neuvoľnia skôr ako 12 mesiacov po tomto dátume.</w:t>
            </w:r>
          </w:p>
          <w:p w14:paraId="346205F3" w14:textId="77777777" w:rsidR="00357CEC" w:rsidRPr="001300A9" w:rsidRDefault="00357CEC" w:rsidP="00357CEC">
            <w:pPr>
              <w:pStyle w:val="Default"/>
              <w:rPr>
                <w:sz w:val="22"/>
                <w:szCs w:val="22"/>
              </w:rPr>
            </w:pPr>
          </w:p>
          <w:p w14:paraId="2F8B14F8" w14:textId="77777777" w:rsidR="00357CEC" w:rsidRPr="001300A9" w:rsidRDefault="00357CEC" w:rsidP="00357CEC">
            <w:pPr>
              <w:pStyle w:val="Default"/>
              <w:rPr>
                <w:sz w:val="22"/>
                <w:szCs w:val="22"/>
              </w:rPr>
            </w:pPr>
            <w:r w:rsidRPr="001300A9">
              <w:rPr>
                <w:sz w:val="22"/>
                <w:szCs w:val="22"/>
              </w:rPr>
              <w:t>7. Ak sa v druhej polovici obdobia 12 mesiacov uvedeného v odseku 6 tohto článku opäť splnila podmienka uvedená v odseku 2 tohto článku, Komisia s pomocou výboru zriadeného článkom 44 nariadenia (EÚ) 2018/1999 posúdi účinnosť opatrenia a môže prostredníctvom vykonávacieho aktu rozhodnúť, že odsek 6 tohto článku sa nebude uplatňovať. Uvedený vykonávací akt sa prijme v súlade s postupom preskúmania uvedeným v článku 22a ods. 2.</w:t>
            </w:r>
          </w:p>
          <w:p w14:paraId="05B031D5" w14:textId="77777777" w:rsidR="00357CEC" w:rsidRPr="001300A9" w:rsidRDefault="00357CEC" w:rsidP="00357CEC">
            <w:pPr>
              <w:pStyle w:val="Default"/>
              <w:rPr>
                <w:sz w:val="22"/>
                <w:szCs w:val="22"/>
              </w:rPr>
            </w:pPr>
          </w:p>
          <w:p w14:paraId="537473A5" w14:textId="77777777" w:rsidR="00357CEC" w:rsidRPr="001300A9" w:rsidRDefault="00357CEC" w:rsidP="00357CEC">
            <w:pPr>
              <w:pStyle w:val="Default"/>
              <w:rPr>
                <w:sz w:val="22"/>
                <w:szCs w:val="22"/>
              </w:rPr>
            </w:pPr>
            <w:r w:rsidRPr="001300A9">
              <w:rPr>
                <w:sz w:val="22"/>
                <w:szCs w:val="22"/>
              </w:rPr>
              <w:t>8. Ak bola splnená jedna alebo viacero podmienok uvedených v odseku 1, 2 alebo 3 a odsek 6 sa neuplatňuje, Komisia bezodkladne uverejní v Úradnom vestníku Európskej únie oznámenie týkajúce sa dátumu, keď bola splnená uvedená podmienka alebo uvedené podmienky.</w:t>
            </w:r>
          </w:p>
          <w:p w14:paraId="358574C8" w14:textId="77777777" w:rsidR="00357CEC" w:rsidRPr="001300A9" w:rsidRDefault="00357CEC" w:rsidP="00357CEC">
            <w:pPr>
              <w:pStyle w:val="Default"/>
              <w:rPr>
                <w:sz w:val="22"/>
                <w:szCs w:val="22"/>
              </w:rPr>
            </w:pPr>
          </w:p>
          <w:p w14:paraId="5BDDEF73" w14:textId="77777777" w:rsidR="00357CEC" w:rsidRPr="001300A9" w:rsidRDefault="00357CEC" w:rsidP="00357CEC">
            <w:pPr>
              <w:pStyle w:val="Default"/>
              <w:rPr>
                <w:sz w:val="22"/>
                <w:szCs w:val="22"/>
              </w:rPr>
            </w:pPr>
            <w:r w:rsidRPr="001300A9">
              <w:rPr>
                <w:sz w:val="22"/>
                <w:szCs w:val="22"/>
              </w:rPr>
              <w:t xml:space="preserve">7. Členské štáty, na ktoré sa vzťahuje povinnosť predložiť plán nápravných opatrení v súlade s článkom 8 nariadenia (EÚ) 2018/842, náležite zohľadnia účinky uvoľnenia dodatočných kvót podľa odseku 2 tohto článku počas predchádzajúcich dvoch rokov pri zvažovaní dodatočných opatrení, ktoré sa majú vykonať, ako sa uvádza v článku 8 ods. 1 prvom </w:t>
            </w:r>
            <w:proofErr w:type="spellStart"/>
            <w:r w:rsidRPr="001300A9">
              <w:rPr>
                <w:sz w:val="22"/>
                <w:szCs w:val="22"/>
              </w:rPr>
              <w:t>pododseku</w:t>
            </w:r>
            <w:proofErr w:type="spellEnd"/>
            <w:r w:rsidRPr="001300A9">
              <w:rPr>
                <w:sz w:val="22"/>
                <w:szCs w:val="22"/>
              </w:rPr>
              <w:t xml:space="preserve"> písm. c) uvedeného nariadenia, s cieľom splniť svoje povinnosti podľa uvedeného nariadenia.</w:t>
            </w:r>
          </w:p>
          <w:p w14:paraId="6C3803F6" w14:textId="77777777" w:rsidR="00357CEC" w:rsidRPr="001300A9" w:rsidRDefault="00357CEC" w:rsidP="00357CEC">
            <w:pPr>
              <w:pStyle w:val="Default"/>
              <w:ind w:left="720"/>
              <w:rPr>
                <w:sz w:val="22"/>
                <w:szCs w:val="22"/>
              </w:rPr>
            </w:pPr>
          </w:p>
          <w:p w14:paraId="3BFCF7DE" w14:textId="77777777" w:rsidR="00357CEC" w:rsidRPr="001300A9" w:rsidRDefault="00357CEC" w:rsidP="00357CEC">
            <w:pPr>
              <w:pStyle w:val="Default"/>
              <w:rPr>
                <w:i/>
                <w:sz w:val="22"/>
                <w:szCs w:val="22"/>
              </w:rPr>
            </w:pPr>
            <w:r w:rsidRPr="001300A9">
              <w:rPr>
                <w:i/>
                <w:sz w:val="22"/>
                <w:szCs w:val="22"/>
              </w:rPr>
              <w:t>Článok 30i</w:t>
            </w:r>
          </w:p>
          <w:p w14:paraId="72BDD118" w14:textId="77777777" w:rsidR="00357CEC" w:rsidRPr="001300A9" w:rsidRDefault="00357CEC" w:rsidP="00357CEC">
            <w:pPr>
              <w:pStyle w:val="Default"/>
              <w:rPr>
                <w:i/>
                <w:sz w:val="22"/>
                <w:szCs w:val="22"/>
              </w:rPr>
            </w:pPr>
            <w:r w:rsidRPr="001300A9">
              <w:rPr>
                <w:i/>
                <w:sz w:val="22"/>
                <w:szCs w:val="22"/>
              </w:rPr>
              <w:t>Preskúmanie tejto kapitoly</w:t>
            </w:r>
          </w:p>
          <w:p w14:paraId="770B7090" w14:textId="77777777" w:rsidR="00357CEC" w:rsidRPr="001300A9" w:rsidRDefault="00357CEC" w:rsidP="00357CEC">
            <w:pPr>
              <w:pStyle w:val="Default"/>
              <w:rPr>
                <w:sz w:val="22"/>
                <w:szCs w:val="22"/>
              </w:rPr>
            </w:pPr>
            <w:r w:rsidRPr="001300A9">
              <w:rPr>
                <w:sz w:val="22"/>
                <w:szCs w:val="22"/>
              </w:rPr>
              <w:t>Do 1. januára 2028 musí Komisia poskytnúť Európskemu parlamentu a Rade správu o vykonávaní ustanovení tejto kapitoly, pokiaľ ide o účinnosť, správu a praktické uplatňovanie, a to vrátane informácií o uplatňovaní pravidiel stanovených v rozhodnutí (EÚ) 2015/1814. V prípade potreby Komisia k uvedenej správe pripojí legislatívny návrh na zmenu tejto kapitoly. Komisia do 31. októbra 2031 posúdi uskutočniteľnosť začlenenia odvetví, na ktoré sa vzťahuje príloha III k tejto smernici, do systému EU ETS vzťahujúceho sa na odvetvia uvedené v prílohe I k tejto smernici.</w:t>
            </w:r>
          </w:p>
          <w:p w14:paraId="0CEA456B" w14:textId="77777777" w:rsidR="00357CEC" w:rsidRPr="001300A9" w:rsidRDefault="00357CEC" w:rsidP="00357CEC">
            <w:pPr>
              <w:pStyle w:val="Default"/>
              <w:rPr>
                <w:sz w:val="22"/>
                <w:szCs w:val="22"/>
              </w:rPr>
            </w:pPr>
          </w:p>
          <w:p w14:paraId="1275CC27" w14:textId="77777777" w:rsidR="00357CEC" w:rsidRPr="001300A9" w:rsidRDefault="00357CEC" w:rsidP="00357CEC">
            <w:pPr>
              <w:pStyle w:val="Default"/>
              <w:rPr>
                <w:i/>
                <w:sz w:val="22"/>
                <w:szCs w:val="22"/>
              </w:rPr>
            </w:pPr>
            <w:r w:rsidRPr="001300A9">
              <w:rPr>
                <w:i/>
                <w:sz w:val="22"/>
                <w:szCs w:val="22"/>
              </w:rPr>
              <w:t>Článok 30j</w:t>
            </w:r>
          </w:p>
          <w:p w14:paraId="4C25A313" w14:textId="77777777" w:rsidR="00357CEC" w:rsidRPr="001300A9" w:rsidRDefault="00357CEC" w:rsidP="00357CEC">
            <w:pPr>
              <w:pStyle w:val="Default"/>
              <w:rPr>
                <w:i/>
                <w:sz w:val="22"/>
                <w:szCs w:val="22"/>
              </w:rPr>
            </w:pPr>
            <w:r w:rsidRPr="001300A9">
              <w:rPr>
                <w:i/>
                <w:sz w:val="22"/>
                <w:szCs w:val="22"/>
              </w:rPr>
              <w:t>Postupy pre jednostranné rozšírenie činnosti uvedenej v prílohe III na iné odvetvia, na ktoré sa nevzťahujú kapitoly II a III</w:t>
            </w:r>
          </w:p>
          <w:p w14:paraId="5AEDDE80" w14:textId="77777777" w:rsidR="00357CEC" w:rsidRPr="001300A9" w:rsidRDefault="00357CEC" w:rsidP="00357CEC">
            <w:pPr>
              <w:pStyle w:val="Default"/>
              <w:rPr>
                <w:sz w:val="22"/>
                <w:szCs w:val="22"/>
              </w:rPr>
            </w:pPr>
            <w:r w:rsidRPr="001300A9">
              <w:rPr>
                <w:sz w:val="22"/>
                <w:szCs w:val="22"/>
              </w:rPr>
              <w:t>1. Od roku 2027 môžu členské štáty rozšíriť činnosť uvedenú v prílohe III na odvetvia, ktoré nie sú uvedené v danej prílohe, a tým uplatňovať obchodovanie s emisiami v súlade s touto kapitolou na takéto odvetvia, pričom zohľadnia všetky príslušné kritériá, najmä účinky na vnútorný trh, potenciálne narušenie hospodárskej súťaže, environmentálnu integritu systému obchodovania s emisiami zriadeného podľa tejto kapitoly a spoľahlivosť plánovaného systému monitorovania a podávania správ za predpokladu, že rozšírenie činnosti uvedenej v uvedenej prílohe schváli Komisia.</w:t>
            </w:r>
          </w:p>
          <w:p w14:paraId="727DC317" w14:textId="77777777" w:rsidR="00357CEC" w:rsidRPr="001300A9" w:rsidRDefault="00357CEC" w:rsidP="00357CEC">
            <w:pPr>
              <w:pStyle w:val="Default"/>
              <w:rPr>
                <w:sz w:val="22"/>
                <w:szCs w:val="22"/>
              </w:rPr>
            </w:pPr>
          </w:p>
          <w:p w14:paraId="5DB24D74" w14:textId="77777777" w:rsidR="00357CEC" w:rsidRPr="001300A9" w:rsidRDefault="00357CEC" w:rsidP="00357CEC">
            <w:pPr>
              <w:pStyle w:val="Default"/>
              <w:rPr>
                <w:sz w:val="22"/>
                <w:szCs w:val="22"/>
              </w:rPr>
            </w:pPr>
            <w:r w:rsidRPr="001300A9">
              <w:rPr>
                <w:sz w:val="22"/>
                <w:szCs w:val="22"/>
              </w:rPr>
              <w:t xml:space="preserve">Komisia je splnomocnená prijímať delegované akty v súlade s článkom 23 na doplnenie tejto smernice týkajúce sa schválenia rozšírenia uvedeného v prvom </w:t>
            </w:r>
            <w:proofErr w:type="spellStart"/>
            <w:r w:rsidRPr="001300A9">
              <w:rPr>
                <w:sz w:val="22"/>
                <w:szCs w:val="22"/>
              </w:rPr>
              <w:t>pododseku</w:t>
            </w:r>
            <w:proofErr w:type="spellEnd"/>
            <w:r w:rsidRPr="001300A9">
              <w:rPr>
                <w:sz w:val="22"/>
                <w:szCs w:val="22"/>
              </w:rPr>
              <w:t xml:space="preserve"> tohto odseku, povolenia na vydanie dodatočných kvót a povolenia na rozšírenie činnosti uvedenej v prílohe III pre iné členské štáty. Komisia tiež môže pri prijímaní takýchto delegovaných aktov toto rozšírenie doplniť o ďalšie pravidlá upravujúce opatrenia na riešenie možných prípadov dvojitého započítania vrátane otázky dodatočných kvót na kompenzáciu kvót odovzdaných za používanie palív pri činnostiach uvedených v prílohe I. Akékoľvek finančné opatrenia členských štátov v prospech spoločností v odvetviach a pododvetviach, ktoré sú vystavené skutočnému riziku úniku uhlíka v dôsledku značných nepriamych nákladov, ktoré vznikajú premietnutím nákladov na emisie skleníkových plynov do cien palív v dôsledku jednostranného rozšírenia, musia byť v súlade s pravidlami štátnej pomoci a nesmú spôsobovať nenáležité narušenie hospodárskej súťaže na vnútornom trhu.</w:t>
            </w:r>
          </w:p>
          <w:p w14:paraId="1C523DF9" w14:textId="77777777" w:rsidR="00357CEC" w:rsidRPr="001300A9" w:rsidRDefault="00357CEC" w:rsidP="00357CEC">
            <w:pPr>
              <w:pStyle w:val="Default"/>
              <w:rPr>
                <w:sz w:val="22"/>
                <w:szCs w:val="22"/>
              </w:rPr>
            </w:pPr>
          </w:p>
          <w:p w14:paraId="1A204357" w14:textId="77777777" w:rsidR="00357CEC" w:rsidRPr="001300A9" w:rsidRDefault="00357CEC" w:rsidP="00357CEC">
            <w:pPr>
              <w:pStyle w:val="Default"/>
              <w:rPr>
                <w:sz w:val="22"/>
                <w:szCs w:val="22"/>
              </w:rPr>
            </w:pPr>
            <w:r w:rsidRPr="001300A9">
              <w:rPr>
                <w:sz w:val="22"/>
                <w:szCs w:val="22"/>
              </w:rPr>
              <w:t>2. S dodatočnými kvótami vydanými na základe povolenia podľa tohto článku sa obchoduje formou aukcie v súlade s požiadavkami stanovenými v článku 30d. Bez ohľadu na článok 30d ods. 1 až 6 členské štáty, ktoré jednostranne rozšírili činnosť uvedenú v prílohe III v súlade s týmto článkom, určia použitie príjmov z obchodovania s týmito dodatočnými kvótami formou aukcie.</w:t>
            </w:r>
          </w:p>
          <w:p w14:paraId="62C417D3" w14:textId="77777777" w:rsidR="00357CEC" w:rsidRPr="001300A9" w:rsidRDefault="00357CEC" w:rsidP="00357CEC">
            <w:pPr>
              <w:pStyle w:val="Default"/>
              <w:rPr>
                <w:sz w:val="22"/>
                <w:szCs w:val="22"/>
              </w:rPr>
            </w:pPr>
          </w:p>
          <w:p w14:paraId="17D2F4D6" w14:textId="77777777" w:rsidR="00357CEC" w:rsidRPr="001300A9" w:rsidRDefault="00357CEC" w:rsidP="00357CEC">
            <w:pPr>
              <w:pStyle w:val="Default"/>
              <w:rPr>
                <w:i/>
                <w:sz w:val="22"/>
                <w:szCs w:val="22"/>
              </w:rPr>
            </w:pPr>
            <w:r w:rsidRPr="001300A9">
              <w:rPr>
                <w:i/>
                <w:sz w:val="22"/>
                <w:szCs w:val="22"/>
              </w:rPr>
              <w:t>Článok 30k</w:t>
            </w:r>
          </w:p>
          <w:p w14:paraId="130780E6" w14:textId="77777777" w:rsidR="00357CEC" w:rsidRPr="001300A9" w:rsidRDefault="00357CEC" w:rsidP="00357CEC">
            <w:pPr>
              <w:pStyle w:val="Default"/>
              <w:rPr>
                <w:i/>
                <w:sz w:val="22"/>
                <w:szCs w:val="22"/>
              </w:rPr>
            </w:pPr>
            <w:r w:rsidRPr="001300A9">
              <w:rPr>
                <w:i/>
                <w:sz w:val="22"/>
                <w:szCs w:val="22"/>
              </w:rPr>
              <w:t>Odloženie obchodovania s emisiami v odvetví budov, odvetví cestnej dopravy a ďalších odvetviach do roku 2028 v prípade mimoriadne vysokých cien energie</w:t>
            </w:r>
          </w:p>
          <w:p w14:paraId="21E8B227" w14:textId="77777777" w:rsidR="00357CEC" w:rsidRPr="001300A9" w:rsidRDefault="00357CEC" w:rsidP="00357CEC">
            <w:pPr>
              <w:pStyle w:val="Default"/>
              <w:rPr>
                <w:sz w:val="22"/>
                <w:szCs w:val="22"/>
              </w:rPr>
            </w:pPr>
            <w:r w:rsidRPr="001300A9">
              <w:rPr>
                <w:sz w:val="22"/>
                <w:szCs w:val="22"/>
              </w:rPr>
              <w:t>1. Komisia do 15. júla 2026 uverejní v Úradnom vestníku Európskej únie oznámenie o tom, či bola splnená jedna alebo obidve tieto podmienky:</w:t>
            </w:r>
          </w:p>
          <w:p w14:paraId="7707374A" w14:textId="77777777" w:rsidR="00357CEC" w:rsidRPr="001300A9" w:rsidRDefault="00357CEC" w:rsidP="00357CEC">
            <w:pPr>
              <w:pStyle w:val="Default"/>
              <w:rPr>
                <w:sz w:val="22"/>
                <w:szCs w:val="22"/>
              </w:rPr>
            </w:pPr>
            <w:r w:rsidRPr="001300A9">
              <w:rPr>
                <w:sz w:val="22"/>
                <w:szCs w:val="22"/>
              </w:rPr>
              <w:t>a) priemerná cena plynu TTF za šesť kalendárnych mesiacov končiacich 30. júnom 2026 bola vyššia ako priemerná cena plynu TTF vo februári a marci 2022;</w:t>
            </w:r>
          </w:p>
          <w:p w14:paraId="6AE109C4" w14:textId="77777777" w:rsidR="00357CEC" w:rsidRPr="001300A9" w:rsidRDefault="00357CEC" w:rsidP="00357CEC">
            <w:pPr>
              <w:pStyle w:val="Default"/>
              <w:rPr>
                <w:sz w:val="22"/>
                <w:szCs w:val="22"/>
              </w:rPr>
            </w:pPr>
            <w:r w:rsidRPr="001300A9">
              <w:rPr>
                <w:sz w:val="22"/>
                <w:szCs w:val="22"/>
              </w:rPr>
              <w:t xml:space="preserve">b) priemerná cena ropy </w:t>
            </w:r>
            <w:proofErr w:type="spellStart"/>
            <w:r w:rsidRPr="001300A9">
              <w:rPr>
                <w:sz w:val="22"/>
                <w:szCs w:val="22"/>
              </w:rPr>
              <w:t>Brent</w:t>
            </w:r>
            <w:proofErr w:type="spellEnd"/>
            <w:r w:rsidRPr="001300A9">
              <w:rPr>
                <w:sz w:val="22"/>
                <w:szCs w:val="22"/>
              </w:rPr>
              <w:t xml:space="preserve"> za šesť kalendárnych mesiacov končiacich 30. júnom 2026 bola viac ako dvojnásobok priemernej ceny ropy </w:t>
            </w:r>
            <w:proofErr w:type="spellStart"/>
            <w:r w:rsidRPr="001300A9">
              <w:rPr>
                <w:sz w:val="22"/>
                <w:szCs w:val="22"/>
              </w:rPr>
              <w:t>Brent</w:t>
            </w:r>
            <w:proofErr w:type="spellEnd"/>
            <w:r w:rsidRPr="001300A9">
              <w:rPr>
                <w:sz w:val="22"/>
                <w:szCs w:val="22"/>
              </w:rPr>
              <w:t xml:space="preserve"> počas predchádzajúcich piatich rokov; referenčným obdobím piatich rokov je päťročné obdobie, ktoré sa končí pred prvým mesiacom obdobia šiestich kalendárnych mesiacov.</w:t>
            </w:r>
          </w:p>
          <w:p w14:paraId="56409605" w14:textId="77777777" w:rsidR="00357CEC" w:rsidRPr="001300A9" w:rsidRDefault="00357CEC" w:rsidP="00357CEC">
            <w:pPr>
              <w:pStyle w:val="Default"/>
              <w:rPr>
                <w:sz w:val="22"/>
                <w:szCs w:val="22"/>
              </w:rPr>
            </w:pPr>
          </w:p>
          <w:p w14:paraId="06C8145D" w14:textId="77777777" w:rsidR="00357CEC" w:rsidRPr="001300A9" w:rsidRDefault="00357CEC" w:rsidP="00357CEC">
            <w:pPr>
              <w:pStyle w:val="Default"/>
              <w:rPr>
                <w:sz w:val="22"/>
                <w:szCs w:val="22"/>
              </w:rPr>
            </w:pPr>
            <w:r w:rsidRPr="001300A9">
              <w:rPr>
                <w:sz w:val="22"/>
                <w:szCs w:val="22"/>
              </w:rPr>
              <w:t>2. Ak je splnená jedna alebo obidve podmienky uvedené v odseku 1, uplatňujú sa tieto pravidlá:</w:t>
            </w:r>
          </w:p>
          <w:p w14:paraId="44C1DF65" w14:textId="77777777" w:rsidR="00357CEC" w:rsidRPr="001300A9" w:rsidRDefault="00357CEC" w:rsidP="00357CEC">
            <w:pPr>
              <w:pStyle w:val="Default"/>
              <w:rPr>
                <w:sz w:val="22"/>
                <w:szCs w:val="22"/>
              </w:rPr>
            </w:pPr>
            <w:r w:rsidRPr="001300A9">
              <w:rPr>
                <w:sz w:val="22"/>
                <w:szCs w:val="22"/>
              </w:rPr>
              <w:t>a) odchylne od článku 30c ods. 1 je prvým rokom, na ktorý je stanovené množstvo kvót pre celú Úniu, rok 2028 a odchylne od článku 30c ods. 3 prvý rok, na ktorý sa množstvo kvót pre celú Úniu upraví, je rok 2029;</w:t>
            </w:r>
          </w:p>
          <w:p w14:paraId="5CA3F497" w14:textId="77777777" w:rsidR="00357CEC" w:rsidRPr="001300A9" w:rsidRDefault="00357CEC" w:rsidP="00357CEC">
            <w:pPr>
              <w:pStyle w:val="Default"/>
              <w:rPr>
                <w:sz w:val="22"/>
                <w:szCs w:val="22"/>
              </w:rPr>
            </w:pPr>
            <w:r w:rsidRPr="001300A9">
              <w:rPr>
                <w:sz w:val="22"/>
                <w:szCs w:val="22"/>
              </w:rPr>
              <w:t>b) odchylne od článku 30d ods. 1 a 2 sa začiatok obchodovania s kvótami formou aukcie podľa tejto kapitoly odkladá na rok 2028;</w:t>
            </w:r>
          </w:p>
          <w:p w14:paraId="18EB28F6" w14:textId="77777777" w:rsidR="00357CEC" w:rsidRPr="001300A9" w:rsidRDefault="00357CEC" w:rsidP="00357CEC">
            <w:pPr>
              <w:pStyle w:val="Default"/>
              <w:rPr>
                <w:sz w:val="22"/>
                <w:szCs w:val="22"/>
              </w:rPr>
            </w:pPr>
            <w:r w:rsidRPr="001300A9">
              <w:rPr>
                <w:sz w:val="22"/>
                <w:szCs w:val="22"/>
              </w:rPr>
              <w:t>c) odchylne od článku 30d ods. 2 sa dodatočné množstvo kvót za prvý rok aukcií odpočíta od aukčných objemov na roky 2030 až 2032 a počiatočné podiely v trhovej stabilizačnej rezerve sa vytvoria v roku 2028;</w:t>
            </w:r>
          </w:p>
          <w:p w14:paraId="108F329F" w14:textId="77777777" w:rsidR="00357CEC" w:rsidRPr="001300A9" w:rsidRDefault="00357CEC" w:rsidP="00357CEC">
            <w:pPr>
              <w:pStyle w:val="Default"/>
              <w:rPr>
                <w:sz w:val="22"/>
                <w:szCs w:val="22"/>
              </w:rPr>
            </w:pPr>
            <w:r w:rsidRPr="001300A9">
              <w:rPr>
                <w:sz w:val="22"/>
                <w:szCs w:val="22"/>
              </w:rPr>
              <w:t>d) odchylne od článku 30e ods. 2 sa lehota na počiatočné odovzdanie kvót posunie v prípade celkových emisií za rok 2028 na 31. máj 2029;</w:t>
            </w:r>
          </w:p>
          <w:p w14:paraId="6095BBA7" w14:textId="77777777" w:rsidR="00357CEC" w:rsidRPr="001300A9" w:rsidRDefault="00357CEC" w:rsidP="00357CEC">
            <w:pPr>
              <w:pStyle w:val="Default"/>
              <w:rPr>
                <w:sz w:val="22"/>
                <w:szCs w:val="22"/>
              </w:rPr>
            </w:pPr>
            <w:r w:rsidRPr="001300A9">
              <w:rPr>
                <w:sz w:val="22"/>
                <w:szCs w:val="22"/>
              </w:rPr>
              <w:t>e) odchylne od článku 30i sa lehota, v ktorej má Komisia podať správu Európskemu parlamentu a Rade, posunie na 1. januára 2029.</w:t>
            </w:r>
          </w:p>
          <w:p w14:paraId="6B4CD0DA" w14:textId="77777777" w:rsidR="00357CEC" w:rsidRPr="001300A9" w:rsidRDefault="00357CEC" w:rsidP="00357CEC">
            <w:pPr>
              <w:pStyle w:val="Default"/>
              <w:rPr>
                <w:sz w:val="22"/>
                <w:szCs w:val="22"/>
              </w:rPr>
            </w:pPr>
          </w:p>
          <w:p w14:paraId="7CF53D91" w14:textId="77777777" w:rsidR="00357CEC" w:rsidRPr="001300A9" w:rsidRDefault="00357CEC" w:rsidP="00357CEC">
            <w:pPr>
              <w:pStyle w:val="Default"/>
              <w:rPr>
                <w:sz w:val="22"/>
                <w:szCs w:val="22"/>
              </w:rPr>
            </w:pPr>
            <w:r w:rsidRPr="001300A9">
              <w:rPr>
                <w:sz w:val="22"/>
                <w:szCs w:val="22"/>
              </w:rPr>
              <w:t>* Nariadenie Európskeho parlamentu a Rady (EÚ) 2018/842 z 30. mája 2018 o záväznom ročnom znižovaní emisií skleníkových plynov členskými štátmi v rokoch 2021 až 2030, ktorým sa prispieva k opatreniam v oblasti klímy zameraným na splnenie záväzkov podľa Parížskej dohody, a o zmene nariadenia (EÚ) č. 525/2013 (Ú. v. EÚ L 156, 19.6.2018, s. 26).</w:t>
            </w:r>
          </w:p>
          <w:p w14:paraId="6747E5F9" w14:textId="77777777" w:rsidR="00357CEC" w:rsidRPr="001300A9" w:rsidRDefault="00357CEC" w:rsidP="00357CEC">
            <w:pPr>
              <w:pStyle w:val="Default"/>
              <w:rPr>
                <w:sz w:val="22"/>
                <w:szCs w:val="22"/>
              </w:rPr>
            </w:pPr>
            <w:r w:rsidRPr="001300A9">
              <w:rPr>
                <w:sz w:val="22"/>
                <w:szCs w:val="22"/>
              </w:rPr>
              <w:t xml:space="preserve">** Rozhodnutie Rady (EÚ, </w:t>
            </w:r>
            <w:proofErr w:type="spellStart"/>
            <w:r w:rsidRPr="001300A9">
              <w:rPr>
                <w:sz w:val="22"/>
                <w:szCs w:val="22"/>
              </w:rPr>
              <w:t>Euratom</w:t>
            </w:r>
            <w:proofErr w:type="spellEnd"/>
            <w:r w:rsidRPr="001300A9">
              <w:rPr>
                <w:sz w:val="22"/>
                <w:szCs w:val="22"/>
              </w:rPr>
              <w:t xml:space="preserve">) 2020/2053 zo 14. decembra 2020 o systéme vlastných zdrojov Európskej únie a o zrušení rozhodnutia 2014/335/EÚ, </w:t>
            </w:r>
            <w:proofErr w:type="spellStart"/>
            <w:r w:rsidRPr="001300A9">
              <w:rPr>
                <w:sz w:val="22"/>
                <w:szCs w:val="22"/>
              </w:rPr>
              <w:t>Euratom</w:t>
            </w:r>
            <w:proofErr w:type="spellEnd"/>
            <w:r w:rsidRPr="001300A9">
              <w:rPr>
                <w:sz w:val="22"/>
                <w:szCs w:val="22"/>
              </w:rPr>
              <w:t xml:space="preserve"> (Ú. v. EÚ L 424, 15.12.2020, s. 1).“</w:t>
            </w:r>
          </w:p>
        </w:tc>
        <w:tc>
          <w:tcPr>
            <w:tcW w:w="567" w:type="dxa"/>
          </w:tcPr>
          <w:p w14:paraId="4C4E7CDD" w14:textId="77777777" w:rsidR="00357CEC" w:rsidRPr="001300A9" w:rsidRDefault="00357CEC" w:rsidP="00357CEC">
            <w:pPr>
              <w:pStyle w:val="Default"/>
              <w:rPr>
                <w:sz w:val="22"/>
                <w:szCs w:val="22"/>
              </w:rPr>
            </w:pPr>
            <w:proofErr w:type="spellStart"/>
            <w:r w:rsidRPr="001300A9">
              <w:rPr>
                <w:sz w:val="22"/>
                <w:szCs w:val="22"/>
              </w:rPr>
              <w:t>n.a</w:t>
            </w:r>
            <w:proofErr w:type="spellEnd"/>
            <w:r w:rsidRPr="001300A9">
              <w:rPr>
                <w:sz w:val="22"/>
                <w:szCs w:val="22"/>
              </w:rPr>
              <w:t>.</w:t>
            </w:r>
          </w:p>
          <w:p w14:paraId="7A190A57" w14:textId="77777777" w:rsidR="00357CEC" w:rsidRPr="001300A9" w:rsidRDefault="00357CEC" w:rsidP="00357CEC">
            <w:pPr>
              <w:pStyle w:val="Default"/>
              <w:rPr>
                <w:sz w:val="22"/>
                <w:szCs w:val="22"/>
              </w:rPr>
            </w:pPr>
          </w:p>
          <w:p w14:paraId="2DAEA690" w14:textId="4B281A27" w:rsidR="00357CEC" w:rsidRPr="001300A9" w:rsidRDefault="00357CEC" w:rsidP="00357CEC">
            <w:pPr>
              <w:pStyle w:val="Default"/>
              <w:rPr>
                <w:sz w:val="22"/>
                <w:szCs w:val="22"/>
              </w:rPr>
            </w:pPr>
          </w:p>
          <w:p w14:paraId="5C803850" w14:textId="77777777" w:rsidR="006F392A" w:rsidRPr="001300A9" w:rsidRDefault="006F392A" w:rsidP="00357CEC">
            <w:pPr>
              <w:pStyle w:val="Default"/>
              <w:rPr>
                <w:sz w:val="22"/>
                <w:szCs w:val="22"/>
              </w:rPr>
            </w:pPr>
          </w:p>
          <w:p w14:paraId="2038BF00" w14:textId="77777777" w:rsidR="00357CEC" w:rsidRPr="001300A9" w:rsidRDefault="00357CEC" w:rsidP="00357CEC">
            <w:pPr>
              <w:pStyle w:val="Default"/>
              <w:rPr>
                <w:sz w:val="22"/>
                <w:szCs w:val="22"/>
              </w:rPr>
            </w:pPr>
          </w:p>
          <w:p w14:paraId="28D622B2" w14:textId="77777777" w:rsidR="00190F49" w:rsidRDefault="00190F49" w:rsidP="00357CEC">
            <w:pPr>
              <w:pStyle w:val="Default"/>
              <w:rPr>
                <w:sz w:val="22"/>
                <w:szCs w:val="22"/>
              </w:rPr>
            </w:pPr>
            <w:proofErr w:type="spellStart"/>
            <w:r>
              <w:rPr>
                <w:sz w:val="22"/>
                <w:szCs w:val="22"/>
              </w:rPr>
              <w:t>n.a</w:t>
            </w:r>
            <w:proofErr w:type="spellEnd"/>
          </w:p>
          <w:p w14:paraId="5AA071C9" w14:textId="77777777" w:rsidR="00190F49" w:rsidRDefault="00190F49" w:rsidP="00357CEC">
            <w:pPr>
              <w:pStyle w:val="Default"/>
              <w:rPr>
                <w:sz w:val="22"/>
                <w:szCs w:val="22"/>
              </w:rPr>
            </w:pPr>
          </w:p>
          <w:p w14:paraId="46EB247B" w14:textId="77777777" w:rsidR="00190F49" w:rsidRDefault="00190F49" w:rsidP="00357CEC">
            <w:pPr>
              <w:pStyle w:val="Default"/>
              <w:rPr>
                <w:sz w:val="22"/>
                <w:szCs w:val="22"/>
              </w:rPr>
            </w:pPr>
          </w:p>
          <w:p w14:paraId="3C30CB92" w14:textId="77777777" w:rsidR="00190F49" w:rsidRDefault="00190F49" w:rsidP="00357CEC">
            <w:pPr>
              <w:pStyle w:val="Default"/>
              <w:rPr>
                <w:sz w:val="22"/>
                <w:szCs w:val="22"/>
              </w:rPr>
            </w:pPr>
          </w:p>
          <w:p w14:paraId="5B37A2AD" w14:textId="77777777" w:rsidR="00190F49" w:rsidRDefault="00190F49" w:rsidP="00357CEC">
            <w:pPr>
              <w:pStyle w:val="Default"/>
              <w:rPr>
                <w:sz w:val="22"/>
                <w:szCs w:val="22"/>
              </w:rPr>
            </w:pPr>
          </w:p>
          <w:p w14:paraId="4BFA0E4E" w14:textId="77777777" w:rsidR="00190F49" w:rsidRDefault="00190F49" w:rsidP="00357CEC">
            <w:pPr>
              <w:pStyle w:val="Default"/>
              <w:rPr>
                <w:sz w:val="22"/>
                <w:szCs w:val="22"/>
              </w:rPr>
            </w:pPr>
          </w:p>
          <w:p w14:paraId="4B3374C7" w14:textId="77777777" w:rsidR="00190F49" w:rsidRDefault="00190F49" w:rsidP="00357CEC">
            <w:pPr>
              <w:pStyle w:val="Default"/>
              <w:rPr>
                <w:sz w:val="22"/>
                <w:szCs w:val="22"/>
              </w:rPr>
            </w:pPr>
          </w:p>
          <w:p w14:paraId="65B6BC68" w14:textId="77777777" w:rsidR="00190F49" w:rsidRDefault="00190F49" w:rsidP="00357CEC">
            <w:pPr>
              <w:pStyle w:val="Default"/>
              <w:rPr>
                <w:sz w:val="22"/>
                <w:szCs w:val="22"/>
              </w:rPr>
            </w:pPr>
          </w:p>
          <w:p w14:paraId="2922760F" w14:textId="4EF82F73" w:rsidR="00190F49" w:rsidRDefault="00190F49" w:rsidP="00357CEC">
            <w:pPr>
              <w:pStyle w:val="Default"/>
              <w:rPr>
                <w:sz w:val="22"/>
                <w:szCs w:val="22"/>
              </w:rPr>
            </w:pPr>
          </w:p>
          <w:p w14:paraId="70411434" w14:textId="77777777" w:rsidR="00190F49" w:rsidRDefault="00357CEC" w:rsidP="00357CEC">
            <w:pPr>
              <w:pStyle w:val="Default"/>
              <w:rPr>
                <w:sz w:val="22"/>
                <w:szCs w:val="22"/>
              </w:rPr>
            </w:pPr>
            <w:r w:rsidRPr="001300A9">
              <w:rPr>
                <w:sz w:val="22"/>
                <w:szCs w:val="22"/>
              </w:rPr>
              <w:t>N</w:t>
            </w:r>
          </w:p>
          <w:p w14:paraId="2060D721" w14:textId="77777777" w:rsidR="00190F49" w:rsidRDefault="00190F49" w:rsidP="00357CEC">
            <w:pPr>
              <w:pStyle w:val="Default"/>
              <w:rPr>
                <w:sz w:val="22"/>
                <w:szCs w:val="22"/>
              </w:rPr>
            </w:pPr>
          </w:p>
          <w:p w14:paraId="64E2EEB7" w14:textId="77777777" w:rsidR="00190F49" w:rsidRDefault="00190F49" w:rsidP="00357CEC">
            <w:pPr>
              <w:pStyle w:val="Default"/>
              <w:rPr>
                <w:sz w:val="22"/>
                <w:szCs w:val="22"/>
              </w:rPr>
            </w:pPr>
          </w:p>
          <w:p w14:paraId="4A2E8BD7" w14:textId="77777777" w:rsidR="00190F49" w:rsidRDefault="00190F49" w:rsidP="00357CEC">
            <w:pPr>
              <w:pStyle w:val="Default"/>
              <w:rPr>
                <w:sz w:val="22"/>
                <w:szCs w:val="22"/>
              </w:rPr>
            </w:pPr>
          </w:p>
          <w:p w14:paraId="7DF2468B" w14:textId="77777777" w:rsidR="00190F49" w:rsidRDefault="00190F49" w:rsidP="00357CEC">
            <w:pPr>
              <w:pStyle w:val="Default"/>
              <w:rPr>
                <w:sz w:val="22"/>
                <w:szCs w:val="22"/>
              </w:rPr>
            </w:pPr>
          </w:p>
          <w:p w14:paraId="780710CE" w14:textId="77777777" w:rsidR="00190F49" w:rsidRDefault="00190F49" w:rsidP="00357CEC">
            <w:pPr>
              <w:pStyle w:val="Default"/>
              <w:rPr>
                <w:sz w:val="22"/>
                <w:szCs w:val="22"/>
              </w:rPr>
            </w:pPr>
          </w:p>
          <w:p w14:paraId="5EF8A109" w14:textId="77777777" w:rsidR="00190F49" w:rsidRDefault="00190F49" w:rsidP="00357CEC">
            <w:pPr>
              <w:pStyle w:val="Default"/>
              <w:rPr>
                <w:sz w:val="22"/>
                <w:szCs w:val="22"/>
              </w:rPr>
            </w:pPr>
          </w:p>
          <w:p w14:paraId="4A660DC4" w14:textId="77777777" w:rsidR="00190F49" w:rsidRDefault="00190F49" w:rsidP="00357CEC">
            <w:pPr>
              <w:pStyle w:val="Default"/>
              <w:rPr>
                <w:sz w:val="22"/>
                <w:szCs w:val="22"/>
              </w:rPr>
            </w:pPr>
          </w:p>
          <w:p w14:paraId="0BDD8B98" w14:textId="0346B3A2" w:rsidR="00357CEC" w:rsidRPr="001300A9" w:rsidRDefault="009302CF" w:rsidP="00357CEC">
            <w:pPr>
              <w:pStyle w:val="Default"/>
              <w:rPr>
                <w:sz w:val="22"/>
                <w:szCs w:val="22"/>
              </w:rPr>
            </w:pPr>
            <w:r w:rsidRPr="001300A9">
              <w:rPr>
                <w:sz w:val="22"/>
                <w:szCs w:val="22"/>
              </w:rPr>
              <w:t>N</w:t>
            </w:r>
          </w:p>
          <w:p w14:paraId="4D40F63F" w14:textId="77777777" w:rsidR="00357CEC" w:rsidRPr="001300A9" w:rsidRDefault="00357CEC" w:rsidP="00357CEC">
            <w:pPr>
              <w:pStyle w:val="Default"/>
              <w:rPr>
                <w:sz w:val="22"/>
                <w:szCs w:val="22"/>
              </w:rPr>
            </w:pPr>
          </w:p>
          <w:p w14:paraId="6B57FCA9" w14:textId="7EDB2F7A" w:rsidR="00357CEC" w:rsidRPr="001300A9" w:rsidRDefault="00357CEC" w:rsidP="00357CEC">
            <w:pPr>
              <w:pStyle w:val="Default"/>
              <w:rPr>
                <w:sz w:val="22"/>
                <w:szCs w:val="22"/>
              </w:rPr>
            </w:pPr>
          </w:p>
          <w:p w14:paraId="39B94D70" w14:textId="14DC8DBE" w:rsidR="00E62D95" w:rsidRPr="001300A9" w:rsidRDefault="00E62D95" w:rsidP="00357CEC">
            <w:pPr>
              <w:pStyle w:val="Default"/>
              <w:rPr>
                <w:sz w:val="22"/>
                <w:szCs w:val="22"/>
              </w:rPr>
            </w:pPr>
          </w:p>
          <w:p w14:paraId="6C367382" w14:textId="7FFA38FC" w:rsidR="00E62D95" w:rsidRPr="001300A9" w:rsidRDefault="00E62D95" w:rsidP="00357CEC">
            <w:pPr>
              <w:pStyle w:val="Default"/>
              <w:rPr>
                <w:sz w:val="22"/>
                <w:szCs w:val="22"/>
              </w:rPr>
            </w:pPr>
          </w:p>
          <w:p w14:paraId="3D691801" w14:textId="03CAACF8" w:rsidR="00E62D95" w:rsidRPr="001300A9" w:rsidRDefault="00E62D95" w:rsidP="00357CEC">
            <w:pPr>
              <w:pStyle w:val="Default"/>
              <w:rPr>
                <w:sz w:val="22"/>
                <w:szCs w:val="22"/>
              </w:rPr>
            </w:pPr>
          </w:p>
          <w:p w14:paraId="115A47F7" w14:textId="4F87861A" w:rsidR="00E62D95" w:rsidRPr="001300A9" w:rsidRDefault="00E62D95" w:rsidP="00357CEC">
            <w:pPr>
              <w:pStyle w:val="Default"/>
              <w:rPr>
                <w:sz w:val="22"/>
                <w:szCs w:val="22"/>
              </w:rPr>
            </w:pPr>
          </w:p>
          <w:p w14:paraId="1D307634" w14:textId="67336BCD" w:rsidR="00E62D95" w:rsidRPr="001300A9" w:rsidRDefault="00E62D95" w:rsidP="00357CEC">
            <w:pPr>
              <w:pStyle w:val="Default"/>
              <w:rPr>
                <w:sz w:val="22"/>
                <w:szCs w:val="22"/>
              </w:rPr>
            </w:pPr>
          </w:p>
          <w:p w14:paraId="3ABB792E" w14:textId="4524AE28" w:rsidR="00E62D95" w:rsidRPr="001300A9" w:rsidRDefault="00E62D95" w:rsidP="00357CEC">
            <w:pPr>
              <w:pStyle w:val="Default"/>
              <w:rPr>
                <w:sz w:val="22"/>
                <w:szCs w:val="22"/>
              </w:rPr>
            </w:pPr>
          </w:p>
          <w:p w14:paraId="2B3A0335" w14:textId="6B99D773" w:rsidR="00E62D95" w:rsidRPr="001300A9" w:rsidRDefault="00E62D95" w:rsidP="00357CEC">
            <w:pPr>
              <w:pStyle w:val="Default"/>
              <w:rPr>
                <w:sz w:val="22"/>
                <w:szCs w:val="22"/>
              </w:rPr>
            </w:pPr>
          </w:p>
          <w:p w14:paraId="07EB56C2" w14:textId="6A6C0D3E" w:rsidR="00E62D95" w:rsidRPr="001300A9" w:rsidRDefault="00E62D95" w:rsidP="00357CEC">
            <w:pPr>
              <w:pStyle w:val="Default"/>
              <w:rPr>
                <w:sz w:val="22"/>
                <w:szCs w:val="22"/>
              </w:rPr>
            </w:pPr>
          </w:p>
          <w:p w14:paraId="4E44E947" w14:textId="44B615E5" w:rsidR="00E62D95" w:rsidRPr="001300A9" w:rsidRDefault="00E62D95" w:rsidP="00357CEC">
            <w:pPr>
              <w:pStyle w:val="Default"/>
              <w:rPr>
                <w:sz w:val="22"/>
                <w:szCs w:val="22"/>
              </w:rPr>
            </w:pPr>
          </w:p>
          <w:p w14:paraId="1872C883" w14:textId="068306A9" w:rsidR="00E62D95" w:rsidRPr="001300A9" w:rsidRDefault="00E62D95" w:rsidP="00357CEC">
            <w:pPr>
              <w:pStyle w:val="Default"/>
              <w:rPr>
                <w:sz w:val="22"/>
                <w:szCs w:val="22"/>
              </w:rPr>
            </w:pPr>
          </w:p>
          <w:p w14:paraId="0767D525" w14:textId="43826197" w:rsidR="00E62D95" w:rsidRPr="001300A9" w:rsidRDefault="00E62D95" w:rsidP="00357CEC">
            <w:pPr>
              <w:pStyle w:val="Default"/>
              <w:rPr>
                <w:sz w:val="22"/>
                <w:szCs w:val="22"/>
              </w:rPr>
            </w:pPr>
          </w:p>
          <w:p w14:paraId="2984C2C0" w14:textId="77777777" w:rsidR="00357CEC" w:rsidRPr="001300A9" w:rsidRDefault="00357CEC" w:rsidP="00357CEC">
            <w:pPr>
              <w:pStyle w:val="Default"/>
              <w:rPr>
                <w:sz w:val="22"/>
                <w:szCs w:val="22"/>
              </w:rPr>
            </w:pPr>
          </w:p>
          <w:p w14:paraId="008390D8" w14:textId="011B9E20" w:rsidR="00357CEC" w:rsidRPr="001300A9" w:rsidRDefault="00357CEC" w:rsidP="00357CEC">
            <w:pPr>
              <w:pStyle w:val="Default"/>
              <w:rPr>
                <w:sz w:val="22"/>
                <w:szCs w:val="22"/>
              </w:rPr>
            </w:pPr>
          </w:p>
          <w:p w14:paraId="1B8DE2EE" w14:textId="2D478BDF" w:rsidR="00FD3A36" w:rsidRPr="001300A9" w:rsidRDefault="00FD3A36" w:rsidP="00357CEC">
            <w:pPr>
              <w:pStyle w:val="Default"/>
              <w:rPr>
                <w:sz w:val="22"/>
                <w:szCs w:val="22"/>
              </w:rPr>
            </w:pPr>
          </w:p>
          <w:p w14:paraId="2CCDACF6" w14:textId="69712B60" w:rsidR="00FD3A36" w:rsidRPr="001300A9" w:rsidRDefault="00FD3A36" w:rsidP="00357CEC">
            <w:pPr>
              <w:pStyle w:val="Default"/>
              <w:rPr>
                <w:sz w:val="22"/>
                <w:szCs w:val="22"/>
              </w:rPr>
            </w:pPr>
          </w:p>
          <w:p w14:paraId="3599E771" w14:textId="6C50A8DF" w:rsidR="00FD3A36" w:rsidRPr="001300A9" w:rsidRDefault="00FD3A36" w:rsidP="00357CEC">
            <w:pPr>
              <w:pStyle w:val="Default"/>
              <w:rPr>
                <w:sz w:val="22"/>
                <w:szCs w:val="22"/>
              </w:rPr>
            </w:pPr>
          </w:p>
          <w:p w14:paraId="6D6B7682" w14:textId="4EAE5109" w:rsidR="00FD3A36" w:rsidRPr="001300A9" w:rsidRDefault="00FD3A36" w:rsidP="00357CEC">
            <w:pPr>
              <w:pStyle w:val="Default"/>
              <w:rPr>
                <w:sz w:val="22"/>
                <w:szCs w:val="22"/>
              </w:rPr>
            </w:pPr>
          </w:p>
          <w:p w14:paraId="3E17B858" w14:textId="77777777" w:rsidR="00A66FDC" w:rsidRPr="001300A9" w:rsidRDefault="00A66FDC" w:rsidP="00357CEC">
            <w:pPr>
              <w:pStyle w:val="Default"/>
              <w:rPr>
                <w:sz w:val="22"/>
                <w:szCs w:val="22"/>
              </w:rPr>
            </w:pPr>
          </w:p>
          <w:p w14:paraId="5A356D7A" w14:textId="77777777" w:rsidR="00A66FDC" w:rsidRPr="001300A9" w:rsidRDefault="00A66FDC" w:rsidP="00357CEC">
            <w:pPr>
              <w:pStyle w:val="Default"/>
              <w:rPr>
                <w:sz w:val="22"/>
                <w:szCs w:val="22"/>
              </w:rPr>
            </w:pPr>
          </w:p>
          <w:p w14:paraId="25FD32B6" w14:textId="15A24301" w:rsidR="00AF2E8A" w:rsidRDefault="00AF2E8A" w:rsidP="00357CEC">
            <w:pPr>
              <w:pStyle w:val="Default"/>
              <w:rPr>
                <w:sz w:val="22"/>
                <w:szCs w:val="22"/>
              </w:rPr>
            </w:pPr>
          </w:p>
          <w:p w14:paraId="55EBC41D" w14:textId="77777777" w:rsidR="009D0AA1" w:rsidRDefault="009D0AA1" w:rsidP="00357CEC">
            <w:pPr>
              <w:pStyle w:val="Default"/>
              <w:rPr>
                <w:sz w:val="22"/>
                <w:szCs w:val="22"/>
              </w:rPr>
            </w:pPr>
          </w:p>
          <w:p w14:paraId="43E710E3" w14:textId="77777777" w:rsidR="009D0AA1" w:rsidRDefault="009D0AA1" w:rsidP="00357CEC">
            <w:pPr>
              <w:pStyle w:val="Default"/>
              <w:rPr>
                <w:sz w:val="22"/>
                <w:szCs w:val="22"/>
              </w:rPr>
            </w:pPr>
          </w:p>
          <w:p w14:paraId="1067B132" w14:textId="50CF8325" w:rsidR="00FD3A36" w:rsidRPr="001300A9" w:rsidRDefault="009302CF" w:rsidP="00357CEC">
            <w:pPr>
              <w:pStyle w:val="Default"/>
              <w:rPr>
                <w:sz w:val="22"/>
                <w:szCs w:val="22"/>
              </w:rPr>
            </w:pPr>
            <w:r w:rsidRPr="001300A9">
              <w:rPr>
                <w:sz w:val="22"/>
                <w:szCs w:val="22"/>
              </w:rPr>
              <w:t>N</w:t>
            </w:r>
          </w:p>
          <w:p w14:paraId="70003DED" w14:textId="5454AA74" w:rsidR="00FD3A36" w:rsidRPr="001300A9" w:rsidRDefault="00FD3A36" w:rsidP="00357CEC">
            <w:pPr>
              <w:pStyle w:val="Default"/>
              <w:rPr>
                <w:sz w:val="22"/>
                <w:szCs w:val="22"/>
              </w:rPr>
            </w:pPr>
          </w:p>
          <w:p w14:paraId="4F1BF9A2" w14:textId="7F449F5A" w:rsidR="00FD3A36" w:rsidRPr="001300A9" w:rsidRDefault="00FD3A36" w:rsidP="00357CEC">
            <w:pPr>
              <w:pStyle w:val="Default"/>
              <w:rPr>
                <w:sz w:val="22"/>
                <w:szCs w:val="22"/>
              </w:rPr>
            </w:pPr>
          </w:p>
          <w:p w14:paraId="06A2484B" w14:textId="1ABC1DD2" w:rsidR="00FD3A36" w:rsidRPr="001300A9" w:rsidRDefault="00FD3A36" w:rsidP="00357CEC">
            <w:pPr>
              <w:pStyle w:val="Default"/>
              <w:rPr>
                <w:sz w:val="22"/>
                <w:szCs w:val="22"/>
              </w:rPr>
            </w:pPr>
          </w:p>
          <w:p w14:paraId="3DD0BA16" w14:textId="77777777" w:rsidR="00FD3A36" w:rsidRPr="001300A9" w:rsidRDefault="00FD3A36" w:rsidP="00357CEC">
            <w:pPr>
              <w:pStyle w:val="Default"/>
              <w:rPr>
                <w:sz w:val="22"/>
                <w:szCs w:val="22"/>
              </w:rPr>
            </w:pPr>
          </w:p>
          <w:p w14:paraId="5258574E" w14:textId="77777777" w:rsidR="00357CEC" w:rsidRPr="001300A9" w:rsidRDefault="00357CEC" w:rsidP="00357CEC">
            <w:pPr>
              <w:pStyle w:val="Default"/>
              <w:rPr>
                <w:sz w:val="22"/>
                <w:szCs w:val="22"/>
              </w:rPr>
            </w:pPr>
          </w:p>
          <w:p w14:paraId="221A24F4" w14:textId="77777777" w:rsidR="00357CEC" w:rsidRPr="001300A9" w:rsidRDefault="00357CEC" w:rsidP="00357CEC">
            <w:pPr>
              <w:pStyle w:val="Default"/>
              <w:rPr>
                <w:sz w:val="22"/>
                <w:szCs w:val="22"/>
              </w:rPr>
            </w:pPr>
          </w:p>
          <w:p w14:paraId="4D0DD61B" w14:textId="11FE4C1B" w:rsidR="00D82E61" w:rsidRDefault="00D82E61" w:rsidP="00357CEC">
            <w:pPr>
              <w:pStyle w:val="Default"/>
              <w:rPr>
                <w:sz w:val="22"/>
                <w:szCs w:val="22"/>
              </w:rPr>
            </w:pPr>
          </w:p>
          <w:p w14:paraId="254DD5E2" w14:textId="1F9B03F7" w:rsidR="5F673433" w:rsidRDefault="5F673433" w:rsidP="5F673433">
            <w:pPr>
              <w:pStyle w:val="Default"/>
              <w:rPr>
                <w:sz w:val="22"/>
                <w:szCs w:val="22"/>
              </w:rPr>
            </w:pPr>
          </w:p>
          <w:p w14:paraId="3E4584BF" w14:textId="2DA27922" w:rsidR="00357CEC" w:rsidRPr="001300A9" w:rsidRDefault="009302CF" w:rsidP="00357CEC">
            <w:pPr>
              <w:pStyle w:val="Default"/>
              <w:rPr>
                <w:sz w:val="22"/>
                <w:szCs w:val="22"/>
              </w:rPr>
            </w:pPr>
            <w:r w:rsidRPr="001300A9">
              <w:rPr>
                <w:sz w:val="22"/>
                <w:szCs w:val="22"/>
              </w:rPr>
              <w:t>N</w:t>
            </w:r>
          </w:p>
          <w:p w14:paraId="0C027625" w14:textId="77777777" w:rsidR="00357CEC" w:rsidRPr="001300A9" w:rsidRDefault="00357CEC" w:rsidP="00357CEC">
            <w:pPr>
              <w:pStyle w:val="Default"/>
              <w:rPr>
                <w:sz w:val="22"/>
                <w:szCs w:val="22"/>
              </w:rPr>
            </w:pPr>
          </w:p>
          <w:p w14:paraId="557B2C5A" w14:textId="77777777" w:rsidR="00357CEC" w:rsidRPr="001300A9" w:rsidRDefault="00357CEC" w:rsidP="00357CEC">
            <w:pPr>
              <w:pStyle w:val="Default"/>
              <w:rPr>
                <w:sz w:val="22"/>
                <w:szCs w:val="22"/>
              </w:rPr>
            </w:pPr>
          </w:p>
          <w:p w14:paraId="460C5CE5" w14:textId="77777777" w:rsidR="00F13A0B" w:rsidRPr="001300A9" w:rsidRDefault="00F13A0B" w:rsidP="00357CEC">
            <w:pPr>
              <w:pStyle w:val="Default"/>
              <w:rPr>
                <w:sz w:val="22"/>
                <w:szCs w:val="22"/>
              </w:rPr>
            </w:pPr>
          </w:p>
          <w:p w14:paraId="3DEB2E52" w14:textId="77777777" w:rsidR="00F13A0B" w:rsidRPr="001300A9" w:rsidRDefault="00F13A0B" w:rsidP="00357CEC">
            <w:pPr>
              <w:pStyle w:val="Default"/>
              <w:rPr>
                <w:sz w:val="22"/>
                <w:szCs w:val="22"/>
              </w:rPr>
            </w:pPr>
          </w:p>
          <w:p w14:paraId="406EB7A4" w14:textId="77777777" w:rsidR="00F13A0B" w:rsidRPr="001300A9" w:rsidRDefault="00F13A0B" w:rsidP="00357CEC">
            <w:pPr>
              <w:pStyle w:val="Default"/>
              <w:rPr>
                <w:sz w:val="22"/>
                <w:szCs w:val="22"/>
              </w:rPr>
            </w:pPr>
          </w:p>
          <w:p w14:paraId="637BF314" w14:textId="77777777" w:rsidR="00F13A0B" w:rsidRPr="001300A9" w:rsidRDefault="00F13A0B" w:rsidP="00357CEC">
            <w:pPr>
              <w:pStyle w:val="Default"/>
              <w:rPr>
                <w:sz w:val="22"/>
                <w:szCs w:val="22"/>
              </w:rPr>
            </w:pPr>
          </w:p>
          <w:p w14:paraId="37F4E422" w14:textId="77777777" w:rsidR="00F13A0B" w:rsidRPr="001300A9" w:rsidRDefault="00F13A0B" w:rsidP="00357CEC">
            <w:pPr>
              <w:pStyle w:val="Default"/>
              <w:rPr>
                <w:sz w:val="22"/>
                <w:szCs w:val="22"/>
              </w:rPr>
            </w:pPr>
          </w:p>
          <w:p w14:paraId="71BE5BDE" w14:textId="77777777" w:rsidR="00F13A0B" w:rsidRPr="001300A9" w:rsidRDefault="00F13A0B" w:rsidP="00357CEC">
            <w:pPr>
              <w:pStyle w:val="Default"/>
              <w:rPr>
                <w:sz w:val="22"/>
                <w:szCs w:val="22"/>
              </w:rPr>
            </w:pPr>
          </w:p>
          <w:p w14:paraId="13A7BBBE" w14:textId="77777777" w:rsidR="00F13A0B" w:rsidRPr="001300A9" w:rsidRDefault="00F13A0B" w:rsidP="00357CEC">
            <w:pPr>
              <w:pStyle w:val="Default"/>
              <w:rPr>
                <w:sz w:val="22"/>
                <w:szCs w:val="22"/>
              </w:rPr>
            </w:pPr>
          </w:p>
          <w:p w14:paraId="5DFEF370" w14:textId="77777777" w:rsidR="00F13A0B" w:rsidRPr="001300A9" w:rsidRDefault="00F13A0B" w:rsidP="00357CEC">
            <w:pPr>
              <w:pStyle w:val="Default"/>
              <w:rPr>
                <w:sz w:val="22"/>
                <w:szCs w:val="22"/>
              </w:rPr>
            </w:pPr>
          </w:p>
          <w:p w14:paraId="31956E69" w14:textId="77777777" w:rsidR="00F13A0B" w:rsidRPr="001300A9" w:rsidRDefault="00F13A0B" w:rsidP="00357CEC">
            <w:pPr>
              <w:pStyle w:val="Default"/>
              <w:rPr>
                <w:sz w:val="22"/>
                <w:szCs w:val="22"/>
              </w:rPr>
            </w:pPr>
          </w:p>
          <w:p w14:paraId="034ACA99" w14:textId="77777777" w:rsidR="00F13A0B" w:rsidRPr="001300A9" w:rsidRDefault="00F13A0B" w:rsidP="00357CEC">
            <w:pPr>
              <w:pStyle w:val="Default"/>
              <w:rPr>
                <w:sz w:val="22"/>
                <w:szCs w:val="22"/>
              </w:rPr>
            </w:pPr>
          </w:p>
          <w:p w14:paraId="414BA472" w14:textId="77777777" w:rsidR="00F13A0B" w:rsidRPr="001300A9" w:rsidRDefault="00F13A0B" w:rsidP="00357CEC">
            <w:pPr>
              <w:pStyle w:val="Default"/>
              <w:rPr>
                <w:sz w:val="22"/>
                <w:szCs w:val="22"/>
              </w:rPr>
            </w:pPr>
          </w:p>
          <w:p w14:paraId="5F8EDEC8" w14:textId="77777777" w:rsidR="00F13A0B" w:rsidRPr="001300A9" w:rsidRDefault="00F13A0B" w:rsidP="00357CEC">
            <w:pPr>
              <w:pStyle w:val="Default"/>
              <w:rPr>
                <w:sz w:val="22"/>
                <w:szCs w:val="22"/>
              </w:rPr>
            </w:pPr>
          </w:p>
          <w:p w14:paraId="7C47BFA0" w14:textId="77777777" w:rsidR="00F13A0B" w:rsidRPr="001300A9" w:rsidRDefault="00F13A0B" w:rsidP="00357CEC">
            <w:pPr>
              <w:pStyle w:val="Default"/>
              <w:rPr>
                <w:sz w:val="22"/>
                <w:szCs w:val="22"/>
              </w:rPr>
            </w:pPr>
          </w:p>
          <w:p w14:paraId="03C25CD5" w14:textId="77777777" w:rsidR="00F13A0B" w:rsidRPr="001300A9" w:rsidRDefault="00F13A0B" w:rsidP="00357CEC">
            <w:pPr>
              <w:pStyle w:val="Default"/>
              <w:rPr>
                <w:sz w:val="22"/>
                <w:szCs w:val="22"/>
              </w:rPr>
            </w:pPr>
          </w:p>
          <w:p w14:paraId="307F982B" w14:textId="77777777" w:rsidR="00F13A0B" w:rsidRPr="001300A9" w:rsidRDefault="00F13A0B" w:rsidP="00357CEC">
            <w:pPr>
              <w:pStyle w:val="Default"/>
              <w:rPr>
                <w:sz w:val="22"/>
                <w:szCs w:val="22"/>
              </w:rPr>
            </w:pPr>
          </w:p>
          <w:p w14:paraId="7E752E5A" w14:textId="77777777" w:rsidR="00F13A0B" w:rsidRPr="001300A9" w:rsidRDefault="00F13A0B" w:rsidP="00357CEC">
            <w:pPr>
              <w:pStyle w:val="Default"/>
              <w:rPr>
                <w:sz w:val="22"/>
                <w:szCs w:val="22"/>
              </w:rPr>
            </w:pPr>
          </w:p>
          <w:p w14:paraId="03413B4E" w14:textId="77777777" w:rsidR="00F13A0B" w:rsidRPr="001300A9" w:rsidRDefault="00F13A0B" w:rsidP="00357CEC">
            <w:pPr>
              <w:pStyle w:val="Default"/>
              <w:rPr>
                <w:sz w:val="22"/>
                <w:szCs w:val="22"/>
              </w:rPr>
            </w:pPr>
          </w:p>
          <w:p w14:paraId="32B2D145" w14:textId="5AA705A7" w:rsidR="0082715B" w:rsidRDefault="0082715B" w:rsidP="00357CEC">
            <w:pPr>
              <w:pStyle w:val="Default"/>
              <w:rPr>
                <w:sz w:val="22"/>
                <w:szCs w:val="22"/>
              </w:rPr>
            </w:pPr>
          </w:p>
          <w:p w14:paraId="717415CA" w14:textId="77777777" w:rsidR="009D0AA1" w:rsidRDefault="009D0AA1" w:rsidP="00357CEC">
            <w:pPr>
              <w:pStyle w:val="Default"/>
              <w:rPr>
                <w:sz w:val="22"/>
                <w:szCs w:val="22"/>
              </w:rPr>
            </w:pPr>
          </w:p>
          <w:p w14:paraId="54694C28" w14:textId="77777777" w:rsidR="009D0AA1" w:rsidRDefault="009D0AA1" w:rsidP="00357CEC">
            <w:pPr>
              <w:pStyle w:val="Default"/>
              <w:rPr>
                <w:sz w:val="22"/>
                <w:szCs w:val="22"/>
              </w:rPr>
            </w:pPr>
          </w:p>
          <w:p w14:paraId="78726826" w14:textId="77777777" w:rsidR="009D0AA1" w:rsidRDefault="009D0AA1" w:rsidP="00357CEC">
            <w:pPr>
              <w:pStyle w:val="Default"/>
              <w:rPr>
                <w:sz w:val="22"/>
                <w:szCs w:val="22"/>
              </w:rPr>
            </w:pPr>
          </w:p>
          <w:p w14:paraId="6AED5B40" w14:textId="5ABD226B" w:rsidR="5F673433" w:rsidRDefault="5F673433" w:rsidP="5F673433">
            <w:pPr>
              <w:pStyle w:val="Default"/>
              <w:rPr>
                <w:sz w:val="22"/>
                <w:szCs w:val="22"/>
              </w:rPr>
            </w:pPr>
          </w:p>
          <w:p w14:paraId="109FC4C6" w14:textId="669B8CB8" w:rsidR="00D43B5D" w:rsidRPr="001300A9" w:rsidRDefault="00E23DD6" w:rsidP="00357CEC">
            <w:pPr>
              <w:pStyle w:val="Default"/>
              <w:rPr>
                <w:sz w:val="22"/>
                <w:szCs w:val="22"/>
              </w:rPr>
            </w:pPr>
            <w:r w:rsidRPr="001300A9">
              <w:rPr>
                <w:sz w:val="22"/>
                <w:szCs w:val="22"/>
              </w:rPr>
              <w:t>N</w:t>
            </w:r>
          </w:p>
          <w:p w14:paraId="0104CB5A" w14:textId="2FF9FEE8" w:rsidR="00D43B5D" w:rsidRPr="001300A9" w:rsidRDefault="00D43B5D" w:rsidP="00357CEC">
            <w:pPr>
              <w:pStyle w:val="Default"/>
              <w:rPr>
                <w:sz w:val="22"/>
                <w:szCs w:val="22"/>
              </w:rPr>
            </w:pPr>
          </w:p>
          <w:p w14:paraId="24B4E180" w14:textId="4A3BBAF6" w:rsidR="00D43B5D" w:rsidRPr="001300A9" w:rsidRDefault="00D43B5D" w:rsidP="00357CEC">
            <w:pPr>
              <w:pStyle w:val="Default"/>
              <w:rPr>
                <w:sz w:val="22"/>
                <w:szCs w:val="22"/>
              </w:rPr>
            </w:pPr>
          </w:p>
          <w:p w14:paraId="70804E30" w14:textId="05446F4B" w:rsidR="00D43B5D" w:rsidRPr="001300A9" w:rsidRDefault="00D43B5D" w:rsidP="00357CEC">
            <w:pPr>
              <w:pStyle w:val="Default"/>
              <w:rPr>
                <w:sz w:val="22"/>
                <w:szCs w:val="22"/>
              </w:rPr>
            </w:pPr>
          </w:p>
          <w:p w14:paraId="235303B0" w14:textId="0A5395DA" w:rsidR="00D43B5D" w:rsidRPr="001300A9" w:rsidRDefault="00D43B5D" w:rsidP="00357CEC">
            <w:pPr>
              <w:pStyle w:val="Default"/>
              <w:rPr>
                <w:sz w:val="22"/>
                <w:szCs w:val="22"/>
              </w:rPr>
            </w:pPr>
          </w:p>
          <w:p w14:paraId="2B7C28A9" w14:textId="7DDCDBCB" w:rsidR="00287825" w:rsidRDefault="00287825" w:rsidP="00357CEC">
            <w:pPr>
              <w:pStyle w:val="Default"/>
              <w:rPr>
                <w:sz w:val="22"/>
                <w:szCs w:val="22"/>
              </w:rPr>
            </w:pPr>
          </w:p>
          <w:p w14:paraId="436AE77C" w14:textId="6C26E716" w:rsidR="00D43B5D" w:rsidRPr="001300A9" w:rsidRDefault="00A95F40" w:rsidP="00357CEC">
            <w:pPr>
              <w:pStyle w:val="Default"/>
              <w:rPr>
                <w:sz w:val="22"/>
                <w:szCs w:val="22"/>
              </w:rPr>
            </w:pPr>
            <w:r w:rsidRPr="001300A9">
              <w:rPr>
                <w:sz w:val="22"/>
                <w:szCs w:val="22"/>
              </w:rPr>
              <w:t>N</w:t>
            </w:r>
          </w:p>
          <w:p w14:paraId="567BF336" w14:textId="6C2E3CF3" w:rsidR="00D43B5D" w:rsidRPr="001300A9" w:rsidRDefault="00D43B5D" w:rsidP="00357CEC">
            <w:pPr>
              <w:pStyle w:val="Default"/>
              <w:rPr>
                <w:sz w:val="22"/>
                <w:szCs w:val="22"/>
              </w:rPr>
            </w:pPr>
          </w:p>
          <w:p w14:paraId="44E52A6B" w14:textId="26991354" w:rsidR="00D43B5D" w:rsidRPr="001300A9" w:rsidRDefault="00D43B5D" w:rsidP="00357CEC">
            <w:pPr>
              <w:pStyle w:val="Default"/>
              <w:rPr>
                <w:sz w:val="22"/>
                <w:szCs w:val="22"/>
              </w:rPr>
            </w:pPr>
          </w:p>
          <w:p w14:paraId="598749CB" w14:textId="3626C724" w:rsidR="00D43B5D" w:rsidRPr="001300A9" w:rsidRDefault="00D43B5D" w:rsidP="00357CEC">
            <w:pPr>
              <w:pStyle w:val="Default"/>
              <w:rPr>
                <w:sz w:val="22"/>
                <w:szCs w:val="22"/>
              </w:rPr>
            </w:pPr>
          </w:p>
          <w:p w14:paraId="08B2741E" w14:textId="77777777" w:rsidR="00D43B5D" w:rsidRPr="001300A9" w:rsidRDefault="00D43B5D" w:rsidP="00357CEC">
            <w:pPr>
              <w:pStyle w:val="Default"/>
              <w:rPr>
                <w:sz w:val="22"/>
                <w:szCs w:val="22"/>
              </w:rPr>
            </w:pPr>
          </w:p>
          <w:p w14:paraId="646DBB37" w14:textId="77777777" w:rsidR="00357CEC" w:rsidRPr="001300A9" w:rsidRDefault="00357CEC" w:rsidP="00357CEC">
            <w:pPr>
              <w:pStyle w:val="Default"/>
              <w:rPr>
                <w:sz w:val="22"/>
                <w:szCs w:val="22"/>
              </w:rPr>
            </w:pPr>
          </w:p>
          <w:p w14:paraId="60B40F36" w14:textId="77777777" w:rsidR="00357CEC" w:rsidRPr="001300A9" w:rsidRDefault="00357CEC" w:rsidP="00357CEC">
            <w:pPr>
              <w:pStyle w:val="Default"/>
              <w:rPr>
                <w:sz w:val="22"/>
                <w:szCs w:val="22"/>
              </w:rPr>
            </w:pPr>
          </w:p>
          <w:p w14:paraId="76B86979" w14:textId="77777777" w:rsidR="00357CEC" w:rsidRPr="001300A9" w:rsidRDefault="00357CEC" w:rsidP="00357CEC">
            <w:pPr>
              <w:pStyle w:val="Default"/>
              <w:rPr>
                <w:sz w:val="22"/>
                <w:szCs w:val="22"/>
              </w:rPr>
            </w:pPr>
          </w:p>
          <w:p w14:paraId="1BB34583" w14:textId="77777777" w:rsidR="00357CEC" w:rsidRPr="001300A9" w:rsidRDefault="00357CEC" w:rsidP="00357CEC">
            <w:pPr>
              <w:pStyle w:val="Default"/>
              <w:rPr>
                <w:sz w:val="22"/>
                <w:szCs w:val="22"/>
              </w:rPr>
            </w:pPr>
          </w:p>
          <w:p w14:paraId="477E847D" w14:textId="77777777" w:rsidR="00357CEC" w:rsidRPr="001300A9" w:rsidRDefault="00357CEC" w:rsidP="00357CEC">
            <w:pPr>
              <w:pStyle w:val="Default"/>
              <w:rPr>
                <w:sz w:val="22"/>
                <w:szCs w:val="22"/>
              </w:rPr>
            </w:pPr>
          </w:p>
          <w:p w14:paraId="5BAD7757" w14:textId="77777777" w:rsidR="00357CEC" w:rsidRPr="001300A9" w:rsidRDefault="00357CEC" w:rsidP="00357CEC">
            <w:pPr>
              <w:pStyle w:val="Default"/>
              <w:rPr>
                <w:sz w:val="22"/>
                <w:szCs w:val="22"/>
              </w:rPr>
            </w:pPr>
          </w:p>
          <w:p w14:paraId="28C82CD5" w14:textId="64E85A5C" w:rsidR="00357CEC" w:rsidRPr="001300A9" w:rsidRDefault="00357CEC" w:rsidP="00357CEC">
            <w:pPr>
              <w:pStyle w:val="Default"/>
              <w:rPr>
                <w:sz w:val="22"/>
                <w:szCs w:val="22"/>
              </w:rPr>
            </w:pPr>
          </w:p>
          <w:p w14:paraId="226CB442" w14:textId="77777777" w:rsidR="00357CEC" w:rsidRPr="001300A9" w:rsidRDefault="00357CEC" w:rsidP="00357CEC">
            <w:pPr>
              <w:pStyle w:val="Default"/>
              <w:rPr>
                <w:sz w:val="22"/>
                <w:szCs w:val="22"/>
              </w:rPr>
            </w:pPr>
          </w:p>
          <w:p w14:paraId="3F4C0964" w14:textId="77777777" w:rsidR="00357CEC" w:rsidRPr="001300A9" w:rsidRDefault="00357CEC" w:rsidP="00357CEC">
            <w:pPr>
              <w:pStyle w:val="Default"/>
              <w:rPr>
                <w:sz w:val="22"/>
                <w:szCs w:val="22"/>
              </w:rPr>
            </w:pPr>
          </w:p>
          <w:p w14:paraId="63110AC2" w14:textId="77777777" w:rsidR="00357CEC" w:rsidRPr="001300A9" w:rsidRDefault="00357CEC" w:rsidP="00357CEC">
            <w:pPr>
              <w:pStyle w:val="Default"/>
              <w:rPr>
                <w:sz w:val="22"/>
                <w:szCs w:val="22"/>
              </w:rPr>
            </w:pPr>
          </w:p>
          <w:p w14:paraId="1FD68E9E" w14:textId="77777777" w:rsidR="00357CEC" w:rsidRPr="001300A9" w:rsidRDefault="00357CEC" w:rsidP="00357CEC">
            <w:pPr>
              <w:pStyle w:val="Default"/>
              <w:rPr>
                <w:sz w:val="22"/>
                <w:szCs w:val="22"/>
              </w:rPr>
            </w:pPr>
          </w:p>
          <w:p w14:paraId="052A0A96" w14:textId="77777777" w:rsidR="00357CEC" w:rsidRPr="001300A9" w:rsidRDefault="00357CEC" w:rsidP="00357CEC">
            <w:pPr>
              <w:pStyle w:val="Default"/>
              <w:rPr>
                <w:sz w:val="22"/>
                <w:szCs w:val="22"/>
              </w:rPr>
            </w:pPr>
          </w:p>
          <w:p w14:paraId="38E4BF09" w14:textId="77777777" w:rsidR="00357CEC" w:rsidRPr="001300A9" w:rsidRDefault="00357CEC" w:rsidP="00357CEC">
            <w:pPr>
              <w:pStyle w:val="Default"/>
              <w:rPr>
                <w:sz w:val="22"/>
                <w:szCs w:val="22"/>
              </w:rPr>
            </w:pPr>
          </w:p>
          <w:p w14:paraId="3A818BFE" w14:textId="0BCA190D" w:rsidR="00357CEC" w:rsidRPr="001300A9" w:rsidRDefault="00357CEC" w:rsidP="00357CEC">
            <w:pPr>
              <w:pStyle w:val="Default"/>
              <w:rPr>
                <w:sz w:val="22"/>
                <w:szCs w:val="22"/>
              </w:rPr>
            </w:pPr>
          </w:p>
          <w:p w14:paraId="16E4734E" w14:textId="77777777" w:rsidR="00357CEC" w:rsidRPr="001300A9" w:rsidRDefault="00357CEC" w:rsidP="00357CEC">
            <w:pPr>
              <w:pStyle w:val="Default"/>
              <w:rPr>
                <w:sz w:val="22"/>
                <w:szCs w:val="22"/>
              </w:rPr>
            </w:pPr>
          </w:p>
          <w:p w14:paraId="55283D9E" w14:textId="77777777" w:rsidR="00357CEC" w:rsidRPr="001300A9" w:rsidRDefault="00357CEC" w:rsidP="00357CEC">
            <w:pPr>
              <w:pStyle w:val="Default"/>
              <w:rPr>
                <w:sz w:val="22"/>
                <w:szCs w:val="22"/>
              </w:rPr>
            </w:pPr>
          </w:p>
          <w:p w14:paraId="03D0BEC7" w14:textId="77777777" w:rsidR="00357CEC" w:rsidRPr="001300A9" w:rsidRDefault="00357CEC" w:rsidP="00357CEC">
            <w:pPr>
              <w:pStyle w:val="Default"/>
              <w:rPr>
                <w:sz w:val="22"/>
                <w:szCs w:val="22"/>
              </w:rPr>
            </w:pPr>
          </w:p>
          <w:p w14:paraId="7A338CBD" w14:textId="77777777" w:rsidR="00357CEC" w:rsidRPr="001300A9" w:rsidRDefault="00357CEC" w:rsidP="00357CEC">
            <w:pPr>
              <w:pStyle w:val="Default"/>
              <w:rPr>
                <w:sz w:val="22"/>
                <w:szCs w:val="22"/>
              </w:rPr>
            </w:pPr>
          </w:p>
          <w:p w14:paraId="26AB348F" w14:textId="77777777" w:rsidR="00357CEC" w:rsidRPr="001300A9" w:rsidRDefault="00357CEC" w:rsidP="00357CEC">
            <w:pPr>
              <w:pStyle w:val="Default"/>
              <w:rPr>
                <w:sz w:val="22"/>
                <w:szCs w:val="22"/>
              </w:rPr>
            </w:pPr>
          </w:p>
          <w:p w14:paraId="110C1C35" w14:textId="4892C87E" w:rsidR="00357CEC" w:rsidRPr="001300A9" w:rsidRDefault="00357CEC" w:rsidP="00357CEC">
            <w:pPr>
              <w:pStyle w:val="Default"/>
              <w:rPr>
                <w:sz w:val="22"/>
                <w:szCs w:val="22"/>
              </w:rPr>
            </w:pPr>
          </w:p>
          <w:p w14:paraId="18A2D0F5" w14:textId="77777777" w:rsidR="00357CEC" w:rsidRPr="001300A9" w:rsidRDefault="00357CEC" w:rsidP="00357CEC">
            <w:pPr>
              <w:pStyle w:val="Default"/>
              <w:rPr>
                <w:sz w:val="22"/>
                <w:szCs w:val="22"/>
              </w:rPr>
            </w:pPr>
          </w:p>
          <w:p w14:paraId="39370738" w14:textId="77777777" w:rsidR="00357CEC" w:rsidRPr="001300A9" w:rsidRDefault="00357CEC" w:rsidP="00357CEC">
            <w:pPr>
              <w:pStyle w:val="Default"/>
              <w:rPr>
                <w:sz w:val="22"/>
                <w:szCs w:val="22"/>
              </w:rPr>
            </w:pPr>
          </w:p>
          <w:p w14:paraId="0F1CBC60" w14:textId="77777777" w:rsidR="00357CEC" w:rsidRPr="001300A9" w:rsidRDefault="00357CEC" w:rsidP="00357CEC">
            <w:pPr>
              <w:pStyle w:val="Default"/>
              <w:rPr>
                <w:sz w:val="22"/>
                <w:szCs w:val="22"/>
              </w:rPr>
            </w:pPr>
          </w:p>
          <w:p w14:paraId="5C7357DC" w14:textId="77777777" w:rsidR="00357CEC" w:rsidRPr="001300A9" w:rsidRDefault="00357CEC" w:rsidP="00357CEC">
            <w:pPr>
              <w:pStyle w:val="Default"/>
              <w:rPr>
                <w:sz w:val="22"/>
                <w:szCs w:val="22"/>
              </w:rPr>
            </w:pPr>
          </w:p>
          <w:p w14:paraId="4FFE7A79" w14:textId="77777777" w:rsidR="00357CEC" w:rsidRPr="001300A9" w:rsidRDefault="00357CEC" w:rsidP="00357CEC">
            <w:pPr>
              <w:pStyle w:val="Default"/>
              <w:rPr>
                <w:sz w:val="22"/>
                <w:szCs w:val="22"/>
              </w:rPr>
            </w:pPr>
          </w:p>
          <w:p w14:paraId="4BA7836C" w14:textId="77777777" w:rsidR="00357CEC" w:rsidRPr="001300A9" w:rsidRDefault="00357CEC" w:rsidP="00357CEC">
            <w:pPr>
              <w:pStyle w:val="Default"/>
              <w:rPr>
                <w:sz w:val="22"/>
                <w:szCs w:val="22"/>
              </w:rPr>
            </w:pPr>
          </w:p>
          <w:p w14:paraId="7469AD68" w14:textId="77777777" w:rsidR="00357CEC" w:rsidRPr="001300A9" w:rsidRDefault="00357CEC" w:rsidP="00357CEC">
            <w:pPr>
              <w:pStyle w:val="Default"/>
              <w:rPr>
                <w:sz w:val="22"/>
                <w:szCs w:val="22"/>
              </w:rPr>
            </w:pPr>
          </w:p>
          <w:p w14:paraId="6867D10E" w14:textId="7CE9E2E3" w:rsidR="00A66FDC" w:rsidRDefault="00A66FDC" w:rsidP="00357CEC">
            <w:pPr>
              <w:pStyle w:val="Default"/>
              <w:rPr>
                <w:sz w:val="22"/>
                <w:szCs w:val="22"/>
              </w:rPr>
            </w:pPr>
          </w:p>
          <w:p w14:paraId="33B213BB" w14:textId="77777777" w:rsidR="00730219" w:rsidRPr="001300A9" w:rsidRDefault="00730219" w:rsidP="00357CEC">
            <w:pPr>
              <w:pStyle w:val="Default"/>
              <w:rPr>
                <w:sz w:val="22"/>
                <w:szCs w:val="22"/>
              </w:rPr>
            </w:pPr>
          </w:p>
          <w:p w14:paraId="0BCD7FBB" w14:textId="77777777" w:rsidR="00287825" w:rsidRDefault="00287825" w:rsidP="00357CEC">
            <w:pPr>
              <w:pStyle w:val="Default"/>
              <w:rPr>
                <w:sz w:val="22"/>
                <w:szCs w:val="22"/>
              </w:rPr>
            </w:pPr>
          </w:p>
          <w:p w14:paraId="22BE2E58" w14:textId="7EFECB88" w:rsidR="5F673433" w:rsidRDefault="5F673433" w:rsidP="5F673433">
            <w:pPr>
              <w:pStyle w:val="Default"/>
              <w:rPr>
                <w:sz w:val="22"/>
                <w:szCs w:val="22"/>
              </w:rPr>
            </w:pPr>
          </w:p>
          <w:p w14:paraId="19AD62E5" w14:textId="174D4E9C" w:rsidR="00357CEC" w:rsidRPr="001300A9" w:rsidRDefault="00357CEC" w:rsidP="00357CEC">
            <w:pPr>
              <w:pStyle w:val="Default"/>
              <w:rPr>
                <w:sz w:val="22"/>
                <w:szCs w:val="22"/>
              </w:rPr>
            </w:pPr>
            <w:proofErr w:type="spellStart"/>
            <w:r w:rsidRPr="001300A9">
              <w:rPr>
                <w:sz w:val="22"/>
                <w:szCs w:val="22"/>
              </w:rPr>
              <w:t>n.a</w:t>
            </w:r>
            <w:proofErr w:type="spellEnd"/>
            <w:r w:rsidRPr="001300A9">
              <w:rPr>
                <w:sz w:val="22"/>
                <w:szCs w:val="22"/>
              </w:rPr>
              <w:t>.</w:t>
            </w:r>
          </w:p>
          <w:p w14:paraId="2BB79FF1" w14:textId="77777777" w:rsidR="00357CEC" w:rsidRPr="001300A9" w:rsidRDefault="00357CEC" w:rsidP="00357CEC">
            <w:pPr>
              <w:pStyle w:val="Default"/>
              <w:rPr>
                <w:sz w:val="22"/>
                <w:szCs w:val="22"/>
              </w:rPr>
            </w:pPr>
          </w:p>
          <w:p w14:paraId="27BB4064" w14:textId="71CBF73A" w:rsidR="00357CEC" w:rsidRPr="001300A9" w:rsidRDefault="00357CEC" w:rsidP="00357CEC">
            <w:pPr>
              <w:pStyle w:val="Default"/>
              <w:rPr>
                <w:sz w:val="22"/>
                <w:szCs w:val="22"/>
              </w:rPr>
            </w:pPr>
          </w:p>
          <w:p w14:paraId="38D8508D" w14:textId="5D96FB07" w:rsidR="00A66FDC" w:rsidRPr="001300A9" w:rsidRDefault="00A66FDC" w:rsidP="00357CEC">
            <w:pPr>
              <w:pStyle w:val="Default"/>
              <w:rPr>
                <w:sz w:val="22"/>
                <w:szCs w:val="22"/>
              </w:rPr>
            </w:pPr>
          </w:p>
          <w:p w14:paraId="0429122A" w14:textId="36AA87D6" w:rsidR="00A66FDC" w:rsidRPr="001300A9" w:rsidRDefault="00A66FDC" w:rsidP="00357CEC">
            <w:pPr>
              <w:pStyle w:val="Default"/>
              <w:rPr>
                <w:sz w:val="22"/>
                <w:szCs w:val="22"/>
              </w:rPr>
            </w:pPr>
          </w:p>
          <w:p w14:paraId="4729E785" w14:textId="2DA3BDCC" w:rsidR="00A66FDC" w:rsidRPr="001300A9" w:rsidRDefault="00A66FDC" w:rsidP="00357CEC">
            <w:pPr>
              <w:pStyle w:val="Default"/>
              <w:rPr>
                <w:sz w:val="22"/>
                <w:szCs w:val="22"/>
              </w:rPr>
            </w:pPr>
          </w:p>
          <w:p w14:paraId="7DB504D6" w14:textId="24877BC2" w:rsidR="00A66FDC" w:rsidRPr="001300A9" w:rsidRDefault="00A66FDC" w:rsidP="00357CEC">
            <w:pPr>
              <w:pStyle w:val="Default"/>
              <w:rPr>
                <w:sz w:val="22"/>
                <w:szCs w:val="22"/>
              </w:rPr>
            </w:pPr>
          </w:p>
          <w:p w14:paraId="7CA3783F" w14:textId="264900A0" w:rsidR="00A66FDC" w:rsidRPr="001300A9" w:rsidRDefault="00A66FDC" w:rsidP="00357CEC">
            <w:pPr>
              <w:pStyle w:val="Default"/>
              <w:rPr>
                <w:sz w:val="22"/>
                <w:szCs w:val="22"/>
              </w:rPr>
            </w:pPr>
          </w:p>
          <w:p w14:paraId="59A9B7CA" w14:textId="5EFCAD07" w:rsidR="00A66FDC" w:rsidRPr="001300A9" w:rsidRDefault="00A66FDC" w:rsidP="00357CEC">
            <w:pPr>
              <w:pStyle w:val="Default"/>
              <w:rPr>
                <w:sz w:val="22"/>
                <w:szCs w:val="22"/>
              </w:rPr>
            </w:pPr>
          </w:p>
          <w:p w14:paraId="1E86CDEC" w14:textId="34968B2F" w:rsidR="00A66FDC" w:rsidRPr="001300A9" w:rsidRDefault="00A66FDC" w:rsidP="00357CEC">
            <w:pPr>
              <w:pStyle w:val="Default"/>
              <w:rPr>
                <w:sz w:val="22"/>
                <w:szCs w:val="22"/>
              </w:rPr>
            </w:pPr>
          </w:p>
          <w:p w14:paraId="0E66699C" w14:textId="09EE4FDB" w:rsidR="00A66FDC" w:rsidRPr="001300A9" w:rsidRDefault="00A66FDC" w:rsidP="00357CEC">
            <w:pPr>
              <w:pStyle w:val="Default"/>
              <w:rPr>
                <w:sz w:val="22"/>
                <w:szCs w:val="22"/>
              </w:rPr>
            </w:pPr>
          </w:p>
          <w:p w14:paraId="167A314B" w14:textId="68C1CE94" w:rsidR="00A66FDC" w:rsidRPr="001300A9" w:rsidRDefault="00A66FDC" w:rsidP="00357CEC">
            <w:pPr>
              <w:pStyle w:val="Default"/>
              <w:rPr>
                <w:sz w:val="22"/>
                <w:szCs w:val="22"/>
              </w:rPr>
            </w:pPr>
          </w:p>
          <w:p w14:paraId="0B381702" w14:textId="3EE97F05" w:rsidR="00A66FDC" w:rsidRPr="001300A9" w:rsidRDefault="00A66FDC" w:rsidP="00357CEC">
            <w:pPr>
              <w:pStyle w:val="Default"/>
              <w:rPr>
                <w:sz w:val="22"/>
                <w:szCs w:val="22"/>
              </w:rPr>
            </w:pPr>
          </w:p>
          <w:p w14:paraId="45F4B9C0" w14:textId="77777777" w:rsidR="00BF0D7E" w:rsidRPr="001300A9" w:rsidRDefault="00BF0D7E" w:rsidP="00357CEC">
            <w:pPr>
              <w:pStyle w:val="Default"/>
              <w:rPr>
                <w:sz w:val="22"/>
                <w:szCs w:val="22"/>
              </w:rPr>
            </w:pPr>
          </w:p>
          <w:p w14:paraId="44DED5D3" w14:textId="77777777" w:rsidR="00BF0D7E" w:rsidRPr="001300A9" w:rsidRDefault="00BF0D7E" w:rsidP="00357CEC">
            <w:pPr>
              <w:pStyle w:val="Default"/>
              <w:rPr>
                <w:sz w:val="22"/>
                <w:szCs w:val="22"/>
              </w:rPr>
            </w:pPr>
          </w:p>
          <w:p w14:paraId="0515045A" w14:textId="30CD03A3" w:rsidR="009D0AA1" w:rsidRDefault="009D0AA1" w:rsidP="00357CEC">
            <w:pPr>
              <w:pStyle w:val="Default"/>
              <w:rPr>
                <w:sz w:val="22"/>
                <w:szCs w:val="22"/>
              </w:rPr>
            </w:pPr>
          </w:p>
          <w:p w14:paraId="55A1F293" w14:textId="74F8BA6E" w:rsidR="00357CEC" w:rsidRPr="001300A9" w:rsidRDefault="00357CEC" w:rsidP="00357CEC">
            <w:pPr>
              <w:pStyle w:val="Default"/>
              <w:rPr>
                <w:sz w:val="22"/>
                <w:szCs w:val="22"/>
              </w:rPr>
            </w:pPr>
            <w:proofErr w:type="spellStart"/>
            <w:r w:rsidRPr="001300A9">
              <w:rPr>
                <w:sz w:val="22"/>
                <w:szCs w:val="22"/>
              </w:rPr>
              <w:t>n.a</w:t>
            </w:r>
            <w:proofErr w:type="spellEnd"/>
            <w:r w:rsidRPr="001300A9">
              <w:rPr>
                <w:sz w:val="22"/>
                <w:szCs w:val="22"/>
              </w:rPr>
              <w:t>.</w:t>
            </w:r>
          </w:p>
          <w:p w14:paraId="40E3DEB9" w14:textId="77777777" w:rsidR="00357CEC" w:rsidRPr="001300A9" w:rsidRDefault="00357CEC" w:rsidP="00357CEC">
            <w:pPr>
              <w:pStyle w:val="Default"/>
              <w:rPr>
                <w:sz w:val="22"/>
                <w:szCs w:val="22"/>
              </w:rPr>
            </w:pPr>
          </w:p>
          <w:p w14:paraId="00E43993" w14:textId="77777777" w:rsidR="00357CEC" w:rsidRPr="001300A9" w:rsidRDefault="00357CEC" w:rsidP="00357CEC">
            <w:pPr>
              <w:pStyle w:val="Default"/>
              <w:rPr>
                <w:sz w:val="22"/>
                <w:szCs w:val="22"/>
              </w:rPr>
            </w:pPr>
          </w:p>
          <w:p w14:paraId="4E817220" w14:textId="77777777" w:rsidR="00357CEC" w:rsidRPr="001300A9" w:rsidRDefault="00357CEC" w:rsidP="00357CEC">
            <w:pPr>
              <w:pStyle w:val="Default"/>
              <w:rPr>
                <w:sz w:val="22"/>
                <w:szCs w:val="22"/>
              </w:rPr>
            </w:pPr>
          </w:p>
          <w:p w14:paraId="57041888" w14:textId="77777777" w:rsidR="00357CEC" w:rsidRPr="001300A9" w:rsidRDefault="00357CEC" w:rsidP="00357CEC">
            <w:pPr>
              <w:pStyle w:val="Default"/>
              <w:rPr>
                <w:sz w:val="22"/>
                <w:szCs w:val="22"/>
              </w:rPr>
            </w:pPr>
          </w:p>
          <w:p w14:paraId="532DF5B8" w14:textId="77777777" w:rsidR="00357CEC" w:rsidRPr="001300A9" w:rsidRDefault="00357CEC" w:rsidP="00357CEC">
            <w:pPr>
              <w:pStyle w:val="Default"/>
              <w:rPr>
                <w:sz w:val="22"/>
                <w:szCs w:val="22"/>
              </w:rPr>
            </w:pPr>
          </w:p>
          <w:p w14:paraId="2538654B" w14:textId="77777777" w:rsidR="00357CEC" w:rsidRPr="001300A9" w:rsidRDefault="00357CEC" w:rsidP="00357CEC">
            <w:pPr>
              <w:pStyle w:val="Default"/>
              <w:rPr>
                <w:sz w:val="22"/>
                <w:szCs w:val="22"/>
              </w:rPr>
            </w:pPr>
          </w:p>
          <w:p w14:paraId="7F92B2BA" w14:textId="77777777" w:rsidR="00357CEC" w:rsidRPr="001300A9" w:rsidRDefault="00357CEC" w:rsidP="00357CEC">
            <w:pPr>
              <w:pStyle w:val="Default"/>
              <w:rPr>
                <w:sz w:val="22"/>
                <w:szCs w:val="22"/>
              </w:rPr>
            </w:pPr>
          </w:p>
          <w:p w14:paraId="39DF8A86" w14:textId="77777777" w:rsidR="00357CEC" w:rsidRPr="001300A9" w:rsidRDefault="00357CEC" w:rsidP="00357CEC">
            <w:pPr>
              <w:pStyle w:val="Default"/>
              <w:rPr>
                <w:sz w:val="22"/>
                <w:szCs w:val="22"/>
              </w:rPr>
            </w:pPr>
          </w:p>
          <w:p w14:paraId="4FD20162" w14:textId="00D119EB" w:rsidR="00357CEC" w:rsidRPr="001300A9" w:rsidRDefault="00357CEC" w:rsidP="00357CEC">
            <w:pPr>
              <w:pStyle w:val="Default"/>
              <w:rPr>
                <w:sz w:val="22"/>
                <w:szCs w:val="22"/>
              </w:rPr>
            </w:pPr>
          </w:p>
          <w:p w14:paraId="468BEA1D" w14:textId="1EBAAC1A" w:rsidR="00357CEC" w:rsidRPr="001300A9" w:rsidRDefault="00357CEC" w:rsidP="00357CEC">
            <w:pPr>
              <w:pStyle w:val="Default"/>
              <w:rPr>
                <w:sz w:val="22"/>
                <w:szCs w:val="22"/>
              </w:rPr>
            </w:pPr>
          </w:p>
          <w:p w14:paraId="7A691E49" w14:textId="4A8DD59D" w:rsidR="00A66FDC" w:rsidRPr="001300A9" w:rsidRDefault="00A66FDC" w:rsidP="00357CEC">
            <w:pPr>
              <w:pStyle w:val="Default"/>
              <w:rPr>
                <w:sz w:val="22"/>
                <w:szCs w:val="22"/>
              </w:rPr>
            </w:pPr>
          </w:p>
          <w:p w14:paraId="3E48BF67" w14:textId="07E3A451" w:rsidR="00BF0D7E" w:rsidRPr="001300A9" w:rsidRDefault="00BF0D7E" w:rsidP="00357CEC">
            <w:pPr>
              <w:pStyle w:val="Default"/>
              <w:rPr>
                <w:sz w:val="22"/>
                <w:szCs w:val="22"/>
              </w:rPr>
            </w:pPr>
          </w:p>
          <w:p w14:paraId="3C90D8D2" w14:textId="161E26E6" w:rsidR="008F73F7" w:rsidRPr="001300A9" w:rsidRDefault="008F73F7" w:rsidP="00357CEC">
            <w:pPr>
              <w:pStyle w:val="Default"/>
              <w:rPr>
                <w:sz w:val="22"/>
                <w:szCs w:val="22"/>
              </w:rPr>
            </w:pPr>
          </w:p>
          <w:p w14:paraId="41972D3D" w14:textId="223A95C8" w:rsidR="00357CEC" w:rsidRPr="001300A9" w:rsidRDefault="00357CEC" w:rsidP="00357CEC">
            <w:pPr>
              <w:pStyle w:val="Default"/>
              <w:rPr>
                <w:sz w:val="22"/>
                <w:szCs w:val="22"/>
              </w:rPr>
            </w:pPr>
            <w:proofErr w:type="spellStart"/>
            <w:r w:rsidRPr="001300A9">
              <w:rPr>
                <w:sz w:val="22"/>
                <w:szCs w:val="22"/>
              </w:rPr>
              <w:t>n.a</w:t>
            </w:r>
            <w:proofErr w:type="spellEnd"/>
            <w:r w:rsidRPr="001300A9">
              <w:rPr>
                <w:sz w:val="22"/>
                <w:szCs w:val="22"/>
              </w:rPr>
              <w:t>.</w:t>
            </w:r>
          </w:p>
          <w:p w14:paraId="5FAF5DBE" w14:textId="77777777" w:rsidR="00357CEC" w:rsidRPr="001300A9" w:rsidRDefault="00357CEC" w:rsidP="00357CEC">
            <w:pPr>
              <w:pStyle w:val="Default"/>
              <w:rPr>
                <w:sz w:val="22"/>
                <w:szCs w:val="22"/>
              </w:rPr>
            </w:pPr>
          </w:p>
          <w:p w14:paraId="65AC2C7F" w14:textId="77777777" w:rsidR="00357CEC" w:rsidRPr="001300A9" w:rsidRDefault="00357CEC" w:rsidP="00357CEC">
            <w:pPr>
              <w:pStyle w:val="Default"/>
              <w:rPr>
                <w:sz w:val="22"/>
                <w:szCs w:val="22"/>
              </w:rPr>
            </w:pPr>
          </w:p>
          <w:p w14:paraId="767B6A1E" w14:textId="1BDACEDA" w:rsidR="00357CEC" w:rsidRPr="001300A9" w:rsidRDefault="00357CEC" w:rsidP="00357CEC">
            <w:pPr>
              <w:pStyle w:val="Default"/>
              <w:rPr>
                <w:sz w:val="22"/>
                <w:szCs w:val="22"/>
              </w:rPr>
            </w:pPr>
          </w:p>
          <w:p w14:paraId="77A2FBED" w14:textId="77777777" w:rsidR="00357CEC" w:rsidRPr="001300A9" w:rsidRDefault="00357CEC" w:rsidP="00357CEC">
            <w:pPr>
              <w:pStyle w:val="Default"/>
              <w:rPr>
                <w:sz w:val="22"/>
                <w:szCs w:val="22"/>
              </w:rPr>
            </w:pPr>
          </w:p>
          <w:p w14:paraId="42A7BD31" w14:textId="77777777" w:rsidR="00357CEC" w:rsidRPr="001300A9" w:rsidRDefault="00357CEC" w:rsidP="00357CEC">
            <w:pPr>
              <w:pStyle w:val="Default"/>
              <w:rPr>
                <w:sz w:val="22"/>
                <w:szCs w:val="22"/>
              </w:rPr>
            </w:pPr>
          </w:p>
          <w:p w14:paraId="3811D1A6" w14:textId="77777777" w:rsidR="00357CEC" w:rsidRPr="001300A9" w:rsidRDefault="00357CEC" w:rsidP="00357CEC">
            <w:pPr>
              <w:pStyle w:val="Default"/>
              <w:rPr>
                <w:sz w:val="22"/>
                <w:szCs w:val="22"/>
              </w:rPr>
            </w:pPr>
          </w:p>
          <w:p w14:paraId="1EA4A6C5" w14:textId="77777777" w:rsidR="00357CEC" w:rsidRPr="001300A9" w:rsidRDefault="00357CEC" w:rsidP="00357CEC">
            <w:pPr>
              <w:pStyle w:val="Default"/>
              <w:rPr>
                <w:sz w:val="22"/>
                <w:szCs w:val="22"/>
              </w:rPr>
            </w:pPr>
          </w:p>
          <w:p w14:paraId="2D9EA8C3" w14:textId="77777777" w:rsidR="00357CEC" w:rsidRPr="001300A9" w:rsidRDefault="00357CEC" w:rsidP="00357CEC">
            <w:pPr>
              <w:pStyle w:val="Default"/>
              <w:rPr>
                <w:sz w:val="22"/>
                <w:szCs w:val="22"/>
              </w:rPr>
            </w:pPr>
          </w:p>
          <w:p w14:paraId="3ABD0879" w14:textId="77777777" w:rsidR="00357CEC" w:rsidRPr="001300A9" w:rsidRDefault="00357CEC" w:rsidP="00357CEC">
            <w:pPr>
              <w:pStyle w:val="Default"/>
              <w:rPr>
                <w:sz w:val="22"/>
                <w:szCs w:val="22"/>
              </w:rPr>
            </w:pPr>
          </w:p>
          <w:p w14:paraId="00FAD650" w14:textId="77777777" w:rsidR="00357CEC" w:rsidRPr="001300A9" w:rsidRDefault="00357CEC" w:rsidP="00357CEC">
            <w:pPr>
              <w:pStyle w:val="Default"/>
              <w:rPr>
                <w:sz w:val="22"/>
                <w:szCs w:val="22"/>
              </w:rPr>
            </w:pPr>
          </w:p>
          <w:p w14:paraId="0AB26075" w14:textId="2677EB1F" w:rsidR="00371F50" w:rsidRPr="001300A9" w:rsidRDefault="00371F50" w:rsidP="00357CEC">
            <w:pPr>
              <w:pStyle w:val="Default"/>
              <w:rPr>
                <w:sz w:val="22"/>
                <w:szCs w:val="22"/>
              </w:rPr>
            </w:pPr>
          </w:p>
          <w:p w14:paraId="3CB08FBA" w14:textId="64862E7D" w:rsidR="00357CEC" w:rsidRPr="001300A9" w:rsidRDefault="00283A26" w:rsidP="00357CEC">
            <w:pPr>
              <w:pStyle w:val="Default"/>
              <w:rPr>
                <w:sz w:val="22"/>
                <w:szCs w:val="22"/>
              </w:rPr>
            </w:pPr>
            <w:r w:rsidRPr="001300A9">
              <w:rPr>
                <w:sz w:val="22"/>
                <w:szCs w:val="22"/>
              </w:rPr>
              <w:t>D</w:t>
            </w:r>
          </w:p>
          <w:p w14:paraId="5C86B596" w14:textId="77777777" w:rsidR="00357CEC" w:rsidRPr="001300A9" w:rsidRDefault="00357CEC" w:rsidP="00357CEC">
            <w:pPr>
              <w:pStyle w:val="Default"/>
              <w:rPr>
                <w:sz w:val="22"/>
                <w:szCs w:val="22"/>
              </w:rPr>
            </w:pPr>
          </w:p>
          <w:p w14:paraId="36F129F0" w14:textId="77777777" w:rsidR="00357CEC" w:rsidRPr="001300A9" w:rsidRDefault="00357CEC" w:rsidP="00357CEC">
            <w:pPr>
              <w:pStyle w:val="Default"/>
              <w:rPr>
                <w:sz w:val="22"/>
                <w:szCs w:val="22"/>
              </w:rPr>
            </w:pPr>
          </w:p>
          <w:p w14:paraId="5CE2ABFC" w14:textId="77777777" w:rsidR="00357CEC" w:rsidRPr="001300A9" w:rsidRDefault="00357CEC" w:rsidP="00357CEC">
            <w:pPr>
              <w:pStyle w:val="Default"/>
              <w:rPr>
                <w:sz w:val="22"/>
                <w:szCs w:val="22"/>
              </w:rPr>
            </w:pPr>
          </w:p>
          <w:p w14:paraId="7EECCD8A" w14:textId="77777777" w:rsidR="00357CEC" w:rsidRPr="001300A9" w:rsidRDefault="00357CEC" w:rsidP="00357CEC">
            <w:pPr>
              <w:pStyle w:val="Default"/>
              <w:rPr>
                <w:sz w:val="22"/>
                <w:szCs w:val="22"/>
              </w:rPr>
            </w:pPr>
          </w:p>
          <w:p w14:paraId="5D963605" w14:textId="77777777" w:rsidR="00357CEC" w:rsidRPr="001300A9" w:rsidRDefault="00357CEC" w:rsidP="00357CEC">
            <w:pPr>
              <w:pStyle w:val="Default"/>
              <w:rPr>
                <w:sz w:val="22"/>
                <w:szCs w:val="22"/>
              </w:rPr>
            </w:pPr>
          </w:p>
          <w:p w14:paraId="66A346A4" w14:textId="77777777" w:rsidR="00357CEC" w:rsidRPr="001300A9" w:rsidRDefault="00357CEC" w:rsidP="00357CEC">
            <w:pPr>
              <w:pStyle w:val="Default"/>
              <w:rPr>
                <w:sz w:val="22"/>
                <w:szCs w:val="22"/>
              </w:rPr>
            </w:pPr>
          </w:p>
          <w:p w14:paraId="20D9DFD7" w14:textId="77777777" w:rsidR="00357CEC" w:rsidRPr="001300A9" w:rsidRDefault="00357CEC" w:rsidP="00357CEC">
            <w:pPr>
              <w:pStyle w:val="Default"/>
              <w:rPr>
                <w:sz w:val="22"/>
                <w:szCs w:val="22"/>
              </w:rPr>
            </w:pPr>
          </w:p>
          <w:p w14:paraId="616D01E9" w14:textId="77777777" w:rsidR="00357CEC" w:rsidRPr="001300A9" w:rsidRDefault="00357CEC" w:rsidP="00357CEC">
            <w:pPr>
              <w:pStyle w:val="Default"/>
              <w:rPr>
                <w:sz w:val="22"/>
                <w:szCs w:val="22"/>
              </w:rPr>
            </w:pPr>
          </w:p>
          <w:p w14:paraId="2DEF3A70" w14:textId="77777777" w:rsidR="00357CEC" w:rsidRPr="001300A9" w:rsidRDefault="00357CEC" w:rsidP="00357CEC">
            <w:pPr>
              <w:pStyle w:val="Default"/>
              <w:rPr>
                <w:sz w:val="22"/>
                <w:szCs w:val="22"/>
              </w:rPr>
            </w:pPr>
          </w:p>
          <w:p w14:paraId="4DA198A7" w14:textId="77777777" w:rsidR="00357CEC" w:rsidRPr="001300A9" w:rsidRDefault="00357CEC" w:rsidP="00357CEC">
            <w:pPr>
              <w:pStyle w:val="Default"/>
              <w:rPr>
                <w:sz w:val="22"/>
                <w:szCs w:val="22"/>
              </w:rPr>
            </w:pPr>
          </w:p>
          <w:p w14:paraId="4B6A20D3" w14:textId="77777777" w:rsidR="00357CEC" w:rsidRPr="001300A9" w:rsidRDefault="00357CEC" w:rsidP="00357CEC">
            <w:pPr>
              <w:pStyle w:val="Default"/>
              <w:rPr>
                <w:sz w:val="22"/>
                <w:szCs w:val="22"/>
              </w:rPr>
            </w:pPr>
          </w:p>
          <w:p w14:paraId="417A168B" w14:textId="77777777" w:rsidR="00357CEC" w:rsidRPr="001300A9" w:rsidRDefault="00357CEC" w:rsidP="00357CEC">
            <w:pPr>
              <w:pStyle w:val="Default"/>
              <w:rPr>
                <w:sz w:val="22"/>
                <w:szCs w:val="22"/>
              </w:rPr>
            </w:pPr>
          </w:p>
          <w:p w14:paraId="03BFAED0" w14:textId="4D357697" w:rsidR="00357CEC" w:rsidRPr="001300A9" w:rsidRDefault="00433F79" w:rsidP="00357CEC">
            <w:pPr>
              <w:pStyle w:val="Default"/>
              <w:rPr>
                <w:sz w:val="22"/>
                <w:szCs w:val="22"/>
              </w:rPr>
            </w:pPr>
            <w:proofErr w:type="spellStart"/>
            <w:r w:rsidRPr="001300A9">
              <w:rPr>
                <w:sz w:val="22"/>
                <w:szCs w:val="22"/>
              </w:rPr>
              <w:t>n.a</w:t>
            </w:r>
            <w:proofErr w:type="spellEnd"/>
            <w:r w:rsidRPr="001300A9">
              <w:rPr>
                <w:sz w:val="22"/>
                <w:szCs w:val="22"/>
              </w:rPr>
              <w:t>.</w:t>
            </w:r>
          </w:p>
          <w:p w14:paraId="6BA20CA5" w14:textId="77777777" w:rsidR="00357CEC" w:rsidRPr="001300A9" w:rsidRDefault="00357CEC" w:rsidP="00357CEC">
            <w:pPr>
              <w:pStyle w:val="Default"/>
              <w:rPr>
                <w:sz w:val="22"/>
                <w:szCs w:val="22"/>
              </w:rPr>
            </w:pPr>
          </w:p>
          <w:p w14:paraId="42CC00CA" w14:textId="77777777" w:rsidR="00357CEC" w:rsidRPr="001300A9" w:rsidRDefault="00357CEC" w:rsidP="00357CEC">
            <w:pPr>
              <w:pStyle w:val="Default"/>
              <w:rPr>
                <w:sz w:val="22"/>
                <w:szCs w:val="22"/>
              </w:rPr>
            </w:pPr>
          </w:p>
          <w:p w14:paraId="2747201F" w14:textId="77777777" w:rsidR="00357CEC" w:rsidRPr="001300A9" w:rsidRDefault="00357CEC" w:rsidP="00357CEC">
            <w:pPr>
              <w:pStyle w:val="Default"/>
              <w:rPr>
                <w:sz w:val="22"/>
                <w:szCs w:val="22"/>
              </w:rPr>
            </w:pPr>
          </w:p>
          <w:p w14:paraId="6EA81DD3" w14:textId="77777777" w:rsidR="00357CEC" w:rsidRPr="001300A9" w:rsidRDefault="00357CEC" w:rsidP="00357CEC">
            <w:pPr>
              <w:pStyle w:val="Default"/>
              <w:rPr>
                <w:sz w:val="22"/>
                <w:szCs w:val="22"/>
              </w:rPr>
            </w:pPr>
          </w:p>
          <w:p w14:paraId="428D1C51" w14:textId="77777777" w:rsidR="00357CEC" w:rsidRPr="001300A9" w:rsidRDefault="00357CEC" w:rsidP="00357CEC">
            <w:pPr>
              <w:pStyle w:val="Default"/>
              <w:rPr>
                <w:sz w:val="22"/>
                <w:szCs w:val="22"/>
              </w:rPr>
            </w:pPr>
          </w:p>
          <w:p w14:paraId="3A842239" w14:textId="77777777" w:rsidR="00357CEC" w:rsidRPr="001300A9" w:rsidRDefault="00357CEC" w:rsidP="00357CEC">
            <w:pPr>
              <w:pStyle w:val="Default"/>
              <w:rPr>
                <w:sz w:val="22"/>
                <w:szCs w:val="22"/>
              </w:rPr>
            </w:pPr>
          </w:p>
          <w:p w14:paraId="7A21B387" w14:textId="77777777" w:rsidR="00357CEC" w:rsidRPr="001300A9" w:rsidRDefault="00357CEC" w:rsidP="00357CEC">
            <w:pPr>
              <w:pStyle w:val="Default"/>
              <w:rPr>
                <w:sz w:val="22"/>
                <w:szCs w:val="22"/>
              </w:rPr>
            </w:pPr>
          </w:p>
          <w:p w14:paraId="79F1458A" w14:textId="77777777" w:rsidR="00357CEC" w:rsidRPr="001300A9" w:rsidRDefault="00357CEC" w:rsidP="00357CEC">
            <w:pPr>
              <w:pStyle w:val="Default"/>
              <w:rPr>
                <w:sz w:val="22"/>
                <w:szCs w:val="22"/>
              </w:rPr>
            </w:pPr>
          </w:p>
          <w:p w14:paraId="40F8D184" w14:textId="3B093765" w:rsidR="00357CEC" w:rsidRPr="001300A9" w:rsidRDefault="00357CEC" w:rsidP="00357CEC">
            <w:pPr>
              <w:pStyle w:val="Default"/>
              <w:rPr>
                <w:sz w:val="22"/>
                <w:szCs w:val="22"/>
              </w:rPr>
            </w:pPr>
          </w:p>
          <w:p w14:paraId="456F8BFE" w14:textId="1254A3E0" w:rsidR="00287825" w:rsidRDefault="00287825" w:rsidP="00357CEC">
            <w:pPr>
              <w:pStyle w:val="Default"/>
              <w:rPr>
                <w:sz w:val="22"/>
                <w:szCs w:val="22"/>
              </w:rPr>
            </w:pPr>
          </w:p>
          <w:p w14:paraId="6FAF34C8" w14:textId="074A38BE" w:rsidR="00357CEC" w:rsidRPr="001300A9" w:rsidRDefault="00433F79" w:rsidP="00357CEC">
            <w:pPr>
              <w:pStyle w:val="Default"/>
              <w:rPr>
                <w:sz w:val="22"/>
                <w:szCs w:val="22"/>
              </w:rPr>
            </w:pPr>
            <w:proofErr w:type="spellStart"/>
            <w:r w:rsidRPr="001300A9">
              <w:rPr>
                <w:sz w:val="22"/>
                <w:szCs w:val="22"/>
              </w:rPr>
              <w:t>n.a</w:t>
            </w:r>
            <w:proofErr w:type="spellEnd"/>
            <w:r w:rsidRPr="001300A9">
              <w:rPr>
                <w:sz w:val="22"/>
                <w:szCs w:val="22"/>
              </w:rPr>
              <w:t>.</w:t>
            </w:r>
          </w:p>
          <w:p w14:paraId="2F88D179" w14:textId="77777777" w:rsidR="00357CEC" w:rsidRPr="001300A9" w:rsidRDefault="00357CEC" w:rsidP="00357CEC">
            <w:pPr>
              <w:pStyle w:val="Default"/>
              <w:rPr>
                <w:sz w:val="22"/>
                <w:szCs w:val="22"/>
              </w:rPr>
            </w:pPr>
          </w:p>
          <w:p w14:paraId="4DB06219" w14:textId="77777777" w:rsidR="00357CEC" w:rsidRPr="001300A9" w:rsidRDefault="00357CEC" w:rsidP="00357CEC">
            <w:pPr>
              <w:pStyle w:val="Default"/>
              <w:rPr>
                <w:sz w:val="22"/>
                <w:szCs w:val="22"/>
              </w:rPr>
            </w:pPr>
          </w:p>
          <w:p w14:paraId="02B036F9" w14:textId="77777777" w:rsidR="00357CEC" w:rsidRPr="001300A9" w:rsidRDefault="00357CEC" w:rsidP="00357CEC">
            <w:pPr>
              <w:pStyle w:val="Default"/>
              <w:rPr>
                <w:sz w:val="22"/>
                <w:szCs w:val="22"/>
              </w:rPr>
            </w:pPr>
          </w:p>
          <w:p w14:paraId="3D39926C" w14:textId="77777777" w:rsidR="00357CEC" w:rsidRPr="001300A9" w:rsidRDefault="00357CEC" w:rsidP="00357CEC">
            <w:pPr>
              <w:pStyle w:val="Default"/>
              <w:rPr>
                <w:sz w:val="22"/>
                <w:szCs w:val="22"/>
              </w:rPr>
            </w:pPr>
          </w:p>
          <w:p w14:paraId="64B31A44" w14:textId="77777777" w:rsidR="00357CEC" w:rsidRPr="001300A9" w:rsidRDefault="00357CEC" w:rsidP="00357CEC">
            <w:pPr>
              <w:pStyle w:val="Default"/>
              <w:rPr>
                <w:sz w:val="22"/>
                <w:szCs w:val="22"/>
              </w:rPr>
            </w:pPr>
          </w:p>
          <w:p w14:paraId="46039C29" w14:textId="77777777" w:rsidR="00357CEC" w:rsidRPr="001300A9" w:rsidRDefault="00357CEC" w:rsidP="00357CEC">
            <w:pPr>
              <w:pStyle w:val="Default"/>
              <w:rPr>
                <w:sz w:val="22"/>
                <w:szCs w:val="22"/>
              </w:rPr>
            </w:pPr>
          </w:p>
          <w:p w14:paraId="138ABB98" w14:textId="77777777" w:rsidR="00357CEC" w:rsidRPr="001300A9" w:rsidRDefault="00357CEC" w:rsidP="00357CEC">
            <w:pPr>
              <w:pStyle w:val="Default"/>
              <w:rPr>
                <w:sz w:val="22"/>
                <w:szCs w:val="22"/>
              </w:rPr>
            </w:pPr>
          </w:p>
          <w:p w14:paraId="4C4B82DF" w14:textId="77777777" w:rsidR="00357CEC" w:rsidRPr="001300A9" w:rsidRDefault="00357CEC" w:rsidP="00357CEC">
            <w:pPr>
              <w:pStyle w:val="Default"/>
              <w:rPr>
                <w:sz w:val="22"/>
                <w:szCs w:val="22"/>
              </w:rPr>
            </w:pPr>
          </w:p>
          <w:p w14:paraId="07E877E3" w14:textId="77777777" w:rsidR="00357CEC" w:rsidRPr="001300A9" w:rsidRDefault="00357CEC" w:rsidP="00357CEC">
            <w:pPr>
              <w:pStyle w:val="Default"/>
              <w:rPr>
                <w:sz w:val="22"/>
                <w:szCs w:val="22"/>
              </w:rPr>
            </w:pPr>
          </w:p>
          <w:p w14:paraId="7C4BEEE4" w14:textId="77777777" w:rsidR="00357CEC" w:rsidRPr="001300A9" w:rsidRDefault="00357CEC" w:rsidP="00357CEC">
            <w:pPr>
              <w:pStyle w:val="Default"/>
              <w:rPr>
                <w:sz w:val="22"/>
                <w:szCs w:val="22"/>
              </w:rPr>
            </w:pPr>
          </w:p>
          <w:p w14:paraId="0818A036" w14:textId="77777777" w:rsidR="00357CEC" w:rsidRPr="001300A9" w:rsidRDefault="00357CEC" w:rsidP="00357CEC">
            <w:pPr>
              <w:pStyle w:val="Default"/>
              <w:rPr>
                <w:sz w:val="22"/>
                <w:szCs w:val="22"/>
              </w:rPr>
            </w:pPr>
          </w:p>
          <w:p w14:paraId="33C6E300" w14:textId="77777777" w:rsidR="00357CEC" w:rsidRPr="001300A9" w:rsidRDefault="00357CEC" w:rsidP="00357CEC">
            <w:pPr>
              <w:pStyle w:val="Default"/>
              <w:rPr>
                <w:sz w:val="22"/>
                <w:szCs w:val="22"/>
              </w:rPr>
            </w:pPr>
          </w:p>
          <w:p w14:paraId="6FFF575B" w14:textId="77777777" w:rsidR="00357CEC" w:rsidRPr="001300A9" w:rsidRDefault="00357CEC" w:rsidP="00357CEC">
            <w:pPr>
              <w:pStyle w:val="Default"/>
              <w:rPr>
                <w:sz w:val="22"/>
                <w:szCs w:val="22"/>
              </w:rPr>
            </w:pPr>
          </w:p>
          <w:p w14:paraId="31C72E87" w14:textId="77777777" w:rsidR="00357CEC" w:rsidRPr="001300A9" w:rsidRDefault="00357CEC" w:rsidP="00357CEC">
            <w:pPr>
              <w:pStyle w:val="Default"/>
              <w:rPr>
                <w:sz w:val="22"/>
                <w:szCs w:val="22"/>
              </w:rPr>
            </w:pPr>
          </w:p>
          <w:p w14:paraId="4150BD3F" w14:textId="77777777" w:rsidR="00357CEC" w:rsidRPr="001300A9" w:rsidRDefault="00357CEC" w:rsidP="00357CEC">
            <w:pPr>
              <w:pStyle w:val="Default"/>
              <w:rPr>
                <w:sz w:val="22"/>
                <w:szCs w:val="22"/>
              </w:rPr>
            </w:pPr>
          </w:p>
          <w:p w14:paraId="5178E94F" w14:textId="77777777" w:rsidR="00357CEC" w:rsidRPr="001300A9" w:rsidRDefault="00357CEC" w:rsidP="00357CEC">
            <w:pPr>
              <w:pStyle w:val="Default"/>
              <w:rPr>
                <w:sz w:val="22"/>
                <w:szCs w:val="22"/>
              </w:rPr>
            </w:pPr>
          </w:p>
          <w:p w14:paraId="269B6A38" w14:textId="77777777" w:rsidR="00357CEC" w:rsidRPr="001300A9" w:rsidRDefault="00357CEC" w:rsidP="00357CEC">
            <w:pPr>
              <w:pStyle w:val="Default"/>
              <w:rPr>
                <w:sz w:val="22"/>
                <w:szCs w:val="22"/>
              </w:rPr>
            </w:pPr>
          </w:p>
          <w:p w14:paraId="3346BD1D" w14:textId="77777777" w:rsidR="00357CEC" w:rsidRPr="001300A9" w:rsidRDefault="00357CEC" w:rsidP="00357CEC">
            <w:pPr>
              <w:pStyle w:val="Default"/>
              <w:rPr>
                <w:sz w:val="22"/>
                <w:szCs w:val="22"/>
              </w:rPr>
            </w:pPr>
          </w:p>
          <w:p w14:paraId="6D87A1A1" w14:textId="635A673D" w:rsidR="00730219" w:rsidRPr="001300A9" w:rsidRDefault="00730219" w:rsidP="00357CEC">
            <w:pPr>
              <w:pStyle w:val="Default"/>
              <w:rPr>
                <w:sz w:val="22"/>
                <w:szCs w:val="22"/>
              </w:rPr>
            </w:pPr>
          </w:p>
          <w:p w14:paraId="57A0EED0" w14:textId="66EA3E46" w:rsidR="5F673433" w:rsidRDefault="5F673433" w:rsidP="5F673433">
            <w:pPr>
              <w:pStyle w:val="Default"/>
              <w:rPr>
                <w:sz w:val="22"/>
                <w:szCs w:val="22"/>
              </w:rPr>
            </w:pPr>
          </w:p>
          <w:p w14:paraId="790E2F41" w14:textId="6F0A5202" w:rsidR="00357CEC" w:rsidRPr="001300A9" w:rsidRDefault="00433F79" w:rsidP="00357CEC">
            <w:pPr>
              <w:pStyle w:val="Default"/>
              <w:rPr>
                <w:sz w:val="22"/>
                <w:szCs w:val="22"/>
              </w:rPr>
            </w:pPr>
            <w:proofErr w:type="spellStart"/>
            <w:r w:rsidRPr="001300A9">
              <w:rPr>
                <w:sz w:val="22"/>
                <w:szCs w:val="22"/>
              </w:rPr>
              <w:t>n.a</w:t>
            </w:r>
            <w:proofErr w:type="spellEnd"/>
            <w:r w:rsidRPr="001300A9">
              <w:rPr>
                <w:sz w:val="22"/>
                <w:szCs w:val="22"/>
              </w:rPr>
              <w:t>.</w:t>
            </w:r>
          </w:p>
          <w:p w14:paraId="3037DC35" w14:textId="77777777" w:rsidR="00357CEC" w:rsidRPr="001300A9" w:rsidRDefault="00357CEC" w:rsidP="00357CEC">
            <w:pPr>
              <w:pStyle w:val="Default"/>
              <w:rPr>
                <w:sz w:val="22"/>
                <w:szCs w:val="22"/>
              </w:rPr>
            </w:pPr>
          </w:p>
          <w:p w14:paraId="6A07A003" w14:textId="77777777" w:rsidR="00357CEC" w:rsidRPr="001300A9" w:rsidRDefault="00357CEC" w:rsidP="00357CEC">
            <w:pPr>
              <w:pStyle w:val="Default"/>
              <w:rPr>
                <w:sz w:val="22"/>
                <w:szCs w:val="22"/>
              </w:rPr>
            </w:pPr>
          </w:p>
          <w:p w14:paraId="2E40A065" w14:textId="46E2686A" w:rsidR="00357CEC" w:rsidRPr="001300A9" w:rsidRDefault="00357CEC" w:rsidP="00357CEC">
            <w:pPr>
              <w:pStyle w:val="Default"/>
              <w:rPr>
                <w:sz w:val="22"/>
                <w:szCs w:val="22"/>
              </w:rPr>
            </w:pPr>
          </w:p>
          <w:p w14:paraId="00C853A5" w14:textId="79F91B92" w:rsidR="00357CEC" w:rsidRPr="001300A9" w:rsidRDefault="00357CEC" w:rsidP="00357CEC">
            <w:pPr>
              <w:pStyle w:val="Default"/>
              <w:rPr>
                <w:sz w:val="22"/>
                <w:szCs w:val="22"/>
              </w:rPr>
            </w:pPr>
          </w:p>
          <w:p w14:paraId="203D970B" w14:textId="77777777" w:rsidR="00357CEC" w:rsidRPr="001300A9" w:rsidRDefault="00357CEC" w:rsidP="00357CEC">
            <w:pPr>
              <w:pStyle w:val="Default"/>
              <w:rPr>
                <w:sz w:val="22"/>
                <w:szCs w:val="22"/>
              </w:rPr>
            </w:pPr>
            <w:proofErr w:type="spellStart"/>
            <w:r w:rsidRPr="001300A9">
              <w:rPr>
                <w:sz w:val="22"/>
                <w:szCs w:val="22"/>
              </w:rPr>
              <w:t>n.a</w:t>
            </w:r>
            <w:proofErr w:type="spellEnd"/>
            <w:r w:rsidRPr="001300A9">
              <w:rPr>
                <w:sz w:val="22"/>
                <w:szCs w:val="22"/>
              </w:rPr>
              <w:t>.</w:t>
            </w:r>
          </w:p>
          <w:p w14:paraId="75D84863" w14:textId="77777777" w:rsidR="00357CEC" w:rsidRPr="001300A9" w:rsidRDefault="00357CEC" w:rsidP="00357CEC">
            <w:pPr>
              <w:pStyle w:val="Default"/>
              <w:rPr>
                <w:sz w:val="22"/>
                <w:szCs w:val="22"/>
              </w:rPr>
            </w:pPr>
          </w:p>
          <w:p w14:paraId="055DF6C1" w14:textId="77777777" w:rsidR="00357CEC" w:rsidRPr="001300A9" w:rsidRDefault="00357CEC" w:rsidP="00357CEC">
            <w:pPr>
              <w:pStyle w:val="Default"/>
              <w:rPr>
                <w:sz w:val="22"/>
                <w:szCs w:val="22"/>
              </w:rPr>
            </w:pPr>
          </w:p>
          <w:p w14:paraId="00CFF61A" w14:textId="77777777" w:rsidR="00357CEC" w:rsidRPr="001300A9" w:rsidRDefault="00357CEC" w:rsidP="00357CEC">
            <w:pPr>
              <w:pStyle w:val="Default"/>
              <w:rPr>
                <w:sz w:val="22"/>
                <w:szCs w:val="22"/>
              </w:rPr>
            </w:pPr>
          </w:p>
          <w:p w14:paraId="4520E876" w14:textId="265FC3DE" w:rsidR="00357CEC" w:rsidRPr="001300A9" w:rsidRDefault="00357CEC" w:rsidP="00357CEC">
            <w:pPr>
              <w:pStyle w:val="Default"/>
              <w:rPr>
                <w:sz w:val="22"/>
                <w:szCs w:val="22"/>
              </w:rPr>
            </w:pPr>
          </w:p>
          <w:p w14:paraId="42E9DC9D" w14:textId="20C13905" w:rsidR="00433F79" w:rsidRPr="001300A9" w:rsidRDefault="00433F79" w:rsidP="00357CEC">
            <w:pPr>
              <w:pStyle w:val="Default"/>
              <w:rPr>
                <w:sz w:val="22"/>
                <w:szCs w:val="22"/>
              </w:rPr>
            </w:pPr>
          </w:p>
          <w:p w14:paraId="2FB54152" w14:textId="5797ABB9" w:rsidR="00433F79" w:rsidRPr="001300A9" w:rsidRDefault="00433F79" w:rsidP="00357CEC">
            <w:pPr>
              <w:pStyle w:val="Default"/>
              <w:rPr>
                <w:sz w:val="22"/>
                <w:szCs w:val="22"/>
              </w:rPr>
            </w:pPr>
          </w:p>
          <w:p w14:paraId="70A3B63D" w14:textId="539340CA" w:rsidR="00433F79" w:rsidRPr="001300A9" w:rsidRDefault="00433F79" w:rsidP="00357CEC">
            <w:pPr>
              <w:pStyle w:val="Default"/>
              <w:rPr>
                <w:sz w:val="22"/>
                <w:szCs w:val="22"/>
              </w:rPr>
            </w:pPr>
          </w:p>
          <w:p w14:paraId="53295E52" w14:textId="751460EE" w:rsidR="00433F79" w:rsidRPr="001300A9" w:rsidRDefault="00433F79" w:rsidP="00357CEC">
            <w:pPr>
              <w:pStyle w:val="Default"/>
              <w:rPr>
                <w:sz w:val="22"/>
                <w:szCs w:val="22"/>
              </w:rPr>
            </w:pPr>
          </w:p>
          <w:p w14:paraId="29D76EF1" w14:textId="48C7DD5B" w:rsidR="00433F79" w:rsidRPr="001300A9" w:rsidRDefault="00433F79" w:rsidP="00357CEC">
            <w:pPr>
              <w:pStyle w:val="Default"/>
              <w:rPr>
                <w:sz w:val="22"/>
                <w:szCs w:val="22"/>
              </w:rPr>
            </w:pPr>
          </w:p>
          <w:p w14:paraId="3683C2AD" w14:textId="77D03FC9" w:rsidR="00433F79" w:rsidRPr="001300A9" w:rsidRDefault="00433F79" w:rsidP="00357CEC">
            <w:pPr>
              <w:pStyle w:val="Default"/>
              <w:rPr>
                <w:sz w:val="22"/>
                <w:szCs w:val="22"/>
              </w:rPr>
            </w:pPr>
          </w:p>
          <w:p w14:paraId="0B2BF32A" w14:textId="301C5086" w:rsidR="00433F79" w:rsidRPr="001300A9" w:rsidRDefault="00433F79" w:rsidP="00357CEC">
            <w:pPr>
              <w:pStyle w:val="Default"/>
              <w:rPr>
                <w:sz w:val="22"/>
                <w:szCs w:val="22"/>
              </w:rPr>
            </w:pPr>
          </w:p>
          <w:p w14:paraId="4949FC58" w14:textId="3662A9BD" w:rsidR="00433F79" w:rsidRPr="001300A9" w:rsidRDefault="00433F79" w:rsidP="00357CEC">
            <w:pPr>
              <w:pStyle w:val="Default"/>
              <w:rPr>
                <w:sz w:val="22"/>
                <w:szCs w:val="22"/>
              </w:rPr>
            </w:pPr>
          </w:p>
          <w:p w14:paraId="02169579" w14:textId="37710652" w:rsidR="00433F79" w:rsidRPr="001300A9" w:rsidRDefault="00433F79" w:rsidP="00357CEC">
            <w:pPr>
              <w:pStyle w:val="Default"/>
              <w:rPr>
                <w:sz w:val="22"/>
                <w:szCs w:val="22"/>
              </w:rPr>
            </w:pPr>
          </w:p>
          <w:p w14:paraId="060C3696" w14:textId="1D96C4DA" w:rsidR="00433F79" w:rsidRPr="001300A9" w:rsidRDefault="00433F79" w:rsidP="00357CEC">
            <w:pPr>
              <w:pStyle w:val="Default"/>
              <w:rPr>
                <w:sz w:val="22"/>
                <w:szCs w:val="22"/>
              </w:rPr>
            </w:pPr>
          </w:p>
          <w:p w14:paraId="3C0AA70D" w14:textId="7FB77EFA" w:rsidR="00433F79" w:rsidRPr="001300A9" w:rsidRDefault="00433F79" w:rsidP="00357CEC">
            <w:pPr>
              <w:pStyle w:val="Default"/>
              <w:rPr>
                <w:sz w:val="22"/>
                <w:szCs w:val="22"/>
              </w:rPr>
            </w:pPr>
          </w:p>
          <w:p w14:paraId="3D8F342E" w14:textId="39D1B030" w:rsidR="00433F79" w:rsidRPr="001300A9" w:rsidRDefault="00433F79" w:rsidP="00357CEC">
            <w:pPr>
              <w:pStyle w:val="Default"/>
              <w:rPr>
                <w:sz w:val="22"/>
                <w:szCs w:val="22"/>
              </w:rPr>
            </w:pPr>
          </w:p>
          <w:p w14:paraId="3C60F55C" w14:textId="6EB18EAE" w:rsidR="00433F79" w:rsidRPr="001300A9" w:rsidRDefault="00433F79" w:rsidP="00357CEC">
            <w:pPr>
              <w:pStyle w:val="Default"/>
              <w:rPr>
                <w:sz w:val="22"/>
                <w:szCs w:val="22"/>
              </w:rPr>
            </w:pPr>
          </w:p>
          <w:p w14:paraId="2CBB9542" w14:textId="3359DC1F" w:rsidR="00433F79" w:rsidRPr="001300A9" w:rsidRDefault="00433F79" w:rsidP="00357CEC">
            <w:pPr>
              <w:pStyle w:val="Default"/>
              <w:rPr>
                <w:sz w:val="22"/>
                <w:szCs w:val="22"/>
              </w:rPr>
            </w:pPr>
          </w:p>
          <w:p w14:paraId="195E4E42" w14:textId="51ECE7E8" w:rsidR="00433F79" w:rsidRPr="001300A9" w:rsidRDefault="00433F79" w:rsidP="00357CEC">
            <w:pPr>
              <w:pStyle w:val="Default"/>
              <w:rPr>
                <w:sz w:val="22"/>
                <w:szCs w:val="22"/>
              </w:rPr>
            </w:pPr>
          </w:p>
          <w:p w14:paraId="08899663" w14:textId="215B050C" w:rsidR="00433F79" w:rsidRPr="001300A9" w:rsidRDefault="00433F79" w:rsidP="00357CEC">
            <w:pPr>
              <w:pStyle w:val="Default"/>
              <w:rPr>
                <w:sz w:val="22"/>
                <w:szCs w:val="22"/>
              </w:rPr>
            </w:pPr>
          </w:p>
          <w:p w14:paraId="3BDD4FDD" w14:textId="344D9519" w:rsidR="00433F79" w:rsidRPr="001300A9" w:rsidRDefault="00433F79" w:rsidP="00357CEC">
            <w:pPr>
              <w:pStyle w:val="Default"/>
              <w:rPr>
                <w:sz w:val="22"/>
                <w:szCs w:val="22"/>
              </w:rPr>
            </w:pPr>
          </w:p>
          <w:p w14:paraId="1F5DA252" w14:textId="6628ED24" w:rsidR="00433F79" w:rsidRPr="001300A9" w:rsidRDefault="00433F79" w:rsidP="00357CEC">
            <w:pPr>
              <w:pStyle w:val="Default"/>
              <w:rPr>
                <w:sz w:val="22"/>
                <w:szCs w:val="22"/>
              </w:rPr>
            </w:pPr>
          </w:p>
          <w:p w14:paraId="4B1E779D" w14:textId="6ADF8D56" w:rsidR="00433F79" w:rsidRPr="001300A9" w:rsidRDefault="00433F79" w:rsidP="00357CEC">
            <w:pPr>
              <w:pStyle w:val="Default"/>
              <w:rPr>
                <w:sz w:val="22"/>
                <w:szCs w:val="22"/>
              </w:rPr>
            </w:pPr>
          </w:p>
          <w:p w14:paraId="1D3E0B23" w14:textId="703E10F5" w:rsidR="00433F79" w:rsidRPr="001300A9" w:rsidRDefault="00433F79" w:rsidP="00357CEC">
            <w:pPr>
              <w:pStyle w:val="Default"/>
              <w:rPr>
                <w:sz w:val="22"/>
                <w:szCs w:val="22"/>
              </w:rPr>
            </w:pPr>
          </w:p>
          <w:p w14:paraId="181D7FA4" w14:textId="3EB67B23" w:rsidR="00433F79" w:rsidRPr="001300A9" w:rsidRDefault="00433F79" w:rsidP="00357CEC">
            <w:pPr>
              <w:pStyle w:val="Default"/>
              <w:rPr>
                <w:sz w:val="22"/>
                <w:szCs w:val="22"/>
              </w:rPr>
            </w:pPr>
          </w:p>
          <w:p w14:paraId="799ECF45" w14:textId="5C8276F0" w:rsidR="00433F79" w:rsidRPr="001300A9" w:rsidRDefault="00433F79" w:rsidP="00357CEC">
            <w:pPr>
              <w:pStyle w:val="Default"/>
              <w:rPr>
                <w:sz w:val="22"/>
                <w:szCs w:val="22"/>
              </w:rPr>
            </w:pPr>
          </w:p>
          <w:p w14:paraId="1419AC2F" w14:textId="37EF3621" w:rsidR="00433F79" w:rsidRPr="001300A9" w:rsidRDefault="00433F79" w:rsidP="00357CEC">
            <w:pPr>
              <w:pStyle w:val="Default"/>
              <w:rPr>
                <w:sz w:val="22"/>
                <w:szCs w:val="22"/>
              </w:rPr>
            </w:pPr>
          </w:p>
          <w:p w14:paraId="6EFC6C86" w14:textId="64DC3708" w:rsidR="00433F79" w:rsidRPr="001300A9" w:rsidRDefault="00433F79" w:rsidP="00357CEC">
            <w:pPr>
              <w:pStyle w:val="Default"/>
              <w:rPr>
                <w:sz w:val="22"/>
                <w:szCs w:val="22"/>
              </w:rPr>
            </w:pPr>
          </w:p>
          <w:p w14:paraId="6F380C8A" w14:textId="5445F3C8" w:rsidR="00433F79" w:rsidRPr="001300A9" w:rsidRDefault="00433F79" w:rsidP="00357CEC">
            <w:pPr>
              <w:pStyle w:val="Default"/>
              <w:rPr>
                <w:sz w:val="22"/>
                <w:szCs w:val="22"/>
              </w:rPr>
            </w:pPr>
          </w:p>
          <w:p w14:paraId="1AA61DFE" w14:textId="71D9670C" w:rsidR="00433F79" w:rsidRPr="001300A9" w:rsidRDefault="00433F79" w:rsidP="00357CEC">
            <w:pPr>
              <w:pStyle w:val="Default"/>
              <w:rPr>
                <w:sz w:val="22"/>
                <w:szCs w:val="22"/>
              </w:rPr>
            </w:pPr>
          </w:p>
          <w:p w14:paraId="3C532607" w14:textId="5CE6BF52" w:rsidR="00433F79" w:rsidRPr="001300A9" w:rsidRDefault="00433F79" w:rsidP="00357CEC">
            <w:pPr>
              <w:pStyle w:val="Default"/>
              <w:rPr>
                <w:sz w:val="22"/>
                <w:szCs w:val="22"/>
              </w:rPr>
            </w:pPr>
          </w:p>
          <w:p w14:paraId="1B469265" w14:textId="7D6AEBDA" w:rsidR="00433F79" w:rsidRPr="001300A9" w:rsidRDefault="00433F79" w:rsidP="00357CEC">
            <w:pPr>
              <w:pStyle w:val="Default"/>
              <w:rPr>
                <w:sz w:val="22"/>
                <w:szCs w:val="22"/>
              </w:rPr>
            </w:pPr>
          </w:p>
          <w:p w14:paraId="09E70F1F" w14:textId="003BD4BC" w:rsidR="00433F79" w:rsidRPr="001300A9" w:rsidRDefault="00433F79" w:rsidP="00357CEC">
            <w:pPr>
              <w:pStyle w:val="Default"/>
              <w:rPr>
                <w:sz w:val="22"/>
                <w:szCs w:val="22"/>
              </w:rPr>
            </w:pPr>
          </w:p>
          <w:p w14:paraId="125CD3D1" w14:textId="0E36B027" w:rsidR="00433F79" w:rsidRPr="001300A9" w:rsidRDefault="00433F79" w:rsidP="00357CEC">
            <w:pPr>
              <w:pStyle w:val="Default"/>
              <w:rPr>
                <w:sz w:val="22"/>
                <w:szCs w:val="22"/>
              </w:rPr>
            </w:pPr>
          </w:p>
          <w:p w14:paraId="631084FD" w14:textId="0BCAD27C" w:rsidR="00433F79" w:rsidRPr="001300A9" w:rsidRDefault="00433F79" w:rsidP="00357CEC">
            <w:pPr>
              <w:pStyle w:val="Default"/>
              <w:rPr>
                <w:sz w:val="22"/>
                <w:szCs w:val="22"/>
              </w:rPr>
            </w:pPr>
          </w:p>
          <w:p w14:paraId="7EF98C4D" w14:textId="46885B16" w:rsidR="00433F79" w:rsidRPr="001300A9" w:rsidRDefault="00433F79" w:rsidP="00357CEC">
            <w:pPr>
              <w:pStyle w:val="Default"/>
              <w:rPr>
                <w:sz w:val="22"/>
                <w:szCs w:val="22"/>
              </w:rPr>
            </w:pPr>
          </w:p>
          <w:p w14:paraId="781B313B" w14:textId="463CA742" w:rsidR="00433F79" w:rsidRPr="001300A9" w:rsidRDefault="00433F79" w:rsidP="00357CEC">
            <w:pPr>
              <w:pStyle w:val="Default"/>
              <w:rPr>
                <w:sz w:val="22"/>
                <w:szCs w:val="22"/>
              </w:rPr>
            </w:pPr>
          </w:p>
          <w:p w14:paraId="1FE96E83" w14:textId="594161C5" w:rsidR="00433F79" w:rsidRPr="001300A9" w:rsidRDefault="00433F79" w:rsidP="00357CEC">
            <w:pPr>
              <w:pStyle w:val="Default"/>
              <w:rPr>
                <w:sz w:val="22"/>
                <w:szCs w:val="22"/>
              </w:rPr>
            </w:pPr>
          </w:p>
          <w:p w14:paraId="3C5095AA" w14:textId="7A8A5F17" w:rsidR="00433F79" w:rsidRPr="001300A9" w:rsidRDefault="00433F79" w:rsidP="00357CEC">
            <w:pPr>
              <w:pStyle w:val="Default"/>
              <w:rPr>
                <w:sz w:val="22"/>
                <w:szCs w:val="22"/>
              </w:rPr>
            </w:pPr>
          </w:p>
          <w:p w14:paraId="296EE85F" w14:textId="1ED55776" w:rsidR="00433F79" w:rsidRPr="001300A9" w:rsidRDefault="00433F79" w:rsidP="00357CEC">
            <w:pPr>
              <w:pStyle w:val="Default"/>
              <w:rPr>
                <w:sz w:val="22"/>
                <w:szCs w:val="22"/>
              </w:rPr>
            </w:pPr>
          </w:p>
          <w:p w14:paraId="79890043" w14:textId="17DC059A" w:rsidR="00433F79" w:rsidRPr="001300A9" w:rsidRDefault="00433F79" w:rsidP="00357CEC">
            <w:pPr>
              <w:pStyle w:val="Default"/>
              <w:rPr>
                <w:sz w:val="22"/>
                <w:szCs w:val="22"/>
              </w:rPr>
            </w:pPr>
          </w:p>
          <w:p w14:paraId="6ECF90C7" w14:textId="2BF20619" w:rsidR="00433F79" w:rsidRPr="001300A9" w:rsidRDefault="00433F79" w:rsidP="00357CEC">
            <w:pPr>
              <w:pStyle w:val="Default"/>
              <w:rPr>
                <w:sz w:val="22"/>
                <w:szCs w:val="22"/>
              </w:rPr>
            </w:pPr>
          </w:p>
          <w:p w14:paraId="7EE0C4D2" w14:textId="0FEBA108" w:rsidR="00433F79" w:rsidRPr="001300A9" w:rsidRDefault="00433F79" w:rsidP="00357CEC">
            <w:pPr>
              <w:pStyle w:val="Default"/>
              <w:rPr>
                <w:sz w:val="22"/>
                <w:szCs w:val="22"/>
              </w:rPr>
            </w:pPr>
          </w:p>
          <w:p w14:paraId="5D8D6361" w14:textId="142A7847" w:rsidR="00433F79" w:rsidRPr="001300A9" w:rsidRDefault="00433F79" w:rsidP="00357CEC">
            <w:pPr>
              <w:pStyle w:val="Default"/>
              <w:rPr>
                <w:sz w:val="22"/>
                <w:szCs w:val="22"/>
              </w:rPr>
            </w:pPr>
          </w:p>
          <w:p w14:paraId="3C54EED2" w14:textId="215ABC84" w:rsidR="00433F79" w:rsidRPr="001300A9" w:rsidRDefault="00433F79" w:rsidP="00357CEC">
            <w:pPr>
              <w:pStyle w:val="Default"/>
              <w:rPr>
                <w:sz w:val="22"/>
                <w:szCs w:val="22"/>
              </w:rPr>
            </w:pPr>
          </w:p>
          <w:p w14:paraId="30FEDFB5" w14:textId="3CD8EEBB" w:rsidR="00433F79" w:rsidRPr="001300A9" w:rsidRDefault="00433F79" w:rsidP="00357CEC">
            <w:pPr>
              <w:pStyle w:val="Default"/>
              <w:rPr>
                <w:sz w:val="22"/>
                <w:szCs w:val="22"/>
              </w:rPr>
            </w:pPr>
          </w:p>
          <w:p w14:paraId="694B5CD0" w14:textId="0B349273" w:rsidR="00433F79" w:rsidRPr="001300A9" w:rsidRDefault="00433F79" w:rsidP="00357CEC">
            <w:pPr>
              <w:pStyle w:val="Default"/>
              <w:rPr>
                <w:sz w:val="22"/>
                <w:szCs w:val="22"/>
              </w:rPr>
            </w:pPr>
          </w:p>
          <w:p w14:paraId="7AE2F50E" w14:textId="6FE00B86" w:rsidR="00433F79" w:rsidRPr="001300A9" w:rsidRDefault="00433F79" w:rsidP="00357CEC">
            <w:pPr>
              <w:pStyle w:val="Default"/>
              <w:rPr>
                <w:sz w:val="22"/>
                <w:szCs w:val="22"/>
              </w:rPr>
            </w:pPr>
          </w:p>
          <w:p w14:paraId="01271430" w14:textId="533E1655" w:rsidR="00433F79" w:rsidRPr="001300A9" w:rsidRDefault="00433F79" w:rsidP="00357CEC">
            <w:pPr>
              <w:pStyle w:val="Default"/>
              <w:rPr>
                <w:sz w:val="22"/>
                <w:szCs w:val="22"/>
              </w:rPr>
            </w:pPr>
          </w:p>
          <w:p w14:paraId="0FEB8AC2" w14:textId="5A36E52E" w:rsidR="00433F79" w:rsidRPr="001300A9" w:rsidRDefault="00433F79" w:rsidP="00357CEC">
            <w:pPr>
              <w:pStyle w:val="Default"/>
              <w:rPr>
                <w:sz w:val="22"/>
                <w:szCs w:val="22"/>
              </w:rPr>
            </w:pPr>
          </w:p>
          <w:p w14:paraId="0702F21A" w14:textId="170E8180" w:rsidR="00433F79" w:rsidRPr="001300A9" w:rsidRDefault="00433F79" w:rsidP="00357CEC">
            <w:pPr>
              <w:pStyle w:val="Default"/>
              <w:rPr>
                <w:sz w:val="22"/>
                <w:szCs w:val="22"/>
              </w:rPr>
            </w:pPr>
          </w:p>
          <w:p w14:paraId="228ACBDE" w14:textId="41BBB840" w:rsidR="00433F79" w:rsidRPr="001300A9" w:rsidRDefault="00433F79" w:rsidP="00357CEC">
            <w:pPr>
              <w:pStyle w:val="Default"/>
              <w:rPr>
                <w:sz w:val="22"/>
                <w:szCs w:val="22"/>
              </w:rPr>
            </w:pPr>
          </w:p>
          <w:p w14:paraId="3A8AA360" w14:textId="6AF1686B" w:rsidR="00730219" w:rsidRPr="001300A9" w:rsidRDefault="00730219" w:rsidP="00357CEC">
            <w:pPr>
              <w:pStyle w:val="Default"/>
              <w:rPr>
                <w:sz w:val="22"/>
                <w:szCs w:val="22"/>
              </w:rPr>
            </w:pPr>
          </w:p>
          <w:p w14:paraId="4B364641" w14:textId="45A320C6" w:rsidR="5F673433" w:rsidRDefault="5F673433" w:rsidP="5F673433">
            <w:pPr>
              <w:pStyle w:val="Default"/>
              <w:rPr>
                <w:sz w:val="22"/>
                <w:szCs w:val="22"/>
              </w:rPr>
            </w:pPr>
          </w:p>
          <w:p w14:paraId="48ACDD1C" w14:textId="15C92D70" w:rsidR="5F673433" w:rsidRDefault="5F673433" w:rsidP="5F673433">
            <w:pPr>
              <w:pStyle w:val="Default"/>
              <w:rPr>
                <w:sz w:val="22"/>
                <w:szCs w:val="22"/>
              </w:rPr>
            </w:pPr>
          </w:p>
          <w:p w14:paraId="6DE6BD9E" w14:textId="62F6DF4B" w:rsidR="5F673433" w:rsidRDefault="5F673433" w:rsidP="5F673433">
            <w:pPr>
              <w:pStyle w:val="Default"/>
              <w:rPr>
                <w:sz w:val="22"/>
                <w:szCs w:val="22"/>
              </w:rPr>
            </w:pPr>
          </w:p>
          <w:p w14:paraId="6B1B9261" w14:textId="4DA50A4B" w:rsidR="5F673433" w:rsidRDefault="5F673433" w:rsidP="5F673433">
            <w:pPr>
              <w:pStyle w:val="Default"/>
              <w:rPr>
                <w:sz w:val="22"/>
                <w:szCs w:val="22"/>
              </w:rPr>
            </w:pPr>
          </w:p>
          <w:p w14:paraId="75DA1FC3" w14:textId="0754FDCE" w:rsidR="5F673433" w:rsidRDefault="5F673433" w:rsidP="5F673433">
            <w:pPr>
              <w:pStyle w:val="Default"/>
              <w:rPr>
                <w:sz w:val="22"/>
                <w:szCs w:val="22"/>
              </w:rPr>
            </w:pPr>
          </w:p>
          <w:p w14:paraId="20E915EF" w14:textId="6F80DE99" w:rsidR="5F673433" w:rsidRDefault="5F673433" w:rsidP="5F673433">
            <w:pPr>
              <w:pStyle w:val="Default"/>
              <w:rPr>
                <w:sz w:val="22"/>
                <w:szCs w:val="22"/>
              </w:rPr>
            </w:pPr>
          </w:p>
          <w:p w14:paraId="27CC288F" w14:textId="0127945D" w:rsidR="00433F79" w:rsidRPr="001300A9" w:rsidRDefault="00433F79" w:rsidP="00357CEC">
            <w:pPr>
              <w:pStyle w:val="Default"/>
              <w:rPr>
                <w:sz w:val="22"/>
                <w:szCs w:val="22"/>
              </w:rPr>
            </w:pPr>
            <w:proofErr w:type="spellStart"/>
            <w:r w:rsidRPr="001300A9">
              <w:rPr>
                <w:sz w:val="22"/>
                <w:szCs w:val="22"/>
              </w:rPr>
              <w:t>n.a</w:t>
            </w:r>
            <w:proofErr w:type="spellEnd"/>
            <w:r w:rsidRPr="001300A9">
              <w:rPr>
                <w:sz w:val="22"/>
                <w:szCs w:val="22"/>
              </w:rPr>
              <w:t>.</w:t>
            </w:r>
          </w:p>
          <w:p w14:paraId="59C09ACF" w14:textId="77777777" w:rsidR="00433F79" w:rsidRPr="001300A9" w:rsidRDefault="00433F79" w:rsidP="00357CEC">
            <w:pPr>
              <w:pStyle w:val="Default"/>
              <w:rPr>
                <w:sz w:val="22"/>
                <w:szCs w:val="22"/>
              </w:rPr>
            </w:pPr>
          </w:p>
          <w:p w14:paraId="0FCEFE1B" w14:textId="77777777" w:rsidR="00433F79" w:rsidRPr="001300A9" w:rsidRDefault="00433F79" w:rsidP="00357CEC">
            <w:pPr>
              <w:pStyle w:val="Default"/>
              <w:rPr>
                <w:sz w:val="22"/>
                <w:szCs w:val="22"/>
              </w:rPr>
            </w:pPr>
          </w:p>
          <w:p w14:paraId="2AF42349" w14:textId="77777777" w:rsidR="00433F79" w:rsidRPr="001300A9" w:rsidRDefault="00433F79" w:rsidP="00357CEC">
            <w:pPr>
              <w:pStyle w:val="Default"/>
              <w:rPr>
                <w:sz w:val="22"/>
                <w:szCs w:val="22"/>
              </w:rPr>
            </w:pPr>
          </w:p>
          <w:p w14:paraId="0DF6E6F8" w14:textId="77777777" w:rsidR="00433F79" w:rsidRPr="001300A9" w:rsidRDefault="00433F79" w:rsidP="00357CEC">
            <w:pPr>
              <w:pStyle w:val="Default"/>
              <w:rPr>
                <w:sz w:val="22"/>
                <w:szCs w:val="22"/>
              </w:rPr>
            </w:pPr>
          </w:p>
          <w:p w14:paraId="3DB07AF3" w14:textId="77777777" w:rsidR="00433F79" w:rsidRPr="001300A9" w:rsidRDefault="00433F79" w:rsidP="00357CEC">
            <w:pPr>
              <w:pStyle w:val="Default"/>
              <w:rPr>
                <w:sz w:val="22"/>
                <w:szCs w:val="22"/>
              </w:rPr>
            </w:pPr>
          </w:p>
          <w:p w14:paraId="0C298924" w14:textId="77777777" w:rsidR="00433F79" w:rsidRPr="001300A9" w:rsidRDefault="00433F79" w:rsidP="00357CEC">
            <w:pPr>
              <w:pStyle w:val="Default"/>
              <w:rPr>
                <w:sz w:val="22"/>
                <w:szCs w:val="22"/>
              </w:rPr>
            </w:pPr>
          </w:p>
          <w:p w14:paraId="10C3C2B5" w14:textId="77777777" w:rsidR="00433F79" w:rsidRPr="001300A9" w:rsidRDefault="00433F79" w:rsidP="00357CEC">
            <w:pPr>
              <w:pStyle w:val="Default"/>
              <w:rPr>
                <w:sz w:val="22"/>
                <w:szCs w:val="22"/>
              </w:rPr>
            </w:pPr>
          </w:p>
          <w:p w14:paraId="4E84F0D9" w14:textId="77777777" w:rsidR="00433F79" w:rsidRPr="001300A9" w:rsidRDefault="00433F79" w:rsidP="00357CEC">
            <w:pPr>
              <w:pStyle w:val="Default"/>
              <w:rPr>
                <w:sz w:val="22"/>
                <w:szCs w:val="22"/>
              </w:rPr>
            </w:pPr>
          </w:p>
          <w:p w14:paraId="137F1EA4" w14:textId="77777777" w:rsidR="00433F79" w:rsidRPr="001300A9" w:rsidRDefault="00433F79" w:rsidP="00357CEC">
            <w:pPr>
              <w:pStyle w:val="Default"/>
              <w:rPr>
                <w:sz w:val="22"/>
                <w:szCs w:val="22"/>
              </w:rPr>
            </w:pPr>
          </w:p>
          <w:p w14:paraId="0AA7FD4C" w14:textId="77777777" w:rsidR="00433F79" w:rsidRPr="001300A9" w:rsidRDefault="00433F79" w:rsidP="00357CEC">
            <w:pPr>
              <w:pStyle w:val="Default"/>
              <w:rPr>
                <w:sz w:val="22"/>
                <w:szCs w:val="22"/>
              </w:rPr>
            </w:pPr>
          </w:p>
          <w:p w14:paraId="034D5EAC" w14:textId="6FB7869C" w:rsidR="00B90E7D" w:rsidRPr="001300A9" w:rsidRDefault="00B90E7D" w:rsidP="00357CEC">
            <w:pPr>
              <w:pStyle w:val="Default"/>
              <w:rPr>
                <w:sz w:val="22"/>
                <w:szCs w:val="22"/>
              </w:rPr>
            </w:pPr>
          </w:p>
          <w:p w14:paraId="04BCA3C3" w14:textId="6FF1EFEF" w:rsidR="00B90E7D" w:rsidRPr="001300A9" w:rsidRDefault="00B90E7D" w:rsidP="00357CEC">
            <w:pPr>
              <w:pStyle w:val="Default"/>
              <w:rPr>
                <w:sz w:val="22"/>
                <w:szCs w:val="22"/>
              </w:rPr>
            </w:pPr>
            <w:proofErr w:type="spellStart"/>
            <w:r w:rsidRPr="001300A9">
              <w:rPr>
                <w:sz w:val="22"/>
                <w:szCs w:val="22"/>
              </w:rPr>
              <w:t>n.a</w:t>
            </w:r>
            <w:proofErr w:type="spellEnd"/>
            <w:r w:rsidRPr="001300A9">
              <w:rPr>
                <w:sz w:val="22"/>
                <w:szCs w:val="22"/>
              </w:rPr>
              <w:t>.</w:t>
            </w:r>
          </w:p>
          <w:p w14:paraId="4D8F17EC" w14:textId="05959B6B" w:rsidR="00B90E7D" w:rsidRPr="001300A9" w:rsidRDefault="00B90E7D" w:rsidP="00357CEC">
            <w:pPr>
              <w:pStyle w:val="Default"/>
              <w:rPr>
                <w:sz w:val="22"/>
                <w:szCs w:val="22"/>
              </w:rPr>
            </w:pPr>
          </w:p>
          <w:p w14:paraId="577813D0" w14:textId="349CF864" w:rsidR="00B90E7D" w:rsidRPr="001300A9" w:rsidRDefault="00B90E7D" w:rsidP="00357CEC">
            <w:pPr>
              <w:pStyle w:val="Default"/>
              <w:rPr>
                <w:sz w:val="22"/>
                <w:szCs w:val="22"/>
              </w:rPr>
            </w:pPr>
          </w:p>
          <w:p w14:paraId="04F1E867" w14:textId="4F6D6340" w:rsidR="00B90E7D" w:rsidRPr="001300A9" w:rsidRDefault="00B90E7D" w:rsidP="00357CEC">
            <w:pPr>
              <w:pStyle w:val="Default"/>
              <w:rPr>
                <w:sz w:val="22"/>
                <w:szCs w:val="22"/>
              </w:rPr>
            </w:pPr>
          </w:p>
          <w:p w14:paraId="3285720E" w14:textId="44755AD4" w:rsidR="00B90E7D" w:rsidRPr="001300A9" w:rsidRDefault="00B90E7D" w:rsidP="00357CEC">
            <w:pPr>
              <w:pStyle w:val="Default"/>
              <w:rPr>
                <w:sz w:val="22"/>
                <w:szCs w:val="22"/>
              </w:rPr>
            </w:pPr>
          </w:p>
          <w:p w14:paraId="652A4564" w14:textId="21B4E705" w:rsidR="00B90E7D" w:rsidRPr="001300A9" w:rsidRDefault="00B90E7D" w:rsidP="00357CEC">
            <w:pPr>
              <w:pStyle w:val="Default"/>
              <w:rPr>
                <w:sz w:val="22"/>
                <w:szCs w:val="22"/>
              </w:rPr>
            </w:pPr>
          </w:p>
          <w:p w14:paraId="340F6E8D" w14:textId="4F10F8DB" w:rsidR="00B90E7D" w:rsidRPr="001300A9" w:rsidRDefault="00B90E7D" w:rsidP="00357CEC">
            <w:pPr>
              <w:pStyle w:val="Default"/>
              <w:rPr>
                <w:sz w:val="22"/>
                <w:szCs w:val="22"/>
              </w:rPr>
            </w:pPr>
          </w:p>
          <w:p w14:paraId="5927B709" w14:textId="63A5A710" w:rsidR="00B90E7D" w:rsidRPr="001300A9" w:rsidRDefault="00B90E7D" w:rsidP="00357CEC">
            <w:pPr>
              <w:pStyle w:val="Default"/>
              <w:rPr>
                <w:sz w:val="22"/>
                <w:szCs w:val="22"/>
              </w:rPr>
            </w:pPr>
          </w:p>
          <w:p w14:paraId="65070600" w14:textId="597E0B22" w:rsidR="00B90E7D" w:rsidRPr="001300A9" w:rsidRDefault="00B90E7D" w:rsidP="00357CEC">
            <w:pPr>
              <w:pStyle w:val="Default"/>
              <w:rPr>
                <w:sz w:val="22"/>
                <w:szCs w:val="22"/>
              </w:rPr>
            </w:pPr>
          </w:p>
          <w:p w14:paraId="537E0F16" w14:textId="2615A2E0" w:rsidR="00B90E7D" w:rsidRPr="001300A9" w:rsidRDefault="00B90E7D" w:rsidP="00357CEC">
            <w:pPr>
              <w:pStyle w:val="Default"/>
              <w:rPr>
                <w:sz w:val="22"/>
                <w:szCs w:val="22"/>
              </w:rPr>
            </w:pPr>
          </w:p>
          <w:p w14:paraId="271623B9" w14:textId="17653A77" w:rsidR="00B90E7D" w:rsidRPr="001300A9" w:rsidRDefault="00B90E7D" w:rsidP="00357CEC">
            <w:pPr>
              <w:pStyle w:val="Default"/>
              <w:rPr>
                <w:sz w:val="22"/>
                <w:szCs w:val="22"/>
              </w:rPr>
            </w:pPr>
          </w:p>
          <w:p w14:paraId="21809AEF" w14:textId="5DC48309" w:rsidR="00B90E7D" w:rsidRPr="001300A9" w:rsidRDefault="00B90E7D" w:rsidP="00357CEC">
            <w:pPr>
              <w:pStyle w:val="Default"/>
              <w:rPr>
                <w:sz w:val="22"/>
                <w:szCs w:val="22"/>
              </w:rPr>
            </w:pPr>
          </w:p>
          <w:p w14:paraId="56E3E3A8" w14:textId="7FA199BD" w:rsidR="00B90E7D" w:rsidRPr="001300A9" w:rsidRDefault="00B90E7D" w:rsidP="00357CEC">
            <w:pPr>
              <w:pStyle w:val="Default"/>
              <w:rPr>
                <w:sz w:val="22"/>
                <w:szCs w:val="22"/>
              </w:rPr>
            </w:pPr>
          </w:p>
          <w:p w14:paraId="7593F592" w14:textId="4840E371" w:rsidR="00B90E7D" w:rsidRPr="001300A9" w:rsidRDefault="00B90E7D" w:rsidP="00357CEC">
            <w:pPr>
              <w:pStyle w:val="Default"/>
              <w:rPr>
                <w:sz w:val="22"/>
                <w:szCs w:val="22"/>
              </w:rPr>
            </w:pPr>
          </w:p>
          <w:p w14:paraId="7C623433" w14:textId="5E7973AC" w:rsidR="00B90E7D" w:rsidRPr="001300A9" w:rsidRDefault="00B90E7D" w:rsidP="00357CEC">
            <w:pPr>
              <w:pStyle w:val="Default"/>
              <w:rPr>
                <w:sz w:val="22"/>
                <w:szCs w:val="22"/>
              </w:rPr>
            </w:pPr>
          </w:p>
          <w:p w14:paraId="74578418" w14:textId="77777777" w:rsidR="00B90E7D" w:rsidRPr="001300A9" w:rsidRDefault="00B90E7D" w:rsidP="00357CEC">
            <w:pPr>
              <w:pStyle w:val="Default"/>
              <w:rPr>
                <w:sz w:val="22"/>
                <w:szCs w:val="22"/>
              </w:rPr>
            </w:pPr>
          </w:p>
          <w:p w14:paraId="2254044A" w14:textId="77777777" w:rsidR="00433F79" w:rsidRPr="001300A9" w:rsidRDefault="00433F79" w:rsidP="00357CEC">
            <w:pPr>
              <w:pStyle w:val="Default"/>
              <w:rPr>
                <w:sz w:val="22"/>
                <w:szCs w:val="22"/>
              </w:rPr>
            </w:pPr>
          </w:p>
          <w:p w14:paraId="379AA2B4" w14:textId="77777777" w:rsidR="00CD528D" w:rsidRPr="001300A9" w:rsidRDefault="00CD528D" w:rsidP="00357CEC">
            <w:pPr>
              <w:pStyle w:val="Default"/>
              <w:rPr>
                <w:sz w:val="22"/>
                <w:szCs w:val="22"/>
              </w:rPr>
            </w:pPr>
          </w:p>
          <w:p w14:paraId="13806F7C" w14:textId="77777777" w:rsidR="00CD528D" w:rsidRPr="001300A9" w:rsidRDefault="00CD528D" w:rsidP="00357CEC">
            <w:pPr>
              <w:pStyle w:val="Default"/>
              <w:rPr>
                <w:sz w:val="22"/>
                <w:szCs w:val="22"/>
              </w:rPr>
            </w:pPr>
          </w:p>
          <w:p w14:paraId="0FF4D2F4" w14:textId="77777777" w:rsidR="00CD528D" w:rsidRPr="001300A9" w:rsidRDefault="00CD528D" w:rsidP="00357CEC">
            <w:pPr>
              <w:pStyle w:val="Default"/>
              <w:rPr>
                <w:sz w:val="22"/>
                <w:szCs w:val="22"/>
              </w:rPr>
            </w:pPr>
          </w:p>
          <w:p w14:paraId="42B34B27" w14:textId="77777777" w:rsidR="00CD528D" w:rsidRPr="001300A9" w:rsidRDefault="00CD528D" w:rsidP="00357CEC">
            <w:pPr>
              <w:pStyle w:val="Default"/>
              <w:rPr>
                <w:sz w:val="22"/>
                <w:szCs w:val="22"/>
              </w:rPr>
            </w:pPr>
          </w:p>
          <w:p w14:paraId="6AA4DD2C" w14:textId="77777777" w:rsidR="00CD528D" w:rsidRPr="001300A9" w:rsidRDefault="00CD528D" w:rsidP="00357CEC">
            <w:pPr>
              <w:pStyle w:val="Default"/>
              <w:rPr>
                <w:sz w:val="22"/>
                <w:szCs w:val="22"/>
              </w:rPr>
            </w:pPr>
          </w:p>
          <w:p w14:paraId="2A99F6F2" w14:textId="77777777" w:rsidR="00CD528D" w:rsidRPr="001300A9" w:rsidRDefault="00CD528D" w:rsidP="00357CEC">
            <w:pPr>
              <w:pStyle w:val="Default"/>
              <w:rPr>
                <w:sz w:val="22"/>
                <w:szCs w:val="22"/>
              </w:rPr>
            </w:pPr>
          </w:p>
          <w:p w14:paraId="6B234B90" w14:textId="77777777" w:rsidR="00CD528D" w:rsidRPr="001300A9" w:rsidRDefault="00CD528D" w:rsidP="00357CEC">
            <w:pPr>
              <w:pStyle w:val="Default"/>
              <w:rPr>
                <w:sz w:val="22"/>
                <w:szCs w:val="22"/>
              </w:rPr>
            </w:pPr>
          </w:p>
          <w:p w14:paraId="382DDE30" w14:textId="77777777" w:rsidR="00CD528D" w:rsidRPr="001300A9" w:rsidRDefault="00CD528D" w:rsidP="00357CEC">
            <w:pPr>
              <w:pStyle w:val="Default"/>
              <w:rPr>
                <w:sz w:val="22"/>
                <w:szCs w:val="22"/>
              </w:rPr>
            </w:pPr>
          </w:p>
          <w:p w14:paraId="03F978D8" w14:textId="77777777" w:rsidR="00CD528D" w:rsidRPr="001300A9" w:rsidRDefault="00CD528D" w:rsidP="00357CEC">
            <w:pPr>
              <w:pStyle w:val="Default"/>
              <w:rPr>
                <w:sz w:val="22"/>
                <w:szCs w:val="22"/>
              </w:rPr>
            </w:pPr>
          </w:p>
          <w:p w14:paraId="7D17F6E8" w14:textId="77777777" w:rsidR="00CD528D" w:rsidRPr="001300A9" w:rsidRDefault="00CD528D" w:rsidP="00357CEC">
            <w:pPr>
              <w:pStyle w:val="Default"/>
              <w:rPr>
                <w:sz w:val="22"/>
                <w:szCs w:val="22"/>
              </w:rPr>
            </w:pPr>
          </w:p>
          <w:p w14:paraId="02340113" w14:textId="77777777" w:rsidR="00CD528D" w:rsidRPr="001300A9" w:rsidRDefault="00CD528D" w:rsidP="00357CEC">
            <w:pPr>
              <w:pStyle w:val="Default"/>
              <w:rPr>
                <w:sz w:val="22"/>
                <w:szCs w:val="22"/>
              </w:rPr>
            </w:pPr>
          </w:p>
          <w:p w14:paraId="1DAD9952" w14:textId="77777777" w:rsidR="00CD528D" w:rsidRPr="001300A9" w:rsidRDefault="00CD528D" w:rsidP="00357CEC">
            <w:pPr>
              <w:pStyle w:val="Default"/>
              <w:rPr>
                <w:sz w:val="22"/>
                <w:szCs w:val="22"/>
              </w:rPr>
            </w:pPr>
          </w:p>
          <w:p w14:paraId="479C0522" w14:textId="77777777" w:rsidR="00CD528D" w:rsidRPr="001300A9" w:rsidRDefault="00CD528D" w:rsidP="00357CEC">
            <w:pPr>
              <w:pStyle w:val="Default"/>
              <w:rPr>
                <w:sz w:val="22"/>
                <w:szCs w:val="22"/>
              </w:rPr>
            </w:pPr>
          </w:p>
          <w:p w14:paraId="3E8DC249" w14:textId="77777777" w:rsidR="00CD528D" w:rsidRPr="001300A9" w:rsidRDefault="00CD528D" w:rsidP="00357CEC">
            <w:pPr>
              <w:pStyle w:val="Default"/>
              <w:rPr>
                <w:sz w:val="22"/>
                <w:szCs w:val="22"/>
              </w:rPr>
            </w:pPr>
          </w:p>
          <w:p w14:paraId="7B56F0B7" w14:textId="77777777" w:rsidR="00CD528D" w:rsidRPr="001300A9" w:rsidRDefault="00CD528D" w:rsidP="00357CEC">
            <w:pPr>
              <w:pStyle w:val="Default"/>
              <w:rPr>
                <w:sz w:val="22"/>
                <w:szCs w:val="22"/>
              </w:rPr>
            </w:pPr>
          </w:p>
          <w:p w14:paraId="0ED7FCC2" w14:textId="77777777" w:rsidR="00CD528D" w:rsidRPr="001300A9" w:rsidRDefault="00CD528D" w:rsidP="00357CEC">
            <w:pPr>
              <w:pStyle w:val="Default"/>
              <w:rPr>
                <w:sz w:val="22"/>
                <w:szCs w:val="22"/>
              </w:rPr>
            </w:pPr>
          </w:p>
          <w:p w14:paraId="4B684464" w14:textId="77777777" w:rsidR="00CD528D" w:rsidRPr="001300A9" w:rsidRDefault="00CD528D" w:rsidP="00357CEC">
            <w:pPr>
              <w:pStyle w:val="Default"/>
              <w:rPr>
                <w:sz w:val="22"/>
                <w:szCs w:val="22"/>
              </w:rPr>
            </w:pPr>
          </w:p>
          <w:p w14:paraId="03E26452" w14:textId="77777777" w:rsidR="00CD528D" w:rsidRPr="001300A9" w:rsidRDefault="00CD528D" w:rsidP="00357CEC">
            <w:pPr>
              <w:pStyle w:val="Default"/>
              <w:rPr>
                <w:sz w:val="22"/>
                <w:szCs w:val="22"/>
              </w:rPr>
            </w:pPr>
          </w:p>
          <w:p w14:paraId="72FD4A03" w14:textId="77777777" w:rsidR="00CD528D" w:rsidRPr="001300A9" w:rsidRDefault="00CD528D" w:rsidP="00357CEC">
            <w:pPr>
              <w:pStyle w:val="Default"/>
              <w:rPr>
                <w:sz w:val="22"/>
                <w:szCs w:val="22"/>
              </w:rPr>
            </w:pPr>
          </w:p>
          <w:p w14:paraId="6D3A683B" w14:textId="77777777" w:rsidR="00CD528D" w:rsidRPr="001300A9" w:rsidRDefault="00CD528D" w:rsidP="00357CEC">
            <w:pPr>
              <w:pStyle w:val="Default"/>
              <w:rPr>
                <w:sz w:val="22"/>
                <w:szCs w:val="22"/>
              </w:rPr>
            </w:pPr>
          </w:p>
          <w:p w14:paraId="280F9412" w14:textId="77777777" w:rsidR="00CD528D" w:rsidRPr="001300A9" w:rsidRDefault="00CD528D" w:rsidP="00357CEC">
            <w:pPr>
              <w:pStyle w:val="Default"/>
              <w:rPr>
                <w:sz w:val="22"/>
                <w:szCs w:val="22"/>
              </w:rPr>
            </w:pPr>
          </w:p>
          <w:p w14:paraId="1A7F1F29" w14:textId="77777777" w:rsidR="00CD528D" w:rsidRPr="001300A9" w:rsidRDefault="00CD528D" w:rsidP="00357CEC">
            <w:pPr>
              <w:pStyle w:val="Default"/>
              <w:rPr>
                <w:sz w:val="22"/>
                <w:szCs w:val="22"/>
              </w:rPr>
            </w:pPr>
          </w:p>
          <w:p w14:paraId="07F4C352" w14:textId="77777777" w:rsidR="00CD528D" w:rsidRPr="001300A9" w:rsidRDefault="00CD528D" w:rsidP="00357CEC">
            <w:pPr>
              <w:pStyle w:val="Default"/>
              <w:rPr>
                <w:sz w:val="22"/>
                <w:szCs w:val="22"/>
              </w:rPr>
            </w:pPr>
          </w:p>
          <w:p w14:paraId="1BC2A503" w14:textId="77777777" w:rsidR="00CD528D" w:rsidRPr="001300A9" w:rsidRDefault="00CD528D" w:rsidP="00357CEC">
            <w:pPr>
              <w:pStyle w:val="Default"/>
              <w:rPr>
                <w:sz w:val="22"/>
                <w:szCs w:val="22"/>
              </w:rPr>
            </w:pPr>
          </w:p>
          <w:p w14:paraId="7EC4553D" w14:textId="77777777" w:rsidR="00CD528D" w:rsidRPr="001300A9" w:rsidRDefault="00CD528D" w:rsidP="00357CEC">
            <w:pPr>
              <w:pStyle w:val="Default"/>
              <w:rPr>
                <w:sz w:val="22"/>
                <w:szCs w:val="22"/>
              </w:rPr>
            </w:pPr>
          </w:p>
          <w:p w14:paraId="211AD5E6" w14:textId="77777777" w:rsidR="00CD528D" w:rsidRPr="001300A9" w:rsidRDefault="00CD528D" w:rsidP="00357CEC">
            <w:pPr>
              <w:pStyle w:val="Default"/>
              <w:rPr>
                <w:sz w:val="22"/>
                <w:szCs w:val="22"/>
              </w:rPr>
            </w:pPr>
          </w:p>
          <w:p w14:paraId="33AE4309" w14:textId="77777777" w:rsidR="00CD528D" w:rsidRPr="001300A9" w:rsidRDefault="00CD528D" w:rsidP="00357CEC">
            <w:pPr>
              <w:pStyle w:val="Default"/>
              <w:rPr>
                <w:sz w:val="22"/>
                <w:szCs w:val="22"/>
              </w:rPr>
            </w:pPr>
          </w:p>
          <w:p w14:paraId="434043E7" w14:textId="77777777" w:rsidR="00CD528D" w:rsidRPr="001300A9" w:rsidRDefault="00CD528D" w:rsidP="00357CEC">
            <w:pPr>
              <w:pStyle w:val="Default"/>
              <w:rPr>
                <w:sz w:val="22"/>
                <w:szCs w:val="22"/>
              </w:rPr>
            </w:pPr>
          </w:p>
          <w:p w14:paraId="45288130" w14:textId="77777777" w:rsidR="00CD528D" w:rsidRPr="001300A9" w:rsidRDefault="00CD528D" w:rsidP="00357CEC">
            <w:pPr>
              <w:pStyle w:val="Default"/>
              <w:rPr>
                <w:sz w:val="22"/>
                <w:szCs w:val="22"/>
              </w:rPr>
            </w:pPr>
          </w:p>
          <w:p w14:paraId="5F844C86" w14:textId="77777777" w:rsidR="00CD528D" w:rsidRPr="001300A9" w:rsidRDefault="00CD528D" w:rsidP="00357CEC">
            <w:pPr>
              <w:pStyle w:val="Default"/>
              <w:rPr>
                <w:sz w:val="22"/>
                <w:szCs w:val="22"/>
              </w:rPr>
            </w:pPr>
          </w:p>
          <w:p w14:paraId="37EB478D" w14:textId="77777777" w:rsidR="00CD528D" w:rsidRPr="001300A9" w:rsidRDefault="00CD528D" w:rsidP="00357CEC">
            <w:pPr>
              <w:pStyle w:val="Default"/>
              <w:rPr>
                <w:sz w:val="22"/>
                <w:szCs w:val="22"/>
              </w:rPr>
            </w:pPr>
          </w:p>
          <w:p w14:paraId="13903F5A" w14:textId="77777777" w:rsidR="00CD528D" w:rsidRPr="001300A9" w:rsidRDefault="00CD528D" w:rsidP="00357CEC">
            <w:pPr>
              <w:pStyle w:val="Default"/>
              <w:rPr>
                <w:sz w:val="22"/>
                <w:szCs w:val="22"/>
              </w:rPr>
            </w:pPr>
          </w:p>
          <w:p w14:paraId="3532F15C" w14:textId="77777777" w:rsidR="00CD528D" w:rsidRPr="001300A9" w:rsidRDefault="00CD528D" w:rsidP="00357CEC">
            <w:pPr>
              <w:pStyle w:val="Default"/>
              <w:rPr>
                <w:sz w:val="22"/>
                <w:szCs w:val="22"/>
              </w:rPr>
            </w:pPr>
          </w:p>
          <w:p w14:paraId="17D6CC88" w14:textId="77777777" w:rsidR="00CD528D" w:rsidRPr="001300A9" w:rsidRDefault="00CD528D" w:rsidP="00357CEC">
            <w:pPr>
              <w:pStyle w:val="Default"/>
              <w:rPr>
                <w:sz w:val="22"/>
                <w:szCs w:val="22"/>
              </w:rPr>
            </w:pPr>
          </w:p>
          <w:p w14:paraId="61DA03D6" w14:textId="77777777" w:rsidR="00CD528D" w:rsidRPr="001300A9" w:rsidRDefault="00CD528D" w:rsidP="00357CEC">
            <w:pPr>
              <w:pStyle w:val="Default"/>
              <w:rPr>
                <w:sz w:val="22"/>
                <w:szCs w:val="22"/>
              </w:rPr>
            </w:pPr>
          </w:p>
          <w:p w14:paraId="2F3D6BD0" w14:textId="77777777" w:rsidR="00CD528D" w:rsidRPr="001300A9" w:rsidRDefault="00CD528D" w:rsidP="00357CEC">
            <w:pPr>
              <w:pStyle w:val="Default"/>
              <w:rPr>
                <w:sz w:val="22"/>
                <w:szCs w:val="22"/>
              </w:rPr>
            </w:pPr>
          </w:p>
          <w:p w14:paraId="45F0A206" w14:textId="77777777" w:rsidR="00CD528D" w:rsidRPr="001300A9" w:rsidRDefault="00CD528D" w:rsidP="00357CEC">
            <w:pPr>
              <w:pStyle w:val="Default"/>
              <w:rPr>
                <w:sz w:val="22"/>
                <w:szCs w:val="22"/>
              </w:rPr>
            </w:pPr>
          </w:p>
          <w:p w14:paraId="6788D555" w14:textId="77777777" w:rsidR="00CD528D" w:rsidRPr="001300A9" w:rsidRDefault="00CD528D" w:rsidP="00357CEC">
            <w:pPr>
              <w:pStyle w:val="Default"/>
              <w:rPr>
                <w:sz w:val="22"/>
                <w:szCs w:val="22"/>
              </w:rPr>
            </w:pPr>
          </w:p>
          <w:p w14:paraId="7F13E9B6" w14:textId="77777777" w:rsidR="00CD528D" w:rsidRPr="001300A9" w:rsidRDefault="00CD528D" w:rsidP="00357CEC">
            <w:pPr>
              <w:pStyle w:val="Default"/>
              <w:rPr>
                <w:sz w:val="22"/>
                <w:szCs w:val="22"/>
              </w:rPr>
            </w:pPr>
          </w:p>
          <w:p w14:paraId="4580269F" w14:textId="77777777" w:rsidR="00CD528D" w:rsidRPr="001300A9" w:rsidRDefault="00CD528D" w:rsidP="00357CEC">
            <w:pPr>
              <w:pStyle w:val="Default"/>
              <w:rPr>
                <w:sz w:val="22"/>
                <w:szCs w:val="22"/>
              </w:rPr>
            </w:pPr>
          </w:p>
          <w:p w14:paraId="6EAB8D51" w14:textId="77777777" w:rsidR="00CD528D" w:rsidRPr="001300A9" w:rsidRDefault="00CD528D" w:rsidP="00357CEC">
            <w:pPr>
              <w:pStyle w:val="Default"/>
              <w:rPr>
                <w:sz w:val="22"/>
                <w:szCs w:val="22"/>
              </w:rPr>
            </w:pPr>
          </w:p>
          <w:p w14:paraId="61D9C226" w14:textId="331CB7FB" w:rsidR="00287825" w:rsidRDefault="00287825" w:rsidP="00357CEC">
            <w:pPr>
              <w:pStyle w:val="Default"/>
              <w:rPr>
                <w:sz w:val="22"/>
                <w:szCs w:val="22"/>
              </w:rPr>
            </w:pPr>
          </w:p>
          <w:p w14:paraId="1408F053" w14:textId="15831C1A" w:rsidR="00CD528D" w:rsidRPr="001300A9" w:rsidRDefault="00CD528D" w:rsidP="00357CEC">
            <w:pPr>
              <w:pStyle w:val="Default"/>
              <w:rPr>
                <w:sz w:val="22"/>
                <w:szCs w:val="22"/>
              </w:rPr>
            </w:pPr>
            <w:proofErr w:type="spellStart"/>
            <w:r w:rsidRPr="001300A9">
              <w:rPr>
                <w:sz w:val="22"/>
                <w:szCs w:val="22"/>
              </w:rPr>
              <w:t>n.a</w:t>
            </w:r>
            <w:proofErr w:type="spellEnd"/>
            <w:r w:rsidRPr="001300A9">
              <w:rPr>
                <w:sz w:val="22"/>
                <w:szCs w:val="22"/>
              </w:rPr>
              <w:t>.</w:t>
            </w:r>
          </w:p>
          <w:p w14:paraId="25298FA7" w14:textId="31E62276" w:rsidR="009D0AA1" w:rsidRDefault="009D0AA1" w:rsidP="00357CEC">
            <w:pPr>
              <w:pStyle w:val="Default"/>
              <w:rPr>
                <w:sz w:val="22"/>
                <w:szCs w:val="22"/>
              </w:rPr>
            </w:pPr>
          </w:p>
          <w:p w14:paraId="1A82C65F" w14:textId="573847DB" w:rsidR="00357CEC" w:rsidRPr="001300A9" w:rsidRDefault="00357CEC" w:rsidP="00357CEC">
            <w:pPr>
              <w:pStyle w:val="Default"/>
              <w:rPr>
                <w:sz w:val="22"/>
                <w:szCs w:val="22"/>
              </w:rPr>
            </w:pPr>
            <w:r w:rsidRPr="001300A9">
              <w:rPr>
                <w:sz w:val="22"/>
                <w:szCs w:val="22"/>
              </w:rPr>
              <w:t>N</w:t>
            </w:r>
          </w:p>
          <w:p w14:paraId="2600DEBD" w14:textId="77777777" w:rsidR="00357CEC" w:rsidRPr="001300A9" w:rsidRDefault="00357CEC" w:rsidP="00357CEC">
            <w:pPr>
              <w:pStyle w:val="Default"/>
              <w:rPr>
                <w:sz w:val="22"/>
                <w:szCs w:val="22"/>
              </w:rPr>
            </w:pPr>
          </w:p>
          <w:p w14:paraId="0A6DC34B" w14:textId="77777777" w:rsidR="00357CEC" w:rsidRPr="001300A9" w:rsidRDefault="00357CEC" w:rsidP="00357CEC">
            <w:pPr>
              <w:pStyle w:val="Default"/>
              <w:rPr>
                <w:sz w:val="22"/>
                <w:szCs w:val="22"/>
              </w:rPr>
            </w:pPr>
          </w:p>
          <w:p w14:paraId="2FE9C46D" w14:textId="77777777" w:rsidR="00357CEC" w:rsidRPr="001300A9" w:rsidRDefault="00357CEC" w:rsidP="00357CEC">
            <w:pPr>
              <w:pStyle w:val="Default"/>
              <w:rPr>
                <w:sz w:val="22"/>
                <w:szCs w:val="22"/>
              </w:rPr>
            </w:pPr>
          </w:p>
          <w:p w14:paraId="36215B92" w14:textId="77777777" w:rsidR="00357CEC" w:rsidRPr="001300A9" w:rsidRDefault="00357CEC" w:rsidP="00357CEC">
            <w:pPr>
              <w:pStyle w:val="Default"/>
              <w:rPr>
                <w:sz w:val="22"/>
                <w:szCs w:val="22"/>
              </w:rPr>
            </w:pPr>
          </w:p>
          <w:p w14:paraId="38C2BEF0" w14:textId="77777777" w:rsidR="00357CEC" w:rsidRPr="001300A9" w:rsidRDefault="00357CEC" w:rsidP="00357CEC">
            <w:pPr>
              <w:pStyle w:val="Default"/>
              <w:rPr>
                <w:sz w:val="22"/>
                <w:szCs w:val="22"/>
              </w:rPr>
            </w:pPr>
          </w:p>
          <w:p w14:paraId="363FBCCE" w14:textId="77777777" w:rsidR="00C265DA" w:rsidRPr="001300A9" w:rsidRDefault="00C265DA" w:rsidP="00357CEC">
            <w:pPr>
              <w:pStyle w:val="Default"/>
              <w:rPr>
                <w:sz w:val="22"/>
                <w:szCs w:val="22"/>
              </w:rPr>
            </w:pPr>
          </w:p>
          <w:p w14:paraId="5CFC22E3" w14:textId="77777777" w:rsidR="00C265DA" w:rsidRPr="001300A9" w:rsidRDefault="00C265DA" w:rsidP="00357CEC">
            <w:pPr>
              <w:pStyle w:val="Default"/>
              <w:rPr>
                <w:sz w:val="22"/>
                <w:szCs w:val="22"/>
              </w:rPr>
            </w:pPr>
          </w:p>
          <w:p w14:paraId="76154F24" w14:textId="77777777" w:rsidR="00C265DA" w:rsidRPr="001300A9" w:rsidRDefault="00C265DA" w:rsidP="00357CEC">
            <w:pPr>
              <w:pStyle w:val="Default"/>
              <w:rPr>
                <w:sz w:val="22"/>
                <w:szCs w:val="22"/>
              </w:rPr>
            </w:pPr>
          </w:p>
          <w:p w14:paraId="0E9E963C" w14:textId="77777777" w:rsidR="00C265DA" w:rsidRPr="001300A9" w:rsidRDefault="00C265DA" w:rsidP="00357CEC">
            <w:pPr>
              <w:pStyle w:val="Default"/>
              <w:rPr>
                <w:sz w:val="22"/>
                <w:szCs w:val="22"/>
              </w:rPr>
            </w:pPr>
          </w:p>
          <w:p w14:paraId="2418BB40" w14:textId="77777777" w:rsidR="00C265DA" w:rsidRPr="001300A9" w:rsidRDefault="00C265DA" w:rsidP="00357CEC">
            <w:pPr>
              <w:pStyle w:val="Default"/>
              <w:rPr>
                <w:sz w:val="22"/>
                <w:szCs w:val="22"/>
              </w:rPr>
            </w:pPr>
          </w:p>
          <w:p w14:paraId="616C5295" w14:textId="2966CDFB" w:rsidR="00C265DA" w:rsidRPr="001300A9" w:rsidRDefault="00C265DA" w:rsidP="00357CEC">
            <w:pPr>
              <w:pStyle w:val="Default"/>
              <w:rPr>
                <w:sz w:val="22"/>
                <w:szCs w:val="22"/>
              </w:rPr>
            </w:pPr>
          </w:p>
          <w:p w14:paraId="67F8E827" w14:textId="77777777" w:rsidR="008E0B41" w:rsidRPr="001300A9" w:rsidRDefault="008E0B41" w:rsidP="00357CEC">
            <w:pPr>
              <w:pStyle w:val="Default"/>
              <w:rPr>
                <w:sz w:val="22"/>
                <w:szCs w:val="22"/>
              </w:rPr>
            </w:pPr>
          </w:p>
          <w:p w14:paraId="58094B0D" w14:textId="77777777" w:rsidR="00C265DA" w:rsidRPr="001300A9" w:rsidRDefault="00C265DA" w:rsidP="00357CEC">
            <w:pPr>
              <w:pStyle w:val="Default"/>
              <w:rPr>
                <w:sz w:val="22"/>
                <w:szCs w:val="22"/>
              </w:rPr>
            </w:pPr>
          </w:p>
          <w:p w14:paraId="165DB7FB" w14:textId="77777777" w:rsidR="00C265DA" w:rsidRPr="001300A9" w:rsidRDefault="00C265DA" w:rsidP="00357CEC">
            <w:pPr>
              <w:pStyle w:val="Default"/>
              <w:rPr>
                <w:sz w:val="22"/>
                <w:szCs w:val="22"/>
              </w:rPr>
            </w:pPr>
          </w:p>
          <w:p w14:paraId="6271EFC5" w14:textId="77777777" w:rsidR="00287825" w:rsidRDefault="00287825" w:rsidP="00357CEC">
            <w:pPr>
              <w:pStyle w:val="Default"/>
              <w:rPr>
                <w:sz w:val="22"/>
                <w:szCs w:val="22"/>
              </w:rPr>
            </w:pPr>
          </w:p>
          <w:p w14:paraId="1A22CE42" w14:textId="77777777" w:rsidR="009D0AA1" w:rsidRDefault="009D0AA1" w:rsidP="00357CEC">
            <w:pPr>
              <w:pStyle w:val="Default"/>
              <w:rPr>
                <w:sz w:val="22"/>
                <w:szCs w:val="22"/>
              </w:rPr>
            </w:pPr>
          </w:p>
          <w:p w14:paraId="3A42F47C" w14:textId="77777777" w:rsidR="009D0AA1" w:rsidRDefault="009D0AA1" w:rsidP="00357CEC">
            <w:pPr>
              <w:pStyle w:val="Default"/>
              <w:rPr>
                <w:sz w:val="22"/>
                <w:szCs w:val="22"/>
              </w:rPr>
            </w:pPr>
          </w:p>
          <w:p w14:paraId="6E99C2A6" w14:textId="1F3F6B7C" w:rsidR="5F673433" w:rsidRDefault="5F673433" w:rsidP="5F673433">
            <w:pPr>
              <w:pStyle w:val="Default"/>
              <w:rPr>
                <w:sz w:val="22"/>
                <w:szCs w:val="22"/>
              </w:rPr>
            </w:pPr>
          </w:p>
          <w:p w14:paraId="2223E14B" w14:textId="444F88E1" w:rsidR="00357CEC" w:rsidRPr="001300A9" w:rsidRDefault="00357CEC" w:rsidP="00357CEC">
            <w:pPr>
              <w:pStyle w:val="Default"/>
              <w:rPr>
                <w:sz w:val="22"/>
                <w:szCs w:val="22"/>
              </w:rPr>
            </w:pPr>
            <w:r w:rsidRPr="001300A9">
              <w:rPr>
                <w:sz w:val="22"/>
                <w:szCs w:val="22"/>
              </w:rPr>
              <w:t>N</w:t>
            </w:r>
          </w:p>
          <w:p w14:paraId="5379D284" w14:textId="77777777" w:rsidR="00357CEC" w:rsidRPr="001300A9" w:rsidRDefault="00357CEC" w:rsidP="00357CEC">
            <w:pPr>
              <w:pStyle w:val="Default"/>
              <w:rPr>
                <w:sz w:val="22"/>
                <w:szCs w:val="22"/>
              </w:rPr>
            </w:pPr>
          </w:p>
          <w:p w14:paraId="76EEF8AA" w14:textId="77777777" w:rsidR="00357CEC" w:rsidRPr="001300A9" w:rsidRDefault="00357CEC" w:rsidP="00357CEC">
            <w:pPr>
              <w:pStyle w:val="Default"/>
              <w:rPr>
                <w:sz w:val="22"/>
                <w:szCs w:val="22"/>
              </w:rPr>
            </w:pPr>
          </w:p>
          <w:p w14:paraId="48C68D17" w14:textId="77777777" w:rsidR="00357CEC" w:rsidRPr="001300A9" w:rsidRDefault="00357CEC" w:rsidP="00357CEC">
            <w:pPr>
              <w:pStyle w:val="Default"/>
              <w:rPr>
                <w:sz w:val="22"/>
                <w:szCs w:val="22"/>
              </w:rPr>
            </w:pPr>
          </w:p>
          <w:p w14:paraId="041F8499" w14:textId="77777777" w:rsidR="00357CEC" w:rsidRPr="001300A9" w:rsidRDefault="00357CEC" w:rsidP="00357CEC">
            <w:pPr>
              <w:pStyle w:val="Default"/>
              <w:rPr>
                <w:sz w:val="22"/>
                <w:szCs w:val="22"/>
              </w:rPr>
            </w:pPr>
          </w:p>
          <w:p w14:paraId="39160111" w14:textId="77777777" w:rsidR="008E0B41" w:rsidRPr="001300A9" w:rsidRDefault="008E0B41" w:rsidP="00357CEC">
            <w:pPr>
              <w:pStyle w:val="Default"/>
              <w:rPr>
                <w:sz w:val="22"/>
                <w:szCs w:val="22"/>
              </w:rPr>
            </w:pPr>
          </w:p>
          <w:p w14:paraId="06EA57DB" w14:textId="77777777" w:rsidR="008E0B41" w:rsidRPr="001300A9" w:rsidRDefault="008E0B41" w:rsidP="00357CEC">
            <w:pPr>
              <w:pStyle w:val="Default"/>
              <w:rPr>
                <w:sz w:val="22"/>
                <w:szCs w:val="22"/>
              </w:rPr>
            </w:pPr>
          </w:p>
          <w:p w14:paraId="15C2889E" w14:textId="77777777" w:rsidR="008E0B41" w:rsidRPr="001300A9" w:rsidRDefault="008E0B41" w:rsidP="00357CEC">
            <w:pPr>
              <w:pStyle w:val="Default"/>
              <w:rPr>
                <w:sz w:val="22"/>
                <w:szCs w:val="22"/>
              </w:rPr>
            </w:pPr>
          </w:p>
          <w:p w14:paraId="0A1A876E" w14:textId="77777777" w:rsidR="008E0B41" w:rsidRPr="001300A9" w:rsidRDefault="008E0B41" w:rsidP="00357CEC">
            <w:pPr>
              <w:pStyle w:val="Default"/>
              <w:rPr>
                <w:sz w:val="22"/>
                <w:szCs w:val="22"/>
              </w:rPr>
            </w:pPr>
          </w:p>
          <w:p w14:paraId="0713EDA8" w14:textId="77777777" w:rsidR="008E0B41" w:rsidRPr="001300A9" w:rsidRDefault="008E0B41" w:rsidP="00357CEC">
            <w:pPr>
              <w:pStyle w:val="Default"/>
              <w:rPr>
                <w:sz w:val="22"/>
                <w:szCs w:val="22"/>
              </w:rPr>
            </w:pPr>
          </w:p>
          <w:p w14:paraId="39DD485E" w14:textId="77777777" w:rsidR="00C2579D" w:rsidRPr="001300A9" w:rsidRDefault="00C2579D" w:rsidP="00357CEC">
            <w:pPr>
              <w:pStyle w:val="Default"/>
              <w:rPr>
                <w:sz w:val="22"/>
                <w:szCs w:val="22"/>
              </w:rPr>
            </w:pPr>
          </w:p>
          <w:p w14:paraId="79C54649" w14:textId="77777777" w:rsidR="00C2579D" w:rsidRPr="001300A9" w:rsidRDefault="00C2579D" w:rsidP="00357CEC">
            <w:pPr>
              <w:pStyle w:val="Default"/>
              <w:rPr>
                <w:sz w:val="22"/>
                <w:szCs w:val="22"/>
              </w:rPr>
            </w:pPr>
          </w:p>
          <w:p w14:paraId="77E7D529" w14:textId="77777777" w:rsidR="00C2579D" w:rsidRPr="001300A9" w:rsidRDefault="00C2579D" w:rsidP="00357CEC">
            <w:pPr>
              <w:pStyle w:val="Default"/>
              <w:rPr>
                <w:sz w:val="22"/>
                <w:szCs w:val="22"/>
              </w:rPr>
            </w:pPr>
          </w:p>
          <w:p w14:paraId="22DA1E6D" w14:textId="4678AD25" w:rsidR="00C2579D" w:rsidRPr="001300A9" w:rsidRDefault="00C2579D" w:rsidP="00357CEC">
            <w:pPr>
              <w:pStyle w:val="Default"/>
              <w:rPr>
                <w:sz w:val="22"/>
                <w:szCs w:val="22"/>
              </w:rPr>
            </w:pPr>
          </w:p>
          <w:p w14:paraId="0147FBFF" w14:textId="77777777" w:rsidR="009D0AA1" w:rsidRDefault="009D0AA1" w:rsidP="00357CEC">
            <w:pPr>
              <w:pStyle w:val="Default"/>
              <w:rPr>
                <w:sz w:val="22"/>
                <w:szCs w:val="22"/>
              </w:rPr>
            </w:pPr>
          </w:p>
          <w:p w14:paraId="74C64EB9" w14:textId="77777777" w:rsidR="009D0AA1" w:rsidRDefault="009D0AA1" w:rsidP="00357CEC">
            <w:pPr>
              <w:pStyle w:val="Default"/>
              <w:rPr>
                <w:sz w:val="22"/>
                <w:szCs w:val="22"/>
              </w:rPr>
            </w:pPr>
          </w:p>
          <w:p w14:paraId="4EAC9532" w14:textId="77777777" w:rsidR="009D0AA1" w:rsidRDefault="009D0AA1" w:rsidP="00357CEC">
            <w:pPr>
              <w:pStyle w:val="Default"/>
              <w:rPr>
                <w:sz w:val="22"/>
                <w:szCs w:val="22"/>
              </w:rPr>
            </w:pPr>
          </w:p>
          <w:p w14:paraId="5455C6C1" w14:textId="77777777" w:rsidR="009D0AA1" w:rsidRDefault="009D0AA1" w:rsidP="00357CEC">
            <w:pPr>
              <w:pStyle w:val="Default"/>
              <w:rPr>
                <w:sz w:val="22"/>
                <w:szCs w:val="22"/>
              </w:rPr>
            </w:pPr>
          </w:p>
          <w:p w14:paraId="723C1CA3" w14:textId="77777777" w:rsidR="009D0AA1" w:rsidRDefault="009D0AA1" w:rsidP="00357CEC">
            <w:pPr>
              <w:pStyle w:val="Default"/>
              <w:rPr>
                <w:sz w:val="22"/>
                <w:szCs w:val="22"/>
              </w:rPr>
            </w:pPr>
          </w:p>
          <w:p w14:paraId="091F970A" w14:textId="28664760" w:rsidR="5F673433" w:rsidRDefault="5F673433" w:rsidP="5F673433">
            <w:pPr>
              <w:pStyle w:val="Default"/>
              <w:rPr>
                <w:sz w:val="22"/>
                <w:szCs w:val="22"/>
              </w:rPr>
            </w:pPr>
          </w:p>
          <w:p w14:paraId="78A8134F" w14:textId="77777777" w:rsidR="009D0AA1" w:rsidRDefault="009D0AA1" w:rsidP="00357CEC">
            <w:pPr>
              <w:pStyle w:val="Default"/>
              <w:rPr>
                <w:sz w:val="22"/>
                <w:szCs w:val="22"/>
              </w:rPr>
            </w:pPr>
          </w:p>
          <w:p w14:paraId="482EA1DF" w14:textId="072384BE" w:rsidR="00357CEC" w:rsidRPr="001300A9" w:rsidRDefault="00C265DA" w:rsidP="00357CEC">
            <w:pPr>
              <w:pStyle w:val="Default"/>
              <w:rPr>
                <w:sz w:val="22"/>
                <w:szCs w:val="22"/>
              </w:rPr>
            </w:pPr>
            <w:r w:rsidRPr="001300A9">
              <w:rPr>
                <w:sz w:val="22"/>
                <w:szCs w:val="22"/>
              </w:rPr>
              <w:t>D</w:t>
            </w:r>
          </w:p>
          <w:p w14:paraId="4004BC02" w14:textId="77777777" w:rsidR="00357CEC" w:rsidRPr="001300A9" w:rsidRDefault="00357CEC" w:rsidP="00357CEC">
            <w:pPr>
              <w:pStyle w:val="Default"/>
              <w:rPr>
                <w:sz w:val="22"/>
                <w:szCs w:val="22"/>
              </w:rPr>
            </w:pPr>
          </w:p>
          <w:p w14:paraId="10AD63F5" w14:textId="77777777" w:rsidR="00357CEC" w:rsidRPr="001300A9" w:rsidRDefault="00357CEC" w:rsidP="00357CEC">
            <w:pPr>
              <w:pStyle w:val="Default"/>
              <w:rPr>
                <w:sz w:val="22"/>
                <w:szCs w:val="22"/>
              </w:rPr>
            </w:pPr>
          </w:p>
          <w:p w14:paraId="66E06F90" w14:textId="77777777" w:rsidR="00357CEC" w:rsidRPr="001300A9" w:rsidRDefault="00357CEC" w:rsidP="00357CEC">
            <w:pPr>
              <w:pStyle w:val="Default"/>
              <w:rPr>
                <w:sz w:val="22"/>
                <w:szCs w:val="22"/>
              </w:rPr>
            </w:pPr>
          </w:p>
          <w:p w14:paraId="4B24E50B" w14:textId="77777777" w:rsidR="00357CEC" w:rsidRPr="001300A9" w:rsidRDefault="00357CEC" w:rsidP="00357CEC">
            <w:pPr>
              <w:pStyle w:val="Default"/>
              <w:rPr>
                <w:sz w:val="22"/>
                <w:szCs w:val="22"/>
              </w:rPr>
            </w:pPr>
          </w:p>
          <w:p w14:paraId="6173A8E4" w14:textId="77777777" w:rsidR="00357CEC" w:rsidRPr="001300A9" w:rsidRDefault="00357CEC" w:rsidP="00357CEC">
            <w:pPr>
              <w:pStyle w:val="Default"/>
              <w:rPr>
                <w:sz w:val="22"/>
                <w:szCs w:val="22"/>
              </w:rPr>
            </w:pPr>
          </w:p>
          <w:p w14:paraId="2D232120" w14:textId="77777777" w:rsidR="00357CEC" w:rsidRPr="001300A9" w:rsidRDefault="00357CEC" w:rsidP="00357CEC">
            <w:pPr>
              <w:pStyle w:val="Default"/>
              <w:rPr>
                <w:sz w:val="22"/>
                <w:szCs w:val="22"/>
              </w:rPr>
            </w:pPr>
          </w:p>
          <w:p w14:paraId="37BA8A7D" w14:textId="77777777" w:rsidR="00357CEC" w:rsidRPr="001300A9" w:rsidRDefault="00357CEC" w:rsidP="00357CEC">
            <w:pPr>
              <w:pStyle w:val="Default"/>
              <w:rPr>
                <w:sz w:val="22"/>
                <w:szCs w:val="22"/>
              </w:rPr>
            </w:pPr>
          </w:p>
          <w:p w14:paraId="0A5FAA4A" w14:textId="77777777" w:rsidR="00357CEC" w:rsidRPr="001300A9" w:rsidRDefault="00357CEC" w:rsidP="00357CEC">
            <w:pPr>
              <w:pStyle w:val="Default"/>
              <w:rPr>
                <w:sz w:val="22"/>
                <w:szCs w:val="22"/>
              </w:rPr>
            </w:pPr>
          </w:p>
          <w:p w14:paraId="13149A4C" w14:textId="77777777" w:rsidR="00357CEC" w:rsidRPr="001300A9" w:rsidRDefault="00357CEC" w:rsidP="00357CEC">
            <w:pPr>
              <w:pStyle w:val="Default"/>
              <w:rPr>
                <w:sz w:val="22"/>
                <w:szCs w:val="22"/>
              </w:rPr>
            </w:pPr>
          </w:p>
          <w:p w14:paraId="18701F0B" w14:textId="77777777" w:rsidR="00357CEC" w:rsidRPr="001300A9" w:rsidRDefault="00357CEC" w:rsidP="00357CEC">
            <w:pPr>
              <w:pStyle w:val="Default"/>
              <w:rPr>
                <w:sz w:val="22"/>
                <w:szCs w:val="22"/>
              </w:rPr>
            </w:pPr>
          </w:p>
          <w:p w14:paraId="20639CC6" w14:textId="77777777" w:rsidR="00357CEC" w:rsidRPr="001300A9" w:rsidRDefault="00357CEC" w:rsidP="00357CEC">
            <w:pPr>
              <w:pStyle w:val="Default"/>
              <w:rPr>
                <w:sz w:val="22"/>
                <w:szCs w:val="22"/>
              </w:rPr>
            </w:pPr>
          </w:p>
          <w:p w14:paraId="28821F1D" w14:textId="77777777" w:rsidR="00357CEC" w:rsidRPr="001300A9" w:rsidRDefault="00357CEC" w:rsidP="00357CEC">
            <w:pPr>
              <w:pStyle w:val="Default"/>
              <w:rPr>
                <w:sz w:val="22"/>
                <w:szCs w:val="22"/>
              </w:rPr>
            </w:pPr>
          </w:p>
          <w:p w14:paraId="22F06471" w14:textId="77777777" w:rsidR="00357CEC" w:rsidRPr="001300A9" w:rsidRDefault="00357CEC" w:rsidP="00357CEC">
            <w:pPr>
              <w:pStyle w:val="Default"/>
              <w:rPr>
                <w:sz w:val="22"/>
                <w:szCs w:val="22"/>
              </w:rPr>
            </w:pPr>
          </w:p>
          <w:p w14:paraId="7B4A12C5" w14:textId="77777777" w:rsidR="00357CEC" w:rsidRPr="001300A9" w:rsidRDefault="00357CEC" w:rsidP="00357CEC">
            <w:pPr>
              <w:pStyle w:val="Default"/>
              <w:rPr>
                <w:sz w:val="22"/>
                <w:szCs w:val="22"/>
              </w:rPr>
            </w:pPr>
          </w:p>
          <w:p w14:paraId="63BF19F5" w14:textId="77777777" w:rsidR="00357CEC" w:rsidRPr="001300A9" w:rsidRDefault="00357CEC" w:rsidP="00357CEC">
            <w:pPr>
              <w:pStyle w:val="Default"/>
              <w:rPr>
                <w:sz w:val="22"/>
                <w:szCs w:val="22"/>
              </w:rPr>
            </w:pPr>
          </w:p>
          <w:p w14:paraId="3553B8BA" w14:textId="77777777" w:rsidR="00357CEC" w:rsidRPr="001300A9" w:rsidRDefault="00357CEC" w:rsidP="00357CEC">
            <w:pPr>
              <w:pStyle w:val="Default"/>
              <w:rPr>
                <w:sz w:val="22"/>
                <w:szCs w:val="22"/>
              </w:rPr>
            </w:pPr>
          </w:p>
          <w:p w14:paraId="67E2808C" w14:textId="77777777" w:rsidR="00357CEC" w:rsidRPr="001300A9" w:rsidRDefault="00357CEC" w:rsidP="00357CEC">
            <w:pPr>
              <w:pStyle w:val="Default"/>
              <w:rPr>
                <w:sz w:val="22"/>
                <w:szCs w:val="22"/>
              </w:rPr>
            </w:pPr>
          </w:p>
          <w:p w14:paraId="776A77E9" w14:textId="77777777" w:rsidR="00357CEC" w:rsidRPr="001300A9" w:rsidRDefault="00357CEC" w:rsidP="00357CEC">
            <w:pPr>
              <w:pStyle w:val="Default"/>
              <w:rPr>
                <w:sz w:val="22"/>
                <w:szCs w:val="22"/>
              </w:rPr>
            </w:pPr>
          </w:p>
          <w:p w14:paraId="4A872BEA" w14:textId="77777777" w:rsidR="00357CEC" w:rsidRPr="001300A9" w:rsidRDefault="00357CEC" w:rsidP="00357CEC">
            <w:pPr>
              <w:pStyle w:val="Default"/>
              <w:rPr>
                <w:sz w:val="22"/>
                <w:szCs w:val="22"/>
              </w:rPr>
            </w:pPr>
          </w:p>
          <w:p w14:paraId="3EAC9D07" w14:textId="77777777" w:rsidR="00357CEC" w:rsidRPr="001300A9" w:rsidRDefault="00357CEC" w:rsidP="00357CEC">
            <w:pPr>
              <w:pStyle w:val="Default"/>
              <w:rPr>
                <w:sz w:val="22"/>
                <w:szCs w:val="22"/>
              </w:rPr>
            </w:pPr>
          </w:p>
          <w:p w14:paraId="7F10FA65" w14:textId="77777777" w:rsidR="00357CEC" w:rsidRPr="001300A9" w:rsidRDefault="00357CEC" w:rsidP="00357CEC">
            <w:pPr>
              <w:pStyle w:val="Default"/>
              <w:rPr>
                <w:sz w:val="22"/>
                <w:szCs w:val="22"/>
              </w:rPr>
            </w:pPr>
          </w:p>
          <w:p w14:paraId="4962E143" w14:textId="77777777" w:rsidR="00357CEC" w:rsidRPr="001300A9" w:rsidRDefault="00357CEC" w:rsidP="00357CEC">
            <w:pPr>
              <w:pStyle w:val="Default"/>
              <w:rPr>
                <w:sz w:val="22"/>
                <w:szCs w:val="22"/>
              </w:rPr>
            </w:pPr>
          </w:p>
          <w:p w14:paraId="7168A8D2" w14:textId="77777777" w:rsidR="00357CEC" w:rsidRPr="001300A9" w:rsidRDefault="00357CEC" w:rsidP="00357CEC">
            <w:pPr>
              <w:pStyle w:val="Default"/>
              <w:rPr>
                <w:sz w:val="22"/>
                <w:szCs w:val="22"/>
              </w:rPr>
            </w:pPr>
          </w:p>
          <w:p w14:paraId="57216631" w14:textId="77777777" w:rsidR="00357CEC" w:rsidRPr="001300A9" w:rsidRDefault="00357CEC" w:rsidP="00357CEC">
            <w:pPr>
              <w:pStyle w:val="Default"/>
              <w:rPr>
                <w:sz w:val="22"/>
                <w:szCs w:val="22"/>
              </w:rPr>
            </w:pPr>
          </w:p>
          <w:p w14:paraId="375A40D7" w14:textId="77777777" w:rsidR="00357CEC" w:rsidRPr="001300A9" w:rsidRDefault="00357CEC" w:rsidP="00357CEC">
            <w:pPr>
              <w:pStyle w:val="Default"/>
              <w:rPr>
                <w:sz w:val="22"/>
                <w:szCs w:val="22"/>
              </w:rPr>
            </w:pPr>
          </w:p>
          <w:p w14:paraId="1C76462F" w14:textId="77777777" w:rsidR="00357CEC" w:rsidRPr="001300A9" w:rsidRDefault="00357CEC" w:rsidP="00357CEC">
            <w:pPr>
              <w:pStyle w:val="Default"/>
              <w:rPr>
                <w:sz w:val="22"/>
                <w:szCs w:val="22"/>
              </w:rPr>
            </w:pPr>
          </w:p>
          <w:p w14:paraId="006F36E5" w14:textId="77777777" w:rsidR="00357CEC" w:rsidRPr="001300A9" w:rsidRDefault="00357CEC" w:rsidP="00357CEC">
            <w:pPr>
              <w:pStyle w:val="Default"/>
              <w:rPr>
                <w:sz w:val="22"/>
                <w:szCs w:val="22"/>
              </w:rPr>
            </w:pPr>
          </w:p>
          <w:p w14:paraId="45999D0C" w14:textId="77777777" w:rsidR="00357CEC" w:rsidRPr="001300A9" w:rsidRDefault="00357CEC" w:rsidP="00357CEC">
            <w:pPr>
              <w:pStyle w:val="Default"/>
              <w:rPr>
                <w:sz w:val="22"/>
                <w:szCs w:val="22"/>
              </w:rPr>
            </w:pPr>
          </w:p>
          <w:p w14:paraId="312AB57F" w14:textId="77777777" w:rsidR="00357CEC" w:rsidRPr="001300A9" w:rsidRDefault="00357CEC" w:rsidP="00357CEC">
            <w:pPr>
              <w:pStyle w:val="Default"/>
              <w:rPr>
                <w:sz w:val="22"/>
                <w:szCs w:val="22"/>
              </w:rPr>
            </w:pPr>
          </w:p>
          <w:p w14:paraId="4E8189CD" w14:textId="77777777" w:rsidR="00357CEC" w:rsidRPr="001300A9" w:rsidRDefault="00357CEC" w:rsidP="00357CEC">
            <w:pPr>
              <w:pStyle w:val="Default"/>
              <w:rPr>
                <w:sz w:val="22"/>
                <w:szCs w:val="22"/>
              </w:rPr>
            </w:pPr>
          </w:p>
          <w:p w14:paraId="6D0B19E6" w14:textId="622D4AA8" w:rsidR="00357CEC" w:rsidRPr="001300A9" w:rsidRDefault="00357CEC" w:rsidP="00357CEC">
            <w:pPr>
              <w:pStyle w:val="Default"/>
              <w:rPr>
                <w:sz w:val="22"/>
                <w:szCs w:val="22"/>
              </w:rPr>
            </w:pPr>
          </w:p>
          <w:p w14:paraId="7E9608B6" w14:textId="5CD92DB8" w:rsidR="00C2579D" w:rsidRPr="001300A9" w:rsidRDefault="00C2579D" w:rsidP="00357CEC">
            <w:pPr>
              <w:pStyle w:val="Default"/>
              <w:rPr>
                <w:sz w:val="22"/>
                <w:szCs w:val="22"/>
              </w:rPr>
            </w:pPr>
          </w:p>
          <w:p w14:paraId="12BBD293" w14:textId="4A8A0600" w:rsidR="00C2579D" w:rsidRPr="001300A9" w:rsidRDefault="00C2579D" w:rsidP="00357CEC">
            <w:pPr>
              <w:pStyle w:val="Default"/>
              <w:rPr>
                <w:sz w:val="22"/>
                <w:szCs w:val="22"/>
              </w:rPr>
            </w:pPr>
          </w:p>
          <w:p w14:paraId="2C151B79" w14:textId="40CBB2E5" w:rsidR="00C2579D" w:rsidRPr="001300A9" w:rsidRDefault="00C2579D" w:rsidP="00357CEC">
            <w:pPr>
              <w:pStyle w:val="Default"/>
              <w:rPr>
                <w:sz w:val="22"/>
                <w:szCs w:val="22"/>
              </w:rPr>
            </w:pPr>
          </w:p>
          <w:p w14:paraId="619ACF09" w14:textId="0B056FED" w:rsidR="00C2579D" w:rsidRPr="001300A9" w:rsidRDefault="00C2579D" w:rsidP="00357CEC">
            <w:pPr>
              <w:pStyle w:val="Default"/>
              <w:rPr>
                <w:sz w:val="22"/>
                <w:szCs w:val="22"/>
              </w:rPr>
            </w:pPr>
          </w:p>
          <w:p w14:paraId="6AA3A0E6" w14:textId="2260948A" w:rsidR="00C2579D" w:rsidRPr="001300A9" w:rsidRDefault="00C2579D" w:rsidP="00357CEC">
            <w:pPr>
              <w:pStyle w:val="Default"/>
              <w:rPr>
                <w:sz w:val="22"/>
                <w:szCs w:val="22"/>
              </w:rPr>
            </w:pPr>
          </w:p>
          <w:p w14:paraId="6E2F24B5" w14:textId="21A024E6" w:rsidR="00C2579D" w:rsidRPr="001300A9" w:rsidRDefault="00C2579D" w:rsidP="00357CEC">
            <w:pPr>
              <w:pStyle w:val="Default"/>
              <w:rPr>
                <w:sz w:val="22"/>
                <w:szCs w:val="22"/>
              </w:rPr>
            </w:pPr>
          </w:p>
          <w:p w14:paraId="17B449D3" w14:textId="7A80D4F4" w:rsidR="00C2579D" w:rsidRPr="001300A9" w:rsidRDefault="00C2579D" w:rsidP="00357CEC">
            <w:pPr>
              <w:pStyle w:val="Default"/>
              <w:rPr>
                <w:sz w:val="22"/>
                <w:szCs w:val="22"/>
              </w:rPr>
            </w:pPr>
          </w:p>
          <w:p w14:paraId="3B768269" w14:textId="4C75D407" w:rsidR="00C2579D" w:rsidRPr="001300A9" w:rsidRDefault="00C2579D" w:rsidP="00357CEC">
            <w:pPr>
              <w:pStyle w:val="Default"/>
              <w:rPr>
                <w:sz w:val="22"/>
                <w:szCs w:val="22"/>
              </w:rPr>
            </w:pPr>
          </w:p>
          <w:p w14:paraId="5F54013C" w14:textId="34C03BD4" w:rsidR="00C2579D" w:rsidRPr="001300A9" w:rsidRDefault="00C2579D" w:rsidP="00357CEC">
            <w:pPr>
              <w:pStyle w:val="Default"/>
              <w:rPr>
                <w:sz w:val="22"/>
                <w:szCs w:val="22"/>
              </w:rPr>
            </w:pPr>
          </w:p>
          <w:p w14:paraId="4DC41679" w14:textId="769EED5B" w:rsidR="00C2579D" w:rsidRPr="001300A9" w:rsidRDefault="00C2579D" w:rsidP="00357CEC">
            <w:pPr>
              <w:pStyle w:val="Default"/>
              <w:rPr>
                <w:sz w:val="22"/>
                <w:szCs w:val="22"/>
              </w:rPr>
            </w:pPr>
          </w:p>
          <w:p w14:paraId="4A04AE40" w14:textId="309DA032" w:rsidR="00C2579D" w:rsidRPr="001300A9" w:rsidRDefault="00C2579D" w:rsidP="00357CEC">
            <w:pPr>
              <w:pStyle w:val="Default"/>
              <w:rPr>
                <w:sz w:val="22"/>
                <w:szCs w:val="22"/>
              </w:rPr>
            </w:pPr>
          </w:p>
          <w:p w14:paraId="2A177AED" w14:textId="61D3AAFD" w:rsidR="00C2579D" w:rsidRPr="001300A9" w:rsidRDefault="00C2579D" w:rsidP="00357CEC">
            <w:pPr>
              <w:pStyle w:val="Default"/>
              <w:rPr>
                <w:sz w:val="22"/>
                <w:szCs w:val="22"/>
              </w:rPr>
            </w:pPr>
          </w:p>
          <w:p w14:paraId="1053A466" w14:textId="73D69386" w:rsidR="00C2579D" w:rsidRPr="001300A9" w:rsidRDefault="00C2579D" w:rsidP="00357CEC">
            <w:pPr>
              <w:pStyle w:val="Default"/>
              <w:rPr>
                <w:sz w:val="22"/>
                <w:szCs w:val="22"/>
              </w:rPr>
            </w:pPr>
          </w:p>
          <w:p w14:paraId="09E67DE9" w14:textId="6A78FB6E" w:rsidR="00C2579D" w:rsidRPr="001300A9" w:rsidRDefault="00C2579D" w:rsidP="00357CEC">
            <w:pPr>
              <w:pStyle w:val="Default"/>
              <w:rPr>
                <w:sz w:val="22"/>
                <w:szCs w:val="22"/>
              </w:rPr>
            </w:pPr>
          </w:p>
          <w:p w14:paraId="3E52961C" w14:textId="01558046" w:rsidR="00C2579D" w:rsidRPr="001300A9" w:rsidRDefault="00C2579D" w:rsidP="00357CEC">
            <w:pPr>
              <w:pStyle w:val="Default"/>
              <w:rPr>
                <w:sz w:val="22"/>
                <w:szCs w:val="22"/>
              </w:rPr>
            </w:pPr>
          </w:p>
          <w:p w14:paraId="4826B793" w14:textId="105D5A73" w:rsidR="00C2579D" w:rsidRPr="001300A9" w:rsidRDefault="00C2579D" w:rsidP="00357CEC">
            <w:pPr>
              <w:pStyle w:val="Default"/>
              <w:rPr>
                <w:sz w:val="22"/>
                <w:szCs w:val="22"/>
              </w:rPr>
            </w:pPr>
          </w:p>
          <w:p w14:paraId="686396C3" w14:textId="4F9B9E64" w:rsidR="00C2579D" w:rsidRPr="001300A9" w:rsidRDefault="00C2579D" w:rsidP="00357CEC">
            <w:pPr>
              <w:pStyle w:val="Default"/>
              <w:rPr>
                <w:sz w:val="22"/>
                <w:szCs w:val="22"/>
              </w:rPr>
            </w:pPr>
          </w:p>
          <w:p w14:paraId="20183D38" w14:textId="5CF14D7B" w:rsidR="00C2579D" w:rsidRPr="001300A9" w:rsidRDefault="00C2579D" w:rsidP="00357CEC">
            <w:pPr>
              <w:pStyle w:val="Default"/>
              <w:rPr>
                <w:sz w:val="22"/>
                <w:szCs w:val="22"/>
              </w:rPr>
            </w:pPr>
          </w:p>
          <w:p w14:paraId="3036541B" w14:textId="2F456348" w:rsidR="00C2579D" w:rsidRPr="001300A9" w:rsidRDefault="00C2579D" w:rsidP="00357CEC">
            <w:pPr>
              <w:pStyle w:val="Default"/>
              <w:rPr>
                <w:sz w:val="22"/>
                <w:szCs w:val="22"/>
              </w:rPr>
            </w:pPr>
          </w:p>
          <w:p w14:paraId="13FE81F9" w14:textId="25CCE581" w:rsidR="00C2579D" w:rsidRPr="001300A9" w:rsidRDefault="00C2579D" w:rsidP="00357CEC">
            <w:pPr>
              <w:pStyle w:val="Default"/>
              <w:rPr>
                <w:sz w:val="22"/>
                <w:szCs w:val="22"/>
              </w:rPr>
            </w:pPr>
          </w:p>
          <w:p w14:paraId="408D5A9C" w14:textId="09D9D6DC" w:rsidR="00C2579D" w:rsidRPr="001300A9" w:rsidRDefault="00C2579D" w:rsidP="00357CEC">
            <w:pPr>
              <w:pStyle w:val="Default"/>
              <w:rPr>
                <w:sz w:val="22"/>
                <w:szCs w:val="22"/>
              </w:rPr>
            </w:pPr>
          </w:p>
          <w:p w14:paraId="051474A4" w14:textId="7CCB6C53" w:rsidR="00C2579D" w:rsidRPr="001300A9" w:rsidRDefault="00C2579D" w:rsidP="00357CEC">
            <w:pPr>
              <w:pStyle w:val="Default"/>
              <w:rPr>
                <w:sz w:val="22"/>
                <w:szCs w:val="22"/>
              </w:rPr>
            </w:pPr>
          </w:p>
          <w:p w14:paraId="2307A790" w14:textId="77B3F914" w:rsidR="00C2579D" w:rsidRPr="001300A9" w:rsidRDefault="00C2579D" w:rsidP="00357CEC">
            <w:pPr>
              <w:pStyle w:val="Default"/>
              <w:rPr>
                <w:sz w:val="22"/>
                <w:szCs w:val="22"/>
              </w:rPr>
            </w:pPr>
          </w:p>
          <w:p w14:paraId="4E677631" w14:textId="722E0E70" w:rsidR="00C2579D" w:rsidRPr="001300A9" w:rsidRDefault="00C2579D" w:rsidP="00357CEC">
            <w:pPr>
              <w:pStyle w:val="Default"/>
              <w:rPr>
                <w:sz w:val="22"/>
                <w:szCs w:val="22"/>
              </w:rPr>
            </w:pPr>
          </w:p>
          <w:p w14:paraId="6BECDA51" w14:textId="78804A89" w:rsidR="00C2579D" w:rsidRPr="001300A9" w:rsidRDefault="00C2579D" w:rsidP="00357CEC">
            <w:pPr>
              <w:pStyle w:val="Default"/>
              <w:rPr>
                <w:sz w:val="22"/>
                <w:szCs w:val="22"/>
              </w:rPr>
            </w:pPr>
          </w:p>
          <w:p w14:paraId="6CB8665F" w14:textId="793C4D69" w:rsidR="00C2579D" w:rsidRPr="001300A9" w:rsidRDefault="00C2579D" w:rsidP="00357CEC">
            <w:pPr>
              <w:pStyle w:val="Default"/>
              <w:rPr>
                <w:sz w:val="22"/>
                <w:szCs w:val="22"/>
              </w:rPr>
            </w:pPr>
          </w:p>
          <w:p w14:paraId="19729B93" w14:textId="5CC71591" w:rsidR="00C2579D" w:rsidRPr="001300A9" w:rsidRDefault="00C2579D" w:rsidP="00357CEC">
            <w:pPr>
              <w:pStyle w:val="Default"/>
              <w:rPr>
                <w:sz w:val="22"/>
                <w:szCs w:val="22"/>
              </w:rPr>
            </w:pPr>
          </w:p>
          <w:p w14:paraId="5C933A3C" w14:textId="172DF27B" w:rsidR="00C2579D" w:rsidRPr="001300A9" w:rsidRDefault="00C2579D" w:rsidP="00357CEC">
            <w:pPr>
              <w:pStyle w:val="Default"/>
              <w:rPr>
                <w:sz w:val="22"/>
                <w:szCs w:val="22"/>
              </w:rPr>
            </w:pPr>
          </w:p>
          <w:p w14:paraId="58BC14A0" w14:textId="427023F4" w:rsidR="00C2579D" w:rsidRPr="001300A9" w:rsidRDefault="00C2579D" w:rsidP="00357CEC">
            <w:pPr>
              <w:pStyle w:val="Default"/>
              <w:rPr>
                <w:sz w:val="22"/>
                <w:szCs w:val="22"/>
              </w:rPr>
            </w:pPr>
          </w:p>
          <w:p w14:paraId="63201BB5" w14:textId="61D3E750" w:rsidR="00C2579D" w:rsidRPr="001300A9" w:rsidRDefault="00C2579D" w:rsidP="00357CEC">
            <w:pPr>
              <w:pStyle w:val="Default"/>
              <w:rPr>
                <w:sz w:val="22"/>
                <w:szCs w:val="22"/>
              </w:rPr>
            </w:pPr>
          </w:p>
          <w:p w14:paraId="195DCBDF" w14:textId="3E62DB64" w:rsidR="00C2579D" w:rsidRPr="001300A9" w:rsidRDefault="00C2579D" w:rsidP="00357CEC">
            <w:pPr>
              <w:pStyle w:val="Default"/>
              <w:rPr>
                <w:sz w:val="22"/>
                <w:szCs w:val="22"/>
              </w:rPr>
            </w:pPr>
          </w:p>
          <w:p w14:paraId="718759B3" w14:textId="70892814" w:rsidR="00C2579D" w:rsidRPr="001300A9" w:rsidRDefault="00C2579D" w:rsidP="00357CEC">
            <w:pPr>
              <w:pStyle w:val="Default"/>
              <w:rPr>
                <w:sz w:val="22"/>
                <w:szCs w:val="22"/>
              </w:rPr>
            </w:pPr>
          </w:p>
          <w:p w14:paraId="58D37170" w14:textId="42B3BE5D" w:rsidR="00C2579D" w:rsidRPr="001300A9" w:rsidRDefault="00C2579D" w:rsidP="00357CEC">
            <w:pPr>
              <w:pStyle w:val="Default"/>
              <w:rPr>
                <w:sz w:val="22"/>
                <w:szCs w:val="22"/>
              </w:rPr>
            </w:pPr>
          </w:p>
          <w:p w14:paraId="049AC61D" w14:textId="40AEEF39" w:rsidR="00C2579D" w:rsidRPr="001300A9" w:rsidRDefault="00C2579D" w:rsidP="00357CEC">
            <w:pPr>
              <w:pStyle w:val="Default"/>
              <w:rPr>
                <w:sz w:val="22"/>
                <w:szCs w:val="22"/>
              </w:rPr>
            </w:pPr>
          </w:p>
          <w:p w14:paraId="121C2963" w14:textId="5D6C7FF9" w:rsidR="00C2579D" w:rsidRPr="001300A9" w:rsidRDefault="00C2579D" w:rsidP="00357CEC">
            <w:pPr>
              <w:pStyle w:val="Default"/>
              <w:rPr>
                <w:sz w:val="22"/>
                <w:szCs w:val="22"/>
              </w:rPr>
            </w:pPr>
          </w:p>
          <w:p w14:paraId="26765876" w14:textId="252C7B03" w:rsidR="00C2579D" w:rsidRPr="001300A9" w:rsidRDefault="00C2579D" w:rsidP="00357CEC">
            <w:pPr>
              <w:pStyle w:val="Default"/>
              <w:rPr>
                <w:sz w:val="22"/>
                <w:szCs w:val="22"/>
              </w:rPr>
            </w:pPr>
          </w:p>
          <w:p w14:paraId="3677FB41" w14:textId="33EECC4C" w:rsidR="00C2579D" w:rsidRPr="001300A9" w:rsidRDefault="00C2579D" w:rsidP="00357CEC">
            <w:pPr>
              <w:pStyle w:val="Default"/>
              <w:rPr>
                <w:sz w:val="22"/>
                <w:szCs w:val="22"/>
              </w:rPr>
            </w:pPr>
          </w:p>
          <w:p w14:paraId="6B2057B9" w14:textId="52D2456C" w:rsidR="00C2579D" w:rsidRPr="001300A9" w:rsidRDefault="00C2579D" w:rsidP="00357CEC">
            <w:pPr>
              <w:pStyle w:val="Default"/>
              <w:rPr>
                <w:sz w:val="22"/>
                <w:szCs w:val="22"/>
              </w:rPr>
            </w:pPr>
          </w:p>
          <w:p w14:paraId="67BE2BC1" w14:textId="05A17E0F" w:rsidR="00C2579D" w:rsidRPr="001300A9" w:rsidRDefault="00C2579D" w:rsidP="00357CEC">
            <w:pPr>
              <w:pStyle w:val="Default"/>
              <w:rPr>
                <w:sz w:val="22"/>
                <w:szCs w:val="22"/>
              </w:rPr>
            </w:pPr>
          </w:p>
          <w:p w14:paraId="1F6DAAFE" w14:textId="4D4585D3" w:rsidR="00C2579D" w:rsidRPr="001300A9" w:rsidRDefault="00C2579D" w:rsidP="00357CEC">
            <w:pPr>
              <w:pStyle w:val="Default"/>
              <w:rPr>
                <w:sz w:val="22"/>
                <w:szCs w:val="22"/>
              </w:rPr>
            </w:pPr>
          </w:p>
          <w:p w14:paraId="7F2BC84A" w14:textId="4DAFBA84" w:rsidR="00C2579D" w:rsidRPr="001300A9" w:rsidRDefault="00C2579D" w:rsidP="00357CEC">
            <w:pPr>
              <w:pStyle w:val="Default"/>
              <w:rPr>
                <w:sz w:val="22"/>
                <w:szCs w:val="22"/>
              </w:rPr>
            </w:pPr>
          </w:p>
          <w:p w14:paraId="699328B3" w14:textId="4D8D578F" w:rsidR="00C2579D" w:rsidRPr="001300A9" w:rsidRDefault="00C2579D" w:rsidP="00357CEC">
            <w:pPr>
              <w:pStyle w:val="Default"/>
              <w:rPr>
                <w:sz w:val="22"/>
                <w:szCs w:val="22"/>
              </w:rPr>
            </w:pPr>
          </w:p>
          <w:p w14:paraId="4264DE71" w14:textId="32B6788F" w:rsidR="00C2579D" w:rsidRPr="001300A9" w:rsidRDefault="00C2579D" w:rsidP="00357CEC">
            <w:pPr>
              <w:pStyle w:val="Default"/>
              <w:rPr>
                <w:sz w:val="22"/>
                <w:szCs w:val="22"/>
              </w:rPr>
            </w:pPr>
          </w:p>
          <w:p w14:paraId="1D3BC1D2" w14:textId="18874DCA" w:rsidR="00C2579D" w:rsidRPr="001300A9" w:rsidRDefault="00C2579D" w:rsidP="00357CEC">
            <w:pPr>
              <w:pStyle w:val="Default"/>
              <w:rPr>
                <w:sz w:val="22"/>
                <w:szCs w:val="22"/>
              </w:rPr>
            </w:pPr>
          </w:p>
          <w:p w14:paraId="19BFF036" w14:textId="736F1970" w:rsidR="00C2579D" w:rsidRPr="001300A9" w:rsidRDefault="00C2579D" w:rsidP="00357CEC">
            <w:pPr>
              <w:pStyle w:val="Default"/>
              <w:rPr>
                <w:sz w:val="22"/>
                <w:szCs w:val="22"/>
              </w:rPr>
            </w:pPr>
          </w:p>
          <w:p w14:paraId="082FC504" w14:textId="2BA5F083" w:rsidR="00C2579D" w:rsidRPr="001300A9" w:rsidRDefault="00C2579D" w:rsidP="00357CEC">
            <w:pPr>
              <w:pStyle w:val="Default"/>
              <w:rPr>
                <w:sz w:val="22"/>
                <w:szCs w:val="22"/>
              </w:rPr>
            </w:pPr>
          </w:p>
          <w:p w14:paraId="1808A510" w14:textId="1EB117A1" w:rsidR="00C2579D" w:rsidRPr="001300A9" w:rsidRDefault="00C2579D" w:rsidP="00357CEC">
            <w:pPr>
              <w:pStyle w:val="Default"/>
              <w:rPr>
                <w:sz w:val="22"/>
                <w:szCs w:val="22"/>
              </w:rPr>
            </w:pPr>
          </w:p>
          <w:p w14:paraId="0AE4338A" w14:textId="6F99E383" w:rsidR="00C2579D" w:rsidRPr="001300A9" w:rsidRDefault="00C2579D" w:rsidP="00357CEC">
            <w:pPr>
              <w:pStyle w:val="Default"/>
              <w:rPr>
                <w:sz w:val="22"/>
                <w:szCs w:val="22"/>
              </w:rPr>
            </w:pPr>
          </w:p>
          <w:p w14:paraId="7DBA0322" w14:textId="64173AF1" w:rsidR="00C2579D" w:rsidRPr="001300A9" w:rsidRDefault="00C2579D" w:rsidP="00357CEC">
            <w:pPr>
              <w:pStyle w:val="Default"/>
              <w:rPr>
                <w:sz w:val="22"/>
                <w:szCs w:val="22"/>
              </w:rPr>
            </w:pPr>
          </w:p>
          <w:p w14:paraId="6A3D18AC" w14:textId="44E8789E" w:rsidR="00C2579D" w:rsidRPr="001300A9" w:rsidRDefault="00C2579D" w:rsidP="00357CEC">
            <w:pPr>
              <w:pStyle w:val="Default"/>
              <w:rPr>
                <w:sz w:val="22"/>
                <w:szCs w:val="22"/>
              </w:rPr>
            </w:pPr>
          </w:p>
          <w:p w14:paraId="719BD49C" w14:textId="02386780" w:rsidR="00C2579D" w:rsidRPr="001300A9" w:rsidRDefault="00C2579D" w:rsidP="00357CEC">
            <w:pPr>
              <w:pStyle w:val="Default"/>
              <w:rPr>
                <w:sz w:val="22"/>
                <w:szCs w:val="22"/>
              </w:rPr>
            </w:pPr>
          </w:p>
          <w:p w14:paraId="5DED765A" w14:textId="77777777" w:rsidR="00357CEC" w:rsidRPr="001300A9" w:rsidRDefault="00357CEC" w:rsidP="00357CEC">
            <w:pPr>
              <w:pStyle w:val="Default"/>
              <w:rPr>
                <w:sz w:val="22"/>
                <w:szCs w:val="22"/>
              </w:rPr>
            </w:pPr>
          </w:p>
          <w:p w14:paraId="79E246D0" w14:textId="77777777" w:rsidR="00357CEC" w:rsidRPr="001300A9" w:rsidRDefault="00357CEC" w:rsidP="00357CEC">
            <w:pPr>
              <w:pStyle w:val="Default"/>
              <w:rPr>
                <w:sz w:val="22"/>
                <w:szCs w:val="22"/>
              </w:rPr>
            </w:pPr>
          </w:p>
          <w:p w14:paraId="2266B371" w14:textId="3BD3CDB5" w:rsidR="00E26731" w:rsidRPr="001300A9" w:rsidRDefault="00E26731" w:rsidP="00357CEC">
            <w:pPr>
              <w:pStyle w:val="Default"/>
              <w:rPr>
                <w:sz w:val="22"/>
                <w:szCs w:val="22"/>
              </w:rPr>
            </w:pPr>
          </w:p>
          <w:p w14:paraId="51DA6A0E" w14:textId="77777777" w:rsidR="004E1026" w:rsidRDefault="004E1026" w:rsidP="00357CEC">
            <w:pPr>
              <w:pStyle w:val="Default"/>
              <w:rPr>
                <w:sz w:val="22"/>
                <w:szCs w:val="22"/>
              </w:rPr>
            </w:pPr>
          </w:p>
          <w:p w14:paraId="45DB90A5" w14:textId="77777777" w:rsidR="004E1026" w:rsidRDefault="004E1026" w:rsidP="00357CEC">
            <w:pPr>
              <w:pStyle w:val="Default"/>
              <w:rPr>
                <w:sz w:val="22"/>
                <w:szCs w:val="22"/>
              </w:rPr>
            </w:pPr>
          </w:p>
          <w:p w14:paraId="67211A62" w14:textId="77777777" w:rsidR="0082715B" w:rsidRDefault="0082715B" w:rsidP="00357CEC">
            <w:pPr>
              <w:pStyle w:val="Default"/>
              <w:rPr>
                <w:sz w:val="22"/>
                <w:szCs w:val="22"/>
              </w:rPr>
            </w:pPr>
          </w:p>
          <w:p w14:paraId="2985A97B" w14:textId="77777777" w:rsidR="009D0AA1" w:rsidRDefault="009D0AA1" w:rsidP="00357CEC">
            <w:pPr>
              <w:pStyle w:val="Default"/>
              <w:rPr>
                <w:sz w:val="22"/>
                <w:szCs w:val="22"/>
              </w:rPr>
            </w:pPr>
          </w:p>
          <w:p w14:paraId="3BFECD14" w14:textId="6BF14BE8" w:rsidR="5F673433" w:rsidRDefault="5F673433" w:rsidP="5F673433">
            <w:pPr>
              <w:pStyle w:val="Default"/>
              <w:rPr>
                <w:sz w:val="22"/>
                <w:szCs w:val="22"/>
              </w:rPr>
            </w:pPr>
          </w:p>
          <w:p w14:paraId="5E42CBE7" w14:textId="39DA9BFA" w:rsidR="5F673433" w:rsidRDefault="5F673433" w:rsidP="5F673433">
            <w:pPr>
              <w:pStyle w:val="Default"/>
              <w:rPr>
                <w:sz w:val="22"/>
                <w:szCs w:val="22"/>
              </w:rPr>
            </w:pPr>
          </w:p>
          <w:p w14:paraId="4E507B91" w14:textId="4EBFA765" w:rsidR="00357CEC" w:rsidRPr="001300A9" w:rsidRDefault="00357CEC" w:rsidP="00357CEC">
            <w:pPr>
              <w:pStyle w:val="Default"/>
              <w:rPr>
                <w:sz w:val="22"/>
                <w:szCs w:val="22"/>
              </w:rPr>
            </w:pPr>
            <w:r w:rsidRPr="001300A9">
              <w:rPr>
                <w:sz w:val="22"/>
                <w:szCs w:val="22"/>
              </w:rPr>
              <w:t>N</w:t>
            </w:r>
          </w:p>
          <w:p w14:paraId="00A14B3D" w14:textId="77777777" w:rsidR="00357CEC" w:rsidRPr="001300A9" w:rsidRDefault="00357CEC" w:rsidP="00357CEC">
            <w:pPr>
              <w:pStyle w:val="Default"/>
              <w:rPr>
                <w:sz w:val="22"/>
                <w:szCs w:val="22"/>
              </w:rPr>
            </w:pPr>
          </w:p>
          <w:p w14:paraId="46D0034E" w14:textId="77777777" w:rsidR="00357CEC" w:rsidRPr="001300A9" w:rsidRDefault="00357CEC" w:rsidP="00357CEC">
            <w:pPr>
              <w:pStyle w:val="Default"/>
              <w:rPr>
                <w:sz w:val="22"/>
                <w:szCs w:val="22"/>
              </w:rPr>
            </w:pPr>
          </w:p>
          <w:p w14:paraId="351B9E41" w14:textId="77777777" w:rsidR="00357CEC" w:rsidRPr="001300A9" w:rsidRDefault="00357CEC" w:rsidP="00357CEC">
            <w:pPr>
              <w:pStyle w:val="Default"/>
              <w:rPr>
                <w:sz w:val="22"/>
                <w:szCs w:val="22"/>
              </w:rPr>
            </w:pPr>
          </w:p>
          <w:p w14:paraId="7F92FD86" w14:textId="77777777" w:rsidR="00357CEC" w:rsidRPr="001300A9" w:rsidRDefault="00357CEC" w:rsidP="00357CEC">
            <w:pPr>
              <w:pStyle w:val="Default"/>
              <w:rPr>
                <w:sz w:val="22"/>
                <w:szCs w:val="22"/>
              </w:rPr>
            </w:pPr>
          </w:p>
          <w:p w14:paraId="4514FCAF" w14:textId="77777777" w:rsidR="00357CEC" w:rsidRPr="001300A9" w:rsidRDefault="00357CEC" w:rsidP="00357CEC">
            <w:pPr>
              <w:pStyle w:val="Default"/>
              <w:rPr>
                <w:sz w:val="22"/>
                <w:szCs w:val="22"/>
              </w:rPr>
            </w:pPr>
          </w:p>
          <w:p w14:paraId="512E9AEB" w14:textId="77777777" w:rsidR="00357CEC" w:rsidRPr="001300A9" w:rsidRDefault="00357CEC" w:rsidP="00357CEC">
            <w:pPr>
              <w:pStyle w:val="Default"/>
              <w:rPr>
                <w:sz w:val="22"/>
                <w:szCs w:val="22"/>
              </w:rPr>
            </w:pPr>
          </w:p>
          <w:p w14:paraId="03F9FEF1" w14:textId="3AB2AB4A" w:rsidR="00357CEC" w:rsidRPr="001300A9" w:rsidRDefault="00357CEC" w:rsidP="00357CEC">
            <w:pPr>
              <w:pStyle w:val="Default"/>
              <w:rPr>
                <w:sz w:val="22"/>
                <w:szCs w:val="22"/>
              </w:rPr>
            </w:pPr>
          </w:p>
          <w:p w14:paraId="6F1C5C80" w14:textId="11D456F9" w:rsidR="00357CEC" w:rsidRPr="001300A9" w:rsidRDefault="00357CEC" w:rsidP="00357CEC">
            <w:pPr>
              <w:pStyle w:val="Default"/>
              <w:rPr>
                <w:sz w:val="22"/>
                <w:szCs w:val="22"/>
              </w:rPr>
            </w:pPr>
          </w:p>
          <w:p w14:paraId="1A193B57" w14:textId="55064AE0" w:rsidR="0077369F" w:rsidRPr="001300A9" w:rsidRDefault="0077369F" w:rsidP="00357CEC">
            <w:pPr>
              <w:pStyle w:val="Default"/>
              <w:rPr>
                <w:sz w:val="22"/>
                <w:szCs w:val="22"/>
              </w:rPr>
            </w:pPr>
          </w:p>
          <w:p w14:paraId="6D735E25" w14:textId="7DEFAB6C" w:rsidR="0077369F" w:rsidRPr="001300A9" w:rsidRDefault="0077369F" w:rsidP="00357CEC">
            <w:pPr>
              <w:pStyle w:val="Default"/>
              <w:rPr>
                <w:sz w:val="22"/>
                <w:szCs w:val="22"/>
              </w:rPr>
            </w:pPr>
          </w:p>
          <w:p w14:paraId="6E904358" w14:textId="2F748393" w:rsidR="0077369F" w:rsidRPr="001300A9" w:rsidRDefault="0077369F" w:rsidP="00357CEC">
            <w:pPr>
              <w:pStyle w:val="Default"/>
              <w:rPr>
                <w:sz w:val="22"/>
                <w:szCs w:val="22"/>
              </w:rPr>
            </w:pPr>
          </w:p>
          <w:p w14:paraId="23E87AF1" w14:textId="28C12F8B" w:rsidR="0077369F" w:rsidRPr="001300A9" w:rsidRDefault="0077369F" w:rsidP="00357CEC">
            <w:pPr>
              <w:pStyle w:val="Default"/>
              <w:rPr>
                <w:sz w:val="22"/>
                <w:szCs w:val="22"/>
              </w:rPr>
            </w:pPr>
          </w:p>
          <w:p w14:paraId="16499F9F" w14:textId="217D4C1D" w:rsidR="0077369F" w:rsidRPr="001300A9" w:rsidRDefault="0077369F" w:rsidP="00357CEC">
            <w:pPr>
              <w:pStyle w:val="Default"/>
              <w:rPr>
                <w:sz w:val="22"/>
                <w:szCs w:val="22"/>
              </w:rPr>
            </w:pPr>
          </w:p>
          <w:p w14:paraId="5EDDB499" w14:textId="7A663708" w:rsidR="0077369F" w:rsidRPr="001300A9" w:rsidRDefault="0077369F" w:rsidP="00357CEC">
            <w:pPr>
              <w:pStyle w:val="Default"/>
              <w:rPr>
                <w:sz w:val="22"/>
                <w:szCs w:val="22"/>
              </w:rPr>
            </w:pPr>
          </w:p>
          <w:p w14:paraId="3E5A2BDC" w14:textId="77777777" w:rsidR="0077369F" w:rsidRPr="001300A9" w:rsidRDefault="0077369F" w:rsidP="00357CEC">
            <w:pPr>
              <w:pStyle w:val="Default"/>
              <w:rPr>
                <w:sz w:val="22"/>
                <w:szCs w:val="22"/>
              </w:rPr>
            </w:pPr>
          </w:p>
          <w:p w14:paraId="2E15A019" w14:textId="77777777" w:rsidR="00357CEC" w:rsidRPr="001300A9" w:rsidRDefault="00357CEC" w:rsidP="00357CEC">
            <w:pPr>
              <w:pStyle w:val="Default"/>
              <w:rPr>
                <w:sz w:val="22"/>
                <w:szCs w:val="22"/>
              </w:rPr>
            </w:pPr>
          </w:p>
          <w:p w14:paraId="5D663E59" w14:textId="77777777" w:rsidR="0027466A" w:rsidRPr="001300A9" w:rsidRDefault="0027466A" w:rsidP="00357CEC">
            <w:pPr>
              <w:pStyle w:val="Default"/>
              <w:rPr>
                <w:sz w:val="22"/>
                <w:szCs w:val="22"/>
              </w:rPr>
            </w:pPr>
          </w:p>
          <w:p w14:paraId="0E6C8C4E" w14:textId="77777777" w:rsidR="0006236A" w:rsidRDefault="0006236A" w:rsidP="00357CEC">
            <w:pPr>
              <w:pStyle w:val="Default"/>
              <w:rPr>
                <w:sz w:val="22"/>
                <w:szCs w:val="22"/>
              </w:rPr>
            </w:pPr>
          </w:p>
          <w:p w14:paraId="7C47409E" w14:textId="77777777" w:rsidR="0006236A" w:rsidRDefault="0006236A" w:rsidP="00357CEC">
            <w:pPr>
              <w:pStyle w:val="Default"/>
              <w:rPr>
                <w:sz w:val="22"/>
                <w:szCs w:val="22"/>
              </w:rPr>
            </w:pPr>
          </w:p>
          <w:p w14:paraId="5921EA00" w14:textId="77777777" w:rsidR="0006236A" w:rsidRDefault="0006236A" w:rsidP="00357CEC">
            <w:pPr>
              <w:pStyle w:val="Default"/>
              <w:rPr>
                <w:sz w:val="22"/>
                <w:szCs w:val="22"/>
              </w:rPr>
            </w:pPr>
          </w:p>
          <w:p w14:paraId="7256B9F0" w14:textId="77777777" w:rsidR="0006236A" w:rsidRDefault="0006236A" w:rsidP="00357CEC">
            <w:pPr>
              <w:pStyle w:val="Default"/>
              <w:rPr>
                <w:sz w:val="22"/>
                <w:szCs w:val="22"/>
              </w:rPr>
            </w:pPr>
          </w:p>
          <w:p w14:paraId="69F9BA37" w14:textId="77777777" w:rsidR="009D0AA1" w:rsidRDefault="009D0AA1" w:rsidP="00357CEC">
            <w:pPr>
              <w:pStyle w:val="Default"/>
              <w:rPr>
                <w:sz w:val="22"/>
                <w:szCs w:val="22"/>
              </w:rPr>
            </w:pPr>
          </w:p>
          <w:p w14:paraId="758417E1" w14:textId="54D3AB12" w:rsidR="007E112E" w:rsidRDefault="007E112E" w:rsidP="00357CEC">
            <w:pPr>
              <w:pStyle w:val="Default"/>
              <w:rPr>
                <w:sz w:val="22"/>
                <w:szCs w:val="22"/>
              </w:rPr>
            </w:pPr>
          </w:p>
          <w:p w14:paraId="0EABB3D4" w14:textId="32CFD3B6" w:rsidR="00357CEC" w:rsidRPr="001300A9" w:rsidRDefault="00357CEC" w:rsidP="00357CEC">
            <w:pPr>
              <w:pStyle w:val="Default"/>
              <w:rPr>
                <w:sz w:val="22"/>
                <w:szCs w:val="22"/>
              </w:rPr>
            </w:pPr>
            <w:r w:rsidRPr="001300A9">
              <w:rPr>
                <w:sz w:val="22"/>
                <w:szCs w:val="22"/>
              </w:rPr>
              <w:t>N</w:t>
            </w:r>
          </w:p>
          <w:p w14:paraId="6B8ED99A" w14:textId="77777777" w:rsidR="00357CEC" w:rsidRPr="001300A9" w:rsidRDefault="00357CEC" w:rsidP="00357CEC">
            <w:pPr>
              <w:pStyle w:val="Default"/>
              <w:rPr>
                <w:sz w:val="22"/>
                <w:szCs w:val="22"/>
              </w:rPr>
            </w:pPr>
          </w:p>
          <w:p w14:paraId="5DAAFB9C" w14:textId="77777777" w:rsidR="00357CEC" w:rsidRPr="001300A9" w:rsidRDefault="00357CEC" w:rsidP="00357CEC">
            <w:pPr>
              <w:pStyle w:val="Default"/>
              <w:rPr>
                <w:sz w:val="22"/>
                <w:szCs w:val="22"/>
              </w:rPr>
            </w:pPr>
          </w:p>
          <w:p w14:paraId="0107EBEB" w14:textId="77777777" w:rsidR="000331E4" w:rsidRPr="001300A9" w:rsidRDefault="000331E4" w:rsidP="00357CEC">
            <w:pPr>
              <w:pStyle w:val="Default"/>
              <w:rPr>
                <w:sz w:val="22"/>
                <w:szCs w:val="22"/>
              </w:rPr>
            </w:pPr>
          </w:p>
          <w:p w14:paraId="172FC2AD" w14:textId="77777777" w:rsidR="000331E4" w:rsidRPr="001300A9" w:rsidRDefault="000331E4" w:rsidP="00357CEC">
            <w:pPr>
              <w:pStyle w:val="Default"/>
              <w:rPr>
                <w:sz w:val="22"/>
                <w:szCs w:val="22"/>
              </w:rPr>
            </w:pPr>
          </w:p>
          <w:p w14:paraId="6C6A97EA" w14:textId="77777777" w:rsidR="000331E4" w:rsidRPr="001300A9" w:rsidRDefault="000331E4" w:rsidP="00357CEC">
            <w:pPr>
              <w:pStyle w:val="Default"/>
              <w:rPr>
                <w:sz w:val="22"/>
                <w:szCs w:val="22"/>
              </w:rPr>
            </w:pPr>
          </w:p>
          <w:p w14:paraId="1857F42D" w14:textId="77777777" w:rsidR="000331E4" w:rsidRDefault="000331E4" w:rsidP="00357CEC">
            <w:pPr>
              <w:pStyle w:val="Default"/>
              <w:rPr>
                <w:sz w:val="22"/>
                <w:szCs w:val="22"/>
              </w:rPr>
            </w:pPr>
          </w:p>
          <w:p w14:paraId="2CF82C66" w14:textId="38961D59" w:rsidR="007E112E" w:rsidRDefault="007E112E" w:rsidP="00357CEC">
            <w:pPr>
              <w:pStyle w:val="Default"/>
              <w:rPr>
                <w:sz w:val="22"/>
                <w:szCs w:val="22"/>
              </w:rPr>
            </w:pPr>
          </w:p>
          <w:p w14:paraId="71F0AEAE" w14:textId="18733BBF" w:rsidR="007E112E" w:rsidRDefault="007E112E" w:rsidP="00357CEC">
            <w:pPr>
              <w:pStyle w:val="Default"/>
              <w:rPr>
                <w:sz w:val="22"/>
                <w:szCs w:val="22"/>
              </w:rPr>
            </w:pPr>
          </w:p>
          <w:p w14:paraId="60B1F5FF" w14:textId="43586378" w:rsidR="000331E4" w:rsidRPr="001300A9" w:rsidRDefault="000331E4" w:rsidP="00357CEC">
            <w:pPr>
              <w:pStyle w:val="Default"/>
              <w:rPr>
                <w:sz w:val="22"/>
                <w:szCs w:val="22"/>
              </w:rPr>
            </w:pPr>
          </w:p>
          <w:p w14:paraId="67DA6590" w14:textId="47A7D800" w:rsidR="00357CEC" w:rsidRPr="001300A9" w:rsidRDefault="00357CEC" w:rsidP="000331E4">
            <w:pPr>
              <w:pStyle w:val="Default"/>
              <w:rPr>
                <w:sz w:val="22"/>
                <w:szCs w:val="22"/>
              </w:rPr>
            </w:pPr>
            <w:r w:rsidRPr="001300A9">
              <w:rPr>
                <w:sz w:val="22"/>
                <w:szCs w:val="22"/>
              </w:rPr>
              <w:t xml:space="preserve">N </w:t>
            </w:r>
          </w:p>
          <w:p w14:paraId="669482DC" w14:textId="6A6D17BF" w:rsidR="000331E4" w:rsidRPr="001300A9" w:rsidRDefault="000331E4" w:rsidP="000331E4">
            <w:pPr>
              <w:pStyle w:val="Default"/>
              <w:rPr>
                <w:sz w:val="22"/>
                <w:szCs w:val="22"/>
              </w:rPr>
            </w:pPr>
          </w:p>
          <w:p w14:paraId="7634F4D1" w14:textId="68A0EE7C" w:rsidR="000331E4" w:rsidRPr="001300A9" w:rsidRDefault="000331E4" w:rsidP="000331E4">
            <w:pPr>
              <w:pStyle w:val="Default"/>
              <w:rPr>
                <w:sz w:val="22"/>
                <w:szCs w:val="22"/>
              </w:rPr>
            </w:pPr>
          </w:p>
          <w:p w14:paraId="00E9EEEE" w14:textId="297FD8CF" w:rsidR="000331E4" w:rsidRPr="001300A9" w:rsidRDefault="000331E4" w:rsidP="000331E4">
            <w:pPr>
              <w:pStyle w:val="Default"/>
              <w:rPr>
                <w:sz w:val="22"/>
                <w:szCs w:val="22"/>
              </w:rPr>
            </w:pPr>
          </w:p>
          <w:p w14:paraId="28AD4775" w14:textId="77777777" w:rsidR="000331E4" w:rsidRPr="001300A9" w:rsidRDefault="000331E4" w:rsidP="000331E4">
            <w:pPr>
              <w:pStyle w:val="Default"/>
              <w:rPr>
                <w:sz w:val="22"/>
                <w:szCs w:val="22"/>
              </w:rPr>
            </w:pPr>
          </w:p>
          <w:p w14:paraId="407740DF" w14:textId="77777777" w:rsidR="00357CEC" w:rsidRPr="001300A9" w:rsidRDefault="00357CEC" w:rsidP="00357CEC">
            <w:pPr>
              <w:pStyle w:val="Default"/>
              <w:rPr>
                <w:sz w:val="22"/>
                <w:szCs w:val="22"/>
              </w:rPr>
            </w:pPr>
          </w:p>
          <w:p w14:paraId="3A0072A5" w14:textId="33536D56" w:rsidR="00357CEC" w:rsidRPr="001300A9" w:rsidRDefault="00357CEC" w:rsidP="00357CEC">
            <w:pPr>
              <w:pStyle w:val="Default"/>
              <w:rPr>
                <w:sz w:val="22"/>
                <w:szCs w:val="22"/>
              </w:rPr>
            </w:pPr>
          </w:p>
          <w:p w14:paraId="3E3AF04B" w14:textId="77777777" w:rsidR="00357CEC" w:rsidRPr="001300A9" w:rsidRDefault="00357CEC" w:rsidP="00357CEC">
            <w:pPr>
              <w:pStyle w:val="Default"/>
              <w:rPr>
                <w:sz w:val="22"/>
                <w:szCs w:val="22"/>
              </w:rPr>
            </w:pPr>
          </w:p>
          <w:p w14:paraId="13D8D2AD" w14:textId="3E8D2965" w:rsidR="5F673433" w:rsidRDefault="5F673433" w:rsidP="5F673433">
            <w:pPr>
              <w:pStyle w:val="Default"/>
              <w:rPr>
                <w:sz w:val="22"/>
                <w:szCs w:val="22"/>
              </w:rPr>
            </w:pPr>
          </w:p>
          <w:p w14:paraId="6FBD1D3B" w14:textId="1DB35E9C" w:rsidR="5F673433" w:rsidRDefault="5F673433" w:rsidP="5F673433">
            <w:pPr>
              <w:pStyle w:val="Default"/>
              <w:rPr>
                <w:sz w:val="22"/>
                <w:szCs w:val="22"/>
              </w:rPr>
            </w:pPr>
          </w:p>
          <w:p w14:paraId="4031B82B" w14:textId="44A6080F" w:rsidR="5F673433" w:rsidRDefault="5F673433" w:rsidP="5F673433">
            <w:pPr>
              <w:pStyle w:val="Default"/>
              <w:rPr>
                <w:sz w:val="22"/>
                <w:szCs w:val="22"/>
              </w:rPr>
            </w:pPr>
          </w:p>
          <w:p w14:paraId="6A1993EC" w14:textId="4CEAE49C" w:rsidR="5F673433" w:rsidRDefault="5F673433" w:rsidP="5F673433">
            <w:pPr>
              <w:pStyle w:val="Default"/>
              <w:rPr>
                <w:sz w:val="22"/>
                <w:szCs w:val="22"/>
              </w:rPr>
            </w:pPr>
          </w:p>
          <w:p w14:paraId="35C58E62" w14:textId="714FCB38" w:rsidR="5F673433" w:rsidRDefault="5F673433" w:rsidP="5F673433">
            <w:pPr>
              <w:pStyle w:val="Default"/>
              <w:rPr>
                <w:sz w:val="22"/>
                <w:szCs w:val="22"/>
              </w:rPr>
            </w:pPr>
          </w:p>
          <w:p w14:paraId="02F039FC" w14:textId="61ABCAE6" w:rsidR="5F673433" w:rsidRDefault="5F673433" w:rsidP="5F673433">
            <w:pPr>
              <w:pStyle w:val="Default"/>
              <w:rPr>
                <w:sz w:val="22"/>
                <w:szCs w:val="22"/>
              </w:rPr>
            </w:pPr>
          </w:p>
          <w:p w14:paraId="65162D03" w14:textId="690A6293" w:rsidR="5F673433" w:rsidRDefault="5F673433" w:rsidP="5F673433">
            <w:pPr>
              <w:pStyle w:val="Default"/>
              <w:rPr>
                <w:sz w:val="22"/>
                <w:szCs w:val="22"/>
              </w:rPr>
            </w:pPr>
          </w:p>
          <w:p w14:paraId="5BD1F9C4" w14:textId="62F7B087" w:rsidR="5F673433" w:rsidRDefault="5F673433" w:rsidP="5F673433">
            <w:pPr>
              <w:pStyle w:val="Default"/>
              <w:rPr>
                <w:sz w:val="22"/>
                <w:szCs w:val="22"/>
              </w:rPr>
            </w:pPr>
          </w:p>
          <w:p w14:paraId="6F66C1B3" w14:textId="0320E5B8" w:rsidR="5F673433" w:rsidRDefault="5F673433" w:rsidP="5F673433">
            <w:pPr>
              <w:pStyle w:val="Default"/>
              <w:rPr>
                <w:sz w:val="22"/>
                <w:szCs w:val="22"/>
              </w:rPr>
            </w:pPr>
          </w:p>
          <w:p w14:paraId="76214A9B" w14:textId="13FADDB6" w:rsidR="00357CEC" w:rsidRPr="001300A9" w:rsidRDefault="007E112E" w:rsidP="00357CEC">
            <w:pPr>
              <w:pStyle w:val="Default"/>
              <w:rPr>
                <w:sz w:val="22"/>
                <w:szCs w:val="22"/>
              </w:rPr>
            </w:pPr>
            <w:r>
              <w:rPr>
                <w:sz w:val="22"/>
                <w:szCs w:val="22"/>
              </w:rPr>
              <w:t>N</w:t>
            </w:r>
          </w:p>
          <w:p w14:paraId="76380295" w14:textId="77777777" w:rsidR="00357CEC" w:rsidRPr="001300A9" w:rsidRDefault="00357CEC" w:rsidP="00357CEC">
            <w:pPr>
              <w:pStyle w:val="Default"/>
              <w:rPr>
                <w:sz w:val="22"/>
                <w:szCs w:val="22"/>
              </w:rPr>
            </w:pPr>
          </w:p>
          <w:p w14:paraId="5DC80C15" w14:textId="77777777" w:rsidR="00357CEC" w:rsidRPr="001300A9" w:rsidRDefault="00357CEC" w:rsidP="00357CEC">
            <w:pPr>
              <w:pStyle w:val="Default"/>
              <w:rPr>
                <w:sz w:val="22"/>
                <w:szCs w:val="22"/>
              </w:rPr>
            </w:pPr>
          </w:p>
          <w:p w14:paraId="5E846881" w14:textId="77777777" w:rsidR="00357CEC" w:rsidRPr="001300A9" w:rsidRDefault="00357CEC" w:rsidP="00357CEC">
            <w:pPr>
              <w:pStyle w:val="Default"/>
              <w:rPr>
                <w:sz w:val="22"/>
                <w:szCs w:val="22"/>
              </w:rPr>
            </w:pPr>
          </w:p>
          <w:p w14:paraId="18AA05C4" w14:textId="77777777" w:rsidR="00357CEC" w:rsidRPr="001300A9" w:rsidRDefault="00357CEC" w:rsidP="00357CEC">
            <w:pPr>
              <w:pStyle w:val="Default"/>
              <w:rPr>
                <w:sz w:val="22"/>
                <w:szCs w:val="22"/>
              </w:rPr>
            </w:pPr>
          </w:p>
          <w:p w14:paraId="4DABEF11" w14:textId="36DFBCC9" w:rsidR="00357CEC" w:rsidRPr="001300A9" w:rsidRDefault="00357CEC" w:rsidP="00357CEC">
            <w:pPr>
              <w:pStyle w:val="Default"/>
              <w:rPr>
                <w:sz w:val="22"/>
                <w:szCs w:val="22"/>
              </w:rPr>
            </w:pPr>
          </w:p>
          <w:p w14:paraId="57FF4839" w14:textId="77777777" w:rsidR="00357CEC" w:rsidRPr="001300A9" w:rsidRDefault="00357CEC" w:rsidP="00357CEC">
            <w:pPr>
              <w:pStyle w:val="Default"/>
              <w:rPr>
                <w:sz w:val="22"/>
                <w:szCs w:val="22"/>
              </w:rPr>
            </w:pPr>
          </w:p>
          <w:p w14:paraId="7782A5DE" w14:textId="77777777" w:rsidR="00357CEC" w:rsidRPr="001300A9" w:rsidRDefault="00357CEC" w:rsidP="00357CEC">
            <w:pPr>
              <w:pStyle w:val="Default"/>
              <w:rPr>
                <w:sz w:val="22"/>
                <w:szCs w:val="22"/>
              </w:rPr>
            </w:pPr>
          </w:p>
          <w:p w14:paraId="6BAD3EDE" w14:textId="7A04513B" w:rsidR="00357CEC" w:rsidRPr="001300A9" w:rsidRDefault="00357CEC" w:rsidP="00357CEC">
            <w:pPr>
              <w:pStyle w:val="Default"/>
              <w:rPr>
                <w:sz w:val="22"/>
                <w:szCs w:val="22"/>
              </w:rPr>
            </w:pPr>
          </w:p>
          <w:p w14:paraId="0AA0C08B" w14:textId="77777777" w:rsidR="009D0AA1" w:rsidRDefault="009D0AA1" w:rsidP="00357CEC">
            <w:pPr>
              <w:pStyle w:val="Default"/>
              <w:rPr>
                <w:sz w:val="22"/>
                <w:szCs w:val="22"/>
              </w:rPr>
            </w:pPr>
          </w:p>
          <w:p w14:paraId="7051BBB6" w14:textId="418A32C0" w:rsidR="00357CEC" w:rsidRPr="001300A9" w:rsidRDefault="00357CEC" w:rsidP="00357CEC">
            <w:pPr>
              <w:pStyle w:val="Default"/>
              <w:rPr>
                <w:sz w:val="22"/>
                <w:szCs w:val="22"/>
              </w:rPr>
            </w:pPr>
          </w:p>
          <w:p w14:paraId="0A9B3912" w14:textId="77777777" w:rsidR="00357CEC" w:rsidRPr="001300A9" w:rsidRDefault="00357CEC" w:rsidP="00357CEC">
            <w:pPr>
              <w:pStyle w:val="Default"/>
              <w:rPr>
                <w:sz w:val="22"/>
                <w:szCs w:val="22"/>
              </w:rPr>
            </w:pPr>
          </w:p>
          <w:p w14:paraId="7FE91611" w14:textId="1D48A64A" w:rsidR="00357CEC" w:rsidRPr="001300A9" w:rsidRDefault="00357CEC" w:rsidP="00357CEC">
            <w:pPr>
              <w:pStyle w:val="Default"/>
              <w:rPr>
                <w:sz w:val="22"/>
                <w:szCs w:val="22"/>
              </w:rPr>
            </w:pPr>
          </w:p>
          <w:p w14:paraId="2C0082A9" w14:textId="77777777" w:rsidR="00357CEC" w:rsidRPr="001300A9" w:rsidRDefault="00357CEC" w:rsidP="00357CEC">
            <w:pPr>
              <w:pStyle w:val="Default"/>
              <w:rPr>
                <w:sz w:val="22"/>
                <w:szCs w:val="22"/>
              </w:rPr>
            </w:pPr>
          </w:p>
          <w:p w14:paraId="0D75354D" w14:textId="46727E82" w:rsidR="00357CEC" w:rsidRPr="001300A9" w:rsidRDefault="00357CEC" w:rsidP="00357CEC">
            <w:pPr>
              <w:pStyle w:val="Default"/>
              <w:rPr>
                <w:sz w:val="22"/>
                <w:szCs w:val="22"/>
              </w:rPr>
            </w:pPr>
          </w:p>
          <w:p w14:paraId="49828D15" w14:textId="59C60334" w:rsidR="5F673433" w:rsidRDefault="5F673433" w:rsidP="5F673433">
            <w:pPr>
              <w:pStyle w:val="Default"/>
              <w:rPr>
                <w:sz w:val="22"/>
                <w:szCs w:val="22"/>
              </w:rPr>
            </w:pPr>
          </w:p>
          <w:p w14:paraId="53E645DD" w14:textId="47A66E37" w:rsidR="5F673433" w:rsidRDefault="5F673433" w:rsidP="5F673433">
            <w:pPr>
              <w:pStyle w:val="Default"/>
              <w:rPr>
                <w:sz w:val="22"/>
                <w:szCs w:val="22"/>
              </w:rPr>
            </w:pPr>
          </w:p>
          <w:p w14:paraId="0DF3936E" w14:textId="38F479C6" w:rsidR="5F673433" w:rsidRDefault="5F673433" w:rsidP="5F673433">
            <w:pPr>
              <w:pStyle w:val="Default"/>
              <w:rPr>
                <w:sz w:val="22"/>
                <w:szCs w:val="22"/>
              </w:rPr>
            </w:pPr>
          </w:p>
          <w:p w14:paraId="6F8E5F1D" w14:textId="4EB5DD7E" w:rsidR="5F673433" w:rsidRDefault="5F673433" w:rsidP="5F673433">
            <w:pPr>
              <w:pStyle w:val="Default"/>
              <w:rPr>
                <w:sz w:val="22"/>
                <w:szCs w:val="22"/>
              </w:rPr>
            </w:pPr>
          </w:p>
          <w:p w14:paraId="648A729C" w14:textId="2943A19C" w:rsidR="00357CEC" w:rsidRPr="001300A9" w:rsidRDefault="0078131C" w:rsidP="00357CEC">
            <w:pPr>
              <w:pStyle w:val="Default"/>
              <w:rPr>
                <w:sz w:val="22"/>
                <w:szCs w:val="22"/>
              </w:rPr>
            </w:pPr>
            <w:proofErr w:type="spellStart"/>
            <w:r w:rsidRPr="001300A9">
              <w:rPr>
                <w:sz w:val="22"/>
                <w:szCs w:val="22"/>
              </w:rPr>
              <w:t>n.a</w:t>
            </w:r>
            <w:proofErr w:type="spellEnd"/>
            <w:r w:rsidRPr="001300A9">
              <w:rPr>
                <w:sz w:val="22"/>
                <w:szCs w:val="22"/>
              </w:rPr>
              <w:t>.</w:t>
            </w:r>
          </w:p>
          <w:p w14:paraId="2E5BA7E2" w14:textId="77777777" w:rsidR="00357CEC" w:rsidRPr="001300A9" w:rsidRDefault="00357CEC" w:rsidP="00357CEC">
            <w:pPr>
              <w:pStyle w:val="Default"/>
              <w:rPr>
                <w:sz w:val="22"/>
                <w:szCs w:val="22"/>
              </w:rPr>
            </w:pPr>
          </w:p>
          <w:p w14:paraId="135B0BD0" w14:textId="690C1F9F" w:rsidR="00357CEC" w:rsidRPr="001300A9" w:rsidRDefault="00357CEC" w:rsidP="00357CEC">
            <w:pPr>
              <w:pStyle w:val="Default"/>
              <w:rPr>
                <w:sz w:val="22"/>
                <w:szCs w:val="22"/>
              </w:rPr>
            </w:pPr>
          </w:p>
          <w:p w14:paraId="26E0E349" w14:textId="77777777" w:rsidR="00357CEC" w:rsidRPr="001300A9" w:rsidRDefault="00357CEC" w:rsidP="00357CEC">
            <w:pPr>
              <w:pStyle w:val="Default"/>
              <w:rPr>
                <w:sz w:val="22"/>
                <w:szCs w:val="22"/>
              </w:rPr>
            </w:pPr>
          </w:p>
          <w:p w14:paraId="1C7C2E41" w14:textId="77777777" w:rsidR="00357CEC" w:rsidRPr="001300A9" w:rsidRDefault="00357CEC" w:rsidP="00357CEC">
            <w:pPr>
              <w:pStyle w:val="Default"/>
              <w:rPr>
                <w:sz w:val="22"/>
                <w:szCs w:val="22"/>
              </w:rPr>
            </w:pPr>
          </w:p>
          <w:p w14:paraId="63073912" w14:textId="77777777" w:rsidR="00357CEC" w:rsidRPr="001300A9" w:rsidRDefault="00357CEC" w:rsidP="00357CEC">
            <w:pPr>
              <w:pStyle w:val="Default"/>
              <w:rPr>
                <w:sz w:val="22"/>
                <w:szCs w:val="22"/>
              </w:rPr>
            </w:pPr>
          </w:p>
          <w:p w14:paraId="27254FFE" w14:textId="77777777" w:rsidR="00357CEC" w:rsidRPr="001300A9" w:rsidRDefault="00357CEC" w:rsidP="00357CEC">
            <w:pPr>
              <w:pStyle w:val="Default"/>
              <w:rPr>
                <w:sz w:val="22"/>
                <w:szCs w:val="22"/>
              </w:rPr>
            </w:pPr>
          </w:p>
          <w:p w14:paraId="5D7A7EB1" w14:textId="77777777" w:rsidR="00357CEC" w:rsidRPr="001300A9" w:rsidRDefault="00357CEC" w:rsidP="00357CEC">
            <w:pPr>
              <w:pStyle w:val="Default"/>
              <w:rPr>
                <w:sz w:val="22"/>
                <w:szCs w:val="22"/>
              </w:rPr>
            </w:pPr>
          </w:p>
          <w:p w14:paraId="3F5B27B7" w14:textId="77777777" w:rsidR="00357CEC" w:rsidRPr="001300A9" w:rsidRDefault="00357CEC" w:rsidP="00357CEC">
            <w:pPr>
              <w:pStyle w:val="Default"/>
              <w:rPr>
                <w:sz w:val="22"/>
                <w:szCs w:val="22"/>
              </w:rPr>
            </w:pPr>
          </w:p>
          <w:p w14:paraId="1430C2D9" w14:textId="77777777" w:rsidR="00357CEC" w:rsidRPr="001300A9" w:rsidRDefault="00357CEC" w:rsidP="00357CEC">
            <w:pPr>
              <w:pStyle w:val="Default"/>
              <w:rPr>
                <w:sz w:val="22"/>
                <w:szCs w:val="22"/>
              </w:rPr>
            </w:pPr>
          </w:p>
          <w:p w14:paraId="2DAFAE90" w14:textId="77777777" w:rsidR="00357CEC" w:rsidRPr="001300A9" w:rsidRDefault="00357CEC" w:rsidP="00357CEC">
            <w:pPr>
              <w:pStyle w:val="Default"/>
              <w:rPr>
                <w:sz w:val="22"/>
                <w:szCs w:val="22"/>
              </w:rPr>
            </w:pPr>
          </w:p>
          <w:p w14:paraId="47C898D6" w14:textId="77777777" w:rsidR="00357CEC" w:rsidRPr="001300A9" w:rsidRDefault="00357CEC" w:rsidP="00357CEC">
            <w:pPr>
              <w:pStyle w:val="Default"/>
              <w:rPr>
                <w:sz w:val="22"/>
                <w:szCs w:val="22"/>
              </w:rPr>
            </w:pPr>
          </w:p>
          <w:p w14:paraId="759C315D" w14:textId="77777777" w:rsidR="00357CEC" w:rsidRPr="001300A9" w:rsidRDefault="00357CEC" w:rsidP="00357CEC">
            <w:pPr>
              <w:pStyle w:val="Default"/>
              <w:rPr>
                <w:sz w:val="22"/>
                <w:szCs w:val="22"/>
              </w:rPr>
            </w:pPr>
          </w:p>
          <w:p w14:paraId="041EC502" w14:textId="77777777" w:rsidR="00357CEC" w:rsidRPr="001300A9" w:rsidRDefault="00357CEC" w:rsidP="00357CEC">
            <w:pPr>
              <w:pStyle w:val="Default"/>
              <w:rPr>
                <w:sz w:val="22"/>
                <w:szCs w:val="22"/>
              </w:rPr>
            </w:pPr>
          </w:p>
          <w:p w14:paraId="2B7899E5" w14:textId="77777777" w:rsidR="00357CEC" w:rsidRPr="001300A9" w:rsidRDefault="00357CEC" w:rsidP="00357CEC">
            <w:pPr>
              <w:pStyle w:val="Default"/>
              <w:rPr>
                <w:sz w:val="22"/>
                <w:szCs w:val="22"/>
              </w:rPr>
            </w:pPr>
          </w:p>
          <w:p w14:paraId="4CB4BA8F" w14:textId="77777777" w:rsidR="00357CEC" w:rsidRPr="001300A9" w:rsidRDefault="00357CEC" w:rsidP="00357CEC">
            <w:pPr>
              <w:pStyle w:val="Default"/>
              <w:rPr>
                <w:sz w:val="22"/>
                <w:szCs w:val="22"/>
              </w:rPr>
            </w:pPr>
          </w:p>
          <w:p w14:paraId="4C65EE05" w14:textId="77777777" w:rsidR="00357CEC" w:rsidRPr="001300A9" w:rsidRDefault="00357CEC" w:rsidP="00357CEC">
            <w:pPr>
              <w:pStyle w:val="Default"/>
              <w:rPr>
                <w:sz w:val="22"/>
                <w:szCs w:val="22"/>
              </w:rPr>
            </w:pPr>
          </w:p>
          <w:p w14:paraId="7D690922" w14:textId="77777777" w:rsidR="00357CEC" w:rsidRPr="001300A9" w:rsidRDefault="00357CEC" w:rsidP="00357CEC">
            <w:pPr>
              <w:pStyle w:val="Default"/>
              <w:rPr>
                <w:sz w:val="22"/>
                <w:szCs w:val="22"/>
              </w:rPr>
            </w:pPr>
          </w:p>
          <w:p w14:paraId="41905CF4" w14:textId="77777777" w:rsidR="00357CEC" w:rsidRPr="001300A9" w:rsidRDefault="00357CEC" w:rsidP="00357CEC">
            <w:pPr>
              <w:pStyle w:val="Default"/>
              <w:rPr>
                <w:sz w:val="22"/>
                <w:szCs w:val="22"/>
              </w:rPr>
            </w:pPr>
          </w:p>
          <w:p w14:paraId="5A4AE35E" w14:textId="77777777" w:rsidR="00357CEC" w:rsidRPr="001300A9" w:rsidRDefault="00357CEC" w:rsidP="00357CEC">
            <w:pPr>
              <w:pStyle w:val="Default"/>
              <w:rPr>
                <w:sz w:val="22"/>
                <w:szCs w:val="22"/>
              </w:rPr>
            </w:pPr>
          </w:p>
          <w:p w14:paraId="0601681E" w14:textId="77777777" w:rsidR="00357CEC" w:rsidRPr="001300A9" w:rsidRDefault="00357CEC" w:rsidP="00357CEC">
            <w:pPr>
              <w:pStyle w:val="Default"/>
              <w:rPr>
                <w:sz w:val="22"/>
                <w:szCs w:val="22"/>
              </w:rPr>
            </w:pPr>
          </w:p>
          <w:p w14:paraId="4BBAC35D" w14:textId="0C9B4288" w:rsidR="00357CEC" w:rsidRPr="001300A9" w:rsidRDefault="02947609" w:rsidP="00357CEC">
            <w:pPr>
              <w:pStyle w:val="Default"/>
              <w:rPr>
                <w:sz w:val="22"/>
                <w:szCs w:val="22"/>
              </w:rPr>
            </w:pPr>
            <w:proofErr w:type="spellStart"/>
            <w:r w:rsidRPr="5F673433">
              <w:rPr>
                <w:sz w:val="22"/>
                <w:szCs w:val="22"/>
              </w:rPr>
              <w:t>n.a</w:t>
            </w:r>
            <w:proofErr w:type="spellEnd"/>
            <w:r w:rsidRPr="5F673433">
              <w:rPr>
                <w:sz w:val="22"/>
                <w:szCs w:val="22"/>
              </w:rPr>
              <w:t>.</w:t>
            </w:r>
          </w:p>
          <w:p w14:paraId="56E5ACD6" w14:textId="77777777" w:rsidR="00357CEC" w:rsidRPr="001300A9" w:rsidRDefault="00357CEC" w:rsidP="00357CEC">
            <w:pPr>
              <w:pStyle w:val="Default"/>
              <w:rPr>
                <w:sz w:val="22"/>
                <w:szCs w:val="22"/>
              </w:rPr>
            </w:pPr>
          </w:p>
          <w:p w14:paraId="442476B7" w14:textId="77777777" w:rsidR="00357CEC" w:rsidRPr="001300A9" w:rsidRDefault="00357CEC" w:rsidP="00357CEC">
            <w:pPr>
              <w:pStyle w:val="Default"/>
              <w:rPr>
                <w:sz w:val="22"/>
                <w:szCs w:val="22"/>
              </w:rPr>
            </w:pPr>
          </w:p>
          <w:p w14:paraId="45EB36AD" w14:textId="77777777" w:rsidR="00357CEC" w:rsidRPr="001300A9" w:rsidRDefault="00357CEC" w:rsidP="00357CEC">
            <w:pPr>
              <w:pStyle w:val="Default"/>
              <w:rPr>
                <w:sz w:val="22"/>
                <w:szCs w:val="22"/>
              </w:rPr>
            </w:pPr>
          </w:p>
          <w:p w14:paraId="6B9D6FC6" w14:textId="77777777" w:rsidR="00357CEC" w:rsidRPr="001300A9" w:rsidRDefault="00357CEC" w:rsidP="00357CEC">
            <w:pPr>
              <w:pStyle w:val="Default"/>
              <w:rPr>
                <w:sz w:val="22"/>
                <w:szCs w:val="22"/>
              </w:rPr>
            </w:pPr>
          </w:p>
          <w:p w14:paraId="11D5F279" w14:textId="77777777" w:rsidR="00357CEC" w:rsidRPr="001300A9" w:rsidRDefault="00357CEC" w:rsidP="00357CEC">
            <w:pPr>
              <w:pStyle w:val="Default"/>
              <w:rPr>
                <w:sz w:val="22"/>
                <w:szCs w:val="22"/>
              </w:rPr>
            </w:pPr>
          </w:p>
          <w:p w14:paraId="57C3C307" w14:textId="77777777" w:rsidR="00357CEC" w:rsidRPr="001300A9" w:rsidRDefault="00357CEC" w:rsidP="00357CEC">
            <w:pPr>
              <w:pStyle w:val="Default"/>
              <w:rPr>
                <w:sz w:val="22"/>
                <w:szCs w:val="22"/>
              </w:rPr>
            </w:pPr>
          </w:p>
          <w:p w14:paraId="6C215982" w14:textId="49BC5897" w:rsidR="0061075E" w:rsidRDefault="0061075E" w:rsidP="00357CEC">
            <w:pPr>
              <w:pStyle w:val="Default"/>
              <w:rPr>
                <w:sz w:val="22"/>
                <w:szCs w:val="22"/>
              </w:rPr>
            </w:pPr>
          </w:p>
          <w:p w14:paraId="155ABA81" w14:textId="7C0F2592" w:rsidR="00357CEC" w:rsidRPr="001300A9" w:rsidRDefault="0078131C" w:rsidP="00357CEC">
            <w:pPr>
              <w:pStyle w:val="Default"/>
              <w:rPr>
                <w:sz w:val="22"/>
                <w:szCs w:val="22"/>
              </w:rPr>
            </w:pPr>
            <w:r w:rsidRPr="001300A9">
              <w:rPr>
                <w:sz w:val="22"/>
                <w:szCs w:val="22"/>
              </w:rPr>
              <w:t>N</w:t>
            </w:r>
          </w:p>
          <w:p w14:paraId="54B1A308" w14:textId="77777777" w:rsidR="00357CEC" w:rsidRPr="001300A9" w:rsidRDefault="00357CEC" w:rsidP="00357CEC">
            <w:pPr>
              <w:pStyle w:val="Default"/>
              <w:rPr>
                <w:sz w:val="22"/>
                <w:szCs w:val="22"/>
              </w:rPr>
            </w:pPr>
          </w:p>
          <w:p w14:paraId="3DC83E47" w14:textId="77777777" w:rsidR="00357CEC" w:rsidRPr="001300A9" w:rsidRDefault="00357CEC" w:rsidP="00357CEC">
            <w:pPr>
              <w:pStyle w:val="Default"/>
              <w:rPr>
                <w:sz w:val="22"/>
                <w:szCs w:val="22"/>
              </w:rPr>
            </w:pPr>
          </w:p>
          <w:p w14:paraId="4609F180" w14:textId="77777777" w:rsidR="00357CEC" w:rsidRPr="001300A9" w:rsidRDefault="00357CEC" w:rsidP="00357CEC">
            <w:pPr>
              <w:pStyle w:val="Default"/>
              <w:rPr>
                <w:sz w:val="22"/>
                <w:szCs w:val="22"/>
              </w:rPr>
            </w:pPr>
          </w:p>
          <w:p w14:paraId="06828ED3" w14:textId="77777777" w:rsidR="00357CEC" w:rsidRPr="001300A9" w:rsidRDefault="00357CEC" w:rsidP="00357CEC">
            <w:pPr>
              <w:pStyle w:val="Default"/>
              <w:rPr>
                <w:sz w:val="22"/>
                <w:szCs w:val="22"/>
              </w:rPr>
            </w:pPr>
          </w:p>
          <w:p w14:paraId="59ADE787" w14:textId="77777777" w:rsidR="00357CEC" w:rsidRPr="001300A9" w:rsidRDefault="00357CEC" w:rsidP="00357CEC">
            <w:pPr>
              <w:pStyle w:val="Default"/>
              <w:rPr>
                <w:sz w:val="22"/>
                <w:szCs w:val="22"/>
              </w:rPr>
            </w:pPr>
          </w:p>
          <w:p w14:paraId="7F980CB1" w14:textId="77777777" w:rsidR="00357CEC" w:rsidRPr="001300A9" w:rsidRDefault="00357CEC" w:rsidP="00357CEC">
            <w:pPr>
              <w:pStyle w:val="Default"/>
              <w:rPr>
                <w:sz w:val="22"/>
                <w:szCs w:val="22"/>
              </w:rPr>
            </w:pPr>
          </w:p>
          <w:p w14:paraId="072BDCAA" w14:textId="77777777" w:rsidR="00357CEC" w:rsidRPr="001300A9" w:rsidRDefault="00357CEC" w:rsidP="00357CEC">
            <w:pPr>
              <w:pStyle w:val="Default"/>
              <w:rPr>
                <w:sz w:val="22"/>
                <w:szCs w:val="22"/>
              </w:rPr>
            </w:pPr>
          </w:p>
          <w:p w14:paraId="47503D8F" w14:textId="77777777" w:rsidR="00357CEC" w:rsidRPr="001300A9" w:rsidRDefault="00357CEC" w:rsidP="00357CEC">
            <w:pPr>
              <w:pStyle w:val="Default"/>
              <w:rPr>
                <w:sz w:val="22"/>
                <w:szCs w:val="22"/>
              </w:rPr>
            </w:pPr>
          </w:p>
          <w:p w14:paraId="6C566A31" w14:textId="77777777" w:rsidR="00357CEC" w:rsidRPr="001300A9" w:rsidRDefault="00357CEC" w:rsidP="00357CEC">
            <w:pPr>
              <w:pStyle w:val="Default"/>
              <w:rPr>
                <w:sz w:val="22"/>
                <w:szCs w:val="22"/>
              </w:rPr>
            </w:pPr>
          </w:p>
          <w:p w14:paraId="4A34D26F" w14:textId="77777777" w:rsidR="00357CEC" w:rsidRPr="001300A9" w:rsidRDefault="00357CEC" w:rsidP="00357CEC">
            <w:pPr>
              <w:pStyle w:val="Default"/>
              <w:rPr>
                <w:sz w:val="22"/>
                <w:szCs w:val="22"/>
              </w:rPr>
            </w:pPr>
          </w:p>
          <w:p w14:paraId="6779D73F" w14:textId="77777777" w:rsidR="00357CEC" w:rsidRPr="001300A9" w:rsidRDefault="00357CEC" w:rsidP="00357CEC">
            <w:pPr>
              <w:pStyle w:val="Default"/>
              <w:rPr>
                <w:sz w:val="22"/>
                <w:szCs w:val="22"/>
              </w:rPr>
            </w:pPr>
          </w:p>
          <w:p w14:paraId="48436D71" w14:textId="77777777" w:rsidR="00357CEC" w:rsidRPr="001300A9" w:rsidRDefault="00357CEC" w:rsidP="00357CEC">
            <w:pPr>
              <w:pStyle w:val="Default"/>
              <w:rPr>
                <w:sz w:val="22"/>
                <w:szCs w:val="22"/>
              </w:rPr>
            </w:pPr>
          </w:p>
          <w:p w14:paraId="3AF458A7" w14:textId="77777777" w:rsidR="00357CEC" w:rsidRPr="001300A9" w:rsidRDefault="00357CEC" w:rsidP="00357CEC">
            <w:pPr>
              <w:pStyle w:val="Default"/>
              <w:rPr>
                <w:sz w:val="22"/>
                <w:szCs w:val="22"/>
              </w:rPr>
            </w:pPr>
          </w:p>
          <w:p w14:paraId="6C3ED88E" w14:textId="77777777" w:rsidR="00357CEC" w:rsidRPr="001300A9" w:rsidRDefault="00357CEC" w:rsidP="00357CEC">
            <w:pPr>
              <w:pStyle w:val="Default"/>
              <w:rPr>
                <w:sz w:val="22"/>
                <w:szCs w:val="22"/>
              </w:rPr>
            </w:pPr>
          </w:p>
          <w:p w14:paraId="22941900" w14:textId="68F99B31" w:rsidR="00357CEC" w:rsidRPr="001300A9" w:rsidRDefault="00357CEC" w:rsidP="00357CEC">
            <w:pPr>
              <w:pStyle w:val="Default"/>
              <w:rPr>
                <w:sz w:val="22"/>
                <w:szCs w:val="22"/>
              </w:rPr>
            </w:pPr>
          </w:p>
          <w:p w14:paraId="4AC38CA1" w14:textId="4AF6D08F" w:rsidR="0031368F" w:rsidRPr="001300A9" w:rsidRDefault="0031368F" w:rsidP="00357CEC">
            <w:pPr>
              <w:pStyle w:val="Default"/>
              <w:rPr>
                <w:sz w:val="22"/>
                <w:szCs w:val="22"/>
              </w:rPr>
            </w:pPr>
          </w:p>
          <w:p w14:paraId="79ABD024" w14:textId="77777777" w:rsidR="0031368F" w:rsidRPr="001300A9" w:rsidRDefault="0031368F" w:rsidP="00357CEC">
            <w:pPr>
              <w:pStyle w:val="Default"/>
              <w:rPr>
                <w:sz w:val="22"/>
                <w:szCs w:val="22"/>
              </w:rPr>
            </w:pPr>
          </w:p>
          <w:p w14:paraId="779FEFBF" w14:textId="77777777" w:rsidR="00357CEC" w:rsidRPr="001300A9" w:rsidRDefault="00357CEC" w:rsidP="00357CEC">
            <w:pPr>
              <w:pStyle w:val="Default"/>
              <w:rPr>
                <w:sz w:val="22"/>
                <w:szCs w:val="22"/>
              </w:rPr>
            </w:pPr>
          </w:p>
          <w:p w14:paraId="4DBD65AA" w14:textId="77777777" w:rsidR="00357CEC" w:rsidRPr="001300A9" w:rsidRDefault="00357CEC" w:rsidP="00357CEC">
            <w:pPr>
              <w:pStyle w:val="Default"/>
              <w:rPr>
                <w:sz w:val="22"/>
                <w:szCs w:val="22"/>
              </w:rPr>
            </w:pPr>
          </w:p>
          <w:p w14:paraId="75F202F2" w14:textId="77777777" w:rsidR="00357CEC" w:rsidRPr="001300A9" w:rsidRDefault="00357CEC" w:rsidP="00357CEC">
            <w:pPr>
              <w:pStyle w:val="Default"/>
              <w:rPr>
                <w:sz w:val="22"/>
                <w:szCs w:val="22"/>
              </w:rPr>
            </w:pPr>
          </w:p>
          <w:p w14:paraId="6067F619" w14:textId="35ABAD58" w:rsidR="00357CEC" w:rsidRPr="001300A9" w:rsidRDefault="00357CEC" w:rsidP="00357CEC">
            <w:pPr>
              <w:pStyle w:val="Default"/>
              <w:rPr>
                <w:sz w:val="22"/>
                <w:szCs w:val="22"/>
              </w:rPr>
            </w:pPr>
          </w:p>
          <w:p w14:paraId="1625E176" w14:textId="46473333" w:rsidR="0031368F" w:rsidRPr="001300A9" w:rsidRDefault="0031368F" w:rsidP="00357CEC">
            <w:pPr>
              <w:pStyle w:val="Default"/>
              <w:rPr>
                <w:sz w:val="22"/>
                <w:szCs w:val="22"/>
              </w:rPr>
            </w:pPr>
          </w:p>
          <w:p w14:paraId="3484025F" w14:textId="475BBDFE" w:rsidR="0031368F" w:rsidRPr="001300A9" w:rsidRDefault="0031368F" w:rsidP="00357CEC">
            <w:pPr>
              <w:pStyle w:val="Default"/>
              <w:rPr>
                <w:sz w:val="22"/>
                <w:szCs w:val="22"/>
              </w:rPr>
            </w:pPr>
          </w:p>
          <w:p w14:paraId="25949E0E" w14:textId="51803E53" w:rsidR="0031368F" w:rsidRPr="001300A9" w:rsidRDefault="0031368F" w:rsidP="00357CEC">
            <w:pPr>
              <w:pStyle w:val="Default"/>
              <w:rPr>
                <w:sz w:val="22"/>
                <w:szCs w:val="22"/>
              </w:rPr>
            </w:pPr>
          </w:p>
          <w:p w14:paraId="3FE3DBAE" w14:textId="77777777" w:rsidR="0031368F" w:rsidRPr="001300A9" w:rsidRDefault="0031368F" w:rsidP="00357CEC">
            <w:pPr>
              <w:pStyle w:val="Default"/>
              <w:rPr>
                <w:sz w:val="22"/>
                <w:szCs w:val="22"/>
              </w:rPr>
            </w:pPr>
          </w:p>
          <w:p w14:paraId="0F590469" w14:textId="77777777" w:rsidR="00357CEC" w:rsidRPr="001300A9" w:rsidRDefault="00357CEC" w:rsidP="00357CEC">
            <w:pPr>
              <w:pStyle w:val="Default"/>
              <w:rPr>
                <w:sz w:val="22"/>
                <w:szCs w:val="22"/>
              </w:rPr>
            </w:pPr>
          </w:p>
          <w:p w14:paraId="650AF620" w14:textId="77777777" w:rsidR="00357CEC" w:rsidRPr="001300A9" w:rsidRDefault="00357CEC" w:rsidP="00357CEC">
            <w:pPr>
              <w:pStyle w:val="Default"/>
              <w:rPr>
                <w:sz w:val="22"/>
                <w:szCs w:val="22"/>
              </w:rPr>
            </w:pPr>
          </w:p>
          <w:p w14:paraId="70911C7D" w14:textId="77777777" w:rsidR="00357CEC" w:rsidRPr="001300A9" w:rsidRDefault="00357CEC" w:rsidP="00357CEC">
            <w:pPr>
              <w:pStyle w:val="Default"/>
              <w:rPr>
                <w:sz w:val="22"/>
                <w:szCs w:val="22"/>
              </w:rPr>
            </w:pPr>
          </w:p>
          <w:p w14:paraId="09FED2B6" w14:textId="77777777" w:rsidR="00357CEC" w:rsidRPr="001300A9" w:rsidRDefault="00357CEC" w:rsidP="00357CEC">
            <w:pPr>
              <w:pStyle w:val="Default"/>
              <w:rPr>
                <w:sz w:val="22"/>
                <w:szCs w:val="22"/>
              </w:rPr>
            </w:pPr>
          </w:p>
          <w:p w14:paraId="105CE8A7" w14:textId="77777777" w:rsidR="00357CEC" w:rsidRPr="001300A9" w:rsidRDefault="00357CEC" w:rsidP="00357CEC">
            <w:pPr>
              <w:pStyle w:val="Default"/>
              <w:rPr>
                <w:sz w:val="22"/>
                <w:szCs w:val="22"/>
              </w:rPr>
            </w:pPr>
          </w:p>
          <w:p w14:paraId="57560118" w14:textId="77777777" w:rsidR="00357CEC" w:rsidRPr="001300A9" w:rsidRDefault="00357CEC" w:rsidP="00357CEC">
            <w:pPr>
              <w:pStyle w:val="Default"/>
              <w:rPr>
                <w:sz w:val="22"/>
                <w:szCs w:val="22"/>
              </w:rPr>
            </w:pPr>
          </w:p>
          <w:p w14:paraId="1974D8ED" w14:textId="236F80C6" w:rsidR="00357CEC" w:rsidRPr="001300A9" w:rsidRDefault="00357CEC" w:rsidP="00357CEC">
            <w:pPr>
              <w:pStyle w:val="Default"/>
              <w:rPr>
                <w:sz w:val="22"/>
                <w:szCs w:val="22"/>
              </w:rPr>
            </w:pPr>
          </w:p>
          <w:p w14:paraId="07ABE840" w14:textId="77777777" w:rsidR="0031368F" w:rsidRPr="001300A9" w:rsidRDefault="0031368F" w:rsidP="00357CEC">
            <w:pPr>
              <w:pStyle w:val="Default"/>
              <w:rPr>
                <w:sz w:val="22"/>
                <w:szCs w:val="22"/>
              </w:rPr>
            </w:pPr>
          </w:p>
          <w:p w14:paraId="32B2C275" w14:textId="77777777" w:rsidR="00357CEC" w:rsidRPr="001300A9" w:rsidRDefault="00357CEC" w:rsidP="00357CEC">
            <w:pPr>
              <w:pStyle w:val="Default"/>
              <w:rPr>
                <w:sz w:val="22"/>
                <w:szCs w:val="22"/>
              </w:rPr>
            </w:pPr>
          </w:p>
          <w:p w14:paraId="0EDACB7D" w14:textId="77777777" w:rsidR="00357CEC" w:rsidRPr="001300A9" w:rsidRDefault="00357CEC" w:rsidP="00357CEC">
            <w:pPr>
              <w:pStyle w:val="Default"/>
              <w:rPr>
                <w:sz w:val="22"/>
                <w:szCs w:val="22"/>
              </w:rPr>
            </w:pPr>
          </w:p>
          <w:p w14:paraId="7ABD2ABC" w14:textId="77777777" w:rsidR="00357CEC" w:rsidRPr="001300A9" w:rsidRDefault="00357CEC" w:rsidP="00357CEC">
            <w:pPr>
              <w:pStyle w:val="Default"/>
              <w:rPr>
                <w:sz w:val="22"/>
                <w:szCs w:val="22"/>
              </w:rPr>
            </w:pPr>
          </w:p>
          <w:p w14:paraId="730DCBB2" w14:textId="21622216" w:rsidR="00357CEC" w:rsidRPr="001300A9" w:rsidRDefault="00357CEC" w:rsidP="00357CEC">
            <w:pPr>
              <w:pStyle w:val="Default"/>
              <w:rPr>
                <w:sz w:val="22"/>
                <w:szCs w:val="22"/>
              </w:rPr>
            </w:pPr>
          </w:p>
          <w:p w14:paraId="734C5084" w14:textId="77777777" w:rsidR="00357CEC" w:rsidRPr="001300A9" w:rsidRDefault="00357CEC" w:rsidP="00357CEC">
            <w:pPr>
              <w:pStyle w:val="Default"/>
              <w:rPr>
                <w:sz w:val="22"/>
                <w:szCs w:val="22"/>
              </w:rPr>
            </w:pPr>
          </w:p>
          <w:p w14:paraId="51B9C4AC" w14:textId="77777777" w:rsidR="00357CEC" w:rsidRPr="001300A9" w:rsidRDefault="00357CEC" w:rsidP="00357CEC">
            <w:pPr>
              <w:pStyle w:val="Default"/>
              <w:rPr>
                <w:sz w:val="22"/>
                <w:szCs w:val="22"/>
              </w:rPr>
            </w:pPr>
          </w:p>
          <w:p w14:paraId="5EBAE9E7" w14:textId="77777777" w:rsidR="00357CEC" w:rsidRPr="001300A9" w:rsidRDefault="00357CEC" w:rsidP="00357CEC">
            <w:pPr>
              <w:pStyle w:val="Default"/>
              <w:rPr>
                <w:sz w:val="22"/>
                <w:szCs w:val="22"/>
              </w:rPr>
            </w:pPr>
          </w:p>
          <w:p w14:paraId="43AC2094" w14:textId="77777777" w:rsidR="00357CEC" w:rsidRPr="001300A9" w:rsidRDefault="00357CEC" w:rsidP="00357CEC">
            <w:pPr>
              <w:pStyle w:val="Default"/>
              <w:rPr>
                <w:sz w:val="22"/>
                <w:szCs w:val="22"/>
              </w:rPr>
            </w:pPr>
          </w:p>
          <w:p w14:paraId="3D6AA98E" w14:textId="77777777" w:rsidR="00357CEC" w:rsidRPr="001300A9" w:rsidRDefault="00357CEC" w:rsidP="00357CEC">
            <w:pPr>
              <w:pStyle w:val="Default"/>
              <w:rPr>
                <w:sz w:val="22"/>
                <w:szCs w:val="22"/>
              </w:rPr>
            </w:pPr>
          </w:p>
          <w:p w14:paraId="3FF7739E" w14:textId="77777777" w:rsidR="00357CEC" w:rsidRPr="001300A9" w:rsidRDefault="00357CEC" w:rsidP="00357CEC">
            <w:pPr>
              <w:pStyle w:val="Default"/>
              <w:rPr>
                <w:sz w:val="22"/>
                <w:szCs w:val="22"/>
              </w:rPr>
            </w:pPr>
          </w:p>
          <w:p w14:paraId="131B55BC" w14:textId="77777777" w:rsidR="00357CEC" w:rsidRPr="001300A9" w:rsidRDefault="00357CEC" w:rsidP="00357CEC">
            <w:pPr>
              <w:pStyle w:val="Default"/>
              <w:rPr>
                <w:sz w:val="22"/>
                <w:szCs w:val="22"/>
              </w:rPr>
            </w:pPr>
          </w:p>
          <w:p w14:paraId="1AB4BEE7" w14:textId="185660EA" w:rsidR="00357CEC" w:rsidRPr="001300A9" w:rsidRDefault="00357CEC" w:rsidP="00357CEC">
            <w:pPr>
              <w:pStyle w:val="Default"/>
              <w:rPr>
                <w:sz w:val="22"/>
                <w:szCs w:val="22"/>
              </w:rPr>
            </w:pPr>
          </w:p>
          <w:p w14:paraId="230C60D6" w14:textId="77777777" w:rsidR="00357CEC" w:rsidRPr="001300A9" w:rsidRDefault="00357CEC" w:rsidP="00357CEC">
            <w:pPr>
              <w:pStyle w:val="Default"/>
              <w:rPr>
                <w:sz w:val="22"/>
                <w:szCs w:val="22"/>
              </w:rPr>
            </w:pPr>
          </w:p>
          <w:p w14:paraId="2CEBBF12" w14:textId="77777777" w:rsidR="00357CEC" w:rsidRPr="001300A9" w:rsidRDefault="00357CEC" w:rsidP="00357CEC">
            <w:pPr>
              <w:pStyle w:val="Default"/>
              <w:rPr>
                <w:sz w:val="22"/>
                <w:szCs w:val="22"/>
              </w:rPr>
            </w:pPr>
          </w:p>
          <w:p w14:paraId="6B0DDA65" w14:textId="77777777" w:rsidR="00357CEC" w:rsidRPr="001300A9" w:rsidRDefault="00357CEC" w:rsidP="00357CEC">
            <w:pPr>
              <w:pStyle w:val="Default"/>
              <w:rPr>
                <w:sz w:val="22"/>
                <w:szCs w:val="22"/>
              </w:rPr>
            </w:pPr>
          </w:p>
          <w:p w14:paraId="0D805220" w14:textId="77777777" w:rsidR="00357CEC" w:rsidRPr="001300A9" w:rsidRDefault="00357CEC" w:rsidP="00357CEC">
            <w:pPr>
              <w:pStyle w:val="Default"/>
              <w:rPr>
                <w:sz w:val="22"/>
                <w:szCs w:val="22"/>
              </w:rPr>
            </w:pPr>
          </w:p>
          <w:p w14:paraId="0EDB4BCD" w14:textId="77777777" w:rsidR="00357CEC" w:rsidRPr="001300A9" w:rsidRDefault="00357CEC" w:rsidP="00357CEC">
            <w:pPr>
              <w:pStyle w:val="Default"/>
              <w:rPr>
                <w:sz w:val="22"/>
                <w:szCs w:val="22"/>
              </w:rPr>
            </w:pPr>
          </w:p>
          <w:p w14:paraId="73460859" w14:textId="3EF4066F" w:rsidR="00004464" w:rsidRPr="001300A9" w:rsidRDefault="00004464" w:rsidP="00357CEC">
            <w:pPr>
              <w:pStyle w:val="Default"/>
              <w:rPr>
                <w:sz w:val="22"/>
                <w:szCs w:val="22"/>
              </w:rPr>
            </w:pPr>
          </w:p>
          <w:p w14:paraId="32A7975B" w14:textId="62665F63" w:rsidR="00004464" w:rsidRPr="001300A9" w:rsidRDefault="00004464" w:rsidP="00004464"/>
          <w:p w14:paraId="572D3F76" w14:textId="77777777" w:rsidR="00383D96" w:rsidRPr="001300A9" w:rsidRDefault="00383D96" w:rsidP="00004464">
            <w:pPr>
              <w:rPr>
                <w:rFonts w:ascii="Times New Roman" w:hAnsi="Times New Roman" w:cs="Times New Roman"/>
              </w:rPr>
            </w:pPr>
          </w:p>
          <w:p w14:paraId="59E30021" w14:textId="77777777" w:rsidR="00383D96" w:rsidRPr="001300A9" w:rsidRDefault="00383D96" w:rsidP="00004464">
            <w:pPr>
              <w:rPr>
                <w:rFonts w:ascii="Times New Roman" w:hAnsi="Times New Roman" w:cs="Times New Roman"/>
              </w:rPr>
            </w:pPr>
          </w:p>
          <w:p w14:paraId="419B37AF" w14:textId="77777777" w:rsidR="00383D96" w:rsidRPr="001300A9" w:rsidRDefault="00383D96" w:rsidP="00004464">
            <w:pPr>
              <w:rPr>
                <w:rFonts w:ascii="Times New Roman" w:hAnsi="Times New Roman" w:cs="Times New Roman"/>
              </w:rPr>
            </w:pPr>
          </w:p>
          <w:p w14:paraId="69014586" w14:textId="77777777" w:rsidR="00383D96" w:rsidRPr="001300A9" w:rsidRDefault="00383D96" w:rsidP="00004464">
            <w:pPr>
              <w:rPr>
                <w:rFonts w:ascii="Times New Roman" w:hAnsi="Times New Roman" w:cs="Times New Roman"/>
              </w:rPr>
            </w:pPr>
          </w:p>
          <w:p w14:paraId="37135AB6" w14:textId="77777777" w:rsidR="00383D96" w:rsidRPr="001300A9" w:rsidRDefault="00383D96" w:rsidP="00004464">
            <w:pPr>
              <w:rPr>
                <w:rFonts w:ascii="Times New Roman" w:hAnsi="Times New Roman" w:cs="Times New Roman"/>
              </w:rPr>
            </w:pPr>
          </w:p>
          <w:p w14:paraId="2BB21CC9" w14:textId="5F4036B6" w:rsidR="0082715B" w:rsidRDefault="0082715B" w:rsidP="0082715B">
            <w:pPr>
              <w:spacing w:after="0"/>
              <w:rPr>
                <w:rFonts w:ascii="Times New Roman" w:hAnsi="Times New Roman" w:cs="Times New Roman"/>
              </w:rPr>
            </w:pPr>
          </w:p>
          <w:p w14:paraId="3D7FCE11" w14:textId="77777777" w:rsidR="004D7FA3" w:rsidRDefault="004D7FA3" w:rsidP="0082715B">
            <w:pPr>
              <w:spacing w:after="0"/>
              <w:rPr>
                <w:rFonts w:ascii="Times New Roman" w:hAnsi="Times New Roman" w:cs="Times New Roman"/>
              </w:rPr>
            </w:pPr>
          </w:p>
          <w:p w14:paraId="4C92EA8E" w14:textId="3B57A06C" w:rsidR="00D01474" w:rsidRPr="001300A9" w:rsidRDefault="00D01474" w:rsidP="0082715B">
            <w:pPr>
              <w:spacing w:after="0"/>
              <w:rPr>
                <w:rFonts w:ascii="Times New Roman" w:hAnsi="Times New Roman" w:cs="Times New Roman"/>
              </w:rPr>
            </w:pPr>
            <w:proofErr w:type="spellStart"/>
            <w:r w:rsidRPr="001300A9">
              <w:rPr>
                <w:rFonts w:ascii="Times New Roman" w:hAnsi="Times New Roman" w:cs="Times New Roman"/>
              </w:rPr>
              <w:t>n.a</w:t>
            </w:r>
            <w:proofErr w:type="spellEnd"/>
            <w:r w:rsidRPr="001300A9">
              <w:rPr>
                <w:rFonts w:ascii="Times New Roman" w:hAnsi="Times New Roman" w:cs="Times New Roman"/>
              </w:rPr>
              <w:t>.</w:t>
            </w:r>
          </w:p>
          <w:p w14:paraId="4FC7494B" w14:textId="77777777" w:rsidR="00383D96" w:rsidRPr="001300A9" w:rsidRDefault="00383D96" w:rsidP="00004464">
            <w:pPr>
              <w:rPr>
                <w:rFonts w:ascii="Times New Roman" w:hAnsi="Times New Roman" w:cs="Times New Roman"/>
              </w:rPr>
            </w:pPr>
          </w:p>
          <w:p w14:paraId="41138F9D" w14:textId="77777777" w:rsidR="00383D96" w:rsidRPr="001300A9" w:rsidRDefault="00383D96" w:rsidP="00004464">
            <w:pPr>
              <w:rPr>
                <w:rFonts w:ascii="Times New Roman" w:hAnsi="Times New Roman" w:cs="Times New Roman"/>
              </w:rPr>
            </w:pPr>
          </w:p>
          <w:p w14:paraId="172C0EB5" w14:textId="77777777" w:rsidR="00383D96" w:rsidRPr="001300A9" w:rsidRDefault="00383D96" w:rsidP="00004464">
            <w:pPr>
              <w:rPr>
                <w:rFonts w:ascii="Times New Roman" w:hAnsi="Times New Roman" w:cs="Times New Roman"/>
              </w:rPr>
            </w:pPr>
          </w:p>
          <w:p w14:paraId="0AF797AE" w14:textId="77777777" w:rsidR="00383D96" w:rsidRPr="001300A9" w:rsidRDefault="00383D96" w:rsidP="00004464">
            <w:pPr>
              <w:rPr>
                <w:rFonts w:ascii="Times New Roman" w:hAnsi="Times New Roman" w:cs="Times New Roman"/>
              </w:rPr>
            </w:pPr>
          </w:p>
          <w:p w14:paraId="4925B2BF" w14:textId="77777777" w:rsidR="00383D96" w:rsidRPr="001300A9" w:rsidRDefault="00383D96" w:rsidP="00004464">
            <w:pPr>
              <w:rPr>
                <w:rFonts w:ascii="Times New Roman" w:hAnsi="Times New Roman" w:cs="Times New Roman"/>
              </w:rPr>
            </w:pPr>
          </w:p>
          <w:p w14:paraId="3491DD8D" w14:textId="77777777" w:rsidR="00383D96" w:rsidRPr="001300A9" w:rsidRDefault="00383D96" w:rsidP="00004464">
            <w:pPr>
              <w:rPr>
                <w:rFonts w:ascii="Times New Roman" w:hAnsi="Times New Roman" w:cs="Times New Roman"/>
              </w:rPr>
            </w:pPr>
          </w:p>
          <w:p w14:paraId="58E087EF" w14:textId="77777777" w:rsidR="00383D96" w:rsidRPr="001300A9" w:rsidRDefault="00383D96" w:rsidP="00004464">
            <w:pPr>
              <w:rPr>
                <w:rFonts w:ascii="Times New Roman" w:hAnsi="Times New Roman" w:cs="Times New Roman"/>
              </w:rPr>
            </w:pPr>
          </w:p>
          <w:p w14:paraId="7D97234D" w14:textId="77777777" w:rsidR="00383D96" w:rsidRPr="001300A9" w:rsidRDefault="00383D96" w:rsidP="00004464">
            <w:pPr>
              <w:rPr>
                <w:rFonts w:ascii="Times New Roman" w:hAnsi="Times New Roman" w:cs="Times New Roman"/>
              </w:rPr>
            </w:pPr>
          </w:p>
          <w:p w14:paraId="63FE3879" w14:textId="77777777" w:rsidR="00383D96" w:rsidRPr="001300A9" w:rsidRDefault="00383D96" w:rsidP="00004464">
            <w:pPr>
              <w:rPr>
                <w:rFonts w:ascii="Times New Roman" w:hAnsi="Times New Roman" w:cs="Times New Roman"/>
              </w:rPr>
            </w:pPr>
          </w:p>
          <w:p w14:paraId="0C358188" w14:textId="77777777" w:rsidR="00383D96" w:rsidRPr="001300A9" w:rsidRDefault="00383D96" w:rsidP="00004464">
            <w:pPr>
              <w:rPr>
                <w:rFonts w:ascii="Times New Roman" w:hAnsi="Times New Roman" w:cs="Times New Roman"/>
              </w:rPr>
            </w:pPr>
          </w:p>
          <w:p w14:paraId="32CF2F45" w14:textId="77777777" w:rsidR="00383D96" w:rsidRPr="001300A9" w:rsidRDefault="00383D96" w:rsidP="00004464">
            <w:pPr>
              <w:rPr>
                <w:rFonts w:ascii="Times New Roman" w:hAnsi="Times New Roman" w:cs="Times New Roman"/>
              </w:rPr>
            </w:pPr>
          </w:p>
          <w:p w14:paraId="4B6097E4" w14:textId="77777777" w:rsidR="00383D96" w:rsidRPr="001300A9" w:rsidRDefault="00383D96" w:rsidP="00004464">
            <w:pPr>
              <w:rPr>
                <w:rFonts w:ascii="Times New Roman" w:hAnsi="Times New Roman" w:cs="Times New Roman"/>
              </w:rPr>
            </w:pPr>
          </w:p>
          <w:p w14:paraId="1B24CBD1" w14:textId="77777777" w:rsidR="00383D96" w:rsidRPr="001300A9" w:rsidRDefault="00383D96" w:rsidP="00004464">
            <w:pPr>
              <w:rPr>
                <w:rFonts w:ascii="Times New Roman" w:hAnsi="Times New Roman" w:cs="Times New Roman"/>
              </w:rPr>
            </w:pPr>
          </w:p>
          <w:p w14:paraId="723B6DD8" w14:textId="77777777" w:rsidR="00383D96" w:rsidRPr="001300A9" w:rsidRDefault="00383D96" w:rsidP="00004464">
            <w:pPr>
              <w:rPr>
                <w:rFonts w:ascii="Times New Roman" w:hAnsi="Times New Roman" w:cs="Times New Roman"/>
              </w:rPr>
            </w:pPr>
          </w:p>
          <w:p w14:paraId="1994D4C9" w14:textId="77777777" w:rsidR="00383D96" w:rsidRPr="001300A9" w:rsidRDefault="00383D96" w:rsidP="00004464">
            <w:pPr>
              <w:rPr>
                <w:rFonts w:ascii="Times New Roman" w:hAnsi="Times New Roman" w:cs="Times New Roman"/>
              </w:rPr>
            </w:pPr>
          </w:p>
          <w:p w14:paraId="79DEF949" w14:textId="77777777" w:rsidR="00383D96" w:rsidRPr="001300A9" w:rsidRDefault="00383D96" w:rsidP="00004464">
            <w:pPr>
              <w:rPr>
                <w:rFonts w:ascii="Times New Roman" w:hAnsi="Times New Roman" w:cs="Times New Roman"/>
              </w:rPr>
            </w:pPr>
          </w:p>
          <w:p w14:paraId="135053C1" w14:textId="77777777" w:rsidR="00383D96" w:rsidRPr="001300A9" w:rsidRDefault="00383D96" w:rsidP="00004464">
            <w:pPr>
              <w:rPr>
                <w:rFonts w:ascii="Times New Roman" w:hAnsi="Times New Roman" w:cs="Times New Roman"/>
              </w:rPr>
            </w:pPr>
          </w:p>
          <w:p w14:paraId="0AD864AB" w14:textId="77777777" w:rsidR="00383D96" w:rsidRPr="001300A9" w:rsidRDefault="00383D96" w:rsidP="00004464">
            <w:pPr>
              <w:rPr>
                <w:rFonts w:ascii="Times New Roman" w:hAnsi="Times New Roman" w:cs="Times New Roman"/>
              </w:rPr>
            </w:pPr>
          </w:p>
          <w:p w14:paraId="0C8F0E10" w14:textId="77777777" w:rsidR="00383D96" w:rsidRPr="001300A9" w:rsidRDefault="00383D96" w:rsidP="00004464">
            <w:pPr>
              <w:rPr>
                <w:rFonts w:ascii="Times New Roman" w:hAnsi="Times New Roman" w:cs="Times New Roman"/>
              </w:rPr>
            </w:pPr>
          </w:p>
          <w:p w14:paraId="1C3955CB" w14:textId="77777777" w:rsidR="00383D96" w:rsidRPr="001300A9" w:rsidRDefault="00383D96" w:rsidP="00004464">
            <w:pPr>
              <w:rPr>
                <w:rFonts w:ascii="Times New Roman" w:hAnsi="Times New Roman" w:cs="Times New Roman"/>
              </w:rPr>
            </w:pPr>
          </w:p>
          <w:p w14:paraId="4BB07341" w14:textId="77777777" w:rsidR="00383D96" w:rsidRPr="001300A9" w:rsidRDefault="00383D96" w:rsidP="00004464">
            <w:pPr>
              <w:rPr>
                <w:rFonts w:ascii="Times New Roman" w:hAnsi="Times New Roman" w:cs="Times New Roman"/>
              </w:rPr>
            </w:pPr>
          </w:p>
          <w:p w14:paraId="4B316531" w14:textId="77777777" w:rsidR="00383D96" w:rsidRPr="001300A9" w:rsidRDefault="00383D96" w:rsidP="00004464">
            <w:pPr>
              <w:rPr>
                <w:rFonts w:ascii="Times New Roman" w:hAnsi="Times New Roman" w:cs="Times New Roman"/>
              </w:rPr>
            </w:pPr>
          </w:p>
          <w:p w14:paraId="4FA42206" w14:textId="77777777" w:rsidR="00383D96" w:rsidRPr="001300A9" w:rsidRDefault="00383D96" w:rsidP="00004464">
            <w:pPr>
              <w:rPr>
                <w:rFonts w:ascii="Times New Roman" w:hAnsi="Times New Roman" w:cs="Times New Roman"/>
              </w:rPr>
            </w:pPr>
          </w:p>
          <w:p w14:paraId="0ADB96A2" w14:textId="77777777" w:rsidR="00383D96" w:rsidRPr="001300A9" w:rsidRDefault="00383D96" w:rsidP="00004464">
            <w:pPr>
              <w:rPr>
                <w:rFonts w:ascii="Times New Roman" w:hAnsi="Times New Roman" w:cs="Times New Roman"/>
              </w:rPr>
            </w:pPr>
          </w:p>
          <w:p w14:paraId="022447B1" w14:textId="77777777" w:rsidR="00383D96" w:rsidRPr="001300A9" w:rsidRDefault="00383D96" w:rsidP="00004464">
            <w:pPr>
              <w:rPr>
                <w:rFonts w:ascii="Times New Roman" w:hAnsi="Times New Roman" w:cs="Times New Roman"/>
              </w:rPr>
            </w:pPr>
          </w:p>
          <w:p w14:paraId="3C09097C" w14:textId="77777777" w:rsidR="00383D96" w:rsidRPr="001300A9" w:rsidRDefault="00383D96" w:rsidP="00004464">
            <w:pPr>
              <w:rPr>
                <w:rFonts w:ascii="Times New Roman" w:hAnsi="Times New Roman" w:cs="Times New Roman"/>
              </w:rPr>
            </w:pPr>
          </w:p>
          <w:p w14:paraId="231E5A7F" w14:textId="77777777" w:rsidR="00383D96" w:rsidRPr="001300A9" w:rsidRDefault="00383D96" w:rsidP="00004464">
            <w:pPr>
              <w:rPr>
                <w:rFonts w:ascii="Times New Roman" w:hAnsi="Times New Roman" w:cs="Times New Roman"/>
              </w:rPr>
            </w:pPr>
          </w:p>
          <w:p w14:paraId="4ED8F901" w14:textId="77777777" w:rsidR="00383D96" w:rsidRPr="001300A9" w:rsidRDefault="00383D96" w:rsidP="00004464">
            <w:pPr>
              <w:rPr>
                <w:rFonts w:ascii="Times New Roman" w:hAnsi="Times New Roman" w:cs="Times New Roman"/>
              </w:rPr>
            </w:pPr>
          </w:p>
          <w:p w14:paraId="3EB2DE65" w14:textId="77777777" w:rsidR="00383D96" w:rsidRPr="001300A9" w:rsidRDefault="00383D96" w:rsidP="00004464">
            <w:pPr>
              <w:rPr>
                <w:rFonts w:ascii="Times New Roman" w:hAnsi="Times New Roman" w:cs="Times New Roman"/>
              </w:rPr>
            </w:pPr>
          </w:p>
          <w:p w14:paraId="069F865B" w14:textId="77777777" w:rsidR="00383D96" w:rsidRPr="001300A9" w:rsidRDefault="00383D96" w:rsidP="00004464">
            <w:pPr>
              <w:rPr>
                <w:rFonts w:ascii="Times New Roman" w:hAnsi="Times New Roman" w:cs="Times New Roman"/>
              </w:rPr>
            </w:pPr>
          </w:p>
          <w:p w14:paraId="51FAB28A" w14:textId="77777777" w:rsidR="00383D96" w:rsidRPr="001300A9" w:rsidRDefault="00383D96" w:rsidP="00004464">
            <w:pPr>
              <w:rPr>
                <w:rFonts w:ascii="Times New Roman" w:hAnsi="Times New Roman" w:cs="Times New Roman"/>
              </w:rPr>
            </w:pPr>
          </w:p>
          <w:p w14:paraId="355E8474" w14:textId="77777777" w:rsidR="00383D96" w:rsidRPr="001300A9" w:rsidRDefault="00383D96" w:rsidP="00004464">
            <w:pPr>
              <w:rPr>
                <w:rFonts w:ascii="Times New Roman" w:hAnsi="Times New Roman" w:cs="Times New Roman"/>
              </w:rPr>
            </w:pPr>
          </w:p>
          <w:p w14:paraId="19F32061" w14:textId="77777777" w:rsidR="00383D96" w:rsidRPr="001300A9" w:rsidRDefault="00383D96" w:rsidP="00004464">
            <w:pPr>
              <w:rPr>
                <w:rFonts w:ascii="Times New Roman" w:hAnsi="Times New Roman" w:cs="Times New Roman"/>
              </w:rPr>
            </w:pPr>
          </w:p>
          <w:p w14:paraId="3F6D53A6" w14:textId="77777777" w:rsidR="00383D96" w:rsidRPr="001300A9" w:rsidRDefault="00383D96" w:rsidP="00004464">
            <w:pPr>
              <w:rPr>
                <w:rFonts w:ascii="Times New Roman" w:hAnsi="Times New Roman" w:cs="Times New Roman"/>
              </w:rPr>
            </w:pPr>
          </w:p>
          <w:p w14:paraId="03350676" w14:textId="77777777" w:rsidR="00383D96" w:rsidRPr="001300A9" w:rsidRDefault="00383D96" w:rsidP="00004464">
            <w:pPr>
              <w:rPr>
                <w:rFonts w:ascii="Times New Roman" w:hAnsi="Times New Roman" w:cs="Times New Roman"/>
              </w:rPr>
            </w:pPr>
          </w:p>
          <w:p w14:paraId="19CB2826" w14:textId="77777777" w:rsidR="00383D96" w:rsidRPr="001300A9" w:rsidRDefault="00383D96" w:rsidP="00004464">
            <w:pPr>
              <w:rPr>
                <w:rFonts w:ascii="Times New Roman" w:hAnsi="Times New Roman" w:cs="Times New Roman"/>
              </w:rPr>
            </w:pPr>
          </w:p>
          <w:p w14:paraId="4269C256" w14:textId="77777777" w:rsidR="00383D96" w:rsidRPr="001300A9" w:rsidRDefault="00383D96" w:rsidP="00004464">
            <w:pPr>
              <w:rPr>
                <w:rFonts w:ascii="Times New Roman" w:hAnsi="Times New Roman" w:cs="Times New Roman"/>
              </w:rPr>
            </w:pPr>
          </w:p>
          <w:p w14:paraId="3A95EB01" w14:textId="77777777" w:rsidR="00383D96" w:rsidRPr="001300A9" w:rsidRDefault="00383D96" w:rsidP="00004464">
            <w:pPr>
              <w:rPr>
                <w:rFonts w:ascii="Times New Roman" w:hAnsi="Times New Roman" w:cs="Times New Roman"/>
              </w:rPr>
            </w:pPr>
          </w:p>
          <w:p w14:paraId="5D2DC027" w14:textId="77777777" w:rsidR="00383D96" w:rsidRPr="001300A9" w:rsidRDefault="00383D96" w:rsidP="00004464">
            <w:pPr>
              <w:rPr>
                <w:rFonts w:ascii="Times New Roman" w:hAnsi="Times New Roman" w:cs="Times New Roman"/>
              </w:rPr>
            </w:pPr>
          </w:p>
          <w:p w14:paraId="6745C484" w14:textId="77777777" w:rsidR="00383D96" w:rsidRPr="001300A9" w:rsidRDefault="00383D96" w:rsidP="00004464">
            <w:pPr>
              <w:rPr>
                <w:rFonts w:ascii="Times New Roman" w:hAnsi="Times New Roman" w:cs="Times New Roman"/>
              </w:rPr>
            </w:pPr>
          </w:p>
          <w:p w14:paraId="25CD6BB9" w14:textId="77777777" w:rsidR="00383D96" w:rsidRPr="001300A9" w:rsidRDefault="00383D96" w:rsidP="00004464">
            <w:pPr>
              <w:rPr>
                <w:rFonts w:ascii="Times New Roman" w:hAnsi="Times New Roman" w:cs="Times New Roman"/>
              </w:rPr>
            </w:pPr>
          </w:p>
          <w:p w14:paraId="29398FCB" w14:textId="77777777" w:rsidR="00383D96" w:rsidRPr="001300A9" w:rsidRDefault="00383D96" w:rsidP="00004464">
            <w:pPr>
              <w:rPr>
                <w:rFonts w:ascii="Times New Roman" w:hAnsi="Times New Roman" w:cs="Times New Roman"/>
              </w:rPr>
            </w:pPr>
          </w:p>
          <w:p w14:paraId="709C09AA" w14:textId="1A1C447D" w:rsidR="00383D96" w:rsidRDefault="00383D96" w:rsidP="00004464">
            <w:pPr>
              <w:rPr>
                <w:rFonts w:ascii="Times New Roman" w:hAnsi="Times New Roman" w:cs="Times New Roman"/>
              </w:rPr>
            </w:pPr>
          </w:p>
          <w:p w14:paraId="3B86EDB5" w14:textId="77777777" w:rsidR="004D7FA3" w:rsidRDefault="004D7FA3" w:rsidP="00004464">
            <w:pPr>
              <w:rPr>
                <w:rFonts w:ascii="Times New Roman" w:hAnsi="Times New Roman" w:cs="Times New Roman"/>
              </w:rPr>
            </w:pPr>
          </w:p>
          <w:p w14:paraId="6497656C" w14:textId="2A53B359" w:rsidR="5F673433" w:rsidRDefault="5F673433" w:rsidP="5F673433">
            <w:pPr>
              <w:rPr>
                <w:rFonts w:ascii="Times New Roman" w:hAnsi="Times New Roman" w:cs="Times New Roman"/>
              </w:rPr>
            </w:pPr>
          </w:p>
          <w:p w14:paraId="7C9C128A" w14:textId="1F34031A" w:rsidR="5F673433" w:rsidRDefault="5F673433" w:rsidP="5F673433">
            <w:pPr>
              <w:rPr>
                <w:rFonts w:ascii="Times New Roman" w:hAnsi="Times New Roman" w:cs="Times New Roman"/>
              </w:rPr>
            </w:pPr>
          </w:p>
          <w:p w14:paraId="0318ABCE" w14:textId="7D205BED" w:rsidR="00383D96" w:rsidRDefault="00D01474" w:rsidP="00004464">
            <w:pPr>
              <w:rPr>
                <w:rFonts w:ascii="Times New Roman" w:hAnsi="Times New Roman" w:cs="Times New Roman"/>
              </w:rPr>
            </w:pPr>
            <w:proofErr w:type="spellStart"/>
            <w:r w:rsidRPr="001300A9">
              <w:rPr>
                <w:rFonts w:ascii="Times New Roman" w:hAnsi="Times New Roman" w:cs="Times New Roman"/>
              </w:rPr>
              <w:t>n.a</w:t>
            </w:r>
            <w:proofErr w:type="spellEnd"/>
          </w:p>
          <w:p w14:paraId="0E4C81BC" w14:textId="77777777" w:rsidR="004D7FA3" w:rsidRPr="001300A9" w:rsidRDefault="004D7FA3" w:rsidP="00004464">
            <w:pPr>
              <w:rPr>
                <w:rFonts w:ascii="Times New Roman" w:hAnsi="Times New Roman" w:cs="Times New Roman"/>
              </w:rPr>
            </w:pPr>
          </w:p>
          <w:p w14:paraId="2DB71EE6" w14:textId="77777777" w:rsidR="00383D96" w:rsidRPr="001300A9" w:rsidRDefault="00383D96" w:rsidP="00004464">
            <w:pPr>
              <w:rPr>
                <w:rFonts w:ascii="Times New Roman" w:hAnsi="Times New Roman" w:cs="Times New Roman"/>
              </w:rPr>
            </w:pPr>
          </w:p>
          <w:p w14:paraId="772287AC" w14:textId="77777777" w:rsidR="00383D96" w:rsidRPr="001300A9" w:rsidRDefault="00383D96" w:rsidP="00004464">
            <w:pPr>
              <w:rPr>
                <w:rFonts w:ascii="Times New Roman" w:hAnsi="Times New Roman" w:cs="Times New Roman"/>
              </w:rPr>
            </w:pPr>
          </w:p>
          <w:p w14:paraId="7B765286" w14:textId="77777777" w:rsidR="00383D96" w:rsidRPr="001300A9" w:rsidRDefault="00383D96" w:rsidP="00004464">
            <w:pPr>
              <w:rPr>
                <w:rFonts w:ascii="Times New Roman" w:hAnsi="Times New Roman" w:cs="Times New Roman"/>
              </w:rPr>
            </w:pPr>
          </w:p>
          <w:p w14:paraId="5805C811" w14:textId="77777777" w:rsidR="00383D96" w:rsidRPr="001300A9" w:rsidRDefault="00383D96" w:rsidP="00004464">
            <w:pPr>
              <w:rPr>
                <w:rFonts w:ascii="Times New Roman" w:hAnsi="Times New Roman" w:cs="Times New Roman"/>
              </w:rPr>
            </w:pPr>
          </w:p>
          <w:p w14:paraId="51BF23D7" w14:textId="77777777" w:rsidR="00383D96" w:rsidRPr="001300A9" w:rsidRDefault="00383D96" w:rsidP="00004464">
            <w:pPr>
              <w:rPr>
                <w:rFonts w:ascii="Times New Roman" w:hAnsi="Times New Roman" w:cs="Times New Roman"/>
              </w:rPr>
            </w:pPr>
          </w:p>
          <w:p w14:paraId="3343F6F3" w14:textId="0FD5D269" w:rsidR="5F673433" w:rsidRDefault="5F673433" w:rsidP="5F673433">
            <w:pPr>
              <w:rPr>
                <w:rFonts w:ascii="Times New Roman" w:hAnsi="Times New Roman" w:cs="Times New Roman"/>
              </w:rPr>
            </w:pPr>
          </w:p>
          <w:p w14:paraId="5A39B1E0" w14:textId="58A0B28B" w:rsidR="00383D96" w:rsidRPr="001300A9" w:rsidRDefault="700628CD" w:rsidP="5F673433">
            <w:pPr>
              <w:rPr>
                <w:rFonts w:ascii="Times New Roman" w:hAnsi="Times New Roman" w:cs="Times New Roman"/>
              </w:rPr>
            </w:pPr>
            <w:r w:rsidRPr="5F673433">
              <w:rPr>
                <w:rFonts w:ascii="Times New Roman" w:hAnsi="Times New Roman" w:cs="Times New Roman"/>
              </w:rPr>
              <w:t>D</w:t>
            </w:r>
          </w:p>
          <w:p w14:paraId="5D2EA341" w14:textId="77777777" w:rsidR="00383D96" w:rsidRPr="001300A9" w:rsidRDefault="00383D96" w:rsidP="00004464">
            <w:pPr>
              <w:rPr>
                <w:rFonts w:ascii="Times New Roman" w:hAnsi="Times New Roman" w:cs="Times New Roman"/>
              </w:rPr>
            </w:pPr>
          </w:p>
          <w:p w14:paraId="03A07393" w14:textId="77777777" w:rsidR="00383D96" w:rsidRPr="001300A9" w:rsidRDefault="00383D96" w:rsidP="00004464">
            <w:pPr>
              <w:rPr>
                <w:rFonts w:ascii="Times New Roman" w:hAnsi="Times New Roman" w:cs="Times New Roman"/>
              </w:rPr>
            </w:pPr>
          </w:p>
          <w:p w14:paraId="367AC6BE" w14:textId="77777777" w:rsidR="00383D96" w:rsidRPr="001300A9" w:rsidRDefault="00383D96" w:rsidP="00004464">
            <w:pPr>
              <w:rPr>
                <w:rFonts w:ascii="Times New Roman" w:hAnsi="Times New Roman" w:cs="Times New Roman"/>
              </w:rPr>
            </w:pPr>
          </w:p>
          <w:p w14:paraId="3F0A3A4E" w14:textId="77777777" w:rsidR="00383D96" w:rsidRPr="001300A9" w:rsidRDefault="00383D96" w:rsidP="00004464">
            <w:pPr>
              <w:rPr>
                <w:rFonts w:ascii="Times New Roman" w:hAnsi="Times New Roman" w:cs="Times New Roman"/>
              </w:rPr>
            </w:pPr>
          </w:p>
          <w:p w14:paraId="66EC17B1" w14:textId="77777777" w:rsidR="00383D96" w:rsidRPr="001300A9" w:rsidRDefault="00383D96" w:rsidP="00004464">
            <w:pPr>
              <w:rPr>
                <w:rFonts w:ascii="Times New Roman" w:hAnsi="Times New Roman" w:cs="Times New Roman"/>
              </w:rPr>
            </w:pPr>
          </w:p>
          <w:p w14:paraId="57423796" w14:textId="77777777" w:rsidR="00383D96" w:rsidRPr="001300A9" w:rsidRDefault="00383D96" w:rsidP="00004464">
            <w:pPr>
              <w:rPr>
                <w:rFonts w:ascii="Times New Roman" w:hAnsi="Times New Roman" w:cs="Times New Roman"/>
              </w:rPr>
            </w:pPr>
          </w:p>
          <w:p w14:paraId="05610CDF" w14:textId="77777777" w:rsidR="00383D96" w:rsidRPr="001300A9" w:rsidRDefault="00383D96" w:rsidP="00004464">
            <w:pPr>
              <w:rPr>
                <w:rFonts w:ascii="Times New Roman" w:hAnsi="Times New Roman" w:cs="Times New Roman"/>
              </w:rPr>
            </w:pPr>
          </w:p>
          <w:p w14:paraId="2845C95B" w14:textId="77777777" w:rsidR="00383D96" w:rsidRPr="001300A9" w:rsidRDefault="00383D96" w:rsidP="00004464">
            <w:pPr>
              <w:rPr>
                <w:rFonts w:ascii="Times New Roman" w:hAnsi="Times New Roman" w:cs="Times New Roman"/>
              </w:rPr>
            </w:pPr>
          </w:p>
          <w:p w14:paraId="71EFE880" w14:textId="77777777" w:rsidR="00D01474" w:rsidRPr="001300A9" w:rsidRDefault="00D01474" w:rsidP="00004464">
            <w:pPr>
              <w:rPr>
                <w:rFonts w:ascii="Times New Roman" w:hAnsi="Times New Roman" w:cs="Times New Roman"/>
              </w:rPr>
            </w:pPr>
          </w:p>
          <w:p w14:paraId="6723D6CA" w14:textId="77777777" w:rsidR="00D01474" w:rsidRPr="001300A9" w:rsidRDefault="00D01474" w:rsidP="00004464">
            <w:pPr>
              <w:rPr>
                <w:rFonts w:ascii="Times New Roman" w:hAnsi="Times New Roman" w:cs="Times New Roman"/>
              </w:rPr>
            </w:pPr>
          </w:p>
          <w:p w14:paraId="7E1B1B9A" w14:textId="77777777" w:rsidR="00D01474" w:rsidRPr="001300A9" w:rsidRDefault="00D01474" w:rsidP="00004464">
            <w:pPr>
              <w:rPr>
                <w:rFonts w:ascii="Times New Roman" w:hAnsi="Times New Roman" w:cs="Times New Roman"/>
              </w:rPr>
            </w:pPr>
          </w:p>
          <w:p w14:paraId="7F094734" w14:textId="77777777" w:rsidR="00D01474" w:rsidRPr="001300A9" w:rsidRDefault="00D01474" w:rsidP="00004464">
            <w:pPr>
              <w:rPr>
                <w:rFonts w:ascii="Times New Roman" w:hAnsi="Times New Roman" w:cs="Times New Roman"/>
              </w:rPr>
            </w:pPr>
          </w:p>
          <w:p w14:paraId="185CE981" w14:textId="77777777" w:rsidR="00D01474" w:rsidRPr="001300A9" w:rsidRDefault="00D01474" w:rsidP="00004464">
            <w:pPr>
              <w:rPr>
                <w:rFonts w:ascii="Times New Roman" w:hAnsi="Times New Roman" w:cs="Times New Roman"/>
              </w:rPr>
            </w:pPr>
          </w:p>
          <w:p w14:paraId="470FD256" w14:textId="77777777" w:rsidR="00D01474" w:rsidRPr="001300A9" w:rsidRDefault="00D01474" w:rsidP="00004464">
            <w:pPr>
              <w:rPr>
                <w:rFonts w:ascii="Times New Roman" w:hAnsi="Times New Roman" w:cs="Times New Roman"/>
              </w:rPr>
            </w:pPr>
          </w:p>
          <w:p w14:paraId="6F184957" w14:textId="77777777" w:rsidR="00D01474" w:rsidRPr="001300A9" w:rsidRDefault="00D01474" w:rsidP="00004464">
            <w:pPr>
              <w:rPr>
                <w:rFonts w:ascii="Times New Roman" w:hAnsi="Times New Roman" w:cs="Times New Roman"/>
              </w:rPr>
            </w:pPr>
          </w:p>
          <w:p w14:paraId="6BA63E4B" w14:textId="77777777" w:rsidR="00D01474" w:rsidRPr="001300A9" w:rsidRDefault="00D01474" w:rsidP="00004464">
            <w:pPr>
              <w:rPr>
                <w:rFonts w:ascii="Times New Roman" w:hAnsi="Times New Roman" w:cs="Times New Roman"/>
              </w:rPr>
            </w:pPr>
          </w:p>
          <w:p w14:paraId="0B223453" w14:textId="77777777" w:rsidR="00D01474" w:rsidRPr="001300A9" w:rsidRDefault="00D01474" w:rsidP="00004464">
            <w:pPr>
              <w:rPr>
                <w:rFonts w:ascii="Times New Roman" w:hAnsi="Times New Roman" w:cs="Times New Roman"/>
              </w:rPr>
            </w:pPr>
          </w:p>
          <w:p w14:paraId="78A91DCE" w14:textId="77777777" w:rsidR="00D01474" w:rsidRPr="001300A9" w:rsidRDefault="00D01474" w:rsidP="00004464">
            <w:pPr>
              <w:rPr>
                <w:rFonts w:ascii="Times New Roman" w:hAnsi="Times New Roman" w:cs="Times New Roman"/>
              </w:rPr>
            </w:pPr>
          </w:p>
          <w:p w14:paraId="348E98BB" w14:textId="77777777" w:rsidR="00D01474" w:rsidRPr="001300A9" w:rsidRDefault="00D01474" w:rsidP="00004464">
            <w:pPr>
              <w:rPr>
                <w:rFonts w:ascii="Times New Roman" w:hAnsi="Times New Roman" w:cs="Times New Roman"/>
              </w:rPr>
            </w:pPr>
          </w:p>
          <w:p w14:paraId="342AC189" w14:textId="501C93A9" w:rsidR="00D01474" w:rsidRPr="001300A9" w:rsidRDefault="700628CD" w:rsidP="5F673433">
            <w:pPr>
              <w:rPr>
                <w:rFonts w:ascii="Times New Roman" w:hAnsi="Times New Roman" w:cs="Times New Roman"/>
              </w:rPr>
            </w:pPr>
            <w:proofErr w:type="spellStart"/>
            <w:r w:rsidRPr="5F673433">
              <w:rPr>
                <w:rFonts w:ascii="Times New Roman" w:hAnsi="Times New Roman" w:cs="Times New Roman"/>
              </w:rPr>
              <w:t>n.a</w:t>
            </w:r>
            <w:proofErr w:type="spellEnd"/>
            <w:r w:rsidRPr="5F673433">
              <w:rPr>
                <w:rFonts w:ascii="Times New Roman" w:hAnsi="Times New Roman" w:cs="Times New Roman"/>
              </w:rPr>
              <w:t>.</w:t>
            </w:r>
          </w:p>
          <w:p w14:paraId="6FAD78DC" w14:textId="77777777" w:rsidR="00D01474" w:rsidRPr="001300A9" w:rsidRDefault="00D01474" w:rsidP="00004464">
            <w:pPr>
              <w:rPr>
                <w:rFonts w:ascii="Times New Roman" w:hAnsi="Times New Roman" w:cs="Times New Roman"/>
              </w:rPr>
            </w:pPr>
          </w:p>
          <w:p w14:paraId="130753EA" w14:textId="77777777" w:rsidR="00D01474" w:rsidRPr="001300A9" w:rsidRDefault="00D01474" w:rsidP="00004464">
            <w:pPr>
              <w:rPr>
                <w:rFonts w:ascii="Times New Roman" w:hAnsi="Times New Roman" w:cs="Times New Roman"/>
              </w:rPr>
            </w:pPr>
          </w:p>
          <w:p w14:paraId="59A6F990" w14:textId="77777777" w:rsidR="00D01474" w:rsidRPr="001300A9" w:rsidRDefault="00D01474" w:rsidP="00004464">
            <w:pPr>
              <w:rPr>
                <w:rFonts w:ascii="Times New Roman" w:hAnsi="Times New Roman" w:cs="Times New Roman"/>
              </w:rPr>
            </w:pPr>
          </w:p>
          <w:p w14:paraId="0D2354A1" w14:textId="4142199A" w:rsidR="5F673433" w:rsidRDefault="5F673433" w:rsidP="5F673433">
            <w:pPr>
              <w:rPr>
                <w:rFonts w:ascii="Times New Roman" w:hAnsi="Times New Roman" w:cs="Times New Roman"/>
              </w:rPr>
            </w:pPr>
          </w:p>
          <w:p w14:paraId="0C66574C" w14:textId="134CBEB2" w:rsidR="00383D96" w:rsidRPr="001300A9" w:rsidRDefault="143FE912" w:rsidP="5F673433">
            <w:pPr>
              <w:rPr>
                <w:rFonts w:ascii="Times New Roman" w:hAnsi="Times New Roman" w:cs="Times New Roman"/>
              </w:rPr>
            </w:pPr>
            <w:r w:rsidRPr="5F673433">
              <w:rPr>
                <w:rFonts w:ascii="Times New Roman" w:hAnsi="Times New Roman" w:cs="Times New Roman"/>
              </w:rPr>
              <w:t>N</w:t>
            </w:r>
          </w:p>
        </w:tc>
        <w:tc>
          <w:tcPr>
            <w:tcW w:w="283" w:type="dxa"/>
          </w:tcPr>
          <w:p w14:paraId="54205DCB" w14:textId="77777777" w:rsidR="00287825" w:rsidRDefault="00287825" w:rsidP="00357CEC">
            <w:pPr>
              <w:pStyle w:val="Default"/>
              <w:rPr>
                <w:sz w:val="22"/>
                <w:szCs w:val="22"/>
              </w:rPr>
            </w:pPr>
          </w:p>
          <w:p w14:paraId="39AA337F" w14:textId="77777777" w:rsidR="00287825" w:rsidRDefault="00287825" w:rsidP="00357CEC">
            <w:pPr>
              <w:pStyle w:val="Default"/>
              <w:rPr>
                <w:sz w:val="22"/>
                <w:szCs w:val="22"/>
              </w:rPr>
            </w:pPr>
          </w:p>
          <w:p w14:paraId="28E9B95C" w14:textId="77777777" w:rsidR="00287825" w:rsidRDefault="00287825" w:rsidP="00357CEC">
            <w:pPr>
              <w:pStyle w:val="Default"/>
              <w:rPr>
                <w:sz w:val="22"/>
                <w:szCs w:val="22"/>
              </w:rPr>
            </w:pPr>
          </w:p>
          <w:p w14:paraId="1BAB9869" w14:textId="77777777" w:rsidR="00287825" w:rsidRDefault="00287825" w:rsidP="00357CEC">
            <w:pPr>
              <w:pStyle w:val="Default"/>
              <w:rPr>
                <w:sz w:val="22"/>
                <w:szCs w:val="22"/>
              </w:rPr>
            </w:pPr>
          </w:p>
          <w:p w14:paraId="01942605" w14:textId="77777777" w:rsidR="00287825" w:rsidRDefault="00287825" w:rsidP="00357CEC">
            <w:pPr>
              <w:pStyle w:val="Default"/>
              <w:rPr>
                <w:sz w:val="22"/>
                <w:szCs w:val="22"/>
              </w:rPr>
            </w:pPr>
          </w:p>
          <w:p w14:paraId="64027C36" w14:textId="77777777" w:rsidR="00287825" w:rsidRDefault="00287825" w:rsidP="00357CEC">
            <w:pPr>
              <w:pStyle w:val="Default"/>
              <w:rPr>
                <w:sz w:val="22"/>
                <w:szCs w:val="22"/>
              </w:rPr>
            </w:pPr>
          </w:p>
          <w:p w14:paraId="71BADCB3" w14:textId="77777777" w:rsidR="00287825" w:rsidRDefault="00287825" w:rsidP="00357CEC">
            <w:pPr>
              <w:pStyle w:val="Default"/>
              <w:rPr>
                <w:sz w:val="22"/>
                <w:szCs w:val="22"/>
              </w:rPr>
            </w:pPr>
          </w:p>
          <w:p w14:paraId="44DCD95F" w14:textId="77777777" w:rsidR="00287825" w:rsidRDefault="00287825" w:rsidP="00357CEC">
            <w:pPr>
              <w:pStyle w:val="Default"/>
              <w:rPr>
                <w:sz w:val="22"/>
                <w:szCs w:val="22"/>
              </w:rPr>
            </w:pPr>
          </w:p>
          <w:p w14:paraId="7E8B84F5" w14:textId="77777777" w:rsidR="00287825" w:rsidRDefault="00287825" w:rsidP="00357CEC">
            <w:pPr>
              <w:pStyle w:val="Default"/>
              <w:rPr>
                <w:sz w:val="22"/>
                <w:szCs w:val="22"/>
              </w:rPr>
            </w:pPr>
          </w:p>
          <w:p w14:paraId="355581B0" w14:textId="77777777" w:rsidR="00287825" w:rsidRDefault="00287825" w:rsidP="00357CEC">
            <w:pPr>
              <w:pStyle w:val="Default"/>
              <w:rPr>
                <w:sz w:val="22"/>
                <w:szCs w:val="22"/>
              </w:rPr>
            </w:pPr>
          </w:p>
          <w:p w14:paraId="0A6AC007" w14:textId="77777777" w:rsidR="00287825" w:rsidRDefault="00287825" w:rsidP="00357CEC">
            <w:pPr>
              <w:pStyle w:val="Default"/>
              <w:rPr>
                <w:sz w:val="22"/>
                <w:szCs w:val="22"/>
              </w:rPr>
            </w:pPr>
          </w:p>
          <w:p w14:paraId="3947D887" w14:textId="77777777" w:rsidR="00287825" w:rsidRDefault="00287825" w:rsidP="00357CEC">
            <w:pPr>
              <w:pStyle w:val="Default"/>
              <w:rPr>
                <w:sz w:val="22"/>
                <w:szCs w:val="22"/>
              </w:rPr>
            </w:pPr>
          </w:p>
          <w:p w14:paraId="0C841AD6" w14:textId="77777777" w:rsidR="00287825" w:rsidRDefault="00287825" w:rsidP="00357CEC">
            <w:pPr>
              <w:pStyle w:val="Default"/>
              <w:rPr>
                <w:sz w:val="22"/>
                <w:szCs w:val="22"/>
              </w:rPr>
            </w:pPr>
          </w:p>
          <w:p w14:paraId="60059693" w14:textId="77777777" w:rsidR="00287825" w:rsidRDefault="00287825" w:rsidP="00357CEC">
            <w:pPr>
              <w:pStyle w:val="Default"/>
              <w:rPr>
                <w:sz w:val="22"/>
                <w:szCs w:val="22"/>
              </w:rPr>
            </w:pPr>
          </w:p>
          <w:p w14:paraId="15C696FA" w14:textId="77777777" w:rsidR="00287825" w:rsidRDefault="00287825" w:rsidP="00357CEC">
            <w:pPr>
              <w:pStyle w:val="Default"/>
              <w:rPr>
                <w:sz w:val="22"/>
                <w:szCs w:val="22"/>
              </w:rPr>
            </w:pPr>
          </w:p>
          <w:p w14:paraId="4E8AD49F" w14:textId="77777777" w:rsidR="00357CEC" w:rsidRDefault="00287825" w:rsidP="00357CEC">
            <w:pPr>
              <w:pStyle w:val="Default"/>
              <w:rPr>
                <w:sz w:val="22"/>
                <w:szCs w:val="22"/>
              </w:rPr>
            </w:pPr>
            <w:r>
              <w:rPr>
                <w:sz w:val="22"/>
                <w:szCs w:val="22"/>
              </w:rPr>
              <w:t>NZ</w:t>
            </w:r>
          </w:p>
          <w:p w14:paraId="44D14AE8" w14:textId="77777777" w:rsidR="00287825" w:rsidRDefault="00287825" w:rsidP="00357CEC">
            <w:pPr>
              <w:pStyle w:val="Default"/>
              <w:rPr>
                <w:sz w:val="22"/>
                <w:szCs w:val="22"/>
              </w:rPr>
            </w:pPr>
          </w:p>
          <w:p w14:paraId="50A9E135" w14:textId="77777777" w:rsidR="00287825" w:rsidRDefault="00287825" w:rsidP="00357CEC">
            <w:pPr>
              <w:pStyle w:val="Default"/>
              <w:rPr>
                <w:sz w:val="22"/>
                <w:szCs w:val="22"/>
              </w:rPr>
            </w:pPr>
          </w:p>
          <w:p w14:paraId="26E89646" w14:textId="77777777" w:rsidR="00287825" w:rsidRDefault="00287825" w:rsidP="00357CEC">
            <w:pPr>
              <w:pStyle w:val="Default"/>
              <w:rPr>
                <w:sz w:val="22"/>
                <w:szCs w:val="22"/>
              </w:rPr>
            </w:pPr>
          </w:p>
          <w:p w14:paraId="124E3DFD" w14:textId="77777777" w:rsidR="00287825" w:rsidRDefault="00287825" w:rsidP="00357CEC">
            <w:pPr>
              <w:pStyle w:val="Default"/>
              <w:rPr>
                <w:sz w:val="22"/>
                <w:szCs w:val="22"/>
              </w:rPr>
            </w:pPr>
          </w:p>
          <w:p w14:paraId="323B5CAE" w14:textId="14C42859" w:rsidR="00190F49" w:rsidRDefault="00190F49" w:rsidP="00357CEC">
            <w:pPr>
              <w:pStyle w:val="Default"/>
              <w:rPr>
                <w:sz w:val="22"/>
                <w:szCs w:val="22"/>
              </w:rPr>
            </w:pPr>
          </w:p>
          <w:p w14:paraId="249A0354" w14:textId="482AEFB9" w:rsidR="00287825" w:rsidRDefault="00287825" w:rsidP="00357CEC">
            <w:pPr>
              <w:pStyle w:val="Default"/>
              <w:rPr>
                <w:sz w:val="22"/>
                <w:szCs w:val="22"/>
              </w:rPr>
            </w:pPr>
            <w:r>
              <w:rPr>
                <w:sz w:val="22"/>
                <w:szCs w:val="22"/>
              </w:rPr>
              <w:t>NZ</w:t>
            </w:r>
          </w:p>
          <w:p w14:paraId="6247A2D9" w14:textId="77777777" w:rsidR="00287825" w:rsidRDefault="00287825" w:rsidP="00357CEC">
            <w:pPr>
              <w:pStyle w:val="Default"/>
              <w:rPr>
                <w:sz w:val="22"/>
                <w:szCs w:val="22"/>
              </w:rPr>
            </w:pPr>
          </w:p>
          <w:p w14:paraId="25AF5F25" w14:textId="77777777" w:rsidR="00287825" w:rsidRDefault="00287825" w:rsidP="00357CEC">
            <w:pPr>
              <w:pStyle w:val="Default"/>
              <w:rPr>
                <w:sz w:val="22"/>
                <w:szCs w:val="22"/>
              </w:rPr>
            </w:pPr>
          </w:p>
          <w:p w14:paraId="187153AE" w14:textId="77777777" w:rsidR="00287825" w:rsidRDefault="00287825" w:rsidP="00357CEC">
            <w:pPr>
              <w:pStyle w:val="Default"/>
              <w:rPr>
                <w:sz w:val="22"/>
                <w:szCs w:val="22"/>
              </w:rPr>
            </w:pPr>
          </w:p>
          <w:p w14:paraId="061B19FD" w14:textId="77777777" w:rsidR="00287825" w:rsidRDefault="00287825" w:rsidP="00357CEC">
            <w:pPr>
              <w:pStyle w:val="Default"/>
              <w:rPr>
                <w:sz w:val="22"/>
                <w:szCs w:val="22"/>
              </w:rPr>
            </w:pPr>
          </w:p>
          <w:p w14:paraId="71382C46" w14:textId="77777777" w:rsidR="00287825" w:rsidRDefault="00287825" w:rsidP="00357CEC">
            <w:pPr>
              <w:pStyle w:val="Default"/>
              <w:rPr>
                <w:sz w:val="22"/>
                <w:szCs w:val="22"/>
              </w:rPr>
            </w:pPr>
          </w:p>
          <w:p w14:paraId="217E85D7" w14:textId="77777777" w:rsidR="00287825" w:rsidRDefault="00287825" w:rsidP="00357CEC">
            <w:pPr>
              <w:pStyle w:val="Default"/>
              <w:rPr>
                <w:sz w:val="22"/>
                <w:szCs w:val="22"/>
              </w:rPr>
            </w:pPr>
          </w:p>
          <w:p w14:paraId="190861D3" w14:textId="77777777" w:rsidR="00287825" w:rsidRDefault="00287825" w:rsidP="00357CEC">
            <w:pPr>
              <w:pStyle w:val="Default"/>
              <w:rPr>
                <w:sz w:val="22"/>
                <w:szCs w:val="22"/>
              </w:rPr>
            </w:pPr>
          </w:p>
          <w:p w14:paraId="454F0DBD" w14:textId="77777777" w:rsidR="00287825" w:rsidRDefault="00287825" w:rsidP="00357CEC">
            <w:pPr>
              <w:pStyle w:val="Default"/>
              <w:rPr>
                <w:sz w:val="22"/>
                <w:szCs w:val="22"/>
              </w:rPr>
            </w:pPr>
          </w:p>
          <w:p w14:paraId="0DDA4D1C" w14:textId="77777777" w:rsidR="00287825" w:rsidRDefault="00287825" w:rsidP="00357CEC">
            <w:pPr>
              <w:pStyle w:val="Default"/>
              <w:rPr>
                <w:sz w:val="22"/>
                <w:szCs w:val="22"/>
              </w:rPr>
            </w:pPr>
          </w:p>
          <w:p w14:paraId="71A00B4D" w14:textId="77777777" w:rsidR="00287825" w:rsidRDefault="00287825" w:rsidP="00357CEC">
            <w:pPr>
              <w:pStyle w:val="Default"/>
              <w:rPr>
                <w:sz w:val="22"/>
                <w:szCs w:val="22"/>
              </w:rPr>
            </w:pPr>
          </w:p>
          <w:p w14:paraId="2827F8CA" w14:textId="77777777" w:rsidR="00287825" w:rsidRDefault="00287825" w:rsidP="00357CEC">
            <w:pPr>
              <w:pStyle w:val="Default"/>
              <w:rPr>
                <w:sz w:val="22"/>
                <w:szCs w:val="22"/>
              </w:rPr>
            </w:pPr>
          </w:p>
          <w:p w14:paraId="70C80367" w14:textId="77777777" w:rsidR="00287825" w:rsidRDefault="00287825" w:rsidP="00357CEC">
            <w:pPr>
              <w:pStyle w:val="Default"/>
              <w:rPr>
                <w:sz w:val="22"/>
                <w:szCs w:val="22"/>
              </w:rPr>
            </w:pPr>
          </w:p>
          <w:p w14:paraId="2114B4DC" w14:textId="77777777" w:rsidR="00287825" w:rsidRDefault="00287825" w:rsidP="00357CEC">
            <w:pPr>
              <w:pStyle w:val="Default"/>
              <w:rPr>
                <w:sz w:val="22"/>
                <w:szCs w:val="22"/>
              </w:rPr>
            </w:pPr>
          </w:p>
          <w:p w14:paraId="5134A279" w14:textId="77777777" w:rsidR="00287825" w:rsidRDefault="00287825" w:rsidP="00357CEC">
            <w:pPr>
              <w:pStyle w:val="Default"/>
              <w:rPr>
                <w:sz w:val="22"/>
                <w:szCs w:val="22"/>
              </w:rPr>
            </w:pPr>
          </w:p>
          <w:p w14:paraId="0E4D7A3D" w14:textId="77777777" w:rsidR="00287825" w:rsidRDefault="00287825" w:rsidP="00357CEC">
            <w:pPr>
              <w:pStyle w:val="Default"/>
              <w:rPr>
                <w:sz w:val="22"/>
                <w:szCs w:val="22"/>
              </w:rPr>
            </w:pPr>
          </w:p>
          <w:p w14:paraId="21DFBB2B" w14:textId="77777777" w:rsidR="00287825" w:rsidRDefault="00287825" w:rsidP="00357CEC">
            <w:pPr>
              <w:pStyle w:val="Default"/>
              <w:rPr>
                <w:sz w:val="22"/>
                <w:szCs w:val="22"/>
              </w:rPr>
            </w:pPr>
          </w:p>
          <w:p w14:paraId="1518FF4A" w14:textId="77777777" w:rsidR="00287825" w:rsidRDefault="00287825" w:rsidP="00357CEC">
            <w:pPr>
              <w:pStyle w:val="Default"/>
              <w:rPr>
                <w:sz w:val="22"/>
                <w:szCs w:val="22"/>
              </w:rPr>
            </w:pPr>
          </w:p>
          <w:p w14:paraId="418429BF" w14:textId="77777777" w:rsidR="00287825" w:rsidRDefault="00287825" w:rsidP="00357CEC">
            <w:pPr>
              <w:pStyle w:val="Default"/>
              <w:rPr>
                <w:sz w:val="22"/>
                <w:szCs w:val="22"/>
              </w:rPr>
            </w:pPr>
          </w:p>
          <w:p w14:paraId="3D700E5C" w14:textId="77777777" w:rsidR="00287825" w:rsidRDefault="00287825" w:rsidP="00357CEC">
            <w:pPr>
              <w:pStyle w:val="Default"/>
              <w:rPr>
                <w:sz w:val="22"/>
                <w:szCs w:val="22"/>
              </w:rPr>
            </w:pPr>
          </w:p>
          <w:p w14:paraId="51B44C19" w14:textId="77777777" w:rsidR="00287825" w:rsidRDefault="00287825" w:rsidP="00357CEC">
            <w:pPr>
              <w:pStyle w:val="Default"/>
              <w:rPr>
                <w:sz w:val="22"/>
                <w:szCs w:val="22"/>
              </w:rPr>
            </w:pPr>
          </w:p>
          <w:p w14:paraId="4B0529EB" w14:textId="0CF12DFF" w:rsidR="00D82E61" w:rsidRDefault="00D82E61" w:rsidP="00357CEC">
            <w:pPr>
              <w:pStyle w:val="Default"/>
              <w:rPr>
                <w:sz w:val="22"/>
                <w:szCs w:val="22"/>
              </w:rPr>
            </w:pPr>
          </w:p>
          <w:p w14:paraId="52B22FC6" w14:textId="04831499" w:rsidR="009D0AA1" w:rsidRDefault="009D0AA1" w:rsidP="00357CEC">
            <w:pPr>
              <w:pStyle w:val="Default"/>
              <w:rPr>
                <w:sz w:val="22"/>
                <w:szCs w:val="22"/>
              </w:rPr>
            </w:pPr>
          </w:p>
          <w:p w14:paraId="38539FB4" w14:textId="496C16C4" w:rsidR="00287825" w:rsidRDefault="00287825" w:rsidP="00357CEC">
            <w:pPr>
              <w:pStyle w:val="Default"/>
              <w:rPr>
                <w:sz w:val="22"/>
                <w:szCs w:val="22"/>
              </w:rPr>
            </w:pPr>
            <w:r>
              <w:rPr>
                <w:sz w:val="22"/>
                <w:szCs w:val="22"/>
              </w:rPr>
              <w:t>NZ</w:t>
            </w:r>
          </w:p>
          <w:p w14:paraId="797420E5" w14:textId="77777777" w:rsidR="00287825" w:rsidRDefault="00287825" w:rsidP="00357CEC">
            <w:pPr>
              <w:pStyle w:val="Default"/>
              <w:rPr>
                <w:sz w:val="22"/>
                <w:szCs w:val="22"/>
              </w:rPr>
            </w:pPr>
          </w:p>
          <w:p w14:paraId="782E0C4C" w14:textId="77777777" w:rsidR="00287825" w:rsidRDefault="00287825" w:rsidP="00357CEC">
            <w:pPr>
              <w:pStyle w:val="Default"/>
              <w:rPr>
                <w:sz w:val="22"/>
                <w:szCs w:val="22"/>
              </w:rPr>
            </w:pPr>
          </w:p>
          <w:p w14:paraId="61DCD360" w14:textId="77777777" w:rsidR="00287825" w:rsidRDefault="00287825" w:rsidP="00357CEC">
            <w:pPr>
              <w:pStyle w:val="Default"/>
              <w:rPr>
                <w:sz w:val="22"/>
                <w:szCs w:val="22"/>
              </w:rPr>
            </w:pPr>
          </w:p>
          <w:p w14:paraId="4C9338D4" w14:textId="77777777" w:rsidR="00287825" w:rsidRDefault="00287825" w:rsidP="00357CEC">
            <w:pPr>
              <w:pStyle w:val="Default"/>
              <w:rPr>
                <w:sz w:val="22"/>
                <w:szCs w:val="22"/>
              </w:rPr>
            </w:pPr>
          </w:p>
          <w:p w14:paraId="34722274" w14:textId="77777777" w:rsidR="00287825" w:rsidRDefault="00287825" w:rsidP="00357CEC">
            <w:pPr>
              <w:pStyle w:val="Default"/>
              <w:rPr>
                <w:sz w:val="22"/>
                <w:szCs w:val="22"/>
              </w:rPr>
            </w:pPr>
          </w:p>
          <w:p w14:paraId="5546F046" w14:textId="63BA5091" w:rsidR="00D82E61" w:rsidRDefault="00D82E61" w:rsidP="00357CEC">
            <w:pPr>
              <w:pStyle w:val="Default"/>
              <w:rPr>
                <w:sz w:val="22"/>
                <w:szCs w:val="22"/>
              </w:rPr>
            </w:pPr>
          </w:p>
          <w:p w14:paraId="7680DFCC" w14:textId="26DBB1F6" w:rsidR="00287825" w:rsidRDefault="00287825" w:rsidP="00357CEC">
            <w:pPr>
              <w:pStyle w:val="Default"/>
              <w:rPr>
                <w:sz w:val="22"/>
                <w:szCs w:val="22"/>
              </w:rPr>
            </w:pPr>
            <w:r>
              <w:rPr>
                <w:sz w:val="22"/>
                <w:szCs w:val="22"/>
              </w:rPr>
              <w:t>NZ</w:t>
            </w:r>
          </w:p>
          <w:p w14:paraId="7FD5CD8D" w14:textId="77777777" w:rsidR="00287825" w:rsidRDefault="00287825" w:rsidP="00357CEC">
            <w:pPr>
              <w:pStyle w:val="Default"/>
              <w:rPr>
                <w:sz w:val="22"/>
                <w:szCs w:val="22"/>
              </w:rPr>
            </w:pPr>
          </w:p>
          <w:p w14:paraId="30EB016B" w14:textId="77777777" w:rsidR="00287825" w:rsidRDefault="00287825" w:rsidP="00357CEC">
            <w:pPr>
              <w:pStyle w:val="Default"/>
              <w:rPr>
                <w:sz w:val="22"/>
                <w:szCs w:val="22"/>
              </w:rPr>
            </w:pPr>
          </w:p>
          <w:p w14:paraId="640BAAF4" w14:textId="77777777" w:rsidR="00287825" w:rsidRDefault="00287825" w:rsidP="00357CEC">
            <w:pPr>
              <w:pStyle w:val="Default"/>
              <w:rPr>
                <w:sz w:val="22"/>
                <w:szCs w:val="22"/>
              </w:rPr>
            </w:pPr>
          </w:p>
          <w:p w14:paraId="53DD80CF" w14:textId="77777777" w:rsidR="00287825" w:rsidRDefault="00287825" w:rsidP="00357CEC">
            <w:pPr>
              <w:pStyle w:val="Default"/>
              <w:rPr>
                <w:sz w:val="22"/>
                <w:szCs w:val="22"/>
              </w:rPr>
            </w:pPr>
          </w:p>
          <w:p w14:paraId="5E1FED31" w14:textId="77777777" w:rsidR="00287825" w:rsidRDefault="00287825" w:rsidP="00357CEC">
            <w:pPr>
              <w:pStyle w:val="Default"/>
              <w:rPr>
                <w:sz w:val="22"/>
                <w:szCs w:val="22"/>
              </w:rPr>
            </w:pPr>
          </w:p>
          <w:p w14:paraId="3D4401D2" w14:textId="77777777" w:rsidR="00287825" w:rsidRDefault="00287825" w:rsidP="00357CEC">
            <w:pPr>
              <w:pStyle w:val="Default"/>
              <w:rPr>
                <w:sz w:val="22"/>
                <w:szCs w:val="22"/>
              </w:rPr>
            </w:pPr>
          </w:p>
          <w:p w14:paraId="1976F952" w14:textId="77777777" w:rsidR="00287825" w:rsidRDefault="00287825" w:rsidP="00357CEC">
            <w:pPr>
              <w:pStyle w:val="Default"/>
              <w:rPr>
                <w:sz w:val="22"/>
                <w:szCs w:val="22"/>
              </w:rPr>
            </w:pPr>
          </w:p>
          <w:p w14:paraId="487538A5" w14:textId="77777777" w:rsidR="00287825" w:rsidRDefault="00287825" w:rsidP="00357CEC">
            <w:pPr>
              <w:pStyle w:val="Default"/>
              <w:rPr>
                <w:sz w:val="22"/>
                <w:szCs w:val="22"/>
              </w:rPr>
            </w:pPr>
          </w:p>
          <w:p w14:paraId="4220E809" w14:textId="77777777" w:rsidR="00287825" w:rsidRDefault="00287825" w:rsidP="00357CEC">
            <w:pPr>
              <w:pStyle w:val="Default"/>
              <w:rPr>
                <w:sz w:val="22"/>
                <w:szCs w:val="22"/>
              </w:rPr>
            </w:pPr>
          </w:p>
          <w:p w14:paraId="596B3888" w14:textId="77777777" w:rsidR="00287825" w:rsidRDefault="00287825" w:rsidP="00357CEC">
            <w:pPr>
              <w:pStyle w:val="Default"/>
              <w:rPr>
                <w:sz w:val="22"/>
                <w:szCs w:val="22"/>
              </w:rPr>
            </w:pPr>
          </w:p>
          <w:p w14:paraId="0E8DBA3B" w14:textId="77777777" w:rsidR="00287825" w:rsidRDefault="00287825" w:rsidP="00357CEC">
            <w:pPr>
              <w:pStyle w:val="Default"/>
              <w:rPr>
                <w:sz w:val="22"/>
                <w:szCs w:val="22"/>
              </w:rPr>
            </w:pPr>
          </w:p>
          <w:p w14:paraId="7835098B" w14:textId="77777777" w:rsidR="00287825" w:rsidRDefault="00287825" w:rsidP="00357CEC">
            <w:pPr>
              <w:pStyle w:val="Default"/>
              <w:rPr>
                <w:sz w:val="22"/>
                <w:szCs w:val="22"/>
              </w:rPr>
            </w:pPr>
          </w:p>
          <w:p w14:paraId="38DA2050" w14:textId="77777777" w:rsidR="00287825" w:rsidRDefault="00287825" w:rsidP="00357CEC">
            <w:pPr>
              <w:pStyle w:val="Default"/>
              <w:rPr>
                <w:sz w:val="22"/>
                <w:szCs w:val="22"/>
              </w:rPr>
            </w:pPr>
          </w:p>
          <w:p w14:paraId="30E7A190" w14:textId="77777777" w:rsidR="00287825" w:rsidRDefault="00287825" w:rsidP="00357CEC">
            <w:pPr>
              <w:pStyle w:val="Default"/>
              <w:rPr>
                <w:sz w:val="22"/>
                <w:szCs w:val="22"/>
              </w:rPr>
            </w:pPr>
          </w:p>
          <w:p w14:paraId="19A028F9" w14:textId="77777777" w:rsidR="00287825" w:rsidRDefault="00287825" w:rsidP="00357CEC">
            <w:pPr>
              <w:pStyle w:val="Default"/>
              <w:rPr>
                <w:sz w:val="22"/>
                <w:szCs w:val="22"/>
              </w:rPr>
            </w:pPr>
          </w:p>
          <w:p w14:paraId="1DA1FB29" w14:textId="77777777" w:rsidR="00287825" w:rsidRDefault="00287825" w:rsidP="00357CEC">
            <w:pPr>
              <w:pStyle w:val="Default"/>
              <w:rPr>
                <w:sz w:val="22"/>
                <w:szCs w:val="22"/>
              </w:rPr>
            </w:pPr>
          </w:p>
          <w:p w14:paraId="60AB0934" w14:textId="77777777" w:rsidR="00287825" w:rsidRDefault="00287825" w:rsidP="00357CEC">
            <w:pPr>
              <w:pStyle w:val="Default"/>
              <w:rPr>
                <w:sz w:val="22"/>
                <w:szCs w:val="22"/>
              </w:rPr>
            </w:pPr>
          </w:p>
          <w:p w14:paraId="65B5D3AE" w14:textId="77777777" w:rsidR="00287825" w:rsidRDefault="00287825" w:rsidP="00357CEC">
            <w:pPr>
              <w:pStyle w:val="Default"/>
              <w:rPr>
                <w:sz w:val="22"/>
                <w:szCs w:val="22"/>
              </w:rPr>
            </w:pPr>
          </w:p>
          <w:p w14:paraId="2C47718F" w14:textId="3CFBC802" w:rsidR="0082715B" w:rsidRDefault="0082715B" w:rsidP="00357CEC">
            <w:pPr>
              <w:pStyle w:val="Default"/>
              <w:rPr>
                <w:sz w:val="22"/>
                <w:szCs w:val="22"/>
              </w:rPr>
            </w:pPr>
          </w:p>
          <w:p w14:paraId="0DF25BE0" w14:textId="77777777" w:rsidR="009D0AA1" w:rsidRDefault="009D0AA1" w:rsidP="00357CEC">
            <w:pPr>
              <w:pStyle w:val="Default"/>
              <w:rPr>
                <w:sz w:val="22"/>
                <w:szCs w:val="22"/>
              </w:rPr>
            </w:pPr>
          </w:p>
          <w:p w14:paraId="20AECB4C" w14:textId="77777777" w:rsidR="009D0AA1" w:rsidRDefault="009D0AA1" w:rsidP="00357CEC">
            <w:pPr>
              <w:pStyle w:val="Default"/>
              <w:rPr>
                <w:sz w:val="22"/>
                <w:szCs w:val="22"/>
              </w:rPr>
            </w:pPr>
          </w:p>
          <w:p w14:paraId="33A9B562" w14:textId="77777777" w:rsidR="009D0AA1" w:rsidRDefault="009D0AA1" w:rsidP="00357CEC">
            <w:pPr>
              <w:pStyle w:val="Default"/>
              <w:rPr>
                <w:sz w:val="22"/>
                <w:szCs w:val="22"/>
              </w:rPr>
            </w:pPr>
          </w:p>
          <w:p w14:paraId="5EDD6F60" w14:textId="6CB9EC43" w:rsidR="00287825" w:rsidRDefault="00287825" w:rsidP="00357CEC">
            <w:pPr>
              <w:pStyle w:val="Default"/>
              <w:rPr>
                <w:sz w:val="22"/>
                <w:szCs w:val="22"/>
              </w:rPr>
            </w:pPr>
            <w:r>
              <w:rPr>
                <w:sz w:val="22"/>
                <w:szCs w:val="22"/>
              </w:rPr>
              <w:t>NZ</w:t>
            </w:r>
          </w:p>
          <w:p w14:paraId="475F6A2B" w14:textId="77777777" w:rsidR="00287825" w:rsidRDefault="00287825" w:rsidP="00357CEC">
            <w:pPr>
              <w:pStyle w:val="Default"/>
              <w:rPr>
                <w:sz w:val="22"/>
                <w:szCs w:val="22"/>
              </w:rPr>
            </w:pPr>
          </w:p>
          <w:p w14:paraId="6082ED1F" w14:textId="77777777" w:rsidR="00287825" w:rsidRDefault="00287825" w:rsidP="00357CEC">
            <w:pPr>
              <w:pStyle w:val="Default"/>
              <w:rPr>
                <w:sz w:val="22"/>
                <w:szCs w:val="22"/>
              </w:rPr>
            </w:pPr>
          </w:p>
          <w:p w14:paraId="46106E37" w14:textId="196A1121" w:rsidR="00287825" w:rsidRDefault="00287825" w:rsidP="00357CEC">
            <w:pPr>
              <w:pStyle w:val="Default"/>
              <w:rPr>
                <w:sz w:val="22"/>
                <w:szCs w:val="22"/>
              </w:rPr>
            </w:pPr>
          </w:p>
          <w:p w14:paraId="08191838" w14:textId="77777777" w:rsidR="00287825" w:rsidRDefault="00287825" w:rsidP="00357CEC">
            <w:pPr>
              <w:pStyle w:val="Default"/>
              <w:rPr>
                <w:sz w:val="22"/>
                <w:szCs w:val="22"/>
              </w:rPr>
            </w:pPr>
            <w:r>
              <w:rPr>
                <w:sz w:val="22"/>
                <w:szCs w:val="22"/>
              </w:rPr>
              <w:t>NZ</w:t>
            </w:r>
          </w:p>
          <w:p w14:paraId="2E34E7F4" w14:textId="77777777" w:rsidR="00287825" w:rsidRDefault="00287825" w:rsidP="00357CEC">
            <w:pPr>
              <w:pStyle w:val="Default"/>
              <w:rPr>
                <w:sz w:val="22"/>
                <w:szCs w:val="22"/>
              </w:rPr>
            </w:pPr>
          </w:p>
          <w:p w14:paraId="7D4E2A9B" w14:textId="77777777" w:rsidR="00287825" w:rsidRDefault="00287825" w:rsidP="00357CEC">
            <w:pPr>
              <w:pStyle w:val="Default"/>
              <w:rPr>
                <w:sz w:val="22"/>
                <w:szCs w:val="22"/>
              </w:rPr>
            </w:pPr>
          </w:p>
          <w:p w14:paraId="46BF0E78" w14:textId="77777777" w:rsidR="00287825" w:rsidRDefault="00287825" w:rsidP="00357CEC">
            <w:pPr>
              <w:pStyle w:val="Default"/>
              <w:rPr>
                <w:sz w:val="22"/>
                <w:szCs w:val="22"/>
              </w:rPr>
            </w:pPr>
          </w:p>
          <w:p w14:paraId="15E1E081" w14:textId="77777777" w:rsidR="00287825" w:rsidRDefault="00287825" w:rsidP="00357CEC">
            <w:pPr>
              <w:pStyle w:val="Default"/>
              <w:rPr>
                <w:sz w:val="22"/>
                <w:szCs w:val="22"/>
              </w:rPr>
            </w:pPr>
          </w:p>
          <w:p w14:paraId="4B4059C3" w14:textId="77777777" w:rsidR="00287825" w:rsidRDefault="00287825" w:rsidP="00357CEC">
            <w:pPr>
              <w:pStyle w:val="Default"/>
              <w:rPr>
                <w:sz w:val="22"/>
                <w:szCs w:val="22"/>
              </w:rPr>
            </w:pPr>
          </w:p>
          <w:p w14:paraId="393ECE63" w14:textId="77777777" w:rsidR="00287825" w:rsidRDefault="00287825" w:rsidP="00357CEC">
            <w:pPr>
              <w:pStyle w:val="Default"/>
              <w:rPr>
                <w:sz w:val="22"/>
                <w:szCs w:val="22"/>
              </w:rPr>
            </w:pPr>
          </w:p>
          <w:p w14:paraId="13913664" w14:textId="77777777" w:rsidR="00287825" w:rsidRDefault="00287825" w:rsidP="00357CEC">
            <w:pPr>
              <w:pStyle w:val="Default"/>
              <w:rPr>
                <w:sz w:val="22"/>
                <w:szCs w:val="22"/>
              </w:rPr>
            </w:pPr>
          </w:p>
          <w:p w14:paraId="6AA5BA0F" w14:textId="77777777" w:rsidR="00287825" w:rsidRDefault="00287825" w:rsidP="00357CEC">
            <w:pPr>
              <w:pStyle w:val="Default"/>
              <w:rPr>
                <w:sz w:val="22"/>
                <w:szCs w:val="22"/>
              </w:rPr>
            </w:pPr>
          </w:p>
          <w:p w14:paraId="0DF996AC" w14:textId="77777777" w:rsidR="00287825" w:rsidRDefault="00287825" w:rsidP="00357CEC">
            <w:pPr>
              <w:pStyle w:val="Default"/>
              <w:rPr>
                <w:sz w:val="22"/>
                <w:szCs w:val="22"/>
              </w:rPr>
            </w:pPr>
          </w:p>
          <w:p w14:paraId="5709D0B1" w14:textId="77777777" w:rsidR="00287825" w:rsidRDefault="00287825" w:rsidP="00357CEC">
            <w:pPr>
              <w:pStyle w:val="Default"/>
              <w:rPr>
                <w:sz w:val="22"/>
                <w:szCs w:val="22"/>
              </w:rPr>
            </w:pPr>
          </w:p>
          <w:p w14:paraId="1582AB26" w14:textId="77777777" w:rsidR="00287825" w:rsidRDefault="00287825" w:rsidP="00357CEC">
            <w:pPr>
              <w:pStyle w:val="Default"/>
              <w:rPr>
                <w:sz w:val="22"/>
                <w:szCs w:val="22"/>
              </w:rPr>
            </w:pPr>
          </w:p>
          <w:p w14:paraId="204A6569" w14:textId="77777777" w:rsidR="00287825" w:rsidRDefault="00287825" w:rsidP="00357CEC">
            <w:pPr>
              <w:pStyle w:val="Default"/>
              <w:rPr>
                <w:sz w:val="22"/>
                <w:szCs w:val="22"/>
              </w:rPr>
            </w:pPr>
          </w:p>
          <w:p w14:paraId="5342D383" w14:textId="77777777" w:rsidR="00287825" w:rsidRDefault="00287825" w:rsidP="00357CEC">
            <w:pPr>
              <w:pStyle w:val="Default"/>
              <w:rPr>
                <w:sz w:val="22"/>
                <w:szCs w:val="22"/>
              </w:rPr>
            </w:pPr>
          </w:p>
          <w:p w14:paraId="6D6D04F9" w14:textId="77777777" w:rsidR="00287825" w:rsidRDefault="00287825" w:rsidP="00357CEC">
            <w:pPr>
              <w:pStyle w:val="Default"/>
              <w:rPr>
                <w:sz w:val="22"/>
                <w:szCs w:val="22"/>
              </w:rPr>
            </w:pPr>
          </w:p>
          <w:p w14:paraId="523ECE2A" w14:textId="77777777" w:rsidR="00287825" w:rsidRDefault="00287825" w:rsidP="00357CEC">
            <w:pPr>
              <w:pStyle w:val="Default"/>
              <w:rPr>
                <w:sz w:val="22"/>
                <w:szCs w:val="22"/>
              </w:rPr>
            </w:pPr>
          </w:p>
          <w:p w14:paraId="6D2211A8" w14:textId="77777777" w:rsidR="00287825" w:rsidRDefault="00287825" w:rsidP="00357CEC">
            <w:pPr>
              <w:pStyle w:val="Default"/>
              <w:rPr>
                <w:sz w:val="22"/>
                <w:szCs w:val="22"/>
              </w:rPr>
            </w:pPr>
          </w:p>
          <w:p w14:paraId="23C9D158" w14:textId="77777777" w:rsidR="00287825" w:rsidRDefault="00287825" w:rsidP="00357CEC">
            <w:pPr>
              <w:pStyle w:val="Default"/>
              <w:rPr>
                <w:sz w:val="22"/>
                <w:szCs w:val="22"/>
              </w:rPr>
            </w:pPr>
          </w:p>
          <w:p w14:paraId="52EB17BB" w14:textId="77777777" w:rsidR="00287825" w:rsidRDefault="00287825" w:rsidP="00357CEC">
            <w:pPr>
              <w:pStyle w:val="Default"/>
              <w:rPr>
                <w:sz w:val="22"/>
                <w:szCs w:val="22"/>
              </w:rPr>
            </w:pPr>
          </w:p>
          <w:p w14:paraId="60B2CCD0" w14:textId="77777777" w:rsidR="00287825" w:rsidRDefault="00287825" w:rsidP="00357CEC">
            <w:pPr>
              <w:pStyle w:val="Default"/>
              <w:rPr>
                <w:sz w:val="22"/>
                <w:szCs w:val="22"/>
              </w:rPr>
            </w:pPr>
          </w:p>
          <w:p w14:paraId="245D5803" w14:textId="77777777" w:rsidR="00287825" w:rsidRDefault="00287825" w:rsidP="00357CEC">
            <w:pPr>
              <w:pStyle w:val="Default"/>
              <w:rPr>
                <w:sz w:val="22"/>
                <w:szCs w:val="22"/>
              </w:rPr>
            </w:pPr>
          </w:p>
          <w:p w14:paraId="07361425" w14:textId="77777777" w:rsidR="00287825" w:rsidRDefault="00287825" w:rsidP="00357CEC">
            <w:pPr>
              <w:pStyle w:val="Default"/>
              <w:rPr>
                <w:sz w:val="22"/>
                <w:szCs w:val="22"/>
              </w:rPr>
            </w:pPr>
          </w:p>
          <w:p w14:paraId="2A12CDF7" w14:textId="77777777" w:rsidR="00287825" w:rsidRDefault="00287825" w:rsidP="00357CEC">
            <w:pPr>
              <w:pStyle w:val="Default"/>
              <w:rPr>
                <w:sz w:val="22"/>
                <w:szCs w:val="22"/>
              </w:rPr>
            </w:pPr>
          </w:p>
          <w:p w14:paraId="3D2A733E" w14:textId="77777777" w:rsidR="00287825" w:rsidRDefault="00287825" w:rsidP="00357CEC">
            <w:pPr>
              <w:pStyle w:val="Default"/>
              <w:rPr>
                <w:sz w:val="22"/>
                <w:szCs w:val="22"/>
              </w:rPr>
            </w:pPr>
          </w:p>
          <w:p w14:paraId="63D35650" w14:textId="77777777" w:rsidR="00287825" w:rsidRDefault="00287825" w:rsidP="00357CEC">
            <w:pPr>
              <w:pStyle w:val="Default"/>
              <w:rPr>
                <w:sz w:val="22"/>
                <w:szCs w:val="22"/>
              </w:rPr>
            </w:pPr>
          </w:p>
          <w:p w14:paraId="35378A26" w14:textId="77777777" w:rsidR="00287825" w:rsidRDefault="00287825" w:rsidP="00357CEC">
            <w:pPr>
              <w:pStyle w:val="Default"/>
              <w:rPr>
                <w:sz w:val="22"/>
                <w:szCs w:val="22"/>
              </w:rPr>
            </w:pPr>
          </w:p>
          <w:p w14:paraId="71D8FAE9" w14:textId="77777777" w:rsidR="00287825" w:rsidRDefault="00287825" w:rsidP="00357CEC">
            <w:pPr>
              <w:pStyle w:val="Default"/>
              <w:rPr>
                <w:sz w:val="22"/>
                <w:szCs w:val="22"/>
              </w:rPr>
            </w:pPr>
          </w:p>
          <w:p w14:paraId="31DB0708" w14:textId="77777777" w:rsidR="00287825" w:rsidRDefault="00287825" w:rsidP="00357CEC">
            <w:pPr>
              <w:pStyle w:val="Default"/>
              <w:rPr>
                <w:sz w:val="22"/>
                <w:szCs w:val="22"/>
              </w:rPr>
            </w:pPr>
          </w:p>
          <w:p w14:paraId="15BC7CBF" w14:textId="77777777" w:rsidR="00287825" w:rsidRDefault="00287825" w:rsidP="00357CEC">
            <w:pPr>
              <w:pStyle w:val="Default"/>
              <w:rPr>
                <w:sz w:val="22"/>
                <w:szCs w:val="22"/>
              </w:rPr>
            </w:pPr>
          </w:p>
          <w:p w14:paraId="5703002C" w14:textId="77777777" w:rsidR="00287825" w:rsidRDefault="00287825" w:rsidP="00357CEC">
            <w:pPr>
              <w:pStyle w:val="Default"/>
              <w:rPr>
                <w:sz w:val="22"/>
                <w:szCs w:val="22"/>
              </w:rPr>
            </w:pPr>
          </w:p>
          <w:p w14:paraId="5F1ADDC4" w14:textId="77777777" w:rsidR="00287825" w:rsidRDefault="00287825" w:rsidP="00357CEC">
            <w:pPr>
              <w:pStyle w:val="Default"/>
              <w:rPr>
                <w:sz w:val="22"/>
                <w:szCs w:val="22"/>
              </w:rPr>
            </w:pPr>
          </w:p>
          <w:p w14:paraId="2693BE33" w14:textId="77777777" w:rsidR="00287825" w:rsidRDefault="00287825" w:rsidP="00357CEC">
            <w:pPr>
              <w:pStyle w:val="Default"/>
              <w:rPr>
                <w:sz w:val="22"/>
                <w:szCs w:val="22"/>
              </w:rPr>
            </w:pPr>
          </w:p>
          <w:p w14:paraId="17200E85" w14:textId="77777777" w:rsidR="00287825" w:rsidRDefault="00287825" w:rsidP="00357CEC">
            <w:pPr>
              <w:pStyle w:val="Default"/>
              <w:rPr>
                <w:sz w:val="22"/>
                <w:szCs w:val="22"/>
              </w:rPr>
            </w:pPr>
          </w:p>
          <w:p w14:paraId="12FC71F4" w14:textId="77777777" w:rsidR="00287825" w:rsidRDefault="00287825" w:rsidP="00357CEC">
            <w:pPr>
              <w:pStyle w:val="Default"/>
              <w:rPr>
                <w:sz w:val="22"/>
                <w:szCs w:val="22"/>
              </w:rPr>
            </w:pPr>
          </w:p>
          <w:p w14:paraId="663D14B4" w14:textId="77777777" w:rsidR="00287825" w:rsidRDefault="00287825" w:rsidP="00357CEC">
            <w:pPr>
              <w:pStyle w:val="Default"/>
              <w:rPr>
                <w:sz w:val="22"/>
                <w:szCs w:val="22"/>
              </w:rPr>
            </w:pPr>
          </w:p>
          <w:p w14:paraId="2BDD0101" w14:textId="77777777" w:rsidR="00287825" w:rsidRDefault="00287825" w:rsidP="00357CEC">
            <w:pPr>
              <w:pStyle w:val="Default"/>
              <w:rPr>
                <w:sz w:val="22"/>
                <w:szCs w:val="22"/>
              </w:rPr>
            </w:pPr>
          </w:p>
          <w:p w14:paraId="32AC4C9F" w14:textId="77777777" w:rsidR="00287825" w:rsidRDefault="00287825" w:rsidP="00357CEC">
            <w:pPr>
              <w:pStyle w:val="Default"/>
              <w:rPr>
                <w:sz w:val="22"/>
                <w:szCs w:val="22"/>
              </w:rPr>
            </w:pPr>
          </w:p>
          <w:p w14:paraId="17411062" w14:textId="77777777" w:rsidR="00287825" w:rsidRDefault="00287825" w:rsidP="00357CEC">
            <w:pPr>
              <w:pStyle w:val="Default"/>
              <w:rPr>
                <w:sz w:val="22"/>
                <w:szCs w:val="22"/>
              </w:rPr>
            </w:pPr>
          </w:p>
          <w:p w14:paraId="41A58066" w14:textId="77777777" w:rsidR="00287825" w:rsidRDefault="00287825" w:rsidP="00357CEC">
            <w:pPr>
              <w:pStyle w:val="Default"/>
              <w:rPr>
                <w:sz w:val="22"/>
                <w:szCs w:val="22"/>
              </w:rPr>
            </w:pPr>
          </w:p>
          <w:p w14:paraId="5E68DFE5" w14:textId="77777777" w:rsidR="00287825" w:rsidRDefault="00287825" w:rsidP="00357CEC">
            <w:pPr>
              <w:pStyle w:val="Default"/>
              <w:rPr>
                <w:sz w:val="22"/>
                <w:szCs w:val="22"/>
              </w:rPr>
            </w:pPr>
          </w:p>
          <w:p w14:paraId="691F7F7E" w14:textId="77777777" w:rsidR="00287825" w:rsidRDefault="00287825" w:rsidP="00357CEC">
            <w:pPr>
              <w:pStyle w:val="Default"/>
              <w:rPr>
                <w:sz w:val="22"/>
                <w:szCs w:val="22"/>
              </w:rPr>
            </w:pPr>
          </w:p>
          <w:p w14:paraId="37527A0D" w14:textId="77777777" w:rsidR="00287825" w:rsidRDefault="00287825" w:rsidP="00357CEC">
            <w:pPr>
              <w:pStyle w:val="Default"/>
              <w:rPr>
                <w:sz w:val="22"/>
                <w:szCs w:val="22"/>
              </w:rPr>
            </w:pPr>
          </w:p>
          <w:p w14:paraId="7C5643B4" w14:textId="77777777" w:rsidR="00287825" w:rsidRDefault="00287825" w:rsidP="00357CEC">
            <w:pPr>
              <w:pStyle w:val="Default"/>
              <w:rPr>
                <w:sz w:val="22"/>
                <w:szCs w:val="22"/>
              </w:rPr>
            </w:pPr>
          </w:p>
          <w:p w14:paraId="347D2135" w14:textId="77777777" w:rsidR="00287825" w:rsidRDefault="00287825" w:rsidP="00357CEC">
            <w:pPr>
              <w:pStyle w:val="Default"/>
              <w:rPr>
                <w:sz w:val="22"/>
                <w:szCs w:val="22"/>
              </w:rPr>
            </w:pPr>
          </w:p>
          <w:p w14:paraId="3CC6C4A0" w14:textId="77777777" w:rsidR="00287825" w:rsidRDefault="00287825" w:rsidP="00357CEC">
            <w:pPr>
              <w:pStyle w:val="Default"/>
              <w:rPr>
                <w:sz w:val="22"/>
                <w:szCs w:val="22"/>
              </w:rPr>
            </w:pPr>
          </w:p>
          <w:p w14:paraId="226EB77B" w14:textId="77777777" w:rsidR="00287825" w:rsidRDefault="00287825" w:rsidP="00357CEC">
            <w:pPr>
              <w:pStyle w:val="Default"/>
              <w:rPr>
                <w:sz w:val="22"/>
                <w:szCs w:val="22"/>
              </w:rPr>
            </w:pPr>
          </w:p>
          <w:p w14:paraId="66C6F96A" w14:textId="77777777" w:rsidR="00287825" w:rsidRDefault="00287825" w:rsidP="00357CEC">
            <w:pPr>
              <w:pStyle w:val="Default"/>
              <w:rPr>
                <w:sz w:val="22"/>
                <w:szCs w:val="22"/>
              </w:rPr>
            </w:pPr>
          </w:p>
          <w:p w14:paraId="1938C138" w14:textId="77777777" w:rsidR="00287825" w:rsidRDefault="00287825" w:rsidP="00357CEC">
            <w:pPr>
              <w:pStyle w:val="Default"/>
              <w:rPr>
                <w:sz w:val="22"/>
                <w:szCs w:val="22"/>
              </w:rPr>
            </w:pPr>
          </w:p>
          <w:p w14:paraId="497C893B" w14:textId="77777777" w:rsidR="00287825" w:rsidRDefault="00287825" w:rsidP="00357CEC">
            <w:pPr>
              <w:pStyle w:val="Default"/>
              <w:rPr>
                <w:sz w:val="22"/>
                <w:szCs w:val="22"/>
              </w:rPr>
            </w:pPr>
          </w:p>
          <w:p w14:paraId="07EE4D4B" w14:textId="77777777" w:rsidR="00287825" w:rsidRDefault="00287825" w:rsidP="00357CEC">
            <w:pPr>
              <w:pStyle w:val="Default"/>
              <w:rPr>
                <w:sz w:val="22"/>
                <w:szCs w:val="22"/>
              </w:rPr>
            </w:pPr>
          </w:p>
          <w:p w14:paraId="19EA4CDA" w14:textId="77777777" w:rsidR="00287825" w:rsidRDefault="00287825" w:rsidP="00357CEC">
            <w:pPr>
              <w:pStyle w:val="Default"/>
              <w:rPr>
                <w:sz w:val="22"/>
                <w:szCs w:val="22"/>
              </w:rPr>
            </w:pPr>
          </w:p>
          <w:p w14:paraId="3DF226CB" w14:textId="77777777" w:rsidR="00287825" w:rsidRDefault="00287825" w:rsidP="00357CEC">
            <w:pPr>
              <w:pStyle w:val="Default"/>
              <w:rPr>
                <w:sz w:val="22"/>
                <w:szCs w:val="22"/>
              </w:rPr>
            </w:pPr>
          </w:p>
          <w:p w14:paraId="2A66A63C" w14:textId="77777777" w:rsidR="00287825" w:rsidRDefault="00287825" w:rsidP="00357CEC">
            <w:pPr>
              <w:pStyle w:val="Default"/>
              <w:rPr>
                <w:sz w:val="22"/>
                <w:szCs w:val="22"/>
              </w:rPr>
            </w:pPr>
          </w:p>
          <w:p w14:paraId="18CF21CF" w14:textId="77777777" w:rsidR="00287825" w:rsidRDefault="00287825" w:rsidP="00357CEC">
            <w:pPr>
              <w:pStyle w:val="Default"/>
              <w:rPr>
                <w:sz w:val="22"/>
                <w:szCs w:val="22"/>
              </w:rPr>
            </w:pPr>
          </w:p>
          <w:p w14:paraId="7EF16183" w14:textId="77777777" w:rsidR="00287825" w:rsidRDefault="00287825" w:rsidP="00357CEC">
            <w:pPr>
              <w:pStyle w:val="Default"/>
              <w:rPr>
                <w:sz w:val="22"/>
                <w:szCs w:val="22"/>
              </w:rPr>
            </w:pPr>
          </w:p>
          <w:p w14:paraId="0D6F9F19" w14:textId="77777777" w:rsidR="00287825" w:rsidRDefault="00287825" w:rsidP="00357CEC">
            <w:pPr>
              <w:pStyle w:val="Default"/>
              <w:rPr>
                <w:sz w:val="22"/>
                <w:szCs w:val="22"/>
              </w:rPr>
            </w:pPr>
          </w:p>
          <w:p w14:paraId="7A083E59" w14:textId="77777777" w:rsidR="00287825" w:rsidRDefault="00287825" w:rsidP="00357CEC">
            <w:pPr>
              <w:pStyle w:val="Default"/>
              <w:rPr>
                <w:sz w:val="22"/>
                <w:szCs w:val="22"/>
              </w:rPr>
            </w:pPr>
          </w:p>
          <w:p w14:paraId="01F50548" w14:textId="77777777" w:rsidR="00287825" w:rsidRDefault="00287825" w:rsidP="00357CEC">
            <w:pPr>
              <w:pStyle w:val="Default"/>
              <w:rPr>
                <w:sz w:val="22"/>
                <w:szCs w:val="22"/>
              </w:rPr>
            </w:pPr>
          </w:p>
          <w:p w14:paraId="1667A462" w14:textId="77777777" w:rsidR="00287825" w:rsidRDefault="00287825" w:rsidP="00357CEC">
            <w:pPr>
              <w:pStyle w:val="Default"/>
              <w:rPr>
                <w:sz w:val="22"/>
                <w:szCs w:val="22"/>
              </w:rPr>
            </w:pPr>
          </w:p>
          <w:p w14:paraId="006CDACC" w14:textId="77777777" w:rsidR="00287825" w:rsidRDefault="00287825" w:rsidP="00357CEC">
            <w:pPr>
              <w:pStyle w:val="Default"/>
              <w:rPr>
                <w:sz w:val="22"/>
                <w:szCs w:val="22"/>
              </w:rPr>
            </w:pPr>
          </w:p>
          <w:p w14:paraId="3F79BC0B" w14:textId="77777777" w:rsidR="00287825" w:rsidRDefault="00287825" w:rsidP="00357CEC">
            <w:pPr>
              <w:pStyle w:val="Default"/>
              <w:rPr>
                <w:sz w:val="22"/>
                <w:szCs w:val="22"/>
              </w:rPr>
            </w:pPr>
          </w:p>
          <w:p w14:paraId="10F65F0E" w14:textId="77777777" w:rsidR="00287825" w:rsidRDefault="00287825" w:rsidP="00357CEC">
            <w:pPr>
              <w:pStyle w:val="Default"/>
              <w:rPr>
                <w:sz w:val="22"/>
                <w:szCs w:val="22"/>
              </w:rPr>
            </w:pPr>
          </w:p>
          <w:p w14:paraId="397D8C0D" w14:textId="77777777" w:rsidR="00287825" w:rsidRDefault="00287825" w:rsidP="00357CEC">
            <w:pPr>
              <w:pStyle w:val="Default"/>
              <w:rPr>
                <w:sz w:val="22"/>
                <w:szCs w:val="22"/>
              </w:rPr>
            </w:pPr>
          </w:p>
          <w:p w14:paraId="6B239DB0" w14:textId="77777777" w:rsidR="00287825" w:rsidRDefault="00287825" w:rsidP="00357CEC">
            <w:pPr>
              <w:pStyle w:val="Default"/>
              <w:rPr>
                <w:sz w:val="22"/>
                <w:szCs w:val="22"/>
              </w:rPr>
            </w:pPr>
          </w:p>
          <w:p w14:paraId="5A5A8009" w14:textId="77777777" w:rsidR="00287825" w:rsidRDefault="00287825" w:rsidP="00357CEC">
            <w:pPr>
              <w:pStyle w:val="Default"/>
              <w:rPr>
                <w:sz w:val="22"/>
                <w:szCs w:val="22"/>
              </w:rPr>
            </w:pPr>
          </w:p>
          <w:p w14:paraId="4DC71A6B" w14:textId="77777777" w:rsidR="00287825" w:rsidRDefault="00287825" w:rsidP="00357CEC">
            <w:pPr>
              <w:pStyle w:val="Default"/>
              <w:rPr>
                <w:sz w:val="22"/>
                <w:szCs w:val="22"/>
              </w:rPr>
            </w:pPr>
          </w:p>
          <w:p w14:paraId="35B464E6" w14:textId="77777777" w:rsidR="00287825" w:rsidRDefault="00287825" w:rsidP="00357CEC">
            <w:pPr>
              <w:pStyle w:val="Default"/>
              <w:rPr>
                <w:sz w:val="22"/>
                <w:szCs w:val="22"/>
              </w:rPr>
            </w:pPr>
          </w:p>
          <w:p w14:paraId="75A3870B" w14:textId="77777777" w:rsidR="00287825" w:rsidRDefault="00287825" w:rsidP="00357CEC">
            <w:pPr>
              <w:pStyle w:val="Default"/>
              <w:rPr>
                <w:sz w:val="22"/>
                <w:szCs w:val="22"/>
              </w:rPr>
            </w:pPr>
          </w:p>
          <w:p w14:paraId="69914BEF" w14:textId="77777777" w:rsidR="00287825" w:rsidRDefault="00287825" w:rsidP="00357CEC">
            <w:pPr>
              <w:pStyle w:val="Default"/>
              <w:rPr>
                <w:sz w:val="22"/>
                <w:szCs w:val="22"/>
              </w:rPr>
            </w:pPr>
          </w:p>
          <w:p w14:paraId="5642D9B9" w14:textId="77777777" w:rsidR="00287825" w:rsidRDefault="00287825" w:rsidP="00357CEC">
            <w:pPr>
              <w:pStyle w:val="Default"/>
              <w:rPr>
                <w:sz w:val="22"/>
                <w:szCs w:val="22"/>
              </w:rPr>
            </w:pPr>
          </w:p>
          <w:p w14:paraId="7D7721B0" w14:textId="77777777" w:rsidR="00287825" w:rsidRDefault="00287825" w:rsidP="00357CEC">
            <w:pPr>
              <w:pStyle w:val="Default"/>
              <w:rPr>
                <w:sz w:val="22"/>
                <w:szCs w:val="22"/>
              </w:rPr>
            </w:pPr>
          </w:p>
          <w:p w14:paraId="6463ACF6" w14:textId="77777777" w:rsidR="00287825" w:rsidRDefault="00287825" w:rsidP="00357CEC">
            <w:pPr>
              <w:pStyle w:val="Default"/>
              <w:rPr>
                <w:sz w:val="22"/>
                <w:szCs w:val="22"/>
              </w:rPr>
            </w:pPr>
          </w:p>
          <w:p w14:paraId="1AB45C9C" w14:textId="77777777" w:rsidR="00287825" w:rsidRDefault="00287825" w:rsidP="00357CEC">
            <w:pPr>
              <w:pStyle w:val="Default"/>
              <w:rPr>
                <w:sz w:val="22"/>
                <w:szCs w:val="22"/>
              </w:rPr>
            </w:pPr>
          </w:p>
          <w:p w14:paraId="153DE886" w14:textId="77777777" w:rsidR="00287825" w:rsidRDefault="00287825" w:rsidP="00357CEC">
            <w:pPr>
              <w:pStyle w:val="Default"/>
              <w:rPr>
                <w:sz w:val="22"/>
                <w:szCs w:val="22"/>
              </w:rPr>
            </w:pPr>
          </w:p>
          <w:p w14:paraId="4E94346F" w14:textId="77777777" w:rsidR="00287825" w:rsidRDefault="00287825" w:rsidP="00357CEC">
            <w:pPr>
              <w:pStyle w:val="Default"/>
              <w:rPr>
                <w:sz w:val="22"/>
                <w:szCs w:val="22"/>
              </w:rPr>
            </w:pPr>
          </w:p>
          <w:p w14:paraId="3F2B65D6" w14:textId="77777777" w:rsidR="00287825" w:rsidRDefault="00287825" w:rsidP="00357CEC">
            <w:pPr>
              <w:pStyle w:val="Default"/>
              <w:rPr>
                <w:sz w:val="22"/>
                <w:szCs w:val="22"/>
              </w:rPr>
            </w:pPr>
          </w:p>
          <w:p w14:paraId="23390EF5" w14:textId="77777777" w:rsidR="00287825" w:rsidRDefault="00287825" w:rsidP="00357CEC">
            <w:pPr>
              <w:pStyle w:val="Default"/>
              <w:rPr>
                <w:sz w:val="22"/>
                <w:szCs w:val="22"/>
              </w:rPr>
            </w:pPr>
          </w:p>
          <w:p w14:paraId="0E8896F9" w14:textId="77777777" w:rsidR="00287825" w:rsidRDefault="00287825" w:rsidP="00357CEC">
            <w:pPr>
              <w:pStyle w:val="Default"/>
              <w:rPr>
                <w:sz w:val="22"/>
                <w:szCs w:val="22"/>
              </w:rPr>
            </w:pPr>
          </w:p>
          <w:p w14:paraId="165016E4" w14:textId="77777777" w:rsidR="00287825" w:rsidRDefault="00287825" w:rsidP="00357CEC">
            <w:pPr>
              <w:pStyle w:val="Default"/>
              <w:rPr>
                <w:sz w:val="22"/>
                <w:szCs w:val="22"/>
              </w:rPr>
            </w:pPr>
          </w:p>
          <w:p w14:paraId="00ADDCF1" w14:textId="77777777" w:rsidR="00287825" w:rsidRDefault="00287825" w:rsidP="00357CEC">
            <w:pPr>
              <w:pStyle w:val="Default"/>
              <w:rPr>
                <w:sz w:val="22"/>
                <w:szCs w:val="22"/>
              </w:rPr>
            </w:pPr>
          </w:p>
          <w:p w14:paraId="41A3D3E4" w14:textId="77777777" w:rsidR="00287825" w:rsidRDefault="00287825" w:rsidP="00357CEC">
            <w:pPr>
              <w:pStyle w:val="Default"/>
              <w:rPr>
                <w:sz w:val="22"/>
                <w:szCs w:val="22"/>
              </w:rPr>
            </w:pPr>
          </w:p>
          <w:p w14:paraId="5E2AED0D" w14:textId="77777777" w:rsidR="00287825" w:rsidRDefault="00287825" w:rsidP="00357CEC">
            <w:pPr>
              <w:pStyle w:val="Default"/>
              <w:rPr>
                <w:sz w:val="22"/>
                <w:szCs w:val="22"/>
              </w:rPr>
            </w:pPr>
          </w:p>
          <w:p w14:paraId="16CAC7BA" w14:textId="77777777" w:rsidR="00287825" w:rsidRDefault="00287825" w:rsidP="00357CEC">
            <w:pPr>
              <w:pStyle w:val="Default"/>
              <w:rPr>
                <w:sz w:val="22"/>
                <w:szCs w:val="22"/>
              </w:rPr>
            </w:pPr>
          </w:p>
          <w:p w14:paraId="138B2F58" w14:textId="77777777" w:rsidR="00287825" w:rsidRDefault="00287825" w:rsidP="00357CEC">
            <w:pPr>
              <w:pStyle w:val="Default"/>
              <w:rPr>
                <w:sz w:val="22"/>
                <w:szCs w:val="22"/>
              </w:rPr>
            </w:pPr>
          </w:p>
          <w:p w14:paraId="7512D204" w14:textId="77777777" w:rsidR="00287825" w:rsidRDefault="00287825" w:rsidP="00357CEC">
            <w:pPr>
              <w:pStyle w:val="Default"/>
              <w:rPr>
                <w:sz w:val="22"/>
                <w:szCs w:val="22"/>
              </w:rPr>
            </w:pPr>
          </w:p>
          <w:p w14:paraId="7110C79F" w14:textId="77777777" w:rsidR="00287825" w:rsidRDefault="00287825" w:rsidP="00357CEC">
            <w:pPr>
              <w:pStyle w:val="Default"/>
              <w:rPr>
                <w:sz w:val="22"/>
                <w:szCs w:val="22"/>
              </w:rPr>
            </w:pPr>
          </w:p>
          <w:p w14:paraId="10F5FBBD" w14:textId="77777777" w:rsidR="00287825" w:rsidRDefault="00287825" w:rsidP="00357CEC">
            <w:pPr>
              <w:pStyle w:val="Default"/>
              <w:rPr>
                <w:sz w:val="22"/>
                <w:szCs w:val="22"/>
              </w:rPr>
            </w:pPr>
          </w:p>
          <w:p w14:paraId="428497E9" w14:textId="77777777" w:rsidR="00287825" w:rsidRDefault="00287825" w:rsidP="00357CEC">
            <w:pPr>
              <w:pStyle w:val="Default"/>
              <w:rPr>
                <w:sz w:val="22"/>
                <w:szCs w:val="22"/>
              </w:rPr>
            </w:pPr>
          </w:p>
          <w:p w14:paraId="5827553A" w14:textId="77777777" w:rsidR="00287825" w:rsidRDefault="00287825" w:rsidP="00357CEC">
            <w:pPr>
              <w:pStyle w:val="Default"/>
              <w:rPr>
                <w:sz w:val="22"/>
                <w:szCs w:val="22"/>
              </w:rPr>
            </w:pPr>
          </w:p>
          <w:p w14:paraId="534C36D8" w14:textId="77777777" w:rsidR="00287825" w:rsidRDefault="00287825" w:rsidP="00357CEC">
            <w:pPr>
              <w:pStyle w:val="Default"/>
              <w:rPr>
                <w:sz w:val="22"/>
                <w:szCs w:val="22"/>
              </w:rPr>
            </w:pPr>
          </w:p>
          <w:p w14:paraId="2989B855" w14:textId="77777777" w:rsidR="00287825" w:rsidRDefault="00287825" w:rsidP="00357CEC">
            <w:pPr>
              <w:pStyle w:val="Default"/>
              <w:rPr>
                <w:sz w:val="22"/>
                <w:szCs w:val="22"/>
              </w:rPr>
            </w:pPr>
          </w:p>
          <w:p w14:paraId="503BAB54" w14:textId="77777777" w:rsidR="00287825" w:rsidRDefault="00287825" w:rsidP="00357CEC">
            <w:pPr>
              <w:pStyle w:val="Default"/>
              <w:rPr>
                <w:sz w:val="22"/>
                <w:szCs w:val="22"/>
              </w:rPr>
            </w:pPr>
          </w:p>
          <w:p w14:paraId="5ACB6AD5" w14:textId="77777777" w:rsidR="00287825" w:rsidRDefault="00287825" w:rsidP="00357CEC">
            <w:pPr>
              <w:pStyle w:val="Default"/>
              <w:rPr>
                <w:sz w:val="22"/>
                <w:szCs w:val="22"/>
              </w:rPr>
            </w:pPr>
          </w:p>
          <w:p w14:paraId="2FD09B83" w14:textId="77777777" w:rsidR="00287825" w:rsidRDefault="00287825" w:rsidP="00357CEC">
            <w:pPr>
              <w:pStyle w:val="Default"/>
              <w:rPr>
                <w:sz w:val="22"/>
                <w:szCs w:val="22"/>
              </w:rPr>
            </w:pPr>
          </w:p>
          <w:p w14:paraId="79733A7E" w14:textId="77777777" w:rsidR="00287825" w:rsidRDefault="00287825" w:rsidP="00357CEC">
            <w:pPr>
              <w:pStyle w:val="Default"/>
              <w:rPr>
                <w:sz w:val="22"/>
                <w:szCs w:val="22"/>
              </w:rPr>
            </w:pPr>
          </w:p>
          <w:p w14:paraId="648E8E88" w14:textId="77777777" w:rsidR="00287825" w:rsidRDefault="00287825" w:rsidP="00357CEC">
            <w:pPr>
              <w:pStyle w:val="Default"/>
              <w:rPr>
                <w:sz w:val="22"/>
                <w:szCs w:val="22"/>
              </w:rPr>
            </w:pPr>
          </w:p>
          <w:p w14:paraId="0B773B00" w14:textId="77777777" w:rsidR="00287825" w:rsidRDefault="00287825" w:rsidP="00357CEC">
            <w:pPr>
              <w:pStyle w:val="Default"/>
              <w:rPr>
                <w:sz w:val="22"/>
                <w:szCs w:val="22"/>
              </w:rPr>
            </w:pPr>
          </w:p>
          <w:p w14:paraId="5CF35A12" w14:textId="77777777" w:rsidR="00287825" w:rsidRDefault="00287825" w:rsidP="00357CEC">
            <w:pPr>
              <w:pStyle w:val="Default"/>
              <w:rPr>
                <w:sz w:val="22"/>
                <w:szCs w:val="22"/>
              </w:rPr>
            </w:pPr>
          </w:p>
          <w:p w14:paraId="09465E54" w14:textId="77777777" w:rsidR="00287825" w:rsidRDefault="00287825" w:rsidP="00357CEC">
            <w:pPr>
              <w:pStyle w:val="Default"/>
              <w:rPr>
                <w:sz w:val="22"/>
                <w:szCs w:val="22"/>
              </w:rPr>
            </w:pPr>
          </w:p>
          <w:p w14:paraId="10F83F4B" w14:textId="77777777" w:rsidR="00287825" w:rsidRDefault="00287825" w:rsidP="00357CEC">
            <w:pPr>
              <w:pStyle w:val="Default"/>
              <w:rPr>
                <w:sz w:val="22"/>
                <w:szCs w:val="22"/>
              </w:rPr>
            </w:pPr>
          </w:p>
          <w:p w14:paraId="1E458B15" w14:textId="77777777" w:rsidR="00287825" w:rsidRDefault="00287825" w:rsidP="00357CEC">
            <w:pPr>
              <w:pStyle w:val="Default"/>
              <w:rPr>
                <w:sz w:val="22"/>
                <w:szCs w:val="22"/>
              </w:rPr>
            </w:pPr>
          </w:p>
          <w:p w14:paraId="1FA2E30C" w14:textId="77777777" w:rsidR="00287825" w:rsidRDefault="00287825" w:rsidP="00357CEC">
            <w:pPr>
              <w:pStyle w:val="Default"/>
              <w:rPr>
                <w:sz w:val="22"/>
                <w:szCs w:val="22"/>
              </w:rPr>
            </w:pPr>
          </w:p>
          <w:p w14:paraId="0C503B36" w14:textId="77777777" w:rsidR="00287825" w:rsidRDefault="00287825" w:rsidP="00357CEC">
            <w:pPr>
              <w:pStyle w:val="Default"/>
              <w:rPr>
                <w:sz w:val="22"/>
                <w:szCs w:val="22"/>
              </w:rPr>
            </w:pPr>
          </w:p>
          <w:p w14:paraId="72564783" w14:textId="77777777" w:rsidR="00287825" w:rsidRDefault="00287825" w:rsidP="00357CEC">
            <w:pPr>
              <w:pStyle w:val="Default"/>
              <w:rPr>
                <w:sz w:val="22"/>
                <w:szCs w:val="22"/>
              </w:rPr>
            </w:pPr>
          </w:p>
          <w:p w14:paraId="3AA22CB5" w14:textId="77777777" w:rsidR="00287825" w:rsidRDefault="00287825" w:rsidP="00357CEC">
            <w:pPr>
              <w:pStyle w:val="Default"/>
              <w:rPr>
                <w:sz w:val="22"/>
                <w:szCs w:val="22"/>
              </w:rPr>
            </w:pPr>
          </w:p>
          <w:p w14:paraId="7DC62D07" w14:textId="77777777" w:rsidR="00287825" w:rsidRDefault="00287825" w:rsidP="00357CEC">
            <w:pPr>
              <w:pStyle w:val="Default"/>
              <w:rPr>
                <w:sz w:val="22"/>
                <w:szCs w:val="22"/>
              </w:rPr>
            </w:pPr>
          </w:p>
          <w:p w14:paraId="273D2961" w14:textId="77777777" w:rsidR="00287825" w:rsidRDefault="00287825" w:rsidP="00357CEC">
            <w:pPr>
              <w:pStyle w:val="Default"/>
              <w:rPr>
                <w:sz w:val="22"/>
                <w:szCs w:val="22"/>
              </w:rPr>
            </w:pPr>
          </w:p>
          <w:p w14:paraId="0D504EDF" w14:textId="77777777" w:rsidR="00287825" w:rsidRDefault="00287825" w:rsidP="00357CEC">
            <w:pPr>
              <w:pStyle w:val="Default"/>
              <w:rPr>
                <w:sz w:val="22"/>
                <w:szCs w:val="22"/>
              </w:rPr>
            </w:pPr>
          </w:p>
          <w:p w14:paraId="41BB7F4F" w14:textId="77777777" w:rsidR="00287825" w:rsidRDefault="00287825" w:rsidP="00357CEC">
            <w:pPr>
              <w:pStyle w:val="Default"/>
              <w:rPr>
                <w:sz w:val="22"/>
                <w:szCs w:val="22"/>
              </w:rPr>
            </w:pPr>
          </w:p>
          <w:p w14:paraId="6613B3BC" w14:textId="77777777" w:rsidR="00287825" w:rsidRDefault="00287825" w:rsidP="00357CEC">
            <w:pPr>
              <w:pStyle w:val="Default"/>
              <w:rPr>
                <w:sz w:val="22"/>
                <w:szCs w:val="22"/>
              </w:rPr>
            </w:pPr>
          </w:p>
          <w:p w14:paraId="51AED905" w14:textId="77777777" w:rsidR="00287825" w:rsidRDefault="00287825" w:rsidP="00357CEC">
            <w:pPr>
              <w:pStyle w:val="Default"/>
              <w:rPr>
                <w:sz w:val="22"/>
                <w:szCs w:val="22"/>
              </w:rPr>
            </w:pPr>
          </w:p>
          <w:p w14:paraId="1236011F" w14:textId="77777777" w:rsidR="00287825" w:rsidRDefault="00287825" w:rsidP="00357CEC">
            <w:pPr>
              <w:pStyle w:val="Default"/>
              <w:rPr>
                <w:sz w:val="22"/>
                <w:szCs w:val="22"/>
              </w:rPr>
            </w:pPr>
          </w:p>
          <w:p w14:paraId="6F64916A" w14:textId="77777777" w:rsidR="00287825" w:rsidRDefault="00287825" w:rsidP="00357CEC">
            <w:pPr>
              <w:pStyle w:val="Default"/>
              <w:rPr>
                <w:sz w:val="22"/>
                <w:szCs w:val="22"/>
              </w:rPr>
            </w:pPr>
          </w:p>
          <w:p w14:paraId="1F04AF98" w14:textId="77777777" w:rsidR="00287825" w:rsidRDefault="00287825" w:rsidP="00357CEC">
            <w:pPr>
              <w:pStyle w:val="Default"/>
              <w:rPr>
                <w:sz w:val="22"/>
                <w:szCs w:val="22"/>
              </w:rPr>
            </w:pPr>
          </w:p>
          <w:p w14:paraId="1FECB8D9" w14:textId="77777777" w:rsidR="00287825" w:rsidRDefault="00287825" w:rsidP="00357CEC">
            <w:pPr>
              <w:pStyle w:val="Default"/>
              <w:rPr>
                <w:sz w:val="22"/>
                <w:szCs w:val="22"/>
              </w:rPr>
            </w:pPr>
          </w:p>
          <w:p w14:paraId="50EBB171" w14:textId="77777777" w:rsidR="00287825" w:rsidRDefault="00287825" w:rsidP="00357CEC">
            <w:pPr>
              <w:pStyle w:val="Default"/>
              <w:rPr>
                <w:sz w:val="22"/>
                <w:szCs w:val="22"/>
              </w:rPr>
            </w:pPr>
          </w:p>
          <w:p w14:paraId="7E2E922C" w14:textId="77777777" w:rsidR="00287825" w:rsidRDefault="00287825" w:rsidP="00357CEC">
            <w:pPr>
              <w:pStyle w:val="Default"/>
              <w:rPr>
                <w:sz w:val="22"/>
                <w:szCs w:val="22"/>
              </w:rPr>
            </w:pPr>
          </w:p>
          <w:p w14:paraId="3C229CED" w14:textId="77777777" w:rsidR="00287825" w:rsidRDefault="00287825" w:rsidP="00357CEC">
            <w:pPr>
              <w:pStyle w:val="Default"/>
              <w:rPr>
                <w:sz w:val="22"/>
                <w:szCs w:val="22"/>
              </w:rPr>
            </w:pPr>
          </w:p>
          <w:p w14:paraId="51A6F0D5" w14:textId="77777777" w:rsidR="00287825" w:rsidRDefault="00287825" w:rsidP="00357CEC">
            <w:pPr>
              <w:pStyle w:val="Default"/>
              <w:rPr>
                <w:sz w:val="22"/>
                <w:szCs w:val="22"/>
              </w:rPr>
            </w:pPr>
          </w:p>
          <w:p w14:paraId="0D7CB8A1" w14:textId="77777777" w:rsidR="00287825" w:rsidRDefault="00287825" w:rsidP="00357CEC">
            <w:pPr>
              <w:pStyle w:val="Default"/>
              <w:rPr>
                <w:sz w:val="22"/>
                <w:szCs w:val="22"/>
              </w:rPr>
            </w:pPr>
          </w:p>
          <w:p w14:paraId="60306558" w14:textId="77777777" w:rsidR="00287825" w:rsidRDefault="00287825" w:rsidP="00357CEC">
            <w:pPr>
              <w:pStyle w:val="Default"/>
              <w:rPr>
                <w:sz w:val="22"/>
                <w:szCs w:val="22"/>
              </w:rPr>
            </w:pPr>
          </w:p>
          <w:p w14:paraId="6CE084DC" w14:textId="77777777" w:rsidR="00287825" w:rsidRDefault="00287825" w:rsidP="00357CEC">
            <w:pPr>
              <w:pStyle w:val="Default"/>
              <w:rPr>
                <w:sz w:val="22"/>
                <w:szCs w:val="22"/>
              </w:rPr>
            </w:pPr>
          </w:p>
          <w:p w14:paraId="05594FEF" w14:textId="77777777" w:rsidR="00287825" w:rsidRDefault="00287825" w:rsidP="00357CEC">
            <w:pPr>
              <w:pStyle w:val="Default"/>
              <w:rPr>
                <w:sz w:val="22"/>
                <w:szCs w:val="22"/>
              </w:rPr>
            </w:pPr>
          </w:p>
          <w:p w14:paraId="418BE49D" w14:textId="77777777" w:rsidR="00287825" w:rsidRDefault="00287825" w:rsidP="00357CEC">
            <w:pPr>
              <w:pStyle w:val="Default"/>
              <w:rPr>
                <w:sz w:val="22"/>
                <w:szCs w:val="22"/>
              </w:rPr>
            </w:pPr>
          </w:p>
          <w:p w14:paraId="3573A235" w14:textId="77777777" w:rsidR="00287825" w:rsidRDefault="00287825" w:rsidP="00357CEC">
            <w:pPr>
              <w:pStyle w:val="Default"/>
              <w:rPr>
                <w:sz w:val="22"/>
                <w:szCs w:val="22"/>
              </w:rPr>
            </w:pPr>
          </w:p>
          <w:p w14:paraId="39897965" w14:textId="77777777" w:rsidR="00287825" w:rsidRDefault="00287825" w:rsidP="00357CEC">
            <w:pPr>
              <w:pStyle w:val="Default"/>
              <w:rPr>
                <w:sz w:val="22"/>
                <w:szCs w:val="22"/>
              </w:rPr>
            </w:pPr>
          </w:p>
          <w:p w14:paraId="0D748608" w14:textId="77777777" w:rsidR="00287825" w:rsidRDefault="00287825" w:rsidP="00357CEC">
            <w:pPr>
              <w:pStyle w:val="Default"/>
              <w:rPr>
                <w:sz w:val="22"/>
                <w:szCs w:val="22"/>
              </w:rPr>
            </w:pPr>
          </w:p>
          <w:p w14:paraId="104FC9EF" w14:textId="77777777" w:rsidR="00287825" w:rsidRDefault="00287825" w:rsidP="00357CEC">
            <w:pPr>
              <w:pStyle w:val="Default"/>
              <w:rPr>
                <w:sz w:val="22"/>
                <w:szCs w:val="22"/>
              </w:rPr>
            </w:pPr>
          </w:p>
          <w:p w14:paraId="5B856A37" w14:textId="77777777" w:rsidR="00287825" w:rsidRDefault="00287825" w:rsidP="00357CEC">
            <w:pPr>
              <w:pStyle w:val="Default"/>
              <w:rPr>
                <w:sz w:val="22"/>
                <w:szCs w:val="22"/>
              </w:rPr>
            </w:pPr>
          </w:p>
          <w:p w14:paraId="03E5E31A" w14:textId="77777777" w:rsidR="00287825" w:rsidRDefault="00287825" w:rsidP="00357CEC">
            <w:pPr>
              <w:pStyle w:val="Default"/>
              <w:rPr>
                <w:sz w:val="22"/>
                <w:szCs w:val="22"/>
              </w:rPr>
            </w:pPr>
          </w:p>
          <w:p w14:paraId="0E504637" w14:textId="77777777" w:rsidR="00287825" w:rsidRDefault="00287825" w:rsidP="00357CEC">
            <w:pPr>
              <w:pStyle w:val="Default"/>
              <w:rPr>
                <w:sz w:val="22"/>
                <w:szCs w:val="22"/>
              </w:rPr>
            </w:pPr>
          </w:p>
          <w:p w14:paraId="4B7C376A" w14:textId="77777777" w:rsidR="00287825" w:rsidRDefault="00287825" w:rsidP="00357CEC">
            <w:pPr>
              <w:pStyle w:val="Default"/>
              <w:rPr>
                <w:sz w:val="22"/>
                <w:szCs w:val="22"/>
              </w:rPr>
            </w:pPr>
          </w:p>
          <w:p w14:paraId="3866FC18" w14:textId="77777777" w:rsidR="00287825" w:rsidRDefault="00287825" w:rsidP="00357CEC">
            <w:pPr>
              <w:pStyle w:val="Default"/>
              <w:rPr>
                <w:sz w:val="22"/>
                <w:szCs w:val="22"/>
              </w:rPr>
            </w:pPr>
          </w:p>
          <w:p w14:paraId="34F29101" w14:textId="77777777" w:rsidR="00287825" w:rsidRDefault="00287825" w:rsidP="00357CEC">
            <w:pPr>
              <w:pStyle w:val="Default"/>
              <w:rPr>
                <w:sz w:val="22"/>
                <w:szCs w:val="22"/>
              </w:rPr>
            </w:pPr>
          </w:p>
          <w:p w14:paraId="30185A8D" w14:textId="77777777" w:rsidR="00287825" w:rsidRDefault="00287825" w:rsidP="00357CEC">
            <w:pPr>
              <w:pStyle w:val="Default"/>
              <w:rPr>
                <w:sz w:val="22"/>
                <w:szCs w:val="22"/>
              </w:rPr>
            </w:pPr>
          </w:p>
          <w:p w14:paraId="6390A39F" w14:textId="77777777" w:rsidR="00287825" w:rsidRDefault="00287825" w:rsidP="00357CEC">
            <w:pPr>
              <w:pStyle w:val="Default"/>
              <w:rPr>
                <w:sz w:val="22"/>
                <w:szCs w:val="22"/>
              </w:rPr>
            </w:pPr>
          </w:p>
          <w:p w14:paraId="0024BEE8" w14:textId="77777777" w:rsidR="00287825" w:rsidRDefault="00287825" w:rsidP="00357CEC">
            <w:pPr>
              <w:pStyle w:val="Default"/>
              <w:rPr>
                <w:sz w:val="22"/>
                <w:szCs w:val="22"/>
              </w:rPr>
            </w:pPr>
          </w:p>
          <w:p w14:paraId="07733EAB" w14:textId="77777777" w:rsidR="00287825" w:rsidRDefault="00287825" w:rsidP="00357CEC">
            <w:pPr>
              <w:pStyle w:val="Default"/>
              <w:rPr>
                <w:sz w:val="22"/>
                <w:szCs w:val="22"/>
              </w:rPr>
            </w:pPr>
          </w:p>
          <w:p w14:paraId="5A8C3E44" w14:textId="77777777" w:rsidR="00287825" w:rsidRDefault="00287825" w:rsidP="00357CEC">
            <w:pPr>
              <w:pStyle w:val="Default"/>
              <w:rPr>
                <w:sz w:val="22"/>
                <w:szCs w:val="22"/>
              </w:rPr>
            </w:pPr>
          </w:p>
          <w:p w14:paraId="460C460F" w14:textId="77777777" w:rsidR="00287825" w:rsidRDefault="00287825" w:rsidP="00357CEC">
            <w:pPr>
              <w:pStyle w:val="Default"/>
              <w:rPr>
                <w:sz w:val="22"/>
                <w:szCs w:val="22"/>
              </w:rPr>
            </w:pPr>
          </w:p>
          <w:p w14:paraId="76C331BE" w14:textId="77777777" w:rsidR="00287825" w:rsidRDefault="00287825" w:rsidP="00357CEC">
            <w:pPr>
              <w:pStyle w:val="Default"/>
              <w:rPr>
                <w:sz w:val="22"/>
                <w:szCs w:val="22"/>
              </w:rPr>
            </w:pPr>
          </w:p>
          <w:p w14:paraId="079412F6" w14:textId="77777777" w:rsidR="00287825" w:rsidRDefault="00287825" w:rsidP="00357CEC">
            <w:pPr>
              <w:pStyle w:val="Default"/>
              <w:rPr>
                <w:sz w:val="22"/>
                <w:szCs w:val="22"/>
              </w:rPr>
            </w:pPr>
          </w:p>
          <w:p w14:paraId="0D259F19" w14:textId="77777777" w:rsidR="00287825" w:rsidRDefault="00287825" w:rsidP="00357CEC">
            <w:pPr>
              <w:pStyle w:val="Default"/>
              <w:rPr>
                <w:sz w:val="22"/>
                <w:szCs w:val="22"/>
              </w:rPr>
            </w:pPr>
          </w:p>
          <w:p w14:paraId="1A3F68C5" w14:textId="77777777" w:rsidR="00287825" w:rsidRDefault="00287825" w:rsidP="00357CEC">
            <w:pPr>
              <w:pStyle w:val="Default"/>
              <w:rPr>
                <w:sz w:val="22"/>
                <w:szCs w:val="22"/>
              </w:rPr>
            </w:pPr>
          </w:p>
          <w:p w14:paraId="45C7227D" w14:textId="77777777" w:rsidR="00287825" w:rsidRDefault="00287825" w:rsidP="00357CEC">
            <w:pPr>
              <w:pStyle w:val="Default"/>
              <w:rPr>
                <w:sz w:val="22"/>
                <w:szCs w:val="22"/>
              </w:rPr>
            </w:pPr>
          </w:p>
          <w:p w14:paraId="52E7677D" w14:textId="77777777" w:rsidR="00287825" w:rsidRDefault="00287825" w:rsidP="00357CEC">
            <w:pPr>
              <w:pStyle w:val="Default"/>
              <w:rPr>
                <w:sz w:val="22"/>
                <w:szCs w:val="22"/>
              </w:rPr>
            </w:pPr>
          </w:p>
          <w:p w14:paraId="6D7F67E3" w14:textId="77777777" w:rsidR="00287825" w:rsidRDefault="00287825" w:rsidP="00357CEC">
            <w:pPr>
              <w:pStyle w:val="Default"/>
              <w:rPr>
                <w:sz w:val="22"/>
                <w:szCs w:val="22"/>
              </w:rPr>
            </w:pPr>
          </w:p>
          <w:p w14:paraId="51E3BE8C" w14:textId="77777777" w:rsidR="00287825" w:rsidRDefault="00287825" w:rsidP="00357CEC">
            <w:pPr>
              <w:pStyle w:val="Default"/>
              <w:rPr>
                <w:sz w:val="22"/>
                <w:szCs w:val="22"/>
              </w:rPr>
            </w:pPr>
          </w:p>
          <w:p w14:paraId="2D75B166" w14:textId="77777777" w:rsidR="00287825" w:rsidRDefault="00287825" w:rsidP="00357CEC">
            <w:pPr>
              <w:pStyle w:val="Default"/>
              <w:rPr>
                <w:sz w:val="22"/>
                <w:szCs w:val="22"/>
              </w:rPr>
            </w:pPr>
          </w:p>
          <w:p w14:paraId="43243169" w14:textId="77777777" w:rsidR="00287825" w:rsidRDefault="00287825" w:rsidP="00357CEC">
            <w:pPr>
              <w:pStyle w:val="Default"/>
              <w:rPr>
                <w:sz w:val="22"/>
                <w:szCs w:val="22"/>
              </w:rPr>
            </w:pPr>
          </w:p>
          <w:p w14:paraId="308997E3" w14:textId="77777777" w:rsidR="00287825" w:rsidRDefault="00287825" w:rsidP="00357CEC">
            <w:pPr>
              <w:pStyle w:val="Default"/>
              <w:rPr>
                <w:sz w:val="22"/>
                <w:szCs w:val="22"/>
              </w:rPr>
            </w:pPr>
          </w:p>
          <w:p w14:paraId="44E70CF0" w14:textId="77777777" w:rsidR="00287825" w:rsidRDefault="00287825" w:rsidP="00357CEC">
            <w:pPr>
              <w:pStyle w:val="Default"/>
              <w:rPr>
                <w:sz w:val="22"/>
                <w:szCs w:val="22"/>
              </w:rPr>
            </w:pPr>
          </w:p>
          <w:p w14:paraId="5AD52592" w14:textId="77777777" w:rsidR="00287825" w:rsidRDefault="00287825" w:rsidP="00357CEC">
            <w:pPr>
              <w:pStyle w:val="Default"/>
              <w:rPr>
                <w:sz w:val="22"/>
                <w:szCs w:val="22"/>
              </w:rPr>
            </w:pPr>
          </w:p>
          <w:p w14:paraId="6694AE19" w14:textId="77777777" w:rsidR="00287825" w:rsidRDefault="00287825" w:rsidP="00357CEC">
            <w:pPr>
              <w:pStyle w:val="Default"/>
              <w:rPr>
                <w:sz w:val="22"/>
                <w:szCs w:val="22"/>
              </w:rPr>
            </w:pPr>
          </w:p>
          <w:p w14:paraId="0C161614" w14:textId="77777777" w:rsidR="00287825" w:rsidRDefault="00287825" w:rsidP="00357CEC">
            <w:pPr>
              <w:pStyle w:val="Default"/>
              <w:rPr>
                <w:sz w:val="22"/>
                <w:szCs w:val="22"/>
              </w:rPr>
            </w:pPr>
          </w:p>
          <w:p w14:paraId="77FB506B" w14:textId="77777777" w:rsidR="00287825" w:rsidRDefault="00287825" w:rsidP="00357CEC">
            <w:pPr>
              <w:pStyle w:val="Default"/>
              <w:rPr>
                <w:sz w:val="22"/>
                <w:szCs w:val="22"/>
              </w:rPr>
            </w:pPr>
          </w:p>
          <w:p w14:paraId="32877D53" w14:textId="77777777" w:rsidR="00287825" w:rsidRDefault="00287825" w:rsidP="00357CEC">
            <w:pPr>
              <w:pStyle w:val="Default"/>
              <w:rPr>
                <w:sz w:val="22"/>
                <w:szCs w:val="22"/>
              </w:rPr>
            </w:pPr>
          </w:p>
          <w:p w14:paraId="26817E62" w14:textId="77777777" w:rsidR="00287825" w:rsidRDefault="00287825" w:rsidP="00357CEC">
            <w:pPr>
              <w:pStyle w:val="Default"/>
              <w:rPr>
                <w:sz w:val="22"/>
                <w:szCs w:val="22"/>
              </w:rPr>
            </w:pPr>
          </w:p>
          <w:p w14:paraId="6179FB7B" w14:textId="77777777" w:rsidR="00287825" w:rsidRDefault="00287825" w:rsidP="00357CEC">
            <w:pPr>
              <w:pStyle w:val="Default"/>
              <w:rPr>
                <w:sz w:val="22"/>
                <w:szCs w:val="22"/>
              </w:rPr>
            </w:pPr>
          </w:p>
          <w:p w14:paraId="78C144A3" w14:textId="77777777" w:rsidR="00287825" w:rsidRDefault="00287825" w:rsidP="00357CEC">
            <w:pPr>
              <w:pStyle w:val="Default"/>
              <w:rPr>
                <w:sz w:val="22"/>
                <w:szCs w:val="22"/>
              </w:rPr>
            </w:pPr>
          </w:p>
          <w:p w14:paraId="41A4CE4E" w14:textId="77777777" w:rsidR="00287825" w:rsidRDefault="00287825" w:rsidP="00357CEC">
            <w:pPr>
              <w:pStyle w:val="Default"/>
              <w:rPr>
                <w:sz w:val="22"/>
                <w:szCs w:val="22"/>
              </w:rPr>
            </w:pPr>
          </w:p>
          <w:p w14:paraId="0276732F" w14:textId="77777777" w:rsidR="00287825" w:rsidRDefault="00287825" w:rsidP="00357CEC">
            <w:pPr>
              <w:pStyle w:val="Default"/>
              <w:rPr>
                <w:sz w:val="22"/>
                <w:szCs w:val="22"/>
              </w:rPr>
            </w:pPr>
          </w:p>
          <w:p w14:paraId="0E9A21B4" w14:textId="77777777" w:rsidR="00287825" w:rsidRDefault="00287825" w:rsidP="00357CEC">
            <w:pPr>
              <w:pStyle w:val="Default"/>
              <w:rPr>
                <w:sz w:val="22"/>
                <w:szCs w:val="22"/>
              </w:rPr>
            </w:pPr>
          </w:p>
          <w:p w14:paraId="3B21CB19" w14:textId="77777777" w:rsidR="00287825" w:rsidRDefault="00287825" w:rsidP="00357CEC">
            <w:pPr>
              <w:pStyle w:val="Default"/>
              <w:rPr>
                <w:sz w:val="22"/>
                <w:szCs w:val="22"/>
              </w:rPr>
            </w:pPr>
          </w:p>
          <w:p w14:paraId="3CB8C433" w14:textId="77777777" w:rsidR="00287825" w:rsidRDefault="00287825" w:rsidP="00357CEC">
            <w:pPr>
              <w:pStyle w:val="Default"/>
              <w:rPr>
                <w:sz w:val="22"/>
                <w:szCs w:val="22"/>
              </w:rPr>
            </w:pPr>
          </w:p>
          <w:p w14:paraId="4D0F5CF1" w14:textId="77777777" w:rsidR="00287825" w:rsidRDefault="00287825" w:rsidP="00357CEC">
            <w:pPr>
              <w:pStyle w:val="Default"/>
              <w:rPr>
                <w:sz w:val="22"/>
                <w:szCs w:val="22"/>
              </w:rPr>
            </w:pPr>
          </w:p>
          <w:p w14:paraId="3DD83600" w14:textId="77777777" w:rsidR="00287825" w:rsidRDefault="00287825" w:rsidP="00357CEC">
            <w:pPr>
              <w:pStyle w:val="Default"/>
              <w:rPr>
                <w:sz w:val="22"/>
                <w:szCs w:val="22"/>
              </w:rPr>
            </w:pPr>
          </w:p>
          <w:p w14:paraId="4CF6A413" w14:textId="77777777" w:rsidR="00287825" w:rsidRDefault="00287825" w:rsidP="00357CEC">
            <w:pPr>
              <w:pStyle w:val="Default"/>
              <w:rPr>
                <w:sz w:val="22"/>
                <w:szCs w:val="22"/>
              </w:rPr>
            </w:pPr>
          </w:p>
          <w:p w14:paraId="24ECB9BB" w14:textId="77777777" w:rsidR="00287825" w:rsidRDefault="00287825" w:rsidP="00357CEC">
            <w:pPr>
              <w:pStyle w:val="Default"/>
              <w:rPr>
                <w:sz w:val="22"/>
                <w:szCs w:val="22"/>
              </w:rPr>
            </w:pPr>
          </w:p>
          <w:p w14:paraId="52AF8BB0" w14:textId="77777777" w:rsidR="00287825" w:rsidRDefault="00287825" w:rsidP="00357CEC">
            <w:pPr>
              <w:pStyle w:val="Default"/>
              <w:rPr>
                <w:sz w:val="22"/>
                <w:szCs w:val="22"/>
              </w:rPr>
            </w:pPr>
          </w:p>
          <w:p w14:paraId="076FE3A8" w14:textId="77777777" w:rsidR="00287825" w:rsidRDefault="00287825" w:rsidP="00357CEC">
            <w:pPr>
              <w:pStyle w:val="Default"/>
              <w:rPr>
                <w:sz w:val="22"/>
                <w:szCs w:val="22"/>
              </w:rPr>
            </w:pPr>
          </w:p>
          <w:p w14:paraId="6462359B" w14:textId="77777777" w:rsidR="00287825" w:rsidRDefault="00287825" w:rsidP="00357CEC">
            <w:pPr>
              <w:pStyle w:val="Default"/>
              <w:rPr>
                <w:sz w:val="22"/>
                <w:szCs w:val="22"/>
              </w:rPr>
            </w:pPr>
          </w:p>
          <w:p w14:paraId="318A4BA6" w14:textId="77777777" w:rsidR="00287825" w:rsidRDefault="00287825" w:rsidP="00357CEC">
            <w:pPr>
              <w:pStyle w:val="Default"/>
              <w:rPr>
                <w:sz w:val="22"/>
                <w:szCs w:val="22"/>
              </w:rPr>
            </w:pPr>
          </w:p>
          <w:p w14:paraId="01ADBC47" w14:textId="77777777" w:rsidR="00287825" w:rsidRDefault="00287825" w:rsidP="00357CEC">
            <w:pPr>
              <w:pStyle w:val="Default"/>
              <w:rPr>
                <w:sz w:val="22"/>
                <w:szCs w:val="22"/>
              </w:rPr>
            </w:pPr>
          </w:p>
          <w:p w14:paraId="42BBDF39" w14:textId="77777777" w:rsidR="00287825" w:rsidRDefault="00287825" w:rsidP="00357CEC">
            <w:pPr>
              <w:pStyle w:val="Default"/>
              <w:rPr>
                <w:sz w:val="22"/>
                <w:szCs w:val="22"/>
              </w:rPr>
            </w:pPr>
          </w:p>
          <w:p w14:paraId="19CCD397" w14:textId="77777777" w:rsidR="00287825" w:rsidRDefault="00287825" w:rsidP="00357CEC">
            <w:pPr>
              <w:pStyle w:val="Default"/>
              <w:rPr>
                <w:sz w:val="22"/>
                <w:szCs w:val="22"/>
              </w:rPr>
            </w:pPr>
          </w:p>
          <w:p w14:paraId="1BD1BF9F" w14:textId="77777777" w:rsidR="00287825" w:rsidRDefault="00287825" w:rsidP="00357CEC">
            <w:pPr>
              <w:pStyle w:val="Default"/>
              <w:rPr>
                <w:sz w:val="22"/>
                <w:szCs w:val="22"/>
              </w:rPr>
            </w:pPr>
          </w:p>
          <w:p w14:paraId="1A278905" w14:textId="77777777" w:rsidR="00287825" w:rsidRDefault="00287825" w:rsidP="00357CEC">
            <w:pPr>
              <w:pStyle w:val="Default"/>
              <w:rPr>
                <w:sz w:val="22"/>
                <w:szCs w:val="22"/>
              </w:rPr>
            </w:pPr>
          </w:p>
          <w:p w14:paraId="5ED1E031" w14:textId="77777777" w:rsidR="00287825" w:rsidRDefault="00287825" w:rsidP="00357CEC">
            <w:pPr>
              <w:pStyle w:val="Default"/>
              <w:rPr>
                <w:sz w:val="22"/>
                <w:szCs w:val="22"/>
              </w:rPr>
            </w:pPr>
          </w:p>
          <w:p w14:paraId="783FF759" w14:textId="77777777" w:rsidR="00287825" w:rsidRDefault="00287825" w:rsidP="00357CEC">
            <w:pPr>
              <w:pStyle w:val="Default"/>
              <w:rPr>
                <w:sz w:val="22"/>
                <w:szCs w:val="22"/>
              </w:rPr>
            </w:pPr>
          </w:p>
          <w:p w14:paraId="46FF5E0E" w14:textId="77777777" w:rsidR="00287825" w:rsidRDefault="00287825" w:rsidP="00357CEC">
            <w:pPr>
              <w:pStyle w:val="Default"/>
              <w:rPr>
                <w:sz w:val="22"/>
                <w:szCs w:val="22"/>
              </w:rPr>
            </w:pPr>
          </w:p>
          <w:p w14:paraId="0ED60044" w14:textId="77777777" w:rsidR="00287825" w:rsidRDefault="00287825" w:rsidP="00357CEC">
            <w:pPr>
              <w:pStyle w:val="Default"/>
              <w:rPr>
                <w:sz w:val="22"/>
                <w:szCs w:val="22"/>
              </w:rPr>
            </w:pPr>
          </w:p>
          <w:p w14:paraId="7E45133B" w14:textId="77777777" w:rsidR="00287825" w:rsidRDefault="00287825" w:rsidP="00357CEC">
            <w:pPr>
              <w:pStyle w:val="Default"/>
              <w:rPr>
                <w:sz w:val="22"/>
                <w:szCs w:val="22"/>
              </w:rPr>
            </w:pPr>
          </w:p>
          <w:p w14:paraId="7EDFB4CA" w14:textId="77777777" w:rsidR="00287825" w:rsidRDefault="00287825" w:rsidP="00357CEC">
            <w:pPr>
              <w:pStyle w:val="Default"/>
              <w:rPr>
                <w:sz w:val="22"/>
                <w:szCs w:val="22"/>
              </w:rPr>
            </w:pPr>
          </w:p>
          <w:p w14:paraId="78C9C3FD" w14:textId="77777777" w:rsidR="00287825" w:rsidRDefault="00287825" w:rsidP="00357CEC">
            <w:pPr>
              <w:pStyle w:val="Default"/>
              <w:rPr>
                <w:sz w:val="22"/>
                <w:szCs w:val="22"/>
              </w:rPr>
            </w:pPr>
          </w:p>
          <w:p w14:paraId="5553D458" w14:textId="77777777" w:rsidR="00287825" w:rsidRDefault="00287825" w:rsidP="00357CEC">
            <w:pPr>
              <w:pStyle w:val="Default"/>
              <w:rPr>
                <w:sz w:val="22"/>
                <w:szCs w:val="22"/>
              </w:rPr>
            </w:pPr>
          </w:p>
          <w:p w14:paraId="62886AA0" w14:textId="77777777" w:rsidR="00287825" w:rsidRDefault="00287825" w:rsidP="00357CEC">
            <w:pPr>
              <w:pStyle w:val="Default"/>
              <w:rPr>
                <w:sz w:val="22"/>
                <w:szCs w:val="22"/>
              </w:rPr>
            </w:pPr>
          </w:p>
          <w:p w14:paraId="188C730B" w14:textId="77777777" w:rsidR="00287825" w:rsidRDefault="00287825" w:rsidP="00357CEC">
            <w:pPr>
              <w:pStyle w:val="Default"/>
              <w:rPr>
                <w:sz w:val="22"/>
                <w:szCs w:val="22"/>
              </w:rPr>
            </w:pPr>
          </w:p>
          <w:p w14:paraId="55D806B2" w14:textId="77777777" w:rsidR="00287825" w:rsidRDefault="00287825" w:rsidP="00357CEC">
            <w:pPr>
              <w:pStyle w:val="Default"/>
              <w:rPr>
                <w:sz w:val="22"/>
                <w:szCs w:val="22"/>
              </w:rPr>
            </w:pPr>
          </w:p>
          <w:p w14:paraId="34D4BA3E" w14:textId="77777777" w:rsidR="00287825" w:rsidRDefault="00287825" w:rsidP="00357CEC">
            <w:pPr>
              <w:pStyle w:val="Default"/>
              <w:rPr>
                <w:sz w:val="22"/>
                <w:szCs w:val="22"/>
              </w:rPr>
            </w:pPr>
          </w:p>
          <w:p w14:paraId="06B103AC" w14:textId="77777777" w:rsidR="00287825" w:rsidRDefault="00287825" w:rsidP="00357CEC">
            <w:pPr>
              <w:pStyle w:val="Default"/>
              <w:rPr>
                <w:sz w:val="22"/>
                <w:szCs w:val="22"/>
              </w:rPr>
            </w:pPr>
          </w:p>
          <w:p w14:paraId="5BB5BAA4" w14:textId="77777777" w:rsidR="00287825" w:rsidRDefault="00287825" w:rsidP="00357CEC">
            <w:pPr>
              <w:pStyle w:val="Default"/>
              <w:rPr>
                <w:sz w:val="22"/>
                <w:szCs w:val="22"/>
              </w:rPr>
            </w:pPr>
          </w:p>
          <w:p w14:paraId="79D2E74C" w14:textId="77777777" w:rsidR="00287825" w:rsidRDefault="00287825" w:rsidP="00357CEC">
            <w:pPr>
              <w:pStyle w:val="Default"/>
              <w:rPr>
                <w:sz w:val="22"/>
                <w:szCs w:val="22"/>
              </w:rPr>
            </w:pPr>
          </w:p>
          <w:p w14:paraId="430DB3A4" w14:textId="77777777" w:rsidR="00287825" w:rsidRDefault="00287825" w:rsidP="00357CEC">
            <w:pPr>
              <w:pStyle w:val="Default"/>
              <w:rPr>
                <w:sz w:val="22"/>
                <w:szCs w:val="22"/>
              </w:rPr>
            </w:pPr>
          </w:p>
          <w:p w14:paraId="55F15CDC" w14:textId="77777777" w:rsidR="00287825" w:rsidRDefault="00287825" w:rsidP="00357CEC">
            <w:pPr>
              <w:pStyle w:val="Default"/>
              <w:rPr>
                <w:sz w:val="22"/>
                <w:szCs w:val="22"/>
              </w:rPr>
            </w:pPr>
          </w:p>
          <w:p w14:paraId="1AAC0C33" w14:textId="77777777" w:rsidR="00287825" w:rsidRDefault="00287825" w:rsidP="00357CEC">
            <w:pPr>
              <w:pStyle w:val="Default"/>
              <w:rPr>
                <w:sz w:val="22"/>
                <w:szCs w:val="22"/>
              </w:rPr>
            </w:pPr>
          </w:p>
          <w:p w14:paraId="625B060C" w14:textId="77777777" w:rsidR="00287825" w:rsidRDefault="00287825" w:rsidP="00357CEC">
            <w:pPr>
              <w:pStyle w:val="Default"/>
              <w:rPr>
                <w:sz w:val="22"/>
                <w:szCs w:val="22"/>
              </w:rPr>
            </w:pPr>
          </w:p>
          <w:p w14:paraId="071DCA18" w14:textId="77777777" w:rsidR="00287825" w:rsidRDefault="00287825" w:rsidP="00357CEC">
            <w:pPr>
              <w:pStyle w:val="Default"/>
              <w:rPr>
                <w:sz w:val="22"/>
                <w:szCs w:val="22"/>
              </w:rPr>
            </w:pPr>
          </w:p>
          <w:p w14:paraId="25F5C407" w14:textId="77777777" w:rsidR="00287825" w:rsidRDefault="00287825" w:rsidP="00357CEC">
            <w:pPr>
              <w:pStyle w:val="Default"/>
              <w:rPr>
                <w:sz w:val="22"/>
                <w:szCs w:val="22"/>
              </w:rPr>
            </w:pPr>
          </w:p>
          <w:p w14:paraId="7800156A" w14:textId="77777777" w:rsidR="00287825" w:rsidRDefault="00287825" w:rsidP="00357CEC">
            <w:pPr>
              <w:pStyle w:val="Default"/>
              <w:rPr>
                <w:sz w:val="22"/>
                <w:szCs w:val="22"/>
              </w:rPr>
            </w:pPr>
          </w:p>
          <w:p w14:paraId="2D039A0F" w14:textId="77777777" w:rsidR="00287825" w:rsidRDefault="00287825" w:rsidP="00357CEC">
            <w:pPr>
              <w:pStyle w:val="Default"/>
              <w:rPr>
                <w:sz w:val="22"/>
                <w:szCs w:val="22"/>
              </w:rPr>
            </w:pPr>
          </w:p>
          <w:p w14:paraId="1417C453" w14:textId="77777777" w:rsidR="00287825" w:rsidRDefault="00287825" w:rsidP="00357CEC">
            <w:pPr>
              <w:pStyle w:val="Default"/>
              <w:rPr>
                <w:sz w:val="22"/>
                <w:szCs w:val="22"/>
              </w:rPr>
            </w:pPr>
          </w:p>
          <w:p w14:paraId="3E95F8FC" w14:textId="77777777" w:rsidR="00287825" w:rsidRDefault="00287825" w:rsidP="00357CEC">
            <w:pPr>
              <w:pStyle w:val="Default"/>
              <w:rPr>
                <w:sz w:val="22"/>
                <w:szCs w:val="22"/>
              </w:rPr>
            </w:pPr>
          </w:p>
          <w:p w14:paraId="64FD591E" w14:textId="77777777" w:rsidR="00287825" w:rsidRDefault="00287825" w:rsidP="00357CEC">
            <w:pPr>
              <w:pStyle w:val="Default"/>
              <w:rPr>
                <w:sz w:val="22"/>
                <w:szCs w:val="22"/>
              </w:rPr>
            </w:pPr>
          </w:p>
          <w:p w14:paraId="40B5B6DE" w14:textId="77777777" w:rsidR="00287825" w:rsidRDefault="00287825" w:rsidP="00357CEC">
            <w:pPr>
              <w:pStyle w:val="Default"/>
              <w:rPr>
                <w:sz w:val="22"/>
                <w:szCs w:val="22"/>
              </w:rPr>
            </w:pPr>
          </w:p>
          <w:p w14:paraId="112AF26F" w14:textId="77777777" w:rsidR="00287825" w:rsidRDefault="00287825" w:rsidP="00357CEC">
            <w:pPr>
              <w:pStyle w:val="Default"/>
              <w:rPr>
                <w:sz w:val="22"/>
                <w:szCs w:val="22"/>
              </w:rPr>
            </w:pPr>
          </w:p>
          <w:p w14:paraId="0D12AA4E" w14:textId="77777777" w:rsidR="00287825" w:rsidRDefault="00287825" w:rsidP="00357CEC">
            <w:pPr>
              <w:pStyle w:val="Default"/>
              <w:rPr>
                <w:sz w:val="22"/>
                <w:szCs w:val="22"/>
              </w:rPr>
            </w:pPr>
          </w:p>
          <w:p w14:paraId="70BB8710" w14:textId="77777777" w:rsidR="00287825" w:rsidRDefault="00287825" w:rsidP="00357CEC">
            <w:pPr>
              <w:pStyle w:val="Default"/>
              <w:rPr>
                <w:sz w:val="22"/>
                <w:szCs w:val="22"/>
              </w:rPr>
            </w:pPr>
          </w:p>
          <w:p w14:paraId="657851CE" w14:textId="77777777" w:rsidR="00287825" w:rsidRDefault="00287825" w:rsidP="00357CEC">
            <w:pPr>
              <w:pStyle w:val="Default"/>
              <w:rPr>
                <w:sz w:val="22"/>
                <w:szCs w:val="22"/>
              </w:rPr>
            </w:pPr>
          </w:p>
          <w:p w14:paraId="6823F26B" w14:textId="77777777" w:rsidR="00287825" w:rsidRDefault="00287825" w:rsidP="00357CEC">
            <w:pPr>
              <w:pStyle w:val="Default"/>
              <w:rPr>
                <w:sz w:val="22"/>
                <w:szCs w:val="22"/>
              </w:rPr>
            </w:pPr>
          </w:p>
          <w:p w14:paraId="1EC99D9B" w14:textId="77777777" w:rsidR="00287825" w:rsidRDefault="00287825" w:rsidP="00357CEC">
            <w:pPr>
              <w:pStyle w:val="Default"/>
              <w:rPr>
                <w:sz w:val="22"/>
                <w:szCs w:val="22"/>
              </w:rPr>
            </w:pPr>
          </w:p>
          <w:p w14:paraId="747BB01C" w14:textId="77777777" w:rsidR="00287825" w:rsidRDefault="00287825" w:rsidP="00357CEC">
            <w:pPr>
              <w:pStyle w:val="Default"/>
              <w:rPr>
                <w:sz w:val="22"/>
                <w:szCs w:val="22"/>
              </w:rPr>
            </w:pPr>
          </w:p>
          <w:p w14:paraId="14CDA373" w14:textId="77777777" w:rsidR="00287825" w:rsidRDefault="00287825" w:rsidP="00357CEC">
            <w:pPr>
              <w:pStyle w:val="Default"/>
              <w:rPr>
                <w:sz w:val="22"/>
                <w:szCs w:val="22"/>
              </w:rPr>
            </w:pPr>
          </w:p>
          <w:p w14:paraId="2A44FCE6" w14:textId="77777777" w:rsidR="00287825" w:rsidRDefault="00287825" w:rsidP="00357CEC">
            <w:pPr>
              <w:pStyle w:val="Default"/>
              <w:rPr>
                <w:sz w:val="22"/>
                <w:szCs w:val="22"/>
              </w:rPr>
            </w:pPr>
          </w:p>
          <w:p w14:paraId="219CB37B" w14:textId="77777777" w:rsidR="00287825" w:rsidRDefault="00287825" w:rsidP="00357CEC">
            <w:pPr>
              <w:pStyle w:val="Default"/>
              <w:rPr>
                <w:sz w:val="22"/>
                <w:szCs w:val="22"/>
              </w:rPr>
            </w:pPr>
          </w:p>
          <w:p w14:paraId="37ABE3E7" w14:textId="77777777" w:rsidR="00287825" w:rsidRDefault="00287825" w:rsidP="00357CEC">
            <w:pPr>
              <w:pStyle w:val="Default"/>
              <w:rPr>
                <w:sz w:val="22"/>
                <w:szCs w:val="22"/>
              </w:rPr>
            </w:pPr>
          </w:p>
          <w:p w14:paraId="7CC46681" w14:textId="77777777" w:rsidR="00287825" w:rsidRDefault="00287825" w:rsidP="00357CEC">
            <w:pPr>
              <w:pStyle w:val="Default"/>
              <w:rPr>
                <w:sz w:val="22"/>
                <w:szCs w:val="22"/>
              </w:rPr>
            </w:pPr>
          </w:p>
          <w:p w14:paraId="50F9FFFD" w14:textId="77777777" w:rsidR="00287825" w:rsidRDefault="00287825" w:rsidP="00357CEC">
            <w:pPr>
              <w:pStyle w:val="Default"/>
              <w:rPr>
                <w:sz w:val="22"/>
                <w:szCs w:val="22"/>
              </w:rPr>
            </w:pPr>
          </w:p>
          <w:p w14:paraId="6EDEA57A" w14:textId="77777777" w:rsidR="00287825" w:rsidRDefault="00287825" w:rsidP="00357CEC">
            <w:pPr>
              <w:pStyle w:val="Default"/>
              <w:rPr>
                <w:sz w:val="22"/>
                <w:szCs w:val="22"/>
              </w:rPr>
            </w:pPr>
          </w:p>
          <w:p w14:paraId="1EAC9F70" w14:textId="77777777" w:rsidR="00287825" w:rsidRDefault="00287825" w:rsidP="00357CEC">
            <w:pPr>
              <w:pStyle w:val="Default"/>
              <w:rPr>
                <w:sz w:val="22"/>
                <w:szCs w:val="22"/>
              </w:rPr>
            </w:pPr>
          </w:p>
          <w:p w14:paraId="7CE38283" w14:textId="77777777" w:rsidR="00287825" w:rsidRDefault="00287825" w:rsidP="00357CEC">
            <w:pPr>
              <w:pStyle w:val="Default"/>
              <w:rPr>
                <w:sz w:val="22"/>
                <w:szCs w:val="22"/>
              </w:rPr>
            </w:pPr>
          </w:p>
          <w:p w14:paraId="52500370" w14:textId="77777777" w:rsidR="00287825" w:rsidRDefault="00287825" w:rsidP="00357CEC">
            <w:pPr>
              <w:pStyle w:val="Default"/>
              <w:rPr>
                <w:sz w:val="22"/>
                <w:szCs w:val="22"/>
              </w:rPr>
            </w:pPr>
          </w:p>
          <w:p w14:paraId="4EB776A6" w14:textId="77777777" w:rsidR="00287825" w:rsidRDefault="00287825" w:rsidP="00357CEC">
            <w:pPr>
              <w:pStyle w:val="Default"/>
              <w:rPr>
                <w:sz w:val="22"/>
                <w:szCs w:val="22"/>
              </w:rPr>
            </w:pPr>
          </w:p>
          <w:p w14:paraId="5CCBA6C2" w14:textId="77777777" w:rsidR="00287825" w:rsidRDefault="00287825" w:rsidP="00357CEC">
            <w:pPr>
              <w:pStyle w:val="Default"/>
              <w:rPr>
                <w:sz w:val="22"/>
                <w:szCs w:val="22"/>
              </w:rPr>
            </w:pPr>
          </w:p>
          <w:p w14:paraId="4230C2B3" w14:textId="77777777" w:rsidR="00287825" w:rsidRDefault="00287825" w:rsidP="00357CEC">
            <w:pPr>
              <w:pStyle w:val="Default"/>
              <w:rPr>
                <w:sz w:val="22"/>
                <w:szCs w:val="22"/>
              </w:rPr>
            </w:pPr>
          </w:p>
          <w:p w14:paraId="13904E14" w14:textId="77777777" w:rsidR="00287825" w:rsidRDefault="00287825" w:rsidP="00357CEC">
            <w:pPr>
              <w:pStyle w:val="Default"/>
              <w:rPr>
                <w:sz w:val="22"/>
                <w:szCs w:val="22"/>
              </w:rPr>
            </w:pPr>
          </w:p>
          <w:p w14:paraId="5F1D50CF" w14:textId="77777777" w:rsidR="00287825" w:rsidRDefault="00287825" w:rsidP="00357CEC">
            <w:pPr>
              <w:pStyle w:val="Default"/>
              <w:rPr>
                <w:sz w:val="22"/>
                <w:szCs w:val="22"/>
              </w:rPr>
            </w:pPr>
          </w:p>
          <w:p w14:paraId="0405EC71" w14:textId="77777777" w:rsidR="00287825" w:rsidRDefault="00287825" w:rsidP="00357CEC">
            <w:pPr>
              <w:pStyle w:val="Default"/>
              <w:rPr>
                <w:sz w:val="22"/>
                <w:szCs w:val="22"/>
              </w:rPr>
            </w:pPr>
          </w:p>
          <w:p w14:paraId="746C2562" w14:textId="77777777" w:rsidR="00287825" w:rsidRDefault="00287825" w:rsidP="00357CEC">
            <w:pPr>
              <w:pStyle w:val="Default"/>
              <w:rPr>
                <w:sz w:val="22"/>
                <w:szCs w:val="22"/>
              </w:rPr>
            </w:pPr>
          </w:p>
          <w:p w14:paraId="67A87C09" w14:textId="77777777" w:rsidR="00287825" w:rsidRDefault="00287825" w:rsidP="00357CEC">
            <w:pPr>
              <w:pStyle w:val="Default"/>
              <w:rPr>
                <w:sz w:val="22"/>
                <w:szCs w:val="22"/>
              </w:rPr>
            </w:pPr>
          </w:p>
          <w:p w14:paraId="5727D541" w14:textId="77777777" w:rsidR="00287825" w:rsidRDefault="00287825" w:rsidP="00357CEC">
            <w:pPr>
              <w:pStyle w:val="Default"/>
              <w:rPr>
                <w:sz w:val="22"/>
                <w:szCs w:val="22"/>
              </w:rPr>
            </w:pPr>
          </w:p>
          <w:p w14:paraId="1071F2BA" w14:textId="77777777" w:rsidR="00287825" w:rsidRDefault="00287825" w:rsidP="00357CEC">
            <w:pPr>
              <w:pStyle w:val="Default"/>
              <w:rPr>
                <w:sz w:val="22"/>
                <w:szCs w:val="22"/>
              </w:rPr>
            </w:pPr>
          </w:p>
          <w:p w14:paraId="16997D35" w14:textId="77777777" w:rsidR="00287825" w:rsidRDefault="00287825" w:rsidP="00357CEC">
            <w:pPr>
              <w:pStyle w:val="Default"/>
              <w:rPr>
                <w:sz w:val="22"/>
                <w:szCs w:val="22"/>
              </w:rPr>
            </w:pPr>
          </w:p>
          <w:p w14:paraId="53CF9BFC" w14:textId="77777777" w:rsidR="00287825" w:rsidRDefault="00287825" w:rsidP="00357CEC">
            <w:pPr>
              <w:pStyle w:val="Default"/>
              <w:rPr>
                <w:sz w:val="22"/>
                <w:szCs w:val="22"/>
              </w:rPr>
            </w:pPr>
          </w:p>
          <w:p w14:paraId="3AC60669" w14:textId="77777777" w:rsidR="00287825" w:rsidRDefault="00287825" w:rsidP="00357CEC">
            <w:pPr>
              <w:pStyle w:val="Default"/>
              <w:rPr>
                <w:sz w:val="22"/>
                <w:szCs w:val="22"/>
              </w:rPr>
            </w:pPr>
          </w:p>
          <w:p w14:paraId="02F1FF5D" w14:textId="77777777" w:rsidR="00287825" w:rsidRDefault="00287825" w:rsidP="00357CEC">
            <w:pPr>
              <w:pStyle w:val="Default"/>
              <w:rPr>
                <w:sz w:val="22"/>
                <w:szCs w:val="22"/>
              </w:rPr>
            </w:pPr>
          </w:p>
          <w:p w14:paraId="21939184" w14:textId="77777777" w:rsidR="00287825" w:rsidRDefault="00287825" w:rsidP="00357CEC">
            <w:pPr>
              <w:pStyle w:val="Default"/>
              <w:rPr>
                <w:sz w:val="22"/>
                <w:szCs w:val="22"/>
              </w:rPr>
            </w:pPr>
          </w:p>
          <w:p w14:paraId="4ACA3F72" w14:textId="77777777" w:rsidR="00287825" w:rsidRDefault="00287825" w:rsidP="00357CEC">
            <w:pPr>
              <w:pStyle w:val="Default"/>
              <w:rPr>
                <w:sz w:val="22"/>
                <w:szCs w:val="22"/>
              </w:rPr>
            </w:pPr>
          </w:p>
          <w:p w14:paraId="709F3AB4" w14:textId="77777777" w:rsidR="00287825" w:rsidRDefault="00287825" w:rsidP="00357CEC">
            <w:pPr>
              <w:pStyle w:val="Default"/>
              <w:rPr>
                <w:sz w:val="22"/>
                <w:szCs w:val="22"/>
              </w:rPr>
            </w:pPr>
          </w:p>
          <w:p w14:paraId="296FACCA" w14:textId="77777777" w:rsidR="00287825" w:rsidRDefault="00287825" w:rsidP="00357CEC">
            <w:pPr>
              <w:pStyle w:val="Default"/>
              <w:rPr>
                <w:sz w:val="22"/>
                <w:szCs w:val="22"/>
              </w:rPr>
            </w:pPr>
          </w:p>
          <w:p w14:paraId="2F0C4AFE" w14:textId="77777777" w:rsidR="00287825" w:rsidRDefault="00287825" w:rsidP="00357CEC">
            <w:pPr>
              <w:pStyle w:val="Default"/>
              <w:rPr>
                <w:sz w:val="22"/>
                <w:szCs w:val="22"/>
              </w:rPr>
            </w:pPr>
          </w:p>
          <w:p w14:paraId="42A8BC52" w14:textId="77777777" w:rsidR="00287825" w:rsidRDefault="00287825" w:rsidP="00357CEC">
            <w:pPr>
              <w:pStyle w:val="Default"/>
              <w:rPr>
                <w:sz w:val="22"/>
                <w:szCs w:val="22"/>
              </w:rPr>
            </w:pPr>
          </w:p>
          <w:p w14:paraId="5DCE4D7E" w14:textId="77777777" w:rsidR="00287825" w:rsidRDefault="00287825" w:rsidP="00357CEC">
            <w:pPr>
              <w:pStyle w:val="Default"/>
              <w:rPr>
                <w:sz w:val="22"/>
                <w:szCs w:val="22"/>
              </w:rPr>
            </w:pPr>
          </w:p>
          <w:p w14:paraId="162686DB" w14:textId="77777777" w:rsidR="00287825" w:rsidRDefault="00287825" w:rsidP="00357CEC">
            <w:pPr>
              <w:pStyle w:val="Default"/>
              <w:rPr>
                <w:sz w:val="22"/>
                <w:szCs w:val="22"/>
              </w:rPr>
            </w:pPr>
          </w:p>
          <w:p w14:paraId="0A8E5CF0" w14:textId="77777777" w:rsidR="00287825" w:rsidRDefault="00287825" w:rsidP="00357CEC">
            <w:pPr>
              <w:pStyle w:val="Default"/>
              <w:rPr>
                <w:sz w:val="22"/>
                <w:szCs w:val="22"/>
              </w:rPr>
            </w:pPr>
          </w:p>
          <w:p w14:paraId="3D71A18B" w14:textId="77777777" w:rsidR="00287825" w:rsidRDefault="00287825" w:rsidP="00357CEC">
            <w:pPr>
              <w:pStyle w:val="Default"/>
              <w:rPr>
                <w:sz w:val="22"/>
                <w:szCs w:val="22"/>
              </w:rPr>
            </w:pPr>
          </w:p>
          <w:p w14:paraId="33FF994A" w14:textId="77777777" w:rsidR="00287825" w:rsidRDefault="00287825" w:rsidP="00357CEC">
            <w:pPr>
              <w:pStyle w:val="Default"/>
              <w:rPr>
                <w:sz w:val="22"/>
                <w:szCs w:val="22"/>
              </w:rPr>
            </w:pPr>
          </w:p>
          <w:p w14:paraId="2F4FB9AF" w14:textId="77777777" w:rsidR="00287825" w:rsidRDefault="00287825" w:rsidP="00357CEC">
            <w:pPr>
              <w:pStyle w:val="Default"/>
              <w:rPr>
                <w:sz w:val="22"/>
                <w:szCs w:val="22"/>
              </w:rPr>
            </w:pPr>
          </w:p>
          <w:p w14:paraId="487F9388" w14:textId="77777777" w:rsidR="00287825" w:rsidRDefault="00287825" w:rsidP="00357CEC">
            <w:pPr>
              <w:pStyle w:val="Default"/>
              <w:rPr>
                <w:sz w:val="22"/>
                <w:szCs w:val="22"/>
              </w:rPr>
            </w:pPr>
          </w:p>
          <w:p w14:paraId="2D685EE3" w14:textId="77777777" w:rsidR="00287825" w:rsidRDefault="00287825" w:rsidP="00357CEC">
            <w:pPr>
              <w:pStyle w:val="Default"/>
              <w:rPr>
                <w:sz w:val="22"/>
                <w:szCs w:val="22"/>
              </w:rPr>
            </w:pPr>
          </w:p>
          <w:p w14:paraId="45F7FB2E" w14:textId="77777777" w:rsidR="00287825" w:rsidRDefault="00287825" w:rsidP="00357CEC">
            <w:pPr>
              <w:pStyle w:val="Default"/>
              <w:rPr>
                <w:sz w:val="22"/>
                <w:szCs w:val="22"/>
              </w:rPr>
            </w:pPr>
          </w:p>
          <w:p w14:paraId="2A28B904" w14:textId="77777777" w:rsidR="00287825" w:rsidRDefault="00287825" w:rsidP="00357CEC">
            <w:pPr>
              <w:pStyle w:val="Default"/>
              <w:rPr>
                <w:sz w:val="22"/>
                <w:szCs w:val="22"/>
              </w:rPr>
            </w:pPr>
          </w:p>
          <w:p w14:paraId="1B9BC4F6" w14:textId="77777777" w:rsidR="00287825" w:rsidRDefault="00287825" w:rsidP="00357CEC">
            <w:pPr>
              <w:pStyle w:val="Default"/>
              <w:rPr>
                <w:sz w:val="22"/>
                <w:szCs w:val="22"/>
              </w:rPr>
            </w:pPr>
          </w:p>
          <w:p w14:paraId="41E8549F" w14:textId="77777777" w:rsidR="00287825" w:rsidRDefault="00287825" w:rsidP="00357CEC">
            <w:pPr>
              <w:pStyle w:val="Default"/>
              <w:rPr>
                <w:sz w:val="22"/>
                <w:szCs w:val="22"/>
              </w:rPr>
            </w:pPr>
          </w:p>
          <w:p w14:paraId="5B226C26" w14:textId="77777777" w:rsidR="00287825" w:rsidRDefault="00287825" w:rsidP="00357CEC">
            <w:pPr>
              <w:pStyle w:val="Default"/>
              <w:rPr>
                <w:sz w:val="22"/>
                <w:szCs w:val="22"/>
              </w:rPr>
            </w:pPr>
          </w:p>
          <w:p w14:paraId="40D32DBF" w14:textId="77777777" w:rsidR="00287825" w:rsidRDefault="00287825" w:rsidP="00357CEC">
            <w:pPr>
              <w:pStyle w:val="Default"/>
              <w:rPr>
                <w:sz w:val="22"/>
                <w:szCs w:val="22"/>
              </w:rPr>
            </w:pPr>
          </w:p>
          <w:p w14:paraId="026309E7" w14:textId="77777777" w:rsidR="00287825" w:rsidRDefault="00287825" w:rsidP="00357CEC">
            <w:pPr>
              <w:pStyle w:val="Default"/>
              <w:rPr>
                <w:sz w:val="22"/>
                <w:szCs w:val="22"/>
              </w:rPr>
            </w:pPr>
          </w:p>
          <w:p w14:paraId="339196B2" w14:textId="77777777" w:rsidR="00287825" w:rsidRDefault="00287825" w:rsidP="00357CEC">
            <w:pPr>
              <w:pStyle w:val="Default"/>
              <w:rPr>
                <w:sz w:val="22"/>
                <w:szCs w:val="22"/>
              </w:rPr>
            </w:pPr>
          </w:p>
          <w:p w14:paraId="35F2F290" w14:textId="77777777" w:rsidR="00287825" w:rsidRDefault="00287825" w:rsidP="00357CEC">
            <w:pPr>
              <w:pStyle w:val="Default"/>
              <w:rPr>
                <w:sz w:val="22"/>
                <w:szCs w:val="22"/>
              </w:rPr>
            </w:pPr>
          </w:p>
          <w:p w14:paraId="57D1732B" w14:textId="77777777" w:rsidR="00287825" w:rsidRDefault="00287825" w:rsidP="00357CEC">
            <w:pPr>
              <w:pStyle w:val="Default"/>
              <w:rPr>
                <w:sz w:val="22"/>
                <w:szCs w:val="22"/>
              </w:rPr>
            </w:pPr>
          </w:p>
          <w:p w14:paraId="32D07131" w14:textId="77777777" w:rsidR="00287825" w:rsidRDefault="00287825" w:rsidP="00357CEC">
            <w:pPr>
              <w:pStyle w:val="Default"/>
              <w:rPr>
                <w:sz w:val="22"/>
                <w:szCs w:val="22"/>
              </w:rPr>
            </w:pPr>
          </w:p>
          <w:p w14:paraId="08752FA7" w14:textId="77777777" w:rsidR="00287825" w:rsidRDefault="00287825" w:rsidP="00357CEC">
            <w:pPr>
              <w:pStyle w:val="Default"/>
              <w:rPr>
                <w:sz w:val="22"/>
                <w:szCs w:val="22"/>
              </w:rPr>
            </w:pPr>
          </w:p>
          <w:p w14:paraId="4806F969" w14:textId="77777777" w:rsidR="00287825" w:rsidRDefault="00287825" w:rsidP="00357CEC">
            <w:pPr>
              <w:pStyle w:val="Default"/>
              <w:rPr>
                <w:sz w:val="22"/>
                <w:szCs w:val="22"/>
              </w:rPr>
            </w:pPr>
          </w:p>
          <w:p w14:paraId="2DC8FE45" w14:textId="77777777" w:rsidR="00287825" w:rsidRDefault="00287825" w:rsidP="00357CEC">
            <w:pPr>
              <w:pStyle w:val="Default"/>
              <w:rPr>
                <w:sz w:val="22"/>
                <w:szCs w:val="22"/>
              </w:rPr>
            </w:pPr>
          </w:p>
          <w:p w14:paraId="1D51C5FC" w14:textId="6B2E921F" w:rsidR="00287825" w:rsidRDefault="00287825" w:rsidP="00357CEC">
            <w:pPr>
              <w:pStyle w:val="Default"/>
              <w:rPr>
                <w:sz w:val="22"/>
                <w:szCs w:val="22"/>
              </w:rPr>
            </w:pPr>
          </w:p>
          <w:p w14:paraId="43545392" w14:textId="00ACAC63" w:rsidR="5F673433" w:rsidRDefault="5F673433" w:rsidP="5F673433">
            <w:pPr>
              <w:pStyle w:val="Default"/>
              <w:rPr>
                <w:sz w:val="22"/>
                <w:szCs w:val="22"/>
              </w:rPr>
            </w:pPr>
          </w:p>
          <w:p w14:paraId="02141591" w14:textId="58CC0DDC" w:rsidR="5F673433" w:rsidRDefault="5F673433" w:rsidP="5F673433">
            <w:pPr>
              <w:pStyle w:val="Default"/>
              <w:rPr>
                <w:sz w:val="22"/>
                <w:szCs w:val="22"/>
              </w:rPr>
            </w:pPr>
          </w:p>
          <w:p w14:paraId="0984E1EE" w14:textId="6DB4EE0D" w:rsidR="5F673433" w:rsidRDefault="5F673433" w:rsidP="5F673433">
            <w:pPr>
              <w:pStyle w:val="Default"/>
              <w:rPr>
                <w:sz w:val="22"/>
                <w:szCs w:val="22"/>
              </w:rPr>
            </w:pPr>
          </w:p>
          <w:p w14:paraId="310836B0" w14:textId="22D6B59C" w:rsidR="5F673433" w:rsidRDefault="5F673433" w:rsidP="5F673433">
            <w:pPr>
              <w:pStyle w:val="Default"/>
              <w:rPr>
                <w:sz w:val="22"/>
                <w:szCs w:val="22"/>
              </w:rPr>
            </w:pPr>
          </w:p>
          <w:p w14:paraId="7D99906A" w14:textId="77777777" w:rsidR="00287825" w:rsidRDefault="00287825" w:rsidP="00357CEC">
            <w:pPr>
              <w:pStyle w:val="Default"/>
              <w:rPr>
                <w:sz w:val="22"/>
                <w:szCs w:val="22"/>
              </w:rPr>
            </w:pPr>
            <w:r>
              <w:rPr>
                <w:sz w:val="22"/>
                <w:szCs w:val="22"/>
              </w:rPr>
              <w:t>NZ</w:t>
            </w:r>
          </w:p>
          <w:p w14:paraId="2BD1F954" w14:textId="77777777" w:rsidR="00287825" w:rsidRDefault="00287825" w:rsidP="00357CEC">
            <w:pPr>
              <w:pStyle w:val="Default"/>
              <w:rPr>
                <w:sz w:val="22"/>
                <w:szCs w:val="22"/>
              </w:rPr>
            </w:pPr>
          </w:p>
          <w:p w14:paraId="6E1F806D" w14:textId="77777777" w:rsidR="00287825" w:rsidRDefault="00287825" w:rsidP="00357CEC">
            <w:pPr>
              <w:pStyle w:val="Default"/>
              <w:rPr>
                <w:sz w:val="22"/>
                <w:szCs w:val="22"/>
              </w:rPr>
            </w:pPr>
          </w:p>
          <w:p w14:paraId="0548A6D8" w14:textId="77777777" w:rsidR="00287825" w:rsidRDefault="00287825" w:rsidP="00357CEC">
            <w:pPr>
              <w:pStyle w:val="Default"/>
              <w:rPr>
                <w:sz w:val="22"/>
                <w:szCs w:val="22"/>
              </w:rPr>
            </w:pPr>
          </w:p>
          <w:p w14:paraId="4F04A932" w14:textId="77777777" w:rsidR="00287825" w:rsidRDefault="00287825" w:rsidP="00357CEC">
            <w:pPr>
              <w:pStyle w:val="Default"/>
              <w:rPr>
                <w:sz w:val="22"/>
                <w:szCs w:val="22"/>
              </w:rPr>
            </w:pPr>
          </w:p>
          <w:p w14:paraId="0A1C7376" w14:textId="77777777" w:rsidR="00287825" w:rsidRDefault="00287825" w:rsidP="00357CEC">
            <w:pPr>
              <w:pStyle w:val="Default"/>
              <w:rPr>
                <w:sz w:val="22"/>
                <w:szCs w:val="22"/>
              </w:rPr>
            </w:pPr>
          </w:p>
          <w:p w14:paraId="3440A56A" w14:textId="77777777" w:rsidR="00287825" w:rsidRDefault="00287825" w:rsidP="00357CEC">
            <w:pPr>
              <w:pStyle w:val="Default"/>
              <w:rPr>
                <w:sz w:val="22"/>
                <w:szCs w:val="22"/>
              </w:rPr>
            </w:pPr>
          </w:p>
          <w:p w14:paraId="106EA5D4" w14:textId="77777777" w:rsidR="00287825" w:rsidRDefault="00287825" w:rsidP="00357CEC">
            <w:pPr>
              <w:pStyle w:val="Default"/>
              <w:rPr>
                <w:sz w:val="22"/>
                <w:szCs w:val="22"/>
              </w:rPr>
            </w:pPr>
          </w:p>
          <w:p w14:paraId="46E18BC5" w14:textId="77777777" w:rsidR="00287825" w:rsidRDefault="00287825" w:rsidP="00357CEC">
            <w:pPr>
              <w:pStyle w:val="Default"/>
              <w:rPr>
                <w:sz w:val="22"/>
                <w:szCs w:val="22"/>
              </w:rPr>
            </w:pPr>
          </w:p>
          <w:p w14:paraId="25F66EEF" w14:textId="77777777" w:rsidR="00287825" w:rsidRDefault="00287825" w:rsidP="00357CEC">
            <w:pPr>
              <w:pStyle w:val="Default"/>
              <w:rPr>
                <w:sz w:val="22"/>
                <w:szCs w:val="22"/>
              </w:rPr>
            </w:pPr>
          </w:p>
          <w:p w14:paraId="02ABC37D" w14:textId="77777777" w:rsidR="00287825" w:rsidRDefault="00287825" w:rsidP="00357CEC">
            <w:pPr>
              <w:pStyle w:val="Default"/>
              <w:rPr>
                <w:sz w:val="22"/>
                <w:szCs w:val="22"/>
              </w:rPr>
            </w:pPr>
          </w:p>
          <w:p w14:paraId="0492E936" w14:textId="77777777" w:rsidR="00287825" w:rsidRDefault="00287825" w:rsidP="00357CEC">
            <w:pPr>
              <w:pStyle w:val="Default"/>
              <w:rPr>
                <w:sz w:val="22"/>
                <w:szCs w:val="22"/>
              </w:rPr>
            </w:pPr>
          </w:p>
          <w:p w14:paraId="6DE16615" w14:textId="77777777" w:rsidR="00287825" w:rsidRDefault="00287825" w:rsidP="00357CEC">
            <w:pPr>
              <w:pStyle w:val="Default"/>
              <w:rPr>
                <w:sz w:val="22"/>
                <w:szCs w:val="22"/>
              </w:rPr>
            </w:pPr>
          </w:p>
          <w:p w14:paraId="1E845C0E" w14:textId="77777777" w:rsidR="00287825" w:rsidRDefault="00287825" w:rsidP="00357CEC">
            <w:pPr>
              <w:pStyle w:val="Default"/>
              <w:rPr>
                <w:sz w:val="22"/>
                <w:szCs w:val="22"/>
              </w:rPr>
            </w:pPr>
          </w:p>
          <w:p w14:paraId="7701172F" w14:textId="77777777" w:rsidR="00287825" w:rsidRDefault="00287825" w:rsidP="00357CEC">
            <w:pPr>
              <w:pStyle w:val="Default"/>
              <w:rPr>
                <w:sz w:val="22"/>
                <w:szCs w:val="22"/>
              </w:rPr>
            </w:pPr>
          </w:p>
          <w:p w14:paraId="3C236A0E" w14:textId="77777777" w:rsidR="009D0AA1" w:rsidRDefault="009D0AA1" w:rsidP="00357CEC">
            <w:pPr>
              <w:pStyle w:val="Default"/>
              <w:rPr>
                <w:sz w:val="22"/>
                <w:szCs w:val="22"/>
              </w:rPr>
            </w:pPr>
          </w:p>
          <w:p w14:paraId="1AB7387B" w14:textId="77777777" w:rsidR="009D0AA1" w:rsidRDefault="009D0AA1" w:rsidP="00357CEC">
            <w:pPr>
              <w:pStyle w:val="Default"/>
              <w:rPr>
                <w:sz w:val="22"/>
                <w:szCs w:val="22"/>
              </w:rPr>
            </w:pPr>
          </w:p>
          <w:p w14:paraId="44972F7F" w14:textId="61D9C9D5" w:rsidR="00287825" w:rsidRDefault="00287825" w:rsidP="00357CEC">
            <w:pPr>
              <w:pStyle w:val="Default"/>
              <w:rPr>
                <w:sz w:val="22"/>
                <w:szCs w:val="22"/>
              </w:rPr>
            </w:pPr>
          </w:p>
          <w:p w14:paraId="14EB040A" w14:textId="77777777" w:rsidR="00287825" w:rsidRDefault="00287825" w:rsidP="00357CEC">
            <w:pPr>
              <w:pStyle w:val="Default"/>
              <w:rPr>
                <w:sz w:val="22"/>
                <w:szCs w:val="22"/>
              </w:rPr>
            </w:pPr>
          </w:p>
          <w:p w14:paraId="75318FBF" w14:textId="77777777" w:rsidR="00287825" w:rsidRDefault="00287825" w:rsidP="00357CEC">
            <w:pPr>
              <w:pStyle w:val="Default"/>
              <w:rPr>
                <w:sz w:val="22"/>
                <w:szCs w:val="22"/>
              </w:rPr>
            </w:pPr>
          </w:p>
          <w:p w14:paraId="70DA2DE0" w14:textId="77777777" w:rsidR="00287825" w:rsidRDefault="00287825" w:rsidP="00357CEC">
            <w:pPr>
              <w:pStyle w:val="Default"/>
              <w:rPr>
                <w:sz w:val="22"/>
                <w:szCs w:val="22"/>
              </w:rPr>
            </w:pPr>
          </w:p>
          <w:p w14:paraId="24063984" w14:textId="77777777" w:rsidR="00287825" w:rsidRDefault="00287825" w:rsidP="00357CEC">
            <w:pPr>
              <w:pStyle w:val="Default"/>
              <w:rPr>
                <w:sz w:val="22"/>
                <w:szCs w:val="22"/>
              </w:rPr>
            </w:pPr>
          </w:p>
          <w:p w14:paraId="31712EA2" w14:textId="77777777" w:rsidR="00287825" w:rsidRDefault="00287825" w:rsidP="00357CEC">
            <w:pPr>
              <w:pStyle w:val="Default"/>
              <w:rPr>
                <w:sz w:val="22"/>
                <w:szCs w:val="22"/>
              </w:rPr>
            </w:pPr>
          </w:p>
          <w:p w14:paraId="2A7F7545" w14:textId="77777777" w:rsidR="00287825" w:rsidRDefault="00287825" w:rsidP="00357CEC">
            <w:pPr>
              <w:pStyle w:val="Default"/>
              <w:rPr>
                <w:sz w:val="22"/>
                <w:szCs w:val="22"/>
              </w:rPr>
            </w:pPr>
          </w:p>
          <w:p w14:paraId="2618E3FD" w14:textId="77777777" w:rsidR="00287825" w:rsidRDefault="00287825" w:rsidP="00357CEC">
            <w:pPr>
              <w:pStyle w:val="Default"/>
              <w:rPr>
                <w:sz w:val="22"/>
                <w:szCs w:val="22"/>
              </w:rPr>
            </w:pPr>
          </w:p>
          <w:p w14:paraId="2AD33341" w14:textId="77777777" w:rsidR="00287825" w:rsidRDefault="00287825" w:rsidP="00357CEC">
            <w:pPr>
              <w:pStyle w:val="Default"/>
              <w:rPr>
                <w:sz w:val="22"/>
                <w:szCs w:val="22"/>
              </w:rPr>
            </w:pPr>
          </w:p>
          <w:p w14:paraId="615791F0" w14:textId="77777777" w:rsidR="00287825" w:rsidRDefault="00287825" w:rsidP="00357CEC">
            <w:pPr>
              <w:pStyle w:val="Default"/>
              <w:rPr>
                <w:sz w:val="22"/>
                <w:szCs w:val="22"/>
              </w:rPr>
            </w:pPr>
          </w:p>
          <w:p w14:paraId="011E7BDF" w14:textId="77777777" w:rsidR="00287825" w:rsidRDefault="00287825" w:rsidP="00357CEC">
            <w:pPr>
              <w:pStyle w:val="Default"/>
              <w:rPr>
                <w:sz w:val="22"/>
                <w:szCs w:val="22"/>
              </w:rPr>
            </w:pPr>
          </w:p>
          <w:p w14:paraId="770FA8BD" w14:textId="77777777" w:rsidR="00287825" w:rsidRDefault="00287825" w:rsidP="00357CEC">
            <w:pPr>
              <w:pStyle w:val="Default"/>
              <w:rPr>
                <w:sz w:val="22"/>
                <w:szCs w:val="22"/>
              </w:rPr>
            </w:pPr>
          </w:p>
          <w:p w14:paraId="36EFA8C3" w14:textId="1E97361E" w:rsidR="00287825" w:rsidRDefault="00287825" w:rsidP="00357CEC">
            <w:pPr>
              <w:pStyle w:val="Default"/>
              <w:rPr>
                <w:sz w:val="22"/>
                <w:szCs w:val="22"/>
              </w:rPr>
            </w:pPr>
          </w:p>
          <w:p w14:paraId="5ABA1BBB" w14:textId="77777777" w:rsidR="009D0AA1" w:rsidRDefault="009D0AA1" w:rsidP="00357CEC">
            <w:pPr>
              <w:pStyle w:val="Default"/>
              <w:rPr>
                <w:sz w:val="22"/>
                <w:szCs w:val="22"/>
              </w:rPr>
            </w:pPr>
          </w:p>
          <w:p w14:paraId="52BB41A0" w14:textId="77777777" w:rsidR="009D0AA1" w:rsidRDefault="009D0AA1" w:rsidP="00357CEC">
            <w:pPr>
              <w:pStyle w:val="Default"/>
              <w:rPr>
                <w:sz w:val="22"/>
                <w:szCs w:val="22"/>
              </w:rPr>
            </w:pPr>
          </w:p>
          <w:p w14:paraId="223AE1A7" w14:textId="77777777" w:rsidR="009D0AA1" w:rsidRDefault="009D0AA1" w:rsidP="00357CEC">
            <w:pPr>
              <w:pStyle w:val="Default"/>
              <w:rPr>
                <w:sz w:val="22"/>
                <w:szCs w:val="22"/>
              </w:rPr>
            </w:pPr>
          </w:p>
          <w:p w14:paraId="4DC25E2D" w14:textId="77777777" w:rsidR="009D0AA1" w:rsidRDefault="009D0AA1" w:rsidP="00357CEC">
            <w:pPr>
              <w:pStyle w:val="Default"/>
              <w:rPr>
                <w:sz w:val="22"/>
                <w:szCs w:val="22"/>
              </w:rPr>
            </w:pPr>
          </w:p>
          <w:p w14:paraId="242A5CBD" w14:textId="687D6789" w:rsidR="00287825" w:rsidRDefault="00287825" w:rsidP="00357CEC">
            <w:pPr>
              <w:pStyle w:val="Default"/>
              <w:rPr>
                <w:sz w:val="22"/>
                <w:szCs w:val="22"/>
              </w:rPr>
            </w:pPr>
          </w:p>
          <w:p w14:paraId="642D1F48" w14:textId="77777777" w:rsidR="004E1026" w:rsidRDefault="004E1026" w:rsidP="00357CEC">
            <w:pPr>
              <w:pStyle w:val="Default"/>
              <w:rPr>
                <w:sz w:val="22"/>
                <w:szCs w:val="22"/>
              </w:rPr>
            </w:pPr>
          </w:p>
          <w:p w14:paraId="1272FAF3" w14:textId="77777777" w:rsidR="004E1026" w:rsidRDefault="004E1026" w:rsidP="00357CEC">
            <w:pPr>
              <w:pStyle w:val="Default"/>
              <w:rPr>
                <w:sz w:val="22"/>
                <w:szCs w:val="22"/>
              </w:rPr>
            </w:pPr>
          </w:p>
          <w:p w14:paraId="2F12C3A7" w14:textId="77777777" w:rsidR="004E1026" w:rsidRDefault="004E1026" w:rsidP="00357CEC">
            <w:pPr>
              <w:pStyle w:val="Default"/>
              <w:rPr>
                <w:sz w:val="22"/>
                <w:szCs w:val="22"/>
              </w:rPr>
            </w:pPr>
          </w:p>
          <w:p w14:paraId="60F20922" w14:textId="77777777" w:rsidR="004E1026" w:rsidRDefault="004E1026" w:rsidP="00357CEC">
            <w:pPr>
              <w:pStyle w:val="Default"/>
              <w:rPr>
                <w:sz w:val="22"/>
                <w:szCs w:val="22"/>
              </w:rPr>
            </w:pPr>
          </w:p>
          <w:p w14:paraId="23A2BCE7" w14:textId="77777777" w:rsidR="004E1026" w:rsidRDefault="004E1026" w:rsidP="00357CEC">
            <w:pPr>
              <w:pStyle w:val="Default"/>
              <w:rPr>
                <w:sz w:val="22"/>
                <w:szCs w:val="22"/>
              </w:rPr>
            </w:pPr>
          </w:p>
          <w:p w14:paraId="6590759A" w14:textId="77777777" w:rsidR="004E1026" w:rsidRDefault="004E1026" w:rsidP="00357CEC">
            <w:pPr>
              <w:pStyle w:val="Default"/>
              <w:rPr>
                <w:sz w:val="22"/>
                <w:szCs w:val="22"/>
              </w:rPr>
            </w:pPr>
          </w:p>
          <w:p w14:paraId="7F5202BC" w14:textId="77777777" w:rsidR="004E1026" w:rsidRDefault="004E1026" w:rsidP="00357CEC">
            <w:pPr>
              <w:pStyle w:val="Default"/>
              <w:rPr>
                <w:sz w:val="22"/>
                <w:szCs w:val="22"/>
              </w:rPr>
            </w:pPr>
          </w:p>
          <w:p w14:paraId="173285F9" w14:textId="77777777" w:rsidR="004E1026" w:rsidRDefault="004E1026" w:rsidP="00357CEC">
            <w:pPr>
              <w:pStyle w:val="Default"/>
              <w:rPr>
                <w:sz w:val="22"/>
                <w:szCs w:val="22"/>
              </w:rPr>
            </w:pPr>
          </w:p>
          <w:p w14:paraId="285B32F8" w14:textId="77777777" w:rsidR="004E1026" w:rsidRDefault="004E1026" w:rsidP="00357CEC">
            <w:pPr>
              <w:pStyle w:val="Default"/>
              <w:rPr>
                <w:sz w:val="22"/>
                <w:szCs w:val="22"/>
              </w:rPr>
            </w:pPr>
          </w:p>
          <w:p w14:paraId="38FBEAE3" w14:textId="77777777" w:rsidR="004E1026" w:rsidRDefault="004E1026" w:rsidP="00357CEC">
            <w:pPr>
              <w:pStyle w:val="Default"/>
              <w:rPr>
                <w:sz w:val="22"/>
                <w:szCs w:val="22"/>
              </w:rPr>
            </w:pPr>
          </w:p>
          <w:p w14:paraId="3E4F9124" w14:textId="77777777" w:rsidR="004E1026" w:rsidRDefault="004E1026" w:rsidP="00357CEC">
            <w:pPr>
              <w:pStyle w:val="Default"/>
              <w:rPr>
                <w:sz w:val="22"/>
                <w:szCs w:val="22"/>
              </w:rPr>
            </w:pPr>
          </w:p>
          <w:p w14:paraId="7CFDE566" w14:textId="77777777" w:rsidR="004E1026" w:rsidRDefault="004E1026" w:rsidP="00357CEC">
            <w:pPr>
              <w:pStyle w:val="Default"/>
              <w:rPr>
                <w:sz w:val="22"/>
                <w:szCs w:val="22"/>
              </w:rPr>
            </w:pPr>
          </w:p>
          <w:p w14:paraId="14025151" w14:textId="77777777" w:rsidR="004E1026" w:rsidRDefault="004E1026" w:rsidP="00357CEC">
            <w:pPr>
              <w:pStyle w:val="Default"/>
              <w:rPr>
                <w:sz w:val="22"/>
                <w:szCs w:val="22"/>
              </w:rPr>
            </w:pPr>
          </w:p>
          <w:p w14:paraId="7CA37194" w14:textId="77777777" w:rsidR="004E1026" w:rsidRDefault="004E1026" w:rsidP="00357CEC">
            <w:pPr>
              <w:pStyle w:val="Default"/>
              <w:rPr>
                <w:sz w:val="22"/>
                <w:szCs w:val="22"/>
              </w:rPr>
            </w:pPr>
          </w:p>
          <w:p w14:paraId="061765E1" w14:textId="77777777" w:rsidR="004E1026" w:rsidRDefault="004E1026" w:rsidP="00357CEC">
            <w:pPr>
              <w:pStyle w:val="Default"/>
              <w:rPr>
                <w:sz w:val="22"/>
                <w:szCs w:val="22"/>
              </w:rPr>
            </w:pPr>
          </w:p>
          <w:p w14:paraId="4A443ED0" w14:textId="77777777" w:rsidR="004E1026" w:rsidRDefault="004E1026" w:rsidP="00357CEC">
            <w:pPr>
              <w:pStyle w:val="Default"/>
              <w:rPr>
                <w:sz w:val="22"/>
                <w:szCs w:val="22"/>
              </w:rPr>
            </w:pPr>
          </w:p>
          <w:p w14:paraId="76639DE3" w14:textId="77777777" w:rsidR="004E1026" w:rsidRDefault="004E1026" w:rsidP="00357CEC">
            <w:pPr>
              <w:pStyle w:val="Default"/>
              <w:rPr>
                <w:sz w:val="22"/>
                <w:szCs w:val="22"/>
              </w:rPr>
            </w:pPr>
          </w:p>
          <w:p w14:paraId="18E0C036" w14:textId="77777777" w:rsidR="004E1026" w:rsidRDefault="004E1026" w:rsidP="00357CEC">
            <w:pPr>
              <w:pStyle w:val="Default"/>
              <w:rPr>
                <w:sz w:val="22"/>
                <w:szCs w:val="22"/>
              </w:rPr>
            </w:pPr>
          </w:p>
          <w:p w14:paraId="4077EC8D" w14:textId="77777777" w:rsidR="004E1026" w:rsidRDefault="004E1026" w:rsidP="00357CEC">
            <w:pPr>
              <w:pStyle w:val="Default"/>
              <w:rPr>
                <w:sz w:val="22"/>
                <w:szCs w:val="22"/>
              </w:rPr>
            </w:pPr>
          </w:p>
          <w:p w14:paraId="3D3E9BC0" w14:textId="77777777" w:rsidR="004E1026" w:rsidRDefault="004E1026" w:rsidP="00357CEC">
            <w:pPr>
              <w:pStyle w:val="Default"/>
              <w:rPr>
                <w:sz w:val="22"/>
                <w:szCs w:val="22"/>
              </w:rPr>
            </w:pPr>
          </w:p>
          <w:p w14:paraId="1A2DEBA2" w14:textId="77777777" w:rsidR="004E1026" w:rsidRDefault="004E1026" w:rsidP="00357CEC">
            <w:pPr>
              <w:pStyle w:val="Default"/>
              <w:rPr>
                <w:sz w:val="22"/>
                <w:szCs w:val="22"/>
              </w:rPr>
            </w:pPr>
          </w:p>
          <w:p w14:paraId="417257AF" w14:textId="77777777" w:rsidR="004E1026" w:rsidRDefault="004E1026" w:rsidP="00357CEC">
            <w:pPr>
              <w:pStyle w:val="Default"/>
              <w:rPr>
                <w:sz w:val="22"/>
                <w:szCs w:val="22"/>
              </w:rPr>
            </w:pPr>
          </w:p>
          <w:p w14:paraId="7A30750A" w14:textId="77777777" w:rsidR="004E1026" w:rsidRDefault="004E1026" w:rsidP="00357CEC">
            <w:pPr>
              <w:pStyle w:val="Default"/>
              <w:rPr>
                <w:sz w:val="22"/>
                <w:szCs w:val="22"/>
              </w:rPr>
            </w:pPr>
          </w:p>
          <w:p w14:paraId="17C922B7" w14:textId="77777777" w:rsidR="004E1026" w:rsidRDefault="004E1026" w:rsidP="00357CEC">
            <w:pPr>
              <w:pStyle w:val="Default"/>
              <w:rPr>
                <w:sz w:val="22"/>
                <w:szCs w:val="22"/>
              </w:rPr>
            </w:pPr>
          </w:p>
          <w:p w14:paraId="7969BAE2" w14:textId="77777777" w:rsidR="004E1026" w:rsidRDefault="004E1026" w:rsidP="00357CEC">
            <w:pPr>
              <w:pStyle w:val="Default"/>
              <w:rPr>
                <w:sz w:val="22"/>
                <w:szCs w:val="22"/>
              </w:rPr>
            </w:pPr>
          </w:p>
          <w:p w14:paraId="18EF4C15" w14:textId="77777777" w:rsidR="004E1026" w:rsidRDefault="004E1026" w:rsidP="00357CEC">
            <w:pPr>
              <w:pStyle w:val="Default"/>
              <w:rPr>
                <w:sz w:val="22"/>
                <w:szCs w:val="22"/>
              </w:rPr>
            </w:pPr>
          </w:p>
          <w:p w14:paraId="3EC4EA6F" w14:textId="77777777" w:rsidR="004E1026" w:rsidRDefault="004E1026" w:rsidP="00357CEC">
            <w:pPr>
              <w:pStyle w:val="Default"/>
              <w:rPr>
                <w:sz w:val="22"/>
                <w:szCs w:val="22"/>
              </w:rPr>
            </w:pPr>
          </w:p>
          <w:p w14:paraId="16802C8F" w14:textId="77777777" w:rsidR="004E1026" w:rsidRDefault="004E1026" w:rsidP="00357CEC">
            <w:pPr>
              <w:pStyle w:val="Default"/>
              <w:rPr>
                <w:sz w:val="22"/>
                <w:szCs w:val="22"/>
              </w:rPr>
            </w:pPr>
          </w:p>
          <w:p w14:paraId="28DAB580" w14:textId="77777777" w:rsidR="004E1026" w:rsidRDefault="004E1026" w:rsidP="00357CEC">
            <w:pPr>
              <w:pStyle w:val="Default"/>
              <w:rPr>
                <w:sz w:val="22"/>
                <w:szCs w:val="22"/>
              </w:rPr>
            </w:pPr>
          </w:p>
          <w:p w14:paraId="4BD8D0B4" w14:textId="77777777" w:rsidR="004E1026" w:rsidRDefault="004E1026" w:rsidP="00357CEC">
            <w:pPr>
              <w:pStyle w:val="Default"/>
              <w:rPr>
                <w:sz w:val="22"/>
                <w:szCs w:val="22"/>
              </w:rPr>
            </w:pPr>
          </w:p>
          <w:p w14:paraId="2E8B588D" w14:textId="77777777" w:rsidR="004E1026" w:rsidRDefault="004E1026" w:rsidP="00357CEC">
            <w:pPr>
              <w:pStyle w:val="Default"/>
              <w:rPr>
                <w:sz w:val="22"/>
                <w:szCs w:val="22"/>
              </w:rPr>
            </w:pPr>
          </w:p>
          <w:p w14:paraId="10F60D6F" w14:textId="77777777" w:rsidR="004E1026" w:rsidRDefault="004E1026" w:rsidP="00357CEC">
            <w:pPr>
              <w:pStyle w:val="Default"/>
              <w:rPr>
                <w:sz w:val="22"/>
                <w:szCs w:val="22"/>
              </w:rPr>
            </w:pPr>
          </w:p>
          <w:p w14:paraId="7B20C14E" w14:textId="77777777" w:rsidR="004E1026" w:rsidRDefault="004E1026" w:rsidP="00357CEC">
            <w:pPr>
              <w:pStyle w:val="Default"/>
              <w:rPr>
                <w:sz w:val="22"/>
                <w:szCs w:val="22"/>
              </w:rPr>
            </w:pPr>
          </w:p>
          <w:p w14:paraId="772BDBC7" w14:textId="77777777" w:rsidR="004E1026" w:rsidRDefault="004E1026" w:rsidP="00357CEC">
            <w:pPr>
              <w:pStyle w:val="Default"/>
              <w:rPr>
                <w:sz w:val="22"/>
                <w:szCs w:val="22"/>
              </w:rPr>
            </w:pPr>
          </w:p>
          <w:p w14:paraId="28DBDAC9" w14:textId="77777777" w:rsidR="004E1026" w:rsidRDefault="004E1026" w:rsidP="00357CEC">
            <w:pPr>
              <w:pStyle w:val="Default"/>
              <w:rPr>
                <w:sz w:val="22"/>
                <w:szCs w:val="22"/>
              </w:rPr>
            </w:pPr>
          </w:p>
          <w:p w14:paraId="600866B2" w14:textId="77777777" w:rsidR="004E1026" w:rsidRDefault="004E1026" w:rsidP="00357CEC">
            <w:pPr>
              <w:pStyle w:val="Default"/>
              <w:rPr>
                <w:sz w:val="22"/>
                <w:szCs w:val="22"/>
              </w:rPr>
            </w:pPr>
          </w:p>
          <w:p w14:paraId="0ABBC53D" w14:textId="77777777" w:rsidR="004E1026" w:rsidRDefault="004E1026" w:rsidP="00357CEC">
            <w:pPr>
              <w:pStyle w:val="Default"/>
              <w:rPr>
                <w:sz w:val="22"/>
                <w:szCs w:val="22"/>
              </w:rPr>
            </w:pPr>
          </w:p>
          <w:p w14:paraId="3678C26F" w14:textId="77777777" w:rsidR="004E1026" w:rsidRDefault="004E1026" w:rsidP="00357CEC">
            <w:pPr>
              <w:pStyle w:val="Default"/>
              <w:rPr>
                <w:sz w:val="22"/>
                <w:szCs w:val="22"/>
              </w:rPr>
            </w:pPr>
          </w:p>
          <w:p w14:paraId="7E7AE397" w14:textId="77777777" w:rsidR="004E1026" w:rsidRDefault="004E1026" w:rsidP="00357CEC">
            <w:pPr>
              <w:pStyle w:val="Default"/>
              <w:rPr>
                <w:sz w:val="22"/>
                <w:szCs w:val="22"/>
              </w:rPr>
            </w:pPr>
          </w:p>
          <w:p w14:paraId="270ADCFD" w14:textId="77777777" w:rsidR="004E1026" w:rsidRDefault="004E1026" w:rsidP="00357CEC">
            <w:pPr>
              <w:pStyle w:val="Default"/>
              <w:rPr>
                <w:sz w:val="22"/>
                <w:szCs w:val="22"/>
              </w:rPr>
            </w:pPr>
          </w:p>
          <w:p w14:paraId="509702F0" w14:textId="77777777" w:rsidR="004E1026" w:rsidRDefault="004E1026" w:rsidP="00357CEC">
            <w:pPr>
              <w:pStyle w:val="Default"/>
              <w:rPr>
                <w:sz w:val="22"/>
                <w:szCs w:val="22"/>
              </w:rPr>
            </w:pPr>
          </w:p>
          <w:p w14:paraId="7B75C1BD" w14:textId="77777777" w:rsidR="004E1026" w:rsidRDefault="004E1026" w:rsidP="00357CEC">
            <w:pPr>
              <w:pStyle w:val="Default"/>
              <w:rPr>
                <w:sz w:val="22"/>
                <w:szCs w:val="22"/>
              </w:rPr>
            </w:pPr>
          </w:p>
          <w:p w14:paraId="77DB73C9" w14:textId="77777777" w:rsidR="004E1026" w:rsidRDefault="004E1026" w:rsidP="00357CEC">
            <w:pPr>
              <w:pStyle w:val="Default"/>
              <w:rPr>
                <w:sz w:val="22"/>
                <w:szCs w:val="22"/>
              </w:rPr>
            </w:pPr>
          </w:p>
          <w:p w14:paraId="4DC45C7C" w14:textId="77777777" w:rsidR="004E1026" w:rsidRDefault="004E1026" w:rsidP="00357CEC">
            <w:pPr>
              <w:pStyle w:val="Default"/>
              <w:rPr>
                <w:sz w:val="22"/>
                <w:szCs w:val="22"/>
              </w:rPr>
            </w:pPr>
          </w:p>
          <w:p w14:paraId="4E4A8281" w14:textId="77777777" w:rsidR="004E1026" w:rsidRDefault="004E1026" w:rsidP="00357CEC">
            <w:pPr>
              <w:pStyle w:val="Default"/>
              <w:rPr>
                <w:sz w:val="22"/>
                <w:szCs w:val="22"/>
              </w:rPr>
            </w:pPr>
          </w:p>
          <w:p w14:paraId="33971081" w14:textId="77777777" w:rsidR="004E1026" w:rsidRDefault="004E1026" w:rsidP="00357CEC">
            <w:pPr>
              <w:pStyle w:val="Default"/>
              <w:rPr>
                <w:sz w:val="22"/>
                <w:szCs w:val="22"/>
              </w:rPr>
            </w:pPr>
          </w:p>
          <w:p w14:paraId="336EA434" w14:textId="77777777" w:rsidR="004E1026" w:rsidRDefault="004E1026" w:rsidP="00357CEC">
            <w:pPr>
              <w:pStyle w:val="Default"/>
              <w:rPr>
                <w:sz w:val="22"/>
                <w:szCs w:val="22"/>
              </w:rPr>
            </w:pPr>
          </w:p>
          <w:p w14:paraId="6E4C771B" w14:textId="77777777" w:rsidR="004E1026" w:rsidRDefault="004E1026" w:rsidP="00357CEC">
            <w:pPr>
              <w:pStyle w:val="Default"/>
              <w:rPr>
                <w:sz w:val="22"/>
                <w:szCs w:val="22"/>
              </w:rPr>
            </w:pPr>
          </w:p>
          <w:p w14:paraId="4A6D4391" w14:textId="77777777" w:rsidR="004E1026" w:rsidRDefault="004E1026" w:rsidP="00357CEC">
            <w:pPr>
              <w:pStyle w:val="Default"/>
              <w:rPr>
                <w:sz w:val="22"/>
                <w:szCs w:val="22"/>
              </w:rPr>
            </w:pPr>
          </w:p>
          <w:p w14:paraId="30B50F72" w14:textId="77777777" w:rsidR="004E1026" w:rsidRDefault="004E1026" w:rsidP="00357CEC">
            <w:pPr>
              <w:pStyle w:val="Default"/>
              <w:rPr>
                <w:sz w:val="22"/>
                <w:szCs w:val="22"/>
              </w:rPr>
            </w:pPr>
          </w:p>
          <w:p w14:paraId="7E003392" w14:textId="77777777" w:rsidR="004E1026" w:rsidRDefault="004E1026" w:rsidP="00357CEC">
            <w:pPr>
              <w:pStyle w:val="Default"/>
              <w:rPr>
                <w:sz w:val="22"/>
                <w:szCs w:val="22"/>
              </w:rPr>
            </w:pPr>
          </w:p>
          <w:p w14:paraId="45A07CB7" w14:textId="77777777" w:rsidR="004E1026" w:rsidRDefault="004E1026" w:rsidP="00357CEC">
            <w:pPr>
              <w:pStyle w:val="Default"/>
              <w:rPr>
                <w:sz w:val="22"/>
                <w:szCs w:val="22"/>
              </w:rPr>
            </w:pPr>
          </w:p>
          <w:p w14:paraId="1DC0048F" w14:textId="77777777" w:rsidR="004E1026" w:rsidRDefault="004E1026" w:rsidP="00357CEC">
            <w:pPr>
              <w:pStyle w:val="Default"/>
              <w:rPr>
                <w:sz w:val="22"/>
                <w:szCs w:val="22"/>
              </w:rPr>
            </w:pPr>
          </w:p>
          <w:p w14:paraId="237C18A0" w14:textId="77777777" w:rsidR="004E1026" w:rsidRDefault="004E1026" w:rsidP="00357CEC">
            <w:pPr>
              <w:pStyle w:val="Default"/>
              <w:rPr>
                <w:sz w:val="22"/>
                <w:szCs w:val="22"/>
              </w:rPr>
            </w:pPr>
          </w:p>
          <w:p w14:paraId="4B3D3743" w14:textId="77777777" w:rsidR="004E1026" w:rsidRDefault="004E1026" w:rsidP="00357CEC">
            <w:pPr>
              <w:pStyle w:val="Default"/>
              <w:rPr>
                <w:sz w:val="22"/>
                <w:szCs w:val="22"/>
              </w:rPr>
            </w:pPr>
          </w:p>
          <w:p w14:paraId="28EFD677" w14:textId="77777777" w:rsidR="004E1026" w:rsidRDefault="004E1026" w:rsidP="00357CEC">
            <w:pPr>
              <w:pStyle w:val="Default"/>
              <w:rPr>
                <w:sz w:val="22"/>
                <w:szCs w:val="22"/>
              </w:rPr>
            </w:pPr>
          </w:p>
          <w:p w14:paraId="62651E3E" w14:textId="77777777" w:rsidR="004E1026" w:rsidRDefault="004E1026" w:rsidP="00357CEC">
            <w:pPr>
              <w:pStyle w:val="Default"/>
              <w:rPr>
                <w:sz w:val="22"/>
                <w:szCs w:val="22"/>
              </w:rPr>
            </w:pPr>
          </w:p>
          <w:p w14:paraId="0AE7EB55" w14:textId="77777777" w:rsidR="004E1026" w:rsidRDefault="004E1026" w:rsidP="00357CEC">
            <w:pPr>
              <w:pStyle w:val="Default"/>
              <w:rPr>
                <w:sz w:val="22"/>
                <w:szCs w:val="22"/>
              </w:rPr>
            </w:pPr>
          </w:p>
          <w:p w14:paraId="59AB0F6A" w14:textId="77777777" w:rsidR="004E1026" w:rsidRDefault="004E1026" w:rsidP="00357CEC">
            <w:pPr>
              <w:pStyle w:val="Default"/>
              <w:rPr>
                <w:sz w:val="22"/>
                <w:szCs w:val="22"/>
              </w:rPr>
            </w:pPr>
          </w:p>
          <w:p w14:paraId="1F69063E" w14:textId="77777777" w:rsidR="004E1026" w:rsidRDefault="004E1026" w:rsidP="00357CEC">
            <w:pPr>
              <w:pStyle w:val="Default"/>
              <w:rPr>
                <w:sz w:val="22"/>
                <w:szCs w:val="22"/>
              </w:rPr>
            </w:pPr>
          </w:p>
          <w:p w14:paraId="638D8311" w14:textId="77777777" w:rsidR="004E1026" w:rsidRDefault="004E1026" w:rsidP="00357CEC">
            <w:pPr>
              <w:pStyle w:val="Default"/>
              <w:rPr>
                <w:sz w:val="22"/>
                <w:szCs w:val="22"/>
              </w:rPr>
            </w:pPr>
          </w:p>
          <w:p w14:paraId="1AA4C83B" w14:textId="77777777" w:rsidR="004E1026" w:rsidRDefault="004E1026" w:rsidP="00357CEC">
            <w:pPr>
              <w:pStyle w:val="Default"/>
              <w:rPr>
                <w:sz w:val="22"/>
                <w:szCs w:val="22"/>
              </w:rPr>
            </w:pPr>
          </w:p>
          <w:p w14:paraId="70231F55" w14:textId="77777777" w:rsidR="004E1026" w:rsidRDefault="004E1026" w:rsidP="00357CEC">
            <w:pPr>
              <w:pStyle w:val="Default"/>
              <w:rPr>
                <w:sz w:val="22"/>
                <w:szCs w:val="22"/>
              </w:rPr>
            </w:pPr>
          </w:p>
          <w:p w14:paraId="5B422D2D" w14:textId="77777777" w:rsidR="004E1026" w:rsidRDefault="004E1026" w:rsidP="00357CEC">
            <w:pPr>
              <w:pStyle w:val="Default"/>
              <w:rPr>
                <w:sz w:val="22"/>
                <w:szCs w:val="22"/>
              </w:rPr>
            </w:pPr>
          </w:p>
          <w:p w14:paraId="6E1EB98C" w14:textId="77777777" w:rsidR="004E1026" w:rsidRDefault="004E1026" w:rsidP="00357CEC">
            <w:pPr>
              <w:pStyle w:val="Default"/>
              <w:rPr>
                <w:sz w:val="22"/>
                <w:szCs w:val="22"/>
              </w:rPr>
            </w:pPr>
          </w:p>
          <w:p w14:paraId="2C6392BD" w14:textId="77777777" w:rsidR="004E1026" w:rsidRDefault="004E1026" w:rsidP="00357CEC">
            <w:pPr>
              <w:pStyle w:val="Default"/>
              <w:rPr>
                <w:sz w:val="22"/>
                <w:szCs w:val="22"/>
              </w:rPr>
            </w:pPr>
          </w:p>
          <w:p w14:paraId="5CC06A45" w14:textId="77777777" w:rsidR="004E1026" w:rsidRDefault="004E1026" w:rsidP="00357CEC">
            <w:pPr>
              <w:pStyle w:val="Default"/>
              <w:rPr>
                <w:sz w:val="22"/>
                <w:szCs w:val="22"/>
              </w:rPr>
            </w:pPr>
          </w:p>
          <w:p w14:paraId="5EA08DF5" w14:textId="77777777" w:rsidR="004E1026" w:rsidRDefault="004E1026" w:rsidP="00357CEC">
            <w:pPr>
              <w:pStyle w:val="Default"/>
              <w:rPr>
                <w:sz w:val="22"/>
                <w:szCs w:val="22"/>
              </w:rPr>
            </w:pPr>
          </w:p>
          <w:p w14:paraId="62BB46D7" w14:textId="77777777" w:rsidR="004E1026" w:rsidRDefault="004E1026" w:rsidP="00357CEC">
            <w:pPr>
              <w:pStyle w:val="Default"/>
              <w:rPr>
                <w:sz w:val="22"/>
                <w:szCs w:val="22"/>
              </w:rPr>
            </w:pPr>
          </w:p>
          <w:p w14:paraId="2FDC1569" w14:textId="77777777" w:rsidR="004E1026" w:rsidRDefault="004E1026" w:rsidP="00357CEC">
            <w:pPr>
              <w:pStyle w:val="Default"/>
              <w:rPr>
                <w:sz w:val="22"/>
                <w:szCs w:val="22"/>
              </w:rPr>
            </w:pPr>
          </w:p>
          <w:p w14:paraId="6BAD027A" w14:textId="77777777" w:rsidR="004E1026" w:rsidRDefault="004E1026" w:rsidP="00357CEC">
            <w:pPr>
              <w:pStyle w:val="Default"/>
              <w:rPr>
                <w:sz w:val="22"/>
                <w:szCs w:val="22"/>
              </w:rPr>
            </w:pPr>
          </w:p>
          <w:p w14:paraId="5B9036AB" w14:textId="77777777" w:rsidR="004E1026" w:rsidRDefault="004E1026" w:rsidP="00357CEC">
            <w:pPr>
              <w:pStyle w:val="Default"/>
              <w:rPr>
                <w:sz w:val="22"/>
                <w:szCs w:val="22"/>
              </w:rPr>
            </w:pPr>
          </w:p>
          <w:p w14:paraId="57F17F3B" w14:textId="77777777" w:rsidR="004E1026" w:rsidRDefault="004E1026" w:rsidP="00357CEC">
            <w:pPr>
              <w:pStyle w:val="Default"/>
              <w:rPr>
                <w:sz w:val="22"/>
                <w:szCs w:val="22"/>
              </w:rPr>
            </w:pPr>
          </w:p>
          <w:p w14:paraId="45199685" w14:textId="77777777" w:rsidR="004E1026" w:rsidRDefault="004E1026" w:rsidP="00357CEC">
            <w:pPr>
              <w:pStyle w:val="Default"/>
              <w:rPr>
                <w:sz w:val="22"/>
                <w:szCs w:val="22"/>
              </w:rPr>
            </w:pPr>
          </w:p>
          <w:p w14:paraId="63ED4DC7" w14:textId="77777777" w:rsidR="004E1026" w:rsidRDefault="004E1026" w:rsidP="00357CEC">
            <w:pPr>
              <w:pStyle w:val="Default"/>
              <w:rPr>
                <w:sz w:val="22"/>
                <w:szCs w:val="22"/>
              </w:rPr>
            </w:pPr>
          </w:p>
          <w:p w14:paraId="6B41BB22" w14:textId="77777777" w:rsidR="004E1026" w:rsidRDefault="004E1026" w:rsidP="00357CEC">
            <w:pPr>
              <w:pStyle w:val="Default"/>
              <w:rPr>
                <w:sz w:val="22"/>
                <w:szCs w:val="22"/>
              </w:rPr>
            </w:pPr>
          </w:p>
          <w:p w14:paraId="616E75A9" w14:textId="77777777" w:rsidR="004E1026" w:rsidRDefault="004E1026" w:rsidP="00357CEC">
            <w:pPr>
              <w:pStyle w:val="Default"/>
              <w:rPr>
                <w:sz w:val="22"/>
                <w:szCs w:val="22"/>
              </w:rPr>
            </w:pPr>
          </w:p>
          <w:p w14:paraId="7CFBC017" w14:textId="77777777" w:rsidR="004E1026" w:rsidRDefault="004E1026" w:rsidP="00357CEC">
            <w:pPr>
              <w:pStyle w:val="Default"/>
              <w:rPr>
                <w:sz w:val="22"/>
                <w:szCs w:val="22"/>
              </w:rPr>
            </w:pPr>
          </w:p>
          <w:p w14:paraId="1F1E0D86" w14:textId="77777777" w:rsidR="004E1026" w:rsidRDefault="004E1026" w:rsidP="00357CEC">
            <w:pPr>
              <w:pStyle w:val="Default"/>
              <w:rPr>
                <w:sz w:val="22"/>
                <w:szCs w:val="22"/>
              </w:rPr>
            </w:pPr>
          </w:p>
          <w:p w14:paraId="278BAE4C" w14:textId="77777777" w:rsidR="004E1026" w:rsidRDefault="004E1026" w:rsidP="00357CEC">
            <w:pPr>
              <w:pStyle w:val="Default"/>
              <w:rPr>
                <w:sz w:val="22"/>
                <w:szCs w:val="22"/>
              </w:rPr>
            </w:pPr>
          </w:p>
          <w:p w14:paraId="062AE1D9" w14:textId="77777777" w:rsidR="004E1026" w:rsidRDefault="004E1026" w:rsidP="00357CEC">
            <w:pPr>
              <w:pStyle w:val="Default"/>
              <w:rPr>
                <w:sz w:val="22"/>
                <w:szCs w:val="22"/>
              </w:rPr>
            </w:pPr>
          </w:p>
          <w:p w14:paraId="0DDA5DAE" w14:textId="77777777" w:rsidR="004E1026" w:rsidRDefault="004E1026" w:rsidP="00357CEC">
            <w:pPr>
              <w:pStyle w:val="Default"/>
              <w:rPr>
                <w:sz w:val="22"/>
                <w:szCs w:val="22"/>
              </w:rPr>
            </w:pPr>
          </w:p>
          <w:p w14:paraId="32E58E4F" w14:textId="77777777" w:rsidR="004E1026" w:rsidRDefault="004E1026" w:rsidP="00357CEC">
            <w:pPr>
              <w:pStyle w:val="Default"/>
              <w:rPr>
                <w:sz w:val="22"/>
                <w:szCs w:val="22"/>
              </w:rPr>
            </w:pPr>
          </w:p>
          <w:p w14:paraId="7F8E0AD4" w14:textId="77777777" w:rsidR="004E1026" w:rsidRDefault="004E1026" w:rsidP="00357CEC">
            <w:pPr>
              <w:pStyle w:val="Default"/>
              <w:rPr>
                <w:sz w:val="22"/>
                <w:szCs w:val="22"/>
              </w:rPr>
            </w:pPr>
          </w:p>
          <w:p w14:paraId="16B8A0F6" w14:textId="77777777" w:rsidR="004E1026" w:rsidRDefault="004E1026" w:rsidP="00357CEC">
            <w:pPr>
              <w:pStyle w:val="Default"/>
              <w:rPr>
                <w:sz w:val="22"/>
                <w:szCs w:val="22"/>
              </w:rPr>
            </w:pPr>
          </w:p>
          <w:p w14:paraId="5FA39D9C" w14:textId="77777777" w:rsidR="004E1026" w:rsidRDefault="004E1026" w:rsidP="00357CEC">
            <w:pPr>
              <w:pStyle w:val="Default"/>
              <w:rPr>
                <w:sz w:val="22"/>
                <w:szCs w:val="22"/>
              </w:rPr>
            </w:pPr>
          </w:p>
          <w:p w14:paraId="5EB17586" w14:textId="77777777" w:rsidR="0082715B" w:rsidRDefault="0082715B" w:rsidP="00357CEC">
            <w:pPr>
              <w:pStyle w:val="Default"/>
              <w:rPr>
                <w:sz w:val="22"/>
                <w:szCs w:val="22"/>
              </w:rPr>
            </w:pPr>
          </w:p>
          <w:p w14:paraId="71546BFC" w14:textId="77777777" w:rsidR="009D0AA1" w:rsidRDefault="009D0AA1" w:rsidP="00357CEC">
            <w:pPr>
              <w:pStyle w:val="Default"/>
              <w:rPr>
                <w:sz w:val="22"/>
                <w:szCs w:val="22"/>
              </w:rPr>
            </w:pPr>
          </w:p>
          <w:p w14:paraId="331E1729" w14:textId="082E391D" w:rsidR="5F673433" w:rsidRDefault="5F673433" w:rsidP="5F673433">
            <w:pPr>
              <w:pStyle w:val="Default"/>
              <w:rPr>
                <w:sz w:val="22"/>
                <w:szCs w:val="22"/>
              </w:rPr>
            </w:pPr>
          </w:p>
          <w:p w14:paraId="1EB150A7" w14:textId="5D80E79A" w:rsidR="5F673433" w:rsidRDefault="5F673433" w:rsidP="5F673433">
            <w:pPr>
              <w:pStyle w:val="Default"/>
              <w:rPr>
                <w:sz w:val="22"/>
                <w:szCs w:val="22"/>
              </w:rPr>
            </w:pPr>
          </w:p>
          <w:p w14:paraId="06ED162A" w14:textId="79375671" w:rsidR="5F673433" w:rsidRDefault="5F673433" w:rsidP="5F673433">
            <w:pPr>
              <w:pStyle w:val="Default"/>
              <w:rPr>
                <w:sz w:val="22"/>
                <w:szCs w:val="22"/>
              </w:rPr>
            </w:pPr>
          </w:p>
          <w:p w14:paraId="4F8382D4" w14:textId="01BE2274" w:rsidR="5F673433" w:rsidRDefault="5F673433" w:rsidP="5F673433">
            <w:pPr>
              <w:pStyle w:val="Default"/>
              <w:rPr>
                <w:sz w:val="22"/>
                <w:szCs w:val="22"/>
              </w:rPr>
            </w:pPr>
          </w:p>
          <w:p w14:paraId="2B96207C" w14:textId="65095CFF" w:rsidR="5F673433" w:rsidRDefault="5F673433" w:rsidP="5F673433">
            <w:pPr>
              <w:pStyle w:val="Default"/>
              <w:rPr>
                <w:sz w:val="22"/>
                <w:szCs w:val="22"/>
              </w:rPr>
            </w:pPr>
          </w:p>
          <w:p w14:paraId="6EF1556B" w14:textId="1F176905" w:rsidR="5F673433" w:rsidRDefault="5F673433" w:rsidP="5F673433">
            <w:pPr>
              <w:pStyle w:val="Default"/>
              <w:rPr>
                <w:sz w:val="22"/>
                <w:szCs w:val="22"/>
              </w:rPr>
            </w:pPr>
          </w:p>
          <w:p w14:paraId="33A1EBD1" w14:textId="2BA992ED" w:rsidR="5F673433" w:rsidRDefault="5F673433" w:rsidP="5F673433">
            <w:pPr>
              <w:pStyle w:val="Default"/>
              <w:rPr>
                <w:sz w:val="22"/>
                <w:szCs w:val="22"/>
              </w:rPr>
            </w:pPr>
          </w:p>
          <w:p w14:paraId="7CA55BA5" w14:textId="7AE9AB10" w:rsidR="004E1026" w:rsidRDefault="004E1026" w:rsidP="00357CEC">
            <w:pPr>
              <w:pStyle w:val="Default"/>
              <w:rPr>
                <w:sz w:val="22"/>
                <w:szCs w:val="22"/>
              </w:rPr>
            </w:pPr>
            <w:r>
              <w:rPr>
                <w:sz w:val="22"/>
                <w:szCs w:val="22"/>
              </w:rPr>
              <w:t>NZ</w:t>
            </w:r>
          </w:p>
          <w:p w14:paraId="672FF027" w14:textId="77777777" w:rsidR="004E1026" w:rsidRDefault="004E1026" w:rsidP="00357CEC">
            <w:pPr>
              <w:pStyle w:val="Default"/>
              <w:rPr>
                <w:sz w:val="22"/>
                <w:szCs w:val="22"/>
              </w:rPr>
            </w:pPr>
          </w:p>
          <w:p w14:paraId="34898530" w14:textId="77777777" w:rsidR="004E1026" w:rsidRDefault="004E1026" w:rsidP="00357CEC">
            <w:pPr>
              <w:pStyle w:val="Default"/>
              <w:rPr>
                <w:sz w:val="22"/>
                <w:szCs w:val="22"/>
              </w:rPr>
            </w:pPr>
          </w:p>
          <w:p w14:paraId="6A0145EF" w14:textId="77777777" w:rsidR="004E1026" w:rsidRDefault="004E1026" w:rsidP="00357CEC">
            <w:pPr>
              <w:pStyle w:val="Default"/>
              <w:rPr>
                <w:sz w:val="22"/>
                <w:szCs w:val="22"/>
              </w:rPr>
            </w:pPr>
          </w:p>
          <w:p w14:paraId="5C9E27CE" w14:textId="77777777" w:rsidR="004E1026" w:rsidRDefault="004E1026" w:rsidP="00357CEC">
            <w:pPr>
              <w:pStyle w:val="Default"/>
              <w:rPr>
                <w:sz w:val="22"/>
                <w:szCs w:val="22"/>
              </w:rPr>
            </w:pPr>
          </w:p>
          <w:p w14:paraId="0E4CD31F" w14:textId="77777777" w:rsidR="004E1026" w:rsidRDefault="004E1026" w:rsidP="00357CEC">
            <w:pPr>
              <w:pStyle w:val="Default"/>
              <w:rPr>
                <w:sz w:val="22"/>
                <w:szCs w:val="22"/>
              </w:rPr>
            </w:pPr>
          </w:p>
          <w:p w14:paraId="65002BEA" w14:textId="77777777" w:rsidR="004E1026" w:rsidRDefault="004E1026" w:rsidP="00357CEC">
            <w:pPr>
              <w:pStyle w:val="Default"/>
              <w:rPr>
                <w:sz w:val="22"/>
                <w:szCs w:val="22"/>
              </w:rPr>
            </w:pPr>
          </w:p>
          <w:p w14:paraId="1B6E4D48" w14:textId="77777777" w:rsidR="004E1026" w:rsidRDefault="004E1026" w:rsidP="00357CEC">
            <w:pPr>
              <w:pStyle w:val="Default"/>
              <w:rPr>
                <w:sz w:val="22"/>
                <w:szCs w:val="22"/>
              </w:rPr>
            </w:pPr>
          </w:p>
          <w:p w14:paraId="5BABEB24" w14:textId="77777777" w:rsidR="004E1026" w:rsidRDefault="004E1026" w:rsidP="00357CEC">
            <w:pPr>
              <w:pStyle w:val="Default"/>
              <w:rPr>
                <w:sz w:val="22"/>
                <w:szCs w:val="22"/>
              </w:rPr>
            </w:pPr>
          </w:p>
          <w:p w14:paraId="64986E59" w14:textId="77777777" w:rsidR="004E1026" w:rsidRDefault="004E1026" w:rsidP="00357CEC">
            <w:pPr>
              <w:pStyle w:val="Default"/>
              <w:rPr>
                <w:sz w:val="22"/>
                <w:szCs w:val="22"/>
              </w:rPr>
            </w:pPr>
          </w:p>
          <w:p w14:paraId="6F9520E4" w14:textId="77777777" w:rsidR="004E1026" w:rsidRDefault="004E1026" w:rsidP="00357CEC">
            <w:pPr>
              <w:pStyle w:val="Default"/>
              <w:rPr>
                <w:sz w:val="22"/>
                <w:szCs w:val="22"/>
              </w:rPr>
            </w:pPr>
          </w:p>
          <w:p w14:paraId="10C17E39" w14:textId="77777777" w:rsidR="004E1026" w:rsidRDefault="004E1026" w:rsidP="00357CEC">
            <w:pPr>
              <w:pStyle w:val="Default"/>
              <w:rPr>
                <w:sz w:val="22"/>
                <w:szCs w:val="22"/>
              </w:rPr>
            </w:pPr>
          </w:p>
          <w:p w14:paraId="20BA052A" w14:textId="77777777" w:rsidR="004E1026" w:rsidRDefault="004E1026" w:rsidP="00357CEC">
            <w:pPr>
              <w:pStyle w:val="Default"/>
              <w:rPr>
                <w:sz w:val="22"/>
                <w:szCs w:val="22"/>
              </w:rPr>
            </w:pPr>
          </w:p>
          <w:p w14:paraId="0A089CDB" w14:textId="77777777" w:rsidR="004E1026" w:rsidRDefault="004E1026" w:rsidP="00357CEC">
            <w:pPr>
              <w:pStyle w:val="Default"/>
              <w:rPr>
                <w:sz w:val="22"/>
                <w:szCs w:val="22"/>
              </w:rPr>
            </w:pPr>
          </w:p>
          <w:p w14:paraId="5A866BFC" w14:textId="77777777" w:rsidR="004E1026" w:rsidRDefault="004E1026" w:rsidP="00357CEC">
            <w:pPr>
              <w:pStyle w:val="Default"/>
              <w:rPr>
                <w:sz w:val="22"/>
                <w:szCs w:val="22"/>
              </w:rPr>
            </w:pPr>
          </w:p>
          <w:p w14:paraId="2901A959" w14:textId="77777777" w:rsidR="004E1026" w:rsidRDefault="004E1026" w:rsidP="00357CEC">
            <w:pPr>
              <w:pStyle w:val="Default"/>
              <w:rPr>
                <w:sz w:val="22"/>
                <w:szCs w:val="22"/>
              </w:rPr>
            </w:pPr>
          </w:p>
          <w:p w14:paraId="590053B5" w14:textId="77777777" w:rsidR="004E1026" w:rsidRDefault="004E1026" w:rsidP="00357CEC">
            <w:pPr>
              <w:pStyle w:val="Default"/>
              <w:rPr>
                <w:sz w:val="22"/>
                <w:szCs w:val="22"/>
              </w:rPr>
            </w:pPr>
          </w:p>
          <w:p w14:paraId="76129743" w14:textId="77777777" w:rsidR="004E1026" w:rsidRDefault="004E1026" w:rsidP="00357CEC">
            <w:pPr>
              <w:pStyle w:val="Default"/>
              <w:rPr>
                <w:sz w:val="22"/>
                <w:szCs w:val="22"/>
              </w:rPr>
            </w:pPr>
          </w:p>
          <w:p w14:paraId="756BD31A" w14:textId="77777777" w:rsidR="004E1026" w:rsidRDefault="004E1026" w:rsidP="00357CEC">
            <w:pPr>
              <w:pStyle w:val="Default"/>
              <w:rPr>
                <w:sz w:val="22"/>
                <w:szCs w:val="22"/>
              </w:rPr>
            </w:pPr>
          </w:p>
          <w:p w14:paraId="2A2CBFD8" w14:textId="77777777" w:rsidR="004E1026" w:rsidRDefault="004E1026" w:rsidP="00357CEC">
            <w:pPr>
              <w:pStyle w:val="Default"/>
              <w:rPr>
                <w:sz w:val="22"/>
                <w:szCs w:val="22"/>
              </w:rPr>
            </w:pPr>
          </w:p>
          <w:p w14:paraId="585F92D8" w14:textId="77777777" w:rsidR="004E1026" w:rsidRDefault="004E1026" w:rsidP="00357CEC">
            <w:pPr>
              <w:pStyle w:val="Default"/>
              <w:rPr>
                <w:sz w:val="22"/>
                <w:szCs w:val="22"/>
              </w:rPr>
            </w:pPr>
          </w:p>
          <w:p w14:paraId="71DD52D2" w14:textId="77777777" w:rsidR="009D0AA1" w:rsidRDefault="009D0AA1" w:rsidP="00357CEC">
            <w:pPr>
              <w:pStyle w:val="Default"/>
              <w:rPr>
                <w:sz w:val="22"/>
                <w:szCs w:val="22"/>
              </w:rPr>
            </w:pPr>
          </w:p>
          <w:p w14:paraId="1F442675" w14:textId="79676DF5" w:rsidR="004E1026" w:rsidRDefault="362DBAD1" w:rsidP="00357CEC">
            <w:pPr>
              <w:pStyle w:val="Default"/>
              <w:rPr>
                <w:sz w:val="22"/>
                <w:szCs w:val="22"/>
              </w:rPr>
            </w:pPr>
            <w:r w:rsidRPr="5F673433">
              <w:rPr>
                <w:sz w:val="22"/>
                <w:szCs w:val="22"/>
              </w:rPr>
              <w:t>NZ</w:t>
            </w:r>
          </w:p>
          <w:p w14:paraId="298827F6" w14:textId="77777777" w:rsidR="004E1026" w:rsidRDefault="004E1026" w:rsidP="00357CEC">
            <w:pPr>
              <w:pStyle w:val="Default"/>
              <w:rPr>
                <w:sz w:val="22"/>
                <w:szCs w:val="22"/>
              </w:rPr>
            </w:pPr>
          </w:p>
          <w:p w14:paraId="11DB5829" w14:textId="77777777" w:rsidR="004E1026" w:rsidRDefault="004E1026" w:rsidP="00357CEC">
            <w:pPr>
              <w:pStyle w:val="Default"/>
              <w:rPr>
                <w:sz w:val="22"/>
                <w:szCs w:val="22"/>
              </w:rPr>
            </w:pPr>
          </w:p>
          <w:p w14:paraId="5B4791C4" w14:textId="77777777" w:rsidR="004E1026" w:rsidRDefault="004E1026" w:rsidP="00357CEC">
            <w:pPr>
              <w:pStyle w:val="Default"/>
              <w:rPr>
                <w:sz w:val="22"/>
                <w:szCs w:val="22"/>
              </w:rPr>
            </w:pPr>
          </w:p>
          <w:p w14:paraId="71FB98EB" w14:textId="77777777" w:rsidR="004E1026" w:rsidRDefault="004E1026" w:rsidP="00357CEC">
            <w:pPr>
              <w:pStyle w:val="Default"/>
              <w:rPr>
                <w:sz w:val="22"/>
                <w:szCs w:val="22"/>
              </w:rPr>
            </w:pPr>
          </w:p>
          <w:p w14:paraId="488AB80C" w14:textId="77777777" w:rsidR="004E1026" w:rsidRDefault="004E1026" w:rsidP="00357CEC">
            <w:pPr>
              <w:pStyle w:val="Default"/>
              <w:rPr>
                <w:sz w:val="22"/>
                <w:szCs w:val="22"/>
              </w:rPr>
            </w:pPr>
          </w:p>
          <w:p w14:paraId="431AD8B5" w14:textId="77777777" w:rsidR="004E1026" w:rsidRDefault="004E1026" w:rsidP="00357CEC">
            <w:pPr>
              <w:pStyle w:val="Default"/>
              <w:rPr>
                <w:sz w:val="22"/>
                <w:szCs w:val="22"/>
              </w:rPr>
            </w:pPr>
          </w:p>
          <w:p w14:paraId="11AC0013" w14:textId="77777777" w:rsidR="004E1026" w:rsidRDefault="004E1026" w:rsidP="00357CEC">
            <w:pPr>
              <w:pStyle w:val="Default"/>
              <w:rPr>
                <w:sz w:val="22"/>
                <w:szCs w:val="22"/>
              </w:rPr>
            </w:pPr>
          </w:p>
          <w:p w14:paraId="7A870F64" w14:textId="30ECBFB2" w:rsidR="004E1026" w:rsidRDefault="004E1026" w:rsidP="00357CEC">
            <w:pPr>
              <w:pStyle w:val="Default"/>
              <w:rPr>
                <w:sz w:val="22"/>
                <w:szCs w:val="22"/>
              </w:rPr>
            </w:pPr>
          </w:p>
          <w:p w14:paraId="199C24DC" w14:textId="51CED3B5" w:rsidR="004E1026" w:rsidRDefault="004E1026" w:rsidP="00357CEC">
            <w:pPr>
              <w:pStyle w:val="Default"/>
              <w:rPr>
                <w:sz w:val="22"/>
                <w:szCs w:val="22"/>
              </w:rPr>
            </w:pPr>
          </w:p>
          <w:p w14:paraId="7FD162C4" w14:textId="77777777" w:rsidR="004E1026" w:rsidRDefault="004E1026" w:rsidP="00357CEC">
            <w:pPr>
              <w:pStyle w:val="Default"/>
              <w:rPr>
                <w:sz w:val="22"/>
                <w:szCs w:val="22"/>
              </w:rPr>
            </w:pPr>
          </w:p>
          <w:p w14:paraId="536070D5" w14:textId="77777777" w:rsidR="004E1026" w:rsidRDefault="004E1026" w:rsidP="00357CEC">
            <w:pPr>
              <w:pStyle w:val="Default"/>
              <w:rPr>
                <w:sz w:val="22"/>
                <w:szCs w:val="22"/>
              </w:rPr>
            </w:pPr>
          </w:p>
          <w:p w14:paraId="5C4EB0DD" w14:textId="77777777" w:rsidR="004E1026" w:rsidRDefault="004E1026" w:rsidP="00357CEC">
            <w:pPr>
              <w:pStyle w:val="Default"/>
              <w:rPr>
                <w:sz w:val="22"/>
                <w:szCs w:val="22"/>
              </w:rPr>
            </w:pPr>
          </w:p>
          <w:p w14:paraId="3104B183" w14:textId="77777777" w:rsidR="004E1026" w:rsidRDefault="004E1026" w:rsidP="00357CEC">
            <w:pPr>
              <w:pStyle w:val="Default"/>
              <w:rPr>
                <w:sz w:val="22"/>
                <w:szCs w:val="22"/>
              </w:rPr>
            </w:pPr>
          </w:p>
          <w:p w14:paraId="47F5B340" w14:textId="77777777" w:rsidR="004E1026" w:rsidRDefault="004E1026" w:rsidP="00357CEC">
            <w:pPr>
              <w:pStyle w:val="Default"/>
              <w:rPr>
                <w:sz w:val="22"/>
                <w:szCs w:val="22"/>
              </w:rPr>
            </w:pPr>
          </w:p>
          <w:p w14:paraId="36AF5751" w14:textId="77777777" w:rsidR="004E1026" w:rsidRDefault="004E1026" w:rsidP="00357CEC">
            <w:pPr>
              <w:pStyle w:val="Default"/>
              <w:rPr>
                <w:sz w:val="22"/>
                <w:szCs w:val="22"/>
              </w:rPr>
            </w:pPr>
          </w:p>
          <w:p w14:paraId="4CB6F9BD" w14:textId="5B61437B" w:rsidR="007E112E" w:rsidRDefault="007E112E" w:rsidP="5F673433">
            <w:pPr>
              <w:pStyle w:val="Default"/>
              <w:rPr>
                <w:sz w:val="22"/>
                <w:szCs w:val="22"/>
              </w:rPr>
            </w:pPr>
          </w:p>
          <w:p w14:paraId="4E96B2E9" w14:textId="773E61C9" w:rsidR="007E112E" w:rsidRDefault="007E112E" w:rsidP="5F673433">
            <w:pPr>
              <w:pStyle w:val="Default"/>
              <w:rPr>
                <w:sz w:val="22"/>
                <w:szCs w:val="22"/>
              </w:rPr>
            </w:pPr>
          </w:p>
          <w:p w14:paraId="55113BBE" w14:textId="5D37B72D" w:rsidR="007E112E" w:rsidRDefault="007E112E" w:rsidP="5F673433">
            <w:pPr>
              <w:pStyle w:val="Default"/>
              <w:rPr>
                <w:sz w:val="22"/>
                <w:szCs w:val="22"/>
              </w:rPr>
            </w:pPr>
          </w:p>
          <w:p w14:paraId="2406414C" w14:textId="4C628EA9" w:rsidR="007E112E" w:rsidRDefault="007E112E" w:rsidP="5F673433">
            <w:pPr>
              <w:pStyle w:val="Default"/>
              <w:rPr>
                <w:sz w:val="22"/>
                <w:szCs w:val="22"/>
              </w:rPr>
            </w:pPr>
          </w:p>
          <w:p w14:paraId="75FEEEB6" w14:textId="6C1F8ACC" w:rsidR="007E112E" w:rsidRDefault="007E112E" w:rsidP="5F673433">
            <w:pPr>
              <w:pStyle w:val="Default"/>
              <w:rPr>
                <w:sz w:val="22"/>
                <w:szCs w:val="22"/>
              </w:rPr>
            </w:pPr>
          </w:p>
          <w:p w14:paraId="2B98A6AB" w14:textId="521416A7" w:rsidR="007E112E" w:rsidRDefault="007E112E" w:rsidP="5F673433">
            <w:pPr>
              <w:pStyle w:val="Default"/>
              <w:rPr>
                <w:sz w:val="22"/>
                <w:szCs w:val="22"/>
              </w:rPr>
            </w:pPr>
          </w:p>
          <w:p w14:paraId="7491E01E" w14:textId="1141042E" w:rsidR="007E112E" w:rsidRDefault="007E112E" w:rsidP="5F673433">
            <w:pPr>
              <w:pStyle w:val="Default"/>
              <w:rPr>
                <w:sz w:val="22"/>
                <w:szCs w:val="22"/>
              </w:rPr>
            </w:pPr>
          </w:p>
          <w:p w14:paraId="281642CF" w14:textId="7569E564" w:rsidR="007E112E" w:rsidRDefault="007E112E" w:rsidP="5F673433">
            <w:pPr>
              <w:pStyle w:val="Default"/>
              <w:rPr>
                <w:sz w:val="22"/>
                <w:szCs w:val="22"/>
              </w:rPr>
            </w:pPr>
          </w:p>
          <w:p w14:paraId="2BF501E4" w14:textId="4557D038" w:rsidR="007E112E" w:rsidRDefault="007E112E" w:rsidP="5F673433">
            <w:pPr>
              <w:pStyle w:val="Default"/>
              <w:rPr>
                <w:sz w:val="22"/>
                <w:szCs w:val="22"/>
              </w:rPr>
            </w:pPr>
          </w:p>
          <w:p w14:paraId="75A67A91" w14:textId="469941C0" w:rsidR="007E112E" w:rsidRDefault="6A7B3A0D" w:rsidP="00357CEC">
            <w:pPr>
              <w:pStyle w:val="Default"/>
              <w:rPr>
                <w:sz w:val="22"/>
                <w:szCs w:val="22"/>
              </w:rPr>
            </w:pPr>
            <w:r w:rsidRPr="5F673433">
              <w:rPr>
                <w:sz w:val="22"/>
                <w:szCs w:val="22"/>
              </w:rPr>
              <w:t>NZ</w:t>
            </w:r>
          </w:p>
          <w:p w14:paraId="1BF9C0FD" w14:textId="77777777" w:rsidR="004E1026" w:rsidRDefault="004E1026" w:rsidP="00357CEC">
            <w:pPr>
              <w:pStyle w:val="Default"/>
              <w:rPr>
                <w:sz w:val="22"/>
                <w:szCs w:val="22"/>
              </w:rPr>
            </w:pPr>
          </w:p>
          <w:p w14:paraId="1962539D" w14:textId="77777777" w:rsidR="004E1026" w:rsidRDefault="004E1026" w:rsidP="00357CEC">
            <w:pPr>
              <w:pStyle w:val="Default"/>
              <w:rPr>
                <w:sz w:val="22"/>
                <w:szCs w:val="22"/>
              </w:rPr>
            </w:pPr>
          </w:p>
          <w:p w14:paraId="4D0331DF" w14:textId="77777777" w:rsidR="004E1026" w:rsidRDefault="004E1026" w:rsidP="00357CEC">
            <w:pPr>
              <w:pStyle w:val="Default"/>
              <w:rPr>
                <w:sz w:val="22"/>
                <w:szCs w:val="22"/>
              </w:rPr>
            </w:pPr>
          </w:p>
          <w:p w14:paraId="394CFAAE" w14:textId="77777777" w:rsidR="004E1026" w:rsidRDefault="004E1026" w:rsidP="00357CEC">
            <w:pPr>
              <w:pStyle w:val="Default"/>
              <w:rPr>
                <w:sz w:val="22"/>
                <w:szCs w:val="22"/>
              </w:rPr>
            </w:pPr>
          </w:p>
          <w:p w14:paraId="171E2A80" w14:textId="77777777" w:rsidR="004E1026" w:rsidRDefault="004E1026" w:rsidP="00357CEC">
            <w:pPr>
              <w:pStyle w:val="Default"/>
              <w:rPr>
                <w:sz w:val="22"/>
                <w:szCs w:val="22"/>
              </w:rPr>
            </w:pPr>
          </w:p>
          <w:p w14:paraId="761F99FC" w14:textId="77777777" w:rsidR="004E1026" w:rsidRDefault="004E1026" w:rsidP="00357CEC">
            <w:pPr>
              <w:pStyle w:val="Default"/>
              <w:rPr>
                <w:sz w:val="22"/>
                <w:szCs w:val="22"/>
              </w:rPr>
            </w:pPr>
          </w:p>
          <w:p w14:paraId="3E5F1A5C" w14:textId="77777777" w:rsidR="004E1026" w:rsidRDefault="004E1026" w:rsidP="00357CEC">
            <w:pPr>
              <w:pStyle w:val="Default"/>
              <w:rPr>
                <w:sz w:val="22"/>
                <w:szCs w:val="22"/>
              </w:rPr>
            </w:pPr>
          </w:p>
          <w:p w14:paraId="377200D8" w14:textId="77777777" w:rsidR="009D0AA1" w:rsidRDefault="009D0AA1" w:rsidP="00357CEC">
            <w:pPr>
              <w:pStyle w:val="Default"/>
              <w:rPr>
                <w:sz w:val="22"/>
                <w:szCs w:val="22"/>
              </w:rPr>
            </w:pPr>
          </w:p>
          <w:p w14:paraId="4C105EE2" w14:textId="707F6C95" w:rsidR="004E1026" w:rsidRDefault="004E1026" w:rsidP="00357CEC">
            <w:pPr>
              <w:pStyle w:val="Default"/>
              <w:rPr>
                <w:sz w:val="22"/>
                <w:szCs w:val="22"/>
              </w:rPr>
            </w:pPr>
          </w:p>
          <w:p w14:paraId="5A345C7D" w14:textId="77777777" w:rsidR="004E1026" w:rsidRDefault="004E1026" w:rsidP="00357CEC">
            <w:pPr>
              <w:pStyle w:val="Default"/>
              <w:rPr>
                <w:sz w:val="22"/>
                <w:szCs w:val="22"/>
              </w:rPr>
            </w:pPr>
          </w:p>
          <w:p w14:paraId="47C6829E" w14:textId="77777777" w:rsidR="004E1026" w:rsidRDefault="004E1026" w:rsidP="00357CEC">
            <w:pPr>
              <w:pStyle w:val="Default"/>
              <w:rPr>
                <w:sz w:val="22"/>
                <w:szCs w:val="22"/>
              </w:rPr>
            </w:pPr>
          </w:p>
          <w:p w14:paraId="4849C935" w14:textId="77777777" w:rsidR="004E1026" w:rsidRDefault="004E1026" w:rsidP="00357CEC">
            <w:pPr>
              <w:pStyle w:val="Default"/>
              <w:rPr>
                <w:sz w:val="22"/>
                <w:szCs w:val="22"/>
              </w:rPr>
            </w:pPr>
          </w:p>
          <w:p w14:paraId="379E76B7" w14:textId="77777777" w:rsidR="004E1026" w:rsidRDefault="004E1026" w:rsidP="00357CEC">
            <w:pPr>
              <w:pStyle w:val="Default"/>
              <w:rPr>
                <w:sz w:val="22"/>
                <w:szCs w:val="22"/>
              </w:rPr>
            </w:pPr>
          </w:p>
          <w:p w14:paraId="22DB6FAA" w14:textId="77777777" w:rsidR="004E1026" w:rsidRDefault="004E1026" w:rsidP="00357CEC">
            <w:pPr>
              <w:pStyle w:val="Default"/>
              <w:rPr>
                <w:sz w:val="22"/>
                <w:szCs w:val="22"/>
              </w:rPr>
            </w:pPr>
          </w:p>
          <w:p w14:paraId="571AFEB6" w14:textId="77777777" w:rsidR="004E1026" w:rsidRDefault="004E1026" w:rsidP="00357CEC">
            <w:pPr>
              <w:pStyle w:val="Default"/>
              <w:rPr>
                <w:sz w:val="22"/>
                <w:szCs w:val="22"/>
              </w:rPr>
            </w:pPr>
          </w:p>
          <w:p w14:paraId="43E7B937" w14:textId="77777777" w:rsidR="004E1026" w:rsidRDefault="004E1026" w:rsidP="00357CEC">
            <w:pPr>
              <w:pStyle w:val="Default"/>
              <w:rPr>
                <w:sz w:val="22"/>
                <w:szCs w:val="22"/>
              </w:rPr>
            </w:pPr>
          </w:p>
          <w:p w14:paraId="7EEA4447" w14:textId="77777777" w:rsidR="004E1026" w:rsidRDefault="004E1026" w:rsidP="00357CEC">
            <w:pPr>
              <w:pStyle w:val="Default"/>
              <w:rPr>
                <w:sz w:val="22"/>
                <w:szCs w:val="22"/>
              </w:rPr>
            </w:pPr>
          </w:p>
          <w:p w14:paraId="48C5DE7D" w14:textId="77777777" w:rsidR="004E1026" w:rsidRDefault="004E1026" w:rsidP="00357CEC">
            <w:pPr>
              <w:pStyle w:val="Default"/>
              <w:rPr>
                <w:sz w:val="22"/>
                <w:szCs w:val="22"/>
              </w:rPr>
            </w:pPr>
          </w:p>
          <w:p w14:paraId="7ECF64DA" w14:textId="77777777" w:rsidR="004E1026" w:rsidRDefault="004E1026" w:rsidP="00357CEC">
            <w:pPr>
              <w:pStyle w:val="Default"/>
              <w:rPr>
                <w:sz w:val="22"/>
                <w:szCs w:val="22"/>
              </w:rPr>
            </w:pPr>
          </w:p>
          <w:p w14:paraId="0A320FA7" w14:textId="77777777" w:rsidR="004E1026" w:rsidRDefault="004E1026" w:rsidP="00357CEC">
            <w:pPr>
              <w:pStyle w:val="Default"/>
              <w:rPr>
                <w:sz w:val="22"/>
                <w:szCs w:val="22"/>
              </w:rPr>
            </w:pPr>
          </w:p>
          <w:p w14:paraId="38BDF65F" w14:textId="77777777" w:rsidR="004E1026" w:rsidRDefault="004E1026" w:rsidP="00357CEC">
            <w:pPr>
              <w:pStyle w:val="Default"/>
              <w:rPr>
                <w:sz w:val="22"/>
                <w:szCs w:val="22"/>
              </w:rPr>
            </w:pPr>
          </w:p>
          <w:p w14:paraId="502464EB" w14:textId="77777777" w:rsidR="004E1026" w:rsidRDefault="004E1026" w:rsidP="00357CEC">
            <w:pPr>
              <w:pStyle w:val="Default"/>
              <w:rPr>
                <w:sz w:val="22"/>
                <w:szCs w:val="22"/>
              </w:rPr>
            </w:pPr>
          </w:p>
          <w:p w14:paraId="03696673" w14:textId="77777777" w:rsidR="004E1026" w:rsidRDefault="004E1026" w:rsidP="00357CEC">
            <w:pPr>
              <w:pStyle w:val="Default"/>
              <w:rPr>
                <w:sz w:val="22"/>
                <w:szCs w:val="22"/>
              </w:rPr>
            </w:pPr>
          </w:p>
          <w:p w14:paraId="7EFDF297" w14:textId="77777777" w:rsidR="004E1026" w:rsidRDefault="004E1026" w:rsidP="00357CEC">
            <w:pPr>
              <w:pStyle w:val="Default"/>
              <w:rPr>
                <w:sz w:val="22"/>
                <w:szCs w:val="22"/>
              </w:rPr>
            </w:pPr>
          </w:p>
          <w:p w14:paraId="017A7E9D" w14:textId="77777777" w:rsidR="004E1026" w:rsidRDefault="004E1026" w:rsidP="00357CEC">
            <w:pPr>
              <w:pStyle w:val="Default"/>
              <w:rPr>
                <w:sz w:val="22"/>
                <w:szCs w:val="22"/>
              </w:rPr>
            </w:pPr>
          </w:p>
          <w:p w14:paraId="6F94903B" w14:textId="77777777" w:rsidR="004E1026" w:rsidRDefault="004E1026" w:rsidP="00357CEC">
            <w:pPr>
              <w:pStyle w:val="Default"/>
              <w:rPr>
                <w:sz w:val="22"/>
                <w:szCs w:val="22"/>
              </w:rPr>
            </w:pPr>
          </w:p>
          <w:p w14:paraId="6636351A" w14:textId="77777777" w:rsidR="004E1026" w:rsidRDefault="004E1026" w:rsidP="00357CEC">
            <w:pPr>
              <w:pStyle w:val="Default"/>
              <w:rPr>
                <w:sz w:val="22"/>
                <w:szCs w:val="22"/>
              </w:rPr>
            </w:pPr>
          </w:p>
          <w:p w14:paraId="3DECDA0B" w14:textId="77777777" w:rsidR="004E1026" w:rsidRDefault="004E1026" w:rsidP="00357CEC">
            <w:pPr>
              <w:pStyle w:val="Default"/>
              <w:rPr>
                <w:sz w:val="22"/>
                <w:szCs w:val="22"/>
              </w:rPr>
            </w:pPr>
          </w:p>
          <w:p w14:paraId="397901CD" w14:textId="77777777" w:rsidR="004E1026" w:rsidRDefault="004E1026" w:rsidP="00357CEC">
            <w:pPr>
              <w:pStyle w:val="Default"/>
              <w:rPr>
                <w:sz w:val="22"/>
                <w:szCs w:val="22"/>
              </w:rPr>
            </w:pPr>
          </w:p>
          <w:p w14:paraId="257A4BB2" w14:textId="77777777" w:rsidR="004E1026" w:rsidRDefault="004E1026" w:rsidP="00357CEC">
            <w:pPr>
              <w:pStyle w:val="Default"/>
              <w:rPr>
                <w:sz w:val="22"/>
                <w:szCs w:val="22"/>
              </w:rPr>
            </w:pPr>
          </w:p>
          <w:p w14:paraId="7D85286B" w14:textId="77777777" w:rsidR="004E1026" w:rsidRDefault="004E1026" w:rsidP="00357CEC">
            <w:pPr>
              <w:pStyle w:val="Default"/>
              <w:rPr>
                <w:sz w:val="22"/>
                <w:szCs w:val="22"/>
              </w:rPr>
            </w:pPr>
          </w:p>
          <w:p w14:paraId="75B0728C" w14:textId="77777777" w:rsidR="004E1026" w:rsidRDefault="004E1026" w:rsidP="00357CEC">
            <w:pPr>
              <w:pStyle w:val="Default"/>
              <w:rPr>
                <w:sz w:val="22"/>
                <w:szCs w:val="22"/>
              </w:rPr>
            </w:pPr>
          </w:p>
          <w:p w14:paraId="389408A2" w14:textId="77777777" w:rsidR="004E1026" w:rsidRDefault="004E1026" w:rsidP="00357CEC">
            <w:pPr>
              <w:pStyle w:val="Default"/>
              <w:rPr>
                <w:sz w:val="22"/>
                <w:szCs w:val="22"/>
              </w:rPr>
            </w:pPr>
          </w:p>
          <w:p w14:paraId="276F6C85" w14:textId="77777777" w:rsidR="004E1026" w:rsidRDefault="004E1026" w:rsidP="00357CEC">
            <w:pPr>
              <w:pStyle w:val="Default"/>
              <w:rPr>
                <w:sz w:val="22"/>
                <w:szCs w:val="22"/>
              </w:rPr>
            </w:pPr>
          </w:p>
          <w:p w14:paraId="1D7C4B64" w14:textId="77777777" w:rsidR="004E1026" w:rsidRDefault="004E1026" w:rsidP="00357CEC">
            <w:pPr>
              <w:pStyle w:val="Default"/>
              <w:rPr>
                <w:sz w:val="22"/>
                <w:szCs w:val="22"/>
              </w:rPr>
            </w:pPr>
          </w:p>
          <w:p w14:paraId="724382D0" w14:textId="77777777" w:rsidR="004E1026" w:rsidRDefault="004E1026" w:rsidP="00357CEC">
            <w:pPr>
              <w:pStyle w:val="Default"/>
              <w:rPr>
                <w:sz w:val="22"/>
                <w:szCs w:val="22"/>
              </w:rPr>
            </w:pPr>
          </w:p>
          <w:p w14:paraId="10C74DAA" w14:textId="77777777" w:rsidR="004E1026" w:rsidRDefault="004E1026" w:rsidP="00357CEC">
            <w:pPr>
              <w:pStyle w:val="Default"/>
              <w:rPr>
                <w:sz w:val="22"/>
                <w:szCs w:val="22"/>
              </w:rPr>
            </w:pPr>
          </w:p>
          <w:p w14:paraId="68B6DDC8" w14:textId="77777777" w:rsidR="004E1026" w:rsidRDefault="004E1026" w:rsidP="00357CEC">
            <w:pPr>
              <w:pStyle w:val="Default"/>
              <w:rPr>
                <w:sz w:val="22"/>
                <w:szCs w:val="22"/>
              </w:rPr>
            </w:pPr>
          </w:p>
          <w:p w14:paraId="74709C72" w14:textId="77777777" w:rsidR="004E1026" w:rsidRDefault="004E1026" w:rsidP="00357CEC">
            <w:pPr>
              <w:pStyle w:val="Default"/>
              <w:rPr>
                <w:sz w:val="22"/>
                <w:szCs w:val="22"/>
              </w:rPr>
            </w:pPr>
          </w:p>
          <w:p w14:paraId="609872A1" w14:textId="77777777" w:rsidR="004E1026" w:rsidRDefault="004E1026" w:rsidP="00357CEC">
            <w:pPr>
              <w:pStyle w:val="Default"/>
              <w:rPr>
                <w:sz w:val="22"/>
                <w:szCs w:val="22"/>
              </w:rPr>
            </w:pPr>
          </w:p>
          <w:p w14:paraId="6757527C" w14:textId="77777777" w:rsidR="004E1026" w:rsidRDefault="004E1026" w:rsidP="00357CEC">
            <w:pPr>
              <w:pStyle w:val="Default"/>
              <w:rPr>
                <w:sz w:val="22"/>
                <w:szCs w:val="22"/>
              </w:rPr>
            </w:pPr>
          </w:p>
          <w:p w14:paraId="6E625072" w14:textId="77777777" w:rsidR="004E1026" w:rsidRDefault="004E1026" w:rsidP="00357CEC">
            <w:pPr>
              <w:pStyle w:val="Default"/>
              <w:rPr>
                <w:sz w:val="22"/>
                <w:szCs w:val="22"/>
              </w:rPr>
            </w:pPr>
          </w:p>
          <w:p w14:paraId="5AFE20E7" w14:textId="77777777" w:rsidR="004E1026" w:rsidRDefault="004E1026" w:rsidP="00357CEC">
            <w:pPr>
              <w:pStyle w:val="Default"/>
              <w:rPr>
                <w:sz w:val="22"/>
                <w:szCs w:val="22"/>
              </w:rPr>
            </w:pPr>
          </w:p>
          <w:p w14:paraId="776CD14F" w14:textId="77777777" w:rsidR="004E1026" w:rsidRDefault="004E1026" w:rsidP="00357CEC">
            <w:pPr>
              <w:pStyle w:val="Default"/>
              <w:rPr>
                <w:sz w:val="22"/>
                <w:szCs w:val="22"/>
              </w:rPr>
            </w:pPr>
          </w:p>
          <w:p w14:paraId="29CDC816" w14:textId="77777777" w:rsidR="004E1026" w:rsidRDefault="004E1026" w:rsidP="00357CEC">
            <w:pPr>
              <w:pStyle w:val="Default"/>
              <w:rPr>
                <w:sz w:val="22"/>
                <w:szCs w:val="22"/>
              </w:rPr>
            </w:pPr>
          </w:p>
          <w:p w14:paraId="4BAB6298" w14:textId="77777777" w:rsidR="004E1026" w:rsidRDefault="004E1026" w:rsidP="00357CEC">
            <w:pPr>
              <w:pStyle w:val="Default"/>
              <w:rPr>
                <w:sz w:val="22"/>
                <w:szCs w:val="22"/>
              </w:rPr>
            </w:pPr>
          </w:p>
          <w:p w14:paraId="52294517" w14:textId="77777777" w:rsidR="004E1026" w:rsidRDefault="004E1026" w:rsidP="00357CEC">
            <w:pPr>
              <w:pStyle w:val="Default"/>
              <w:rPr>
                <w:sz w:val="22"/>
                <w:szCs w:val="22"/>
              </w:rPr>
            </w:pPr>
          </w:p>
          <w:p w14:paraId="31257449" w14:textId="313A9957" w:rsidR="004E1026" w:rsidRDefault="362DBAD1" w:rsidP="00357CEC">
            <w:pPr>
              <w:pStyle w:val="Default"/>
              <w:rPr>
                <w:sz w:val="22"/>
                <w:szCs w:val="22"/>
              </w:rPr>
            </w:pPr>
            <w:r w:rsidRPr="5F673433">
              <w:rPr>
                <w:sz w:val="22"/>
                <w:szCs w:val="22"/>
              </w:rPr>
              <w:t>NZ</w:t>
            </w:r>
          </w:p>
          <w:p w14:paraId="4715C230" w14:textId="77777777" w:rsidR="00021D96" w:rsidRDefault="00021D96" w:rsidP="00357CEC">
            <w:pPr>
              <w:pStyle w:val="Default"/>
              <w:rPr>
                <w:sz w:val="22"/>
                <w:szCs w:val="22"/>
              </w:rPr>
            </w:pPr>
          </w:p>
          <w:p w14:paraId="0BEBA877" w14:textId="77777777" w:rsidR="00021D96" w:rsidRDefault="00021D96" w:rsidP="00357CEC">
            <w:pPr>
              <w:pStyle w:val="Default"/>
              <w:rPr>
                <w:sz w:val="22"/>
                <w:szCs w:val="22"/>
              </w:rPr>
            </w:pPr>
          </w:p>
          <w:p w14:paraId="2CDFFD08" w14:textId="77777777" w:rsidR="00021D96" w:rsidRDefault="00021D96" w:rsidP="00357CEC">
            <w:pPr>
              <w:pStyle w:val="Default"/>
              <w:rPr>
                <w:sz w:val="22"/>
                <w:szCs w:val="22"/>
              </w:rPr>
            </w:pPr>
          </w:p>
          <w:p w14:paraId="5DE11E07" w14:textId="77777777" w:rsidR="00021D96" w:rsidRDefault="00021D96" w:rsidP="00357CEC">
            <w:pPr>
              <w:pStyle w:val="Default"/>
              <w:rPr>
                <w:sz w:val="22"/>
                <w:szCs w:val="22"/>
              </w:rPr>
            </w:pPr>
          </w:p>
          <w:p w14:paraId="4D23BB64" w14:textId="77777777" w:rsidR="00021D96" w:rsidRDefault="00021D96" w:rsidP="00357CEC">
            <w:pPr>
              <w:pStyle w:val="Default"/>
              <w:rPr>
                <w:sz w:val="22"/>
                <w:szCs w:val="22"/>
              </w:rPr>
            </w:pPr>
          </w:p>
          <w:p w14:paraId="0C2ADEA4" w14:textId="77777777" w:rsidR="00021D96" w:rsidRDefault="00021D96" w:rsidP="00357CEC">
            <w:pPr>
              <w:pStyle w:val="Default"/>
              <w:rPr>
                <w:sz w:val="22"/>
                <w:szCs w:val="22"/>
              </w:rPr>
            </w:pPr>
          </w:p>
          <w:p w14:paraId="59105CF5" w14:textId="77777777" w:rsidR="00021D96" w:rsidRDefault="00021D96" w:rsidP="00357CEC">
            <w:pPr>
              <w:pStyle w:val="Default"/>
              <w:rPr>
                <w:sz w:val="22"/>
                <w:szCs w:val="22"/>
              </w:rPr>
            </w:pPr>
          </w:p>
          <w:p w14:paraId="01B3C9B5" w14:textId="77777777" w:rsidR="00021D96" w:rsidRDefault="00021D96" w:rsidP="00357CEC">
            <w:pPr>
              <w:pStyle w:val="Default"/>
              <w:rPr>
                <w:sz w:val="22"/>
                <w:szCs w:val="22"/>
              </w:rPr>
            </w:pPr>
          </w:p>
          <w:p w14:paraId="6AF71AE6" w14:textId="77777777" w:rsidR="00021D96" w:rsidRDefault="00021D96" w:rsidP="00357CEC">
            <w:pPr>
              <w:pStyle w:val="Default"/>
              <w:rPr>
                <w:sz w:val="22"/>
                <w:szCs w:val="22"/>
              </w:rPr>
            </w:pPr>
          </w:p>
          <w:p w14:paraId="54030EC8" w14:textId="77777777" w:rsidR="00021D96" w:rsidRDefault="00021D96" w:rsidP="00357CEC">
            <w:pPr>
              <w:pStyle w:val="Default"/>
              <w:rPr>
                <w:sz w:val="22"/>
                <w:szCs w:val="22"/>
              </w:rPr>
            </w:pPr>
          </w:p>
          <w:p w14:paraId="00033163" w14:textId="77777777" w:rsidR="00021D96" w:rsidRDefault="00021D96" w:rsidP="00357CEC">
            <w:pPr>
              <w:pStyle w:val="Default"/>
              <w:rPr>
                <w:sz w:val="22"/>
                <w:szCs w:val="22"/>
              </w:rPr>
            </w:pPr>
          </w:p>
          <w:p w14:paraId="791FC7D5" w14:textId="77777777" w:rsidR="00021D96" w:rsidRDefault="00021D96" w:rsidP="00357CEC">
            <w:pPr>
              <w:pStyle w:val="Default"/>
              <w:rPr>
                <w:sz w:val="22"/>
                <w:szCs w:val="22"/>
              </w:rPr>
            </w:pPr>
          </w:p>
          <w:p w14:paraId="2A61FFF3" w14:textId="77777777" w:rsidR="00021D96" w:rsidRDefault="00021D96" w:rsidP="00357CEC">
            <w:pPr>
              <w:pStyle w:val="Default"/>
              <w:rPr>
                <w:sz w:val="22"/>
                <w:szCs w:val="22"/>
              </w:rPr>
            </w:pPr>
          </w:p>
          <w:p w14:paraId="2C54A64E" w14:textId="77777777" w:rsidR="00021D96" w:rsidRDefault="00021D96" w:rsidP="00357CEC">
            <w:pPr>
              <w:pStyle w:val="Default"/>
              <w:rPr>
                <w:sz w:val="22"/>
                <w:szCs w:val="22"/>
              </w:rPr>
            </w:pPr>
          </w:p>
          <w:p w14:paraId="3DF12E5B" w14:textId="77777777" w:rsidR="00021D96" w:rsidRDefault="00021D96" w:rsidP="00357CEC">
            <w:pPr>
              <w:pStyle w:val="Default"/>
              <w:rPr>
                <w:sz w:val="22"/>
                <w:szCs w:val="22"/>
              </w:rPr>
            </w:pPr>
          </w:p>
          <w:p w14:paraId="66FC428B" w14:textId="77777777" w:rsidR="00021D96" w:rsidRDefault="00021D96" w:rsidP="00357CEC">
            <w:pPr>
              <w:pStyle w:val="Default"/>
              <w:rPr>
                <w:sz w:val="22"/>
                <w:szCs w:val="22"/>
              </w:rPr>
            </w:pPr>
          </w:p>
          <w:p w14:paraId="4DB45440" w14:textId="77777777" w:rsidR="00021D96" w:rsidRDefault="00021D96" w:rsidP="00357CEC">
            <w:pPr>
              <w:pStyle w:val="Default"/>
              <w:rPr>
                <w:sz w:val="22"/>
                <w:szCs w:val="22"/>
              </w:rPr>
            </w:pPr>
          </w:p>
          <w:p w14:paraId="166692BD" w14:textId="77777777" w:rsidR="00021D96" w:rsidRDefault="00021D96" w:rsidP="00357CEC">
            <w:pPr>
              <w:pStyle w:val="Default"/>
              <w:rPr>
                <w:sz w:val="22"/>
                <w:szCs w:val="22"/>
              </w:rPr>
            </w:pPr>
          </w:p>
          <w:p w14:paraId="5057C78E" w14:textId="77777777" w:rsidR="00021D96" w:rsidRDefault="00021D96" w:rsidP="00357CEC">
            <w:pPr>
              <w:pStyle w:val="Default"/>
              <w:rPr>
                <w:sz w:val="22"/>
                <w:szCs w:val="22"/>
              </w:rPr>
            </w:pPr>
          </w:p>
          <w:p w14:paraId="655BCAF4" w14:textId="77777777" w:rsidR="00021D96" w:rsidRDefault="00021D96" w:rsidP="00357CEC">
            <w:pPr>
              <w:pStyle w:val="Default"/>
              <w:rPr>
                <w:sz w:val="22"/>
                <w:szCs w:val="22"/>
              </w:rPr>
            </w:pPr>
          </w:p>
          <w:p w14:paraId="659167D9" w14:textId="77777777" w:rsidR="00021D96" w:rsidRDefault="00021D96" w:rsidP="00357CEC">
            <w:pPr>
              <w:pStyle w:val="Default"/>
              <w:rPr>
                <w:sz w:val="22"/>
                <w:szCs w:val="22"/>
              </w:rPr>
            </w:pPr>
          </w:p>
          <w:p w14:paraId="29F28454" w14:textId="77777777" w:rsidR="00021D96" w:rsidRDefault="00021D96" w:rsidP="00357CEC">
            <w:pPr>
              <w:pStyle w:val="Default"/>
              <w:rPr>
                <w:sz w:val="22"/>
                <w:szCs w:val="22"/>
              </w:rPr>
            </w:pPr>
          </w:p>
          <w:p w14:paraId="2D2CB2E4" w14:textId="77777777" w:rsidR="00021D96" w:rsidRDefault="00021D96" w:rsidP="00357CEC">
            <w:pPr>
              <w:pStyle w:val="Default"/>
              <w:rPr>
                <w:sz w:val="22"/>
                <w:szCs w:val="22"/>
              </w:rPr>
            </w:pPr>
          </w:p>
          <w:p w14:paraId="3B602747" w14:textId="77777777" w:rsidR="00021D96" w:rsidRDefault="00021D96" w:rsidP="00357CEC">
            <w:pPr>
              <w:pStyle w:val="Default"/>
              <w:rPr>
                <w:sz w:val="22"/>
                <w:szCs w:val="22"/>
              </w:rPr>
            </w:pPr>
          </w:p>
          <w:p w14:paraId="20FB7DC1" w14:textId="77777777" w:rsidR="00021D96" w:rsidRDefault="00021D96" w:rsidP="00357CEC">
            <w:pPr>
              <w:pStyle w:val="Default"/>
              <w:rPr>
                <w:sz w:val="22"/>
                <w:szCs w:val="22"/>
              </w:rPr>
            </w:pPr>
          </w:p>
          <w:p w14:paraId="7C2148F0" w14:textId="77777777" w:rsidR="00021D96" w:rsidRDefault="00021D96" w:rsidP="00357CEC">
            <w:pPr>
              <w:pStyle w:val="Default"/>
              <w:rPr>
                <w:sz w:val="22"/>
                <w:szCs w:val="22"/>
              </w:rPr>
            </w:pPr>
          </w:p>
          <w:p w14:paraId="7D4CB9F0" w14:textId="77777777" w:rsidR="00021D96" w:rsidRDefault="00021D96" w:rsidP="00357CEC">
            <w:pPr>
              <w:pStyle w:val="Default"/>
              <w:rPr>
                <w:sz w:val="22"/>
                <w:szCs w:val="22"/>
              </w:rPr>
            </w:pPr>
          </w:p>
          <w:p w14:paraId="4E0B6285" w14:textId="77777777" w:rsidR="00021D96" w:rsidRDefault="00021D96" w:rsidP="00357CEC">
            <w:pPr>
              <w:pStyle w:val="Default"/>
              <w:rPr>
                <w:sz w:val="22"/>
                <w:szCs w:val="22"/>
              </w:rPr>
            </w:pPr>
          </w:p>
          <w:p w14:paraId="2009894D" w14:textId="77777777" w:rsidR="00021D96" w:rsidRDefault="00021D96" w:rsidP="00357CEC">
            <w:pPr>
              <w:pStyle w:val="Default"/>
              <w:rPr>
                <w:sz w:val="22"/>
                <w:szCs w:val="22"/>
              </w:rPr>
            </w:pPr>
          </w:p>
          <w:p w14:paraId="75F797CC" w14:textId="77777777" w:rsidR="00021D96" w:rsidRDefault="00021D96" w:rsidP="00357CEC">
            <w:pPr>
              <w:pStyle w:val="Default"/>
              <w:rPr>
                <w:sz w:val="22"/>
                <w:szCs w:val="22"/>
              </w:rPr>
            </w:pPr>
          </w:p>
          <w:p w14:paraId="046B0889" w14:textId="77777777" w:rsidR="00021D96" w:rsidRDefault="00021D96" w:rsidP="00357CEC">
            <w:pPr>
              <w:pStyle w:val="Default"/>
              <w:rPr>
                <w:sz w:val="22"/>
                <w:szCs w:val="22"/>
              </w:rPr>
            </w:pPr>
          </w:p>
          <w:p w14:paraId="593820EE" w14:textId="77777777" w:rsidR="00021D96" w:rsidRDefault="00021D96" w:rsidP="00357CEC">
            <w:pPr>
              <w:pStyle w:val="Default"/>
              <w:rPr>
                <w:sz w:val="22"/>
                <w:szCs w:val="22"/>
              </w:rPr>
            </w:pPr>
          </w:p>
          <w:p w14:paraId="0CA54847" w14:textId="77777777" w:rsidR="00021D96" w:rsidRDefault="00021D96" w:rsidP="00357CEC">
            <w:pPr>
              <w:pStyle w:val="Default"/>
              <w:rPr>
                <w:sz w:val="22"/>
                <w:szCs w:val="22"/>
              </w:rPr>
            </w:pPr>
          </w:p>
          <w:p w14:paraId="14A2F4AA" w14:textId="77777777" w:rsidR="00021D96" w:rsidRDefault="00021D96" w:rsidP="00357CEC">
            <w:pPr>
              <w:pStyle w:val="Default"/>
              <w:rPr>
                <w:sz w:val="22"/>
                <w:szCs w:val="22"/>
              </w:rPr>
            </w:pPr>
          </w:p>
          <w:p w14:paraId="330501F5" w14:textId="77777777" w:rsidR="00021D96" w:rsidRDefault="00021D96" w:rsidP="00357CEC">
            <w:pPr>
              <w:pStyle w:val="Default"/>
              <w:rPr>
                <w:sz w:val="22"/>
                <w:szCs w:val="22"/>
              </w:rPr>
            </w:pPr>
          </w:p>
          <w:p w14:paraId="57086B57" w14:textId="77777777" w:rsidR="00021D96" w:rsidRDefault="00021D96" w:rsidP="00357CEC">
            <w:pPr>
              <w:pStyle w:val="Default"/>
              <w:rPr>
                <w:sz w:val="22"/>
                <w:szCs w:val="22"/>
              </w:rPr>
            </w:pPr>
          </w:p>
          <w:p w14:paraId="2BC14D60" w14:textId="77777777" w:rsidR="00021D96" w:rsidRDefault="00021D96" w:rsidP="00357CEC">
            <w:pPr>
              <w:pStyle w:val="Default"/>
              <w:rPr>
                <w:sz w:val="22"/>
                <w:szCs w:val="22"/>
              </w:rPr>
            </w:pPr>
          </w:p>
          <w:p w14:paraId="7DF3346E" w14:textId="77777777" w:rsidR="00021D96" w:rsidRDefault="00021D96" w:rsidP="00357CEC">
            <w:pPr>
              <w:pStyle w:val="Default"/>
              <w:rPr>
                <w:sz w:val="22"/>
                <w:szCs w:val="22"/>
              </w:rPr>
            </w:pPr>
          </w:p>
          <w:p w14:paraId="13F32CB6" w14:textId="77777777" w:rsidR="00021D96" w:rsidRDefault="00021D96" w:rsidP="00357CEC">
            <w:pPr>
              <w:pStyle w:val="Default"/>
              <w:rPr>
                <w:sz w:val="22"/>
                <w:szCs w:val="22"/>
              </w:rPr>
            </w:pPr>
          </w:p>
          <w:p w14:paraId="70B1AFBA" w14:textId="77777777" w:rsidR="00021D96" w:rsidRDefault="00021D96" w:rsidP="00357CEC">
            <w:pPr>
              <w:pStyle w:val="Default"/>
              <w:rPr>
                <w:sz w:val="22"/>
                <w:szCs w:val="22"/>
              </w:rPr>
            </w:pPr>
          </w:p>
          <w:p w14:paraId="44A4E9BF" w14:textId="77777777" w:rsidR="00021D96" w:rsidRDefault="00021D96" w:rsidP="00357CEC">
            <w:pPr>
              <w:pStyle w:val="Default"/>
              <w:rPr>
                <w:sz w:val="22"/>
                <w:szCs w:val="22"/>
              </w:rPr>
            </w:pPr>
          </w:p>
          <w:p w14:paraId="1CFB6FFD" w14:textId="77777777" w:rsidR="00021D96" w:rsidRDefault="00021D96" w:rsidP="00357CEC">
            <w:pPr>
              <w:pStyle w:val="Default"/>
              <w:rPr>
                <w:sz w:val="22"/>
                <w:szCs w:val="22"/>
              </w:rPr>
            </w:pPr>
          </w:p>
          <w:p w14:paraId="332F9761" w14:textId="77777777" w:rsidR="00021D96" w:rsidRDefault="00021D96" w:rsidP="00357CEC">
            <w:pPr>
              <w:pStyle w:val="Default"/>
              <w:rPr>
                <w:sz w:val="22"/>
                <w:szCs w:val="22"/>
              </w:rPr>
            </w:pPr>
          </w:p>
          <w:p w14:paraId="7F3FE5F0" w14:textId="77777777" w:rsidR="00021D96" w:rsidRDefault="00021D96" w:rsidP="00357CEC">
            <w:pPr>
              <w:pStyle w:val="Default"/>
              <w:rPr>
                <w:sz w:val="22"/>
                <w:szCs w:val="22"/>
              </w:rPr>
            </w:pPr>
          </w:p>
          <w:p w14:paraId="2DA0BA8C" w14:textId="77777777" w:rsidR="00021D96" w:rsidRDefault="00021D96" w:rsidP="00357CEC">
            <w:pPr>
              <w:pStyle w:val="Default"/>
              <w:rPr>
                <w:sz w:val="22"/>
                <w:szCs w:val="22"/>
              </w:rPr>
            </w:pPr>
          </w:p>
          <w:p w14:paraId="3B573644" w14:textId="77777777" w:rsidR="00021D96" w:rsidRDefault="00021D96" w:rsidP="00357CEC">
            <w:pPr>
              <w:pStyle w:val="Default"/>
              <w:rPr>
                <w:sz w:val="22"/>
                <w:szCs w:val="22"/>
              </w:rPr>
            </w:pPr>
          </w:p>
          <w:p w14:paraId="1F9EED56" w14:textId="77777777" w:rsidR="00021D96" w:rsidRDefault="00021D96" w:rsidP="00357CEC">
            <w:pPr>
              <w:pStyle w:val="Default"/>
              <w:rPr>
                <w:sz w:val="22"/>
                <w:szCs w:val="22"/>
              </w:rPr>
            </w:pPr>
          </w:p>
          <w:p w14:paraId="40839D73" w14:textId="77777777" w:rsidR="00021D96" w:rsidRDefault="00021D96" w:rsidP="00357CEC">
            <w:pPr>
              <w:pStyle w:val="Default"/>
              <w:rPr>
                <w:sz w:val="22"/>
                <w:szCs w:val="22"/>
              </w:rPr>
            </w:pPr>
          </w:p>
          <w:p w14:paraId="6008153C" w14:textId="77777777" w:rsidR="00021D96" w:rsidRDefault="00021D96" w:rsidP="00357CEC">
            <w:pPr>
              <w:pStyle w:val="Default"/>
              <w:rPr>
                <w:sz w:val="22"/>
                <w:szCs w:val="22"/>
              </w:rPr>
            </w:pPr>
          </w:p>
          <w:p w14:paraId="3B3C1B57" w14:textId="77777777" w:rsidR="00021D96" w:rsidRDefault="00021D96" w:rsidP="00357CEC">
            <w:pPr>
              <w:pStyle w:val="Default"/>
              <w:rPr>
                <w:sz w:val="22"/>
                <w:szCs w:val="22"/>
              </w:rPr>
            </w:pPr>
          </w:p>
          <w:p w14:paraId="52F5A9F9" w14:textId="77777777" w:rsidR="00021D96" w:rsidRDefault="00021D96" w:rsidP="00357CEC">
            <w:pPr>
              <w:pStyle w:val="Default"/>
              <w:rPr>
                <w:sz w:val="22"/>
                <w:szCs w:val="22"/>
              </w:rPr>
            </w:pPr>
          </w:p>
          <w:p w14:paraId="06AA02FC" w14:textId="77777777" w:rsidR="00021D96" w:rsidRDefault="00021D96" w:rsidP="00357CEC">
            <w:pPr>
              <w:pStyle w:val="Default"/>
              <w:rPr>
                <w:sz w:val="22"/>
                <w:szCs w:val="22"/>
              </w:rPr>
            </w:pPr>
          </w:p>
          <w:p w14:paraId="349E4066" w14:textId="77777777" w:rsidR="00021D96" w:rsidRDefault="00021D96" w:rsidP="00357CEC">
            <w:pPr>
              <w:pStyle w:val="Default"/>
              <w:rPr>
                <w:sz w:val="22"/>
                <w:szCs w:val="22"/>
              </w:rPr>
            </w:pPr>
          </w:p>
          <w:p w14:paraId="06332588" w14:textId="77777777" w:rsidR="00021D96" w:rsidRDefault="00021D96" w:rsidP="00357CEC">
            <w:pPr>
              <w:pStyle w:val="Default"/>
              <w:rPr>
                <w:sz w:val="22"/>
                <w:szCs w:val="22"/>
              </w:rPr>
            </w:pPr>
          </w:p>
          <w:p w14:paraId="1BB5147D" w14:textId="77777777" w:rsidR="00021D96" w:rsidRDefault="00021D96" w:rsidP="00357CEC">
            <w:pPr>
              <w:pStyle w:val="Default"/>
              <w:rPr>
                <w:sz w:val="22"/>
                <w:szCs w:val="22"/>
              </w:rPr>
            </w:pPr>
          </w:p>
          <w:p w14:paraId="01620C27" w14:textId="77777777" w:rsidR="00021D96" w:rsidRDefault="00021D96" w:rsidP="00357CEC">
            <w:pPr>
              <w:pStyle w:val="Default"/>
              <w:rPr>
                <w:sz w:val="22"/>
                <w:szCs w:val="22"/>
              </w:rPr>
            </w:pPr>
          </w:p>
          <w:p w14:paraId="1D3C038D" w14:textId="77777777" w:rsidR="00021D96" w:rsidRDefault="00021D96" w:rsidP="00357CEC">
            <w:pPr>
              <w:pStyle w:val="Default"/>
              <w:rPr>
                <w:sz w:val="22"/>
                <w:szCs w:val="22"/>
              </w:rPr>
            </w:pPr>
          </w:p>
          <w:p w14:paraId="7B6B91B1" w14:textId="77777777" w:rsidR="00021D96" w:rsidRDefault="00021D96" w:rsidP="00357CEC">
            <w:pPr>
              <w:pStyle w:val="Default"/>
              <w:rPr>
                <w:sz w:val="22"/>
                <w:szCs w:val="22"/>
              </w:rPr>
            </w:pPr>
          </w:p>
          <w:p w14:paraId="55DD895A" w14:textId="77777777" w:rsidR="00021D96" w:rsidRDefault="00021D96" w:rsidP="00357CEC">
            <w:pPr>
              <w:pStyle w:val="Default"/>
              <w:rPr>
                <w:sz w:val="22"/>
                <w:szCs w:val="22"/>
              </w:rPr>
            </w:pPr>
          </w:p>
          <w:p w14:paraId="0C72499C" w14:textId="77777777" w:rsidR="00021D96" w:rsidRDefault="00021D96" w:rsidP="00357CEC">
            <w:pPr>
              <w:pStyle w:val="Default"/>
              <w:rPr>
                <w:sz w:val="22"/>
                <w:szCs w:val="22"/>
              </w:rPr>
            </w:pPr>
          </w:p>
          <w:p w14:paraId="6E83FB73" w14:textId="77777777" w:rsidR="00021D96" w:rsidRDefault="00021D96" w:rsidP="00357CEC">
            <w:pPr>
              <w:pStyle w:val="Default"/>
              <w:rPr>
                <w:sz w:val="22"/>
                <w:szCs w:val="22"/>
              </w:rPr>
            </w:pPr>
          </w:p>
          <w:p w14:paraId="69C2B4D4" w14:textId="77777777" w:rsidR="00021D96" w:rsidRDefault="00021D96" w:rsidP="00357CEC">
            <w:pPr>
              <w:pStyle w:val="Default"/>
              <w:rPr>
                <w:sz w:val="22"/>
                <w:szCs w:val="22"/>
              </w:rPr>
            </w:pPr>
          </w:p>
          <w:p w14:paraId="2F38761E" w14:textId="77777777" w:rsidR="00021D96" w:rsidRDefault="00021D96" w:rsidP="00357CEC">
            <w:pPr>
              <w:pStyle w:val="Default"/>
              <w:rPr>
                <w:sz w:val="22"/>
                <w:szCs w:val="22"/>
              </w:rPr>
            </w:pPr>
          </w:p>
          <w:p w14:paraId="50717CE6" w14:textId="77777777" w:rsidR="00021D96" w:rsidRDefault="00021D96" w:rsidP="00357CEC">
            <w:pPr>
              <w:pStyle w:val="Default"/>
              <w:rPr>
                <w:sz w:val="22"/>
                <w:szCs w:val="22"/>
              </w:rPr>
            </w:pPr>
          </w:p>
          <w:p w14:paraId="79B61DCE" w14:textId="77777777" w:rsidR="00021D96" w:rsidRDefault="00021D96" w:rsidP="00357CEC">
            <w:pPr>
              <w:pStyle w:val="Default"/>
              <w:rPr>
                <w:sz w:val="22"/>
                <w:szCs w:val="22"/>
              </w:rPr>
            </w:pPr>
          </w:p>
          <w:p w14:paraId="22366820" w14:textId="77777777" w:rsidR="00021D96" w:rsidRDefault="00021D96" w:rsidP="00357CEC">
            <w:pPr>
              <w:pStyle w:val="Default"/>
              <w:rPr>
                <w:sz w:val="22"/>
                <w:szCs w:val="22"/>
              </w:rPr>
            </w:pPr>
          </w:p>
          <w:p w14:paraId="2B29C693" w14:textId="77777777" w:rsidR="00021D96" w:rsidRDefault="00021D96" w:rsidP="00357CEC">
            <w:pPr>
              <w:pStyle w:val="Default"/>
              <w:rPr>
                <w:sz w:val="22"/>
                <w:szCs w:val="22"/>
              </w:rPr>
            </w:pPr>
          </w:p>
          <w:p w14:paraId="1400AA4D" w14:textId="77777777" w:rsidR="00021D96" w:rsidRDefault="00021D96" w:rsidP="00357CEC">
            <w:pPr>
              <w:pStyle w:val="Default"/>
              <w:rPr>
                <w:sz w:val="22"/>
                <w:szCs w:val="22"/>
              </w:rPr>
            </w:pPr>
          </w:p>
          <w:p w14:paraId="147A6B05" w14:textId="77777777" w:rsidR="00021D96" w:rsidRDefault="00021D96" w:rsidP="00357CEC">
            <w:pPr>
              <w:pStyle w:val="Default"/>
              <w:rPr>
                <w:sz w:val="22"/>
                <w:szCs w:val="22"/>
              </w:rPr>
            </w:pPr>
          </w:p>
          <w:p w14:paraId="3AE7395D" w14:textId="77777777" w:rsidR="00021D96" w:rsidRDefault="00021D96" w:rsidP="00357CEC">
            <w:pPr>
              <w:pStyle w:val="Default"/>
              <w:rPr>
                <w:sz w:val="22"/>
                <w:szCs w:val="22"/>
              </w:rPr>
            </w:pPr>
          </w:p>
          <w:p w14:paraId="680EE08A" w14:textId="77777777" w:rsidR="00021D96" w:rsidRDefault="00021D96" w:rsidP="00357CEC">
            <w:pPr>
              <w:pStyle w:val="Default"/>
              <w:rPr>
                <w:sz w:val="22"/>
                <w:szCs w:val="22"/>
              </w:rPr>
            </w:pPr>
          </w:p>
          <w:p w14:paraId="40D0FD9C" w14:textId="77777777" w:rsidR="00021D96" w:rsidRDefault="00021D96" w:rsidP="00357CEC">
            <w:pPr>
              <w:pStyle w:val="Default"/>
              <w:rPr>
                <w:sz w:val="22"/>
                <w:szCs w:val="22"/>
              </w:rPr>
            </w:pPr>
          </w:p>
          <w:p w14:paraId="4A54E3CC" w14:textId="77777777" w:rsidR="00021D96" w:rsidRDefault="00021D96" w:rsidP="00357CEC">
            <w:pPr>
              <w:pStyle w:val="Default"/>
              <w:rPr>
                <w:sz w:val="22"/>
                <w:szCs w:val="22"/>
              </w:rPr>
            </w:pPr>
          </w:p>
          <w:p w14:paraId="4EE2EF4C" w14:textId="77777777" w:rsidR="00021D96" w:rsidRDefault="00021D96" w:rsidP="00357CEC">
            <w:pPr>
              <w:pStyle w:val="Default"/>
              <w:rPr>
                <w:sz w:val="22"/>
                <w:szCs w:val="22"/>
              </w:rPr>
            </w:pPr>
          </w:p>
          <w:p w14:paraId="57DA1A9A" w14:textId="77777777" w:rsidR="00021D96" w:rsidRDefault="00021D96" w:rsidP="00357CEC">
            <w:pPr>
              <w:pStyle w:val="Default"/>
              <w:rPr>
                <w:sz w:val="22"/>
                <w:szCs w:val="22"/>
              </w:rPr>
            </w:pPr>
          </w:p>
          <w:p w14:paraId="356E4A4F" w14:textId="77777777" w:rsidR="00021D96" w:rsidRDefault="00021D96" w:rsidP="00357CEC">
            <w:pPr>
              <w:pStyle w:val="Default"/>
              <w:rPr>
                <w:sz w:val="22"/>
                <w:szCs w:val="22"/>
              </w:rPr>
            </w:pPr>
          </w:p>
          <w:p w14:paraId="313A636A" w14:textId="77777777" w:rsidR="00021D96" w:rsidRDefault="00021D96" w:rsidP="00357CEC">
            <w:pPr>
              <w:pStyle w:val="Default"/>
              <w:rPr>
                <w:sz w:val="22"/>
                <w:szCs w:val="22"/>
              </w:rPr>
            </w:pPr>
          </w:p>
          <w:p w14:paraId="531CE026" w14:textId="77777777" w:rsidR="00021D96" w:rsidRDefault="00021D96" w:rsidP="00357CEC">
            <w:pPr>
              <w:pStyle w:val="Default"/>
              <w:rPr>
                <w:sz w:val="22"/>
                <w:szCs w:val="22"/>
              </w:rPr>
            </w:pPr>
          </w:p>
          <w:p w14:paraId="63763749" w14:textId="77777777" w:rsidR="00021D96" w:rsidRDefault="00021D96" w:rsidP="00357CEC">
            <w:pPr>
              <w:pStyle w:val="Default"/>
              <w:rPr>
                <w:sz w:val="22"/>
                <w:szCs w:val="22"/>
              </w:rPr>
            </w:pPr>
          </w:p>
          <w:p w14:paraId="651E09F3" w14:textId="77777777" w:rsidR="00021D96" w:rsidRDefault="00021D96" w:rsidP="00357CEC">
            <w:pPr>
              <w:pStyle w:val="Default"/>
              <w:rPr>
                <w:sz w:val="22"/>
                <w:szCs w:val="22"/>
              </w:rPr>
            </w:pPr>
          </w:p>
          <w:p w14:paraId="17E6ABEE" w14:textId="77777777" w:rsidR="00021D96" w:rsidRDefault="00021D96" w:rsidP="00357CEC">
            <w:pPr>
              <w:pStyle w:val="Default"/>
              <w:rPr>
                <w:sz w:val="22"/>
                <w:szCs w:val="22"/>
              </w:rPr>
            </w:pPr>
          </w:p>
          <w:p w14:paraId="51363A7A" w14:textId="77777777" w:rsidR="00021D96" w:rsidRDefault="00021D96" w:rsidP="00357CEC">
            <w:pPr>
              <w:pStyle w:val="Default"/>
              <w:rPr>
                <w:sz w:val="22"/>
                <w:szCs w:val="22"/>
              </w:rPr>
            </w:pPr>
          </w:p>
          <w:p w14:paraId="274115A7" w14:textId="77777777" w:rsidR="00021D96" w:rsidRDefault="00021D96" w:rsidP="00357CEC">
            <w:pPr>
              <w:pStyle w:val="Default"/>
              <w:rPr>
                <w:sz w:val="22"/>
                <w:szCs w:val="22"/>
              </w:rPr>
            </w:pPr>
          </w:p>
          <w:p w14:paraId="2033301C" w14:textId="77777777" w:rsidR="00021D96" w:rsidRDefault="00021D96" w:rsidP="00357CEC">
            <w:pPr>
              <w:pStyle w:val="Default"/>
              <w:rPr>
                <w:sz w:val="22"/>
                <w:szCs w:val="22"/>
              </w:rPr>
            </w:pPr>
          </w:p>
          <w:p w14:paraId="55BC4968" w14:textId="77777777" w:rsidR="00021D96" w:rsidRDefault="00021D96" w:rsidP="00357CEC">
            <w:pPr>
              <w:pStyle w:val="Default"/>
              <w:rPr>
                <w:sz w:val="22"/>
                <w:szCs w:val="22"/>
              </w:rPr>
            </w:pPr>
          </w:p>
          <w:p w14:paraId="76E6C6D8" w14:textId="77777777" w:rsidR="00021D96" w:rsidRDefault="00021D96" w:rsidP="00357CEC">
            <w:pPr>
              <w:pStyle w:val="Default"/>
              <w:rPr>
                <w:sz w:val="22"/>
                <w:szCs w:val="22"/>
              </w:rPr>
            </w:pPr>
          </w:p>
          <w:p w14:paraId="2B097ED6" w14:textId="77777777" w:rsidR="00021D96" w:rsidRDefault="00021D96" w:rsidP="00357CEC">
            <w:pPr>
              <w:pStyle w:val="Default"/>
              <w:rPr>
                <w:sz w:val="22"/>
                <w:szCs w:val="22"/>
              </w:rPr>
            </w:pPr>
          </w:p>
          <w:p w14:paraId="73B0D438" w14:textId="77777777" w:rsidR="00021D96" w:rsidRDefault="00021D96" w:rsidP="00357CEC">
            <w:pPr>
              <w:pStyle w:val="Default"/>
              <w:rPr>
                <w:sz w:val="22"/>
                <w:szCs w:val="22"/>
              </w:rPr>
            </w:pPr>
          </w:p>
          <w:p w14:paraId="2E13A96E" w14:textId="77777777" w:rsidR="00021D96" w:rsidRDefault="00021D96" w:rsidP="00357CEC">
            <w:pPr>
              <w:pStyle w:val="Default"/>
              <w:rPr>
                <w:sz w:val="22"/>
                <w:szCs w:val="22"/>
              </w:rPr>
            </w:pPr>
          </w:p>
          <w:p w14:paraId="17AEBBC2" w14:textId="77777777" w:rsidR="00021D96" w:rsidRDefault="00021D96" w:rsidP="00357CEC">
            <w:pPr>
              <w:pStyle w:val="Default"/>
              <w:rPr>
                <w:sz w:val="22"/>
                <w:szCs w:val="22"/>
              </w:rPr>
            </w:pPr>
          </w:p>
          <w:p w14:paraId="4DAFFA36" w14:textId="77777777" w:rsidR="00021D96" w:rsidRDefault="00021D96" w:rsidP="00357CEC">
            <w:pPr>
              <w:pStyle w:val="Default"/>
              <w:rPr>
                <w:sz w:val="22"/>
                <w:szCs w:val="22"/>
              </w:rPr>
            </w:pPr>
          </w:p>
          <w:p w14:paraId="004B3983" w14:textId="77777777" w:rsidR="00021D96" w:rsidRDefault="00021D96" w:rsidP="00357CEC">
            <w:pPr>
              <w:pStyle w:val="Default"/>
              <w:rPr>
                <w:sz w:val="22"/>
                <w:szCs w:val="22"/>
              </w:rPr>
            </w:pPr>
          </w:p>
          <w:p w14:paraId="0F79A9DE" w14:textId="77777777" w:rsidR="00021D96" w:rsidRDefault="00021D96" w:rsidP="00357CEC">
            <w:pPr>
              <w:pStyle w:val="Default"/>
              <w:rPr>
                <w:sz w:val="22"/>
                <w:szCs w:val="22"/>
              </w:rPr>
            </w:pPr>
          </w:p>
          <w:p w14:paraId="5D74DF92" w14:textId="77777777" w:rsidR="00021D96" w:rsidRDefault="00021D96" w:rsidP="00357CEC">
            <w:pPr>
              <w:pStyle w:val="Default"/>
              <w:rPr>
                <w:sz w:val="22"/>
                <w:szCs w:val="22"/>
              </w:rPr>
            </w:pPr>
          </w:p>
          <w:p w14:paraId="2B1E57C5" w14:textId="77777777" w:rsidR="00021D96" w:rsidRDefault="00021D96" w:rsidP="00357CEC">
            <w:pPr>
              <w:pStyle w:val="Default"/>
              <w:rPr>
                <w:sz w:val="22"/>
                <w:szCs w:val="22"/>
              </w:rPr>
            </w:pPr>
          </w:p>
          <w:p w14:paraId="6CD942C3" w14:textId="77777777" w:rsidR="00021D96" w:rsidRDefault="00021D96" w:rsidP="00357CEC">
            <w:pPr>
              <w:pStyle w:val="Default"/>
              <w:rPr>
                <w:sz w:val="22"/>
                <w:szCs w:val="22"/>
              </w:rPr>
            </w:pPr>
          </w:p>
          <w:p w14:paraId="5691D11B" w14:textId="77777777" w:rsidR="00021D96" w:rsidRDefault="00021D96" w:rsidP="00357CEC">
            <w:pPr>
              <w:pStyle w:val="Default"/>
              <w:rPr>
                <w:sz w:val="22"/>
                <w:szCs w:val="22"/>
              </w:rPr>
            </w:pPr>
          </w:p>
          <w:p w14:paraId="0380BFEB" w14:textId="77777777" w:rsidR="00021D96" w:rsidRDefault="00021D96" w:rsidP="00357CEC">
            <w:pPr>
              <w:pStyle w:val="Default"/>
              <w:rPr>
                <w:sz w:val="22"/>
                <w:szCs w:val="22"/>
              </w:rPr>
            </w:pPr>
          </w:p>
          <w:p w14:paraId="649004D7" w14:textId="77777777" w:rsidR="00021D96" w:rsidRDefault="00021D96" w:rsidP="00357CEC">
            <w:pPr>
              <w:pStyle w:val="Default"/>
              <w:rPr>
                <w:sz w:val="22"/>
                <w:szCs w:val="22"/>
              </w:rPr>
            </w:pPr>
          </w:p>
          <w:p w14:paraId="73397740" w14:textId="77777777" w:rsidR="00021D96" w:rsidRDefault="00021D96" w:rsidP="00357CEC">
            <w:pPr>
              <w:pStyle w:val="Default"/>
              <w:rPr>
                <w:sz w:val="22"/>
                <w:szCs w:val="22"/>
              </w:rPr>
            </w:pPr>
          </w:p>
          <w:p w14:paraId="78D3939C" w14:textId="77777777" w:rsidR="00021D96" w:rsidRDefault="00021D96" w:rsidP="00357CEC">
            <w:pPr>
              <w:pStyle w:val="Default"/>
              <w:rPr>
                <w:sz w:val="22"/>
                <w:szCs w:val="22"/>
              </w:rPr>
            </w:pPr>
          </w:p>
          <w:p w14:paraId="1D8C9FA4" w14:textId="77777777" w:rsidR="00021D96" w:rsidRDefault="00021D96" w:rsidP="00357CEC">
            <w:pPr>
              <w:pStyle w:val="Default"/>
              <w:rPr>
                <w:sz w:val="22"/>
                <w:szCs w:val="22"/>
              </w:rPr>
            </w:pPr>
          </w:p>
          <w:p w14:paraId="26BBA394" w14:textId="77777777" w:rsidR="00021D96" w:rsidRDefault="00021D96" w:rsidP="00357CEC">
            <w:pPr>
              <w:pStyle w:val="Default"/>
              <w:rPr>
                <w:sz w:val="22"/>
                <w:szCs w:val="22"/>
              </w:rPr>
            </w:pPr>
          </w:p>
          <w:p w14:paraId="33E59C45" w14:textId="77777777" w:rsidR="00021D96" w:rsidRDefault="00021D96" w:rsidP="00357CEC">
            <w:pPr>
              <w:pStyle w:val="Default"/>
              <w:rPr>
                <w:sz w:val="22"/>
                <w:szCs w:val="22"/>
              </w:rPr>
            </w:pPr>
          </w:p>
          <w:p w14:paraId="0BD91A54" w14:textId="77777777" w:rsidR="00021D96" w:rsidRDefault="00021D96" w:rsidP="00357CEC">
            <w:pPr>
              <w:pStyle w:val="Default"/>
              <w:rPr>
                <w:sz w:val="22"/>
                <w:szCs w:val="22"/>
              </w:rPr>
            </w:pPr>
          </w:p>
          <w:p w14:paraId="2DDD4819" w14:textId="77777777" w:rsidR="00021D96" w:rsidRDefault="00021D96" w:rsidP="00357CEC">
            <w:pPr>
              <w:pStyle w:val="Default"/>
              <w:rPr>
                <w:sz w:val="22"/>
                <w:szCs w:val="22"/>
              </w:rPr>
            </w:pPr>
          </w:p>
          <w:p w14:paraId="7B2C4343" w14:textId="77777777" w:rsidR="00021D96" w:rsidRDefault="00021D96" w:rsidP="00357CEC">
            <w:pPr>
              <w:pStyle w:val="Default"/>
              <w:rPr>
                <w:sz w:val="22"/>
                <w:szCs w:val="22"/>
              </w:rPr>
            </w:pPr>
          </w:p>
          <w:p w14:paraId="3E92BEE7" w14:textId="77777777" w:rsidR="00021D96" w:rsidRDefault="00021D96" w:rsidP="00357CEC">
            <w:pPr>
              <w:pStyle w:val="Default"/>
              <w:rPr>
                <w:sz w:val="22"/>
                <w:szCs w:val="22"/>
              </w:rPr>
            </w:pPr>
          </w:p>
          <w:p w14:paraId="3D5EF1E1" w14:textId="77777777" w:rsidR="00021D96" w:rsidRDefault="00021D96" w:rsidP="00357CEC">
            <w:pPr>
              <w:pStyle w:val="Default"/>
              <w:rPr>
                <w:sz w:val="22"/>
                <w:szCs w:val="22"/>
              </w:rPr>
            </w:pPr>
          </w:p>
          <w:p w14:paraId="782646CD" w14:textId="77777777" w:rsidR="00021D96" w:rsidRDefault="00021D96" w:rsidP="00357CEC">
            <w:pPr>
              <w:pStyle w:val="Default"/>
              <w:rPr>
                <w:sz w:val="22"/>
                <w:szCs w:val="22"/>
              </w:rPr>
            </w:pPr>
          </w:p>
          <w:p w14:paraId="475EA040" w14:textId="77777777" w:rsidR="00021D96" w:rsidRDefault="00021D96" w:rsidP="00357CEC">
            <w:pPr>
              <w:pStyle w:val="Default"/>
              <w:rPr>
                <w:sz w:val="22"/>
                <w:szCs w:val="22"/>
              </w:rPr>
            </w:pPr>
          </w:p>
          <w:p w14:paraId="0F48CFEC" w14:textId="77777777" w:rsidR="00021D96" w:rsidRDefault="00021D96" w:rsidP="00357CEC">
            <w:pPr>
              <w:pStyle w:val="Default"/>
              <w:rPr>
                <w:sz w:val="22"/>
                <w:szCs w:val="22"/>
              </w:rPr>
            </w:pPr>
          </w:p>
          <w:p w14:paraId="52DD3CF5" w14:textId="77777777" w:rsidR="00021D96" w:rsidRDefault="00021D96" w:rsidP="00357CEC">
            <w:pPr>
              <w:pStyle w:val="Default"/>
              <w:rPr>
                <w:sz w:val="22"/>
                <w:szCs w:val="22"/>
              </w:rPr>
            </w:pPr>
          </w:p>
          <w:p w14:paraId="0152135A" w14:textId="77777777" w:rsidR="00021D96" w:rsidRDefault="00021D96" w:rsidP="00357CEC">
            <w:pPr>
              <w:pStyle w:val="Default"/>
              <w:rPr>
                <w:sz w:val="22"/>
                <w:szCs w:val="22"/>
              </w:rPr>
            </w:pPr>
          </w:p>
          <w:p w14:paraId="235D199C" w14:textId="77777777" w:rsidR="00021D96" w:rsidRDefault="00021D96" w:rsidP="00357CEC">
            <w:pPr>
              <w:pStyle w:val="Default"/>
              <w:rPr>
                <w:sz w:val="22"/>
                <w:szCs w:val="22"/>
              </w:rPr>
            </w:pPr>
          </w:p>
          <w:p w14:paraId="7CAA1AD2" w14:textId="77777777" w:rsidR="00021D96" w:rsidRDefault="00021D96" w:rsidP="00357CEC">
            <w:pPr>
              <w:pStyle w:val="Default"/>
              <w:rPr>
                <w:sz w:val="22"/>
                <w:szCs w:val="22"/>
              </w:rPr>
            </w:pPr>
          </w:p>
          <w:p w14:paraId="713C5111" w14:textId="77777777" w:rsidR="00021D96" w:rsidRDefault="00021D96" w:rsidP="00357CEC">
            <w:pPr>
              <w:pStyle w:val="Default"/>
              <w:rPr>
                <w:sz w:val="22"/>
                <w:szCs w:val="22"/>
              </w:rPr>
            </w:pPr>
          </w:p>
          <w:p w14:paraId="1B590B17" w14:textId="77777777" w:rsidR="00021D96" w:rsidRDefault="00021D96" w:rsidP="00357CEC">
            <w:pPr>
              <w:pStyle w:val="Default"/>
              <w:rPr>
                <w:sz w:val="22"/>
                <w:szCs w:val="22"/>
              </w:rPr>
            </w:pPr>
          </w:p>
          <w:p w14:paraId="452E3BE6" w14:textId="77777777" w:rsidR="00021D96" w:rsidRDefault="00021D96" w:rsidP="00357CEC">
            <w:pPr>
              <w:pStyle w:val="Default"/>
              <w:rPr>
                <w:sz w:val="22"/>
                <w:szCs w:val="22"/>
              </w:rPr>
            </w:pPr>
          </w:p>
          <w:p w14:paraId="783F1F18" w14:textId="77777777" w:rsidR="00021D96" w:rsidRDefault="00021D96" w:rsidP="00357CEC">
            <w:pPr>
              <w:pStyle w:val="Default"/>
              <w:rPr>
                <w:sz w:val="22"/>
                <w:szCs w:val="22"/>
              </w:rPr>
            </w:pPr>
          </w:p>
          <w:p w14:paraId="0AACE4E6" w14:textId="77777777" w:rsidR="00021D96" w:rsidRDefault="00021D96" w:rsidP="00357CEC">
            <w:pPr>
              <w:pStyle w:val="Default"/>
              <w:rPr>
                <w:sz w:val="22"/>
                <w:szCs w:val="22"/>
              </w:rPr>
            </w:pPr>
          </w:p>
          <w:p w14:paraId="1B6F610F" w14:textId="77777777" w:rsidR="00021D96" w:rsidRDefault="00021D96" w:rsidP="00357CEC">
            <w:pPr>
              <w:pStyle w:val="Default"/>
              <w:rPr>
                <w:sz w:val="22"/>
                <w:szCs w:val="22"/>
              </w:rPr>
            </w:pPr>
          </w:p>
          <w:p w14:paraId="4C77BED0" w14:textId="77777777" w:rsidR="00021D96" w:rsidRDefault="00021D96" w:rsidP="00357CEC">
            <w:pPr>
              <w:pStyle w:val="Default"/>
              <w:rPr>
                <w:sz w:val="22"/>
                <w:szCs w:val="22"/>
              </w:rPr>
            </w:pPr>
          </w:p>
          <w:p w14:paraId="348172D8" w14:textId="77777777" w:rsidR="00021D96" w:rsidRDefault="00021D96" w:rsidP="00357CEC">
            <w:pPr>
              <w:pStyle w:val="Default"/>
              <w:rPr>
                <w:sz w:val="22"/>
                <w:szCs w:val="22"/>
              </w:rPr>
            </w:pPr>
          </w:p>
          <w:p w14:paraId="07217F37" w14:textId="77777777" w:rsidR="00021D96" w:rsidRDefault="00021D96" w:rsidP="00357CEC">
            <w:pPr>
              <w:pStyle w:val="Default"/>
              <w:rPr>
                <w:sz w:val="22"/>
                <w:szCs w:val="22"/>
              </w:rPr>
            </w:pPr>
          </w:p>
          <w:p w14:paraId="223C41EE" w14:textId="77777777" w:rsidR="00021D96" w:rsidRDefault="00021D96" w:rsidP="00357CEC">
            <w:pPr>
              <w:pStyle w:val="Default"/>
              <w:rPr>
                <w:sz w:val="22"/>
                <w:szCs w:val="22"/>
              </w:rPr>
            </w:pPr>
          </w:p>
          <w:p w14:paraId="0674F402" w14:textId="77777777" w:rsidR="00021D96" w:rsidRDefault="00021D96" w:rsidP="00357CEC">
            <w:pPr>
              <w:pStyle w:val="Default"/>
              <w:rPr>
                <w:sz w:val="22"/>
                <w:szCs w:val="22"/>
              </w:rPr>
            </w:pPr>
          </w:p>
          <w:p w14:paraId="547A1CE7" w14:textId="77777777" w:rsidR="00021D96" w:rsidRDefault="00021D96" w:rsidP="00357CEC">
            <w:pPr>
              <w:pStyle w:val="Default"/>
              <w:rPr>
                <w:sz w:val="22"/>
                <w:szCs w:val="22"/>
              </w:rPr>
            </w:pPr>
          </w:p>
          <w:p w14:paraId="6969AF6F" w14:textId="77777777" w:rsidR="00021D96" w:rsidRDefault="00021D96" w:rsidP="00357CEC">
            <w:pPr>
              <w:pStyle w:val="Default"/>
              <w:rPr>
                <w:sz w:val="22"/>
                <w:szCs w:val="22"/>
              </w:rPr>
            </w:pPr>
          </w:p>
          <w:p w14:paraId="3446E2ED" w14:textId="77777777" w:rsidR="00021D96" w:rsidRDefault="00021D96" w:rsidP="00357CEC">
            <w:pPr>
              <w:pStyle w:val="Default"/>
              <w:rPr>
                <w:sz w:val="22"/>
                <w:szCs w:val="22"/>
              </w:rPr>
            </w:pPr>
          </w:p>
          <w:p w14:paraId="25CD5DFC" w14:textId="77777777" w:rsidR="00021D96" w:rsidRDefault="00021D96" w:rsidP="00357CEC">
            <w:pPr>
              <w:pStyle w:val="Default"/>
              <w:rPr>
                <w:sz w:val="22"/>
                <w:szCs w:val="22"/>
              </w:rPr>
            </w:pPr>
          </w:p>
          <w:p w14:paraId="2CE7CA55" w14:textId="77777777" w:rsidR="00021D96" w:rsidRDefault="00021D96" w:rsidP="00357CEC">
            <w:pPr>
              <w:pStyle w:val="Default"/>
              <w:rPr>
                <w:sz w:val="22"/>
                <w:szCs w:val="22"/>
              </w:rPr>
            </w:pPr>
          </w:p>
          <w:p w14:paraId="531A7317" w14:textId="77777777" w:rsidR="00021D96" w:rsidRDefault="00021D96" w:rsidP="00357CEC">
            <w:pPr>
              <w:pStyle w:val="Default"/>
              <w:rPr>
                <w:sz w:val="22"/>
                <w:szCs w:val="22"/>
              </w:rPr>
            </w:pPr>
          </w:p>
          <w:p w14:paraId="70CAA1A0" w14:textId="77777777" w:rsidR="00021D96" w:rsidRDefault="00021D96" w:rsidP="00357CEC">
            <w:pPr>
              <w:pStyle w:val="Default"/>
              <w:rPr>
                <w:sz w:val="22"/>
                <w:szCs w:val="22"/>
              </w:rPr>
            </w:pPr>
          </w:p>
          <w:p w14:paraId="37FC0CE8" w14:textId="77777777" w:rsidR="00021D96" w:rsidRDefault="00021D96" w:rsidP="00357CEC">
            <w:pPr>
              <w:pStyle w:val="Default"/>
              <w:rPr>
                <w:sz w:val="22"/>
                <w:szCs w:val="22"/>
              </w:rPr>
            </w:pPr>
          </w:p>
          <w:p w14:paraId="0931B8D8" w14:textId="77777777" w:rsidR="00021D96" w:rsidRDefault="00021D96" w:rsidP="00357CEC">
            <w:pPr>
              <w:pStyle w:val="Default"/>
              <w:rPr>
                <w:sz w:val="22"/>
                <w:szCs w:val="22"/>
              </w:rPr>
            </w:pPr>
          </w:p>
          <w:p w14:paraId="611FCD43" w14:textId="77777777" w:rsidR="00021D96" w:rsidRDefault="00021D96" w:rsidP="00357CEC">
            <w:pPr>
              <w:pStyle w:val="Default"/>
              <w:rPr>
                <w:sz w:val="22"/>
                <w:szCs w:val="22"/>
              </w:rPr>
            </w:pPr>
          </w:p>
          <w:p w14:paraId="0CDD2237" w14:textId="77777777" w:rsidR="00021D96" w:rsidRDefault="00021D96" w:rsidP="00357CEC">
            <w:pPr>
              <w:pStyle w:val="Default"/>
              <w:rPr>
                <w:sz w:val="22"/>
                <w:szCs w:val="22"/>
              </w:rPr>
            </w:pPr>
          </w:p>
          <w:p w14:paraId="483F2D68" w14:textId="77777777" w:rsidR="00021D96" w:rsidRDefault="00021D96" w:rsidP="00357CEC">
            <w:pPr>
              <w:pStyle w:val="Default"/>
              <w:rPr>
                <w:sz w:val="22"/>
                <w:szCs w:val="22"/>
              </w:rPr>
            </w:pPr>
          </w:p>
          <w:p w14:paraId="1EFF9F57" w14:textId="77777777" w:rsidR="00021D96" w:rsidRDefault="00021D96" w:rsidP="00357CEC">
            <w:pPr>
              <w:pStyle w:val="Default"/>
              <w:rPr>
                <w:sz w:val="22"/>
                <w:szCs w:val="22"/>
              </w:rPr>
            </w:pPr>
          </w:p>
          <w:p w14:paraId="772984CE" w14:textId="77777777" w:rsidR="00021D96" w:rsidRDefault="00021D96" w:rsidP="00357CEC">
            <w:pPr>
              <w:pStyle w:val="Default"/>
              <w:rPr>
                <w:sz w:val="22"/>
                <w:szCs w:val="22"/>
              </w:rPr>
            </w:pPr>
          </w:p>
          <w:p w14:paraId="2CFFF102" w14:textId="77777777" w:rsidR="00021D96" w:rsidRDefault="00021D96" w:rsidP="00357CEC">
            <w:pPr>
              <w:pStyle w:val="Default"/>
              <w:rPr>
                <w:sz w:val="22"/>
                <w:szCs w:val="22"/>
              </w:rPr>
            </w:pPr>
          </w:p>
          <w:p w14:paraId="78975410" w14:textId="77777777" w:rsidR="00021D96" w:rsidRDefault="00021D96" w:rsidP="00357CEC">
            <w:pPr>
              <w:pStyle w:val="Default"/>
              <w:rPr>
                <w:sz w:val="22"/>
                <w:szCs w:val="22"/>
              </w:rPr>
            </w:pPr>
          </w:p>
          <w:p w14:paraId="4D95A214" w14:textId="77777777" w:rsidR="00021D96" w:rsidRDefault="00021D96" w:rsidP="00357CEC">
            <w:pPr>
              <w:pStyle w:val="Default"/>
              <w:rPr>
                <w:sz w:val="22"/>
                <w:szCs w:val="22"/>
              </w:rPr>
            </w:pPr>
          </w:p>
          <w:p w14:paraId="0ABA4903" w14:textId="77777777" w:rsidR="00021D96" w:rsidRDefault="00021D96" w:rsidP="00357CEC">
            <w:pPr>
              <w:pStyle w:val="Default"/>
              <w:rPr>
                <w:sz w:val="22"/>
                <w:szCs w:val="22"/>
              </w:rPr>
            </w:pPr>
          </w:p>
          <w:p w14:paraId="4C42E788" w14:textId="77777777" w:rsidR="00021D96" w:rsidRDefault="00021D96" w:rsidP="00357CEC">
            <w:pPr>
              <w:pStyle w:val="Default"/>
              <w:rPr>
                <w:sz w:val="22"/>
                <w:szCs w:val="22"/>
              </w:rPr>
            </w:pPr>
          </w:p>
          <w:p w14:paraId="044BF175" w14:textId="77777777" w:rsidR="00021D96" w:rsidRDefault="00021D96" w:rsidP="00357CEC">
            <w:pPr>
              <w:pStyle w:val="Default"/>
              <w:rPr>
                <w:sz w:val="22"/>
                <w:szCs w:val="22"/>
              </w:rPr>
            </w:pPr>
          </w:p>
          <w:p w14:paraId="33B07D82" w14:textId="77777777" w:rsidR="00021D96" w:rsidRDefault="00021D96" w:rsidP="00357CEC">
            <w:pPr>
              <w:pStyle w:val="Default"/>
              <w:rPr>
                <w:sz w:val="22"/>
                <w:szCs w:val="22"/>
              </w:rPr>
            </w:pPr>
          </w:p>
          <w:p w14:paraId="66EB67FC" w14:textId="77777777" w:rsidR="00021D96" w:rsidRDefault="00021D96" w:rsidP="00357CEC">
            <w:pPr>
              <w:pStyle w:val="Default"/>
              <w:rPr>
                <w:sz w:val="22"/>
                <w:szCs w:val="22"/>
              </w:rPr>
            </w:pPr>
          </w:p>
          <w:p w14:paraId="751E3371" w14:textId="77777777" w:rsidR="00021D96" w:rsidRDefault="00021D96" w:rsidP="00357CEC">
            <w:pPr>
              <w:pStyle w:val="Default"/>
              <w:rPr>
                <w:sz w:val="22"/>
                <w:szCs w:val="22"/>
              </w:rPr>
            </w:pPr>
          </w:p>
          <w:p w14:paraId="315509D0" w14:textId="77777777" w:rsidR="00021D96" w:rsidRDefault="00021D96" w:rsidP="00357CEC">
            <w:pPr>
              <w:pStyle w:val="Default"/>
              <w:rPr>
                <w:sz w:val="22"/>
                <w:szCs w:val="22"/>
              </w:rPr>
            </w:pPr>
          </w:p>
          <w:p w14:paraId="3C1ED027" w14:textId="77777777" w:rsidR="00021D96" w:rsidRDefault="00021D96" w:rsidP="00357CEC">
            <w:pPr>
              <w:pStyle w:val="Default"/>
              <w:rPr>
                <w:sz w:val="22"/>
                <w:szCs w:val="22"/>
              </w:rPr>
            </w:pPr>
          </w:p>
          <w:p w14:paraId="5A168322" w14:textId="77777777" w:rsidR="00021D96" w:rsidRDefault="00021D96" w:rsidP="00357CEC">
            <w:pPr>
              <w:pStyle w:val="Default"/>
              <w:rPr>
                <w:sz w:val="22"/>
                <w:szCs w:val="22"/>
              </w:rPr>
            </w:pPr>
          </w:p>
          <w:p w14:paraId="315C14D0" w14:textId="77777777" w:rsidR="00021D96" w:rsidRDefault="00021D96" w:rsidP="00357CEC">
            <w:pPr>
              <w:pStyle w:val="Default"/>
              <w:rPr>
                <w:sz w:val="22"/>
                <w:szCs w:val="22"/>
              </w:rPr>
            </w:pPr>
          </w:p>
          <w:p w14:paraId="269AD7A0" w14:textId="77777777" w:rsidR="00021D96" w:rsidRDefault="00021D96" w:rsidP="00357CEC">
            <w:pPr>
              <w:pStyle w:val="Default"/>
              <w:rPr>
                <w:sz w:val="22"/>
                <w:szCs w:val="22"/>
              </w:rPr>
            </w:pPr>
          </w:p>
          <w:p w14:paraId="733324F3" w14:textId="77777777" w:rsidR="00021D96" w:rsidRDefault="00021D96" w:rsidP="00357CEC">
            <w:pPr>
              <w:pStyle w:val="Default"/>
              <w:rPr>
                <w:sz w:val="22"/>
                <w:szCs w:val="22"/>
              </w:rPr>
            </w:pPr>
          </w:p>
          <w:p w14:paraId="61567431" w14:textId="77777777" w:rsidR="00021D96" w:rsidRDefault="00021D96" w:rsidP="00357CEC">
            <w:pPr>
              <w:pStyle w:val="Default"/>
              <w:rPr>
                <w:sz w:val="22"/>
                <w:szCs w:val="22"/>
              </w:rPr>
            </w:pPr>
          </w:p>
          <w:p w14:paraId="400C464F" w14:textId="77777777" w:rsidR="00021D96" w:rsidRDefault="00021D96" w:rsidP="00357CEC">
            <w:pPr>
              <w:pStyle w:val="Default"/>
              <w:rPr>
                <w:sz w:val="22"/>
                <w:szCs w:val="22"/>
              </w:rPr>
            </w:pPr>
          </w:p>
          <w:p w14:paraId="2D6869E3" w14:textId="77777777" w:rsidR="00021D96" w:rsidRDefault="00021D96" w:rsidP="00357CEC">
            <w:pPr>
              <w:pStyle w:val="Default"/>
              <w:rPr>
                <w:sz w:val="22"/>
                <w:szCs w:val="22"/>
              </w:rPr>
            </w:pPr>
          </w:p>
          <w:p w14:paraId="03563BBA" w14:textId="77777777" w:rsidR="00021D96" w:rsidRDefault="00021D96" w:rsidP="00357CEC">
            <w:pPr>
              <w:pStyle w:val="Default"/>
              <w:rPr>
                <w:sz w:val="22"/>
                <w:szCs w:val="22"/>
              </w:rPr>
            </w:pPr>
          </w:p>
          <w:p w14:paraId="4D48A7DD" w14:textId="77777777" w:rsidR="00021D96" w:rsidRDefault="00021D96" w:rsidP="00357CEC">
            <w:pPr>
              <w:pStyle w:val="Default"/>
              <w:rPr>
                <w:sz w:val="22"/>
                <w:szCs w:val="22"/>
              </w:rPr>
            </w:pPr>
          </w:p>
          <w:p w14:paraId="3B23CF2E" w14:textId="77777777" w:rsidR="00021D96" w:rsidRDefault="00021D96" w:rsidP="00357CEC">
            <w:pPr>
              <w:pStyle w:val="Default"/>
              <w:rPr>
                <w:sz w:val="22"/>
                <w:szCs w:val="22"/>
              </w:rPr>
            </w:pPr>
          </w:p>
          <w:p w14:paraId="305E354B" w14:textId="77777777" w:rsidR="00021D96" w:rsidRDefault="00021D96" w:rsidP="00357CEC">
            <w:pPr>
              <w:pStyle w:val="Default"/>
              <w:rPr>
                <w:sz w:val="22"/>
                <w:szCs w:val="22"/>
              </w:rPr>
            </w:pPr>
          </w:p>
          <w:p w14:paraId="139BCBFC" w14:textId="77777777" w:rsidR="00021D96" w:rsidRDefault="00021D96" w:rsidP="00357CEC">
            <w:pPr>
              <w:pStyle w:val="Default"/>
              <w:rPr>
                <w:sz w:val="22"/>
                <w:szCs w:val="22"/>
              </w:rPr>
            </w:pPr>
          </w:p>
          <w:p w14:paraId="59D98EDE" w14:textId="77777777" w:rsidR="00021D96" w:rsidRDefault="00021D96" w:rsidP="00357CEC">
            <w:pPr>
              <w:pStyle w:val="Default"/>
              <w:rPr>
                <w:sz w:val="22"/>
                <w:szCs w:val="22"/>
              </w:rPr>
            </w:pPr>
          </w:p>
          <w:p w14:paraId="700EE4AA" w14:textId="77777777" w:rsidR="00021D96" w:rsidRDefault="00021D96" w:rsidP="00357CEC">
            <w:pPr>
              <w:pStyle w:val="Default"/>
              <w:rPr>
                <w:sz w:val="22"/>
                <w:szCs w:val="22"/>
              </w:rPr>
            </w:pPr>
          </w:p>
          <w:p w14:paraId="42497D95" w14:textId="77777777" w:rsidR="00021D96" w:rsidRDefault="00021D96" w:rsidP="00357CEC">
            <w:pPr>
              <w:pStyle w:val="Default"/>
              <w:rPr>
                <w:sz w:val="22"/>
                <w:szCs w:val="22"/>
              </w:rPr>
            </w:pPr>
          </w:p>
          <w:p w14:paraId="3FA659A3" w14:textId="77777777" w:rsidR="00021D96" w:rsidRDefault="00021D96" w:rsidP="00357CEC">
            <w:pPr>
              <w:pStyle w:val="Default"/>
              <w:rPr>
                <w:sz w:val="22"/>
                <w:szCs w:val="22"/>
              </w:rPr>
            </w:pPr>
          </w:p>
          <w:p w14:paraId="2FC53EA6" w14:textId="77777777" w:rsidR="00021D96" w:rsidRDefault="00021D96" w:rsidP="00357CEC">
            <w:pPr>
              <w:pStyle w:val="Default"/>
              <w:rPr>
                <w:sz w:val="22"/>
                <w:szCs w:val="22"/>
              </w:rPr>
            </w:pPr>
          </w:p>
          <w:p w14:paraId="7165FB5F" w14:textId="77777777" w:rsidR="00021D96" w:rsidRDefault="00021D96" w:rsidP="00357CEC">
            <w:pPr>
              <w:pStyle w:val="Default"/>
              <w:rPr>
                <w:sz w:val="22"/>
                <w:szCs w:val="22"/>
              </w:rPr>
            </w:pPr>
          </w:p>
          <w:p w14:paraId="180E14F4" w14:textId="77777777" w:rsidR="00021D96" w:rsidRDefault="00021D96" w:rsidP="00357CEC">
            <w:pPr>
              <w:pStyle w:val="Default"/>
              <w:rPr>
                <w:sz w:val="22"/>
                <w:szCs w:val="22"/>
              </w:rPr>
            </w:pPr>
          </w:p>
          <w:p w14:paraId="0195A4EB" w14:textId="77777777" w:rsidR="00021D96" w:rsidRDefault="00021D96" w:rsidP="00357CEC">
            <w:pPr>
              <w:pStyle w:val="Default"/>
              <w:rPr>
                <w:sz w:val="22"/>
                <w:szCs w:val="22"/>
              </w:rPr>
            </w:pPr>
          </w:p>
          <w:p w14:paraId="2AF4B2C0" w14:textId="77777777" w:rsidR="00021D96" w:rsidRDefault="00021D96" w:rsidP="00357CEC">
            <w:pPr>
              <w:pStyle w:val="Default"/>
              <w:rPr>
                <w:sz w:val="22"/>
                <w:szCs w:val="22"/>
              </w:rPr>
            </w:pPr>
          </w:p>
          <w:p w14:paraId="550A272D" w14:textId="77777777" w:rsidR="00021D96" w:rsidRDefault="00021D96" w:rsidP="00357CEC">
            <w:pPr>
              <w:pStyle w:val="Default"/>
              <w:rPr>
                <w:sz w:val="22"/>
                <w:szCs w:val="22"/>
              </w:rPr>
            </w:pPr>
          </w:p>
          <w:p w14:paraId="3671BB04" w14:textId="77777777" w:rsidR="00021D96" w:rsidRDefault="00021D96" w:rsidP="00357CEC">
            <w:pPr>
              <w:pStyle w:val="Default"/>
              <w:rPr>
                <w:sz w:val="22"/>
                <w:szCs w:val="22"/>
              </w:rPr>
            </w:pPr>
          </w:p>
          <w:p w14:paraId="27E96596" w14:textId="77777777" w:rsidR="00021D96" w:rsidRDefault="00021D96" w:rsidP="00357CEC">
            <w:pPr>
              <w:pStyle w:val="Default"/>
              <w:rPr>
                <w:sz w:val="22"/>
                <w:szCs w:val="22"/>
              </w:rPr>
            </w:pPr>
          </w:p>
          <w:p w14:paraId="30DA5D5F" w14:textId="77777777" w:rsidR="00021D96" w:rsidRDefault="00021D96" w:rsidP="00357CEC">
            <w:pPr>
              <w:pStyle w:val="Default"/>
              <w:rPr>
                <w:sz w:val="22"/>
                <w:szCs w:val="22"/>
              </w:rPr>
            </w:pPr>
          </w:p>
          <w:p w14:paraId="6A7FFD56" w14:textId="77777777" w:rsidR="00021D96" w:rsidRDefault="00021D96" w:rsidP="00357CEC">
            <w:pPr>
              <w:pStyle w:val="Default"/>
              <w:rPr>
                <w:sz w:val="22"/>
                <w:szCs w:val="22"/>
              </w:rPr>
            </w:pPr>
          </w:p>
          <w:p w14:paraId="27AF636B" w14:textId="77777777" w:rsidR="00021D96" w:rsidRDefault="00021D96" w:rsidP="00357CEC">
            <w:pPr>
              <w:pStyle w:val="Default"/>
              <w:rPr>
                <w:sz w:val="22"/>
                <w:szCs w:val="22"/>
              </w:rPr>
            </w:pPr>
          </w:p>
          <w:p w14:paraId="3F17F723" w14:textId="77777777" w:rsidR="00021D96" w:rsidRDefault="00021D96" w:rsidP="00357CEC">
            <w:pPr>
              <w:pStyle w:val="Default"/>
              <w:rPr>
                <w:sz w:val="22"/>
                <w:szCs w:val="22"/>
              </w:rPr>
            </w:pPr>
          </w:p>
          <w:p w14:paraId="22099BF0" w14:textId="77777777" w:rsidR="00021D96" w:rsidRDefault="00021D96" w:rsidP="00357CEC">
            <w:pPr>
              <w:pStyle w:val="Default"/>
              <w:rPr>
                <w:sz w:val="22"/>
                <w:szCs w:val="22"/>
              </w:rPr>
            </w:pPr>
          </w:p>
          <w:p w14:paraId="2AE741FC" w14:textId="77777777" w:rsidR="00021D96" w:rsidRDefault="00021D96" w:rsidP="00357CEC">
            <w:pPr>
              <w:pStyle w:val="Default"/>
              <w:rPr>
                <w:sz w:val="22"/>
                <w:szCs w:val="22"/>
              </w:rPr>
            </w:pPr>
          </w:p>
          <w:p w14:paraId="6534297C" w14:textId="77777777" w:rsidR="00021D96" w:rsidRDefault="00021D96" w:rsidP="00357CEC">
            <w:pPr>
              <w:pStyle w:val="Default"/>
              <w:rPr>
                <w:sz w:val="22"/>
                <w:szCs w:val="22"/>
              </w:rPr>
            </w:pPr>
          </w:p>
          <w:p w14:paraId="335FCC83" w14:textId="77777777" w:rsidR="00021D96" w:rsidRDefault="00021D96" w:rsidP="00357CEC">
            <w:pPr>
              <w:pStyle w:val="Default"/>
              <w:rPr>
                <w:sz w:val="22"/>
                <w:szCs w:val="22"/>
              </w:rPr>
            </w:pPr>
          </w:p>
          <w:p w14:paraId="09AF0347" w14:textId="77777777" w:rsidR="00021D96" w:rsidRDefault="00021D96" w:rsidP="00357CEC">
            <w:pPr>
              <w:pStyle w:val="Default"/>
              <w:rPr>
                <w:sz w:val="22"/>
                <w:szCs w:val="22"/>
              </w:rPr>
            </w:pPr>
          </w:p>
          <w:p w14:paraId="76C896FA" w14:textId="77777777" w:rsidR="00021D96" w:rsidRDefault="00021D96" w:rsidP="00357CEC">
            <w:pPr>
              <w:pStyle w:val="Default"/>
              <w:rPr>
                <w:sz w:val="22"/>
                <w:szCs w:val="22"/>
              </w:rPr>
            </w:pPr>
          </w:p>
          <w:p w14:paraId="3BA81730" w14:textId="77777777" w:rsidR="00021D96" w:rsidRDefault="00021D96" w:rsidP="00357CEC">
            <w:pPr>
              <w:pStyle w:val="Default"/>
              <w:rPr>
                <w:sz w:val="22"/>
                <w:szCs w:val="22"/>
              </w:rPr>
            </w:pPr>
          </w:p>
          <w:p w14:paraId="05B9CF2A" w14:textId="77777777" w:rsidR="00021D96" w:rsidRDefault="00021D96" w:rsidP="00357CEC">
            <w:pPr>
              <w:pStyle w:val="Default"/>
              <w:rPr>
                <w:sz w:val="22"/>
                <w:szCs w:val="22"/>
              </w:rPr>
            </w:pPr>
          </w:p>
          <w:p w14:paraId="612EE2D2" w14:textId="77777777" w:rsidR="00021D96" w:rsidRDefault="00021D96" w:rsidP="00357CEC">
            <w:pPr>
              <w:pStyle w:val="Default"/>
              <w:rPr>
                <w:sz w:val="22"/>
                <w:szCs w:val="22"/>
              </w:rPr>
            </w:pPr>
          </w:p>
          <w:p w14:paraId="1845D10D" w14:textId="77777777" w:rsidR="00021D96" w:rsidRDefault="00021D96" w:rsidP="00357CEC">
            <w:pPr>
              <w:pStyle w:val="Default"/>
              <w:rPr>
                <w:sz w:val="22"/>
                <w:szCs w:val="22"/>
              </w:rPr>
            </w:pPr>
          </w:p>
          <w:p w14:paraId="244B8729" w14:textId="77777777" w:rsidR="00021D96" w:rsidRDefault="00021D96" w:rsidP="00357CEC">
            <w:pPr>
              <w:pStyle w:val="Default"/>
              <w:rPr>
                <w:sz w:val="22"/>
                <w:szCs w:val="22"/>
              </w:rPr>
            </w:pPr>
          </w:p>
          <w:p w14:paraId="3979D3FC" w14:textId="77777777" w:rsidR="00021D96" w:rsidRDefault="00021D96" w:rsidP="00357CEC">
            <w:pPr>
              <w:pStyle w:val="Default"/>
              <w:rPr>
                <w:sz w:val="22"/>
                <w:szCs w:val="22"/>
              </w:rPr>
            </w:pPr>
          </w:p>
          <w:p w14:paraId="7C829AE2" w14:textId="77777777" w:rsidR="00021D96" w:rsidRDefault="00021D96" w:rsidP="00357CEC">
            <w:pPr>
              <w:pStyle w:val="Default"/>
              <w:rPr>
                <w:sz w:val="22"/>
                <w:szCs w:val="22"/>
              </w:rPr>
            </w:pPr>
          </w:p>
          <w:p w14:paraId="058C43DC" w14:textId="77777777" w:rsidR="00021D96" w:rsidRDefault="00021D96" w:rsidP="00357CEC">
            <w:pPr>
              <w:pStyle w:val="Default"/>
              <w:rPr>
                <w:sz w:val="22"/>
                <w:szCs w:val="22"/>
              </w:rPr>
            </w:pPr>
          </w:p>
          <w:p w14:paraId="29B51D52" w14:textId="77777777" w:rsidR="00021D96" w:rsidRDefault="00021D96" w:rsidP="00357CEC">
            <w:pPr>
              <w:pStyle w:val="Default"/>
              <w:rPr>
                <w:sz w:val="22"/>
                <w:szCs w:val="22"/>
              </w:rPr>
            </w:pPr>
          </w:p>
          <w:p w14:paraId="447A8C2A" w14:textId="77777777" w:rsidR="00021D96" w:rsidRDefault="00021D96" w:rsidP="00357CEC">
            <w:pPr>
              <w:pStyle w:val="Default"/>
              <w:rPr>
                <w:sz w:val="22"/>
                <w:szCs w:val="22"/>
              </w:rPr>
            </w:pPr>
          </w:p>
          <w:p w14:paraId="7992B3B3" w14:textId="77777777" w:rsidR="00021D96" w:rsidRDefault="00021D96" w:rsidP="00357CEC">
            <w:pPr>
              <w:pStyle w:val="Default"/>
              <w:rPr>
                <w:sz w:val="22"/>
                <w:szCs w:val="22"/>
              </w:rPr>
            </w:pPr>
          </w:p>
          <w:p w14:paraId="30CD5FD6" w14:textId="77777777" w:rsidR="00021D96" w:rsidRDefault="00021D96" w:rsidP="00357CEC">
            <w:pPr>
              <w:pStyle w:val="Default"/>
              <w:rPr>
                <w:sz w:val="22"/>
                <w:szCs w:val="22"/>
              </w:rPr>
            </w:pPr>
          </w:p>
          <w:p w14:paraId="76EFB957" w14:textId="77777777" w:rsidR="00021D96" w:rsidRDefault="00021D96" w:rsidP="00357CEC">
            <w:pPr>
              <w:pStyle w:val="Default"/>
              <w:rPr>
                <w:sz w:val="22"/>
                <w:szCs w:val="22"/>
              </w:rPr>
            </w:pPr>
          </w:p>
          <w:p w14:paraId="3576C05D" w14:textId="77777777" w:rsidR="00021D96" w:rsidRDefault="00021D96" w:rsidP="00357CEC">
            <w:pPr>
              <w:pStyle w:val="Default"/>
              <w:rPr>
                <w:sz w:val="22"/>
                <w:szCs w:val="22"/>
              </w:rPr>
            </w:pPr>
          </w:p>
          <w:p w14:paraId="530EB82B" w14:textId="77777777" w:rsidR="00021D96" w:rsidRDefault="00021D96" w:rsidP="00357CEC">
            <w:pPr>
              <w:pStyle w:val="Default"/>
              <w:rPr>
                <w:sz w:val="22"/>
                <w:szCs w:val="22"/>
              </w:rPr>
            </w:pPr>
          </w:p>
          <w:p w14:paraId="2B4D102B" w14:textId="77777777" w:rsidR="00021D96" w:rsidRDefault="00021D96" w:rsidP="00357CEC">
            <w:pPr>
              <w:pStyle w:val="Default"/>
              <w:rPr>
                <w:sz w:val="22"/>
                <w:szCs w:val="22"/>
              </w:rPr>
            </w:pPr>
          </w:p>
          <w:p w14:paraId="21D0D856" w14:textId="77777777" w:rsidR="00021D96" w:rsidRDefault="00021D96" w:rsidP="00357CEC">
            <w:pPr>
              <w:pStyle w:val="Default"/>
              <w:rPr>
                <w:sz w:val="22"/>
                <w:szCs w:val="22"/>
              </w:rPr>
            </w:pPr>
          </w:p>
          <w:p w14:paraId="25D8A71E" w14:textId="77777777" w:rsidR="00021D96" w:rsidRDefault="00021D96" w:rsidP="00357CEC">
            <w:pPr>
              <w:pStyle w:val="Default"/>
              <w:rPr>
                <w:sz w:val="22"/>
                <w:szCs w:val="22"/>
              </w:rPr>
            </w:pPr>
          </w:p>
          <w:p w14:paraId="4634439C" w14:textId="77777777" w:rsidR="00021D96" w:rsidRDefault="00021D96" w:rsidP="00357CEC">
            <w:pPr>
              <w:pStyle w:val="Default"/>
              <w:rPr>
                <w:sz w:val="22"/>
                <w:szCs w:val="22"/>
              </w:rPr>
            </w:pPr>
          </w:p>
          <w:p w14:paraId="089BE951" w14:textId="77777777" w:rsidR="00021D96" w:rsidRDefault="00021D96" w:rsidP="00357CEC">
            <w:pPr>
              <w:pStyle w:val="Default"/>
              <w:rPr>
                <w:sz w:val="22"/>
                <w:szCs w:val="22"/>
              </w:rPr>
            </w:pPr>
          </w:p>
          <w:p w14:paraId="5A537CF7" w14:textId="77777777" w:rsidR="00021D96" w:rsidRDefault="00021D96" w:rsidP="00357CEC">
            <w:pPr>
              <w:pStyle w:val="Default"/>
              <w:rPr>
                <w:sz w:val="22"/>
                <w:szCs w:val="22"/>
              </w:rPr>
            </w:pPr>
          </w:p>
          <w:p w14:paraId="757C93D4" w14:textId="77777777" w:rsidR="00021D96" w:rsidRDefault="00021D96" w:rsidP="00357CEC">
            <w:pPr>
              <w:pStyle w:val="Default"/>
              <w:rPr>
                <w:sz w:val="22"/>
                <w:szCs w:val="22"/>
              </w:rPr>
            </w:pPr>
          </w:p>
          <w:p w14:paraId="0294419D" w14:textId="77777777" w:rsidR="00021D96" w:rsidRDefault="00021D96" w:rsidP="00357CEC">
            <w:pPr>
              <w:pStyle w:val="Default"/>
              <w:rPr>
                <w:sz w:val="22"/>
                <w:szCs w:val="22"/>
              </w:rPr>
            </w:pPr>
          </w:p>
          <w:p w14:paraId="51A2AA41" w14:textId="77777777" w:rsidR="00021D96" w:rsidRDefault="00021D96" w:rsidP="00357CEC">
            <w:pPr>
              <w:pStyle w:val="Default"/>
              <w:rPr>
                <w:sz w:val="22"/>
                <w:szCs w:val="22"/>
              </w:rPr>
            </w:pPr>
          </w:p>
          <w:p w14:paraId="54719BBB" w14:textId="77777777" w:rsidR="00021D96" w:rsidRDefault="00021D96" w:rsidP="00357CEC">
            <w:pPr>
              <w:pStyle w:val="Default"/>
              <w:rPr>
                <w:sz w:val="22"/>
                <w:szCs w:val="22"/>
              </w:rPr>
            </w:pPr>
          </w:p>
          <w:p w14:paraId="5A5503E5" w14:textId="77777777" w:rsidR="00021D96" w:rsidRDefault="00021D96" w:rsidP="00357CEC">
            <w:pPr>
              <w:pStyle w:val="Default"/>
              <w:rPr>
                <w:sz w:val="22"/>
                <w:szCs w:val="22"/>
              </w:rPr>
            </w:pPr>
          </w:p>
          <w:p w14:paraId="6B8B5BEB" w14:textId="77777777" w:rsidR="00021D96" w:rsidRDefault="00021D96" w:rsidP="00357CEC">
            <w:pPr>
              <w:pStyle w:val="Default"/>
              <w:rPr>
                <w:sz w:val="22"/>
                <w:szCs w:val="22"/>
              </w:rPr>
            </w:pPr>
          </w:p>
          <w:p w14:paraId="56CFBC2C" w14:textId="77777777" w:rsidR="00021D96" w:rsidRDefault="00021D96" w:rsidP="00357CEC">
            <w:pPr>
              <w:pStyle w:val="Default"/>
              <w:rPr>
                <w:sz w:val="22"/>
                <w:szCs w:val="22"/>
              </w:rPr>
            </w:pPr>
          </w:p>
          <w:p w14:paraId="20226B3B" w14:textId="77777777" w:rsidR="00021D96" w:rsidRDefault="00021D96" w:rsidP="00357CEC">
            <w:pPr>
              <w:pStyle w:val="Default"/>
              <w:rPr>
                <w:sz w:val="22"/>
                <w:szCs w:val="22"/>
              </w:rPr>
            </w:pPr>
          </w:p>
          <w:p w14:paraId="1F21CEB2" w14:textId="77777777" w:rsidR="00021D96" w:rsidRDefault="00021D96" w:rsidP="00357CEC">
            <w:pPr>
              <w:pStyle w:val="Default"/>
              <w:rPr>
                <w:sz w:val="22"/>
                <w:szCs w:val="22"/>
              </w:rPr>
            </w:pPr>
          </w:p>
          <w:p w14:paraId="6C3D7259" w14:textId="77777777" w:rsidR="00021D96" w:rsidRDefault="00021D96" w:rsidP="00357CEC">
            <w:pPr>
              <w:pStyle w:val="Default"/>
              <w:rPr>
                <w:sz w:val="22"/>
                <w:szCs w:val="22"/>
              </w:rPr>
            </w:pPr>
          </w:p>
          <w:p w14:paraId="4080C050" w14:textId="77777777" w:rsidR="00021D96" w:rsidRDefault="00021D96" w:rsidP="00357CEC">
            <w:pPr>
              <w:pStyle w:val="Default"/>
              <w:rPr>
                <w:sz w:val="22"/>
                <w:szCs w:val="22"/>
              </w:rPr>
            </w:pPr>
          </w:p>
          <w:p w14:paraId="18177357" w14:textId="77777777" w:rsidR="00021D96" w:rsidRDefault="00021D96" w:rsidP="00357CEC">
            <w:pPr>
              <w:pStyle w:val="Default"/>
              <w:rPr>
                <w:sz w:val="22"/>
                <w:szCs w:val="22"/>
              </w:rPr>
            </w:pPr>
          </w:p>
          <w:p w14:paraId="4DD33F46" w14:textId="77777777" w:rsidR="00021D96" w:rsidRDefault="00021D96" w:rsidP="00357CEC">
            <w:pPr>
              <w:pStyle w:val="Default"/>
              <w:rPr>
                <w:sz w:val="22"/>
                <w:szCs w:val="22"/>
              </w:rPr>
            </w:pPr>
          </w:p>
          <w:p w14:paraId="7AD85ADD" w14:textId="77777777" w:rsidR="00021D96" w:rsidRDefault="00021D96" w:rsidP="00357CEC">
            <w:pPr>
              <w:pStyle w:val="Default"/>
              <w:rPr>
                <w:sz w:val="22"/>
                <w:szCs w:val="22"/>
              </w:rPr>
            </w:pPr>
          </w:p>
          <w:p w14:paraId="2831F6BF" w14:textId="77777777" w:rsidR="00021D96" w:rsidRDefault="00021D96" w:rsidP="00357CEC">
            <w:pPr>
              <w:pStyle w:val="Default"/>
              <w:rPr>
                <w:sz w:val="22"/>
                <w:szCs w:val="22"/>
              </w:rPr>
            </w:pPr>
          </w:p>
          <w:p w14:paraId="1B5F4FFB" w14:textId="77777777" w:rsidR="00021D96" w:rsidRDefault="00021D96" w:rsidP="00357CEC">
            <w:pPr>
              <w:pStyle w:val="Default"/>
              <w:rPr>
                <w:sz w:val="22"/>
                <w:szCs w:val="22"/>
              </w:rPr>
            </w:pPr>
          </w:p>
          <w:p w14:paraId="413B9325" w14:textId="77777777" w:rsidR="00021D96" w:rsidRDefault="00021D96" w:rsidP="00357CEC">
            <w:pPr>
              <w:pStyle w:val="Default"/>
              <w:rPr>
                <w:sz w:val="22"/>
                <w:szCs w:val="22"/>
              </w:rPr>
            </w:pPr>
          </w:p>
          <w:p w14:paraId="09A1F3E5" w14:textId="77777777" w:rsidR="00021D96" w:rsidRDefault="00021D96" w:rsidP="00357CEC">
            <w:pPr>
              <w:pStyle w:val="Default"/>
              <w:rPr>
                <w:sz w:val="22"/>
                <w:szCs w:val="22"/>
              </w:rPr>
            </w:pPr>
          </w:p>
          <w:p w14:paraId="65197D01" w14:textId="77777777" w:rsidR="00021D96" w:rsidRDefault="00021D96" w:rsidP="00357CEC">
            <w:pPr>
              <w:pStyle w:val="Default"/>
              <w:rPr>
                <w:sz w:val="22"/>
                <w:szCs w:val="22"/>
              </w:rPr>
            </w:pPr>
          </w:p>
          <w:p w14:paraId="55473CF6" w14:textId="77777777" w:rsidR="00021D96" w:rsidRDefault="00021D96" w:rsidP="00357CEC">
            <w:pPr>
              <w:pStyle w:val="Default"/>
              <w:rPr>
                <w:sz w:val="22"/>
                <w:szCs w:val="22"/>
              </w:rPr>
            </w:pPr>
          </w:p>
          <w:p w14:paraId="30E99300" w14:textId="77777777" w:rsidR="00021D96" w:rsidRDefault="00021D96" w:rsidP="00357CEC">
            <w:pPr>
              <w:pStyle w:val="Default"/>
              <w:rPr>
                <w:sz w:val="22"/>
                <w:szCs w:val="22"/>
              </w:rPr>
            </w:pPr>
          </w:p>
          <w:p w14:paraId="5AFC80AB" w14:textId="77777777" w:rsidR="00021D96" w:rsidRDefault="00021D96" w:rsidP="00357CEC">
            <w:pPr>
              <w:pStyle w:val="Default"/>
              <w:rPr>
                <w:sz w:val="22"/>
                <w:szCs w:val="22"/>
              </w:rPr>
            </w:pPr>
          </w:p>
          <w:p w14:paraId="08E503EA" w14:textId="77777777" w:rsidR="00021D96" w:rsidRDefault="00021D96" w:rsidP="00357CEC">
            <w:pPr>
              <w:pStyle w:val="Default"/>
              <w:rPr>
                <w:sz w:val="22"/>
                <w:szCs w:val="22"/>
              </w:rPr>
            </w:pPr>
          </w:p>
          <w:p w14:paraId="5DE89D9B" w14:textId="77777777" w:rsidR="00021D96" w:rsidRDefault="00021D96" w:rsidP="00357CEC">
            <w:pPr>
              <w:pStyle w:val="Default"/>
              <w:rPr>
                <w:sz w:val="22"/>
                <w:szCs w:val="22"/>
              </w:rPr>
            </w:pPr>
          </w:p>
          <w:p w14:paraId="6FCE48A7" w14:textId="77777777" w:rsidR="00021D96" w:rsidRDefault="00021D96" w:rsidP="00357CEC">
            <w:pPr>
              <w:pStyle w:val="Default"/>
              <w:rPr>
                <w:sz w:val="22"/>
                <w:szCs w:val="22"/>
              </w:rPr>
            </w:pPr>
          </w:p>
          <w:p w14:paraId="649745A8" w14:textId="77777777" w:rsidR="00021D96" w:rsidRDefault="00021D96" w:rsidP="00357CEC">
            <w:pPr>
              <w:pStyle w:val="Default"/>
              <w:rPr>
                <w:sz w:val="22"/>
                <w:szCs w:val="22"/>
              </w:rPr>
            </w:pPr>
          </w:p>
          <w:p w14:paraId="43DD120D" w14:textId="77777777" w:rsidR="00021D96" w:rsidRDefault="00021D96" w:rsidP="00357CEC">
            <w:pPr>
              <w:pStyle w:val="Default"/>
              <w:rPr>
                <w:sz w:val="22"/>
                <w:szCs w:val="22"/>
              </w:rPr>
            </w:pPr>
          </w:p>
          <w:p w14:paraId="0849E8FD" w14:textId="77777777" w:rsidR="0082715B" w:rsidRDefault="0082715B" w:rsidP="00357CEC">
            <w:pPr>
              <w:pStyle w:val="Default"/>
              <w:rPr>
                <w:sz w:val="22"/>
                <w:szCs w:val="22"/>
              </w:rPr>
            </w:pPr>
          </w:p>
          <w:p w14:paraId="6D26607E" w14:textId="77777777" w:rsidR="004D7FA3" w:rsidRDefault="004D7FA3" w:rsidP="00357CEC">
            <w:pPr>
              <w:pStyle w:val="Default"/>
              <w:rPr>
                <w:sz w:val="22"/>
                <w:szCs w:val="22"/>
              </w:rPr>
            </w:pPr>
          </w:p>
          <w:p w14:paraId="60BB4068" w14:textId="6F6D3268" w:rsidR="004E1026" w:rsidRPr="001300A9" w:rsidRDefault="004E1026" w:rsidP="00357CEC">
            <w:pPr>
              <w:pStyle w:val="Default"/>
              <w:rPr>
                <w:sz w:val="22"/>
                <w:szCs w:val="22"/>
              </w:rPr>
            </w:pPr>
          </w:p>
        </w:tc>
        <w:tc>
          <w:tcPr>
            <w:tcW w:w="567" w:type="dxa"/>
          </w:tcPr>
          <w:p w14:paraId="514158E9" w14:textId="77777777" w:rsidR="00190F49" w:rsidRDefault="00190F49" w:rsidP="00190F49">
            <w:pPr>
              <w:spacing w:after="0" w:line="240" w:lineRule="auto"/>
              <w:rPr>
                <w:rFonts w:ascii="Times New Roman" w:hAnsi="Times New Roman" w:cs="Times New Roman"/>
              </w:rPr>
            </w:pPr>
          </w:p>
          <w:p w14:paraId="4408BC08" w14:textId="77777777" w:rsidR="00190F49" w:rsidRDefault="00190F49" w:rsidP="00190F49">
            <w:pPr>
              <w:spacing w:after="0" w:line="240" w:lineRule="auto"/>
              <w:rPr>
                <w:rFonts w:ascii="Times New Roman" w:hAnsi="Times New Roman" w:cs="Times New Roman"/>
              </w:rPr>
            </w:pPr>
          </w:p>
          <w:p w14:paraId="251B3B6D" w14:textId="77777777" w:rsidR="00190F49" w:rsidRDefault="00190F49" w:rsidP="00190F49">
            <w:pPr>
              <w:spacing w:after="0" w:line="240" w:lineRule="auto"/>
              <w:rPr>
                <w:rFonts w:ascii="Times New Roman" w:hAnsi="Times New Roman" w:cs="Times New Roman"/>
              </w:rPr>
            </w:pPr>
          </w:p>
          <w:p w14:paraId="0746B28B" w14:textId="77777777" w:rsidR="00190F49" w:rsidRDefault="00190F49" w:rsidP="00190F49">
            <w:pPr>
              <w:spacing w:after="0" w:line="240" w:lineRule="auto"/>
              <w:rPr>
                <w:rFonts w:ascii="Times New Roman" w:hAnsi="Times New Roman" w:cs="Times New Roman"/>
              </w:rPr>
            </w:pPr>
          </w:p>
          <w:p w14:paraId="246D451E" w14:textId="77777777" w:rsidR="00190F49" w:rsidRDefault="00190F49" w:rsidP="00190F49">
            <w:pPr>
              <w:spacing w:after="0" w:line="240" w:lineRule="auto"/>
              <w:rPr>
                <w:rFonts w:ascii="Times New Roman" w:hAnsi="Times New Roman" w:cs="Times New Roman"/>
              </w:rPr>
            </w:pPr>
          </w:p>
          <w:p w14:paraId="3FF27AFE" w14:textId="77777777" w:rsidR="00190F49" w:rsidRDefault="00190F49" w:rsidP="00190F49">
            <w:pPr>
              <w:spacing w:after="0" w:line="240" w:lineRule="auto"/>
              <w:rPr>
                <w:rFonts w:ascii="Times New Roman" w:hAnsi="Times New Roman" w:cs="Times New Roman"/>
              </w:rPr>
            </w:pPr>
          </w:p>
          <w:p w14:paraId="4C1EA66E" w14:textId="77777777" w:rsidR="00190F49" w:rsidRDefault="00190F49" w:rsidP="00190F49">
            <w:pPr>
              <w:spacing w:after="0" w:line="240" w:lineRule="auto"/>
              <w:rPr>
                <w:rFonts w:ascii="Times New Roman" w:hAnsi="Times New Roman" w:cs="Times New Roman"/>
              </w:rPr>
            </w:pPr>
          </w:p>
          <w:p w14:paraId="0D6348E8" w14:textId="77777777" w:rsidR="00190F49" w:rsidRDefault="00190F49" w:rsidP="00190F49">
            <w:pPr>
              <w:spacing w:after="0" w:line="240" w:lineRule="auto"/>
              <w:rPr>
                <w:rFonts w:ascii="Times New Roman" w:hAnsi="Times New Roman" w:cs="Times New Roman"/>
              </w:rPr>
            </w:pPr>
          </w:p>
          <w:p w14:paraId="10ABCA71" w14:textId="77777777" w:rsidR="00190F49" w:rsidRDefault="00190F49" w:rsidP="00190F49">
            <w:pPr>
              <w:spacing w:after="0" w:line="240" w:lineRule="auto"/>
              <w:rPr>
                <w:rFonts w:ascii="Times New Roman" w:hAnsi="Times New Roman" w:cs="Times New Roman"/>
              </w:rPr>
            </w:pPr>
          </w:p>
          <w:p w14:paraId="7CC37766" w14:textId="77777777" w:rsidR="00190F49" w:rsidRDefault="00190F49" w:rsidP="00190F49">
            <w:pPr>
              <w:spacing w:after="0" w:line="240" w:lineRule="auto"/>
              <w:rPr>
                <w:rFonts w:ascii="Times New Roman" w:hAnsi="Times New Roman" w:cs="Times New Roman"/>
              </w:rPr>
            </w:pPr>
          </w:p>
          <w:p w14:paraId="35FC58E9" w14:textId="77777777" w:rsidR="00190F49" w:rsidRDefault="00190F49" w:rsidP="00190F49">
            <w:pPr>
              <w:spacing w:after="0" w:line="240" w:lineRule="auto"/>
              <w:rPr>
                <w:rFonts w:ascii="Times New Roman" w:hAnsi="Times New Roman" w:cs="Times New Roman"/>
              </w:rPr>
            </w:pPr>
          </w:p>
          <w:p w14:paraId="6BDB6502" w14:textId="77777777" w:rsidR="00190F49" w:rsidRDefault="00190F49" w:rsidP="00190F49">
            <w:pPr>
              <w:spacing w:after="0" w:line="240" w:lineRule="auto"/>
              <w:rPr>
                <w:rFonts w:ascii="Times New Roman" w:hAnsi="Times New Roman" w:cs="Times New Roman"/>
              </w:rPr>
            </w:pPr>
          </w:p>
          <w:p w14:paraId="69D5FF97" w14:textId="77777777" w:rsidR="00190F49" w:rsidRDefault="00190F49" w:rsidP="00190F49">
            <w:pPr>
              <w:spacing w:after="0" w:line="240" w:lineRule="auto"/>
              <w:rPr>
                <w:rFonts w:ascii="Times New Roman" w:hAnsi="Times New Roman" w:cs="Times New Roman"/>
              </w:rPr>
            </w:pPr>
          </w:p>
          <w:p w14:paraId="12EAA1C7" w14:textId="77777777" w:rsidR="00190F49" w:rsidRDefault="00190F49" w:rsidP="00190F49">
            <w:pPr>
              <w:spacing w:after="0" w:line="240" w:lineRule="auto"/>
              <w:rPr>
                <w:rFonts w:ascii="Times New Roman" w:hAnsi="Times New Roman" w:cs="Times New Roman"/>
              </w:rPr>
            </w:pPr>
          </w:p>
          <w:p w14:paraId="7D8F58CB" w14:textId="77777777" w:rsidR="00190F49" w:rsidRDefault="00190F49" w:rsidP="00190F49">
            <w:pPr>
              <w:spacing w:after="0" w:line="240" w:lineRule="auto"/>
              <w:rPr>
                <w:rFonts w:ascii="Times New Roman" w:hAnsi="Times New Roman" w:cs="Times New Roman"/>
              </w:rPr>
            </w:pPr>
          </w:p>
          <w:p w14:paraId="016F7CDF" w14:textId="77777777" w:rsidR="0082715B" w:rsidRDefault="00287825" w:rsidP="00190F49">
            <w:pPr>
              <w:spacing w:after="0" w:line="240" w:lineRule="auto"/>
              <w:rPr>
                <w:rFonts w:ascii="Times New Roman" w:hAnsi="Times New Roman" w:cs="Times New Roman"/>
              </w:rPr>
            </w:pPr>
            <w:r w:rsidRPr="00190F49">
              <w:rPr>
                <w:rFonts w:ascii="Times New Roman" w:hAnsi="Times New Roman" w:cs="Times New Roman"/>
              </w:rPr>
              <w:t>Č</w:t>
            </w:r>
            <w:r w:rsidRPr="00223C49">
              <w:rPr>
                <w:rFonts w:ascii="Times New Roman" w:hAnsi="Times New Roman" w:cs="Times New Roman"/>
              </w:rPr>
              <w:t>:I</w:t>
            </w:r>
            <w:r w:rsidR="00EA0486" w:rsidRPr="00223C49">
              <w:rPr>
                <w:rFonts w:ascii="Times New Roman" w:hAnsi="Times New Roman" w:cs="Times New Roman"/>
              </w:rPr>
              <w:t>§</w:t>
            </w:r>
            <w:r w:rsidRPr="00223C49">
              <w:rPr>
                <w:rFonts w:ascii="Times New Roman" w:hAnsi="Times New Roman" w:cs="Times New Roman"/>
              </w:rPr>
              <w:t>:38c O:</w:t>
            </w:r>
            <w:r w:rsidR="00190F49" w:rsidRPr="00223C49">
              <w:rPr>
                <w:rFonts w:ascii="Times New Roman" w:hAnsi="Times New Roman" w:cs="Times New Roman"/>
              </w:rPr>
              <w:t>1</w:t>
            </w:r>
          </w:p>
          <w:p w14:paraId="433B53AF" w14:textId="77777777" w:rsidR="0082715B" w:rsidRDefault="0082715B" w:rsidP="00190F49">
            <w:pPr>
              <w:spacing w:after="0" w:line="240" w:lineRule="auto"/>
              <w:rPr>
                <w:rFonts w:ascii="Times New Roman" w:hAnsi="Times New Roman" w:cs="Times New Roman"/>
              </w:rPr>
            </w:pPr>
          </w:p>
          <w:p w14:paraId="46314AC5" w14:textId="77777777" w:rsidR="0082715B" w:rsidRDefault="0082715B" w:rsidP="00190F49">
            <w:pPr>
              <w:spacing w:after="0" w:line="240" w:lineRule="auto"/>
              <w:rPr>
                <w:rFonts w:ascii="Times New Roman" w:hAnsi="Times New Roman" w:cs="Times New Roman"/>
              </w:rPr>
            </w:pPr>
          </w:p>
          <w:p w14:paraId="131085B2" w14:textId="63FDDD11" w:rsidR="0082715B" w:rsidRDefault="0082715B" w:rsidP="5F673433">
            <w:pPr>
              <w:spacing w:after="0" w:line="240" w:lineRule="auto"/>
              <w:rPr>
                <w:rFonts w:ascii="Times New Roman" w:hAnsi="Times New Roman" w:cs="Times New Roman"/>
              </w:rPr>
            </w:pPr>
          </w:p>
          <w:p w14:paraId="5FEBCC83" w14:textId="6C4E4DEE" w:rsidR="00287825" w:rsidRPr="00190F49" w:rsidRDefault="00287825" w:rsidP="00190F49">
            <w:pPr>
              <w:spacing w:after="0" w:line="240" w:lineRule="auto"/>
              <w:rPr>
                <w:rFonts w:ascii="Times New Roman" w:hAnsi="Times New Roman" w:cs="Times New Roman"/>
              </w:rPr>
            </w:pPr>
            <w:r w:rsidRPr="00190F49">
              <w:rPr>
                <w:rFonts w:ascii="Times New Roman" w:hAnsi="Times New Roman" w:cs="Times New Roman"/>
              </w:rPr>
              <w:t>Č</w:t>
            </w:r>
            <w:r w:rsidRPr="00891428">
              <w:rPr>
                <w:rFonts w:ascii="Times New Roman" w:hAnsi="Times New Roman" w:cs="Times New Roman"/>
              </w:rPr>
              <w:t>:I§:6 O:2</w:t>
            </w:r>
          </w:p>
          <w:p w14:paraId="2322B866" w14:textId="77777777" w:rsidR="00287825" w:rsidRPr="00190F49" w:rsidRDefault="00287825" w:rsidP="00190F49">
            <w:pPr>
              <w:spacing w:after="0" w:line="240" w:lineRule="auto"/>
              <w:rPr>
                <w:rFonts w:ascii="Times New Roman" w:hAnsi="Times New Roman" w:cs="Times New Roman"/>
              </w:rPr>
            </w:pPr>
          </w:p>
          <w:p w14:paraId="368CFAF5" w14:textId="77777777" w:rsidR="0082715B" w:rsidRDefault="0082715B" w:rsidP="00190F49">
            <w:pPr>
              <w:spacing w:after="0" w:line="240" w:lineRule="auto"/>
              <w:rPr>
                <w:rFonts w:ascii="Times New Roman" w:hAnsi="Times New Roman" w:cs="Times New Roman"/>
              </w:rPr>
            </w:pPr>
          </w:p>
          <w:p w14:paraId="4504DED5" w14:textId="77777777" w:rsidR="0082715B" w:rsidRDefault="0082715B" w:rsidP="00190F49">
            <w:pPr>
              <w:spacing w:after="0" w:line="240" w:lineRule="auto"/>
              <w:rPr>
                <w:rFonts w:ascii="Times New Roman" w:hAnsi="Times New Roman" w:cs="Times New Roman"/>
              </w:rPr>
            </w:pPr>
          </w:p>
          <w:p w14:paraId="0B51C961" w14:textId="77777777" w:rsidR="0082715B" w:rsidRDefault="0082715B" w:rsidP="00190F49">
            <w:pPr>
              <w:spacing w:after="0" w:line="240" w:lineRule="auto"/>
              <w:rPr>
                <w:rFonts w:ascii="Times New Roman" w:hAnsi="Times New Roman" w:cs="Times New Roman"/>
              </w:rPr>
            </w:pPr>
          </w:p>
          <w:p w14:paraId="3C6845F2" w14:textId="77777777" w:rsidR="0082715B" w:rsidRDefault="0082715B" w:rsidP="00190F49">
            <w:pPr>
              <w:spacing w:after="0" w:line="240" w:lineRule="auto"/>
              <w:rPr>
                <w:rFonts w:ascii="Times New Roman" w:hAnsi="Times New Roman" w:cs="Times New Roman"/>
              </w:rPr>
            </w:pPr>
          </w:p>
          <w:p w14:paraId="2680DD6E" w14:textId="77777777" w:rsidR="0082715B" w:rsidRDefault="0082715B" w:rsidP="00190F49">
            <w:pPr>
              <w:spacing w:after="0" w:line="240" w:lineRule="auto"/>
              <w:rPr>
                <w:rFonts w:ascii="Times New Roman" w:hAnsi="Times New Roman" w:cs="Times New Roman"/>
              </w:rPr>
            </w:pPr>
          </w:p>
          <w:p w14:paraId="0E5B0C15" w14:textId="77777777" w:rsidR="0082715B" w:rsidRDefault="0082715B" w:rsidP="00190F49">
            <w:pPr>
              <w:spacing w:after="0" w:line="240" w:lineRule="auto"/>
              <w:rPr>
                <w:rFonts w:ascii="Times New Roman" w:hAnsi="Times New Roman" w:cs="Times New Roman"/>
              </w:rPr>
            </w:pPr>
          </w:p>
          <w:p w14:paraId="3C7AD1CF" w14:textId="77777777" w:rsidR="0082715B" w:rsidRDefault="0082715B" w:rsidP="00190F49">
            <w:pPr>
              <w:spacing w:after="0" w:line="240" w:lineRule="auto"/>
              <w:rPr>
                <w:rFonts w:ascii="Times New Roman" w:hAnsi="Times New Roman" w:cs="Times New Roman"/>
              </w:rPr>
            </w:pPr>
          </w:p>
          <w:p w14:paraId="11BA1100" w14:textId="77777777" w:rsidR="0082715B" w:rsidRDefault="0082715B" w:rsidP="00190F49">
            <w:pPr>
              <w:spacing w:after="0" w:line="240" w:lineRule="auto"/>
              <w:rPr>
                <w:rFonts w:ascii="Times New Roman" w:hAnsi="Times New Roman" w:cs="Times New Roman"/>
              </w:rPr>
            </w:pPr>
          </w:p>
          <w:p w14:paraId="4D9B8FD5" w14:textId="77777777" w:rsidR="0082715B" w:rsidRDefault="0082715B" w:rsidP="00190F49">
            <w:pPr>
              <w:spacing w:after="0" w:line="240" w:lineRule="auto"/>
              <w:rPr>
                <w:rFonts w:ascii="Times New Roman" w:hAnsi="Times New Roman" w:cs="Times New Roman"/>
              </w:rPr>
            </w:pPr>
          </w:p>
          <w:p w14:paraId="181F1016" w14:textId="77777777" w:rsidR="0082715B" w:rsidRDefault="0082715B" w:rsidP="00190F49">
            <w:pPr>
              <w:spacing w:after="0" w:line="240" w:lineRule="auto"/>
              <w:rPr>
                <w:rFonts w:ascii="Times New Roman" w:hAnsi="Times New Roman" w:cs="Times New Roman"/>
              </w:rPr>
            </w:pPr>
          </w:p>
          <w:p w14:paraId="230C9174" w14:textId="77777777" w:rsidR="0082715B" w:rsidRDefault="0082715B" w:rsidP="00190F49">
            <w:pPr>
              <w:spacing w:after="0" w:line="240" w:lineRule="auto"/>
              <w:rPr>
                <w:rFonts w:ascii="Times New Roman" w:hAnsi="Times New Roman" w:cs="Times New Roman"/>
              </w:rPr>
            </w:pPr>
          </w:p>
          <w:p w14:paraId="67B07258" w14:textId="77777777" w:rsidR="0082715B" w:rsidRDefault="0082715B" w:rsidP="00190F49">
            <w:pPr>
              <w:spacing w:after="0" w:line="240" w:lineRule="auto"/>
              <w:rPr>
                <w:rFonts w:ascii="Times New Roman" w:hAnsi="Times New Roman" w:cs="Times New Roman"/>
              </w:rPr>
            </w:pPr>
          </w:p>
          <w:p w14:paraId="0EFAC33C" w14:textId="77777777" w:rsidR="0082715B" w:rsidRDefault="0082715B" w:rsidP="00190F49">
            <w:pPr>
              <w:spacing w:after="0" w:line="240" w:lineRule="auto"/>
              <w:rPr>
                <w:rFonts w:ascii="Times New Roman" w:hAnsi="Times New Roman" w:cs="Times New Roman"/>
              </w:rPr>
            </w:pPr>
          </w:p>
          <w:p w14:paraId="0B49C06B" w14:textId="77777777" w:rsidR="0082715B" w:rsidRDefault="0082715B" w:rsidP="00190F49">
            <w:pPr>
              <w:spacing w:after="0" w:line="240" w:lineRule="auto"/>
              <w:rPr>
                <w:rFonts w:ascii="Times New Roman" w:hAnsi="Times New Roman" w:cs="Times New Roman"/>
              </w:rPr>
            </w:pPr>
          </w:p>
          <w:p w14:paraId="4682065E" w14:textId="77777777" w:rsidR="0082715B" w:rsidRDefault="0082715B" w:rsidP="00190F49">
            <w:pPr>
              <w:spacing w:after="0" w:line="240" w:lineRule="auto"/>
              <w:rPr>
                <w:rFonts w:ascii="Times New Roman" w:hAnsi="Times New Roman" w:cs="Times New Roman"/>
              </w:rPr>
            </w:pPr>
          </w:p>
          <w:p w14:paraId="495EB48C" w14:textId="77777777" w:rsidR="0082715B" w:rsidRDefault="0082715B" w:rsidP="00190F49">
            <w:pPr>
              <w:spacing w:after="0" w:line="240" w:lineRule="auto"/>
              <w:rPr>
                <w:rFonts w:ascii="Times New Roman" w:hAnsi="Times New Roman" w:cs="Times New Roman"/>
              </w:rPr>
            </w:pPr>
          </w:p>
          <w:p w14:paraId="4C4052AF" w14:textId="77777777" w:rsidR="0082715B" w:rsidRDefault="0082715B" w:rsidP="00190F49">
            <w:pPr>
              <w:spacing w:after="0" w:line="240" w:lineRule="auto"/>
              <w:rPr>
                <w:rFonts w:ascii="Times New Roman" w:hAnsi="Times New Roman" w:cs="Times New Roman"/>
              </w:rPr>
            </w:pPr>
          </w:p>
          <w:p w14:paraId="4F9AECA0" w14:textId="77777777" w:rsidR="0082715B" w:rsidRDefault="0082715B" w:rsidP="00190F49">
            <w:pPr>
              <w:spacing w:after="0" w:line="240" w:lineRule="auto"/>
              <w:rPr>
                <w:rFonts w:ascii="Times New Roman" w:hAnsi="Times New Roman" w:cs="Times New Roman"/>
              </w:rPr>
            </w:pPr>
          </w:p>
          <w:p w14:paraId="50E03C29" w14:textId="1B7E3EB2" w:rsidR="0082715B" w:rsidRDefault="0082715B" w:rsidP="00190F49">
            <w:pPr>
              <w:spacing w:after="0" w:line="240" w:lineRule="auto"/>
              <w:rPr>
                <w:rFonts w:ascii="Times New Roman" w:hAnsi="Times New Roman" w:cs="Times New Roman"/>
              </w:rPr>
            </w:pPr>
          </w:p>
          <w:p w14:paraId="35AC255B" w14:textId="0FE1AE8C" w:rsidR="009D0AA1" w:rsidRDefault="009D0AA1" w:rsidP="5F673433">
            <w:pPr>
              <w:spacing w:after="0" w:line="240" w:lineRule="auto"/>
              <w:rPr>
                <w:rFonts w:ascii="Times New Roman" w:hAnsi="Times New Roman" w:cs="Times New Roman"/>
              </w:rPr>
            </w:pPr>
          </w:p>
          <w:p w14:paraId="291D5598" w14:textId="5F5AB3AF" w:rsidR="004E1026" w:rsidRPr="00891428" w:rsidRDefault="00287825" w:rsidP="00190F49">
            <w:pPr>
              <w:spacing w:after="0" w:line="240" w:lineRule="auto"/>
              <w:rPr>
                <w:rFonts w:ascii="Times New Roman" w:hAnsi="Times New Roman" w:cs="Times New Roman"/>
              </w:rPr>
            </w:pPr>
            <w:r w:rsidRPr="00891428">
              <w:rPr>
                <w:rFonts w:ascii="Times New Roman" w:hAnsi="Times New Roman" w:cs="Times New Roman"/>
              </w:rPr>
              <w:t>Č:I§:</w:t>
            </w:r>
            <w:r w:rsidR="00E62D95" w:rsidRPr="00891428">
              <w:rPr>
                <w:rFonts w:ascii="Times New Roman" w:hAnsi="Times New Roman" w:cs="Times New Roman"/>
              </w:rPr>
              <w:t>6a</w:t>
            </w:r>
          </w:p>
          <w:p w14:paraId="3B993035" w14:textId="71D23A8E" w:rsidR="00E62D95" w:rsidRPr="00190F49" w:rsidRDefault="00287825" w:rsidP="00190F49">
            <w:pPr>
              <w:spacing w:after="0" w:line="240" w:lineRule="auto"/>
              <w:rPr>
                <w:rFonts w:ascii="Times New Roman" w:hAnsi="Times New Roman" w:cs="Times New Roman"/>
              </w:rPr>
            </w:pPr>
            <w:r w:rsidRPr="00891428">
              <w:rPr>
                <w:rFonts w:ascii="Times New Roman" w:hAnsi="Times New Roman" w:cs="Times New Roman"/>
              </w:rPr>
              <w:t>O:</w:t>
            </w:r>
            <w:r w:rsidR="00E62D95" w:rsidRPr="00891428">
              <w:rPr>
                <w:rFonts w:ascii="Times New Roman" w:hAnsi="Times New Roman" w:cs="Times New Roman"/>
              </w:rPr>
              <w:t>1</w:t>
            </w:r>
          </w:p>
          <w:p w14:paraId="2D3E2E2C" w14:textId="77777777" w:rsidR="00190F49" w:rsidRDefault="00190F49" w:rsidP="00190F49">
            <w:pPr>
              <w:spacing w:after="0" w:line="240" w:lineRule="auto"/>
              <w:rPr>
                <w:rFonts w:ascii="Times New Roman" w:hAnsi="Times New Roman" w:cs="Times New Roman"/>
              </w:rPr>
            </w:pPr>
          </w:p>
          <w:p w14:paraId="103B6453" w14:textId="77777777" w:rsidR="00190F49" w:rsidRDefault="00190F49" w:rsidP="00190F49">
            <w:pPr>
              <w:spacing w:after="0" w:line="240" w:lineRule="auto"/>
              <w:rPr>
                <w:rFonts w:ascii="Times New Roman" w:hAnsi="Times New Roman" w:cs="Times New Roman"/>
              </w:rPr>
            </w:pPr>
          </w:p>
          <w:p w14:paraId="622A8A71" w14:textId="77777777" w:rsidR="00190F49" w:rsidRDefault="00190F49" w:rsidP="00190F49">
            <w:pPr>
              <w:spacing w:after="0" w:line="240" w:lineRule="auto"/>
              <w:rPr>
                <w:rFonts w:ascii="Times New Roman" w:hAnsi="Times New Roman" w:cs="Times New Roman"/>
              </w:rPr>
            </w:pPr>
          </w:p>
          <w:p w14:paraId="562EEE00" w14:textId="77777777" w:rsidR="00190F49" w:rsidRDefault="00190F49" w:rsidP="00190F49">
            <w:pPr>
              <w:spacing w:after="0" w:line="240" w:lineRule="auto"/>
              <w:rPr>
                <w:rFonts w:ascii="Times New Roman" w:hAnsi="Times New Roman" w:cs="Times New Roman"/>
              </w:rPr>
            </w:pPr>
          </w:p>
          <w:p w14:paraId="55A86608" w14:textId="484E80E3" w:rsidR="004E1026" w:rsidRPr="00891428" w:rsidRDefault="00287825" w:rsidP="00190F49">
            <w:pPr>
              <w:spacing w:after="0" w:line="240" w:lineRule="auto"/>
              <w:rPr>
                <w:rFonts w:ascii="Times New Roman" w:hAnsi="Times New Roman" w:cs="Times New Roman"/>
              </w:rPr>
            </w:pPr>
            <w:r w:rsidRPr="00891428">
              <w:rPr>
                <w:rFonts w:ascii="Times New Roman" w:hAnsi="Times New Roman" w:cs="Times New Roman"/>
              </w:rPr>
              <w:t>Č:I</w:t>
            </w:r>
            <w:r w:rsidR="004E1026" w:rsidRPr="00891428">
              <w:rPr>
                <w:rFonts w:ascii="Times New Roman" w:hAnsi="Times New Roman" w:cs="Times New Roman"/>
              </w:rPr>
              <w:t>§:6a</w:t>
            </w:r>
          </w:p>
          <w:p w14:paraId="11E7CCD1" w14:textId="66834985" w:rsidR="00FD3A36" w:rsidRPr="00190F49" w:rsidRDefault="00287825" w:rsidP="00190F49">
            <w:pPr>
              <w:spacing w:after="0" w:line="240" w:lineRule="auto"/>
              <w:rPr>
                <w:rFonts w:ascii="Times New Roman" w:hAnsi="Times New Roman" w:cs="Times New Roman"/>
              </w:rPr>
            </w:pPr>
            <w:r w:rsidRPr="00891428">
              <w:rPr>
                <w:rFonts w:ascii="Times New Roman" w:hAnsi="Times New Roman" w:cs="Times New Roman"/>
              </w:rPr>
              <w:t>O:</w:t>
            </w:r>
            <w:r w:rsidR="00FD3A36" w:rsidRPr="00891428">
              <w:rPr>
                <w:rFonts w:ascii="Times New Roman" w:hAnsi="Times New Roman" w:cs="Times New Roman"/>
              </w:rPr>
              <w:t>2</w:t>
            </w:r>
          </w:p>
          <w:p w14:paraId="74DC4DC7" w14:textId="77777777" w:rsidR="002B60A4" w:rsidRPr="00190F49" w:rsidRDefault="002B60A4" w:rsidP="00190F49">
            <w:pPr>
              <w:spacing w:after="0" w:line="240" w:lineRule="auto"/>
              <w:rPr>
                <w:rFonts w:ascii="Times New Roman" w:hAnsi="Times New Roman" w:cs="Times New Roman"/>
              </w:rPr>
            </w:pPr>
          </w:p>
          <w:p w14:paraId="2D275ED5" w14:textId="77777777" w:rsidR="002B60A4" w:rsidRPr="00190F49" w:rsidRDefault="002B60A4" w:rsidP="00190F49">
            <w:pPr>
              <w:spacing w:after="0" w:line="240" w:lineRule="auto"/>
              <w:rPr>
                <w:rFonts w:ascii="Times New Roman" w:hAnsi="Times New Roman" w:cs="Times New Roman"/>
              </w:rPr>
            </w:pPr>
          </w:p>
          <w:p w14:paraId="46896DA5" w14:textId="77777777" w:rsidR="002B60A4" w:rsidRPr="00190F49" w:rsidRDefault="002B60A4" w:rsidP="00190F49">
            <w:pPr>
              <w:spacing w:after="0" w:line="240" w:lineRule="auto"/>
              <w:rPr>
                <w:rFonts w:ascii="Times New Roman" w:hAnsi="Times New Roman" w:cs="Times New Roman"/>
              </w:rPr>
            </w:pPr>
          </w:p>
          <w:p w14:paraId="04B0BD85" w14:textId="7DB1C3AE" w:rsidR="002B60A4" w:rsidRPr="00190F49" w:rsidRDefault="002B60A4" w:rsidP="00190F49">
            <w:pPr>
              <w:spacing w:after="0" w:line="240" w:lineRule="auto"/>
              <w:rPr>
                <w:rFonts w:ascii="Times New Roman" w:hAnsi="Times New Roman" w:cs="Times New Roman"/>
              </w:rPr>
            </w:pPr>
          </w:p>
          <w:p w14:paraId="3A16406A" w14:textId="77777777" w:rsidR="0082715B" w:rsidRDefault="0082715B" w:rsidP="00190F49">
            <w:pPr>
              <w:spacing w:after="0" w:line="240" w:lineRule="auto"/>
              <w:rPr>
                <w:rFonts w:ascii="Times New Roman" w:hAnsi="Times New Roman" w:cs="Times New Roman"/>
              </w:rPr>
            </w:pPr>
          </w:p>
          <w:p w14:paraId="7F5908F3" w14:textId="77777777" w:rsidR="0082715B" w:rsidRDefault="0082715B" w:rsidP="00190F49">
            <w:pPr>
              <w:spacing w:after="0" w:line="240" w:lineRule="auto"/>
              <w:rPr>
                <w:rFonts w:ascii="Times New Roman" w:hAnsi="Times New Roman" w:cs="Times New Roman"/>
              </w:rPr>
            </w:pPr>
          </w:p>
          <w:p w14:paraId="03DD077F" w14:textId="77777777" w:rsidR="0082715B" w:rsidRDefault="0082715B" w:rsidP="00190F49">
            <w:pPr>
              <w:spacing w:after="0" w:line="240" w:lineRule="auto"/>
              <w:rPr>
                <w:rFonts w:ascii="Times New Roman" w:hAnsi="Times New Roman" w:cs="Times New Roman"/>
              </w:rPr>
            </w:pPr>
          </w:p>
          <w:p w14:paraId="1CAC94FE" w14:textId="77777777" w:rsidR="0082715B" w:rsidRDefault="0082715B" w:rsidP="00190F49">
            <w:pPr>
              <w:spacing w:after="0" w:line="240" w:lineRule="auto"/>
              <w:rPr>
                <w:rFonts w:ascii="Times New Roman" w:hAnsi="Times New Roman" w:cs="Times New Roman"/>
              </w:rPr>
            </w:pPr>
          </w:p>
          <w:p w14:paraId="5FE03072" w14:textId="77777777" w:rsidR="0082715B" w:rsidRDefault="0082715B" w:rsidP="00190F49">
            <w:pPr>
              <w:spacing w:after="0" w:line="240" w:lineRule="auto"/>
              <w:rPr>
                <w:rFonts w:ascii="Times New Roman" w:hAnsi="Times New Roman" w:cs="Times New Roman"/>
              </w:rPr>
            </w:pPr>
          </w:p>
          <w:p w14:paraId="01396E8A" w14:textId="77777777" w:rsidR="0082715B" w:rsidRDefault="0082715B" w:rsidP="00190F49">
            <w:pPr>
              <w:spacing w:after="0" w:line="240" w:lineRule="auto"/>
              <w:rPr>
                <w:rFonts w:ascii="Times New Roman" w:hAnsi="Times New Roman" w:cs="Times New Roman"/>
              </w:rPr>
            </w:pPr>
          </w:p>
          <w:p w14:paraId="583CF5C0" w14:textId="77777777" w:rsidR="0082715B" w:rsidRDefault="0082715B" w:rsidP="00190F49">
            <w:pPr>
              <w:spacing w:after="0" w:line="240" w:lineRule="auto"/>
              <w:rPr>
                <w:rFonts w:ascii="Times New Roman" w:hAnsi="Times New Roman" w:cs="Times New Roman"/>
              </w:rPr>
            </w:pPr>
          </w:p>
          <w:p w14:paraId="3C27B094" w14:textId="77777777" w:rsidR="0082715B" w:rsidRDefault="0082715B" w:rsidP="00190F49">
            <w:pPr>
              <w:spacing w:after="0" w:line="240" w:lineRule="auto"/>
              <w:rPr>
                <w:rFonts w:ascii="Times New Roman" w:hAnsi="Times New Roman" w:cs="Times New Roman"/>
              </w:rPr>
            </w:pPr>
          </w:p>
          <w:p w14:paraId="021D85B1" w14:textId="77777777" w:rsidR="0082715B" w:rsidRDefault="0082715B" w:rsidP="00190F49">
            <w:pPr>
              <w:spacing w:after="0" w:line="240" w:lineRule="auto"/>
              <w:rPr>
                <w:rFonts w:ascii="Times New Roman" w:hAnsi="Times New Roman" w:cs="Times New Roman"/>
              </w:rPr>
            </w:pPr>
          </w:p>
          <w:p w14:paraId="79C04BA7" w14:textId="77777777" w:rsidR="0082715B" w:rsidRDefault="0082715B" w:rsidP="00190F49">
            <w:pPr>
              <w:spacing w:after="0" w:line="240" w:lineRule="auto"/>
              <w:rPr>
                <w:rFonts w:ascii="Times New Roman" w:hAnsi="Times New Roman" w:cs="Times New Roman"/>
              </w:rPr>
            </w:pPr>
          </w:p>
          <w:p w14:paraId="230B18DD" w14:textId="77777777" w:rsidR="0082715B" w:rsidRDefault="0082715B" w:rsidP="00190F49">
            <w:pPr>
              <w:spacing w:after="0" w:line="240" w:lineRule="auto"/>
              <w:rPr>
                <w:rFonts w:ascii="Times New Roman" w:hAnsi="Times New Roman" w:cs="Times New Roman"/>
              </w:rPr>
            </w:pPr>
          </w:p>
          <w:p w14:paraId="683F4199" w14:textId="77777777" w:rsidR="0082715B" w:rsidRDefault="0082715B" w:rsidP="00190F49">
            <w:pPr>
              <w:spacing w:after="0" w:line="240" w:lineRule="auto"/>
              <w:rPr>
                <w:rFonts w:ascii="Times New Roman" w:hAnsi="Times New Roman" w:cs="Times New Roman"/>
              </w:rPr>
            </w:pPr>
          </w:p>
          <w:p w14:paraId="01CABA9A" w14:textId="77777777" w:rsidR="009D0AA1" w:rsidRDefault="009D0AA1" w:rsidP="00190F49">
            <w:pPr>
              <w:spacing w:after="0" w:line="240" w:lineRule="auto"/>
              <w:rPr>
                <w:rFonts w:ascii="Times New Roman" w:hAnsi="Times New Roman" w:cs="Times New Roman"/>
              </w:rPr>
            </w:pPr>
          </w:p>
          <w:p w14:paraId="1DF98EDF" w14:textId="77777777" w:rsidR="009D0AA1" w:rsidRDefault="009D0AA1" w:rsidP="00190F49">
            <w:pPr>
              <w:spacing w:after="0" w:line="240" w:lineRule="auto"/>
              <w:rPr>
                <w:rFonts w:ascii="Times New Roman" w:hAnsi="Times New Roman" w:cs="Times New Roman"/>
              </w:rPr>
            </w:pPr>
          </w:p>
          <w:p w14:paraId="42BC4600" w14:textId="09647E02" w:rsidR="5F673433" w:rsidRDefault="5F673433" w:rsidP="5F673433">
            <w:pPr>
              <w:spacing w:after="0" w:line="240" w:lineRule="auto"/>
              <w:rPr>
                <w:rFonts w:ascii="Times New Roman" w:hAnsi="Times New Roman" w:cs="Times New Roman"/>
              </w:rPr>
            </w:pPr>
          </w:p>
          <w:p w14:paraId="085FC53B" w14:textId="0102D7D3" w:rsidR="5F673433" w:rsidRDefault="5F673433" w:rsidP="5F673433">
            <w:pPr>
              <w:spacing w:after="0" w:line="240" w:lineRule="auto"/>
              <w:rPr>
                <w:rFonts w:ascii="Times New Roman" w:hAnsi="Times New Roman" w:cs="Times New Roman"/>
              </w:rPr>
            </w:pPr>
          </w:p>
          <w:p w14:paraId="0ACC132F" w14:textId="59654AF5" w:rsidR="00287825" w:rsidRPr="00223C49" w:rsidRDefault="00287825" w:rsidP="00190F49">
            <w:pPr>
              <w:spacing w:after="0" w:line="240" w:lineRule="auto"/>
              <w:rPr>
                <w:rFonts w:ascii="Times New Roman" w:hAnsi="Times New Roman" w:cs="Times New Roman"/>
              </w:rPr>
            </w:pPr>
            <w:r w:rsidRPr="00223C49">
              <w:rPr>
                <w:rFonts w:ascii="Times New Roman" w:hAnsi="Times New Roman" w:cs="Times New Roman"/>
              </w:rPr>
              <w:t>Č:I§:30</w:t>
            </w:r>
          </w:p>
          <w:p w14:paraId="1D959222" w14:textId="32E32B74" w:rsidR="00D43B5D" w:rsidRPr="00190F49" w:rsidRDefault="00287825" w:rsidP="00190F49">
            <w:pPr>
              <w:spacing w:after="0" w:line="240" w:lineRule="auto"/>
              <w:rPr>
                <w:rFonts w:ascii="Times New Roman" w:hAnsi="Times New Roman" w:cs="Times New Roman"/>
              </w:rPr>
            </w:pPr>
            <w:r w:rsidRPr="00223C49">
              <w:rPr>
                <w:rFonts w:ascii="Times New Roman" w:hAnsi="Times New Roman" w:cs="Times New Roman"/>
              </w:rPr>
              <w:t>O:</w:t>
            </w:r>
            <w:r w:rsidR="00D43B5D" w:rsidRPr="00223C49">
              <w:rPr>
                <w:rFonts w:ascii="Times New Roman" w:hAnsi="Times New Roman" w:cs="Times New Roman"/>
              </w:rPr>
              <w:t>2</w:t>
            </w:r>
          </w:p>
          <w:p w14:paraId="4FFC4574" w14:textId="0A1EFE10" w:rsidR="00E71B63" w:rsidRDefault="00E71B63" w:rsidP="5F673433">
            <w:pPr>
              <w:spacing w:after="0" w:line="240" w:lineRule="auto"/>
              <w:rPr>
                <w:rFonts w:ascii="Times New Roman" w:hAnsi="Times New Roman" w:cs="Times New Roman"/>
              </w:rPr>
            </w:pPr>
          </w:p>
          <w:p w14:paraId="7688954E" w14:textId="666DA67B" w:rsidR="00D43B5D" w:rsidRPr="00190F49" w:rsidRDefault="00287825" w:rsidP="00190F49">
            <w:pPr>
              <w:spacing w:after="0" w:line="240" w:lineRule="auto"/>
              <w:rPr>
                <w:rFonts w:ascii="Times New Roman" w:hAnsi="Times New Roman" w:cs="Times New Roman"/>
              </w:rPr>
            </w:pPr>
            <w:r w:rsidRPr="00891428">
              <w:rPr>
                <w:rFonts w:ascii="Times New Roman" w:hAnsi="Times New Roman" w:cs="Times New Roman"/>
              </w:rPr>
              <w:t>Č:I§:</w:t>
            </w:r>
            <w:r w:rsidR="00D43B5D" w:rsidRPr="00891428">
              <w:rPr>
                <w:rFonts w:ascii="Times New Roman" w:hAnsi="Times New Roman" w:cs="Times New Roman"/>
              </w:rPr>
              <w:t>6b</w:t>
            </w:r>
          </w:p>
          <w:p w14:paraId="0E13543B" w14:textId="77777777" w:rsidR="00D43B5D" w:rsidRPr="00190F49" w:rsidRDefault="00D43B5D" w:rsidP="00190F49">
            <w:pPr>
              <w:spacing w:after="0" w:line="240" w:lineRule="auto"/>
              <w:rPr>
                <w:rFonts w:ascii="Times New Roman" w:hAnsi="Times New Roman" w:cs="Times New Roman"/>
              </w:rPr>
            </w:pPr>
          </w:p>
          <w:p w14:paraId="25F44CAF" w14:textId="1A36F9DF" w:rsidR="00D63C45" w:rsidRPr="00190F49" w:rsidRDefault="00D63C45" w:rsidP="00190F49">
            <w:pPr>
              <w:spacing w:after="0" w:line="240" w:lineRule="auto"/>
              <w:rPr>
                <w:rFonts w:ascii="Times New Roman" w:hAnsi="Times New Roman" w:cs="Times New Roman"/>
              </w:rPr>
            </w:pPr>
          </w:p>
          <w:p w14:paraId="4A1C99B5" w14:textId="46418959" w:rsidR="009C51A8" w:rsidRPr="00190F49" w:rsidRDefault="009C51A8" w:rsidP="00190F49">
            <w:pPr>
              <w:spacing w:after="0" w:line="240" w:lineRule="auto"/>
              <w:rPr>
                <w:rFonts w:ascii="Times New Roman" w:hAnsi="Times New Roman" w:cs="Times New Roman"/>
              </w:rPr>
            </w:pPr>
          </w:p>
          <w:p w14:paraId="5B3EF7F1" w14:textId="19BAC5E0" w:rsidR="009C51A8" w:rsidRPr="00190F49" w:rsidRDefault="009C51A8" w:rsidP="00190F49">
            <w:pPr>
              <w:spacing w:after="0" w:line="240" w:lineRule="auto"/>
              <w:rPr>
                <w:rFonts w:ascii="Times New Roman" w:hAnsi="Times New Roman" w:cs="Times New Roman"/>
              </w:rPr>
            </w:pPr>
          </w:p>
          <w:p w14:paraId="2D45D660" w14:textId="6B3DFCF6" w:rsidR="009C51A8" w:rsidRPr="00190F49" w:rsidRDefault="009C51A8" w:rsidP="00190F49">
            <w:pPr>
              <w:spacing w:after="0" w:line="240" w:lineRule="auto"/>
              <w:rPr>
                <w:rFonts w:ascii="Times New Roman" w:hAnsi="Times New Roman" w:cs="Times New Roman"/>
              </w:rPr>
            </w:pPr>
          </w:p>
          <w:p w14:paraId="441E4C46" w14:textId="5960EA47" w:rsidR="009C51A8" w:rsidRPr="00190F49" w:rsidRDefault="009C51A8" w:rsidP="00190F49">
            <w:pPr>
              <w:spacing w:after="0" w:line="240" w:lineRule="auto"/>
              <w:rPr>
                <w:rFonts w:ascii="Times New Roman" w:hAnsi="Times New Roman" w:cs="Times New Roman"/>
              </w:rPr>
            </w:pPr>
          </w:p>
          <w:p w14:paraId="76087F41" w14:textId="3F06DC2C" w:rsidR="009C51A8" w:rsidRPr="00190F49" w:rsidRDefault="009C51A8" w:rsidP="00190F49">
            <w:pPr>
              <w:spacing w:after="0" w:line="240" w:lineRule="auto"/>
              <w:rPr>
                <w:rFonts w:ascii="Times New Roman" w:hAnsi="Times New Roman" w:cs="Times New Roman"/>
              </w:rPr>
            </w:pPr>
          </w:p>
          <w:p w14:paraId="05394BB2" w14:textId="021998A0" w:rsidR="009C51A8" w:rsidRPr="00190F49" w:rsidRDefault="009C51A8" w:rsidP="00190F49">
            <w:pPr>
              <w:spacing w:after="0" w:line="240" w:lineRule="auto"/>
              <w:rPr>
                <w:rFonts w:ascii="Times New Roman" w:hAnsi="Times New Roman" w:cs="Times New Roman"/>
              </w:rPr>
            </w:pPr>
          </w:p>
          <w:p w14:paraId="2B00E501" w14:textId="5C5E17A7" w:rsidR="009C51A8" w:rsidRPr="00190F49" w:rsidRDefault="009C51A8" w:rsidP="00190F49">
            <w:pPr>
              <w:spacing w:after="0" w:line="240" w:lineRule="auto"/>
              <w:rPr>
                <w:rFonts w:ascii="Times New Roman" w:hAnsi="Times New Roman" w:cs="Times New Roman"/>
              </w:rPr>
            </w:pPr>
          </w:p>
          <w:p w14:paraId="20BE4CAB" w14:textId="3F8FFE48" w:rsidR="009C51A8" w:rsidRPr="00190F49" w:rsidRDefault="009C51A8" w:rsidP="00190F49">
            <w:pPr>
              <w:spacing w:after="0" w:line="240" w:lineRule="auto"/>
              <w:rPr>
                <w:rFonts w:ascii="Times New Roman" w:hAnsi="Times New Roman" w:cs="Times New Roman"/>
              </w:rPr>
            </w:pPr>
          </w:p>
          <w:p w14:paraId="121AF8E9" w14:textId="2FCBB393" w:rsidR="009C51A8" w:rsidRPr="00190F49" w:rsidRDefault="009C51A8" w:rsidP="00190F49">
            <w:pPr>
              <w:spacing w:after="0" w:line="240" w:lineRule="auto"/>
              <w:rPr>
                <w:rFonts w:ascii="Times New Roman" w:hAnsi="Times New Roman" w:cs="Times New Roman"/>
              </w:rPr>
            </w:pPr>
          </w:p>
          <w:p w14:paraId="34B4D955" w14:textId="19025DEF" w:rsidR="009C51A8" w:rsidRPr="00190F49" w:rsidRDefault="009C51A8" w:rsidP="00190F49">
            <w:pPr>
              <w:spacing w:after="0" w:line="240" w:lineRule="auto"/>
              <w:rPr>
                <w:rFonts w:ascii="Times New Roman" w:hAnsi="Times New Roman" w:cs="Times New Roman"/>
              </w:rPr>
            </w:pPr>
          </w:p>
          <w:p w14:paraId="0ADA5B51" w14:textId="75EDDC75" w:rsidR="009C51A8" w:rsidRPr="00190F49" w:rsidRDefault="009C51A8" w:rsidP="00190F49">
            <w:pPr>
              <w:spacing w:after="0" w:line="240" w:lineRule="auto"/>
              <w:rPr>
                <w:rFonts w:ascii="Times New Roman" w:hAnsi="Times New Roman" w:cs="Times New Roman"/>
              </w:rPr>
            </w:pPr>
          </w:p>
          <w:p w14:paraId="412F70E3" w14:textId="540A7C05" w:rsidR="009C51A8" w:rsidRPr="00190F49" w:rsidRDefault="009C51A8" w:rsidP="00190F49">
            <w:pPr>
              <w:spacing w:after="0" w:line="240" w:lineRule="auto"/>
              <w:rPr>
                <w:rFonts w:ascii="Times New Roman" w:hAnsi="Times New Roman" w:cs="Times New Roman"/>
              </w:rPr>
            </w:pPr>
          </w:p>
          <w:p w14:paraId="3144B791" w14:textId="3442F0CC" w:rsidR="009C51A8" w:rsidRPr="00190F49" w:rsidRDefault="009C51A8" w:rsidP="00190F49">
            <w:pPr>
              <w:spacing w:after="0" w:line="240" w:lineRule="auto"/>
              <w:rPr>
                <w:rFonts w:ascii="Times New Roman" w:hAnsi="Times New Roman" w:cs="Times New Roman"/>
              </w:rPr>
            </w:pPr>
          </w:p>
          <w:p w14:paraId="071C81A7" w14:textId="6BA69857" w:rsidR="009C51A8" w:rsidRPr="00190F49" w:rsidRDefault="009C51A8" w:rsidP="00190F49">
            <w:pPr>
              <w:spacing w:after="0" w:line="240" w:lineRule="auto"/>
              <w:rPr>
                <w:rFonts w:ascii="Times New Roman" w:hAnsi="Times New Roman" w:cs="Times New Roman"/>
              </w:rPr>
            </w:pPr>
          </w:p>
          <w:p w14:paraId="712F360B" w14:textId="3B392853" w:rsidR="009C51A8" w:rsidRPr="00190F49" w:rsidRDefault="009C51A8" w:rsidP="00190F49">
            <w:pPr>
              <w:spacing w:after="0" w:line="240" w:lineRule="auto"/>
              <w:rPr>
                <w:rFonts w:ascii="Times New Roman" w:hAnsi="Times New Roman" w:cs="Times New Roman"/>
              </w:rPr>
            </w:pPr>
          </w:p>
          <w:p w14:paraId="1ACCDA63" w14:textId="3FE2C076" w:rsidR="009C51A8" w:rsidRPr="00190F49" w:rsidRDefault="009C51A8" w:rsidP="00190F49">
            <w:pPr>
              <w:spacing w:after="0" w:line="240" w:lineRule="auto"/>
              <w:rPr>
                <w:rFonts w:ascii="Times New Roman" w:hAnsi="Times New Roman" w:cs="Times New Roman"/>
              </w:rPr>
            </w:pPr>
          </w:p>
          <w:p w14:paraId="78FE470E" w14:textId="4DF8DC45" w:rsidR="009C51A8" w:rsidRPr="00190F49" w:rsidRDefault="009C51A8" w:rsidP="00190F49">
            <w:pPr>
              <w:spacing w:after="0" w:line="240" w:lineRule="auto"/>
              <w:rPr>
                <w:rFonts w:ascii="Times New Roman" w:hAnsi="Times New Roman" w:cs="Times New Roman"/>
              </w:rPr>
            </w:pPr>
          </w:p>
          <w:p w14:paraId="5F272A64" w14:textId="7C922AAC" w:rsidR="009C51A8" w:rsidRPr="00190F49" w:rsidRDefault="009C51A8" w:rsidP="00190F49">
            <w:pPr>
              <w:spacing w:after="0" w:line="240" w:lineRule="auto"/>
              <w:rPr>
                <w:rFonts w:ascii="Times New Roman" w:hAnsi="Times New Roman" w:cs="Times New Roman"/>
              </w:rPr>
            </w:pPr>
          </w:p>
          <w:p w14:paraId="0E7BFB5A" w14:textId="456670B4" w:rsidR="009C51A8" w:rsidRPr="00190F49" w:rsidRDefault="009C51A8" w:rsidP="00190F49">
            <w:pPr>
              <w:spacing w:after="0" w:line="240" w:lineRule="auto"/>
              <w:rPr>
                <w:rFonts w:ascii="Times New Roman" w:hAnsi="Times New Roman" w:cs="Times New Roman"/>
              </w:rPr>
            </w:pPr>
          </w:p>
          <w:p w14:paraId="05FE8E66" w14:textId="11A98CD7" w:rsidR="009C51A8" w:rsidRPr="00190F49" w:rsidRDefault="009C51A8" w:rsidP="00190F49">
            <w:pPr>
              <w:spacing w:after="0" w:line="240" w:lineRule="auto"/>
              <w:rPr>
                <w:rFonts w:ascii="Times New Roman" w:hAnsi="Times New Roman" w:cs="Times New Roman"/>
              </w:rPr>
            </w:pPr>
          </w:p>
          <w:p w14:paraId="308CC6E8" w14:textId="23B791F7" w:rsidR="009C51A8" w:rsidRPr="00190F49" w:rsidRDefault="009C51A8" w:rsidP="00190F49">
            <w:pPr>
              <w:spacing w:after="0" w:line="240" w:lineRule="auto"/>
              <w:rPr>
                <w:rFonts w:ascii="Times New Roman" w:hAnsi="Times New Roman" w:cs="Times New Roman"/>
              </w:rPr>
            </w:pPr>
          </w:p>
          <w:p w14:paraId="546788D8" w14:textId="22F9B7B0" w:rsidR="009C51A8" w:rsidRPr="00190F49" w:rsidRDefault="009C51A8" w:rsidP="00190F49">
            <w:pPr>
              <w:spacing w:after="0" w:line="240" w:lineRule="auto"/>
              <w:rPr>
                <w:rFonts w:ascii="Times New Roman" w:hAnsi="Times New Roman" w:cs="Times New Roman"/>
              </w:rPr>
            </w:pPr>
          </w:p>
          <w:p w14:paraId="6108A005" w14:textId="22EFCBCA" w:rsidR="009C51A8" w:rsidRPr="00190F49" w:rsidRDefault="009C51A8" w:rsidP="00190F49">
            <w:pPr>
              <w:spacing w:after="0" w:line="240" w:lineRule="auto"/>
              <w:rPr>
                <w:rFonts w:ascii="Times New Roman" w:hAnsi="Times New Roman" w:cs="Times New Roman"/>
              </w:rPr>
            </w:pPr>
          </w:p>
          <w:p w14:paraId="6469D468" w14:textId="4B067352" w:rsidR="009C51A8" w:rsidRPr="00190F49" w:rsidRDefault="009C51A8" w:rsidP="00190F49">
            <w:pPr>
              <w:spacing w:after="0" w:line="240" w:lineRule="auto"/>
              <w:rPr>
                <w:rFonts w:ascii="Times New Roman" w:hAnsi="Times New Roman" w:cs="Times New Roman"/>
              </w:rPr>
            </w:pPr>
          </w:p>
          <w:p w14:paraId="5182ECF3" w14:textId="26C91027" w:rsidR="009C51A8" w:rsidRPr="00190F49" w:rsidRDefault="009C51A8" w:rsidP="00190F49">
            <w:pPr>
              <w:spacing w:after="0" w:line="240" w:lineRule="auto"/>
              <w:rPr>
                <w:rFonts w:ascii="Times New Roman" w:hAnsi="Times New Roman" w:cs="Times New Roman"/>
              </w:rPr>
            </w:pPr>
          </w:p>
          <w:p w14:paraId="0A7D74E6" w14:textId="09FA4F09" w:rsidR="009C51A8" w:rsidRPr="00190F49" w:rsidRDefault="009C51A8" w:rsidP="00190F49">
            <w:pPr>
              <w:spacing w:after="0" w:line="240" w:lineRule="auto"/>
              <w:rPr>
                <w:rFonts w:ascii="Times New Roman" w:hAnsi="Times New Roman" w:cs="Times New Roman"/>
              </w:rPr>
            </w:pPr>
          </w:p>
          <w:p w14:paraId="62B6B794" w14:textId="16AD8228" w:rsidR="009C51A8" w:rsidRPr="00190F49" w:rsidRDefault="009C51A8" w:rsidP="00190F49">
            <w:pPr>
              <w:spacing w:after="0" w:line="240" w:lineRule="auto"/>
              <w:rPr>
                <w:rFonts w:ascii="Times New Roman" w:hAnsi="Times New Roman" w:cs="Times New Roman"/>
              </w:rPr>
            </w:pPr>
          </w:p>
          <w:p w14:paraId="196706C2" w14:textId="207B0C3B" w:rsidR="009C51A8" w:rsidRPr="00190F49" w:rsidRDefault="009C51A8" w:rsidP="00190F49">
            <w:pPr>
              <w:spacing w:after="0" w:line="240" w:lineRule="auto"/>
              <w:rPr>
                <w:rFonts w:ascii="Times New Roman" w:hAnsi="Times New Roman" w:cs="Times New Roman"/>
              </w:rPr>
            </w:pPr>
          </w:p>
          <w:p w14:paraId="2B90FF6A" w14:textId="74A34006" w:rsidR="009C51A8" w:rsidRPr="00190F49" w:rsidRDefault="009C51A8" w:rsidP="00190F49">
            <w:pPr>
              <w:spacing w:after="0" w:line="240" w:lineRule="auto"/>
              <w:rPr>
                <w:rFonts w:ascii="Times New Roman" w:hAnsi="Times New Roman" w:cs="Times New Roman"/>
              </w:rPr>
            </w:pPr>
          </w:p>
          <w:p w14:paraId="35DC2110" w14:textId="58ED3874" w:rsidR="009C51A8" w:rsidRPr="00190F49" w:rsidRDefault="009C51A8" w:rsidP="00190F49">
            <w:pPr>
              <w:spacing w:after="0" w:line="240" w:lineRule="auto"/>
              <w:rPr>
                <w:rFonts w:ascii="Times New Roman" w:hAnsi="Times New Roman" w:cs="Times New Roman"/>
              </w:rPr>
            </w:pPr>
          </w:p>
          <w:p w14:paraId="1F9BAB96" w14:textId="32124D1E" w:rsidR="009C51A8" w:rsidRPr="00190F49" w:rsidRDefault="009C51A8" w:rsidP="00190F49">
            <w:pPr>
              <w:spacing w:after="0" w:line="240" w:lineRule="auto"/>
              <w:rPr>
                <w:rFonts w:ascii="Times New Roman" w:hAnsi="Times New Roman" w:cs="Times New Roman"/>
              </w:rPr>
            </w:pPr>
          </w:p>
          <w:p w14:paraId="03255783" w14:textId="4A9AE760" w:rsidR="009C51A8" w:rsidRPr="00190F49" w:rsidRDefault="009C51A8" w:rsidP="00190F49">
            <w:pPr>
              <w:spacing w:after="0" w:line="240" w:lineRule="auto"/>
              <w:rPr>
                <w:rFonts w:ascii="Times New Roman" w:hAnsi="Times New Roman" w:cs="Times New Roman"/>
              </w:rPr>
            </w:pPr>
          </w:p>
          <w:p w14:paraId="33AB1CDA" w14:textId="467EB2E8" w:rsidR="009C51A8" w:rsidRPr="00190F49" w:rsidRDefault="009C51A8" w:rsidP="00190F49">
            <w:pPr>
              <w:spacing w:after="0" w:line="240" w:lineRule="auto"/>
              <w:rPr>
                <w:rFonts w:ascii="Times New Roman" w:hAnsi="Times New Roman" w:cs="Times New Roman"/>
              </w:rPr>
            </w:pPr>
          </w:p>
          <w:p w14:paraId="05A254B6" w14:textId="3F988935" w:rsidR="009C51A8" w:rsidRPr="00190F49" w:rsidRDefault="009C51A8" w:rsidP="00190F49">
            <w:pPr>
              <w:spacing w:after="0" w:line="240" w:lineRule="auto"/>
              <w:rPr>
                <w:rFonts w:ascii="Times New Roman" w:hAnsi="Times New Roman" w:cs="Times New Roman"/>
              </w:rPr>
            </w:pPr>
          </w:p>
          <w:p w14:paraId="59D48DD8" w14:textId="4A527E45" w:rsidR="009C51A8" w:rsidRPr="00190F49" w:rsidRDefault="009C51A8" w:rsidP="00190F49">
            <w:pPr>
              <w:spacing w:after="0" w:line="240" w:lineRule="auto"/>
              <w:rPr>
                <w:rFonts w:ascii="Times New Roman" w:hAnsi="Times New Roman" w:cs="Times New Roman"/>
              </w:rPr>
            </w:pPr>
          </w:p>
          <w:p w14:paraId="59C2FEFF" w14:textId="28BD65FD" w:rsidR="009C51A8" w:rsidRPr="00190F49" w:rsidRDefault="009C51A8" w:rsidP="00190F49">
            <w:pPr>
              <w:spacing w:after="0" w:line="240" w:lineRule="auto"/>
              <w:rPr>
                <w:rFonts w:ascii="Times New Roman" w:hAnsi="Times New Roman" w:cs="Times New Roman"/>
              </w:rPr>
            </w:pPr>
          </w:p>
          <w:p w14:paraId="04FE5D3A" w14:textId="2D4B2408" w:rsidR="009C51A8" w:rsidRPr="00190F49" w:rsidRDefault="009C51A8" w:rsidP="00190F49">
            <w:pPr>
              <w:spacing w:after="0" w:line="240" w:lineRule="auto"/>
              <w:rPr>
                <w:rFonts w:ascii="Times New Roman" w:hAnsi="Times New Roman" w:cs="Times New Roman"/>
              </w:rPr>
            </w:pPr>
          </w:p>
          <w:p w14:paraId="36B215F5" w14:textId="690123AE" w:rsidR="009C51A8" w:rsidRPr="00190F49" w:rsidRDefault="009C51A8" w:rsidP="00190F49">
            <w:pPr>
              <w:spacing w:after="0" w:line="240" w:lineRule="auto"/>
              <w:rPr>
                <w:rFonts w:ascii="Times New Roman" w:hAnsi="Times New Roman" w:cs="Times New Roman"/>
              </w:rPr>
            </w:pPr>
          </w:p>
          <w:p w14:paraId="6BC2B595" w14:textId="27BCFA22" w:rsidR="009C51A8" w:rsidRPr="00190F49" w:rsidRDefault="009C51A8" w:rsidP="00190F49">
            <w:pPr>
              <w:spacing w:after="0" w:line="240" w:lineRule="auto"/>
              <w:rPr>
                <w:rFonts w:ascii="Times New Roman" w:hAnsi="Times New Roman" w:cs="Times New Roman"/>
              </w:rPr>
            </w:pPr>
          </w:p>
          <w:p w14:paraId="17D4BE80" w14:textId="579CE74D" w:rsidR="009C51A8" w:rsidRPr="00190F49" w:rsidRDefault="009C51A8" w:rsidP="00190F49">
            <w:pPr>
              <w:spacing w:after="0" w:line="240" w:lineRule="auto"/>
              <w:rPr>
                <w:rFonts w:ascii="Times New Roman" w:hAnsi="Times New Roman" w:cs="Times New Roman"/>
              </w:rPr>
            </w:pPr>
          </w:p>
          <w:p w14:paraId="396254A8" w14:textId="0C568927" w:rsidR="009C51A8" w:rsidRPr="00190F49" w:rsidRDefault="009C51A8" w:rsidP="00190F49">
            <w:pPr>
              <w:spacing w:after="0" w:line="240" w:lineRule="auto"/>
              <w:rPr>
                <w:rFonts w:ascii="Times New Roman" w:hAnsi="Times New Roman" w:cs="Times New Roman"/>
              </w:rPr>
            </w:pPr>
          </w:p>
          <w:p w14:paraId="6ED841A8" w14:textId="795BB57A" w:rsidR="009C51A8" w:rsidRPr="00190F49" w:rsidRDefault="009C51A8" w:rsidP="00190F49">
            <w:pPr>
              <w:spacing w:after="0" w:line="240" w:lineRule="auto"/>
              <w:rPr>
                <w:rFonts w:ascii="Times New Roman" w:hAnsi="Times New Roman" w:cs="Times New Roman"/>
              </w:rPr>
            </w:pPr>
          </w:p>
          <w:p w14:paraId="4E4DF571" w14:textId="1FCDCE17" w:rsidR="009C51A8" w:rsidRPr="00190F49" w:rsidRDefault="009C51A8" w:rsidP="00190F49">
            <w:pPr>
              <w:spacing w:after="0" w:line="240" w:lineRule="auto"/>
              <w:rPr>
                <w:rFonts w:ascii="Times New Roman" w:hAnsi="Times New Roman" w:cs="Times New Roman"/>
              </w:rPr>
            </w:pPr>
          </w:p>
          <w:p w14:paraId="3567FA42" w14:textId="70F88EC4" w:rsidR="009C51A8" w:rsidRPr="00190F49" w:rsidRDefault="009C51A8" w:rsidP="00190F49">
            <w:pPr>
              <w:spacing w:after="0" w:line="240" w:lineRule="auto"/>
              <w:rPr>
                <w:rFonts w:ascii="Times New Roman" w:hAnsi="Times New Roman" w:cs="Times New Roman"/>
              </w:rPr>
            </w:pPr>
          </w:p>
          <w:p w14:paraId="0A89D869" w14:textId="653FFA80" w:rsidR="009C51A8" w:rsidRPr="00190F49" w:rsidRDefault="009C51A8" w:rsidP="00190F49">
            <w:pPr>
              <w:spacing w:after="0" w:line="240" w:lineRule="auto"/>
              <w:rPr>
                <w:rFonts w:ascii="Times New Roman" w:hAnsi="Times New Roman" w:cs="Times New Roman"/>
              </w:rPr>
            </w:pPr>
          </w:p>
          <w:p w14:paraId="6279EFD7" w14:textId="7AF30828" w:rsidR="009C51A8" w:rsidRPr="00190F49" w:rsidRDefault="009C51A8" w:rsidP="00190F49">
            <w:pPr>
              <w:spacing w:after="0" w:line="240" w:lineRule="auto"/>
              <w:rPr>
                <w:rFonts w:ascii="Times New Roman" w:hAnsi="Times New Roman" w:cs="Times New Roman"/>
              </w:rPr>
            </w:pPr>
          </w:p>
          <w:p w14:paraId="588CECCD" w14:textId="3165617F" w:rsidR="009C51A8" w:rsidRPr="00190F49" w:rsidRDefault="009C51A8" w:rsidP="00190F49">
            <w:pPr>
              <w:spacing w:after="0" w:line="240" w:lineRule="auto"/>
              <w:rPr>
                <w:rFonts w:ascii="Times New Roman" w:hAnsi="Times New Roman" w:cs="Times New Roman"/>
              </w:rPr>
            </w:pPr>
          </w:p>
          <w:p w14:paraId="195A03A1" w14:textId="2D49FDB3" w:rsidR="009C51A8" w:rsidRPr="00190F49" w:rsidRDefault="009C51A8" w:rsidP="00190F49">
            <w:pPr>
              <w:spacing w:after="0" w:line="240" w:lineRule="auto"/>
              <w:rPr>
                <w:rFonts w:ascii="Times New Roman" w:hAnsi="Times New Roman" w:cs="Times New Roman"/>
              </w:rPr>
            </w:pPr>
          </w:p>
          <w:p w14:paraId="0A967713" w14:textId="4962CC79" w:rsidR="009C51A8" w:rsidRPr="00190F49" w:rsidRDefault="009C51A8" w:rsidP="00190F49">
            <w:pPr>
              <w:spacing w:after="0" w:line="240" w:lineRule="auto"/>
              <w:rPr>
                <w:rFonts w:ascii="Times New Roman" w:hAnsi="Times New Roman" w:cs="Times New Roman"/>
              </w:rPr>
            </w:pPr>
          </w:p>
          <w:p w14:paraId="6E4B1D1D" w14:textId="52A8D599" w:rsidR="009C51A8" w:rsidRPr="00190F49" w:rsidRDefault="009C51A8" w:rsidP="00190F49">
            <w:pPr>
              <w:spacing w:after="0" w:line="240" w:lineRule="auto"/>
              <w:rPr>
                <w:rFonts w:ascii="Times New Roman" w:hAnsi="Times New Roman" w:cs="Times New Roman"/>
              </w:rPr>
            </w:pPr>
          </w:p>
          <w:p w14:paraId="3217365C" w14:textId="3F8D30DA" w:rsidR="009C51A8" w:rsidRPr="00190F49" w:rsidRDefault="009C51A8" w:rsidP="00190F49">
            <w:pPr>
              <w:spacing w:after="0" w:line="240" w:lineRule="auto"/>
              <w:rPr>
                <w:rFonts w:ascii="Times New Roman" w:hAnsi="Times New Roman" w:cs="Times New Roman"/>
              </w:rPr>
            </w:pPr>
          </w:p>
          <w:p w14:paraId="2697F556" w14:textId="2EABAB6D" w:rsidR="009C51A8" w:rsidRPr="00190F49" w:rsidRDefault="009C51A8" w:rsidP="00190F49">
            <w:pPr>
              <w:spacing w:after="0" w:line="240" w:lineRule="auto"/>
              <w:rPr>
                <w:rFonts w:ascii="Times New Roman" w:hAnsi="Times New Roman" w:cs="Times New Roman"/>
              </w:rPr>
            </w:pPr>
          </w:p>
          <w:p w14:paraId="0ADC3D82" w14:textId="3E304D96" w:rsidR="009C51A8" w:rsidRPr="00190F49" w:rsidRDefault="009C51A8" w:rsidP="00190F49">
            <w:pPr>
              <w:spacing w:after="0" w:line="240" w:lineRule="auto"/>
              <w:rPr>
                <w:rFonts w:ascii="Times New Roman" w:hAnsi="Times New Roman" w:cs="Times New Roman"/>
              </w:rPr>
            </w:pPr>
          </w:p>
          <w:p w14:paraId="5E1D5785" w14:textId="26B375F7" w:rsidR="009C51A8" w:rsidRPr="00190F49" w:rsidRDefault="009C51A8" w:rsidP="00190F49">
            <w:pPr>
              <w:spacing w:after="0" w:line="240" w:lineRule="auto"/>
              <w:rPr>
                <w:rFonts w:ascii="Times New Roman" w:hAnsi="Times New Roman" w:cs="Times New Roman"/>
              </w:rPr>
            </w:pPr>
          </w:p>
          <w:p w14:paraId="4DC146BE" w14:textId="0AC3C1D7" w:rsidR="009C51A8" w:rsidRPr="00190F49" w:rsidRDefault="009C51A8" w:rsidP="00190F49">
            <w:pPr>
              <w:spacing w:after="0" w:line="240" w:lineRule="auto"/>
              <w:rPr>
                <w:rFonts w:ascii="Times New Roman" w:hAnsi="Times New Roman" w:cs="Times New Roman"/>
              </w:rPr>
            </w:pPr>
          </w:p>
          <w:p w14:paraId="12F00E47" w14:textId="1E6083F9" w:rsidR="009C51A8" w:rsidRPr="00190F49" w:rsidRDefault="009C51A8" w:rsidP="00190F49">
            <w:pPr>
              <w:spacing w:after="0" w:line="240" w:lineRule="auto"/>
              <w:rPr>
                <w:rFonts w:ascii="Times New Roman" w:hAnsi="Times New Roman" w:cs="Times New Roman"/>
              </w:rPr>
            </w:pPr>
          </w:p>
          <w:p w14:paraId="77B3BA8D" w14:textId="45089DEC" w:rsidR="009C51A8" w:rsidRPr="00190F49" w:rsidRDefault="009C51A8" w:rsidP="00190F49">
            <w:pPr>
              <w:spacing w:after="0" w:line="240" w:lineRule="auto"/>
              <w:rPr>
                <w:rFonts w:ascii="Times New Roman" w:hAnsi="Times New Roman" w:cs="Times New Roman"/>
              </w:rPr>
            </w:pPr>
          </w:p>
          <w:p w14:paraId="769F3362" w14:textId="54832FD6" w:rsidR="009C51A8" w:rsidRPr="00190F49" w:rsidRDefault="009C51A8" w:rsidP="00190F49">
            <w:pPr>
              <w:spacing w:after="0" w:line="240" w:lineRule="auto"/>
              <w:rPr>
                <w:rFonts w:ascii="Times New Roman" w:hAnsi="Times New Roman" w:cs="Times New Roman"/>
              </w:rPr>
            </w:pPr>
          </w:p>
          <w:p w14:paraId="47CEFAAF" w14:textId="6A73F286" w:rsidR="009C51A8" w:rsidRPr="00190F49" w:rsidRDefault="009C51A8" w:rsidP="00190F49">
            <w:pPr>
              <w:spacing w:after="0" w:line="240" w:lineRule="auto"/>
              <w:rPr>
                <w:rFonts w:ascii="Times New Roman" w:hAnsi="Times New Roman" w:cs="Times New Roman"/>
              </w:rPr>
            </w:pPr>
          </w:p>
          <w:p w14:paraId="7D2BEE8B" w14:textId="196B51F8" w:rsidR="009C51A8" w:rsidRPr="00190F49" w:rsidRDefault="009C51A8" w:rsidP="00190F49">
            <w:pPr>
              <w:spacing w:after="0" w:line="240" w:lineRule="auto"/>
              <w:rPr>
                <w:rFonts w:ascii="Times New Roman" w:hAnsi="Times New Roman" w:cs="Times New Roman"/>
              </w:rPr>
            </w:pPr>
          </w:p>
          <w:p w14:paraId="45345A28" w14:textId="047379D1" w:rsidR="009C51A8" w:rsidRPr="00190F49" w:rsidRDefault="009C51A8" w:rsidP="00190F49">
            <w:pPr>
              <w:spacing w:after="0" w:line="240" w:lineRule="auto"/>
              <w:rPr>
                <w:rFonts w:ascii="Times New Roman" w:hAnsi="Times New Roman" w:cs="Times New Roman"/>
              </w:rPr>
            </w:pPr>
          </w:p>
          <w:p w14:paraId="5D14ECC3" w14:textId="06CBEAA2" w:rsidR="009C51A8" w:rsidRPr="00190F49" w:rsidRDefault="009C51A8" w:rsidP="00190F49">
            <w:pPr>
              <w:spacing w:after="0" w:line="240" w:lineRule="auto"/>
              <w:rPr>
                <w:rFonts w:ascii="Times New Roman" w:hAnsi="Times New Roman" w:cs="Times New Roman"/>
              </w:rPr>
            </w:pPr>
          </w:p>
          <w:p w14:paraId="57F4EAA5" w14:textId="69DA92B5" w:rsidR="009C51A8" w:rsidRPr="00190F49" w:rsidRDefault="009C51A8" w:rsidP="00190F49">
            <w:pPr>
              <w:spacing w:after="0" w:line="240" w:lineRule="auto"/>
              <w:rPr>
                <w:rFonts w:ascii="Times New Roman" w:hAnsi="Times New Roman" w:cs="Times New Roman"/>
              </w:rPr>
            </w:pPr>
          </w:p>
          <w:p w14:paraId="013B10A2" w14:textId="51F9D963" w:rsidR="009C51A8" w:rsidRPr="00190F49" w:rsidRDefault="009C51A8" w:rsidP="00190F49">
            <w:pPr>
              <w:spacing w:after="0" w:line="240" w:lineRule="auto"/>
              <w:rPr>
                <w:rFonts w:ascii="Times New Roman" w:hAnsi="Times New Roman" w:cs="Times New Roman"/>
              </w:rPr>
            </w:pPr>
          </w:p>
          <w:p w14:paraId="79159031" w14:textId="4B499C50" w:rsidR="009C51A8" w:rsidRPr="00190F49" w:rsidRDefault="009C51A8" w:rsidP="00190F49">
            <w:pPr>
              <w:spacing w:after="0" w:line="240" w:lineRule="auto"/>
              <w:rPr>
                <w:rFonts w:ascii="Times New Roman" w:hAnsi="Times New Roman" w:cs="Times New Roman"/>
              </w:rPr>
            </w:pPr>
          </w:p>
          <w:p w14:paraId="61FE9448" w14:textId="7E8B8B95" w:rsidR="009C51A8" w:rsidRPr="00190F49" w:rsidRDefault="009C51A8" w:rsidP="00190F49">
            <w:pPr>
              <w:spacing w:after="0" w:line="240" w:lineRule="auto"/>
              <w:rPr>
                <w:rFonts w:ascii="Times New Roman" w:hAnsi="Times New Roman" w:cs="Times New Roman"/>
              </w:rPr>
            </w:pPr>
          </w:p>
          <w:p w14:paraId="4A76D5E1" w14:textId="4BF7F13A" w:rsidR="009C51A8" w:rsidRPr="00190F49" w:rsidRDefault="009C51A8" w:rsidP="00190F49">
            <w:pPr>
              <w:spacing w:after="0" w:line="240" w:lineRule="auto"/>
              <w:rPr>
                <w:rFonts w:ascii="Times New Roman" w:hAnsi="Times New Roman" w:cs="Times New Roman"/>
              </w:rPr>
            </w:pPr>
          </w:p>
          <w:p w14:paraId="01EE2BC5" w14:textId="2911D50C" w:rsidR="009C51A8" w:rsidRPr="00190F49" w:rsidRDefault="009C51A8" w:rsidP="00190F49">
            <w:pPr>
              <w:spacing w:after="0" w:line="240" w:lineRule="auto"/>
              <w:rPr>
                <w:rFonts w:ascii="Times New Roman" w:hAnsi="Times New Roman" w:cs="Times New Roman"/>
              </w:rPr>
            </w:pPr>
          </w:p>
          <w:p w14:paraId="2C26F4D8" w14:textId="6D8BD7E2" w:rsidR="009C51A8" w:rsidRPr="00190F49" w:rsidRDefault="009C51A8" w:rsidP="00190F49">
            <w:pPr>
              <w:spacing w:after="0" w:line="240" w:lineRule="auto"/>
              <w:rPr>
                <w:rFonts w:ascii="Times New Roman" w:hAnsi="Times New Roman" w:cs="Times New Roman"/>
              </w:rPr>
            </w:pPr>
          </w:p>
          <w:p w14:paraId="28E5FC01" w14:textId="1A01726E" w:rsidR="009C51A8" w:rsidRPr="00190F49" w:rsidRDefault="009C51A8" w:rsidP="00190F49">
            <w:pPr>
              <w:spacing w:after="0" w:line="240" w:lineRule="auto"/>
              <w:rPr>
                <w:rFonts w:ascii="Times New Roman" w:hAnsi="Times New Roman" w:cs="Times New Roman"/>
              </w:rPr>
            </w:pPr>
          </w:p>
          <w:p w14:paraId="448FA50D" w14:textId="55BBBB50" w:rsidR="009C51A8" w:rsidRPr="00190F49" w:rsidRDefault="009C51A8" w:rsidP="00190F49">
            <w:pPr>
              <w:spacing w:after="0" w:line="240" w:lineRule="auto"/>
              <w:rPr>
                <w:rFonts w:ascii="Times New Roman" w:hAnsi="Times New Roman" w:cs="Times New Roman"/>
              </w:rPr>
            </w:pPr>
          </w:p>
          <w:p w14:paraId="1E0DD2DE" w14:textId="135F4A38" w:rsidR="009C51A8" w:rsidRPr="00190F49" w:rsidRDefault="009C51A8" w:rsidP="00190F49">
            <w:pPr>
              <w:spacing w:after="0" w:line="240" w:lineRule="auto"/>
              <w:rPr>
                <w:rFonts w:ascii="Times New Roman" w:hAnsi="Times New Roman" w:cs="Times New Roman"/>
              </w:rPr>
            </w:pPr>
          </w:p>
          <w:p w14:paraId="49AF0954" w14:textId="5B05C430" w:rsidR="009C51A8" w:rsidRPr="00190F49" w:rsidRDefault="009C51A8" w:rsidP="00190F49">
            <w:pPr>
              <w:spacing w:after="0" w:line="240" w:lineRule="auto"/>
              <w:rPr>
                <w:rFonts w:ascii="Times New Roman" w:hAnsi="Times New Roman" w:cs="Times New Roman"/>
              </w:rPr>
            </w:pPr>
          </w:p>
          <w:p w14:paraId="07445C21" w14:textId="648F06AC" w:rsidR="009C51A8" w:rsidRPr="00190F49" w:rsidRDefault="009C51A8" w:rsidP="00190F49">
            <w:pPr>
              <w:spacing w:after="0" w:line="240" w:lineRule="auto"/>
              <w:rPr>
                <w:rFonts w:ascii="Times New Roman" w:hAnsi="Times New Roman" w:cs="Times New Roman"/>
              </w:rPr>
            </w:pPr>
          </w:p>
          <w:p w14:paraId="5DFFE686" w14:textId="3D3B8E0D" w:rsidR="009C51A8" w:rsidRPr="00190F49" w:rsidRDefault="009C51A8" w:rsidP="00190F49">
            <w:pPr>
              <w:spacing w:after="0" w:line="240" w:lineRule="auto"/>
              <w:rPr>
                <w:rFonts w:ascii="Times New Roman" w:hAnsi="Times New Roman" w:cs="Times New Roman"/>
              </w:rPr>
            </w:pPr>
          </w:p>
          <w:p w14:paraId="30C56DBA" w14:textId="210F4CB8" w:rsidR="009C51A8" w:rsidRPr="00190F49" w:rsidRDefault="009C51A8" w:rsidP="00190F49">
            <w:pPr>
              <w:spacing w:after="0" w:line="240" w:lineRule="auto"/>
              <w:rPr>
                <w:rFonts w:ascii="Times New Roman" w:hAnsi="Times New Roman" w:cs="Times New Roman"/>
              </w:rPr>
            </w:pPr>
          </w:p>
          <w:p w14:paraId="62FEE1A5" w14:textId="6723569F" w:rsidR="009C51A8" w:rsidRPr="00190F49" w:rsidRDefault="009C51A8" w:rsidP="00190F49">
            <w:pPr>
              <w:spacing w:after="0" w:line="240" w:lineRule="auto"/>
              <w:rPr>
                <w:rFonts w:ascii="Times New Roman" w:hAnsi="Times New Roman" w:cs="Times New Roman"/>
              </w:rPr>
            </w:pPr>
          </w:p>
          <w:p w14:paraId="51BF103D" w14:textId="29DEE561" w:rsidR="009C51A8" w:rsidRPr="00190F49" w:rsidRDefault="009C51A8" w:rsidP="00190F49">
            <w:pPr>
              <w:spacing w:after="0" w:line="240" w:lineRule="auto"/>
              <w:rPr>
                <w:rFonts w:ascii="Times New Roman" w:hAnsi="Times New Roman" w:cs="Times New Roman"/>
              </w:rPr>
            </w:pPr>
          </w:p>
          <w:p w14:paraId="67127F52" w14:textId="4BAB58C3" w:rsidR="009C51A8" w:rsidRPr="00190F49" w:rsidRDefault="009C51A8" w:rsidP="00190F49">
            <w:pPr>
              <w:spacing w:after="0" w:line="240" w:lineRule="auto"/>
              <w:rPr>
                <w:rFonts w:ascii="Times New Roman" w:hAnsi="Times New Roman" w:cs="Times New Roman"/>
              </w:rPr>
            </w:pPr>
          </w:p>
          <w:p w14:paraId="077900DE" w14:textId="4822F7D3" w:rsidR="009C51A8" w:rsidRPr="00190F49" w:rsidRDefault="009C51A8" w:rsidP="00190F49">
            <w:pPr>
              <w:spacing w:after="0" w:line="240" w:lineRule="auto"/>
              <w:rPr>
                <w:rFonts w:ascii="Times New Roman" w:hAnsi="Times New Roman" w:cs="Times New Roman"/>
              </w:rPr>
            </w:pPr>
          </w:p>
          <w:p w14:paraId="008A35D1" w14:textId="513F566F" w:rsidR="009C51A8" w:rsidRPr="00190F49" w:rsidRDefault="009C51A8" w:rsidP="00190F49">
            <w:pPr>
              <w:spacing w:after="0" w:line="240" w:lineRule="auto"/>
              <w:rPr>
                <w:rFonts w:ascii="Times New Roman" w:hAnsi="Times New Roman" w:cs="Times New Roman"/>
              </w:rPr>
            </w:pPr>
          </w:p>
          <w:p w14:paraId="05E3D36B" w14:textId="10326ED0" w:rsidR="009C51A8" w:rsidRPr="00190F49" w:rsidRDefault="009C51A8" w:rsidP="00190F49">
            <w:pPr>
              <w:spacing w:after="0" w:line="240" w:lineRule="auto"/>
              <w:rPr>
                <w:rFonts w:ascii="Times New Roman" w:hAnsi="Times New Roman" w:cs="Times New Roman"/>
              </w:rPr>
            </w:pPr>
          </w:p>
          <w:p w14:paraId="79D1EB37" w14:textId="05398C07" w:rsidR="009C51A8" w:rsidRPr="00190F49" w:rsidRDefault="009C51A8" w:rsidP="00190F49">
            <w:pPr>
              <w:spacing w:after="0" w:line="240" w:lineRule="auto"/>
              <w:rPr>
                <w:rFonts w:ascii="Times New Roman" w:hAnsi="Times New Roman" w:cs="Times New Roman"/>
              </w:rPr>
            </w:pPr>
          </w:p>
          <w:p w14:paraId="0BBDA384" w14:textId="0536B08F" w:rsidR="009C51A8" w:rsidRPr="00190F49" w:rsidRDefault="009C51A8" w:rsidP="00190F49">
            <w:pPr>
              <w:spacing w:after="0" w:line="240" w:lineRule="auto"/>
              <w:rPr>
                <w:rFonts w:ascii="Times New Roman" w:hAnsi="Times New Roman" w:cs="Times New Roman"/>
              </w:rPr>
            </w:pPr>
          </w:p>
          <w:p w14:paraId="1E201ADE" w14:textId="50B383F9" w:rsidR="009C51A8" w:rsidRPr="00190F49" w:rsidRDefault="009C51A8" w:rsidP="00190F49">
            <w:pPr>
              <w:spacing w:after="0" w:line="240" w:lineRule="auto"/>
              <w:rPr>
                <w:rFonts w:ascii="Times New Roman" w:hAnsi="Times New Roman" w:cs="Times New Roman"/>
              </w:rPr>
            </w:pPr>
          </w:p>
          <w:p w14:paraId="11DAD2AF" w14:textId="12D13448" w:rsidR="009C51A8" w:rsidRPr="00190F49" w:rsidRDefault="009C51A8" w:rsidP="00190F49">
            <w:pPr>
              <w:spacing w:after="0" w:line="240" w:lineRule="auto"/>
              <w:rPr>
                <w:rFonts w:ascii="Times New Roman" w:hAnsi="Times New Roman" w:cs="Times New Roman"/>
              </w:rPr>
            </w:pPr>
          </w:p>
          <w:p w14:paraId="7ECF642D" w14:textId="75431120" w:rsidR="009C51A8" w:rsidRPr="00190F49" w:rsidRDefault="009C51A8" w:rsidP="00190F49">
            <w:pPr>
              <w:spacing w:after="0" w:line="240" w:lineRule="auto"/>
              <w:rPr>
                <w:rFonts w:ascii="Times New Roman" w:hAnsi="Times New Roman" w:cs="Times New Roman"/>
              </w:rPr>
            </w:pPr>
          </w:p>
          <w:p w14:paraId="28F4DF5A" w14:textId="55295ABB" w:rsidR="009C51A8" w:rsidRPr="00190F49" w:rsidRDefault="009C51A8" w:rsidP="00190F49">
            <w:pPr>
              <w:spacing w:after="0" w:line="240" w:lineRule="auto"/>
              <w:rPr>
                <w:rFonts w:ascii="Times New Roman" w:hAnsi="Times New Roman" w:cs="Times New Roman"/>
              </w:rPr>
            </w:pPr>
          </w:p>
          <w:p w14:paraId="2E8AAC60" w14:textId="19039CB2" w:rsidR="009C51A8" w:rsidRPr="00190F49" w:rsidRDefault="009C51A8" w:rsidP="00190F49">
            <w:pPr>
              <w:spacing w:after="0" w:line="240" w:lineRule="auto"/>
              <w:rPr>
                <w:rFonts w:ascii="Times New Roman" w:hAnsi="Times New Roman" w:cs="Times New Roman"/>
              </w:rPr>
            </w:pPr>
          </w:p>
          <w:p w14:paraId="3A9F0685" w14:textId="01C9FC74" w:rsidR="009C51A8" w:rsidRPr="00190F49" w:rsidRDefault="009C51A8" w:rsidP="00190F49">
            <w:pPr>
              <w:spacing w:after="0" w:line="240" w:lineRule="auto"/>
              <w:rPr>
                <w:rFonts w:ascii="Times New Roman" w:hAnsi="Times New Roman" w:cs="Times New Roman"/>
              </w:rPr>
            </w:pPr>
          </w:p>
          <w:p w14:paraId="3CE6A357" w14:textId="77151918" w:rsidR="009C51A8" w:rsidRPr="00190F49" w:rsidRDefault="009C51A8" w:rsidP="00190F49">
            <w:pPr>
              <w:spacing w:after="0" w:line="240" w:lineRule="auto"/>
              <w:rPr>
                <w:rFonts w:ascii="Times New Roman" w:hAnsi="Times New Roman" w:cs="Times New Roman"/>
              </w:rPr>
            </w:pPr>
          </w:p>
          <w:p w14:paraId="7F70B26A" w14:textId="217980B9" w:rsidR="009C51A8" w:rsidRPr="00190F49" w:rsidRDefault="009C51A8" w:rsidP="00190F49">
            <w:pPr>
              <w:spacing w:after="0" w:line="240" w:lineRule="auto"/>
              <w:rPr>
                <w:rFonts w:ascii="Times New Roman" w:hAnsi="Times New Roman" w:cs="Times New Roman"/>
              </w:rPr>
            </w:pPr>
          </w:p>
          <w:p w14:paraId="4D4C088E" w14:textId="78F11722" w:rsidR="009C51A8" w:rsidRPr="00190F49" w:rsidRDefault="009C51A8" w:rsidP="00190F49">
            <w:pPr>
              <w:spacing w:after="0" w:line="240" w:lineRule="auto"/>
              <w:rPr>
                <w:rFonts w:ascii="Times New Roman" w:hAnsi="Times New Roman" w:cs="Times New Roman"/>
              </w:rPr>
            </w:pPr>
          </w:p>
          <w:p w14:paraId="5411749A" w14:textId="3CB31E86" w:rsidR="009C51A8" w:rsidRPr="00190F49" w:rsidRDefault="009C51A8" w:rsidP="00190F49">
            <w:pPr>
              <w:spacing w:after="0" w:line="240" w:lineRule="auto"/>
              <w:rPr>
                <w:rFonts w:ascii="Times New Roman" w:hAnsi="Times New Roman" w:cs="Times New Roman"/>
              </w:rPr>
            </w:pPr>
          </w:p>
          <w:p w14:paraId="3EA6C7B5" w14:textId="1F483A1B" w:rsidR="009C51A8" w:rsidRPr="00190F49" w:rsidRDefault="009C51A8" w:rsidP="00190F49">
            <w:pPr>
              <w:spacing w:after="0" w:line="240" w:lineRule="auto"/>
              <w:rPr>
                <w:rFonts w:ascii="Times New Roman" w:hAnsi="Times New Roman" w:cs="Times New Roman"/>
              </w:rPr>
            </w:pPr>
          </w:p>
          <w:p w14:paraId="30E9DEFF" w14:textId="171CB787" w:rsidR="009C51A8" w:rsidRPr="00190F49" w:rsidRDefault="009C51A8" w:rsidP="00190F49">
            <w:pPr>
              <w:spacing w:after="0" w:line="240" w:lineRule="auto"/>
              <w:rPr>
                <w:rFonts w:ascii="Times New Roman" w:hAnsi="Times New Roman" w:cs="Times New Roman"/>
              </w:rPr>
            </w:pPr>
          </w:p>
          <w:p w14:paraId="43B9762F" w14:textId="3CF7AF22" w:rsidR="009C51A8" w:rsidRPr="00190F49" w:rsidRDefault="009C51A8" w:rsidP="00190F49">
            <w:pPr>
              <w:spacing w:after="0" w:line="240" w:lineRule="auto"/>
              <w:rPr>
                <w:rFonts w:ascii="Times New Roman" w:hAnsi="Times New Roman" w:cs="Times New Roman"/>
              </w:rPr>
            </w:pPr>
          </w:p>
          <w:p w14:paraId="05067ED3" w14:textId="653C2577" w:rsidR="009C51A8" w:rsidRPr="00190F49" w:rsidRDefault="009C51A8" w:rsidP="00190F49">
            <w:pPr>
              <w:spacing w:after="0" w:line="240" w:lineRule="auto"/>
              <w:rPr>
                <w:rFonts w:ascii="Times New Roman" w:hAnsi="Times New Roman" w:cs="Times New Roman"/>
              </w:rPr>
            </w:pPr>
          </w:p>
          <w:p w14:paraId="4F7624A4" w14:textId="02687C53" w:rsidR="009C51A8" w:rsidRPr="00190F49" w:rsidRDefault="009C51A8" w:rsidP="00190F49">
            <w:pPr>
              <w:spacing w:after="0" w:line="240" w:lineRule="auto"/>
              <w:rPr>
                <w:rFonts w:ascii="Times New Roman" w:hAnsi="Times New Roman" w:cs="Times New Roman"/>
              </w:rPr>
            </w:pPr>
          </w:p>
          <w:p w14:paraId="7D764055" w14:textId="3C8F0853" w:rsidR="009C51A8" w:rsidRPr="00190F49" w:rsidRDefault="009C51A8" w:rsidP="00190F49">
            <w:pPr>
              <w:spacing w:after="0" w:line="240" w:lineRule="auto"/>
              <w:rPr>
                <w:rFonts w:ascii="Times New Roman" w:hAnsi="Times New Roman" w:cs="Times New Roman"/>
              </w:rPr>
            </w:pPr>
          </w:p>
          <w:p w14:paraId="563F23E7" w14:textId="4F514742" w:rsidR="009C51A8" w:rsidRPr="00190F49" w:rsidRDefault="009C51A8" w:rsidP="00190F49">
            <w:pPr>
              <w:spacing w:after="0" w:line="240" w:lineRule="auto"/>
              <w:rPr>
                <w:rFonts w:ascii="Times New Roman" w:hAnsi="Times New Roman" w:cs="Times New Roman"/>
              </w:rPr>
            </w:pPr>
          </w:p>
          <w:p w14:paraId="7C278FDB" w14:textId="14C6BF72" w:rsidR="009C51A8" w:rsidRPr="00190F49" w:rsidRDefault="009C51A8" w:rsidP="00190F49">
            <w:pPr>
              <w:spacing w:after="0" w:line="240" w:lineRule="auto"/>
              <w:rPr>
                <w:rFonts w:ascii="Times New Roman" w:hAnsi="Times New Roman" w:cs="Times New Roman"/>
              </w:rPr>
            </w:pPr>
          </w:p>
          <w:p w14:paraId="27AB27B2" w14:textId="6C1EA2BD" w:rsidR="009C51A8" w:rsidRPr="00190F49" w:rsidRDefault="009C51A8" w:rsidP="00190F49">
            <w:pPr>
              <w:spacing w:after="0" w:line="240" w:lineRule="auto"/>
              <w:rPr>
                <w:rFonts w:ascii="Times New Roman" w:hAnsi="Times New Roman" w:cs="Times New Roman"/>
              </w:rPr>
            </w:pPr>
          </w:p>
          <w:p w14:paraId="6E562D03" w14:textId="7B09ABC5" w:rsidR="009C51A8" w:rsidRPr="00190F49" w:rsidRDefault="009C51A8" w:rsidP="00190F49">
            <w:pPr>
              <w:spacing w:after="0" w:line="240" w:lineRule="auto"/>
              <w:rPr>
                <w:rFonts w:ascii="Times New Roman" w:hAnsi="Times New Roman" w:cs="Times New Roman"/>
              </w:rPr>
            </w:pPr>
          </w:p>
          <w:p w14:paraId="3D0FA31F" w14:textId="1BF1AE29" w:rsidR="009C51A8" w:rsidRPr="00190F49" w:rsidRDefault="009C51A8" w:rsidP="00190F49">
            <w:pPr>
              <w:spacing w:after="0" w:line="240" w:lineRule="auto"/>
              <w:rPr>
                <w:rFonts w:ascii="Times New Roman" w:hAnsi="Times New Roman" w:cs="Times New Roman"/>
              </w:rPr>
            </w:pPr>
          </w:p>
          <w:p w14:paraId="21B322D4" w14:textId="704BE0E0" w:rsidR="009C51A8" w:rsidRPr="00190F49" w:rsidRDefault="009C51A8" w:rsidP="00190F49">
            <w:pPr>
              <w:spacing w:after="0" w:line="240" w:lineRule="auto"/>
              <w:rPr>
                <w:rFonts w:ascii="Times New Roman" w:hAnsi="Times New Roman" w:cs="Times New Roman"/>
              </w:rPr>
            </w:pPr>
          </w:p>
          <w:p w14:paraId="29FEE49E" w14:textId="329542F6" w:rsidR="009C51A8" w:rsidRPr="00190F49" w:rsidRDefault="009C51A8" w:rsidP="00190F49">
            <w:pPr>
              <w:spacing w:after="0" w:line="240" w:lineRule="auto"/>
              <w:rPr>
                <w:rFonts w:ascii="Times New Roman" w:hAnsi="Times New Roman" w:cs="Times New Roman"/>
              </w:rPr>
            </w:pPr>
          </w:p>
          <w:p w14:paraId="2336AEBC" w14:textId="03DA3433" w:rsidR="009C51A8" w:rsidRPr="00190F49" w:rsidRDefault="009C51A8" w:rsidP="00190F49">
            <w:pPr>
              <w:spacing w:after="0" w:line="240" w:lineRule="auto"/>
              <w:rPr>
                <w:rFonts w:ascii="Times New Roman" w:hAnsi="Times New Roman" w:cs="Times New Roman"/>
              </w:rPr>
            </w:pPr>
          </w:p>
          <w:p w14:paraId="65112A18" w14:textId="5E88C2F1" w:rsidR="009C51A8" w:rsidRPr="00190F49" w:rsidRDefault="009C51A8" w:rsidP="00190F49">
            <w:pPr>
              <w:spacing w:after="0" w:line="240" w:lineRule="auto"/>
              <w:rPr>
                <w:rFonts w:ascii="Times New Roman" w:hAnsi="Times New Roman" w:cs="Times New Roman"/>
              </w:rPr>
            </w:pPr>
          </w:p>
          <w:p w14:paraId="3FAB8ACA" w14:textId="32F84F29" w:rsidR="009C51A8" w:rsidRPr="00190F49" w:rsidRDefault="009C51A8" w:rsidP="00190F49">
            <w:pPr>
              <w:spacing w:after="0" w:line="240" w:lineRule="auto"/>
              <w:rPr>
                <w:rFonts w:ascii="Times New Roman" w:hAnsi="Times New Roman" w:cs="Times New Roman"/>
              </w:rPr>
            </w:pPr>
          </w:p>
          <w:p w14:paraId="7B01A152" w14:textId="0896C74B" w:rsidR="009C51A8" w:rsidRPr="00190F49" w:rsidRDefault="009C51A8" w:rsidP="00190F49">
            <w:pPr>
              <w:spacing w:after="0" w:line="240" w:lineRule="auto"/>
              <w:rPr>
                <w:rFonts w:ascii="Times New Roman" w:hAnsi="Times New Roman" w:cs="Times New Roman"/>
              </w:rPr>
            </w:pPr>
          </w:p>
          <w:p w14:paraId="1B684F81" w14:textId="0BBED7BE" w:rsidR="009C51A8" w:rsidRPr="00190F49" w:rsidRDefault="009C51A8" w:rsidP="00190F49">
            <w:pPr>
              <w:spacing w:after="0" w:line="240" w:lineRule="auto"/>
              <w:rPr>
                <w:rFonts w:ascii="Times New Roman" w:hAnsi="Times New Roman" w:cs="Times New Roman"/>
              </w:rPr>
            </w:pPr>
          </w:p>
          <w:p w14:paraId="33673944" w14:textId="1A0CA3BF" w:rsidR="009C51A8" w:rsidRPr="00190F49" w:rsidRDefault="009C51A8" w:rsidP="00190F49">
            <w:pPr>
              <w:spacing w:after="0" w:line="240" w:lineRule="auto"/>
              <w:rPr>
                <w:rFonts w:ascii="Times New Roman" w:hAnsi="Times New Roman" w:cs="Times New Roman"/>
              </w:rPr>
            </w:pPr>
          </w:p>
          <w:p w14:paraId="71F29925" w14:textId="02EA1A94" w:rsidR="009C51A8" w:rsidRPr="00190F49" w:rsidRDefault="009C51A8" w:rsidP="00190F49">
            <w:pPr>
              <w:spacing w:after="0" w:line="240" w:lineRule="auto"/>
              <w:rPr>
                <w:rFonts w:ascii="Times New Roman" w:hAnsi="Times New Roman" w:cs="Times New Roman"/>
              </w:rPr>
            </w:pPr>
          </w:p>
          <w:p w14:paraId="6A0A563C" w14:textId="299B3E07" w:rsidR="009C51A8" w:rsidRPr="00190F49" w:rsidRDefault="009C51A8" w:rsidP="00190F49">
            <w:pPr>
              <w:spacing w:after="0" w:line="240" w:lineRule="auto"/>
              <w:rPr>
                <w:rFonts w:ascii="Times New Roman" w:hAnsi="Times New Roman" w:cs="Times New Roman"/>
              </w:rPr>
            </w:pPr>
          </w:p>
          <w:p w14:paraId="43A7512F" w14:textId="04E24C39" w:rsidR="009C51A8" w:rsidRPr="00190F49" w:rsidRDefault="009C51A8" w:rsidP="00190F49">
            <w:pPr>
              <w:spacing w:after="0" w:line="240" w:lineRule="auto"/>
              <w:rPr>
                <w:rFonts w:ascii="Times New Roman" w:hAnsi="Times New Roman" w:cs="Times New Roman"/>
              </w:rPr>
            </w:pPr>
          </w:p>
          <w:p w14:paraId="7892D981" w14:textId="34AF2FE9" w:rsidR="009C51A8" w:rsidRPr="00190F49" w:rsidRDefault="009C51A8" w:rsidP="00190F49">
            <w:pPr>
              <w:spacing w:after="0" w:line="240" w:lineRule="auto"/>
              <w:rPr>
                <w:rFonts w:ascii="Times New Roman" w:hAnsi="Times New Roman" w:cs="Times New Roman"/>
              </w:rPr>
            </w:pPr>
          </w:p>
          <w:p w14:paraId="3FCDD5D6" w14:textId="56914490" w:rsidR="009C51A8" w:rsidRPr="00190F49" w:rsidRDefault="009C51A8" w:rsidP="00190F49">
            <w:pPr>
              <w:spacing w:after="0" w:line="240" w:lineRule="auto"/>
              <w:rPr>
                <w:rFonts w:ascii="Times New Roman" w:hAnsi="Times New Roman" w:cs="Times New Roman"/>
              </w:rPr>
            </w:pPr>
          </w:p>
          <w:p w14:paraId="1E002FA4" w14:textId="08306C91" w:rsidR="009C51A8" w:rsidRPr="00190F49" w:rsidRDefault="009C51A8" w:rsidP="00190F49">
            <w:pPr>
              <w:spacing w:after="0" w:line="240" w:lineRule="auto"/>
              <w:rPr>
                <w:rFonts w:ascii="Times New Roman" w:hAnsi="Times New Roman" w:cs="Times New Roman"/>
              </w:rPr>
            </w:pPr>
          </w:p>
          <w:p w14:paraId="44C19CD0" w14:textId="52A9C2DC" w:rsidR="009C51A8" w:rsidRPr="00190F49" w:rsidRDefault="009C51A8" w:rsidP="00190F49">
            <w:pPr>
              <w:spacing w:after="0" w:line="240" w:lineRule="auto"/>
              <w:rPr>
                <w:rFonts w:ascii="Times New Roman" w:hAnsi="Times New Roman" w:cs="Times New Roman"/>
              </w:rPr>
            </w:pPr>
          </w:p>
          <w:p w14:paraId="55A54FF5" w14:textId="41F94245" w:rsidR="009C51A8" w:rsidRPr="00190F49" w:rsidRDefault="009C51A8" w:rsidP="00190F49">
            <w:pPr>
              <w:spacing w:after="0" w:line="240" w:lineRule="auto"/>
              <w:rPr>
                <w:rFonts w:ascii="Times New Roman" w:hAnsi="Times New Roman" w:cs="Times New Roman"/>
              </w:rPr>
            </w:pPr>
          </w:p>
          <w:p w14:paraId="127029DC" w14:textId="740299C3" w:rsidR="009C51A8" w:rsidRPr="00190F49" w:rsidRDefault="009C51A8" w:rsidP="00190F49">
            <w:pPr>
              <w:spacing w:after="0" w:line="240" w:lineRule="auto"/>
              <w:rPr>
                <w:rFonts w:ascii="Times New Roman" w:hAnsi="Times New Roman" w:cs="Times New Roman"/>
              </w:rPr>
            </w:pPr>
          </w:p>
          <w:p w14:paraId="22D1BA90" w14:textId="62EEEF5E" w:rsidR="009C51A8" w:rsidRPr="00190F49" w:rsidRDefault="009C51A8" w:rsidP="00190F49">
            <w:pPr>
              <w:spacing w:after="0" w:line="240" w:lineRule="auto"/>
              <w:rPr>
                <w:rFonts w:ascii="Times New Roman" w:hAnsi="Times New Roman" w:cs="Times New Roman"/>
              </w:rPr>
            </w:pPr>
          </w:p>
          <w:p w14:paraId="0361C6D0" w14:textId="5914CEFC" w:rsidR="009C51A8" w:rsidRPr="00190F49" w:rsidRDefault="009C51A8" w:rsidP="00190F49">
            <w:pPr>
              <w:spacing w:after="0" w:line="240" w:lineRule="auto"/>
              <w:rPr>
                <w:rFonts w:ascii="Times New Roman" w:hAnsi="Times New Roman" w:cs="Times New Roman"/>
              </w:rPr>
            </w:pPr>
          </w:p>
          <w:p w14:paraId="0E5586F2" w14:textId="0226ACE3" w:rsidR="009C51A8" w:rsidRPr="00190F49" w:rsidRDefault="009C51A8" w:rsidP="00190F49">
            <w:pPr>
              <w:spacing w:after="0" w:line="240" w:lineRule="auto"/>
              <w:rPr>
                <w:rFonts w:ascii="Times New Roman" w:hAnsi="Times New Roman" w:cs="Times New Roman"/>
              </w:rPr>
            </w:pPr>
          </w:p>
          <w:p w14:paraId="20C33212" w14:textId="7B649974" w:rsidR="009C51A8" w:rsidRPr="00190F49" w:rsidRDefault="009C51A8" w:rsidP="00190F49">
            <w:pPr>
              <w:spacing w:after="0" w:line="240" w:lineRule="auto"/>
              <w:rPr>
                <w:rFonts w:ascii="Times New Roman" w:hAnsi="Times New Roman" w:cs="Times New Roman"/>
              </w:rPr>
            </w:pPr>
          </w:p>
          <w:p w14:paraId="5D6001D5" w14:textId="47332A9C" w:rsidR="009C51A8" w:rsidRPr="00190F49" w:rsidRDefault="009C51A8" w:rsidP="00190F49">
            <w:pPr>
              <w:spacing w:after="0" w:line="240" w:lineRule="auto"/>
              <w:rPr>
                <w:rFonts w:ascii="Times New Roman" w:hAnsi="Times New Roman" w:cs="Times New Roman"/>
              </w:rPr>
            </w:pPr>
          </w:p>
          <w:p w14:paraId="10F68189" w14:textId="5BD41698" w:rsidR="009C51A8" w:rsidRPr="00190F49" w:rsidRDefault="009C51A8" w:rsidP="00190F49">
            <w:pPr>
              <w:spacing w:after="0" w:line="240" w:lineRule="auto"/>
              <w:rPr>
                <w:rFonts w:ascii="Times New Roman" w:hAnsi="Times New Roman" w:cs="Times New Roman"/>
              </w:rPr>
            </w:pPr>
          </w:p>
          <w:p w14:paraId="7273BD67" w14:textId="5D35FFBE" w:rsidR="009C51A8" w:rsidRPr="00190F49" w:rsidRDefault="009C51A8" w:rsidP="00190F49">
            <w:pPr>
              <w:spacing w:after="0" w:line="240" w:lineRule="auto"/>
              <w:rPr>
                <w:rFonts w:ascii="Times New Roman" w:hAnsi="Times New Roman" w:cs="Times New Roman"/>
              </w:rPr>
            </w:pPr>
          </w:p>
          <w:p w14:paraId="7BA10871" w14:textId="6BCDD0E2" w:rsidR="009C51A8" w:rsidRPr="00190F49" w:rsidRDefault="009C51A8" w:rsidP="00190F49">
            <w:pPr>
              <w:spacing w:after="0" w:line="240" w:lineRule="auto"/>
              <w:rPr>
                <w:rFonts w:ascii="Times New Roman" w:hAnsi="Times New Roman" w:cs="Times New Roman"/>
              </w:rPr>
            </w:pPr>
          </w:p>
          <w:p w14:paraId="51D3556D" w14:textId="33812305" w:rsidR="009C51A8" w:rsidRPr="00190F49" w:rsidRDefault="009C51A8" w:rsidP="00190F49">
            <w:pPr>
              <w:spacing w:after="0" w:line="240" w:lineRule="auto"/>
              <w:rPr>
                <w:rFonts w:ascii="Times New Roman" w:hAnsi="Times New Roman" w:cs="Times New Roman"/>
              </w:rPr>
            </w:pPr>
          </w:p>
          <w:p w14:paraId="37B720DB" w14:textId="77777777" w:rsidR="0082715B" w:rsidRDefault="0082715B" w:rsidP="00190F49">
            <w:pPr>
              <w:spacing w:after="0" w:line="240" w:lineRule="auto"/>
              <w:rPr>
                <w:rFonts w:ascii="Times New Roman" w:hAnsi="Times New Roman" w:cs="Times New Roman"/>
              </w:rPr>
            </w:pPr>
          </w:p>
          <w:p w14:paraId="0FFC8214" w14:textId="77777777" w:rsidR="0082715B" w:rsidRDefault="0082715B" w:rsidP="00190F49">
            <w:pPr>
              <w:spacing w:after="0" w:line="240" w:lineRule="auto"/>
              <w:rPr>
                <w:rFonts w:ascii="Times New Roman" w:hAnsi="Times New Roman" w:cs="Times New Roman"/>
              </w:rPr>
            </w:pPr>
          </w:p>
          <w:p w14:paraId="3E6AA554" w14:textId="77777777" w:rsidR="0082715B" w:rsidRDefault="0082715B" w:rsidP="00190F49">
            <w:pPr>
              <w:spacing w:after="0" w:line="240" w:lineRule="auto"/>
              <w:rPr>
                <w:rFonts w:ascii="Times New Roman" w:hAnsi="Times New Roman" w:cs="Times New Roman"/>
              </w:rPr>
            </w:pPr>
          </w:p>
          <w:p w14:paraId="14171FA1" w14:textId="77777777" w:rsidR="0082715B" w:rsidRDefault="0082715B" w:rsidP="00190F49">
            <w:pPr>
              <w:spacing w:after="0" w:line="240" w:lineRule="auto"/>
              <w:rPr>
                <w:rFonts w:ascii="Times New Roman" w:hAnsi="Times New Roman" w:cs="Times New Roman"/>
              </w:rPr>
            </w:pPr>
          </w:p>
          <w:p w14:paraId="67A416C3" w14:textId="77777777" w:rsidR="0082715B" w:rsidRDefault="0082715B" w:rsidP="00190F49">
            <w:pPr>
              <w:spacing w:after="0" w:line="240" w:lineRule="auto"/>
              <w:rPr>
                <w:rFonts w:ascii="Times New Roman" w:hAnsi="Times New Roman" w:cs="Times New Roman"/>
              </w:rPr>
            </w:pPr>
          </w:p>
          <w:p w14:paraId="2AAC8127" w14:textId="77777777" w:rsidR="0082715B" w:rsidRDefault="0082715B" w:rsidP="00190F49">
            <w:pPr>
              <w:spacing w:after="0" w:line="240" w:lineRule="auto"/>
              <w:rPr>
                <w:rFonts w:ascii="Times New Roman" w:hAnsi="Times New Roman" w:cs="Times New Roman"/>
              </w:rPr>
            </w:pPr>
          </w:p>
          <w:p w14:paraId="530ED01B" w14:textId="77777777" w:rsidR="0082715B" w:rsidRDefault="0082715B" w:rsidP="00190F49">
            <w:pPr>
              <w:spacing w:after="0" w:line="240" w:lineRule="auto"/>
              <w:rPr>
                <w:rFonts w:ascii="Times New Roman" w:hAnsi="Times New Roman" w:cs="Times New Roman"/>
              </w:rPr>
            </w:pPr>
          </w:p>
          <w:p w14:paraId="47F9B8AB" w14:textId="77777777" w:rsidR="0082715B" w:rsidRDefault="0082715B" w:rsidP="00190F49">
            <w:pPr>
              <w:spacing w:after="0" w:line="240" w:lineRule="auto"/>
              <w:rPr>
                <w:rFonts w:ascii="Times New Roman" w:hAnsi="Times New Roman" w:cs="Times New Roman"/>
              </w:rPr>
            </w:pPr>
          </w:p>
          <w:p w14:paraId="546D2EA9" w14:textId="77777777" w:rsidR="0082715B" w:rsidRDefault="0082715B" w:rsidP="00190F49">
            <w:pPr>
              <w:spacing w:after="0" w:line="240" w:lineRule="auto"/>
              <w:rPr>
                <w:rFonts w:ascii="Times New Roman" w:hAnsi="Times New Roman" w:cs="Times New Roman"/>
              </w:rPr>
            </w:pPr>
          </w:p>
          <w:p w14:paraId="5BF1E835" w14:textId="77777777" w:rsidR="0082715B" w:rsidRDefault="0082715B" w:rsidP="00190F49">
            <w:pPr>
              <w:spacing w:after="0" w:line="240" w:lineRule="auto"/>
              <w:rPr>
                <w:rFonts w:ascii="Times New Roman" w:hAnsi="Times New Roman" w:cs="Times New Roman"/>
              </w:rPr>
            </w:pPr>
          </w:p>
          <w:p w14:paraId="681CDB38" w14:textId="77777777" w:rsidR="0082715B" w:rsidRDefault="0082715B" w:rsidP="00190F49">
            <w:pPr>
              <w:spacing w:after="0" w:line="240" w:lineRule="auto"/>
              <w:rPr>
                <w:rFonts w:ascii="Times New Roman" w:hAnsi="Times New Roman" w:cs="Times New Roman"/>
              </w:rPr>
            </w:pPr>
          </w:p>
          <w:p w14:paraId="0B368BAA" w14:textId="77777777" w:rsidR="0082715B" w:rsidRDefault="0082715B" w:rsidP="00190F49">
            <w:pPr>
              <w:spacing w:after="0" w:line="240" w:lineRule="auto"/>
              <w:rPr>
                <w:rFonts w:ascii="Times New Roman" w:hAnsi="Times New Roman" w:cs="Times New Roman"/>
              </w:rPr>
            </w:pPr>
          </w:p>
          <w:p w14:paraId="67D56555" w14:textId="77777777" w:rsidR="0082715B" w:rsidRDefault="0082715B" w:rsidP="00190F49">
            <w:pPr>
              <w:spacing w:after="0" w:line="240" w:lineRule="auto"/>
              <w:rPr>
                <w:rFonts w:ascii="Times New Roman" w:hAnsi="Times New Roman" w:cs="Times New Roman"/>
              </w:rPr>
            </w:pPr>
          </w:p>
          <w:p w14:paraId="2F8CD038" w14:textId="77777777" w:rsidR="0082715B" w:rsidRDefault="0082715B" w:rsidP="00190F49">
            <w:pPr>
              <w:spacing w:after="0" w:line="240" w:lineRule="auto"/>
              <w:rPr>
                <w:rFonts w:ascii="Times New Roman" w:hAnsi="Times New Roman" w:cs="Times New Roman"/>
              </w:rPr>
            </w:pPr>
          </w:p>
          <w:p w14:paraId="14133EC5" w14:textId="77777777" w:rsidR="0082715B" w:rsidRDefault="0082715B" w:rsidP="00190F49">
            <w:pPr>
              <w:spacing w:after="0" w:line="240" w:lineRule="auto"/>
              <w:rPr>
                <w:rFonts w:ascii="Times New Roman" w:hAnsi="Times New Roman" w:cs="Times New Roman"/>
              </w:rPr>
            </w:pPr>
          </w:p>
          <w:p w14:paraId="7694C7FC" w14:textId="77777777" w:rsidR="0082715B" w:rsidRDefault="0082715B" w:rsidP="00190F49">
            <w:pPr>
              <w:spacing w:after="0" w:line="240" w:lineRule="auto"/>
              <w:rPr>
                <w:rFonts w:ascii="Times New Roman" w:hAnsi="Times New Roman" w:cs="Times New Roman"/>
              </w:rPr>
            </w:pPr>
          </w:p>
          <w:p w14:paraId="70954A14" w14:textId="77777777" w:rsidR="0082715B" w:rsidRDefault="0082715B" w:rsidP="00190F49">
            <w:pPr>
              <w:spacing w:after="0" w:line="240" w:lineRule="auto"/>
              <w:rPr>
                <w:rFonts w:ascii="Times New Roman" w:hAnsi="Times New Roman" w:cs="Times New Roman"/>
              </w:rPr>
            </w:pPr>
          </w:p>
          <w:p w14:paraId="1F79CEC2" w14:textId="77777777" w:rsidR="0082715B" w:rsidRDefault="0082715B" w:rsidP="00190F49">
            <w:pPr>
              <w:spacing w:after="0" w:line="240" w:lineRule="auto"/>
              <w:rPr>
                <w:rFonts w:ascii="Times New Roman" w:hAnsi="Times New Roman" w:cs="Times New Roman"/>
              </w:rPr>
            </w:pPr>
          </w:p>
          <w:p w14:paraId="056B2DC0" w14:textId="77777777" w:rsidR="0082715B" w:rsidRDefault="0082715B" w:rsidP="00190F49">
            <w:pPr>
              <w:spacing w:after="0" w:line="240" w:lineRule="auto"/>
              <w:rPr>
                <w:rFonts w:ascii="Times New Roman" w:hAnsi="Times New Roman" w:cs="Times New Roman"/>
              </w:rPr>
            </w:pPr>
          </w:p>
          <w:p w14:paraId="180E0F21" w14:textId="77777777" w:rsidR="0082715B" w:rsidRDefault="0082715B" w:rsidP="00190F49">
            <w:pPr>
              <w:spacing w:after="0" w:line="240" w:lineRule="auto"/>
              <w:rPr>
                <w:rFonts w:ascii="Times New Roman" w:hAnsi="Times New Roman" w:cs="Times New Roman"/>
              </w:rPr>
            </w:pPr>
          </w:p>
          <w:p w14:paraId="0661450A" w14:textId="77777777" w:rsidR="0082715B" w:rsidRDefault="0082715B" w:rsidP="00190F49">
            <w:pPr>
              <w:spacing w:after="0" w:line="240" w:lineRule="auto"/>
              <w:rPr>
                <w:rFonts w:ascii="Times New Roman" w:hAnsi="Times New Roman" w:cs="Times New Roman"/>
              </w:rPr>
            </w:pPr>
          </w:p>
          <w:p w14:paraId="5B071638" w14:textId="77777777" w:rsidR="0082715B" w:rsidRDefault="0082715B" w:rsidP="00190F49">
            <w:pPr>
              <w:spacing w:after="0" w:line="240" w:lineRule="auto"/>
              <w:rPr>
                <w:rFonts w:ascii="Times New Roman" w:hAnsi="Times New Roman" w:cs="Times New Roman"/>
              </w:rPr>
            </w:pPr>
          </w:p>
          <w:p w14:paraId="3723E4DE" w14:textId="77777777" w:rsidR="0082715B" w:rsidRDefault="0082715B" w:rsidP="00190F49">
            <w:pPr>
              <w:spacing w:after="0" w:line="240" w:lineRule="auto"/>
              <w:rPr>
                <w:rFonts w:ascii="Times New Roman" w:hAnsi="Times New Roman" w:cs="Times New Roman"/>
              </w:rPr>
            </w:pPr>
          </w:p>
          <w:p w14:paraId="387D869A" w14:textId="77777777" w:rsidR="0082715B" w:rsidRDefault="0082715B" w:rsidP="00190F49">
            <w:pPr>
              <w:spacing w:after="0" w:line="240" w:lineRule="auto"/>
              <w:rPr>
                <w:rFonts w:ascii="Times New Roman" w:hAnsi="Times New Roman" w:cs="Times New Roman"/>
              </w:rPr>
            </w:pPr>
          </w:p>
          <w:p w14:paraId="4C35C773" w14:textId="77777777" w:rsidR="0082715B" w:rsidRDefault="0082715B" w:rsidP="00190F49">
            <w:pPr>
              <w:spacing w:after="0" w:line="240" w:lineRule="auto"/>
              <w:rPr>
                <w:rFonts w:ascii="Times New Roman" w:hAnsi="Times New Roman" w:cs="Times New Roman"/>
              </w:rPr>
            </w:pPr>
          </w:p>
          <w:p w14:paraId="71D2825B" w14:textId="77777777" w:rsidR="0082715B" w:rsidRDefault="0082715B" w:rsidP="00190F49">
            <w:pPr>
              <w:spacing w:after="0" w:line="240" w:lineRule="auto"/>
              <w:rPr>
                <w:rFonts w:ascii="Times New Roman" w:hAnsi="Times New Roman" w:cs="Times New Roman"/>
              </w:rPr>
            </w:pPr>
          </w:p>
          <w:p w14:paraId="2F071BC7" w14:textId="77777777" w:rsidR="0082715B" w:rsidRDefault="0082715B" w:rsidP="00190F49">
            <w:pPr>
              <w:spacing w:after="0" w:line="240" w:lineRule="auto"/>
              <w:rPr>
                <w:rFonts w:ascii="Times New Roman" w:hAnsi="Times New Roman" w:cs="Times New Roman"/>
              </w:rPr>
            </w:pPr>
          </w:p>
          <w:p w14:paraId="1C5EDE67" w14:textId="77777777" w:rsidR="0082715B" w:rsidRDefault="0082715B" w:rsidP="00190F49">
            <w:pPr>
              <w:spacing w:after="0" w:line="240" w:lineRule="auto"/>
              <w:rPr>
                <w:rFonts w:ascii="Times New Roman" w:hAnsi="Times New Roman" w:cs="Times New Roman"/>
              </w:rPr>
            </w:pPr>
          </w:p>
          <w:p w14:paraId="1406A8AB" w14:textId="77777777" w:rsidR="0082715B" w:rsidRDefault="0082715B" w:rsidP="00190F49">
            <w:pPr>
              <w:spacing w:after="0" w:line="240" w:lineRule="auto"/>
              <w:rPr>
                <w:rFonts w:ascii="Times New Roman" w:hAnsi="Times New Roman" w:cs="Times New Roman"/>
              </w:rPr>
            </w:pPr>
          </w:p>
          <w:p w14:paraId="24954364" w14:textId="77777777" w:rsidR="0082715B" w:rsidRDefault="0082715B" w:rsidP="00190F49">
            <w:pPr>
              <w:spacing w:after="0" w:line="240" w:lineRule="auto"/>
              <w:rPr>
                <w:rFonts w:ascii="Times New Roman" w:hAnsi="Times New Roman" w:cs="Times New Roman"/>
              </w:rPr>
            </w:pPr>
          </w:p>
          <w:p w14:paraId="7E68DE9E" w14:textId="77777777" w:rsidR="0082715B" w:rsidRDefault="0082715B" w:rsidP="00190F49">
            <w:pPr>
              <w:spacing w:after="0" w:line="240" w:lineRule="auto"/>
              <w:rPr>
                <w:rFonts w:ascii="Times New Roman" w:hAnsi="Times New Roman" w:cs="Times New Roman"/>
              </w:rPr>
            </w:pPr>
          </w:p>
          <w:p w14:paraId="36EE11DE" w14:textId="77777777" w:rsidR="0082715B" w:rsidRDefault="0082715B" w:rsidP="00190F49">
            <w:pPr>
              <w:spacing w:after="0" w:line="240" w:lineRule="auto"/>
              <w:rPr>
                <w:rFonts w:ascii="Times New Roman" w:hAnsi="Times New Roman" w:cs="Times New Roman"/>
              </w:rPr>
            </w:pPr>
          </w:p>
          <w:p w14:paraId="62BC0F63" w14:textId="77777777" w:rsidR="0082715B" w:rsidRDefault="0082715B" w:rsidP="00190F49">
            <w:pPr>
              <w:spacing w:after="0" w:line="240" w:lineRule="auto"/>
              <w:rPr>
                <w:rFonts w:ascii="Times New Roman" w:hAnsi="Times New Roman" w:cs="Times New Roman"/>
              </w:rPr>
            </w:pPr>
          </w:p>
          <w:p w14:paraId="1FBDD5B0" w14:textId="77777777" w:rsidR="0082715B" w:rsidRDefault="0082715B" w:rsidP="00190F49">
            <w:pPr>
              <w:spacing w:after="0" w:line="240" w:lineRule="auto"/>
              <w:rPr>
                <w:rFonts w:ascii="Times New Roman" w:hAnsi="Times New Roman" w:cs="Times New Roman"/>
              </w:rPr>
            </w:pPr>
          </w:p>
          <w:p w14:paraId="466A4A45" w14:textId="77777777" w:rsidR="0082715B" w:rsidRDefault="0082715B" w:rsidP="00190F49">
            <w:pPr>
              <w:spacing w:after="0" w:line="240" w:lineRule="auto"/>
              <w:rPr>
                <w:rFonts w:ascii="Times New Roman" w:hAnsi="Times New Roman" w:cs="Times New Roman"/>
              </w:rPr>
            </w:pPr>
          </w:p>
          <w:p w14:paraId="5AFA89A7" w14:textId="77777777" w:rsidR="0082715B" w:rsidRDefault="0082715B" w:rsidP="00190F49">
            <w:pPr>
              <w:spacing w:after="0" w:line="240" w:lineRule="auto"/>
              <w:rPr>
                <w:rFonts w:ascii="Times New Roman" w:hAnsi="Times New Roman" w:cs="Times New Roman"/>
              </w:rPr>
            </w:pPr>
          </w:p>
          <w:p w14:paraId="34423ACC" w14:textId="77777777" w:rsidR="0082715B" w:rsidRDefault="0082715B" w:rsidP="00190F49">
            <w:pPr>
              <w:spacing w:after="0" w:line="240" w:lineRule="auto"/>
              <w:rPr>
                <w:rFonts w:ascii="Times New Roman" w:hAnsi="Times New Roman" w:cs="Times New Roman"/>
              </w:rPr>
            </w:pPr>
          </w:p>
          <w:p w14:paraId="1B468C02" w14:textId="77777777" w:rsidR="0082715B" w:rsidRDefault="0082715B" w:rsidP="00190F49">
            <w:pPr>
              <w:spacing w:after="0" w:line="240" w:lineRule="auto"/>
              <w:rPr>
                <w:rFonts w:ascii="Times New Roman" w:hAnsi="Times New Roman" w:cs="Times New Roman"/>
              </w:rPr>
            </w:pPr>
          </w:p>
          <w:p w14:paraId="5305EC1C" w14:textId="77777777" w:rsidR="0082715B" w:rsidRDefault="0082715B" w:rsidP="00190F49">
            <w:pPr>
              <w:spacing w:after="0" w:line="240" w:lineRule="auto"/>
              <w:rPr>
                <w:rFonts w:ascii="Times New Roman" w:hAnsi="Times New Roman" w:cs="Times New Roman"/>
              </w:rPr>
            </w:pPr>
          </w:p>
          <w:p w14:paraId="1CF9D4F8" w14:textId="77777777" w:rsidR="0082715B" w:rsidRDefault="0082715B" w:rsidP="00190F49">
            <w:pPr>
              <w:spacing w:after="0" w:line="240" w:lineRule="auto"/>
              <w:rPr>
                <w:rFonts w:ascii="Times New Roman" w:hAnsi="Times New Roman" w:cs="Times New Roman"/>
              </w:rPr>
            </w:pPr>
          </w:p>
          <w:p w14:paraId="420120F8" w14:textId="77777777" w:rsidR="0082715B" w:rsidRDefault="0082715B" w:rsidP="00190F49">
            <w:pPr>
              <w:spacing w:after="0" w:line="240" w:lineRule="auto"/>
              <w:rPr>
                <w:rFonts w:ascii="Times New Roman" w:hAnsi="Times New Roman" w:cs="Times New Roman"/>
              </w:rPr>
            </w:pPr>
          </w:p>
          <w:p w14:paraId="6ED46A91" w14:textId="77777777" w:rsidR="0082715B" w:rsidRDefault="0082715B" w:rsidP="00190F49">
            <w:pPr>
              <w:spacing w:after="0" w:line="240" w:lineRule="auto"/>
              <w:rPr>
                <w:rFonts w:ascii="Times New Roman" w:hAnsi="Times New Roman" w:cs="Times New Roman"/>
              </w:rPr>
            </w:pPr>
          </w:p>
          <w:p w14:paraId="06A8CC95" w14:textId="77777777" w:rsidR="0082715B" w:rsidRDefault="0082715B" w:rsidP="00190F49">
            <w:pPr>
              <w:spacing w:after="0" w:line="240" w:lineRule="auto"/>
              <w:rPr>
                <w:rFonts w:ascii="Times New Roman" w:hAnsi="Times New Roman" w:cs="Times New Roman"/>
              </w:rPr>
            </w:pPr>
          </w:p>
          <w:p w14:paraId="36A72782" w14:textId="77777777" w:rsidR="0082715B" w:rsidRDefault="0082715B" w:rsidP="00190F49">
            <w:pPr>
              <w:spacing w:after="0" w:line="240" w:lineRule="auto"/>
              <w:rPr>
                <w:rFonts w:ascii="Times New Roman" w:hAnsi="Times New Roman" w:cs="Times New Roman"/>
              </w:rPr>
            </w:pPr>
          </w:p>
          <w:p w14:paraId="2B020E88" w14:textId="77777777" w:rsidR="0082715B" w:rsidRDefault="0082715B" w:rsidP="00190F49">
            <w:pPr>
              <w:spacing w:after="0" w:line="240" w:lineRule="auto"/>
              <w:rPr>
                <w:rFonts w:ascii="Times New Roman" w:hAnsi="Times New Roman" w:cs="Times New Roman"/>
              </w:rPr>
            </w:pPr>
          </w:p>
          <w:p w14:paraId="1EFA99C7" w14:textId="77777777" w:rsidR="0082715B" w:rsidRDefault="0082715B" w:rsidP="00190F49">
            <w:pPr>
              <w:spacing w:after="0" w:line="240" w:lineRule="auto"/>
              <w:rPr>
                <w:rFonts w:ascii="Times New Roman" w:hAnsi="Times New Roman" w:cs="Times New Roman"/>
              </w:rPr>
            </w:pPr>
          </w:p>
          <w:p w14:paraId="48CC49D0" w14:textId="77777777" w:rsidR="0082715B" w:rsidRDefault="0082715B" w:rsidP="00190F49">
            <w:pPr>
              <w:spacing w:after="0" w:line="240" w:lineRule="auto"/>
              <w:rPr>
                <w:rFonts w:ascii="Times New Roman" w:hAnsi="Times New Roman" w:cs="Times New Roman"/>
              </w:rPr>
            </w:pPr>
          </w:p>
          <w:p w14:paraId="7378CAB8" w14:textId="77777777" w:rsidR="0082715B" w:rsidRDefault="0082715B" w:rsidP="00190F49">
            <w:pPr>
              <w:spacing w:after="0" w:line="240" w:lineRule="auto"/>
              <w:rPr>
                <w:rFonts w:ascii="Times New Roman" w:hAnsi="Times New Roman" w:cs="Times New Roman"/>
              </w:rPr>
            </w:pPr>
          </w:p>
          <w:p w14:paraId="07B6EBCD" w14:textId="77777777" w:rsidR="0082715B" w:rsidRDefault="0082715B" w:rsidP="00190F49">
            <w:pPr>
              <w:spacing w:after="0" w:line="240" w:lineRule="auto"/>
              <w:rPr>
                <w:rFonts w:ascii="Times New Roman" w:hAnsi="Times New Roman" w:cs="Times New Roman"/>
              </w:rPr>
            </w:pPr>
          </w:p>
          <w:p w14:paraId="5D580288" w14:textId="77777777" w:rsidR="0082715B" w:rsidRDefault="0082715B" w:rsidP="00190F49">
            <w:pPr>
              <w:spacing w:after="0" w:line="240" w:lineRule="auto"/>
              <w:rPr>
                <w:rFonts w:ascii="Times New Roman" w:hAnsi="Times New Roman" w:cs="Times New Roman"/>
              </w:rPr>
            </w:pPr>
          </w:p>
          <w:p w14:paraId="27BA7556" w14:textId="77777777" w:rsidR="0082715B" w:rsidRDefault="0082715B" w:rsidP="00190F49">
            <w:pPr>
              <w:spacing w:after="0" w:line="240" w:lineRule="auto"/>
              <w:rPr>
                <w:rFonts w:ascii="Times New Roman" w:hAnsi="Times New Roman" w:cs="Times New Roman"/>
              </w:rPr>
            </w:pPr>
          </w:p>
          <w:p w14:paraId="657BB422" w14:textId="77777777" w:rsidR="0082715B" w:rsidRDefault="0082715B" w:rsidP="00190F49">
            <w:pPr>
              <w:spacing w:after="0" w:line="240" w:lineRule="auto"/>
              <w:rPr>
                <w:rFonts w:ascii="Times New Roman" w:hAnsi="Times New Roman" w:cs="Times New Roman"/>
              </w:rPr>
            </w:pPr>
          </w:p>
          <w:p w14:paraId="6B9D0409" w14:textId="77777777" w:rsidR="0082715B" w:rsidRDefault="0082715B" w:rsidP="00190F49">
            <w:pPr>
              <w:spacing w:after="0" w:line="240" w:lineRule="auto"/>
              <w:rPr>
                <w:rFonts w:ascii="Times New Roman" w:hAnsi="Times New Roman" w:cs="Times New Roman"/>
              </w:rPr>
            </w:pPr>
          </w:p>
          <w:p w14:paraId="74380A30" w14:textId="77777777" w:rsidR="0082715B" w:rsidRDefault="0082715B" w:rsidP="00190F49">
            <w:pPr>
              <w:spacing w:after="0" w:line="240" w:lineRule="auto"/>
              <w:rPr>
                <w:rFonts w:ascii="Times New Roman" w:hAnsi="Times New Roman" w:cs="Times New Roman"/>
              </w:rPr>
            </w:pPr>
          </w:p>
          <w:p w14:paraId="0431D9B5" w14:textId="77777777" w:rsidR="0082715B" w:rsidRDefault="0082715B" w:rsidP="00190F49">
            <w:pPr>
              <w:spacing w:after="0" w:line="240" w:lineRule="auto"/>
              <w:rPr>
                <w:rFonts w:ascii="Times New Roman" w:hAnsi="Times New Roman" w:cs="Times New Roman"/>
              </w:rPr>
            </w:pPr>
          </w:p>
          <w:p w14:paraId="5E71B10C" w14:textId="77777777" w:rsidR="0082715B" w:rsidRDefault="0082715B" w:rsidP="00190F49">
            <w:pPr>
              <w:spacing w:after="0" w:line="240" w:lineRule="auto"/>
              <w:rPr>
                <w:rFonts w:ascii="Times New Roman" w:hAnsi="Times New Roman" w:cs="Times New Roman"/>
              </w:rPr>
            </w:pPr>
          </w:p>
          <w:p w14:paraId="44FB3AAB" w14:textId="77777777" w:rsidR="0082715B" w:rsidRDefault="0082715B" w:rsidP="00190F49">
            <w:pPr>
              <w:spacing w:after="0" w:line="240" w:lineRule="auto"/>
              <w:rPr>
                <w:rFonts w:ascii="Times New Roman" w:hAnsi="Times New Roman" w:cs="Times New Roman"/>
              </w:rPr>
            </w:pPr>
          </w:p>
          <w:p w14:paraId="18F779BD" w14:textId="77777777" w:rsidR="0082715B" w:rsidRDefault="0082715B" w:rsidP="00190F49">
            <w:pPr>
              <w:spacing w:after="0" w:line="240" w:lineRule="auto"/>
              <w:rPr>
                <w:rFonts w:ascii="Times New Roman" w:hAnsi="Times New Roman" w:cs="Times New Roman"/>
              </w:rPr>
            </w:pPr>
          </w:p>
          <w:p w14:paraId="2638371D" w14:textId="77777777" w:rsidR="0082715B" w:rsidRDefault="0082715B" w:rsidP="00190F49">
            <w:pPr>
              <w:spacing w:after="0" w:line="240" w:lineRule="auto"/>
              <w:rPr>
                <w:rFonts w:ascii="Times New Roman" w:hAnsi="Times New Roman" w:cs="Times New Roman"/>
              </w:rPr>
            </w:pPr>
          </w:p>
          <w:p w14:paraId="046B8844" w14:textId="77777777" w:rsidR="0082715B" w:rsidRDefault="0082715B" w:rsidP="00190F49">
            <w:pPr>
              <w:spacing w:after="0" w:line="240" w:lineRule="auto"/>
              <w:rPr>
                <w:rFonts w:ascii="Times New Roman" w:hAnsi="Times New Roman" w:cs="Times New Roman"/>
              </w:rPr>
            </w:pPr>
          </w:p>
          <w:p w14:paraId="2AADE26C" w14:textId="77777777" w:rsidR="0082715B" w:rsidRDefault="0082715B" w:rsidP="00190F49">
            <w:pPr>
              <w:spacing w:after="0" w:line="240" w:lineRule="auto"/>
              <w:rPr>
                <w:rFonts w:ascii="Times New Roman" w:hAnsi="Times New Roman" w:cs="Times New Roman"/>
              </w:rPr>
            </w:pPr>
          </w:p>
          <w:p w14:paraId="4058CF5B" w14:textId="77777777" w:rsidR="0082715B" w:rsidRDefault="0082715B" w:rsidP="00190F49">
            <w:pPr>
              <w:spacing w:after="0" w:line="240" w:lineRule="auto"/>
              <w:rPr>
                <w:rFonts w:ascii="Times New Roman" w:hAnsi="Times New Roman" w:cs="Times New Roman"/>
              </w:rPr>
            </w:pPr>
          </w:p>
          <w:p w14:paraId="69DADB31" w14:textId="77777777" w:rsidR="0082715B" w:rsidRDefault="0082715B" w:rsidP="00190F49">
            <w:pPr>
              <w:spacing w:after="0" w:line="240" w:lineRule="auto"/>
              <w:rPr>
                <w:rFonts w:ascii="Times New Roman" w:hAnsi="Times New Roman" w:cs="Times New Roman"/>
              </w:rPr>
            </w:pPr>
          </w:p>
          <w:p w14:paraId="0703DCB8" w14:textId="77777777" w:rsidR="0082715B" w:rsidRDefault="0082715B" w:rsidP="00190F49">
            <w:pPr>
              <w:spacing w:after="0" w:line="240" w:lineRule="auto"/>
              <w:rPr>
                <w:rFonts w:ascii="Times New Roman" w:hAnsi="Times New Roman" w:cs="Times New Roman"/>
              </w:rPr>
            </w:pPr>
          </w:p>
          <w:p w14:paraId="71FCCC2F" w14:textId="77777777" w:rsidR="0082715B" w:rsidRDefault="0082715B" w:rsidP="00190F49">
            <w:pPr>
              <w:spacing w:after="0" w:line="240" w:lineRule="auto"/>
              <w:rPr>
                <w:rFonts w:ascii="Times New Roman" w:hAnsi="Times New Roman" w:cs="Times New Roman"/>
              </w:rPr>
            </w:pPr>
          </w:p>
          <w:p w14:paraId="3EA6FCBC" w14:textId="77777777" w:rsidR="0082715B" w:rsidRDefault="0082715B" w:rsidP="00190F49">
            <w:pPr>
              <w:spacing w:after="0" w:line="240" w:lineRule="auto"/>
              <w:rPr>
                <w:rFonts w:ascii="Times New Roman" w:hAnsi="Times New Roman" w:cs="Times New Roman"/>
              </w:rPr>
            </w:pPr>
          </w:p>
          <w:p w14:paraId="0AA695AE" w14:textId="77777777" w:rsidR="0082715B" w:rsidRDefault="0082715B" w:rsidP="00190F49">
            <w:pPr>
              <w:spacing w:after="0" w:line="240" w:lineRule="auto"/>
              <w:rPr>
                <w:rFonts w:ascii="Times New Roman" w:hAnsi="Times New Roman" w:cs="Times New Roman"/>
              </w:rPr>
            </w:pPr>
          </w:p>
          <w:p w14:paraId="3B705380" w14:textId="77777777" w:rsidR="0082715B" w:rsidRDefault="0082715B" w:rsidP="00190F49">
            <w:pPr>
              <w:spacing w:after="0" w:line="240" w:lineRule="auto"/>
              <w:rPr>
                <w:rFonts w:ascii="Times New Roman" w:hAnsi="Times New Roman" w:cs="Times New Roman"/>
              </w:rPr>
            </w:pPr>
          </w:p>
          <w:p w14:paraId="3C67CE26" w14:textId="77777777" w:rsidR="0082715B" w:rsidRDefault="0082715B" w:rsidP="00190F49">
            <w:pPr>
              <w:spacing w:after="0" w:line="240" w:lineRule="auto"/>
              <w:rPr>
                <w:rFonts w:ascii="Times New Roman" w:hAnsi="Times New Roman" w:cs="Times New Roman"/>
              </w:rPr>
            </w:pPr>
          </w:p>
          <w:p w14:paraId="736B7080" w14:textId="77777777" w:rsidR="0082715B" w:rsidRDefault="0082715B" w:rsidP="00190F49">
            <w:pPr>
              <w:spacing w:after="0" w:line="240" w:lineRule="auto"/>
              <w:rPr>
                <w:rFonts w:ascii="Times New Roman" w:hAnsi="Times New Roman" w:cs="Times New Roman"/>
              </w:rPr>
            </w:pPr>
          </w:p>
          <w:p w14:paraId="3B16CF66" w14:textId="77777777" w:rsidR="0082715B" w:rsidRDefault="0082715B" w:rsidP="00190F49">
            <w:pPr>
              <w:spacing w:after="0" w:line="240" w:lineRule="auto"/>
              <w:rPr>
                <w:rFonts w:ascii="Times New Roman" w:hAnsi="Times New Roman" w:cs="Times New Roman"/>
              </w:rPr>
            </w:pPr>
          </w:p>
          <w:p w14:paraId="4FF52F6E" w14:textId="77777777" w:rsidR="0082715B" w:rsidRDefault="0082715B" w:rsidP="00190F49">
            <w:pPr>
              <w:spacing w:after="0" w:line="240" w:lineRule="auto"/>
              <w:rPr>
                <w:rFonts w:ascii="Times New Roman" w:hAnsi="Times New Roman" w:cs="Times New Roman"/>
              </w:rPr>
            </w:pPr>
          </w:p>
          <w:p w14:paraId="2BBD511D" w14:textId="77777777" w:rsidR="0082715B" w:rsidRDefault="0082715B" w:rsidP="00190F49">
            <w:pPr>
              <w:spacing w:after="0" w:line="240" w:lineRule="auto"/>
              <w:rPr>
                <w:rFonts w:ascii="Times New Roman" w:hAnsi="Times New Roman" w:cs="Times New Roman"/>
              </w:rPr>
            </w:pPr>
          </w:p>
          <w:p w14:paraId="0435F13B" w14:textId="77777777" w:rsidR="0082715B" w:rsidRDefault="0082715B" w:rsidP="00190F49">
            <w:pPr>
              <w:spacing w:after="0" w:line="240" w:lineRule="auto"/>
              <w:rPr>
                <w:rFonts w:ascii="Times New Roman" w:hAnsi="Times New Roman" w:cs="Times New Roman"/>
              </w:rPr>
            </w:pPr>
          </w:p>
          <w:p w14:paraId="14309E0B" w14:textId="77777777" w:rsidR="0082715B" w:rsidRDefault="0082715B" w:rsidP="00190F49">
            <w:pPr>
              <w:spacing w:after="0" w:line="240" w:lineRule="auto"/>
              <w:rPr>
                <w:rFonts w:ascii="Times New Roman" w:hAnsi="Times New Roman" w:cs="Times New Roman"/>
              </w:rPr>
            </w:pPr>
          </w:p>
          <w:p w14:paraId="34AA709C" w14:textId="77777777" w:rsidR="0082715B" w:rsidRDefault="0082715B" w:rsidP="00190F49">
            <w:pPr>
              <w:spacing w:after="0" w:line="240" w:lineRule="auto"/>
              <w:rPr>
                <w:rFonts w:ascii="Times New Roman" w:hAnsi="Times New Roman" w:cs="Times New Roman"/>
              </w:rPr>
            </w:pPr>
          </w:p>
          <w:p w14:paraId="12FD9C94" w14:textId="77777777" w:rsidR="0082715B" w:rsidRDefault="0082715B" w:rsidP="00190F49">
            <w:pPr>
              <w:spacing w:after="0" w:line="240" w:lineRule="auto"/>
              <w:rPr>
                <w:rFonts w:ascii="Times New Roman" w:hAnsi="Times New Roman" w:cs="Times New Roman"/>
              </w:rPr>
            </w:pPr>
          </w:p>
          <w:p w14:paraId="3127EA85" w14:textId="77777777" w:rsidR="0082715B" w:rsidRDefault="0082715B" w:rsidP="00190F49">
            <w:pPr>
              <w:spacing w:after="0" w:line="240" w:lineRule="auto"/>
              <w:rPr>
                <w:rFonts w:ascii="Times New Roman" w:hAnsi="Times New Roman" w:cs="Times New Roman"/>
              </w:rPr>
            </w:pPr>
          </w:p>
          <w:p w14:paraId="771DD0B9" w14:textId="77777777" w:rsidR="0082715B" w:rsidRDefault="0082715B" w:rsidP="00190F49">
            <w:pPr>
              <w:spacing w:after="0" w:line="240" w:lineRule="auto"/>
              <w:rPr>
                <w:rFonts w:ascii="Times New Roman" w:hAnsi="Times New Roman" w:cs="Times New Roman"/>
              </w:rPr>
            </w:pPr>
          </w:p>
          <w:p w14:paraId="398A7E9B" w14:textId="77777777" w:rsidR="0082715B" w:rsidRDefault="0082715B" w:rsidP="00190F49">
            <w:pPr>
              <w:spacing w:after="0" w:line="240" w:lineRule="auto"/>
              <w:rPr>
                <w:rFonts w:ascii="Times New Roman" w:hAnsi="Times New Roman" w:cs="Times New Roman"/>
              </w:rPr>
            </w:pPr>
          </w:p>
          <w:p w14:paraId="3DE93802" w14:textId="77777777" w:rsidR="0082715B" w:rsidRDefault="0082715B" w:rsidP="00190F49">
            <w:pPr>
              <w:spacing w:after="0" w:line="240" w:lineRule="auto"/>
              <w:rPr>
                <w:rFonts w:ascii="Times New Roman" w:hAnsi="Times New Roman" w:cs="Times New Roman"/>
              </w:rPr>
            </w:pPr>
          </w:p>
          <w:p w14:paraId="731C8833" w14:textId="77777777" w:rsidR="0082715B" w:rsidRDefault="0082715B" w:rsidP="00190F49">
            <w:pPr>
              <w:spacing w:after="0" w:line="240" w:lineRule="auto"/>
              <w:rPr>
                <w:rFonts w:ascii="Times New Roman" w:hAnsi="Times New Roman" w:cs="Times New Roman"/>
              </w:rPr>
            </w:pPr>
          </w:p>
          <w:p w14:paraId="6CA10A2A" w14:textId="77777777" w:rsidR="0082715B" w:rsidRDefault="0082715B" w:rsidP="00190F49">
            <w:pPr>
              <w:spacing w:after="0" w:line="240" w:lineRule="auto"/>
              <w:rPr>
                <w:rFonts w:ascii="Times New Roman" w:hAnsi="Times New Roman" w:cs="Times New Roman"/>
              </w:rPr>
            </w:pPr>
          </w:p>
          <w:p w14:paraId="6E2D7234" w14:textId="77777777" w:rsidR="0082715B" w:rsidRDefault="0082715B" w:rsidP="00190F49">
            <w:pPr>
              <w:spacing w:after="0" w:line="240" w:lineRule="auto"/>
              <w:rPr>
                <w:rFonts w:ascii="Times New Roman" w:hAnsi="Times New Roman" w:cs="Times New Roman"/>
              </w:rPr>
            </w:pPr>
          </w:p>
          <w:p w14:paraId="208DDA06" w14:textId="77777777" w:rsidR="0082715B" w:rsidRDefault="0082715B" w:rsidP="00190F49">
            <w:pPr>
              <w:spacing w:after="0" w:line="240" w:lineRule="auto"/>
              <w:rPr>
                <w:rFonts w:ascii="Times New Roman" w:hAnsi="Times New Roman" w:cs="Times New Roman"/>
              </w:rPr>
            </w:pPr>
          </w:p>
          <w:p w14:paraId="67F5A5F6" w14:textId="77777777" w:rsidR="0082715B" w:rsidRDefault="0082715B" w:rsidP="00190F49">
            <w:pPr>
              <w:spacing w:after="0" w:line="240" w:lineRule="auto"/>
              <w:rPr>
                <w:rFonts w:ascii="Times New Roman" w:hAnsi="Times New Roman" w:cs="Times New Roman"/>
              </w:rPr>
            </w:pPr>
          </w:p>
          <w:p w14:paraId="76F75D24" w14:textId="77777777" w:rsidR="0082715B" w:rsidRDefault="0082715B" w:rsidP="00190F49">
            <w:pPr>
              <w:spacing w:after="0" w:line="240" w:lineRule="auto"/>
              <w:rPr>
                <w:rFonts w:ascii="Times New Roman" w:hAnsi="Times New Roman" w:cs="Times New Roman"/>
              </w:rPr>
            </w:pPr>
          </w:p>
          <w:p w14:paraId="166BD47E" w14:textId="77777777" w:rsidR="0082715B" w:rsidRDefault="0082715B" w:rsidP="00190F49">
            <w:pPr>
              <w:spacing w:after="0" w:line="240" w:lineRule="auto"/>
              <w:rPr>
                <w:rFonts w:ascii="Times New Roman" w:hAnsi="Times New Roman" w:cs="Times New Roman"/>
              </w:rPr>
            </w:pPr>
          </w:p>
          <w:p w14:paraId="09AF88D8" w14:textId="77777777" w:rsidR="0082715B" w:rsidRDefault="0082715B" w:rsidP="00190F49">
            <w:pPr>
              <w:spacing w:after="0" w:line="240" w:lineRule="auto"/>
              <w:rPr>
                <w:rFonts w:ascii="Times New Roman" w:hAnsi="Times New Roman" w:cs="Times New Roman"/>
              </w:rPr>
            </w:pPr>
          </w:p>
          <w:p w14:paraId="58104AE6" w14:textId="77777777" w:rsidR="0082715B" w:rsidRDefault="0082715B" w:rsidP="00190F49">
            <w:pPr>
              <w:spacing w:after="0" w:line="240" w:lineRule="auto"/>
              <w:rPr>
                <w:rFonts w:ascii="Times New Roman" w:hAnsi="Times New Roman" w:cs="Times New Roman"/>
              </w:rPr>
            </w:pPr>
          </w:p>
          <w:p w14:paraId="66986F01" w14:textId="77777777" w:rsidR="0082715B" w:rsidRDefault="0082715B" w:rsidP="00190F49">
            <w:pPr>
              <w:spacing w:after="0" w:line="240" w:lineRule="auto"/>
              <w:rPr>
                <w:rFonts w:ascii="Times New Roman" w:hAnsi="Times New Roman" w:cs="Times New Roman"/>
              </w:rPr>
            </w:pPr>
          </w:p>
          <w:p w14:paraId="46419A1F" w14:textId="77777777" w:rsidR="0082715B" w:rsidRDefault="0082715B" w:rsidP="00190F49">
            <w:pPr>
              <w:spacing w:after="0" w:line="240" w:lineRule="auto"/>
              <w:rPr>
                <w:rFonts w:ascii="Times New Roman" w:hAnsi="Times New Roman" w:cs="Times New Roman"/>
              </w:rPr>
            </w:pPr>
          </w:p>
          <w:p w14:paraId="085165E3" w14:textId="77777777" w:rsidR="0082715B" w:rsidRDefault="0082715B" w:rsidP="00190F49">
            <w:pPr>
              <w:spacing w:after="0" w:line="240" w:lineRule="auto"/>
              <w:rPr>
                <w:rFonts w:ascii="Times New Roman" w:hAnsi="Times New Roman" w:cs="Times New Roman"/>
              </w:rPr>
            </w:pPr>
          </w:p>
          <w:p w14:paraId="63348996" w14:textId="77777777" w:rsidR="0082715B" w:rsidRDefault="0082715B" w:rsidP="00190F49">
            <w:pPr>
              <w:spacing w:after="0" w:line="240" w:lineRule="auto"/>
              <w:rPr>
                <w:rFonts w:ascii="Times New Roman" w:hAnsi="Times New Roman" w:cs="Times New Roman"/>
              </w:rPr>
            </w:pPr>
          </w:p>
          <w:p w14:paraId="1B301384" w14:textId="77777777" w:rsidR="0082715B" w:rsidRDefault="0082715B" w:rsidP="00190F49">
            <w:pPr>
              <w:spacing w:after="0" w:line="240" w:lineRule="auto"/>
              <w:rPr>
                <w:rFonts w:ascii="Times New Roman" w:hAnsi="Times New Roman" w:cs="Times New Roman"/>
              </w:rPr>
            </w:pPr>
          </w:p>
          <w:p w14:paraId="4FCEBB25" w14:textId="77777777" w:rsidR="0082715B" w:rsidRDefault="0082715B" w:rsidP="00190F49">
            <w:pPr>
              <w:spacing w:after="0" w:line="240" w:lineRule="auto"/>
              <w:rPr>
                <w:rFonts w:ascii="Times New Roman" w:hAnsi="Times New Roman" w:cs="Times New Roman"/>
              </w:rPr>
            </w:pPr>
          </w:p>
          <w:p w14:paraId="7A57DD7F" w14:textId="77777777" w:rsidR="0082715B" w:rsidRDefault="0082715B" w:rsidP="00190F49">
            <w:pPr>
              <w:spacing w:after="0" w:line="240" w:lineRule="auto"/>
              <w:rPr>
                <w:rFonts w:ascii="Times New Roman" w:hAnsi="Times New Roman" w:cs="Times New Roman"/>
              </w:rPr>
            </w:pPr>
          </w:p>
          <w:p w14:paraId="0762C4BC" w14:textId="77777777" w:rsidR="0082715B" w:rsidRDefault="0082715B" w:rsidP="00190F49">
            <w:pPr>
              <w:spacing w:after="0" w:line="240" w:lineRule="auto"/>
              <w:rPr>
                <w:rFonts w:ascii="Times New Roman" w:hAnsi="Times New Roman" w:cs="Times New Roman"/>
              </w:rPr>
            </w:pPr>
          </w:p>
          <w:p w14:paraId="7E4BF9DD" w14:textId="77777777" w:rsidR="0082715B" w:rsidRDefault="0082715B" w:rsidP="00190F49">
            <w:pPr>
              <w:spacing w:after="0" w:line="240" w:lineRule="auto"/>
              <w:rPr>
                <w:rFonts w:ascii="Times New Roman" w:hAnsi="Times New Roman" w:cs="Times New Roman"/>
              </w:rPr>
            </w:pPr>
          </w:p>
          <w:p w14:paraId="5B3D2F3E" w14:textId="77777777" w:rsidR="0082715B" w:rsidRDefault="0082715B" w:rsidP="00190F49">
            <w:pPr>
              <w:spacing w:after="0" w:line="240" w:lineRule="auto"/>
              <w:rPr>
                <w:rFonts w:ascii="Times New Roman" w:hAnsi="Times New Roman" w:cs="Times New Roman"/>
              </w:rPr>
            </w:pPr>
          </w:p>
          <w:p w14:paraId="1BBC16A4" w14:textId="77777777" w:rsidR="0082715B" w:rsidRDefault="0082715B" w:rsidP="00190F49">
            <w:pPr>
              <w:spacing w:after="0" w:line="240" w:lineRule="auto"/>
              <w:rPr>
                <w:rFonts w:ascii="Times New Roman" w:hAnsi="Times New Roman" w:cs="Times New Roman"/>
              </w:rPr>
            </w:pPr>
          </w:p>
          <w:p w14:paraId="0DF2118B" w14:textId="77777777" w:rsidR="0082715B" w:rsidRDefault="0082715B" w:rsidP="00190F49">
            <w:pPr>
              <w:spacing w:after="0" w:line="240" w:lineRule="auto"/>
              <w:rPr>
                <w:rFonts w:ascii="Times New Roman" w:hAnsi="Times New Roman" w:cs="Times New Roman"/>
              </w:rPr>
            </w:pPr>
          </w:p>
          <w:p w14:paraId="4BE944E4" w14:textId="77777777" w:rsidR="0082715B" w:rsidRDefault="0082715B" w:rsidP="00190F49">
            <w:pPr>
              <w:spacing w:after="0" w:line="240" w:lineRule="auto"/>
              <w:rPr>
                <w:rFonts w:ascii="Times New Roman" w:hAnsi="Times New Roman" w:cs="Times New Roman"/>
              </w:rPr>
            </w:pPr>
          </w:p>
          <w:p w14:paraId="055DD094" w14:textId="77777777" w:rsidR="0082715B" w:rsidRDefault="0082715B" w:rsidP="00190F49">
            <w:pPr>
              <w:spacing w:after="0" w:line="240" w:lineRule="auto"/>
              <w:rPr>
                <w:rFonts w:ascii="Times New Roman" w:hAnsi="Times New Roman" w:cs="Times New Roman"/>
              </w:rPr>
            </w:pPr>
          </w:p>
          <w:p w14:paraId="4D9C867B" w14:textId="77777777" w:rsidR="0082715B" w:rsidRDefault="0082715B" w:rsidP="00190F49">
            <w:pPr>
              <w:spacing w:after="0" w:line="240" w:lineRule="auto"/>
              <w:rPr>
                <w:rFonts w:ascii="Times New Roman" w:hAnsi="Times New Roman" w:cs="Times New Roman"/>
              </w:rPr>
            </w:pPr>
          </w:p>
          <w:p w14:paraId="117A55F1" w14:textId="77777777" w:rsidR="0082715B" w:rsidRDefault="0082715B" w:rsidP="00190F49">
            <w:pPr>
              <w:spacing w:after="0" w:line="240" w:lineRule="auto"/>
              <w:rPr>
                <w:rFonts w:ascii="Times New Roman" w:hAnsi="Times New Roman" w:cs="Times New Roman"/>
              </w:rPr>
            </w:pPr>
          </w:p>
          <w:p w14:paraId="330D20A4" w14:textId="77777777" w:rsidR="0082715B" w:rsidRDefault="0082715B" w:rsidP="00190F49">
            <w:pPr>
              <w:spacing w:after="0" w:line="240" w:lineRule="auto"/>
              <w:rPr>
                <w:rFonts w:ascii="Times New Roman" w:hAnsi="Times New Roman" w:cs="Times New Roman"/>
              </w:rPr>
            </w:pPr>
          </w:p>
          <w:p w14:paraId="2C7E0BC9" w14:textId="77777777" w:rsidR="0082715B" w:rsidRDefault="0082715B" w:rsidP="00190F49">
            <w:pPr>
              <w:spacing w:after="0" w:line="240" w:lineRule="auto"/>
              <w:rPr>
                <w:rFonts w:ascii="Times New Roman" w:hAnsi="Times New Roman" w:cs="Times New Roman"/>
              </w:rPr>
            </w:pPr>
          </w:p>
          <w:p w14:paraId="0A0EE2DC" w14:textId="77777777" w:rsidR="0082715B" w:rsidRDefault="0082715B" w:rsidP="00190F49">
            <w:pPr>
              <w:spacing w:after="0" w:line="240" w:lineRule="auto"/>
              <w:rPr>
                <w:rFonts w:ascii="Times New Roman" w:hAnsi="Times New Roman" w:cs="Times New Roman"/>
              </w:rPr>
            </w:pPr>
          </w:p>
          <w:p w14:paraId="4356A373" w14:textId="77777777" w:rsidR="0082715B" w:rsidRDefault="0082715B" w:rsidP="00190F49">
            <w:pPr>
              <w:spacing w:after="0" w:line="240" w:lineRule="auto"/>
              <w:rPr>
                <w:rFonts w:ascii="Times New Roman" w:hAnsi="Times New Roman" w:cs="Times New Roman"/>
              </w:rPr>
            </w:pPr>
          </w:p>
          <w:p w14:paraId="5F39934F" w14:textId="77777777" w:rsidR="0082715B" w:rsidRDefault="0082715B" w:rsidP="00190F49">
            <w:pPr>
              <w:spacing w:after="0" w:line="240" w:lineRule="auto"/>
              <w:rPr>
                <w:rFonts w:ascii="Times New Roman" w:hAnsi="Times New Roman" w:cs="Times New Roman"/>
              </w:rPr>
            </w:pPr>
          </w:p>
          <w:p w14:paraId="1319B699" w14:textId="77777777" w:rsidR="0082715B" w:rsidRDefault="0082715B" w:rsidP="00190F49">
            <w:pPr>
              <w:spacing w:after="0" w:line="240" w:lineRule="auto"/>
              <w:rPr>
                <w:rFonts w:ascii="Times New Roman" w:hAnsi="Times New Roman" w:cs="Times New Roman"/>
              </w:rPr>
            </w:pPr>
          </w:p>
          <w:p w14:paraId="04F03A13" w14:textId="77777777" w:rsidR="0082715B" w:rsidRDefault="0082715B" w:rsidP="00190F49">
            <w:pPr>
              <w:spacing w:after="0" w:line="240" w:lineRule="auto"/>
              <w:rPr>
                <w:rFonts w:ascii="Times New Roman" w:hAnsi="Times New Roman" w:cs="Times New Roman"/>
              </w:rPr>
            </w:pPr>
          </w:p>
          <w:p w14:paraId="3F914591" w14:textId="77777777" w:rsidR="0082715B" w:rsidRDefault="0082715B" w:rsidP="00190F49">
            <w:pPr>
              <w:spacing w:after="0" w:line="240" w:lineRule="auto"/>
              <w:rPr>
                <w:rFonts w:ascii="Times New Roman" w:hAnsi="Times New Roman" w:cs="Times New Roman"/>
              </w:rPr>
            </w:pPr>
          </w:p>
          <w:p w14:paraId="3BD3D432" w14:textId="77777777" w:rsidR="0082715B" w:rsidRDefault="0082715B" w:rsidP="00190F49">
            <w:pPr>
              <w:spacing w:after="0" w:line="240" w:lineRule="auto"/>
              <w:rPr>
                <w:rFonts w:ascii="Times New Roman" w:hAnsi="Times New Roman" w:cs="Times New Roman"/>
              </w:rPr>
            </w:pPr>
          </w:p>
          <w:p w14:paraId="7EFA682C" w14:textId="77777777" w:rsidR="0082715B" w:rsidRDefault="0082715B" w:rsidP="00190F49">
            <w:pPr>
              <w:spacing w:after="0" w:line="240" w:lineRule="auto"/>
              <w:rPr>
                <w:rFonts w:ascii="Times New Roman" w:hAnsi="Times New Roman" w:cs="Times New Roman"/>
              </w:rPr>
            </w:pPr>
          </w:p>
          <w:p w14:paraId="7FD8C934" w14:textId="77777777" w:rsidR="0082715B" w:rsidRDefault="0082715B" w:rsidP="00190F49">
            <w:pPr>
              <w:spacing w:after="0" w:line="240" w:lineRule="auto"/>
              <w:rPr>
                <w:rFonts w:ascii="Times New Roman" w:hAnsi="Times New Roman" w:cs="Times New Roman"/>
              </w:rPr>
            </w:pPr>
          </w:p>
          <w:p w14:paraId="6AEDEAD0" w14:textId="77777777" w:rsidR="0082715B" w:rsidRDefault="0082715B" w:rsidP="00190F49">
            <w:pPr>
              <w:spacing w:after="0" w:line="240" w:lineRule="auto"/>
              <w:rPr>
                <w:rFonts w:ascii="Times New Roman" w:hAnsi="Times New Roman" w:cs="Times New Roman"/>
              </w:rPr>
            </w:pPr>
          </w:p>
          <w:p w14:paraId="37074278" w14:textId="77777777" w:rsidR="0082715B" w:rsidRDefault="0082715B" w:rsidP="00190F49">
            <w:pPr>
              <w:spacing w:after="0" w:line="240" w:lineRule="auto"/>
              <w:rPr>
                <w:rFonts w:ascii="Times New Roman" w:hAnsi="Times New Roman" w:cs="Times New Roman"/>
              </w:rPr>
            </w:pPr>
          </w:p>
          <w:p w14:paraId="555EDDE3" w14:textId="77777777" w:rsidR="0082715B" w:rsidRDefault="0082715B" w:rsidP="00190F49">
            <w:pPr>
              <w:spacing w:after="0" w:line="240" w:lineRule="auto"/>
              <w:rPr>
                <w:rFonts w:ascii="Times New Roman" w:hAnsi="Times New Roman" w:cs="Times New Roman"/>
              </w:rPr>
            </w:pPr>
          </w:p>
          <w:p w14:paraId="63BA8CE0" w14:textId="77777777" w:rsidR="0082715B" w:rsidRDefault="0082715B" w:rsidP="00190F49">
            <w:pPr>
              <w:spacing w:after="0" w:line="240" w:lineRule="auto"/>
              <w:rPr>
                <w:rFonts w:ascii="Times New Roman" w:hAnsi="Times New Roman" w:cs="Times New Roman"/>
              </w:rPr>
            </w:pPr>
          </w:p>
          <w:p w14:paraId="5EB84053" w14:textId="77777777" w:rsidR="0082715B" w:rsidRDefault="0082715B" w:rsidP="00190F49">
            <w:pPr>
              <w:spacing w:after="0" w:line="240" w:lineRule="auto"/>
              <w:rPr>
                <w:rFonts w:ascii="Times New Roman" w:hAnsi="Times New Roman" w:cs="Times New Roman"/>
              </w:rPr>
            </w:pPr>
          </w:p>
          <w:p w14:paraId="5D3EE31F" w14:textId="77777777" w:rsidR="0082715B" w:rsidRDefault="0082715B" w:rsidP="00190F49">
            <w:pPr>
              <w:spacing w:after="0" w:line="240" w:lineRule="auto"/>
              <w:rPr>
                <w:rFonts w:ascii="Times New Roman" w:hAnsi="Times New Roman" w:cs="Times New Roman"/>
              </w:rPr>
            </w:pPr>
          </w:p>
          <w:p w14:paraId="0B9325BB" w14:textId="77777777" w:rsidR="0082715B" w:rsidRDefault="0082715B" w:rsidP="00190F49">
            <w:pPr>
              <w:spacing w:after="0" w:line="240" w:lineRule="auto"/>
              <w:rPr>
                <w:rFonts w:ascii="Times New Roman" w:hAnsi="Times New Roman" w:cs="Times New Roman"/>
              </w:rPr>
            </w:pPr>
          </w:p>
          <w:p w14:paraId="5964A23C" w14:textId="77777777" w:rsidR="0082715B" w:rsidRDefault="0082715B" w:rsidP="00190F49">
            <w:pPr>
              <w:spacing w:after="0" w:line="240" w:lineRule="auto"/>
              <w:rPr>
                <w:rFonts w:ascii="Times New Roman" w:hAnsi="Times New Roman" w:cs="Times New Roman"/>
              </w:rPr>
            </w:pPr>
          </w:p>
          <w:p w14:paraId="0DAEFCF2" w14:textId="77777777" w:rsidR="0082715B" w:rsidRDefault="0082715B" w:rsidP="00190F49">
            <w:pPr>
              <w:spacing w:after="0" w:line="240" w:lineRule="auto"/>
              <w:rPr>
                <w:rFonts w:ascii="Times New Roman" w:hAnsi="Times New Roman" w:cs="Times New Roman"/>
              </w:rPr>
            </w:pPr>
          </w:p>
          <w:p w14:paraId="32F6C564" w14:textId="77777777" w:rsidR="0082715B" w:rsidRDefault="0082715B" w:rsidP="00190F49">
            <w:pPr>
              <w:spacing w:after="0" w:line="240" w:lineRule="auto"/>
              <w:rPr>
                <w:rFonts w:ascii="Times New Roman" w:hAnsi="Times New Roman" w:cs="Times New Roman"/>
              </w:rPr>
            </w:pPr>
          </w:p>
          <w:p w14:paraId="402EFBF2" w14:textId="77777777" w:rsidR="0082715B" w:rsidRDefault="0082715B" w:rsidP="00190F49">
            <w:pPr>
              <w:spacing w:after="0" w:line="240" w:lineRule="auto"/>
              <w:rPr>
                <w:rFonts w:ascii="Times New Roman" w:hAnsi="Times New Roman" w:cs="Times New Roman"/>
              </w:rPr>
            </w:pPr>
          </w:p>
          <w:p w14:paraId="1EFA3FDE" w14:textId="77777777" w:rsidR="0082715B" w:rsidRDefault="0082715B" w:rsidP="00190F49">
            <w:pPr>
              <w:spacing w:after="0" w:line="240" w:lineRule="auto"/>
              <w:rPr>
                <w:rFonts w:ascii="Times New Roman" w:hAnsi="Times New Roman" w:cs="Times New Roman"/>
              </w:rPr>
            </w:pPr>
          </w:p>
          <w:p w14:paraId="629C828A" w14:textId="74A8A053" w:rsidR="0082715B" w:rsidRDefault="0082715B" w:rsidP="00190F49">
            <w:pPr>
              <w:spacing w:after="0" w:line="240" w:lineRule="auto"/>
              <w:rPr>
                <w:rFonts w:ascii="Times New Roman" w:hAnsi="Times New Roman" w:cs="Times New Roman"/>
              </w:rPr>
            </w:pPr>
          </w:p>
          <w:p w14:paraId="4624005D" w14:textId="11A6494C" w:rsidR="5F673433" w:rsidRDefault="5F673433" w:rsidP="5F673433">
            <w:pPr>
              <w:spacing w:after="0" w:line="240" w:lineRule="auto"/>
              <w:rPr>
                <w:rFonts w:ascii="Times New Roman" w:hAnsi="Times New Roman" w:cs="Times New Roman"/>
              </w:rPr>
            </w:pPr>
          </w:p>
          <w:p w14:paraId="42C76EC1" w14:textId="3D08DCCB" w:rsidR="5F673433" w:rsidRDefault="5F673433" w:rsidP="5F673433">
            <w:pPr>
              <w:spacing w:after="0" w:line="240" w:lineRule="auto"/>
              <w:rPr>
                <w:rFonts w:ascii="Times New Roman" w:hAnsi="Times New Roman" w:cs="Times New Roman"/>
              </w:rPr>
            </w:pPr>
          </w:p>
          <w:p w14:paraId="5BA80418" w14:textId="549E132A" w:rsidR="5F673433" w:rsidRDefault="5F673433" w:rsidP="5F673433">
            <w:pPr>
              <w:spacing w:after="0" w:line="240" w:lineRule="auto"/>
              <w:rPr>
                <w:rFonts w:ascii="Times New Roman" w:hAnsi="Times New Roman" w:cs="Times New Roman"/>
              </w:rPr>
            </w:pPr>
          </w:p>
          <w:p w14:paraId="0B6650AC" w14:textId="340B089C" w:rsidR="5F673433" w:rsidRDefault="5F673433" w:rsidP="5F673433">
            <w:pPr>
              <w:spacing w:after="0" w:line="240" w:lineRule="auto"/>
              <w:rPr>
                <w:rFonts w:ascii="Times New Roman" w:hAnsi="Times New Roman" w:cs="Times New Roman"/>
              </w:rPr>
            </w:pPr>
          </w:p>
          <w:p w14:paraId="0F514323" w14:textId="06276D1D" w:rsidR="5F673433" w:rsidRDefault="5F673433" w:rsidP="5F673433">
            <w:pPr>
              <w:spacing w:after="0" w:line="240" w:lineRule="auto"/>
              <w:rPr>
                <w:rFonts w:ascii="Times New Roman" w:hAnsi="Times New Roman" w:cs="Times New Roman"/>
              </w:rPr>
            </w:pPr>
          </w:p>
          <w:p w14:paraId="0B280A86" w14:textId="155114ED" w:rsidR="004E1026" w:rsidRPr="00891428" w:rsidRDefault="00287825" w:rsidP="00190F49">
            <w:pPr>
              <w:spacing w:after="0" w:line="240" w:lineRule="auto"/>
              <w:rPr>
                <w:rFonts w:ascii="Times New Roman" w:hAnsi="Times New Roman" w:cs="Times New Roman"/>
              </w:rPr>
            </w:pPr>
            <w:r w:rsidRPr="00891428">
              <w:rPr>
                <w:rFonts w:ascii="Times New Roman" w:hAnsi="Times New Roman" w:cs="Times New Roman"/>
              </w:rPr>
              <w:t>Č:I</w:t>
            </w:r>
            <w:r w:rsidR="00E452FD" w:rsidRPr="00891428">
              <w:rPr>
                <w:rFonts w:ascii="Times New Roman" w:hAnsi="Times New Roman" w:cs="Times New Roman"/>
              </w:rPr>
              <w:t>§</w:t>
            </w:r>
            <w:r w:rsidRPr="00891428">
              <w:rPr>
                <w:rFonts w:ascii="Times New Roman" w:hAnsi="Times New Roman" w:cs="Times New Roman"/>
              </w:rPr>
              <w:t>:20</w:t>
            </w:r>
          </w:p>
          <w:p w14:paraId="44D2BF6A" w14:textId="4A67CCC9" w:rsidR="001B0A76" w:rsidRPr="00190F49" w:rsidRDefault="00287825" w:rsidP="00190F49">
            <w:pPr>
              <w:spacing w:after="0" w:line="240" w:lineRule="auto"/>
              <w:rPr>
                <w:rFonts w:ascii="Times New Roman" w:hAnsi="Times New Roman" w:cs="Times New Roman"/>
              </w:rPr>
            </w:pPr>
            <w:r w:rsidRPr="00891428">
              <w:rPr>
                <w:rFonts w:ascii="Times New Roman" w:hAnsi="Times New Roman" w:cs="Times New Roman"/>
              </w:rPr>
              <w:t>O:</w:t>
            </w:r>
            <w:r w:rsidR="001B0A76" w:rsidRPr="00891428">
              <w:rPr>
                <w:rFonts w:ascii="Times New Roman" w:hAnsi="Times New Roman" w:cs="Times New Roman"/>
              </w:rPr>
              <w:t>15</w:t>
            </w:r>
            <w:r w:rsidR="001B0A76" w:rsidRPr="00190F49">
              <w:rPr>
                <w:rFonts w:ascii="Times New Roman" w:hAnsi="Times New Roman" w:cs="Times New Roman"/>
              </w:rPr>
              <w:t xml:space="preserve"> </w:t>
            </w:r>
          </w:p>
          <w:p w14:paraId="0B94A4EB" w14:textId="77777777" w:rsidR="0006236A" w:rsidRPr="00190F49" w:rsidRDefault="0006236A" w:rsidP="00190F49">
            <w:pPr>
              <w:spacing w:after="0" w:line="240" w:lineRule="auto"/>
              <w:rPr>
                <w:rFonts w:ascii="Times New Roman" w:hAnsi="Times New Roman" w:cs="Times New Roman"/>
              </w:rPr>
            </w:pPr>
          </w:p>
          <w:p w14:paraId="49BB1543" w14:textId="77777777" w:rsidR="0006236A" w:rsidRPr="00190F49" w:rsidRDefault="0006236A" w:rsidP="00190F49">
            <w:pPr>
              <w:spacing w:after="0" w:line="240" w:lineRule="auto"/>
              <w:rPr>
                <w:rFonts w:ascii="Times New Roman" w:hAnsi="Times New Roman" w:cs="Times New Roman"/>
              </w:rPr>
            </w:pPr>
          </w:p>
          <w:p w14:paraId="0578C932" w14:textId="77777777" w:rsidR="0006236A" w:rsidRPr="00190F49" w:rsidRDefault="0006236A" w:rsidP="00190F49">
            <w:pPr>
              <w:spacing w:after="0" w:line="240" w:lineRule="auto"/>
              <w:rPr>
                <w:rFonts w:ascii="Times New Roman" w:hAnsi="Times New Roman" w:cs="Times New Roman"/>
              </w:rPr>
            </w:pPr>
          </w:p>
          <w:p w14:paraId="450AE64D" w14:textId="0641A2B0" w:rsidR="0006236A" w:rsidRPr="00190F49" w:rsidRDefault="0006236A" w:rsidP="00190F49">
            <w:pPr>
              <w:spacing w:after="0" w:line="240" w:lineRule="auto"/>
              <w:rPr>
                <w:rFonts w:ascii="Times New Roman" w:hAnsi="Times New Roman" w:cs="Times New Roman"/>
              </w:rPr>
            </w:pPr>
          </w:p>
          <w:p w14:paraId="6304A2EF" w14:textId="77777777" w:rsidR="004E1026" w:rsidRPr="00190F49" w:rsidRDefault="004E1026" w:rsidP="00190F49">
            <w:pPr>
              <w:spacing w:after="0" w:line="240" w:lineRule="auto"/>
              <w:rPr>
                <w:rFonts w:ascii="Times New Roman" w:hAnsi="Times New Roman" w:cs="Times New Roman"/>
              </w:rPr>
            </w:pPr>
          </w:p>
          <w:p w14:paraId="218026B8" w14:textId="77777777" w:rsidR="0082715B" w:rsidRDefault="0082715B" w:rsidP="00190F49">
            <w:pPr>
              <w:spacing w:after="0" w:line="240" w:lineRule="auto"/>
              <w:rPr>
                <w:rFonts w:ascii="Times New Roman" w:hAnsi="Times New Roman" w:cs="Times New Roman"/>
              </w:rPr>
            </w:pPr>
          </w:p>
          <w:p w14:paraId="3BCF45A7" w14:textId="77777777" w:rsidR="0082715B" w:rsidRDefault="0082715B" w:rsidP="00190F49">
            <w:pPr>
              <w:spacing w:after="0" w:line="240" w:lineRule="auto"/>
              <w:rPr>
                <w:rFonts w:ascii="Times New Roman" w:hAnsi="Times New Roman" w:cs="Times New Roman"/>
              </w:rPr>
            </w:pPr>
          </w:p>
          <w:p w14:paraId="0DA5BBD7" w14:textId="77777777" w:rsidR="0082715B" w:rsidRDefault="0082715B" w:rsidP="00190F49">
            <w:pPr>
              <w:spacing w:after="0" w:line="240" w:lineRule="auto"/>
              <w:rPr>
                <w:rFonts w:ascii="Times New Roman" w:hAnsi="Times New Roman" w:cs="Times New Roman"/>
              </w:rPr>
            </w:pPr>
          </w:p>
          <w:p w14:paraId="3FF7D019" w14:textId="77777777" w:rsidR="0082715B" w:rsidRDefault="0082715B" w:rsidP="00190F49">
            <w:pPr>
              <w:spacing w:after="0" w:line="240" w:lineRule="auto"/>
              <w:rPr>
                <w:rFonts w:ascii="Times New Roman" w:hAnsi="Times New Roman" w:cs="Times New Roman"/>
              </w:rPr>
            </w:pPr>
          </w:p>
          <w:p w14:paraId="44F816C2" w14:textId="77777777" w:rsidR="0082715B" w:rsidRDefault="0082715B" w:rsidP="00190F49">
            <w:pPr>
              <w:spacing w:after="0" w:line="240" w:lineRule="auto"/>
              <w:rPr>
                <w:rFonts w:ascii="Times New Roman" w:hAnsi="Times New Roman" w:cs="Times New Roman"/>
              </w:rPr>
            </w:pPr>
          </w:p>
          <w:p w14:paraId="6DFAF939" w14:textId="77777777" w:rsidR="0082715B" w:rsidRDefault="0082715B" w:rsidP="00190F49">
            <w:pPr>
              <w:spacing w:after="0" w:line="240" w:lineRule="auto"/>
              <w:rPr>
                <w:rFonts w:ascii="Times New Roman" w:hAnsi="Times New Roman" w:cs="Times New Roman"/>
              </w:rPr>
            </w:pPr>
          </w:p>
          <w:p w14:paraId="40BF492E" w14:textId="77777777" w:rsidR="009D0AA1" w:rsidRDefault="009D0AA1" w:rsidP="00190F49">
            <w:pPr>
              <w:spacing w:after="0" w:line="240" w:lineRule="auto"/>
              <w:rPr>
                <w:rFonts w:ascii="Times New Roman" w:hAnsi="Times New Roman" w:cs="Times New Roman"/>
              </w:rPr>
            </w:pPr>
          </w:p>
          <w:p w14:paraId="679F927C" w14:textId="77777777" w:rsidR="009D0AA1" w:rsidRDefault="009D0AA1" w:rsidP="00190F49">
            <w:pPr>
              <w:spacing w:after="0" w:line="240" w:lineRule="auto"/>
              <w:rPr>
                <w:rFonts w:ascii="Times New Roman" w:hAnsi="Times New Roman" w:cs="Times New Roman"/>
              </w:rPr>
            </w:pPr>
          </w:p>
          <w:p w14:paraId="782EC510" w14:textId="77777777" w:rsidR="00287825" w:rsidRPr="00190F49" w:rsidRDefault="00287825" w:rsidP="00190F49">
            <w:pPr>
              <w:spacing w:after="0" w:line="240" w:lineRule="auto"/>
              <w:rPr>
                <w:rFonts w:ascii="Times New Roman" w:hAnsi="Times New Roman" w:cs="Times New Roman"/>
              </w:rPr>
            </w:pPr>
          </w:p>
          <w:p w14:paraId="16D692EE" w14:textId="77777777" w:rsidR="00287825" w:rsidRPr="00190F49" w:rsidRDefault="00287825" w:rsidP="00190F49">
            <w:pPr>
              <w:spacing w:after="0" w:line="240" w:lineRule="auto"/>
              <w:rPr>
                <w:rFonts w:ascii="Times New Roman" w:hAnsi="Times New Roman" w:cs="Times New Roman"/>
              </w:rPr>
            </w:pPr>
          </w:p>
          <w:p w14:paraId="73682A9A" w14:textId="77777777" w:rsidR="00287825" w:rsidRPr="00190F49" w:rsidRDefault="00287825" w:rsidP="00190F49">
            <w:pPr>
              <w:spacing w:after="0" w:line="240" w:lineRule="auto"/>
              <w:rPr>
                <w:rFonts w:ascii="Times New Roman" w:hAnsi="Times New Roman" w:cs="Times New Roman"/>
              </w:rPr>
            </w:pPr>
          </w:p>
          <w:p w14:paraId="2A55B3F9" w14:textId="77777777" w:rsidR="00287825" w:rsidRPr="00190F49" w:rsidRDefault="00287825" w:rsidP="00190F49">
            <w:pPr>
              <w:spacing w:after="0" w:line="240" w:lineRule="auto"/>
              <w:rPr>
                <w:rFonts w:ascii="Times New Roman" w:hAnsi="Times New Roman" w:cs="Times New Roman"/>
              </w:rPr>
            </w:pPr>
          </w:p>
          <w:p w14:paraId="0AA455F8" w14:textId="77777777" w:rsidR="0082715B" w:rsidRDefault="0082715B" w:rsidP="00190F49">
            <w:pPr>
              <w:spacing w:after="0" w:line="240" w:lineRule="auto"/>
              <w:rPr>
                <w:rFonts w:ascii="Times New Roman" w:hAnsi="Times New Roman" w:cs="Times New Roman"/>
              </w:rPr>
            </w:pPr>
          </w:p>
          <w:p w14:paraId="7EB87778" w14:textId="77777777" w:rsidR="0082715B" w:rsidRDefault="0082715B" w:rsidP="00190F49">
            <w:pPr>
              <w:spacing w:after="0" w:line="240" w:lineRule="auto"/>
              <w:rPr>
                <w:rFonts w:ascii="Times New Roman" w:hAnsi="Times New Roman" w:cs="Times New Roman"/>
              </w:rPr>
            </w:pPr>
          </w:p>
          <w:p w14:paraId="088F88B7" w14:textId="77777777" w:rsidR="0082715B" w:rsidRDefault="0082715B" w:rsidP="00190F49">
            <w:pPr>
              <w:spacing w:after="0" w:line="240" w:lineRule="auto"/>
              <w:rPr>
                <w:rFonts w:ascii="Times New Roman" w:hAnsi="Times New Roman" w:cs="Times New Roman"/>
              </w:rPr>
            </w:pPr>
          </w:p>
          <w:p w14:paraId="7177255B" w14:textId="2A03CFED" w:rsidR="0082715B" w:rsidRDefault="0082715B" w:rsidP="00190F49">
            <w:pPr>
              <w:spacing w:after="0" w:line="240" w:lineRule="auto"/>
              <w:rPr>
                <w:rFonts w:ascii="Times New Roman" w:hAnsi="Times New Roman" w:cs="Times New Roman"/>
              </w:rPr>
            </w:pPr>
          </w:p>
          <w:p w14:paraId="52B4A3AD" w14:textId="77777777" w:rsidR="009D0AA1" w:rsidRDefault="009D0AA1" w:rsidP="00190F49">
            <w:pPr>
              <w:spacing w:after="0" w:line="240" w:lineRule="auto"/>
              <w:rPr>
                <w:rFonts w:ascii="Times New Roman" w:hAnsi="Times New Roman" w:cs="Times New Roman"/>
              </w:rPr>
            </w:pPr>
          </w:p>
          <w:p w14:paraId="24C0441C" w14:textId="77777777" w:rsidR="009D0AA1" w:rsidRDefault="009D0AA1" w:rsidP="00190F49">
            <w:pPr>
              <w:spacing w:after="0" w:line="240" w:lineRule="auto"/>
              <w:rPr>
                <w:rFonts w:ascii="Times New Roman" w:hAnsi="Times New Roman" w:cs="Times New Roman"/>
              </w:rPr>
            </w:pPr>
          </w:p>
          <w:p w14:paraId="7D253351" w14:textId="77777777" w:rsidR="009D0AA1" w:rsidRDefault="009D0AA1" w:rsidP="00190F49">
            <w:pPr>
              <w:spacing w:after="0" w:line="240" w:lineRule="auto"/>
              <w:rPr>
                <w:rFonts w:ascii="Times New Roman" w:hAnsi="Times New Roman" w:cs="Times New Roman"/>
              </w:rPr>
            </w:pPr>
          </w:p>
          <w:p w14:paraId="72664A7A" w14:textId="77777777" w:rsidR="009D0AA1" w:rsidRDefault="009D0AA1" w:rsidP="00190F49">
            <w:pPr>
              <w:spacing w:after="0" w:line="240" w:lineRule="auto"/>
              <w:rPr>
                <w:rFonts w:ascii="Times New Roman" w:hAnsi="Times New Roman" w:cs="Times New Roman"/>
              </w:rPr>
            </w:pPr>
          </w:p>
          <w:p w14:paraId="2517DFE9" w14:textId="77777777" w:rsidR="009D0AA1" w:rsidRDefault="009D0AA1" w:rsidP="00190F49">
            <w:pPr>
              <w:spacing w:after="0" w:line="240" w:lineRule="auto"/>
              <w:rPr>
                <w:rFonts w:ascii="Times New Roman" w:hAnsi="Times New Roman" w:cs="Times New Roman"/>
              </w:rPr>
            </w:pPr>
          </w:p>
          <w:p w14:paraId="31C4DF4D" w14:textId="77777777" w:rsidR="009D0AA1" w:rsidRDefault="009D0AA1" w:rsidP="00190F49">
            <w:pPr>
              <w:spacing w:after="0" w:line="240" w:lineRule="auto"/>
              <w:rPr>
                <w:rFonts w:ascii="Times New Roman" w:hAnsi="Times New Roman" w:cs="Times New Roman"/>
              </w:rPr>
            </w:pPr>
          </w:p>
          <w:p w14:paraId="3302DB34" w14:textId="2D36F93A" w:rsidR="002C6452" w:rsidRPr="00891428" w:rsidRDefault="002C6452" w:rsidP="00190F49">
            <w:pPr>
              <w:spacing w:after="0" w:line="240" w:lineRule="auto"/>
              <w:rPr>
                <w:rFonts w:ascii="Times New Roman" w:hAnsi="Times New Roman" w:cs="Times New Roman"/>
                <w:highlight w:val="red"/>
              </w:rPr>
            </w:pPr>
          </w:p>
          <w:p w14:paraId="0CA044A1" w14:textId="77777777" w:rsidR="002C6452" w:rsidRPr="00190F49" w:rsidRDefault="002C6452" w:rsidP="00190F49">
            <w:pPr>
              <w:spacing w:after="0" w:line="240" w:lineRule="auto"/>
              <w:rPr>
                <w:rFonts w:ascii="Times New Roman" w:hAnsi="Times New Roman" w:cs="Times New Roman"/>
              </w:rPr>
            </w:pPr>
          </w:p>
          <w:p w14:paraId="207CB928" w14:textId="24517DCD" w:rsidR="00D63C45" w:rsidRPr="00190F49" w:rsidRDefault="00D63C45" w:rsidP="00190F49">
            <w:pPr>
              <w:spacing w:after="0" w:line="240" w:lineRule="auto"/>
              <w:rPr>
                <w:rFonts w:ascii="Times New Roman" w:hAnsi="Times New Roman" w:cs="Times New Roman"/>
              </w:rPr>
            </w:pPr>
          </w:p>
          <w:p w14:paraId="6553E402" w14:textId="5E5F05F4" w:rsidR="0077369F" w:rsidRPr="00190F49" w:rsidRDefault="0077369F" w:rsidP="00190F49">
            <w:pPr>
              <w:spacing w:after="0" w:line="240" w:lineRule="auto"/>
              <w:rPr>
                <w:rFonts w:ascii="Times New Roman" w:hAnsi="Times New Roman" w:cs="Times New Roman"/>
              </w:rPr>
            </w:pPr>
          </w:p>
          <w:p w14:paraId="7E744AB0" w14:textId="4E62351A" w:rsidR="0077369F" w:rsidRPr="00190F49" w:rsidRDefault="0077369F" w:rsidP="00190F49">
            <w:pPr>
              <w:spacing w:after="0" w:line="240" w:lineRule="auto"/>
              <w:rPr>
                <w:rFonts w:ascii="Times New Roman" w:hAnsi="Times New Roman" w:cs="Times New Roman"/>
              </w:rPr>
            </w:pPr>
          </w:p>
          <w:p w14:paraId="289C0754" w14:textId="04D1F60A" w:rsidR="0077369F" w:rsidRPr="00190F49" w:rsidRDefault="0077369F" w:rsidP="00190F49">
            <w:pPr>
              <w:spacing w:after="0" w:line="240" w:lineRule="auto"/>
              <w:rPr>
                <w:rFonts w:ascii="Times New Roman" w:hAnsi="Times New Roman" w:cs="Times New Roman"/>
              </w:rPr>
            </w:pPr>
          </w:p>
          <w:p w14:paraId="05D88CEB" w14:textId="5FA2B816" w:rsidR="0077369F" w:rsidRPr="00190F49" w:rsidRDefault="0077369F" w:rsidP="00190F49">
            <w:pPr>
              <w:spacing w:after="0" w:line="240" w:lineRule="auto"/>
              <w:rPr>
                <w:rFonts w:ascii="Times New Roman" w:hAnsi="Times New Roman" w:cs="Times New Roman"/>
              </w:rPr>
            </w:pPr>
          </w:p>
          <w:p w14:paraId="007CFDFC" w14:textId="562865CB" w:rsidR="0077369F" w:rsidRPr="00190F49" w:rsidRDefault="0077369F" w:rsidP="00190F49">
            <w:pPr>
              <w:spacing w:after="0" w:line="240" w:lineRule="auto"/>
              <w:rPr>
                <w:rFonts w:ascii="Times New Roman" w:hAnsi="Times New Roman" w:cs="Times New Roman"/>
              </w:rPr>
            </w:pPr>
          </w:p>
          <w:p w14:paraId="66D5EDE4" w14:textId="381444A1" w:rsidR="0077369F" w:rsidRPr="00190F49" w:rsidRDefault="0077369F" w:rsidP="00190F49">
            <w:pPr>
              <w:spacing w:after="0" w:line="240" w:lineRule="auto"/>
              <w:rPr>
                <w:rFonts w:ascii="Times New Roman" w:hAnsi="Times New Roman" w:cs="Times New Roman"/>
              </w:rPr>
            </w:pPr>
          </w:p>
          <w:p w14:paraId="7C99B78A" w14:textId="30232E48" w:rsidR="0077369F" w:rsidRPr="00190F49" w:rsidRDefault="0077369F" w:rsidP="00190F49">
            <w:pPr>
              <w:spacing w:after="0" w:line="240" w:lineRule="auto"/>
              <w:rPr>
                <w:rFonts w:ascii="Times New Roman" w:hAnsi="Times New Roman" w:cs="Times New Roman"/>
              </w:rPr>
            </w:pPr>
          </w:p>
          <w:p w14:paraId="50B35174" w14:textId="0A48AC0E" w:rsidR="0077369F" w:rsidRPr="00190F49" w:rsidRDefault="0077369F" w:rsidP="00190F49">
            <w:pPr>
              <w:spacing w:after="0" w:line="240" w:lineRule="auto"/>
              <w:rPr>
                <w:rFonts w:ascii="Times New Roman" w:hAnsi="Times New Roman" w:cs="Times New Roman"/>
              </w:rPr>
            </w:pPr>
          </w:p>
          <w:p w14:paraId="20FD518E" w14:textId="312E7E77" w:rsidR="0077369F" w:rsidRPr="00190F49" w:rsidRDefault="0077369F" w:rsidP="00190F49">
            <w:pPr>
              <w:spacing w:after="0" w:line="240" w:lineRule="auto"/>
              <w:rPr>
                <w:rFonts w:ascii="Times New Roman" w:hAnsi="Times New Roman" w:cs="Times New Roman"/>
              </w:rPr>
            </w:pPr>
          </w:p>
          <w:p w14:paraId="5FB678D0" w14:textId="7645BEBE" w:rsidR="0077369F" w:rsidRPr="00190F49" w:rsidRDefault="0077369F" w:rsidP="00190F49">
            <w:pPr>
              <w:spacing w:after="0" w:line="240" w:lineRule="auto"/>
              <w:rPr>
                <w:rFonts w:ascii="Times New Roman" w:hAnsi="Times New Roman" w:cs="Times New Roman"/>
              </w:rPr>
            </w:pPr>
          </w:p>
          <w:p w14:paraId="6CB3708A" w14:textId="3AF13F2A" w:rsidR="0077369F" w:rsidRPr="00190F49" w:rsidRDefault="0077369F" w:rsidP="00190F49">
            <w:pPr>
              <w:spacing w:after="0" w:line="240" w:lineRule="auto"/>
              <w:rPr>
                <w:rFonts w:ascii="Times New Roman" w:hAnsi="Times New Roman" w:cs="Times New Roman"/>
              </w:rPr>
            </w:pPr>
          </w:p>
          <w:p w14:paraId="541110CA" w14:textId="2DBDE9C1" w:rsidR="0077369F" w:rsidRPr="00190F49" w:rsidRDefault="0077369F" w:rsidP="00190F49">
            <w:pPr>
              <w:spacing w:after="0" w:line="240" w:lineRule="auto"/>
              <w:rPr>
                <w:rFonts w:ascii="Times New Roman" w:hAnsi="Times New Roman" w:cs="Times New Roman"/>
              </w:rPr>
            </w:pPr>
          </w:p>
          <w:p w14:paraId="69BD58D1" w14:textId="2005439D" w:rsidR="0077369F" w:rsidRPr="00190F49" w:rsidRDefault="0077369F" w:rsidP="00190F49">
            <w:pPr>
              <w:spacing w:after="0" w:line="240" w:lineRule="auto"/>
              <w:rPr>
                <w:rFonts w:ascii="Times New Roman" w:hAnsi="Times New Roman" w:cs="Times New Roman"/>
              </w:rPr>
            </w:pPr>
          </w:p>
          <w:p w14:paraId="04FF90EA" w14:textId="5B67214C" w:rsidR="0077369F" w:rsidRPr="00190F49" w:rsidRDefault="0077369F" w:rsidP="00190F49">
            <w:pPr>
              <w:spacing w:after="0" w:line="240" w:lineRule="auto"/>
              <w:rPr>
                <w:rFonts w:ascii="Times New Roman" w:hAnsi="Times New Roman" w:cs="Times New Roman"/>
              </w:rPr>
            </w:pPr>
          </w:p>
          <w:p w14:paraId="1E75349B" w14:textId="116FE98A" w:rsidR="0077369F" w:rsidRPr="00190F49" w:rsidRDefault="0077369F" w:rsidP="00190F49">
            <w:pPr>
              <w:spacing w:after="0" w:line="240" w:lineRule="auto"/>
              <w:rPr>
                <w:rFonts w:ascii="Times New Roman" w:hAnsi="Times New Roman" w:cs="Times New Roman"/>
              </w:rPr>
            </w:pPr>
          </w:p>
          <w:p w14:paraId="0D5F14B3" w14:textId="13A9C809" w:rsidR="0077369F" w:rsidRPr="00190F49" w:rsidRDefault="0077369F" w:rsidP="00190F49">
            <w:pPr>
              <w:spacing w:after="0" w:line="240" w:lineRule="auto"/>
              <w:rPr>
                <w:rFonts w:ascii="Times New Roman" w:hAnsi="Times New Roman" w:cs="Times New Roman"/>
              </w:rPr>
            </w:pPr>
          </w:p>
          <w:p w14:paraId="736BACCD" w14:textId="04D122C5" w:rsidR="0077369F" w:rsidRPr="00190F49" w:rsidRDefault="0077369F" w:rsidP="00190F49">
            <w:pPr>
              <w:spacing w:after="0" w:line="240" w:lineRule="auto"/>
              <w:rPr>
                <w:rFonts w:ascii="Times New Roman" w:hAnsi="Times New Roman" w:cs="Times New Roman"/>
              </w:rPr>
            </w:pPr>
          </w:p>
          <w:p w14:paraId="662FA16D" w14:textId="4C50C5D6" w:rsidR="0077369F" w:rsidRPr="00190F49" w:rsidRDefault="0077369F" w:rsidP="00190F49">
            <w:pPr>
              <w:spacing w:after="0" w:line="240" w:lineRule="auto"/>
              <w:rPr>
                <w:rFonts w:ascii="Times New Roman" w:hAnsi="Times New Roman" w:cs="Times New Roman"/>
              </w:rPr>
            </w:pPr>
          </w:p>
          <w:p w14:paraId="51C28A84" w14:textId="2F48D9BF" w:rsidR="0077369F" w:rsidRPr="00190F49" w:rsidRDefault="0077369F" w:rsidP="00190F49">
            <w:pPr>
              <w:spacing w:after="0" w:line="240" w:lineRule="auto"/>
              <w:rPr>
                <w:rFonts w:ascii="Times New Roman" w:hAnsi="Times New Roman" w:cs="Times New Roman"/>
              </w:rPr>
            </w:pPr>
          </w:p>
          <w:p w14:paraId="18D64E87" w14:textId="708F5839" w:rsidR="0077369F" w:rsidRPr="00190F49" w:rsidRDefault="0077369F" w:rsidP="00190F49">
            <w:pPr>
              <w:spacing w:after="0" w:line="240" w:lineRule="auto"/>
              <w:rPr>
                <w:rFonts w:ascii="Times New Roman" w:hAnsi="Times New Roman" w:cs="Times New Roman"/>
              </w:rPr>
            </w:pPr>
          </w:p>
          <w:p w14:paraId="463871FA" w14:textId="7E79539E" w:rsidR="0077369F" w:rsidRPr="00190F49" w:rsidRDefault="0077369F" w:rsidP="00190F49">
            <w:pPr>
              <w:spacing w:after="0" w:line="240" w:lineRule="auto"/>
              <w:rPr>
                <w:rFonts w:ascii="Times New Roman" w:hAnsi="Times New Roman" w:cs="Times New Roman"/>
              </w:rPr>
            </w:pPr>
          </w:p>
          <w:p w14:paraId="0F89BF66" w14:textId="32806E38" w:rsidR="0077369F" w:rsidRPr="00190F49" w:rsidRDefault="0077369F" w:rsidP="00190F49">
            <w:pPr>
              <w:spacing w:after="0" w:line="240" w:lineRule="auto"/>
              <w:rPr>
                <w:rFonts w:ascii="Times New Roman" w:hAnsi="Times New Roman" w:cs="Times New Roman"/>
              </w:rPr>
            </w:pPr>
          </w:p>
          <w:p w14:paraId="04111CBC" w14:textId="1F88093A" w:rsidR="0077369F" w:rsidRPr="00190F49" w:rsidRDefault="0077369F" w:rsidP="00190F49">
            <w:pPr>
              <w:spacing w:after="0" w:line="240" w:lineRule="auto"/>
              <w:rPr>
                <w:rFonts w:ascii="Times New Roman" w:hAnsi="Times New Roman" w:cs="Times New Roman"/>
              </w:rPr>
            </w:pPr>
          </w:p>
          <w:p w14:paraId="40D6C100" w14:textId="09B6E90E" w:rsidR="0077369F" w:rsidRPr="00190F49" w:rsidRDefault="0077369F" w:rsidP="00190F49">
            <w:pPr>
              <w:spacing w:after="0" w:line="240" w:lineRule="auto"/>
              <w:rPr>
                <w:rFonts w:ascii="Times New Roman" w:hAnsi="Times New Roman" w:cs="Times New Roman"/>
              </w:rPr>
            </w:pPr>
          </w:p>
          <w:p w14:paraId="49177F93" w14:textId="2585FACD" w:rsidR="0077369F" w:rsidRPr="00190F49" w:rsidRDefault="0077369F" w:rsidP="00190F49">
            <w:pPr>
              <w:spacing w:after="0" w:line="240" w:lineRule="auto"/>
              <w:rPr>
                <w:rFonts w:ascii="Times New Roman" w:hAnsi="Times New Roman" w:cs="Times New Roman"/>
              </w:rPr>
            </w:pPr>
          </w:p>
          <w:p w14:paraId="1FF3607E" w14:textId="56C98954" w:rsidR="0077369F" w:rsidRPr="00190F49" w:rsidRDefault="0077369F" w:rsidP="00190F49">
            <w:pPr>
              <w:spacing w:after="0" w:line="240" w:lineRule="auto"/>
              <w:rPr>
                <w:rFonts w:ascii="Times New Roman" w:hAnsi="Times New Roman" w:cs="Times New Roman"/>
              </w:rPr>
            </w:pPr>
          </w:p>
          <w:p w14:paraId="0CA64744" w14:textId="6208B6D2" w:rsidR="0077369F" w:rsidRPr="00190F49" w:rsidRDefault="0077369F" w:rsidP="00190F49">
            <w:pPr>
              <w:spacing w:after="0" w:line="240" w:lineRule="auto"/>
              <w:rPr>
                <w:rFonts w:ascii="Times New Roman" w:hAnsi="Times New Roman" w:cs="Times New Roman"/>
              </w:rPr>
            </w:pPr>
          </w:p>
          <w:p w14:paraId="035A7C32" w14:textId="415B3ED7" w:rsidR="0077369F" w:rsidRPr="00190F49" w:rsidRDefault="0077369F" w:rsidP="00190F49">
            <w:pPr>
              <w:spacing w:after="0" w:line="240" w:lineRule="auto"/>
              <w:rPr>
                <w:rFonts w:ascii="Times New Roman" w:hAnsi="Times New Roman" w:cs="Times New Roman"/>
              </w:rPr>
            </w:pPr>
          </w:p>
          <w:p w14:paraId="64868C2E" w14:textId="18BCA4E5" w:rsidR="0077369F" w:rsidRPr="00190F49" w:rsidRDefault="0077369F" w:rsidP="00190F49">
            <w:pPr>
              <w:spacing w:after="0" w:line="240" w:lineRule="auto"/>
              <w:rPr>
                <w:rFonts w:ascii="Times New Roman" w:hAnsi="Times New Roman" w:cs="Times New Roman"/>
              </w:rPr>
            </w:pPr>
          </w:p>
          <w:p w14:paraId="180E930D" w14:textId="022C137F" w:rsidR="0077369F" w:rsidRPr="00190F49" w:rsidRDefault="0077369F" w:rsidP="00190F49">
            <w:pPr>
              <w:spacing w:after="0" w:line="240" w:lineRule="auto"/>
              <w:rPr>
                <w:rFonts w:ascii="Times New Roman" w:hAnsi="Times New Roman" w:cs="Times New Roman"/>
              </w:rPr>
            </w:pPr>
          </w:p>
          <w:p w14:paraId="6FF4A455" w14:textId="17514FBD" w:rsidR="0077369F" w:rsidRPr="00190F49" w:rsidRDefault="0077369F" w:rsidP="00190F49">
            <w:pPr>
              <w:spacing w:after="0" w:line="240" w:lineRule="auto"/>
              <w:rPr>
                <w:rFonts w:ascii="Times New Roman" w:hAnsi="Times New Roman" w:cs="Times New Roman"/>
              </w:rPr>
            </w:pPr>
          </w:p>
          <w:p w14:paraId="256CBDA2" w14:textId="57B3BDA0" w:rsidR="0077369F" w:rsidRPr="00190F49" w:rsidRDefault="0077369F" w:rsidP="00190F49">
            <w:pPr>
              <w:spacing w:after="0" w:line="240" w:lineRule="auto"/>
              <w:rPr>
                <w:rFonts w:ascii="Times New Roman" w:hAnsi="Times New Roman" w:cs="Times New Roman"/>
              </w:rPr>
            </w:pPr>
          </w:p>
          <w:p w14:paraId="257E91CC" w14:textId="03ABFD74" w:rsidR="0077369F" w:rsidRPr="00190F49" w:rsidRDefault="0077369F" w:rsidP="00190F49">
            <w:pPr>
              <w:spacing w:after="0" w:line="240" w:lineRule="auto"/>
              <w:rPr>
                <w:rFonts w:ascii="Times New Roman" w:hAnsi="Times New Roman" w:cs="Times New Roman"/>
              </w:rPr>
            </w:pPr>
          </w:p>
          <w:p w14:paraId="78270369" w14:textId="0BBABCCC" w:rsidR="0077369F" w:rsidRPr="00190F49" w:rsidRDefault="0077369F" w:rsidP="00190F49">
            <w:pPr>
              <w:spacing w:after="0" w:line="240" w:lineRule="auto"/>
              <w:rPr>
                <w:rFonts w:ascii="Times New Roman" w:hAnsi="Times New Roman" w:cs="Times New Roman"/>
              </w:rPr>
            </w:pPr>
          </w:p>
          <w:p w14:paraId="15E99615" w14:textId="3D2F7168" w:rsidR="0077369F" w:rsidRPr="00190F49" w:rsidRDefault="0077369F" w:rsidP="00190F49">
            <w:pPr>
              <w:spacing w:after="0" w:line="240" w:lineRule="auto"/>
              <w:rPr>
                <w:rFonts w:ascii="Times New Roman" w:hAnsi="Times New Roman" w:cs="Times New Roman"/>
              </w:rPr>
            </w:pPr>
          </w:p>
          <w:p w14:paraId="601E6B16" w14:textId="09FF0FB3" w:rsidR="0077369F" w:rsidRPr="00190F49" w:rsidRDefault="0077369F" w:rsidP="00190F49">
            <w:pPr>
              <w:spacing w:after="0" w:line="240" w:lineRule="auto"/>
              <w:rPr>
                <w:rFonts w:ascii="Times New Roman" w:hAnsi="Times New Roman" w:cs="Times New Roman"/>
              </w:rPr>
            </w:pPr>
          </w:p>
          <w:p w14:paraId="02C87A86" w14:textId="3F75C4AF" w:rsidR="00383D96" w:rsidRPr="00190F49" w:rsidRDefault="00383D96" w:rsidP="00190F49">
            <w:pPr>
              <w:spacing w:after="0" w:line="240" w:lineRule="auto"/>
              <w:rPr>
                <w:rFonts w:ascii="Times New Roman" w:hAnsi="Times New Roman" w:cs="Times New Roman"/>
              </w:rPr>
            </w:pPr>
          </w:p>
          <w:p w14:paraId="36CBEA88" w14:textId="77777777" w:rsidR="004E1026" w:rsidRPr="00190F49" w:rsidRDefault="004E1026" w:rsidP="00190F49">
            <w:pPr>
              <w:spacing w:after="0" w:line="240" w:lineRule="auto"/>
              <w:rPr>
                <w:rFonts w:ascii="Times New Roman" w:hAnsi="Times New Roman" w:cs="Times New Roman"/>
              </w:rPr>
            </w:pPr>
          </w:p>
          <w:p w14:paraId="0DB6B867" w14:textId="77777777" w:rsidR="0082715B" w:rsidRDefault="0082715B" w:rsidP="00190F49">
            <w:pPr>
              <w:spacing w:after="0" w:line="240" w:lineRule="auto"/>
              <w:rPr>
                <w:rFonts w:ascii="Times New Roman" w:hAnsi="Times New Roman" w:cs="Times New Roman"/>
              </w:rPr>
            </w:pPr>
          </w:p>
          <w:p w14:paraId="15DB93AF" w14:textId="77777777" w:rsidR="0082715B" w:rsidRDefault="0082715B" w:rsidP="00190F49">
            <w:pPr>
              <w:spacing w:after="0" w:line="240" w:lineRule="auto"/>
              <w:rPr>
                <w:rFonts w:ascii="Times New Roman" w:hAnsi="Times New Roman" w:cs="Times New Roman"/>
              </w:rPr>
            </w:pPr>
          </w:p>
          <w:p w14:paraId="351F9C6D" w14:textId="77777777" w:rsidR="0082715B" w:rsidRDefault="0082715B" w:rsidP="00190F49">
            <w:pPr>
              <w:spacing w:after="0" w:line="240" w:lineRule="auto"/>
              <w:rPr>
                <w:rFonts w:ascii="Times New Roman" w:hAnsi="Times New Roman" w:cs="Times New Roman"/>
              </w:rPr>
            </w:pPr>
          </w:p>
          <w:p w14:paraId="369B8CCC" w14:textId="77777777" w:rsidR="0082715B" w:rsidRDefault="0082715B" w:rsidP="00190F49">
            <w:pPr>
              <w:spacing w:after="0" w:line="240" w:lineRule="auto"/>
              <w:rPr>
                <w:rFonts w:ascii="Times New Roman" w:hAnsi="Times New Roman" w:cs="Times New Roman"/>
              </w:rPr>
            </w:pPr>
          </w:p>
          <w:p w14:paraId="13032D3C" w14:textId="77777777" w:rsidR="0082715B" w:rsidRDefault="0082715B" w:rsidP="00190F49">
            <w:pPr>
              <w:spacing w:after="0" w:line="240" w:lineRule="auto"/>
              <w:rPr>
                <w:rFonts w:ascii="Times New Roman" w:hAnsi="Times New Roman" w:cs="Times New Roman"/>
              </w:rPr>
            </w:pPr>
          </w:p>
          <w:p w14:paraId="01B9BF55" w14:textId="77777777" w:rsidR="0082715B" w:rsidRDefault="0082715B" w:rsidP="00190F49">
            <w:pPr>
              <w:spacing w:after="0" w:line="240" w:lineRule="auto"/>
              <w:rPr>
                <w:rFonts w:ascii="Times New Roman" w:hAnsi="Times New Roman" w:cs="Times New Roman"/>
              </w:rPr>
            </w:pPr>
          </w:p>
          <w:p w14:paraId="36B2A8AB" w14:textId="77777777" w:rsidR="0082715B" w:rsidRDefault="0082715B" w:rsidP="00190F49">
            <w:pPr>
              <w:spacing w:after="0" w:line="240" w:lineRule="auto"/>
              <w:rPr>
                <w:rFonts w:ascii="Times New Roman" w:hAnsi="Times New Roman" w:cs="Times New Roman"/>
              </w:rPr>
            </w:pPr>
          </w:p>
          <w:p w14:paraId="5A959866" w14:textId="77777777" w:rsidR="0082715B" w:rsidRDefault="0082715B" w:rsidP="00190F49">
            <w:pPr>
              <w:spacing w:after="0" w:line="240" w:lineRule="auto"/>
              <w:rPr>
                <w:rFonts w:ascii="Times New Roman" w:hAnsi="Times New Roman" w:cs="Times New Roman"/>
              </w:rPr>
            </w:pPr>
          </w:p>
          <w:p w14:paraId="192E5FBB" w14:textId="77777777" w:rsidR="0082715B" w:rsidRDefault="0082715B" w:rsidP="00190F49">
            <w:pPr>
              <w:spacing w:after="0" w:line="240" w:lineRule="auto"/>
              <w:rPr>
                <w:rFonts w:ascii="Times New Roman" w:hAnsi="Times New Roman" w:cs="Times New Roman"/>
              </w:rPr>
            </w:pPr>
          </w:p>
          <w:p w14:paraId="66FA990A" w14:textId="77777777" w:rsidR="0082715B" w:rsidRDefault="0082715B" w:rsidP="00190F49">
            <w:pPr>
              <w:spacing w:after="0" w:line="240" w:lineRule="auto"/>
              <w:rPr>
                <w:rFonts w:ascii="Times New Roman" w:hAnsi="Times New Roman" w:cs="Times New Roman"/>
              </w:rPr>
            </w:pPr>
          </w:p>
          <w:p w14:paraId="173C52DF" w14:textId="77777777" w:rsidR="0082715B" w:rsidRDefault="0082715B" w:rsidP="00190F49">
            <w:pPr>
              <w:spacing w:after="0" w:line="240" w:lineRule="auto"/>
              <w:rPr>
                <w:rFonts w:ascii="Times New Roman" w:hAnsi="Times New Roman" w:cs="Times New Roman"/>
              </w:rPr>
            </w:pPr>
          </w:p>
          <w:p w14:paraId="48B38FA6" w14:textId="77777777" w:rsidR="0082715B" w:rsidRDefault="0082715B" w:rsidP="00190F49">
            <w:pPr>
              <w:spacing w:after="0" w:line="240" w:lineRule="auto"/>
              <w:rPr>
                <w:rFonts w:ascii="Times New Roman" w:hAnsi="Times New Roman" w:cs="Times New Roman"/>
              </w:rPr>
            </w:pPr>
          </w:p>
          <w:p w14:paraId="6AAEA4F1" w14:textId="77777777" w:rsidR="0082715B" w:rsidRDefault="0082715B" w:rsidP="00190F49">
            <w:pPr>
              <w:spacing w:after="0" w:line="240" w:lineRule="auto"/>
              <w:rPr>
                <w:rFonts w:ascii="Times New Roman" w:hAnsi="Times New Roman" w:cs="Times New Roman"/>
              </w:rPr>
            </w:pPr>
          </w:p>
          <w:p w14:paraId="528261CE" w14:textId="77777777" w:rsidR="0082715B" w:rsidRDefault="0082715B" w:rsidP="00190F49">
            <w:pPr>
              <w:spacing w:after="0" w:line="240" w:lineRule="auto"/>
              <w:rPr>
                <w:rFonts w:ascii="Times New Roman" w:hAnsi="Times New Roman" w:cs="Times New Roman"/>
              </w:rPr>
            </w:pPr>
          </w:p>
          <w:p w14:paraId="60F4B847" w14:textId="77777777" w:rsidR="0082715B" w:rsidRDefault="0082715B" w:rsidP="00190F49">
            <w:pPr>
              <w:spacing w:after="0" w:line="240" w:lineRule="auto"/>
              <w:rPr>
                <w:rFonts w:ascii="Times New Roman" w:hAnsi="Times New Roman" w:cs="Times New Roman"/>
              </w:rPr>
            </w:pPr>
          </w:p>
          <w:p w14:paraId="03157B14" w14:textId="77777777" w:rsidR="0082715B" w:rsidRDefault="0082715B" w:rsidP="00190F49">
            <w:pPr>
              <w:spacing w:after="0" w:line="240" w:lineRule="auto"/>
              <w:rPr>
                <w:rFonts w:ascii="Times New Roman" w:hAnsi="Times New Roman" w:cs="Times New Roman"/>
              </w:rPr>
            </w:pPr>
          </w:p>
          <w:p w14:paraId="528DB555" w14:textId="77777777" w:rsidR="0082715B" w:rsidRDefault="0082715B" w:rsidP="00190F49">
            <w:pPr>
              <w:spacing w:after="0" w:line="240" w:lineRule="auto"/>
              <w:rPr>
                <w:rFonts w:ascii="Times New Roman" w:hAnsi="Times New Roman" w:cs="Times New Roman"/>
              </w:rPr>
            </w:pPr>
          </w:p>
          <w:p w14:paraId="3C878967" w14:textId="77777777" w:rsidR="0082715B" w:rsidRDefault="0082715B" w:rsidP="00190F49">
            <w:pPr>
              <w:spacing w:after="0" w:line="240" w:lineRule="auto"/>
              <w:rPr>
                <w:rFonts w:ascii="Times New Roman" w:hAnsi="Times New Roman" w:cs="Times New Roman"/>
              </w:rPr>
            </w:pPr>
          </w:p>
          <w:p w14:paraId="729244DD" w14:textId="77777777" w:rsidR="0082715B" w:rsidRDefault="0082715B" w:rsidP="00190F49">
            <w:pPr>
              <w:spacing w:after="0" w:line="240" w:lineRule="auto"/>
              <w:rPr>
                <w:rFonts w:ascii="Times New Roman" w:hAnsi="Times New Roman" w:cs="Times New Roman"/>
              </w:rPr>
            </w:pPr>
          </w:p>
          <w:p w14:paraId="0000FB81" w14:textId="77777777" w:rsidR="0082715B" w:rsidRDefault="0082715B" w:rsidP="00190F49">
            <w:pPr>
              <w:spacing w:after="0" w:line="240" w:lineRule="auto"/>
              <w:rPr>
                <w:rFonts w:ascii="Times New Roman" w:hAnsi="Times New Roman" w:cs="Times New Roman"/>
              </w:rPr>
            </w:pPr>
          </w:p>
          <w:p w14:paraId="356B5D01" w14:textId="77777777" w:rsidR="0082715B" w:rsidRDefault="0082715B" w:rsidP="00190F49">
            <w:pPr>
              <w:spacing w:after="0" w:line="240" w:lineRule="auto"/>
              <w:rPr>
                <w:rFonts w:ascii="Times New Roman" w:hAnsi="Times New Roman" w:cs="Times New Roman"/>
              </w:rPr>
            </w:pPr>
          </w:p>
          <w:p w14:paraId="7463C5D4" w14:textId="77777777" w:rsidR="0082715B" w:rsidRDefault="0082715B" w:rsidP="00190F49">
            <w:pPr>
              <w:spacing w:after="0" w:line="240" w:lineRule="auto"/>
              <w:rPr>
                <w:rFonts w:ascii="Times New Roman" w:hAnsi="Times New Roman" w:cs="Times New Roman"/>
              </w:rPr>
            </w:pPr>
          </w:p>
          <w:p w14:paraId="22B152DF" w14:textId="77777777" w:rsidR="0082715B" w:rsidRDefault="0082715B" w:rsidP="00190F49">
            <w:pPr>
              <w:spacing w:after="0" w:line="240" w:lineRule="auto"/>
              <w:rPr>
                <w:rFonts w:ascii="Times New Roman" w:hAnsi="Times New Roman" w:cs="Times New Roman"/>
              </w:rPr>
            </w:pPr>
          </w:p>
          <w:p w14:paraId="2C538454" w14:textId="77777777" w:rsidR="0082715B" w:rsidRDefault="0082715B" w:rsidP="00190F49">
            <w:pPr>
              <w:spacing w:after="0" w:line="240" w:lineRule="auto"/>
              <w:rPr>
                <w:rFonts w:ascii="Times New Roman" w:hAnsi="Times New Roman" w:cs="Times New Roman"/>
              </w:rPr>
            </w:pPr>
          </w:p>
          <w:p w14:paraId="29108A7C" w14:textId="77777777" w:rsidR="0082715B" w:rsidRDefault="0082715B" w:rsidP="00190F49">
            <w:pPr>
              <w:spacing w:after="0" w:line="240" w:lineRule="auto"/>
              <w:rPr>
                <w:rFonts w:ascii="Times New Roman" w:hAnsi="Times New Roman" w:cs="Times New Roman"/>
              </w:rPr>
            </w:pPr>
          </w:p>
          <w:p w14:paraId="09F18476" w14:textId="77777777" w:rsidR="0082715B" w:rsidRDefault="0082715B" w:rsidP="00190F49">
            <w:pPr>
              <w:spacing w:after="0" w:line="240" w:lineRule="auto"/>
              <w:rPr>
                <w:rFonts w:ascii="Times New Roman" w:hAnsi="Times New Roman" w:cs="Times New Roman"/>
              </w:rPr>
            </w:pPr>
          </w:p>
          <w:p w14:paraId="0E6E5A8B" w14:textId="77777777" w:rsidR="0082715B" w:rsidRDefault="0082715B" w:rsidP="00190F49">
            <w:pPr>
              <w:spacing w:after="0" w:line="240" w:lineRule="auto"/>
              <w:rPr>
                <w:rFonts w:ascii="Times New Roman" w:hAnsi="Times New Roman" w:cs="Times New Roman"/>
              </w:rPr>
            </w:pPr>
          </w:p>
          <w:p w14:paraId="65698124" w14:textId="77777777" w:rsidR="0082715B" w:rsidRDefault="0082715B" w:rsidP="00190F49">
            <w:pPr>
              <w:spacing w:after="0" w:line="240" w:lineRule="auto"/>
              <w:rPr>
                <w:rFonts w:ascii="Times New Roman" w:hAnsi="Times New Roman" w:cs="Times New Roman"/>
              </w:rPr>
            </w:pPr>
          </w:p>
          <w:p w14:paraId="6D4527EE" w14:textId="77777777" w:rsidR="0082715B" w:rsidRDefault="0082715B" w:rsidP="00190F49">
            <w:pPr>
              <w:spacing w:after="0" w:line="240" w:lineRule="auto"/>
              <w:rPr>
                <w:rFonts w:ascii="Times New Roman" w:hAnsi="Times New Roman" w:cs="Times New Roman"/>
              </w:rPr>
            </w:pPr>
          </w:p>
          <w:p w14:paraId="274EEAB2" w14:textId="77777777" w:rsidR="0082715B" w:rsidRDefault="0082715B" w:rsidP="00190F49">
            <w:pPr>
              <w:spacing w:after="0" w:line="240" w:lineRule="auto"/>
              <w:rPr>
                <w:rFonts w:ascii="Times New Roman" w:hAnsi="Times New Roman" w:cs="Times New Roman"/>
              </w:rPr>
            </w:pPr>
          </w:p>
          <w:p w14:paraId="0A2C04A7" w14:textId="77777777" w:rsidR="0082715B" w:rsidRDefault="0082715B" w:rsidP="00190F49">
            <w:pPr>
              <w:spacing w:after="0" w:line="240" w:lineRule="auto"/>
              <w:rPr>
                <w:rFonts w:ascii="Times New Roman" w:hAnsi="Times New Roman" w:cs="Times New Roman"/>
              </w:rPr>
            </w:pPr>
          </w:p>
          <w:p w14:paraId="0AF41B73" w14:textId="77777777" w:rsidR="0082715B" w:rsidRDefault="0082715B" w:rsidP="00190F49">
            <w:pPr>
              <w:spacing w:after="0" w:line="240" w:lineRule="auto"/>
              <w:rPr>
                <w:rFonts w:ascii="Times New Roman" w:hAnsi="Times New Roman" w:cs="Times New Roman"/>
              </w:rPr>
            </w:pPr>
          </w:p>
          <w:p w14:paraId="5EEE5F6D" w14:textId="77777777" w:rsidR="0082715B" w:rsidRDefault="0082715B" w:rsidP="00190F49">
            <w:pPr>
              <w:spacing w:after="0" w:line="240" w:lineRule="auto"/>
              <w:rPr>
                <w:rFonts w:ascii="Times New Roman" w:hAnsi="Times New Roman" w:cs="Times New Roman"/>
              </w:rPr>
            </w:pPr>
          </w:p>
          <w:p w14:paraId="34C8AD23" w14:textId="77777777" w:rsidR="0082715B" w:rsidRDefault="0082715B" w:rsidP="00190F49">
            <w:pPr>
              <w:spacing w:after="0" w:line="240" w:lineRule="auto"/>
              <w:rPr>
                <w:rFonts w:ascii="Times New Roman" w:hAnsi="Times New Roman" w:cs="Times New Roman"/>
              </w:rPr>
            </w:pPr>
          </w:p>
          <w:p w14:paraId="4D3FDE3D" w14:textId="77777777" w:rsidR="0082715B" w:rsidRDefault="0082715B" w:rsidP="00190F49">
            <w:pPr>
              <w:spacing w:after="0" w:line="240" w:lineRule="auto"/>
              <w:rPr>
                <w:rFonts w:ascii="Times New Roman" w:hAnsi="Times New Roman" w:cs="Times New Roman"/>
              </w:rPr>
            </w:pPr>
          </w:p>
          <w:p w14:paraId="27AC4FF2" w14:textId="77777777" w:rsidR="0082715B" w:rsidRDefault="0082715B" w:rsidP="00190F49">
            <w:pPr>
              <w:spacing w:after="0" w:line="240" w:lineRule="auto"/>
              <w:rPr>
                <w:rFonts w:ascii="Times New Roman" w:hAnsi="Times New Roman" w:cs="Times New Roman"/>
              </w:rPr>
            </w:pPr>
          </w:p>
          <w:p w14:paraId="139611AB" w14:textId="77777777" w:rsidR="0082715B" w:rsidRDefault="0082715B" w:rsidP="00190F49">
            <w:pPr>
              <w:spacing w:after="0" w:line="240" w:lineRule="auto"/>
              <w:rPr>
                <w:rFonts w:ascii="Times New Roman" w:hAnsi="Times New Roman" w:cs="Times New Roman"/>
              </w:rPr>
            </w:pPr>
          </w:p>
          <w:p w14:paraId="03F8B14A" w14:textId="77777777" w:rsidR="0082715B" w:rsidRDefault="0082715B" w:rsidP="00190F49">
            <w:pPr>
              <w:spacing w:after="0" w:line="240" w:lineRule="auto"/>
              <w:rPr>
                <w:rFonts w:ascii="Times New Roman" w:hAnsi="Times New Roman" w:cs="Times New Roman"/>
              </w:rPr>
            </w:pPr>
          </w:p>
          <w:p w14:paraId="44E9DC3B" w14:textId="77777777" w:rsidR="0082715B" w:rsidRDefault="0082715B" w:rsidP="00190F49">
            <w:pPr>
              <w:spacing w:after="0" w:line="240" w:lineRule="auto"/>
              <w:rPr>
                <w:rFonts w:ascii="Times New Roman" w:hAnsi="Times New Roman" w:cs="Times New Roman"/>
              </w:rPr>
            </w:pPr>
          </w:p>
          <w:p w14:paraId="0E73F8B2" w14:textId="77777777" w:rsidR="0082715B" w:rsidRDefault="0082715B" w:rsidP="00190F49">
            <w:pPr>
              <w:spacing w:after="0" w:line="240" w:lineRule="auto"/>
              <w:rPr>
                <w:rFonts w:ascii="Times New Roman" w:hAnsi="Times New Roman" w:cs="Times New Roman"/>
              </w:rPr>
            </w:pPr>
          </w:p>
          <w:p w14:paraId="501C0ADF" w14:textId="77777777" w:rsidR="0082715B" w:rsidRDefault="0082715B" w:rsidP="00190F49">
            <w:pPr>
              <w:spacing w:after="0" w:line="240" w:lineRule="auto"/>
              <w:rPr>
                <w:rFonts w:ascii="Times New Roman" w:hAnsi="Times New Roman" w:cs="Times New Roman"/>
              </w:rPr>
            </w:pPr>
          </w:p>
          <w:p w14:paraId="04DB680E" w14:textId="77777777" w:rsidR="0082715B" w:rsidRDefault="0082715B" w:rsidP="00190F49">
            <w:pPr>
              <w:spacing w:after="0" w:line="240" w:lineRule="auto"/>
              <w:rPr>
                <w:rFonts w:ascii="Times New Roman" w:hAnsi="Times New Roman" w:cs="Times New Roman"/>
              </w:rPr>
            </w:pPr>
          </w:p>
          <w:p w14:paraId="07B45485" w14:textId="77777777" w:rsidR="0082715B" w:rsidRDefault="0082715B" w:rsidP="00190F49">
            <w:pPr>
              <w:spacing w:after="0" w:line="240" w:lineRule="auto"/>
              <w:rPr>
                <w:rFonts w:ascii="Times New Roman" w:hAnsi="Times New Roman" w:cs="Times New Roman"/>
              </w:rPr>
            </w:pPr>
          </w:p>
          <w:p w14:paraId="296BA413" w14:textId="77777777" w:rsidR="0082715B" w:rsidRDefault="0082715B" w:rsidP="00190F49">
            <w:pPr>
              <w:spacing w:after="0" w:line="240" w:lineRule="auto"/>
              <w:rPr>
                <w:rFonts w:ascii="Times New Roman" w:hAnsi="Times New Roman" w:cs="Times New Roman"/>
              </w:rPr>
            </w:pPr>
          </w:p>
          <w:p w14:paraId="1A65A0CA" w14:textId="77777777" w:rsidR="0082715B" w:rsidRDefault="0082715B" w:rsidP="00190F49">
            <w:pPr>
              <w:spacing w:after="0" w:line="240" w:lineRule="auto"/>
              <w:rPr>
                <w:rFonts w:ascii="Times New Roman" w:hAnsi="Times New Roman" w:cs="Times New Roman"/>
              </w:rPr>
            </w:pPr>
          </w:p>
          <w:p w14:paraId="29108C78" w14:textId="77777777" w:rsidR="009D0AA1" w:rsidRDefault="009D0AA1" w:rsidP="00190F49">
            <w:pPr>
              <w:spacing w:after="0" w:line="240" w:lineRule="auto"/>
              <w:rPr>
                <w:rFonts w:ascii="Times New Roman" w:hAnsi="Times New Roman" w:cs="Times New Roman"/>
              </w:rPr>
            </w:pPr>
          </w:p>
          <w:p w14:paraId="73CDA581" w14:textId="33E19887" w:rsidR="5F673433" w:rsidRDefault="5F673433" w:rsidP="5F673433">
            <w:pPr>
              <w:spacing w:after="0" w:line="240" w:lineRule="auto"/>
              <w:rPr>
                <w:rFonts w:ascii="Times New Roman" w:hAnsi="Times New Roman" w:cs="Times New Roman"/>
              </w:rPr>
            </w:pPr>
          </w:p>
          <w:p w14:paraId="6401F8EA" w14:textId="4B6C8CD0" w:rsidR="5F673433" w:rsidRDefault="5F673433" w:rsidP="5F673433">
            <w:pPr>
              <w:spacing w:after="0" w:line="240" w:lineRule="auto"/>
              <w:rPr>
                <w:rFonts w:ascii="Times New Roman" w:hAnsi="Times New Roman" w:cs="Times New Roman"/>
              </w:rPr>
            </w:pPr>
          </w:p>
          <w:p w14:paraId="0C42830B" w14:textId="177C5051" w:rsidR="5F673433" w:rsidRDefault="5F673433" w:rsidP="5F673433">
            <w:pPr>
              <w:spacing w:after="0" w:line="240" w:lineRule="auto"/>
              <w:rPr>
                <w:rFonts w:ascii="Times New Roman" w:hAnsi="Times New Roman" w:cs="Times New Roman"/>
              </w:rPr>
            </w:pPr>
          </w:p>
          <w:p w14:paraId="26F6A709" w14:textId="35271153" w:rsidR="5F673433" w:rsidRDefault="5F673433" w:rsidP="5F673433">
            <w:pPr>
              <w:spacing w:after="0" w:line="240" w:lineRule="auto"/>
              <w:rPr>
                <w:rFonts w:ascii="Times New Roman" w:hAnsi="Times New Roman" w:cs="Times New Roman"/>
              </w:rPr>
            </w:pPr>
          </w:p>
          <w:p w14:paraId="1074E82A" w14:textId="5BF4AF80" w:rsidR="5F673433" w:rsidRDefault="5F673433" w:rsidP="5F673433">
            <w:pPr>
              <w:spacing w:after="0" w:line="240" w:lineRule="auto"/>
              <w:rPr>
                <w:rFonts w:ascii="Times New Roman" w:hAnsi="Times New Roman" w:cs="Times New Roman"/>
              </w:rPr>
            </w:pPr>
          </w:p>
          <w:p w14:paraId="77E60561" w14:textId="549BA020" w:rsidR="5F673433" w:rsidRDefault="5F673433" w:rsidP="5F673433">
            <w:pPr>
              <w:spacing w:after="0" w:line="240" w:lineRule="auto"/>
              <w:rPr>
                <w:rFonts w:ascii="Times New Roman" w:hAnsi="Times New Roman" w:cs="Times New Roman"/>
              </w:rPr>
            </w:pPr>
          </w:p>
          <w:p w14:paraId="1C5139AA" w14:textId="682416D4" w:rsidR="5F673433" w:rsidRDefault="5F673433" w:rsidP="5F673433">
            <w:pPr>
              <w:spacing w:after="0" w:line="240" w:lineRule="auto"/>
              <w:rPr>
                <w:rFonts w:ascii="Times New Roman" w:hAnsi="Times New Roman" w:cs="Times New Roman"/>
              </w:rPr>
            </w:pPr>
          </w:p>
          <w:p w14:paraId="15B826FF" w14:textId="3603E957" w:rsidR="5F673433" w:rsidRDefault="5F673433" w:rsidP="5F673433">
            <w:pPr>
              <w:spacing w:after="0" w:line="240" w:lineRule="auto"/>
              <w:rPr>
                <w:rFonts w:ascii="Times New Roman" w:hAnsi="Times New Roman" w:cs="Times New Roman"/>
              </w:rPr>
            </w:pPr>
          </w:p>
          <w:p w14:paraId="3DB6DE40" w14:textId="2FF14A7F" w:rsidR="5F673433" w:rsidRDefault="5F673433" w:rsidP="5F673433">
            <w:pPr>
              <w:spacing w:after="0" w:line="240" w:lineRule="auto"/>
              <w:rPr>
                <w:rFonts w:ascii="Times New Roman" w:hAnsi="Times New Roman" w:cs="Times New Roman"/>
              </w:rPr>
            </w:pPr>
          </w:p>
          <w:p w14:paraId="5F50F2FB" w14:textId="7936793A" w:rsidR="5F673433" w:rsidRDefault="5F673433" w:rsidP="5F673433">
            <w:pPr>
              <w:spacing w:after="0" w:line="240" w:lineRule="auto"/>
              <w:rPr>
                <w:rFonts w:ascii="Times New Roman" w:hAnsi="Times New Roman" w:cs="Times New Roman"/>
              </w:rPr>
            </w:pPr>
          </w:p>
          <w:p w14:paraId="19D8CA70" w14:textId="1B04C42B" w:rsidR="5F673433" w:rsidRDefault="5F673433" w:rsidP="5F673433">
            <w:pPr>
              <w:spacing w:after="0" w:line="240" w:lineRule="auto"/>
              <w:rPr>
                <w:rFonts w:ascii="Times New Roman" w:hAnsi="Times New Roman" w:cs="Times New Roman"/>
              </w:rPr>
            </w:pPr>
          </w:p>
          <w:p w14:paraId="7F2F6BB7" w14:textId="45A08F0A" w:rsidR="5F673433" w:rsidRDefault="5F673433" w:rsidP="5F673433">
            <w:pPr>
              <w:spacing w:after="0" w:line="240" w:lineRule="auto"/>
              <w:rPr>
                <w:rFonts w:ascii="Times New Roman" w:hAnsi="Times New Roman" w:cs="Times New Roman"/>
              </w:rPr>
            </w:pPr>
          </w:p>
          <w:p w14:paraId="78C50E40" w14:textId="06351542" w:rsidR="5F673433" w:rsidRDefault="5F673433" w:rsidP="5F673433">
            <w:pPr>
              <w:spacing w:after="0" w:line="240" w:lineRule="auto"/>
              <w:rPr>
                <w:rFonts w:ascii="Times New Roman" w:hAnsi="Times New Roman" w:cs="Times New Roman"/>
              </w:rPr>
            </w:pPr>
          </w:p>
          <w:p w14:paraId="58685BA3" w14:textId="192E877D" w:rsidR="004E1026" w:rsidRPr="007E112E" w:rsidRDefault="004E1026" w:rsidP="00190F49">
            <w:pPr>
              <w:spacing w:after="0" w:line="240" w:lineRule="auto"/>
              <w:rPr>
                <w:rFonts w:ascii="Times New Roman" w:hAnsi="Times New Roman" w:cs="Times New Roman"/>
              </w:rPr>
            </w:pPr>
            <w:r w:rsidRPr="007E112E">
              <w:rPr>
                <w:rFonts w:ascii="Times New Roman" w:hAnsi="Times New Roman" w:cs="Times New Roman"/>
              </w:rPr>
              <w:t>Č:I§:21</w:t>
            </w:r>
          </w:p>
          <w:p w14:paraId="6EA42386" w14:textId="5BD496A7" w:rsidR="004A64C9" w:rsidRPr="00190F49" w:rsidRDefault="004E1026" w:rsidP="00190F49">
            <w:pPr>
              <w:spacing w:after="0" w:line="240" w:lineRule="auto"/>
              <w:rPr>
                <w:rFonts w:ascii="Times New Roman" w:hAnsi="Times New Roman" w:cs="Times New Roman"/>
              </w:rPr>
            </w:pPr>
            <w:r w:rsidRPr="007E112E">
              <w:rPr>
                <w:rFonts w:ascii="Times New Roman" w:hAnsi="Times New Roman" w:cs="Times New Roman"/>
              </w:rPr>
              <w:t>O:</w:t>
            </w:r>
            <w:r w:rsidR="004A64C9" w:rsidRPr="007E112E">
              <w:rPr>
                <w:rFonts w:ascii="Times New Roman" w:hAnsi="Times New Roman" w:cs="Times New Roman"/>
              </w:rPr>
              <w:t>6</w:t>
            </w:r>
          </w:p>
          <w:p w14:paraId="4FF15862" w14:textId="77777777" w:rsidR="0006236A" w:rsidRPr="00190F49" w:rsidRDefault="0006236A" w:rsidP="00190F49">
            <w:pPr>
              <w:spacing w:after="0" w:line="240" w:lineRule="auto"/>
              <w:rPr>
                <w:rFonts w:ascii="Times New Roman" w:hAnsi="Times New Roman" w:cs="Times New Roman"/>
              </w:rPr>
            </w:pPr>
          </w:p>
          <w:p w14:paraId="27AADE0A" w14:textId="77777777" w:rsidR="0006236A" w:rsidRPr="00190F49" w:rsidRDefault="0006236A" w:rsidP="00190F49">
            <w:pPr>
              <w:spacing w:after="0" w:line="240" w:lineRule="auto"/>
              <w:rPr>
                <w:rFonts w:ascii="Times New Roman" w:hAnsi="Times New Roman" w:cs="Times New Roman"/>
              </w:rPr>
            </w:pPr>
          </w:p>
          <w:p w14:paraId="7BB6AC5A" w14:textId="77777777" w:rsidR="0006236A" w:rsidRPr="00190F49" w:rsidRDefault="0006236A" w:rsidP="00190F49">
            <w:pPr>
              <w:spacing w:after="0" w:line="240" w:lineRule="auto"/>
              <w:rPr>
                <w:rFonts w:ascii="Times New Roman" w:hAnsi="Times New Roman" w:cs="Times New Roman"/>
              </w:rPr>
            </w:pPr>
          </w:p>
          <w:p w14:paraId="35D31EF9" w14:textId="77777777" w:rsidR="0006236A" w:rsidRPr="00190F49" w:rsidRDefault="0006236A" w:rsidP="00190F49">
            <w:pPr>
              <w:spacing w:after="0" w:line="240" w:lineRule="auto"/>
              <w:rPr>
                <w:rFonts w:ascii="Times New Roman" w:hAnsi="Times New Roman" w:cs="Times New Roman"/>
              </w:rPr>
            </w:pPr>
          </w:p>
          <w:p w14:paraId="71D1D5A1" w14:textId="77777777" w:rsidR="0006236A" w:rsidRPr="00190F49" w:rsidRDefault="0006236A" w:rsidP="00190F49">
            <w:pPr>
              <w:spacing w:after="0" w:line="240" w:lineRule="auto"/>
              <w:rPr>
                <w:rFonts w:ascii="Times New Roman" w:hAnsi="Times New Roman" w:cs="Times New Roman"/>
              </w:rPr>
            </w:pPr>
          </w:p>
          <w:p w14:paraId="2D59B591" w14:textId="77777777" w:rsidR="0006236A" w:rsidRPr="00190F49" w:rsidRDefault="0006236A" w:rsidP="00190F49">
            <w:pPr>
              <w:spacing w:after="0" w:line="240" w:lineRule="auto"/>
              <w:rPr>
                <w:rFonts w:ascii="Times New Roman" w:hAnsi="Times New Roman" w:cs="Times New Roman"/>
              </w:rPr>
            </w:pPr>
          </w:p>
          <w:p w14:paraId="776B3522" w14:textId="77777777" w:rsidR="0006236A" w:rsidRPr="00190F49" w:rsidRDefault="0006236A" w:rsidP="00190F49">
            <w:pPr>
              <w:spacing w:after="0" w:line="240" w:lineRule="auto"/>
              <w:rPr>
                <w:rFonts w:ascii="Times New Roman" w:hAnsi="Times New Roman" w:cs="Times New Roman"/>
              </w:rPr>
            </w:pPr>
          </w:p>
          <w:p w14:paraId="14A0CD9D" w14:textId="77777777" w:rsidR="0006236A" w:rsidRPr="00190F49" w:rsidRDefault="0006236A" w:rsidP="00190F49">
            <w:pPr>
              <w:spacing w:after="0" w:line="240" w:lineRule="auto"/>
              <w:rPr>
                <w:rFonts w:ascii="Times New Roman" w:hAnsi="Times New Roman" w:cs="Times New Roman"/>
              </w:rPr>
            </w:pPr>
          </w:p>
          <w:p w14:paraId="37177C63" w14:textId="77777777" w:rsidR="0006236A" w:rsidRPr="00190F49" w:rsidRDefault="0006236A" w:rsidP="00190F49">
            <w:pPr>
              <w:spacing w:after="0" w:line="240" w:lineRule="auto"/>
              <w:rPr>
                <w:rFonts w:ascii="Times New Roman" w:hAnsi="Times New Roman" w:cs="Times New Roman"/>
              </w:rPr>
            </w:pPr>
          </w:p>
          <w:p w14:paraId="65DCEB70" w14:textId="77777777" w:rsidR="0082715B" w:rsidRDefault="0082715B" w:rsidP="00190F49">
            <w:pPr>
              <w:spacing w:after="0" w:line="240" w:lineRule="auto"/>
              <w:rPr>
                <w:rFonts w:ascii="Times New Roman" w:hAnsi="Times New Roman" w:cs="Times New Roman"/>
              </w:rPr>
            </w:pPr>
          </w:p>
          <w:p w14:paraId="49060E9D" w14:textId="77777777" w:rsidR="0082715B" w:rsidRDefault="0082715B" w:rsidP="00190F49">
            <w:pPr>
              <w:spacing w:after="0" w:line="240" w:lineRule="auto"/>
              <w:rPr>
                <w:rFonts w:ascii="Times New Roman" w:hAnsi="Times New Roman" w:cs="Times New Roman"/>
              </w:rPr>
            </w:pPr>
          </w:p>
          <w:p w14:paraId="1D23E7E7" w14:textId="77777777" w:rsidR="0082715B" w:rsidRDefault="0082715B" w:rsidP="00190F49">
            <w:pPr>
              <w:spacing w:after="0" w:line="240" w:lineRule="auto"/>
              <w:rPr>
                <w:rFonts w:ascii="Times New Roman" w:hAnsi="Times New Roman" w:cs="Times New Roman"/>
              </w:rPr>
            </w:pPr>
          </w:p>
          <w:p w14:paraId="40F8F33B" w14:textId="77777777" w:rsidR="0082715B" w:rsidRDefault="0082715B" w:rsidP="00190F49">
            <w:pPr>
              <w:spacing w:after="0" w:line="240" w:lineRule="auto"/>
              <w:rPr>
                <w:rFonts w:ascii="Times New Roman" w:hAnsi="Times New Roman" w:cs="Times New Roman"/>
              </w:rPr>
            </w:pPr>
          </w:p>
          <w:p w14:paraId="4339A857" w14:textId="77777777" w:rsidR="0082715B" w:rsidRDefault="0082715B" w:rsidP="00190F49">
            <w:pPr>
              <w:spacing w:after="0" w:line="240" w:lineRule="auto"/>
              <w:rPr>
                <w:rFonts w:ascii="Times New Roman" w:hAnsi="Times New Roman" w:cs="Times New Roman"/>
              </w:rPr>
            </w:pPr>
          </w:p>
          <w:p w14:paraId="7A3140DA" w14:textId="77777777" w:rsidR="0082715B" w:rsidRDefault="0082715B" w:rsidP="00190F49">
            <w:pPr>
              <w:spacing w:after="0" w:line="240" w:lineRule="auto"/>
              <w:rPr>
                <w:rFonts w:ascii="Times New Roman" w:hAnsi="Times New Roman" w:cs="Times New Roman"/>
              </w:rPr>
            </w:pPr>
          </w:p>
          <w:p w14:paraId="504B0B01" w14:textId="77777777" w:rsidR="0082715B" w:rsidRDefault="0082715B" w:rsidP="00190F49">
            <w:pPr>
              <w:spacing w:after="0" w:line="240" w:lineRule="auto"/>
              <w:rPr>
                <w:rFonts w:ascii="Times New Roman" w:hAnsi="Times New Roman" w:cs="Times New Roman"/>
              </w:rPr>
            </w:pPr>
          </w:p>
          <w:p w14:paraId="03D55FB2" w14:textId="77777777" w:rsidR="0082715B" w:rsidRDefault="0082715B" w:rsidP="00190F49">
            <w:pPr>
              <w:spacing w:after="0" w:line="240" w:lineRule="auto"/>
              <w:rPr>
                <w:rFonts w:ascii="Times New Roman" w:hAnsi="Times New Roman" w:cs="Times New Roman"/>
              </w:rPr>
            </w:pPr>
          </w:p>
          <w:p w14:paraId="3BD7876A" w14:textId="77777777" w:rsidR="0082715B" w:rsidRDefault="0082715B" w:rsidP="00190F49">
            <w:pPr>
              <w:spacing w:after="0" w:line="240" w:lineRule="auto"/>
              <w:rPr>
                <w:rFonts w:ascii="Times New Roman" w:hAnsi="Times New Roman" w:cs="Times New Roman"/>
              </w:rPr>
            </w:pPr>
          </w:p>
          <w:p w14:paraId="0F278D82" w14:textId="5E3059DF" w:rsidR="007E112E" w:rsidRDefault="007E112E" w:rsidP="00190F49">
            <w:pPr>
              <w:spacing w:after="0" w:line="240" w:lineRule="auto"/>
              <w:rPr>
                <w:rFonts w:ascii="Times New Roman" w:hAnsi="Times New Roman" w:cs="Times New Roman"/>
              </w:rPr>
            </w:pPr>
          </w:p>
          <w:p w14:paraId="6A2E0BBA" w14:textId="31804572" w:rsidR="0006236A" w:rsidRPr="00190F49" w:rsidRDefault="362DBAD1" w:rsidP="5F673433">
            <w:pPr>
              <w:spacing w:after="0" w:line="240" w:lineRule="auto"/>
              <w:rPr>
                <w:rFonts w:ascii="Times New Roman" w:hAnsi="Times New Roman" w:cs="Times New Roman"/>
              </w:rPr>
            </w:pPr>
            <w:r w:rsidRPr="5F673433">
              <w:rPr>
                <w:rFonts w:ascii="Times New Roman" w:hAnsi="Times New Roman" w:cs="Times New Roman"/>
              </w:rPr>
              <w:t>Č:I§:38</w:t>
            </w:r>
            <w:r w:rsidR="354DB14C" w:rsidRPr="5F673433">
              <w:rPr>
                <w:rFonts w:ascii="Times New Roman" w:hAnsi="Times New Roman" w:cs="Times New Roman"/>
              </w:rPr>
              <w:t>e</w:t>
            </w:r>
            <w:r w:rsidRPr="5F673433">
              <w:rPr>
                <w:rFonts w:ascii="Times New Roman" w:hAnsi="Times New Roman" w:cs="Times New Roman"/>
              </w:rPr>
              <w:t xml:space="preserve"> O:</w:t>
            </w:r>
            <w:r w:rsidR="0D239D8F" w:rsidRPr="5F673433">
              <w:rPr>
                <w:rFonts w:ascii="Times New Roman" w:hAnsi="Times New Roman" w:cs="Times New Roman"/>
              </w:rPr>
              <w:t>1</w:t>
            </w:r>
          </w:p>
          <w:p w14:paraId="5B049B62" w14:textId="77777777" w:rsidR="00D63C45" w:rsidRPr="00190F49" w:rsidRDefault="00D63C45" w:rsidP="00190F49">
            <w:pPr>
              <w:spacing w:after="0" w:line="240" w:lineRule="auto"/>
              <w:rPr>
                <w:rFonts w:ascii="Times New Roman" w:hAnsi="Times New Roman" w:cs="Times New Roman"/>
              </w:rPr>
            </w:pPr>
          </w:p>
          <w:p w14:paraId="493CC174" w14:textId="77777777" w:rsidR="004E1026" w:rsidRPr="00190F49" w:rsidRDefault="004E1026" w:rsidP="00190F49">
            <w:pPr>
              <w:spacing w:after="0" w:line="240" w:lineRule="auto"/>
              <w:rPr>
                <w:rFonts w:ascii="Times New Roman" w:hAnsi="Times New Roman" w:cs="Times New Roman"/>
              </w:rPr>
            </w:pPr>
          </w:p>
          <w:p w14:paraId="4F39C329" w14:textId="77777777" w:rsidR="004E1026" w:rsidRPr="00190F49" w:rsidRDefault="004E1026" w:rsidP="00190F49">
            <w:pPr>
              <w:spacing w:after="0" w:line="240" w:lineRule="auto"/>
              <w:rPr>
                <w:rFonts w:ascii="Times New Roman" w:hAnsi="Times New Roman" w:cs="Times New Roman"/>
              </w:rPr>
            </w:pPr>
          </w:p>
          <w:p w14:paraId="1B088878" w14:textId="77777777" w:rsidR="004E1026" w:rsidRPr="00190F49" w:rsidRDefault="004E1026" w:rsidP="00190F49">
            <w:pPr>
              <w:spacing w:after="0" w:line="240" w:lineRule="auto"/>
              <w:rPr>
                <w:rFonts w:ascii="Times New Roman" w:hAnsi="Times New Roman" w:cs="Times New Roman"/>
              </w:rPr>
            </w:pPr>
          </w:p>
          <w:p w14:paraId="02FECB8F" w14:textId="77777777" w:rsidR="004E1026" w:rsidRPr="00190F49" w:rsidRDefault="004E1026" w:rsidP="00190F49">
            <w:pPr>
              <w:spacing w:after="0" w:line="240" w:lineRule="auto"/>
              <w:rPr>
                <w:rFonts w:ascii="Times New Roman" w:hAnsi="Times New Roman" w:cs="Times New Roman"/>
              </w:rPr>
            </w:pPr>
          </w:p>
          <w:p w14:paraId="351AA241" w14:textId="77777777" w:rsidR="0082715B" w:rsidRDefault="0082715B" w:rsidP="00190F49">
            <w:pPr>
              <w:spacing w:after="0" w:line="240" w:lineRule="auto"/>
              <w:rPr>
                <w:rFonts w:ascii="Times New Roman" w:hAnsi="Times New Roman" w:cs="Times New Roman"/>
              </w:rPr>
            </w:pPr>
          </w:p>
          <w:p w14:paraId="041E1963" w14:textId="77777777" w:rsidR="0082715B" w:rsidRDefault="0082715B" w:rsidP="00190F49">
            <w:pPr>
              <w:spacing w:after="0" w:line="240" w:lineRule="auto"/>
              <w:rPr>
                <w:rFonts w:ascii="Times New Roman" w:hAnsi="Times New Roman" w:cs="Times New Roman"/>
              </w:rPr>
            </w:pPr>
          </w:p>
          <w:p w14:paraId="702B8B07" w14:textId="05A64AFE" w:rsidR="007E112E" w:rsidRDefault="007E112E" w:rsidP="00190F49">
            <w:pPr>
              <w:spacing w:after="0" w:line="240" w:lineRule="auto"/>
              <w:rPr>
                <w:rFonts w:ascii="Times New Roman" w:hAnsi="Times New Roman" w:cs="Times New Roman"/>
              </w:rPr>
            </w:pPr>
          </w:p>
          <w:p w14:paraId="5797AEBD" w14:textId="5A3AB499" w:rsidR="007E112E" w:rsidRDefault="007E112E" w:rsidP="00190F49">
            <w:pPr>
              <w:spacing w:after="0" w:line="240" w:lineRule="auto"/>
              <w:rPr>
                <w:rFonts w:ascii="Times New Roman" w:hAnsi="Times New Roman" w:cs="Times New Roman"/>
              </w:rPr>
            </w:pPr>
          </w:p>
          <w:p w14:paraId="192F2E6C" w14:textId="114CEC40" w:rsidR="007E112E" w:rsidRDefault="007E112E" w:rsidP="00190F49">
            <w:pPr>
              <w:spacing w:after="0" w:line="240" w:lineRule="auto"/>
              <w:rPr>
                <w:rFonts w:ascii="Times New Roman" w:hAnsi="Times New Roman" w:cs="Times New Roman"/>
              </w:rPr>
            </w:pPr>
          </w:p>
          <w:p w14:paraId="4F100C1F" w14:textId="7D519876" w:rsidR="007E112E" w:rsidRDefault="007E112E" w:rsidP="00190F49">
            <w:pPr>
              <w:spacing w:after="0" w:line="240" w:lineRule="auto"/>
              <w:rPr>
                <w:rFonts w:ascii="Times New Roman" w:hAnsi="Times New Roman" w:cs="Times New Roman"/>
              </w:rPr>
            </w:pPr>
          </w:p>
          <w:p w14:paraId="3E52DB88" w14:textId="0B25B073" w:rsidR="007E112E" w:rsidRDefault="007E112E" w:rsidP="00190F49">
            <w:pPr>
              <w:spacing w:after="0" w:line="240" w:lineRule="auto"/>
              <w:rPr>
                <w:rFonts w:ascii="Times New Roman" w:hAnsi="Times New Roman" w:cs="Times New Roman"/>
              </w:rPr>
            </w:pPr>
          </w:p>
          <w:p w14:paraId="3FEEE433" w14:textId="77777777" w:rsidR="007E112E" w:rsidRDefault="007E112E" w:rsidP="00190F49">
            <w:pPr>
              <w:spacing w:after="0" w:line="240" w:lineRule="auto"/>
              <w:rPr>
                <w:rFonts w:ascii="Times New Roman" w:hAnsi="Times New Roman" w:cs="Times New Roman"/>
              </w:rPr>
            </w:pPr>
          </w:p>
          <w:p w14:paraId="6218EEB9" w14:textId="77777777" w:rsidR="009D0AA1" w:rsidRDefault="009D0AA1" w:rsidP="00190F49">
            <w:pPr>
              <w:spacing w:after="0" w:line="240" w:lineRule="auto"/>
              <w:rPr>
                <w:rFonts w:ascii="Times New Roman" w:hAnsi="Times New Roman" w:cs="Times New Roman"/>
              </w:rPr>
            </w:pPr>
          </w:p>
          <w:p w14:paraId="3244A10D" w14:textId="77777777" w:rsidR="007E112E" w:rsidRDefault="007E112E" w:rsidP="00190F49">
            <w:pPr>
              <w:spacing w:after="0" w:line="240" w:lineRule="auto"/>
              <w:rPr>
                <w:rFonts w:ascii="Times New Roman" w:hAnsi="Times New Roman" w:cs="Times New Roman"/>
              </w:rPr>
            </w:pPr>
          </w:p>
          <w:p w14:paraId="222B6AFF" w14:textId="77777777" w:rsidR="007E112E" w:rsidRDefault="007E112E" w:rsidP="00190F49">
            <w:pPr>
              <w:spacing w:after="0" w:line="240" w:lineRule="auto"/>
              <w:rPr>
                <w:rFonts w:ascii="Times New Roman" w:hAnsi="Times New Roman" w:cs="Times New Roman"/>
              </w:rPr>
            </w:pPr>
          </w:p>
          <w:p w14:paraId="0459528E" w14:textId="77777777" w:rsidR="007E112E" w:rsidRDefault="007E112E" w:rsidP="00190F49">
            <w:pPr>
              <w:spacing w:after="0" w:line="240" w:lineRule="auto"/>
              <w:rPr>
                <w:rFonts w:ascii="Times New Roman" w:hAnsi="Times New Roman" w:cs="Times New Roman"/>
              </w:rPr>
            </w:pPr>
          </w:p>
          <w:p w14:paraId="09665EBB" w14:textId="77777777" w:rsidR="007E112E" w:rsidRDefault="007E112E" w:rsidP="00190F49">
            <w:pPr>
              <w:spacing w:after="0" w:line="240" w:lineRule="auto"/>
              <w:rPr>
                <w:rFonts w:ascii="Times New Roman" w:hAnsi="Times New Roman" w:cs="Times New Roman"/>
              </w:rPr>
            </w:pPr>
          </w:p>
          <w:p w14:paraId="1DD571C8" w14:textId="77777777" w:rsidR="007E112E" w:rsidRDefault="007E112E" w:rsidP="00190F49">
            <w:pPr>
              <w:spacing w:after="0" w:line="240" w:lineRule="auto"/>
              <w:rPr>
                <w:rFonts w:ascii="Times New Roman" w:hAnsi="Times New Roman" w:cs="Times New Roman"/>
              </w:rPr>
            </w:pPr>
          </w:p>
          <w:p w14:paraId="204DD151" w14:textId="77777777" w:rsidR="007E112E" w:rsidRDefault="007E112E" w:rsidP="00190F49">
            <w:pPr>
              <w:spacing w:after="0" w:line="240" w:lineRule="auto"/>
              <w:rPr>
                <w:rFonts w:ascii="Times New Roman" w:hAnsi="Times New Roman" w:cs="Times New Roman"/>
              </w:rPr>
            </w:pPr>
          </w:p>
          <w:p w14:paraId="65D49EC1" w14:textId="77777777" w:rsidR="007E112E" w:rsidRDefault="007E112E" w:rsidP="00190F49">
            <w:pPr>
              <w:spacing w:after="0" w:line="240" w:lineRule="auto"/>
              <w:rPr>
                <w:rFonts w:ascii="Times New Roman" w:hAnsi="Times New Roman" w:cs="Times New Roman"/>
              </w:rPr>
            </w:pPr>
          </w:p>
          <w:p w14:paraId="00620591" w14:textId="77777777" w:rsidR="007E112E" w:rsidRDefault="007E112E" w:rsidP="00190F49">
            <w:pPr>
              <w:spacing w:after="0" w:line="240" w:lineRule="auto"/>
              <w:rPr>
                <w:rFonts w:ascii="Times New Roman" w:hAnsi="Times New Roman" w:cs="Times New Roman"/>
              </w:rPr>
            </w:pPr>
          </w:p>
          <w:p w14:paraId="6BD0F73E" w14:textId="244D9DB8" w:rsidR="004E1026" w:rsidRPr="007E112E" w:rsidRDefault="362DBAD1" w:rsidP="5F673433">
            <w:pPr>
              <w:spacing w:after="0" w:line="240" w:lineRule="auto"/>
              <w:rPr>
                <w:rFonts w:ascii="Times New Roman" w:hAnsi="Times New Roman" w:cs="Times New Roman"/>
              </w:rPr>
            </w:pPr>
            <w:r w:rsidRPr="5F673433">
              <w:rPr>
                <w:rFonts w:ascii="Times New Roman" w:hAnsi="Times New Roman" w:cs="Times New Roman"/>
              </w:rPr>
              <w:t>Č:I§:38c</w:t>
            </w:r>
          </w:p>
          <w:p w14:paraId="61AAA099" w14:textId="718B2C09" w:rsidR="004E1026" w:rsidRPr="00190F49" w:rsidRDefault="004E1026" w:rsidP="00190F49">
            <w:pPr>
              <w:spacing w:after="0" w:line="240" w:lineRule="auto"/>
              <w:rPr>
                <w:rFonts w:ascii="Times New Roman" w:hAnsi="Times New Roman" w:cs="Times New Roman"/>
              </w:rPr>
            </w:pPr>
            <w:r w:rsidRPr="007E112E">
              <w:rPr>
                <w:rFonts w:ascii="Times New Roman" w:hAnsi="Times New Roman" w:cs="Times New Roman"/>
              </w:rPr>
              <w:t>O:</w:t>
            </w:r>
            <w:r w:rsidR="009D0AA1" w:rsidRPr="007E112E">
              <w:rPr>
                <w:rFonts w:ascii="Times New Roman" w:hAnsi="Times New Roman" w:cs="Times New Roman"/>
              </w:rPr>
              <w:t>2</w:t>
            </w:r>
          </w:p>
          <w:p w14:paraId="4C37C424" w14:textId="77777777" w:rsidR="004E1026" w:rsidRPr="00190F49" w:rsidRDefault="004E1026" w:rsidP="00190F49">
            <w:pPr>
              <w:spacing w:after="0" w:line="240" w:lineRule="auto"/>
              <w:rPr>
                <w:rFonts w:ascii="Times New Roman" w:hAnsi="Times New Roman" w:cs="Times New Roman"/>
              </w:rPr>
            </w:pPr>
          </w:p>
          <w:p w14:paraId="6439C1C9" w14:textId="77777777" w:rsidR="004E1026" w:rsidRPr="00190F49" w:rsidRDefault="004E1026" w:rsidP="00190F49">
            <w:pPr>
              <w:spacing w:after="0" w:line="240" w:lineRule="auto"/>
              <w:rPr>
                <w:rFonts w:ascii="Times New Roman" w:hAnsi="Times New Roman" w:cs="Times New Roman"/>
              </w:rPr>
            </w:pPr>
          </w:p>
          <w:p w14:paraId="2FC85B13" w14:textId="77777777" w:rsidR="004E1026" w:rsidRPr="00190F49" w:rsidRDefault="004E1026" w:rsidP="00190F49">
            <w:pPr>
              <w:spacing w:after="0" w:line="240" w:lineRule="auto"/>
              <w:rPr>
                <w:rFonts w:ascii="Times New Roman" w:hAnsi="Times New Roman" w:cs="Times New Roman"/>
              </w:rPr>
            </w:pPr>
          </w:p>
          <w:p w14:paraId="1957213B" w14:textId="77777777" w:rsidR="004E1026" w:rsidRPr="00190F49" w:rsidRDefault="004E1026" w:rsidP="00190F49">
            <w:pPr>
              <w:spacing w:after="0" w:line="240" w:lineRule="auto"/>
              <w:rPr>
                <w:rFonts w:ascii="Times New Roman" w:hAnsi="Times New Roman" w:cs="Times New Roman"/>
              </w:rPr>
            </w:pPr>
          </w:p>
          <w:p w14:paraId="7FD11E72" w14:textId="77777777" w:rsidR="004E1026" w:rsidRPr="00190F49" w:rsidRDefault="004E1026" w:rsidP="00190F49">
            <w:pPr>
              <w:spacing w:after="0" w:line="240" w:lineRule="auto"/>
              <w:rPr>
                <w:rFonts w:ascii="Times New Roman" w:hAnsi="Times New Roman" w:cs="Times New Roman"/>
              </w:rPr>
            </w:pPr>
          </w:p>
          <w:p w14:paraId="0CC5EB4E" w14:textId="77777777" w:rsidR="004E1026" w:rsidRPr="00190F49" w:rsidRDefault="004E1026" w:rsidP="00190F49">
            <w:pPr>
              <w:spacing w:after="0" w:line="240" w:lineRule="auto"/>
              <w:rPr>
                <w:rFonts w:ascii="Times New Roman" w:hAnsi="Times New Roman" w:cs="Times New Roman"/>
              </w:rPr>
            </w:pPr>
          </w:p>
          <w:p w14:paraId="0B81E40B" w14:textId="77777777" w:rsidR="004E1026" w:rsidRPr="00190F49" w:rsidRDefault="004E1026" w:rsidP="00190F49">
            <w:pPr>
              <w:spacing w:after="0" w:line="240" w:lineRule="auto"/>
              <w:rPr>
                <w:rFonts w:ascii="Times New Roman" w:hAnsi="Times New Roman" w:cs="Times New Roman"/>
              </w:rPr>
            </w:pPr>
          </w:p>
          <w:p w14:paraId="18B08597" w14:textId="77777777" w:rsidR="004E1026" w:rsidRPr="00190F49" w:rsidRDefault="004E1026" w:rsidP="00190F49">
            <w:pPr>
              <w:spacing w:after="0" w:line="240" w:lineRule="auto"/>
              <w:rPr>
                <w:rFonts w:ascii="Times New Roman" w:hAnsi="Times New Roman" w:cs="Times New Roman"/>
              </w:rPr>
            </w:pPr>
          </w:p>
          <w:p w14:paraId="29552FD5" w14:textId="77777777" w:rsidR="004E1026" w:rsidRPr="00190F49" w:rsidRDefault="004E1026" w:rsidP="00190F49">
            <w:pPr>
              <w:spacing w:after="0" w:line="240" w:lineRule="auto"/>
              <w:rPr>
                <w:rFonts w:ascii="Times New Roman" w:hAnsi="Times New Roman" w:cs="Times New Roman"/>
              </w:rPr>
            </w:pPr>
          </w:p>
          <w:p w14:paraId="046E7916" w14:textId="77777777" w:rsidR="004E1026" w:rsidRPr="00190F49" w:rsidRDefault="004E1026" w:rsidP="00190F49">
            <w:pPr>
              <w:spacing w:after="0" w:line="240" w:lineRule="auto"/>
              <w:rPr>
                <w:rFonts w:ascii="Times New Roman" w:hAnsi="Times New Roman" w:cs="Times New Roman"/>
              </w:rPr>
            </w:pPr>
          </w:p>
          <w:p w14:paraId="1F78E12D" w14:textId="77777777" w:rsidR="004E1026" w:rsidRPr="00190F49" w:rsidRDefault="004E1026" w:rsidP="00190F49">
            <w:pPr>
              <w:spacing w:after="0" w:line="240" w:lineRule="auto"/>
              <w:rPr>
                <w:rFonts w:ascii="Times New Roman" w:hAnsi="Times New Roman" w:cs="Times New Roman"/>
              </w:rPr>
            </w:pPr>
          </w:p>
          <w:p w14:paraId="28303901" w14:textId="77777777" w:rsidR="004E1026" w:rsidRPr="00190F49" w:rsidRDefault="004E1026" w:rsidP="00190F49">
            <w:pPr>
              <w:spacing w:after="0" w:line="240" w:lineRule="auto"/>
              <w:rPr>
                <w:rFonts w:ascii="Times New Roman" w:hAnsi="Times New Roman" w:cs="Times New Roman"/>
              </w:rPr>
            </w:pPr>
          </w:p>
          <w:p w14:paraId="0B52227B" w14:textId="77777777" w:rsidR="004E1026" w:rsidRPr="00190F49" w:rsidRDefault="004E1026" w:rsidP="00190F49">
            <w:pPr>
              <w:spacing w:after="0" w:line="240" w:lineRule="auto"/>
              <w:rPr>
                <w:rFonts w:ascii="Times New Roman" w:hAnsi="Times New Roman" w:cs="Times New Roman"/>
              </w:rPr>
            </w:pPr>
          </w:p>
          <w:p w14:paraId="796C7DE8" w14:textId="77777777" w:rsidR="004E1026" w:rsidRPr="00190F49" w:rsidRDefault="004E1026" w:rsidP="00190F49">
            <w:pPr>
              <w:spacing w:after="0" w:line="240" w:lineRule="auto"/>
              <w:rPr>
                <w:rFonts w:ascii="Times New Roman" w:hAnsi="Times New Roman" w:cs="Times New Roman"/>
              </w:rPr>
            </w:pPr>
          </w:p>
          <w:p w14:paraId="032D95A6" w14:textId="77777777" w:rsidR="004E1026" w:rsidRPr="00190F49" w:rsidRDefault="004E1026" w:rsidP="00190F49">
            <w:pPr>
              <w:spacing w:after="0" w:line="240" w:lineRule="auto"/>
              <w:rPr>
                <w:rFonts w:ascii="Times New Roman" w:hAnsi="Times New Roman" w:cs="Times New Roman"/>
              </w:rPr>
            </w:pPr>
          </w:p>
          <w:p w14:paraId="5E4E38BB" w14:textId="77777777" w:rsidR="004E1026" w:rsidRPr="00190F49" w:rsidRDefault="004E1026" w:rsidP="00190F49">
            <w:pPr>
              <w:spacing w:after="0" w:line="240" w:lineRule="auto"/>
              <w:rPr>
                <w:rFonts w:ascii="Times New Roman" w:hAnsi="Times New Roman" w:cs="Times New Roman"/>
              </w:rPr>
            </w:pPr>
          </w:p>
          <w:p w14:paraId="209971A8" w14:textId="77777777" w:rsidR="004E1026" w:rsidRPr="00190F49" w:rsidRDefault="004E1026" w:rsidP="00190F49">
            <w:pPr>
              <w:spacing w:after="0" w:line="240" w:lineRule="auto"/>
              <w:rPr>
                <w:rFonts w:ascii="Times New Roman" w:hAnsi="Times New Roman" w:cs="Times New Roman"/>
              </w:rPr>
            </w:pPr>
          </w:p>
          <w:p w14:paraId="489BD3CB" w14:textId="77777777" w:rsidR="004E1026" w:rsidRPr="00190F49" w:rsidRDefault="004E1026" w:rsidP="00190F49">
            <w:pPr>
              <w:spacing w:after="0" w:line="240" w:lineRule="auto"/>
              <w:rPr>
                <w:rFonts w:ascii="Times New Roman" w:hAnsi="Times New Roman" w:cs="Times New Roman"/>
              </w:rPr>
            </w:pPr>
          </w:p>
          <w:p w14:paraId="5FEE4B86" w14:textId="77777777" w:rsidR="004E1026" w:rsidRPr="00190F49" w:rsidRDefault="004E1026" w:rsidP="00190F49">
            <w:pPr>
              <w:spacing w:after="0" w:line="240" w:lineRule="auto"/>
              <w:rPr>
                <w:rFonts w:ascii="Times New Roman" w:hAnsi="Times New Roman" w:cs="Times New Roman"/>
              </w:rPr>
            </w:pPr>
          </w:p>
          <w:p w14:paraId="1260E543" w14:textId="77777777" w:rsidR="004E1026" w:rsidRPr="00190F49" w:rsidRDefault="004E1026" w:rsidP="00190F49">
            <w:pPr>
              <w:spacing w:after="0" w:line="240" w:lineRule="auto"/>
              <w:rPr>
                <w:rFonts w:ascii="Times New Roman" w:hAnsi="Times New Roman" w:cs="Times New Roman"/>
              </w:rPr>
            </w:pPr>
          </w:p>
          <w:p w14:paraId="24BE584E" w14:textId="77777777" w:rsidR="004E1026" w:rsidRPr="00190F49" w:rsidRDefault="004E1026" w:rsidP="00190F49">
            <w:pPr>
              <w:spacing w:after="0" w:line="240" w:lineRule="auto"/>
              <w:rPr>
                <w:rFonts w:ascii="Times New Roman" w:hAnsi="Times New Roman" w:cs="Times New Roman"/>
              </w:rPr>
            </w:pPr>
          </w:p>
          <w:p w14:paraId="1F664FB6" w14:textId="77777777" w:rsidR="004E1026" w:rsidRPr="00190F49" w:rsidRDefault="004E1026" w:rsidP="00190F49">
            <w:pPr>
              <w:spacing w:after="0" w:line="240" w:lineRule="auto"/>
              <w:rPr>
                <w:rFonts w:ascii="Times New Roman" w:hAnsi="Times New Roman" w:cs="Times New Roman"/>
              </w:rPr>
            </w:pPr>
          </w:p>
          <w:p w14:paraId="0C622590" w14:textId="77777777" w:rsidR="004E1026" w:rsidRPr="00190F49" w:rsidRDefault="004E1026" w:rsidP="00190F49">
            <w:pPr>
              <w:spacing w:after="0" w:line="240" w:lineRule="auto"/>
              <w:rPr>
                <w:rFonts w:ascii="Times New Roman" w:hAnsi="Times New Roman" w:cs="Times New Roman"/>
              </w:rPr>
            </w:pPr>
          </w:p>
          <w:p w14:paraId="54A604C8" w14:textId="77777777" w:rsidR="004E1026" w:rsidRPr="00190F49" w:rsidRDefault="004E1026" w:rsidP="00190F49">
            <w:pPr>
              <w:spacing w:after="0" w:line="240" w:lineRule="auto"/>
              <w:rPr>
                <w:rFonts w:ascii="Times New Roman" w:hAnsi="Times New Roman" w:cs="Times New Roman"/>
              </w:rPr>
            </w:pPr>
          </w:p>
          <w:p w14:paraId="585B057B" w14:textId="77777777" w:rsidR="004E1026" w:rsidRPr="00190F49" w:rsidRDefault="004E1026" w:rsidP="00190F49">
            <w:pPr>
              <w:spacing w:after="0" w:line="240" w:lineRule="auto"/>
              <w:rPr>
                <w:rFonts w:ascii="Times New Roman" w:hAnsi="Times New Roman" w:cs="Times New Roman"/>
              </w:rPr>
            </w:pPr>
          </w:p>
          <w:p w14:paraId="67A6855E" w14:textId="77777777" w:rsidR="004E1026" w:rsidRPr="00190F49" w:rsidRDefault="004E1026" w:rsidP="00190F49">
            <w:pPr>
              <w:spacing w:after="0" w:line="240" w:lineRule="auto"/>
              <w:rPr>
                <w:rFonts w:ascii="Times New Roman" w:hAnsi="Times New Roman" w:cs="Times New Roman"/>
              </w:rPr>
            </w:pPr>
          </w:p>
          <w:p w14:paraId="009E7900" w14:textId="77777777" w:rsidR="004E1026" w:rsidRPr="00190F49" w:rsidRDefault="004E1026" w:rsidP="00190F49">
            <w:pPr>
              <w:spacing w:after="0" w:line="240" w:lineRule="auto"/>
              <w:rPr>
                <w:rFonts w:ascii="Times New Roman" w:hAnsi="Times New Roman" w:cs="Times New Roman"/>
              </w:rPr>
            </w:pPr>
          </w:p>
          <w:p w14:paraId="132A2C58" w14:textId="77777777" w:rsidR="004E1026" w:rsidRPr="00190F49" w:rsidRDefault="004E1026" w:rsidP="00190F49">
            <w:pPr>
              <w:spacing w:after="0" w:line="240" w:lineRule="auto"/>
              <w:rPr>
                <w:rFonts w:ascii="Times New Roman" w:hAnsi="Times New Roman" w:cs="Times New Roman"/>
              </w:rPr>
            </w:pPr>
          </w:p>
          <w:p w14:paraId="4D2091F9" w14:textId="77777777" w:rsidR="004E1026" w:rsidRPr="00190F49" w:rsidRDefault="004E1026" w:rsidP="00190F49">
            <w:pPr>
              <w:spacing w:after="0" w:line="240" w:lineRule="auto"/>
              <w:rPr>
                <w:rFonts w:ascii="Times New Roman" w:hAnsi="Times New Roman" w:cs="Times New Roman"/>
              </w:rPr>
            </w:pPr>
          </w:p>
          <w:p w14:paraId="3A488C75" w14:textId="77777777" w:rsidR="004E1026" w:rsidRPr="00190F49" w:rsidRDefault="004E1026" w:rsidP="00190F49">
            <w:pPr>
              <w:spacing w:after="0" w:line="240" w:lineRule="auto"/>
              <w:rPr>
                <w:rFonts w:ascii="Times New Roman" w:hAnsi="Times New Roman" w:cs="Times New Roman"/>
              </w:rPr>
            </w:pPr>
          </w:p>
          <w:p w14:paraId="3F5A781F" w14:textId="77777777" w:rsidR="004E1026" w:rsidRPr="00190F49" w:rsidRDefault="004E1026" w:rsidP="00190F49">
            <w:pPr>
              <w:spacing w:after="0" w:line="240" w:lineRule="auto"/>
              <w:rPr>
                <w:rFonts w:ascii="Times New Roman" w:hAnsi="Times New Roman" w:cs="Times New Roman"/>
              </w:rPr>
            </w:pPr>
          </w:p>
          <w:p w14:paraId="1A75CBA7" w14:textId="77777777" w:rsidR="004E1026" w:rsidRPr="00190F49" w:rsidRDefault="004E1026" w:rsidP="00190F49">
            <w:pPr>
              <w:spacing w:after="0" w:line="240" w:lineRule="auto"/>
              <w:rPr>
                <w:rFonts w:ascii="Times New Roman" w:hAnsi="Times New Roman" w:cs="Times New Roman"/>
              </w:rPr>
            </w:pPr>
          </w:p>
          <w:p w14:paraId="474AA93F" w14:textId="77777777" w:rsidR="004E1026" w:rsidRPr="00190F49" w:rsidRDefault="004E1026" w:rsidP="00190F49">
            <w:pPr>
              <w:spacing w:after="0" w:line="240" w:lineRule="auto"/>
              <w:rPr>
                <w:rFonts w:ascii="Times New Roman" w:hAnsi="Times New Roman" w:cs="Times New Roman"/>
              </w:rPr>
            </w:pPr>
          </w:p>
          <w:p w14:paraId="70E08165" w14:textId="77777777" w:rsidR="004E1026" w:rsidRPr="00190F49" w:rsidRDefault="004E1026" w:rsidP="00190F49">
            <w:pPr>
              <w:spacing w:after="0" w:line="240" w:lineRule="auto"/>
              <w:rPr>
                <w:rFonts w:ascii="Times New Roman" w:hAnsi="Times New Roman" w:cs="Times New Roman"/>
              </w:rPr>
            </w:pPr>
          </w:p>
          <w:p w14:paraId="3DCDDEC5" w14:textId="77777777" w:rsidR="004E1026" w:rsidRPr="00190F49" w:rsidRDefault="004E1026" w:rsidP="00190F49">
            <w:pPr>
              <w:spacing w:after="0" w:line="240" w:lineRule="auto"/>
              <w:rPr>
                <w:rFonts w:ascii="Times New Roman" w:hAnsi="Times New Roman" w:cs="Times New Roman"/>
              </w:rPr>
            </w:pPr>
          </w:p>
          <w:p w14:paraId="67F945E7" w14:textId="77777777" w:rsidR="004E1026" w:rsidRPr="00190F49" w:rsidRDefault="004E1026" w:rsidP="00190F49">
            <w:pPr>
              <w:spacing w:after="0" w:line="240" w:lineRule="auto"/>
              <w:rPr>
                <w:rFonts w:ascii="Times New Roman" w:hAnsi="Times New Roman" w:cs="Times New Roman"/>
              </w:rPr>
            </w:pPr>
          </w:p>
          <w:p w14:paraId="2DA6018C" w14:textId="77777777" w:rsidR="004E1026" w:rsidRPr="00190F49" w:rsidRDefault="004E1026" w:rsidP="00190F49">
            <w:pPr>
              <w:spacing w:after="0" w:line="240" w:lineRule="auto"/>
              <w:rPr>
                <w:rFonts w:ascii="Times New Roman" w:hAnsi="Times New Roman" w:cs="Times New Roman"/>
              </w:rPr>
            </w:pPr>
          </w:p>
          <w:p w14:paraId="1C462805" w14:textId="77777777" w:rsidR="004E1026" w:rsidRPr="00190F49" w:rsidRDefault="004E1026" w:rsidP="00190F49">
            <w:pPr>
              <w:spacing w:after="0" w:line="240" w:lineRule="auto"/>
              <w:rPr>
                <w:rFonts w:ascii="Times New Roman" w:hAnsi="Times New Roman" w:cs="Times New Roman"/>
              </w:rPr>
            </w:pPr>
          </w:p>
          <w:p w14:paraId="27D58C58" w14:textId="77777777" w:rsidR="0082715B" w:rsidRDefault="0082715B" w:rsidP="00190F49">
            <w:pPr>
              <w:spacing w:after="0" w:line="240" w:lineRule="auto"/>
              <w:rPr>
                <w:rFonts w:ascii="Times New Roman" w:hAnsi="Times New Roman" w:cs="Times New Roman"/>
              </w:rPr>
            </w:pPr>
          </w:p>
          <w:p w14:paraId="2EAB852C" w14:textId="77777777" w:rsidR="0082715B" w:rsidRDefault="0082715B" w:rsidP="00190F49">
            <w:pPr>
              <w:spacing w:after="0" w:line="240" w:lineRule="auto"/>
              <w:rPr>
                <w:rFonts w:ascii="Times New Roman" w:hAnsi="Times New Roman" w:cs="Times New Roman"/>
              </w:rPr>
            </w:pPr>
          </w:p>
          <w:p w14:paraId="5454F088" w14:textId="77777777" w:rsidR="0082715B" w:rsidRDefault="0082715B" w:rsidP="00190F49">
            <w:pPr>
              <w:spacing w:after="0" w:line="240" w:lineRule="auto"/>
              <w:rPr>
                <w:rFonts w:ascii="Times New Roman" w:hAnsi="Times New Roman" w:cs="Times New Roman"/>
              </w:rPr>
            </w:pPr>
          </w:p>
          <w:p w14:paraId="619FD7FD" w14:textId="77777777" w:rsidR="0082715B" w:rsidRDefault="0082715B" w:rsidP="00190F49">
            <w:pPr>
              <w:spacing w:after="0" w:line="240" w:lineRule="auto"/>
              <w:rPr>
                <w:rFonts w:ascii="Times New Roman" w:hAnsi="Times New Roman" w:cs="Times New Roman"/>
              </w:rPr>
            </w:pPr>
          </w:p>
          <w:p w14:paraId="1700BAD7" w14:textId="77777777" w:rsidR="0082715B" w:rsidRDefault="0082715B" w:rsidP="00190F49">
            <w:pPr>
              <w:spacing w:after="0" w:line="240" w:lineRule="auto"/>
              <w:rPr>
                <w:rFonts w:ascii="Times New Roman" w:hAnsi="Times New Roman" w:cs="Times New Roman"/>
              </w:rPr>
            </w:pPr>
          </w:p>
          <w:p w14:paraId="034ED969" w14:textId="77777777" w:rsidR="0082715B" w:rsidRDefault="0082715B" w:rsidP="00190F49">
            <w:pPr>
              <w:spacing w:after="0" w:line="240" w:lineRule="auto"/>
              <w:rPr>
                <w:rFonts w:ascii="Times New Roman" w:hAnsi="Times New Roman" w:cs="Times New Roman"/>
              </w:rPr>
            </w:pPr>
          </w:p>
          <w:p w14:paraId="421C7FE9" w14:textId="57391A31" w:rsidR="0082715B" w:rsidRDefault="0082715B" w:rsidP="00190F49">
            <w:pPr>
              <w:spacing w:after="0" w:line="240" w:lineRule="auto"/>
              <w:rPr>
                <w:rFonts w:ascii="Times New Roman" w:hAnsi="Times New Roman" w:cs="Times New Roman"/>
              </w:rPr>
            </w:pPr>
          </w:p>
          <w:p w14:paraId="039CCD19" w14:textId="38A8E315" w:rsidR="004E1026" w:rsidRPr="007E112E" w:rsidRDefault="004E1026" w:rsidP="00190F49">
            <w:pPr>
              <w:spacing w:after="0" w:line="240" w:lineRule="auto"/>
              <w:rPr>
                <w:rFonts w:ascii="Times New Roman" w:hAnsi="Times New Roman" w:cs="Times New Roman"/>
              </w:rPr>
            </w:pPr>
            <w:r w:rsidRPr="007E112E">
              <w:rPr>
                <w:rFonts w:ascii="Times New Roman" w:hAnsi="Times New Roman" w:cs="Times New Roman"/>
              </w:rPr>
              <w:t>Č:I</w:t>
            </w:r>
            <w:r w:rsidR="00926F66" w:rsidRPr="007E112E">
              <w:rPr>
                <w:rFonts w:ascii="Times New Roman" w:hAnsi="Times New Roman" w:cs="Times New Roman"/>
              </w:rPr>
              <w:t>§</w:t>
            </w:r>
            <w:r w:rsidRPr="007E112E">
              <w:rPr>
                <w:rFonts w:ascii="Times New Roman" w:hAnsi="Times New Roman" w:cs="Times New Roman"/>
              </w:rPr>
              <w:t>:28</w:t>
            </w:r>
          </w:p>
          <w:p w14:paraId="1D81E6B1" w14:textId="4CB17713" w:rsidR="00383D96" w:rsidRPr="00190F49" w:rsidRDefault="004E1026" w:rsidP="00190F49">
            <w:pPr>
              <w:spacing w:after="0" w:line="240" w:lineRule="auto"/>
              <w:rPr>
                <w:rFonts w:ascii="Times New Roman" w:hAnsi="Times New Roman" w:cs="Times New Roman"/>
              </w:rPr>
            </w:pPr>
            <w:r w:rsidRPr="007E112E">
              <w:rPr>
                <w:rFonts w:ascii="Times New Roman" w:hAnsi="Times New Roman" w:cs="Times New Roman"/>
              </w:rPr>
              <w:t>O:1 a 2</w:t>
            </w:r>
          </w:p>
          <w:p w14:paraId="773BA87F" w14:textId="77777777" w:rsidR="00383D96" w:rsidRPr="00190F49" w:rsidRDefault="00383D96" w:rsidP="00190F49">
            <w:pPr>
              <w:spacing w:after="0" w:line="240" w:lineRule="auto"/>
              <w:rPr>
                <w:rFonts w:ascii="Times New Roman" w:hAnsi="Times New Roman" w:cs="Times New Roman"/>
              </w:rPr>
            </w:pPr>
          </w:p>
          <w:p w14:paraId="359844B3" w14:textId="77777777" w:rsidR="00383D96" w:rsidRPr="00190F49" w:rsidRDefault="00383D96" w:rsidP="00190F49">
            <w:pPr>
              <w:spacing w:after="0" w:line="240" w:lineRule="auto"/>
              <w:rPr>
                <w:rFonts w:ascii="Times New Roman" w:hAnsi="Times New Roman" w:cs="Times New Roman"/>
              </w:rPr>
            </w:pPr>
          </w:p>
          <w:p w14:paraId="182B8773" w14:textId="77777777" w:rsidR="00383D96" w:rsidRPr="00190F49" w:rsidRDefault="00383D96" w:rsidP="00190F49">
            <w:pPr>
              <w:spacing w:after="0" w:line="240" w:lineRule="auto"/>
              <w:rPr>
                <w:rFonts w:ascii="Times New Roman" w:hAnsi="Times New Roman" w:cs="Times New Roman"/>
              </w:rPr>
            </w:pPr>
          </w:p>
          <w:p w14:paraId="3FEE9741" w14:textId="77777777" w:rsidR="00383D96" w:rsidRPr="00190F49" w:rsidRDefault="00383D96" w:rsidP="00190F49">
            <w:pPr>
              <w:spacing w:after="0" w:line="240" w:lineRule="auto"/>
              <w:rPr>
                <w:rFonts w:ascii="Times New Roman" w:hAnsi="Times New Roman" w:cs="Times New Roman"/>
              </w:rPr>
            </w:pPr>
          </w:p>
          <w:p w14:paraId="4DFCB8C5" w14:textId="77777777" w:rsidR="00383D96" w:rsidRPr="00190F49" w:rsidRDefault="00383D96" w:rsidP="00190F49">
            <w:pPr>
              <w:spacing w:after="0" w:line="240" w:lineRule="auto"/>
              <w:rPr>
                <w:rFonts w:ascii="Times New Roman" w:hAnsi="Times New Roman" w:cs="Times New Roman"/>
              </w:rPr>
            </w:pPr>
          </w:p>
          <w:p w14:paraId="59B74FC6" w14:textId="77777777" w:rsidR="00383D96" w:rsidRPr="00190F49" w:rsidRDefault="00383D96" w:rsidP="00190F49">
            <w:pPr>
              <w:spacing w:after="0" w:line="240" w:lineRule="auto"/>
              <w:rPr>
                <w:rFonts w:ascii="Times New Roman" w:hAnsi="Times New Roman" w:cs="Times New Roman"/>
              </w:rPr>
            </w:pPr>
          </w:p>
          <w:p w14:paraId="00EB2B9F" w14:textId="77777777" w:rsidR="00383D96" w:rsidRPr="00190F49" w:rsidRDefault="00383D96" w:rsidP="00190F49">
            <w:pPr>
              <w:spacing w:after="0" w:line="240" w:lineRule="auto"/>
              <w:rPr>
                <w:rFonts w:ascii="Times New Roman" w:hAnsi="Times New Roman" w:cs="Times New Roman"/>
              </w:rPr>
            </w:pPr>
          </w:p>
          <w:p w14:paraId="4FAC0520" w14:textId="77777777" w:rsidR="00383D96" w:rsidRPr="00190F49" w:rsidRDefault="00383D96" w:rsidP="00190F49">
            <w:pPr>
              <w:spacing w:after="0" w:line="240" w:lineRule="auto"/>
              <w:rPr>
                <w:rFonts w:ascii="Times New Roman" w:hAnsi="Times New Roman" w:cs="Times New Roman"/>
              </w:rPr>
            </w:pPr>
          </w:p>
          <w:p w14:paraId="59DA4CFA" w14:textId="77777777" w:rsidR="00383D96" w:rsidRPr="00190F49" w:rsidRDefault="00383D96" w:rsidP="00190F49">
            <w:pPr>
              <w:spacing w:after="0" w:line="240" w:lineRule="auto"/>
              <w:rPr>
                <w:rFonts w:ascii="Times New Roman" w:hAnsi="Times New Roman" w:cs="Times New Roman"/>
              </w:rPr>
            </w:pPr>
          </w:p>
          <w:p w14:paraId="5F78796F" w14:textId="77777777" w:rsidR="00383D96" w:rsidRPr="00190F49" w:rsidRDefault="00383D96" w:rsidP="00190F49">
            <w:pPr>
              <w:spacing w:after="0" w:line="240" w:lineRule="auto"/>
              <w:rPr>
                <w:rFonts w:ascii="Times New Roman" w:hAnsi="Times New Roman" w:cs="Times New Roman"/>
              </w:rPr>
            </w:pPr>
          </w:p>
          <w:p w14:paraId="06DA5EDE" w14:textId="77777777" w:rsidR="00383D96" w:rsidRPr="00190F49" w:rsidRDefault="00383D96" w:rsidP="00190F49">
            <w:pPr>
              <w:spacing w:after="0" w:line="240" w:lineRule="auto"/>
              <w:rPr>
                <w:rFonts w:ascii="Times New Roman" w:hAnsi="Times New Roman" w:cs="Times New Roman"/>
              </w:rPr>
            </w:pPr>
          </w:p>
          <w:p w14:paraId="09AD94F2" w14:textId="77777777" w:rsidR="00383D96" w:rsidRPr="00190F49" w:rsidRDefault="00383D96" w:rsidP="00190F49">
            <w:pPr>
              <w:spacing w:after="0" w:line="240" w:lineRule="auto"/>
              <w:rPr>
                <w:rFonts w:ascii="Times New Roman" w:hAnsi="Times New Roman" w:cs="Times New Roman"/>
              </w:rPr>
            </w:pPr>
          </w:p>
          <w:p w14:paraId="6C7BAFB9" w14:textId="77777777" w:rsidR="00383D96" w:rsidRPr="00190F49" w:rsidRDefault="00383D96" w:rsidP="00190F49">
            <w:pPr>
              <w:spacing w:after="0" w:line="240" w:lineRule="auto"/>
              <w:rPr>
                <w:rFonts w:ascii="Times New Roman" w:hAnsi="Times New Roman" w:cs="Times New Roman"/>
              </w:rPr>
            </w:pPr>
          </w:p>
          <w:p w14:paraId="11937692" w14:textId="77777777" w:rsidR="00383D96" w:rsidRPr="00190F49" w:rsidRDefault="00383D96" w:rsidP="00190F49">
            <w:pPr>
              <w:spacing w:after="0" w:line="240" w:lineRule="auto"/>
              <w:rPr>
                <w:rFonts w:ascii="Times New Roman" w:hAnsi="Times New Roman" w:cs="Times New Roman"/>
              </w:rPr>
            </w:pPr>
          </w:p>
          <w:p w14:paraId="4BD077AC" w14:textId="77777777" w:rsidR="00383D96" w:rsidRPr="00190F49" w:rsidRDefault="00383D96" w:rsidP="00190F49">
            <w:pPr>
              <w:spacing w:after="0" w:line="240" w:lineRule="auto"/>
              <w:rPr>
                <w:rFonts w:ascii="Times New Roman" w:hAnsi="Times New Roman" w:cs="Times New Roman"/>
              </w:rPr>
            </w:pPr>
          </w:p>
          <w:p w14:paraId="695608BF" w14:textId="77777777" w:rsidR="00383D96" w:rsidRPr="00190F49" w:rsidRDefault="00383D96" w:rsidP="00190F49">
            <w:pPr>
              <w:spacing w:after="0" w:line="240" w:lineRule="auto"/>
              <w:rPr>
                <w:rFonts w:ascii="Times New Roman" w:hAnsi="Times New Roman" w:cs="Times New Roman"/>
              </w:rPr>
            </w:pPr>
          </w:p>
          <w:p w14:paraId="568466B5" w14:textId="77777777" w:rsidR="00383D96" w:rsidRPr="00190F49" w:rsidRDefault="00383D96" w:rsidP="00190F49">
            <w:pPr>
              <w:spacing w:after="0" w:line="240" w:lineRule="auto"/>
              <w:rPr>
                <w:rFonts w:ascii="Times New Roman" w:hAnsi="Times New Roman" w:cs="Times New Roman"/>
              </w:rPr>
            </w:pPr>
          </w:p>
          <w:p w14:paraId="326A9B27" w14:textId="77777777" w:rsidR="00383D96" w:rsidRPr="00190F49" w:rsidRDefault="00383D96" w:rsidP="00190F49">
            <w:pPr>
              <w:spacing w:after="0" w:line="240" w:lineRule="auto"/>
              <w:rPr>
                <w:rFonts w:ascii="Times New Roman" w:hAnsi="Times New Roman" w:cs="Times New Roman"/>
              </w:rPr>
            </w:pPr>
          </w:p>
          <w:p w14:paraId="2743D171" w14:textId="77777777" w:rsidR="00383D96" w:rsidRPr="00190F49" w:rsidRDefault="00383D96" w:rsidP="00190F49">
            <w:pPr>
              <w:spacing w:after="0" w:line="240" w:lineRule="auto"/>
              <w:rPr>
                <w:rFonts w:ascii="Times New Roman" w:hAnsi="Times New Roman" w:cs="Times New Roman"/>
              </w:rPr>
            </w:pPr>
          </w:p>
          <w:p w14:paraId="339BF041" w14:textId="77777777" w:rsidR="00383D96" w:rsidRPr="00190F49" w:rsidRDefault="00383D96" w:rsidP="00190F49">
            <w:pPr>
              <w:spacing w:after="0" w:line="240" w:lineRule="auto"/>
              <w:rPr>
                <w:rFonts w:ascii="Times New Roman" w:hAnsi="Times New Roman" w:cs="Times New Roman"/>
              </w:rPr>
            </w:pPr>
          </w:p>
          <w:p w14:paraId="7FDE5B85" w14:textId="77777777" w:rsidR="00383D96" w:rsidRPr="00190F49" w:rsidRDefault="00383D96" w:rsidP="00190F49">
            <w:pPr>
              <w:spacing w:after="0" w:line="240" w:lineRule="auto"/>
              <w:rPr>
                <w:rFonts w:ascii="Times New Roman" w:hAnsi="Times New Roman" w:cs="Times New Roman"/>
              </w:rPr>
            </w:pPr>
          </w:p>
          <w:p w14:paraId="4C3E4250" w14:textId="77777777" w:rsidR="00383D96" w:rsidRPr="00190F49" w:rsidRDefault="00383D96" w:rsidP="00190F49">
            <w:pPr>
              <w:spacing w:after="0" w:line="240" w:lineRule="auto"/>
              <w:rPr>
                <w:rFonts w:ascii="Times New Roman" w:hAnsi="Times New Roman" w:cs="Times New Roman"/>
              </w:rPr>
            </w:pPr>
          </w:p>
          <w:p w14:paraId="34F99B10" w14:textId="77777777" w:rsidR="00383D96" w:rsidRPr="00190F49" w:rsidRDefault="00383D96" w:rsidP="00190F49">
            <w:pPr>
              <w:spacing w:after="0" w:line="240" w:lineRule="auto"/>
              <w:rPr>
                <w:rFonts w:ascii="Times New Roman" w:hAnsi="Times New Roman" w:cs="Times New Roman"/>
              </w:rPr>
            </w:pPr>
          </w:p>
          <w:p w14:paraId="38C3BF36" w14:textId="77777777" w:rsidR="00383D96" w:rsidRPr="00190F49" w:rsidRDefault="00383D96" w:rsidP="00190F49">
            <w:pPr>
              <w:spacing w:after="0" w:line="240" w:lineRule="auto"/>
              <w:rPr>
                <w:rFonts w:ascii="Times New Roman" w:hAnsi="Times New Roman" w:cs="Times New Roman"/>
              </w:rPr>
            </w:pPr>
          </w:p>
          <w:p w14:paraId="20DE2496" w14:textId="77777777" w:rsidR="00383D96" w:rsidRPr="00190F49" w:rsidRDefault="00383D96" w:rsidP="00190F49">
            <w:pPr>
              <w:spacing w:after="0" w:line="240" w:lineRule="auto"/>
              <w:rPr>
                <w:rFonts w:ascii="Times New Roman" w:hAnsi="Times New Roman" w:cs="Times New Roman"/>
              </w:rPr>
            </w:pPr>
          </w:p>
          <w:p w14:paraId="5FC73DA9" w14:textId="77777777" w:rsidR="00383D96" w:rsidRPr="00190F49" w:rsidRDefault="00383D96" w:rsidP="00190F49">
            <w:pPr>
              <w:spacing w:after="0" w:line="240" w:lineRule="auto"/>
              <w:rPr>
                <w:rFonts w:ascii="Times New Roman" w:hAnsi="Times New Roman" w:cs="Times New Roman"/>
              </w:rPr>
            </w:pPr>
          </w:p>
          <w:p w14:paraId="7641721B" w14:textId="77777777" w:rsidR="00383D96" w:rsidRPr="00190F49" w:rsidRDefault="00383D96" w:rsidP="00190F49">
            <w:pPr>
              <w:spacing w:after="0" w:line="240" w:lineRule="auto"/>
              <w:rPr>
                <w:rFonts w:ascii="Times New Roman" w:hAnsi="Times New Roman" w:cs="Times New Roman"/>
              </w:rPr>
            </w:pPr>
          </w:p>
          <w:p w14:paraId="2EC177CA" w14:textId="77777777" w:rsidR="00383D96" w:rsidRPr="00190F49" w:rsidRDefault="00383D96" w:rsidP="00190F49">
            <w:pPr>
              <w:spacing w:after="0" w:line="240" w:lineRule="auto"/>
              <w:rPr>
                <w:rFonts w:ascii="Times New Roman" w:hAnsi="Times New Roman" w:cs="Times New Roman"/>
              </w:rPr>
            </w:pPr>
          </w:p>
          <w:p w14:paraId="31A58AB4" w14:textId="77777777" w:rsidR="00383D96" w:rsidRPr="00190F49" w:rsidRDefault="00383D96" w:rsidP="00190F49">
            <w:pPr>
              <w:spacing w:after="0" w:line="240" w:lineRule="auto"/>
              <w:rPr>
                <w:rFonts w:ascii="Times New Roman" w:hAnsi="Times New Roman" w:cs="Times New Roman"/>
              </w:rPr>
            </w:pPr>
          </w:p>
          <w:p w14:paraId="06EEEA50" w14:textId="77777777" w:rsidR="00383D96" w:rsidRPr="00190F49" w:rsidRDefault="00383D96" w:rsidP="00190F49">
            <w:pPr>
              <w:spacing w:after="0" w:line="240" w:lineRule="auto"/>
              <w:rPr>
                <w:rFonts w:ascii="Times New Roman" w:hAnsi="Times New Roman" w:cs="Times New Roman"/>
              </w:rPr>
            </w:pPr>
          </w:p>
          <w:p w14:paraId="060D1B44" w14:textId="77777777" w:rsidR="00383D96" w:rsidRPr="00190F49" w:rsidRDefault="00383D96" w:rsidP="00190F49">
            <w:pPr>
              <w:spacing w:after="0" w:line="240" w:lineRule="auto"/>
              <w:rPr>
                <w:rFonts w:ascii="Times New Roman" w:hAnsi="Times New Roman" w:cs="Times New Roman"/>
              </w:rPr>
            </w:pPr>
          </w:p>
          <w:p w14:paraId="6D473CEB" w14:textId="77777777" w:rsidR="00383D96" w:rsidRPr="00190F49" w:rsidRDefault="00383D96" w:rsidP="00190F49">
            <w:pPr>
              <w:spacing w:after="0" w:line="240" w:lineRule="auto"/>
              <w:rPr>
                <w:rFonts w:ascii="Times New Roman" w:hAnsi="Times New Roman" w:cs="Times New Roman"/>
              </w:rPr>
            </w:pPr>
          </w:p>
          <w:p w14:paraId="4C304E64" w14:textId="77777777" w:rsidR="00383D96" w:rsidRPr="00190F49" w:rsidRDefault="00383D96" w:rsidP="00190F49">
            <w:pPr>
              <w:spacing w:after="0" w:line="240" w:lineRule="auto"/>
              <w:rPr>
                <w:rFonts w:ascii="Times New Roman" w:hAnsi="Times New Roman" w:cs="Times New Roman"/>
              </w:rPr>
            </w:pPr>
          </w:p>
          <w:p w14:paraId="46DE381B" w14:textId="77777777" w:rsidR="00383D96" w:rsidRPr="00190F49" w:rsidRDefault="00383D96" w:rsidP="00190F49">
            <w:pPr>
              <w:spacing w:after="0" w:line="240" w:lineRule="auto"/>
              <w:rPr>
                <w:rFonts w:ascii="Times New Roman" w:hAnsi="Times New Roman" w:cs="Times New Roman"/>
              </w:rPr>
            </w:pPr>
          </w:p>
          <w:p w14:paraId="70A27DBF" w14:textId="77777777" w:rsidR="00383D96" w:rsidRPr="00190F49" w:rsidRDefault="00383D96" w:rsidP="00190F49">
            <w:pPr>
              <w:spacing w:after="0" w:line="240" w:lineRule="auto"/>
              <w:rPr>
                <w:rFonts w:ascii="Times New Roman" w:hAnsi="Times New Roman" w:cs="Times New Roman"/>
              </w:rPr>
            </w:pPr>
          </w:p>
          <w:p w14:paraId="4E0FEDBE" w14:textId="77777777" w:rsidR="00383D96" w:rsidRPr="00190F49" w:rsidRDefault="00383D96" w:rsidP="00190F49">
            <w:pPr>
              <w:spacing w:after="0" w:line="240" w:lineRule="auto"/>
              <w:rPr>
                <w:rFonts w:ascii="Times New Roman" w:hAnsi="Times New Roman" w:cs="Times New Roman"/>
              </w:rPr>
            </w:pPr>
          </w:p>
          <w:p w14:paraId="7B3B6A6D" w14:textId="77777777" w:rsidR="00383D96" w:rsidRPr="00190F49" w:rsidRDefault="00383D96" w:rsidP="00190F49">
            <w:pPr>
              <w:spacing w:after="0" w:line="240" w:lineRule="auto"/>
              <w:rPr>
                <w:rFonts w:ascii="Times New Roman" w:hAnsi="Times New Roman" w:cs="Times New Roman"/>
              </w:rPr>
            </w:pPr>
          </w:p>
          <w:p w14:paraId="05A9F604" w14:textId="77777777" w:rsidR="00383D96" w:rsidRPr="00190F49" w:rsidRDefault="00383D96" w:rsidP="00190F49">
            <w:pPr>
              <w:spacing w:after="0" w:line="240" w:lineRule="auto"/>
              <w:rPr>
                <w:rFonts w:ascii="Times New Roman" w:hAnsi="Times New Roman" w:cs="Times New Roman"/>
              </w:rPr>
            </w:pPr>
          </w:p>
          <w:p w14:paraId="61C74253" w14:textId="77777777" w:rsidR="00383D96" w:rsidRPr="00190F49" w:rsidRDefault="00383D96" w:rsidP="00190F49">
            <w:pPr>
              <w:spacing w:after="0" w:line="240" w:lineRule="auto"/>
              <w:rPr>
                <w:rFonts w:ascii="Times New Roman" w:hAnsi="Times New Roman" w:cs="Times New Roman"/>
              </w:rPr>
            </w:pPr>
          </w:p>
          <w:p w14:paraId="5886DDD8" w14:textId="77777777" w:rsidR="00383D96" w:rsidRPr="00190F49" w:rsidRDefault="00383D96" w:rsidP="00190F49">
            <w:pPr>
              <w:spacing w:after="0" w:line="240" w:lineRule="auto"/>
              <w:rPr>
                <w:rFonts w:ascii="Times New Roman" w:hAnsi="Times New Roman" w:cs="Times New Roman"/>
              </w:rPr>
            </w:pPr>
          </w:p>
          <w:p w14:paraId="264A2C3A" w14:textId="77777777" w:rsidR="00383D96" w:rsidRPr="00190F49" w:rsidRDefault="00383D96" w:rsidP="00190F49">
            <w:pPr>
              <w:spacing w:after="0" w:line="240" w:lineRule="auto"/>
              <w:rPr>
                <w:rFonts w:ascii="Times New Roman" w:hAnsi="Times New Roman" w:cs="Times New Roman"/>
              </w:rPr>
            </w:pPr>
          </w:p>
          <w:p w14:paraId="4962DF65" w14:textId="77777777" w:rsidR="00383D96" w:rsidRPr="00190F49" w:rsidRDefault="00383D96" w:rsidP="00190F49">
            <w:pPr>
              <w:spacing w:after="0" w:line="240" w:lineRule="auto"/>
              <w:rPr>
                <w:rFonts w:ascii="Times New Roman" w:hAnsi="Times New Roman" w:cs="Times New Roman"/>
              </w:rPr>
            </w:pPr>
          </w:p>
          <w:p w14:paraId="1CD4D51A" w14:textId="77777777" w:rsidR="00383D96" w:rsidRPr="00190F49" w:rsidRDefault="00383D96" w:rsidP="00190F49">
            <w:pPr>
              <w:spacing w:after="0" w:line="240" w:lineRule="auto"/>
              <w:rPr>
                <w:rFonts w:ascii="Times New Roman" w:hAnsi="Times New Roman" w:cs="Times New Roman"/>
              </w:rPr>
            </w:pPr>
          </w:p>
          <w:p w14:paraId="19933CD6" w14:textId="77777777" w:rsidR="00383D96" w:rsidRPr="00190F49" w:rsidRDefault="00383D96" w:rsidP="00190F49">
            <w:pPr>
              <w:spacing w:after="0" w:line="240" w:lineRule="auto"/>
              <w:rPr>
                <w:rFonts w:ascii="Times New Roman" w:hAnsi="Times New Roman" w:cs="Times New Roman"/>
              </w:rPr>
            </w:pPr>
          </w:p>
          <w:p w14:paraId="2C295B42" w14:textId="77777777" w:rsidR="00383D96" w:rsidRPr="00190F49" w:rsidRDefault="00383D96" w:rsidP="00190F49">
            <w:pPr>
              <w:spacing w:after="0" w:line="240" w:lineRule="auto"/>
              <w:rPr>
                <w:rFonts w:ascii="Times New Roman" w:hAnsi="Times New Roman" w:cs="Times New Roman"/>
              </w:rPr>
            </w:pPr>
          </w:p>
          <w:p w14:paraId="69839DDC" w14:textId="77777777" w:rsidR="00383D96" w:rsidRPr="00190F49" w:rsidRDefault="00383D96" w:rsidP="00190F49">
            <w:pPr>
              <w:spacing w:after="0" w:line="240" w:lineRule="auto"/>
              <w:rPr>
                <w:rFonts w:ascii="Times New Roman" w:hAnsi="Times New Roman" w:cs="Times New Roman"/>
              </w:rPr>
            </w:pPr>
          </w:p>
          <w:p w14:paraId="6ECC343B" w14:textId="77777777" w:rsidR="00383D96" w:rsidRPr="00190F49" w:rsidRDefault="00383D96" w:rsidP="00190F49">
            <w:pPr>
              <w:spacing w:after="0" w:line="240" w:lineRule="auto"/>
              <w:rPr>
                <w:rFonts w:ascii="Times New Roman" w:hAnsi="Times New Roman" w:cs="Times New Roman"/>
              </w:rPr>
            </w:pPr>
          </w:p>
          <w:p w14:paraId="3D63A634" w14:textId="77777777" w:rsidR="00383D96" w:rsidRPr="00190F49" w:rsidRDefault="00383D96" w:rsidP="00190F49">
            <w:pPr>
              <w:spacing w:after="0" w:line="240" w:lineRule="auto"/>
              <w:rPr>
                <w:rFonts w:ascii="Times New Roman" w:hAnsi="Times New Roman" w:cs="Times New Roman"/>
              </w:rPr>
            </w:pPr>
          </w:p>
          <w:p w14:paraId="1F3673D8" w14:textId="2ECB98D9" w:rsidR="00383D96" w:rsidRPr="00190F49" w:rsidRDefault="00383D96" w:rsidP="00190F49">
            <w:pPr>
              <w:spacing w:after="0" w:line="240" w:lineRule="auto"/>
              <w:rPr>
                <w:rFonts w:ascii="Times New Roman" w:hAnsi="Times New Roman" w:cs="Times New Roman"/>
              </w:rPr>
            </w:pPr>
          </w:p>
          <w:p w14:paraId="53B384C3" w14:textId="28F91511" w:rsidR="00730219" w:rsidRPr="00190F49" w:rsidRDefault="00730219" w:rsidP="00190F49">
            <w:pPr>
              <w:spacing w:after="0" w:line="240" w:lineRule="auto"/>
              <w:rPr>
                <w:rFonts w:ascii="Times New Roman" w:hAnsi="Times New Roman" w:cs="Times New Roman"/>
              </w:rPr>
            </w:pPr>
          </w:p>
          <w:p w14:paraId="76A9FA0D" w14:textId="71EAAC7F" w:rsidR="00730219" w:rsidRPr="00190F49" w:rsidRDefault="00730219" w:rsidP="00190F49">
            <w:pPr>
              <w:spacing w:after="0" w:line="240" w:lineRule="auto"/>
              <w:rPr>
                <w:rFonts w:ascii="Times New Roman" w:hAnsi="Times New Roman" w:cs="Times New Roman"/>
              </w:rPr>
            </w:pPr>
          </w:p>
          <w:p w14:paraId="52E87401" w14:textId="77777777" w:rsidR="00730219" w:rsidRPr="00190F49" w:rsidRDefault="00730219" w:rsidP="00190F49">
            <w:pPr>
              <w:spacing w:after="0" w:line="240" w:lineRule="auto"/>
              <w:rPr>
                <w:rFonts w:ascii="Times New Roman" w:hAnsi="Times New Roman" w:cs="Times New Roman"/>
              </w:rPr>
            </w:pPr>
          </w:p>
          <w:p w14:paraId="2D83E4AA" w14:textId="631AE6FC" w:rsidR="00383D96" w:rsidRPr="00190F49" w:rsidRDefault="00383D96" w:rsidP="00190F49">
            <w:pPr>
              <w:spacing w:after="0" w:line="240" w:lineRule="auto"/>
              <w:rPr>
                <w:rFonts w:ascii="Times New Roman" w:hAnsi="Times New Roman" w:cs="Times New Roman"/>
              </w:rPr>
            </w:pPr>
          </w:p>
          <w:p w14:paraId="5DD42651" w14:textId="77777777" w:rsidR="00383D96" w:rsidRPr="00190F49" w:rsidRDefault="00383D96" w:rsidP="00190F49">
            <w:pPr>
              <w:spacing w:after="0" w:line="240" w:lineRule="auto"/>
              <w:rPr>
                <w:rFonts w:ascii="Times New Roman" w:hAnsi="Times New Roman" w:cs="Times New Roman"/>
              </w:rPr>
            </w:pPr>
          </w:p>
          <w:p w14:paraId="50108D96" w14:textId="77777777" w:rsidR="00383D96" w:rsidRPr="00190F49" w:rsidRDefault="00383D96" w:rsidP="00190F49">
            <w:pPr>
              <w:spacing w:after="0" w:line="240" w:lineRule="auto"/>
              <w:rPr>
                <w:rFonts w:ascii="Times New Roman" w:hAnsi="Times New Roman" w:cs="Times New Roman"/>
              </w:rPr>
            </w:pPr>
          </w:p>
          <w:p w14:paraId="00AC42F5" w14:textId="77777777" w:rsidR="00383D96" w:rsidRPr="00190F49" w:rsidRDefault="00383D96" w:rsidP="00190F49">
            <w:pPr>
              <w:spacing w:after="0" w:line="240" w:lineRule="auto"/>
              <w:rPr>
                <w:rFonts w:ascii="Times New Roman" w:hAnsi="Times New Roman" w:cs="Times New Roman"/>
              </w:rPr>
            </w:pPr>
          </w:p>
          <w:p w14:paraId="416A0FA5" w14:textId="77777777" w:rsidR="00383D96" w:rsidRPr="00190F49" w:rsidRDefault="00383D96" w:rsidP="00190F49">
            <w:pPr>
              <w:spacing w:after="0" w:line="240" w:lineRule="auto"/>
              <w:rPr>
                <w:rFonts w:ascii="Times New Roman" w:hAnsi="Times New Roman" w:cs="Times New Roman"/>
              </w:rPr>
            </w:pPr>
          </w:p>
          <w:p w14:paraId="65BCBB2C" w14:textId="77777777" w:rsidR="00383D96" w:rsidRPr="00190F49" w:rsidRDefault="00383D96" w:rsidP="00190F49">
            <w:pPr>
              <w:spacing w:after="0" w:line="240" w:lineRule="auto"/>
              <w:rPr>
                <w:rFonts w:ascii="Times New Roman" w:hAnsi="Times New Roman" w:cs="Times New Roman"/>
              </w:rPr>
            </w:pPr>
          </w:p>
          <w:p w14:paraId="1245B90C" w14:textId="77777777" w:rsidR="00383D96" w:rsidRPr="00190F49" w:rsidRDefault="00383D96" w:rsidP="00190F49">
            <w:pPr>
              <w:spacing w:after="0" w:line="240" w:lineRule="auto"/>
              <w:rPr>
                <w:rFonts w:ascii="Times New Roman" w:hAnsi="Times New Roman" w:cs="Times New Roman"/>
              </w:rPr>
            </w:pPr>
          </w:p>
          <w:p w14:paraId="735E5C37" w14:textId="77777777" w:rsidR="00383D96" w:rsidRPr="00190F49" w:rsidRDefault="00383D96" w:rsidP="00190F49">
            <w:pPr>
              <w:spacing w:after="0" w:line="240" w:lineRule="auto"/>
              <w:rPr>
                <w:rFonts w:ascii="Times New Roman" w:hAnsi="Times New Roman" w:cs="Times New Roman"/>
              </w:rPr>
            </w:pPr>
          </w:p>
          <w:p w14:paraId="7CA29793" w14:textId="77777777" w:rsidR="00383D96" w:rsidRPr="00190F49" w:rsidRDefault="00383D96" w:rsidP="00190F49">
            <w:pPr>
              <w:spacing w:after="0" w:line="240" w:lineRule="auto"/>
              <w:rPr>
                <w:rFonts w:ascii="Times New Roman" w:hAnsi="Times New Roman" w:cs="Times New Roman"/>
              </w:rPr>
            </w:pPr>
          </w:p>
          <w:p w14:paraId="38EE3BEA" w14:textId="77777777" w:rsidR="00383D96" w:rsidRPr="00190F49" w:rsidRDefault="00383D96" w:rsidP="00190F49">
            <w:pPr>
              <w:spacing w:after="0" w:line="240" w:lineRule="auto"/>
              <w:rPr>
                <w:rFonts w:ascii="Times New Roman" w:hAnsi="Times New Roman" w:cs="Times New Roman"/>
              </w:rPr>
            </w:pPr>
          </w:p>
          <w:p w14:paraId="3126546E" w14:textId="77777777" w:rsidR="00383D96" w:rsidRPr="00190F49" w:rsidRDefault="00383D96" w:rsidP="00190F49">
            <w:pPr>
              <w:spacing w:after="0" w:line="240" w:lineRule="auto"/>
              <w:rPr>
                <w:rFonts w:ascii="Times New Roman" w:hAnsi="Times New Roman" w:cs="Times New Roman"/>
              </w:rPr>
            </w:pPr>
          </w:p>
          <w:p w14:paraId="5B1AE6D9" w14:textId="77777777" w:rsidR="00383D96" w:rsidRPr="00190F49" w:rsidRDefault="00383D96" w:rsidP="00190F49">
            <w:pPr>
              <w:spacing w:after="0" w:line="240" w:lineRule="auto"/>
              <w:rPr>
                <w:rFonts w:ascii="Times New Roman" w:hAnsi="Times New Roman" w:cs="Times New Roman"/>
              </w:rPr>
            </w:pPr>
          </w:p>
          <w:p w14:paraId="3451765B" w14:textId="77777777" w:rsidR="00383D96" w:rsidRPr="00190F49" w:rsidRDefault="00383D96" w:rsidP="00190F49">
            <w:pPr>
              <w:spacing w:after="0" w:line="240" w:lineRule="auto"/>
              <w:rPr>
                <w:rFonts w:ascii="Times New Roman" w:hAnsi="Times New Roman" w:cs="Times New Roman"/>
              </w:rPr>
            </w:pPr>
          </w:p>
          <w:p w14:paraId="2338E784" w14:textId="77777777" w:rsidR="00383D96" w:rsidRPr="00190F49" w:rsidRDefault="00383D96" w:rsidP="00190F49">
            <w:pPr>
              <w:spacing w:after="0" w:line="240" w:lineRule="auto"/>
              <w:rPr>
                <w:rFonts w:ascii="Times New Roman" w:hAnsi="Times New Roman" w:cs="Times New Roman"/>
              </w:rPr>
            </w:pPr>
          </w:p>
          <w:p w14:paraId="4C80EED4" w14:textId="77777777" w:rsidR="00383D96" w:rsidRPr="00190F49" w:rsidRDefault="00383D96" w:rsidP="00190F49">
            <w:pPr>
              <w:spacing w:after="0" w:line="240" w:lineRule="auto"/>
              <w:rPr>
                <w:rFonts w:ascii="Times New Roman" w:hAnsi="Times New Roman" w:cs="Times New Roman"/>
              </w:rPr>
            </w:pPr>
          </w:p>
          <w:p w14:paraId="6ED02FD2" w14:textId="77777777" w:rsidR="00383D96" w:rsidRPr="00190F49" w:rsidRDefault="00383D96" w:rsidP="00190F49">
            <w:pPr>
              <w:spacing w:after="0" w:line="240" w:lineRule="auto"/>
              <w:rPr>
                <w:rFonts w:ascii="Times New Roman" w:hAnsi="Times New Roman" w:cs="Times New Roman"/>
              </w:rPr>
            </w:pPr>
          </w:p>
          <w:p w14:paraId="56A170BA" w14:textId="77777777" w:rsidR="00383D96" w:rsidRPr="00190F49" w:rsidRDefault="00383D96" w:rsidP="00190F49">
            <w:pPr>
              <w:spacing w:after="0" w:line="240" w:lineRule="auto"/>
              <w:rPr>
                <w:rFonts w:ascii="Times New Roman" w:hAnsi="Times New Roman" w:cs="Times New Roman"/>
              </w:rPr>
            </w:pPr>
          </w:p>
          <w:p w14:paraId="4AFF3999" w14:textId="77777777" w:rsidR="00383D96" w:rsidRPr="00190F49" w:rsidRDefault="00383D96" w:rsidP="00190F49">
            <w:pPr>
              <w:spacing w:after="0" w:line="240" w:lineRule="auto"/>
              <w:rPr>
                <w:rFonts w:ascii="Times New Roman" w:hAnsi="Times New Roman" w:cs="Times New Roman"/>
              </w:rPr>
            </w:pPr>
          </w:p>
          <w:p w14:paraId="1D5B6A31" w14:textId="77777777" w:rsidR="00383D96" w:rsidRPr="00190F49" w:rsidRDefault="00383D96" w:rsidP="00190F49">
            <w:pPr>
              <w:spacing w:after="0" w:line="240" w:lineRule="auto"/>
              <w:rPr>
                <w:rFonts w:ascii="Times New Roman" w:hAnsi="Times New Roman" w:cs="Times New Roman"/>
              </w:rPr>
            </w:pPr>
          </w:p>
          <w:p w14:paraId="0F3F9DF9" w14:textId="77777777" w:rsidR="00383D96" w:rsidRPr="00190F49" w:rsidRDefault="00383D96" w:rsidP="00190F49">
            <w:pPr>
              <w:spacing w:after="0" w:line="240" w:lineRule="auto"/>
              <w:rPr>
                <w:rFonts w:ascii="Times New Roman" w:hAnsi="Times New Roman" w:cs="Times New Roman"/>
              </w:rPr>
            </w:pPr>
          </w:p>
          <w:p w14:paraId="79F6F205" w14:textId="77777777" w:rsidR="00383D96" w:rsidRPr="00190F49" w:rsidRDefault="00383D96" w:rsidP="00190F49">
            <w:pPr>
              <w:spacing w:after="0" w:line="240" w:lineRule="auto"/>
              <w:rPr>
                <w:rFonts w:ascii="Times New Roman" w:hAnsi="Times New Roman" w:cs="Times New Roman"/>
              </w:rPr>
            </w:pPr>
          </w:p>
          <w:p w14:paraId="1C4DE5CE" w14:textId="77777777" w:rsidR="00383D96" w:rsidRPr="00190F49" w:rsidRDefault="00383D96" w:rsidP="00190F49">
            <w:pPr>
              <w:spacing w:after="0" w:line="240" w:lineRule="auto"/>
              <w:rPr>
                <w:rFonts w:ascii="Times New Roman" w:hAnsi="Times New Roman" w:cs="Times New Roman"/>
              </w:rPr>
            </w:pPr>
          </w:p>
          <w:p w14:paraId="0700CF2E" w14:textId="77777777" w:rsidR="00383D96" w:rsidRPr="00190F49" w:rsidRDefault="00383D96" w:rsidP="00190F49">
            <w:pPr>
              <w:spacing w:after="0" w:line="240" w:lineRule="auto"/>
              <w:rPr>
                <w:rFonts w:ascii="Times New Roman" w:hAnsi="Times New Roman" w:cs="Times New Roman"/>
              </w:rPr>
            </w:pPr>
          </w:p>
          <w:p w14:paraId="62408D3B" w14:textId="77777777" w:rsidR="00383D96" w:rsidRPr="00190F49" w:rsidRDefault="00383D96" w:rsidP="00190F49">
            <w:pPr>
              <w:spacing w:after="0" w:line="240" w:lineRule="auto"/>
              <w:rPr>
                <w:rFonts w:ascii="Times New Roman" w:hAnsi="Times New Roman" w:cs="Times New Roman"/>
              </w:rPr>
            </w:pPr>
          </w:p>
          <w:p w14:paraId="2B53C21A" w14:textId="77777777" w:rsidR="00383D96" w:rsidRPr="00190F49" w:rsidRDefault="00383D96" w:rsidP="00190F49">
            <w:pPr>
              <w:spacing w:after="0" w:line="240" w:lineRule="auto"/>
              <w:rPr>
                <w:rFonts w:ascii="Times New Roman" w:hAnsi="Times New Roman" w:cs="Times New Roman"/>
              </w:rPr>
            </w:pPr>
          </w:p>
          <w:p w14:paraId="02CCD67E" w14:textId="77777777" w:rsidR="00383D96" w:rsidRPr="00190F49" w:rsidRDefault="00383D96" w:rsidP="00190F49">
            <w:pPr>
              <w:spacing w:after="0" w:line="240" w:lineRule="auto"/>
              <w:rPr>
                <w:rFonts w:ascii="Times New Roman" w:hAnsi="Times New Roman" w:cs="Times New Roman"/>
              </w:rPr>
            </w:pPr>
          </w:p>
          <w:p w14:paraId="3C6890F6" w14:textId="77777777" w:rsidR="00383D96" w:rsidRPr="00190F49" w:rsidRDefault="00383D96" w:rsidP="00190F49">
            <w:pPr>
              <w:spacing w:after="0" w:line="240" w:lineRule="auto"/>
              <w:rPr>
                <w:rFonts w:ascii="Times New Roman" w:hAnsi="Times New Roman" w:cs="Times New Roman"/>
              </w:rPr>
            </w:pPr>
          </w:p>
          <w:p w14:paraId="6A897683" w14:textId="77777777" w:rsidR="00383D96" w:rsidRPr="00190F49" w:rsidRDefault="00383D96" w:rsidP="00190F49">
            <w:pPr>
              <w:spacing w:after="0" w:line="240" w:lineRule="auto"/>
              <w:rPr>
                <w:rFonts w:ascii="Times New Roman" w:hAnsi="Times New Roman" w:cs="Times New Roman"/>
              </w:rPr>
            </w:pPr>
          </w:p>
          <w:p w14:paraId="76232C84" w14:textId="77777777" w:rsidR="00383D96" w:rsidRPr="00190F49" w:rsidRDefault="00383D96" w:rsidP="00190F49">
            <w:pPr>
              <w:spacing w:after="0" w:line="240" w:lineRule="auto"/>
              <w:rPr>
                <w:rFonts w:ascii="Times New Roman" w:hAnsi="Times New Roman" w:cs="Times New Roman"/>
              </w:rPr>
            </w:pPr>
          </w:p>
          <w:p w14:paraId="5E947D6C" w14:textId="77777777" w:rsidR="00383D96" w:rsidRPr="00190F49" w:rsidRDefault="00383D96" w:rsidP="00190F49">
            <w:pPr>
              <w:spacing w:after="0" w:line="240" w:lineRule="auto"/>
              <w:rPr>
                <w:rFonts w:ascii="Times New Roman" w:hAnsi="Times New Roman" w:cs="Times New Roman"/>
              </w:rPr>
            </w:pPr>
          </w:p>
          <w:p w14:paraId="697238D7" w14:textId="77777777" w:rsidR="00383D96" w:rsidRPr="00190F49" w:rsidRDefault="00383D96" w:rsidP="00190F49">
            <w:pPr>
              <w:spacing w:after="0" w:line="240" w:lineRule="auto"/>
              <w:rPr>
                <w:rFonts w:ascii="Times New Roman" w:hAnsi="Times New Roman" w:cs="Times New Roman"/>
              </w:rPr>
            </w:pPr>
          </w:p>
          <w:p w14:paraId="142D02BF" w14:textId="77777777" w:rsidR="00383D96" w:rsidRPr="00190F49" w:rsidRDefault="00383D96" w:rsidP="00190F49">
            <w:pPr>
              <w:spacing w:after="0" w:line="240" w:lineRule="auto"/>
              <w:rPr>
                <w:rFonts w:ascii="Times New Roman" w:hAnsi="Times New Roman" w:cs="Times New Roman"/>
              </w:rPr>
            </w:pPr>
          </w:p>
          <w:p w14:paraId="2DC82DF4" w14:textId="77777777" w:rsidR="00383D96" w:rsidRPr="00190F49" w:rsidRDefault="00383D96" w:rsidP="00190F49">
            <w:pPr>
              <w:spacing w:after="0" w:line="240" w:lineRule="auto"/>
              <w:rPr>
                <w:rFonts w:ascii="Times New Roman" w:hAnsi="Times New Roman" w:cs="Times New Roman"/>
              </w:rPr>
            </w:pPr>
          </w:p>
          <w:p w14:paraId="2094D2F6" w14:textId="77777777" w:rsidR="00383D96" w:rsidRPr="00190F49" w:rsidRDefault="00383D96" w:rsidP="00190F49">
            <w:pPr>
              <w:spacing w:after="0" w:line="240" w:lineRule="auto"/>
              <w:rPr>
                <w:rFonts w:ascii="Times New Roman" w:hAnsi="Times New Roman" w:cs="Times New Roman"/>
              </w:rPr>
            </w:pPr>
          </w:p>
          <w:p w14:paraId="7B5FCBE5" w14:textId="77777777" w:rsidR="00383D96" w:rsidRPr="00190F49" w:rsidRDefault="00383D96" w:rsidP="00190F49">
            <w:pPr>
              <w:spacing w:after="0" w:line="240" w:lineRule="auto"/>
              <w:rPr>
                <w:rFonts w:ascii="Times New Roman" w:hAnsi="Times New Roman" w:cs="Times New Roman"/>
              </w:rPr>
            </w:pPr>
          </w:p>
          <w:p w14:paraId="0A9924C6" w14:textId="77777777" w:rsidR="00383D96" w:rsidRPr="00190F49" w:rsidRDefault="00383D96" w:rsidP="00190F49">
            <w:pPr>
              <w:spacing w:after="0" w:line="240" w:lineRule="auto"/>
              <w:rPr>
                <w:rFonts w:ascii="Times New Roman" w:hAnsi="Times New Roman" w:cs="Times New Roman"/>
              </w:rPr>
            </w:pPr>
          </w:p>
          <w:p w14:paraId="01918CC7" w14:textId="77777777" w:rsidR="00383D96" w:rsidRPr="00190F49" w:rsidRDefault="00383D96" w:rsidP="00190F49">
            <w:pPr>
              <w:spacing w:after="0" w:line="240" w:lineRule="auto"/>
              <w:rPr>
                <w:rFonts w:ascii="Times New Roman" w:hAnsi="Times New Roman" w:cs="Times New Roman"/>
              </w:rPr>
            </w:pPr>
          </w:p>
          <w:p w14:paraId="6AA4CF44" w14:textId="77777777" w:rsidR="00383D96" w:rsidRPr="00190F49" w:rsidRDefault="00383D96" w:rsidP="00190F49">
            <w:pPr>
              <w:spacing w:after="0" w:line="240" w:lineRule="auto"/>
              <w:rPr>
                <w:rFonts w:ascii="Times New Roman" w:hAnsi="Times New Roman" w:cs="Times New Roman"/>
              </w:rPr>
            </w:pPr>
          </w:p>
          <w:p w14:paraId="3B745E49" w14:textId="77777777" w:rsidR="00383D96" w:rsidRPr="00190F49" w:rsidRDefault="00383D96" w:rsidP="00190F49">
            <w:pPr>
              <w:spacing w:after="0" w:line="240" w:lineRule="auto"/>
              <w:rPr>
                <w:rFonts w:ascii="Times New Roman" w:hAnsi="Times New Roman" w:cs="Times New Roman"/>
              </w:rPr>
            </w:pPr>
          </w:p>
          <w:p w14:paraId="30F273F6" w14:textId="77777777" w:rsidR="00383D96" w:rsidRPr="00190F49" w:rsidRDefault="00383D96" w:rsidP="00190F49">
            <w:pPr>
              <w:spacing w:after="0" w:line="240" w:lineRule="auto"/>
              <w:rPr>
                <w:rFonts w:ascii="Times New Roman" w:hAnsi="Times New Roman" w:cs="Times New Roman"/>
              </w:rPr>
            </w:pPr>
          </w:p>
          <w:p w14:paraId="17358D11" w14:textId="77777777" w:rsidR="00383D96" w:rsidRPr="00190F49" w:rsidRDefault="00383D96" w:rsidP="00190F49">
            <w:pPr>
              <w:spacing w:after="0" w:line="240" w:lineRule="auto"/>
              <w:rPr>
                <w:rFonts w:ascii="Times New Roman" w:hAnsi="Times New Roman" w:cs="Times New Roman"/>
              </w:rPr>
            </w:pPr>
          </w:p>
          <w:p w14:paraId="2AA11426" w14:textId="77777777" w:rsidR="00383D96" w:rsidRPr="00190F49" w:rsidRDefault="00383D96" w:rsidP="00190F49">
            <w:pPr>
              <w:spacing w:after="0" w:line="240" w:lineRule="auto"/>
              <w:rPr>
                <w:rFonts w:ascii="Times New Roman" w:hAnsi="Times New Roman" w:cs="Times New Roman"/>
              </w:rPr>
            </w:pPr>
          </w:p>
          <w:p w14:paraId="7F485B10" w14:textId="77777777" w:rsidR="00383D96" w:rsidRPr="00190F49" w:rsidRDefault="00383D96" w:rsidP="00190F49">
            <w:pPr>
              <w:spacing w:after="0" w:line="240" w:lineRule="auto"/>
              <w:rPr>
                <w:rFonts w:ascii="Times New Roman" w:hAnsi="Times New Roman" w:cs="Times New Roman"/>
              </w:rPr>
            </w:pPr>
          </w:p>
          <w:p w14:paraId="769A50D3" w14:textId="77777777" w:rsidR="00383D96" w:rsidRPr="00190F49" w:rsidRDefault="00383D96" w:rsidP="00190F49">
            <w:pPr>
              <w:spacing w:after="0" w:line="240" w:lineRule="auto"/>
              <w:rPr>
                <w:rFonts w:ascii="Times New Roman" w:hAnsi="Times New Roman" w:cs="Times New Roman"/>
              </w:rPr>
            </w:pPr>
          </w:p>
          <w:p w14:paraId="55F5FA8B" w14:textId="77777777" w:rsidR="00383D96" w:rsidRPr="00190F49" w:rsidRDefault="00383D96" w:rsidP="00190F49">
            <w:pPr>
              <w:spacing w:after="0" w:line="240" w:lineRule="auto"/>
              <w:rPr>
                <w:rFonts w:ascii="Times New Roman" w:hAnsi="Times New Roman" w:cs="Times New Roman"/>
              </w:rPr>
            </w:pPr>
          </w:p>
          <w:p w14:paraId="15B1BFD6" w14:textId="77777777" w:rsidR="00383D96" w:rsidRPr="00190F49" w:rsidRDefault="00383D96" w:rsidP="00190F49">
            <w:pPr>
              <w:spacing w:after="0" w:line="240" w:lineRule="auto"/>
              <w:rPr>
                <w:rFonts w:ascii="Times New Roman" w:hAnsi="Times New Roman" w:cs="Times New Roman"/>
              </w:rPr>
            </w:pPr>
          </w:p>
          <w:p w14:paraId="65E8FE54" w14:textId="77777777" w:rsidR="00383D96" w:rsidRPr="00190F49" w:rsidRDefault="00383D96" w:rsidP="00190F49">
            <w:pPr>
              <w:spacing w:after="0" w:line="240" w:lineRule="auto"/>
              <w:rPr>
                <w:rFonts w:ascii="Times New Roman" w:hAnsi="Times New Roman" w:cs="Times New Roman"/>
              </w:rPr>
            </w:pPr>
          </w:p>
          <w:p w14:paraId="4747865F" w14:textId="77777777" w:rsidR="00383D96" w:rsidRPr="00190F49" w:rsidRDefault="00383D96" w:rsidP="00190F49">
            <w:pPr>
              <w:spacing w:after="0" w:line="240" w:lineRule="auto"/>
              <w:rPr>
                <w:rFonts w:ascii="Times New Roman" w:hAnsi="Times New Roman" w:cs="Times New Roman"/>
              </w:rPr>
            </w:pPr>
          </w:p>
          <w:p w14:paraId="391D58ED" w14:textId="77777777" w:rsidR="00383D96" w:rsidRPr="00190F49" w:rsidRDefault="00383D96" w:rsidP="00190F49">
            <w:pPr>
              <w:spacing w:after="0" w:line="240" w:lineRule="auto"/>
              <w:rPr>
                <w:rFonts w:ascii="Times New Roman" w:hAnsi="Times New Roman" w:cs="Times New Roman"/>
              </w:rPr>
            </w:pPr>
          </w:p>
          <w:p w14:paraId="546A4029" w14:textId="77777777" w:rsidR="00383D96" w:rsidRPr="00190F49" w:rsidRDefault="00383D96" w:rsidP="00190F49">
            <w:pPr>
              <w:spacing w:after="0" w:line="240" w:lineRule="auto"/>
              <w:rPr>
                <w:rFonts w:ascii="Times New Roman" w:hAnsi="Times New Roman" w:cs="Times New Roman"/>
              </w:rPr>
            </w:pPr>
          </w:p>
          <w:p w14:paraId="3B0AE87F" w14:textId="77777777" w:rsidR="00383D96" w:rsidRPr="00190F49" w:rsidRDefault="00383D96" w:rsidP="00190F49">
            <w:pPr>
              <w:spacing w:after="0" w:line="240" w:lineRule="auto"/>
              <w:rPr>
                <w:rFonts w:ascii="Times New Roman" w:hAnsi="Times New Roman" w:cs="Times New Roman"/>
              </w:rPr>
            </w:pPr>
          </w:p>
          <w:p w14:paraId="30925E2D" w14:textId="77777777" w:rsidR="00383D96" w:rsidRPr="00190F49" w:rsidRDefault="00383D96" w:rsidP="00190F49">
            <w:pPr>
              <w:spacing w:after="0" w:line="240" w:lineRule="auto"/>
              <w:rPr>
                <w:rFonts w:ascii="Times New Roman" w:hAnsi="Times New Roman" w:cs="Times New Roman"/>
              </w:rPr>
            </w:pPr>
          </w:p>
          <w:p w14:paraId="2D30F354" w14:textId="77777777" w:rsidR="00383D96" w:rsidRPr="00190F49" w:rsidRDefault="00383D96" w:rsidP="00190F49">
            <w:pPr>
              <w:spacing w:after="0" w:line="240" w:lineRule="auto"/>
              <w:rPr>
                <w:rFonts w:ascii="Times New Roman" w:hAnsi="Times New Roman" w:cs="Times New Roman"/>
              </w:rPr>
            </w:pPr>
          </w:p>
          <w:p w14:paraId="22CB9264" w14:textId="77777777" w:rsidR="00383D96" w:rsidRPr="00190F49" w:rsidRDefault="00383D96" w:rsidP="00190F49">
            <w:pPr>
              <w:spacing w:after="0" w:line="240" w:lineRule="auto"/>
              <w:rPr>
                <w:rFonts w:ascii="Times New Roman" w:hAnsi="Times New Roman" w:cs="Times New Roman"/>
              </w:rPr>
            </w:pPr>
          </w:p>
          <w:p w14:paraId="1F4BF20A" w14:textId="77777777" w:rsidR="00383D96" w:rsidRPr="00190F49" w:rsidRDefault="00383D96" w:rsidP="00190F49">
            <w:pPr>
              <w:spacing w:after="0" w:line="240" w:lineRule="auto"/>
              <w:rPr>
                <w:rFonts w:ascii="Times New Roman" w:hAnsi="Times New Roman" w:cs="Times New Roman"/>
              </w:rPr>
            </w:pPr>
          </w:p>
          <w:p w14:paraId="3E6F7D53" w14:textId="77777777" w:rsidR="00383D96" w:rsidRPr="00190F49" w:rsidRDefault="00383D96" w:rsidP="00190F49">
            <w:pPr>
              <w:spacing w:after="0" w:line="240" w:lineRule="auto"/>
              <w:rPr>
                <w:rFonts w:ascii="Times New Roman" w:hAnsi="Times New Roman" w:cs="Times New Roman"/>
              </w:rPr>
            </w:pPr>
          </w:p>
          <w:p w14:paraId="4C9A457B" w14:textId="77777777" w:rsidR="00383D96" w:rsidRPr="00190F49" w:rsidRDefault="00383D96" w:rsidP="00190F49">
            <w:pPr>
              <w:spacing w:after="0" w:line="240" w:lineRule="auto"/>
              <w:rPr>
                <w:rFonts w:ascii="Times New Roman" w:hAnsi="Times New Roman" w:cs="Times New Roman"/>
              </w:rPr>
            </w:pPr>
          </w:p>
          <w:p w14:paraId="1D0BD4B4" w14:textId="77777777" w:rsidR="00383D96" w:rsidRPr="00190F49" w:rsidRDefault="00383D96" w:rsidP="00190F49">
            <w:pPr>
              <w:spacing w:after="0" w:line="240" w:lineRule="auto"/>
              <w:rPr>
                <w:rFonts w:ascii="Times New Roman" w:hAnsi="Times New Roman" w:cs="Times New Roman"/>
              </w:rPr>
            </w:pPr>
          </w:p>
          <w:p w14:paraId="122C437A" w14:textId="77777777" w:rsidR="00383D96" w:rsidRPr="00190F49" w:rsidRDefault="00383D96" w:rsidP="00190F49">
            <w:pPr>
              <w:spacing w:after="0" w:line="240" w:lineRule="auto"/>
              <w:rPr>
                <w:rFonts w:ascii="Times New Roman" w:hAnsi="Times New Roman" w:cs="Times New Roman"/>
              </w:rPr>
            </w:pPr>
          </w:p>
          <w:p w14:paraId="017E0467" w14:textId="77777777" w:rsidR="00383D96" w:rsidRPr="00190F49" w:rsidRDefault="00383D96" w:rsidP="00190F49">
            <w:pPr>
              <w:spacing w:after="0" w:line="240" w:lineRule="auto"/>
              <w:rPr>
                <w:rFonts w:ascii="Times New Roman" w:hAnsi="Times New Roman" w:cs="Times New Roman"/>
              </w:rPr>
            </w:pPr>
          </w:p>
          <w:p w14:paraId="501F7A78" w14:textId="77777777" w:rsidR="00383D96" w:rsidRPr="00190F49" w:rsidRDefault="00383D96" w:rsidP="00190F49">
            <w:pPr>
              <w:spacing w:after="0" w:line="240" w:lineRule="auto"/>
              <w:rPr>
                <w:rFonts w:ascii="Times New Roman" w:hAnsi="Times New Roman" w:cs="Times New Roman"/>
              </w:rPr>
            </w:pPr>
          </w:p>
          <w:p w14:paraId="37EADA24" w14:textId="77777777" w:rsidR="00383D96" w:rsidRPr="00190F49" w:rsidRDefault="00383D96" w:rsidP="00190F49">
            <w:pPr>
              <w:spacing w:after="0" w:line="240" w:lineRule="auto"/>
              <w:rPr>
                <w:rFonts w:ascii="Times New Roman" w:hAnsi="Times New Roman" w:cs="Times New Roman"/>
              </w:rPr>
            </w:pPr>
          </w:p>
          <w:p w14:paraId="12C1028F" w14:textId="77777777" w:rsidR="00383D96" w:rsidRPr="00190F49" w:rsidRDefault="00383D96" w:rsidP="00190F49">
            <w:pPr>
              <w:spacing w:after="0" w:line="240" w:lineRule="auto"/>
              <w:rPr>
                <w:rFonts w:ascii="Times New Roman" w:hAnsi="Times New Roman" w:cs="Times New Roman"/>
              </w:rPr>
            </w:pPr>
          </w:p>
          <w:p w14:paraId="4022771A" w14:textId="77777777" w:rsidR="00383D96" w:rsidRPr="00190F49" w:rsidRDefault="00383D96" w:rsidP="00190F49">
            <w:pPr>
              <w:spacing w:after="0" w:line="240" w:lineRule="auto"/>
              <w:rPr>
                <w:rFonts w:ascii="Times New Roman" w:hAnsi="Times New Roman" w:cs="Times New Roman"/>
              </w:rPr>
            </w:pPr>
          </w:p>
          <w:p w14:paraId="03042D9A" w14:textId="77777777" w:rsidR="00383D96" w:rsidRPr="00190F49" w:rsidRDefault="00383D96" w:rsidP="00190F49">
            <w:pPr>
              <w:spacing w:after="0" w:line="240" w:lineRule="auto"/>
              <w:rPr>
                <w:rFonts w:ascii="Times New Roman" w:hAnsi="Times New Roman" w:cs="Times New Roman"/>
              </w:rPr>
            </w:pPr>
          </w:p>
          <w:p w14:paraId="4A55215E" w14:textId="77777777" w:rsidR="00383D96" w:rsidRPr="00190F49" w:rsidRDefault="00383D96" w:rsidP="00190F49">
            <w:pPr>
              <w:spacing w:after="0" w:line="240" w:lineRule="auto"/>
              <w:rPr>
                <w:rFonts w:ascii="Times New Roman" w:hAnsi="Times New Roman" w:cs="Times New Roman"/>
              </w:rPr>
            </w:pPr>
          </w:p>
          <w:p w14:paraId="4BD4131D" w14:textId="77777777" w:rsidR="00383D96" w:rsidRPr="00190F49" w:rsidRDefault="00383D96" w:rsidP="00190F49">
            <w:pPr>
              <w:spacing w:after="0" w:line="240" w:lineRule="auto"/>
              <w:rPr>
                <w:rFonts w:ascii="Times New Roman" w:hAnsi="Times New Roman" w:cs="Times New Roman"/>
              </w:rPr>
            </w:pPr>
          </w:p>
          <w:p w14:paraId="0C1AFDBA" w14:textId="77777777" w:rsidR="0082715B" w:rsidRDefault="0082715B" w:rsidP="00190F49">
            <w:pPr>
              <w:spacing w:after="0" w:line="240" w:lineRule="auto"/>
              <w:rPr>
                <w:rFonts w:ascii="Times New Roman" w:hAnsi="Times New Roman" w:cs="Times New Roman"/>
              </w:rPr>
            </w:pPr>
          </w:p>
          <w:p w14:paraId="30276391" w14:textId="77777777" w:rsidR="0082715B" w:rsidRDefault="0082715B" w:rsidP="00190F49">
            <w:pPr>
              <w:spacing w:after="0" w:line="240" w:lineRule="auto"/>
              <w:rPr>
                <w:rFonts w:ascii="Times New Roman" w:hAnsi="Times New Roman" w:cs="Times New Roman"/>
              </w:rPr>
            </w:pPr>
          </w:p>
          <w:p w14:paraId="5678C8FA" w14:textId="77777777" w:rsidR="0082715B" w:rsidRDefault="0082715B" w:rsidP="00190F49">
            <w:pPr>
              <w:spacing w:after="0" w:line="240" w:lineRule="auto"/>
              <w:rPr>
                <w:rFonts w:ascii="Times New Roman" w:hAnsi="Times New Roman" w:cs="Times New Roman"/>
              </w:rPr>
            </w:pPr>
          </w:p>
          <w:p w14:paraId="3BB089BE" w14:textId="77777777" w:rsidR="0082715B" w:rsidRDefault="0082715B" w:rsidP="00190F49">
            <w:pPr>
              <w:spacing w:after="0" w:line="240" w:lineRule="auto"/>
              <w:rPr>
                <w:rFonts w:ascii="Times New Roman" w:hAnsi="Times New Roman" w:cs="Times New Roman"/>
              </w:rPr>
            </w:pPr>
          </w:p>
          <w:p w14:paraId="02546B09" w14:textId="77777777" w:rsidR="0082715B" w:rsidRDefault="0082715B" w:rsidP="00190F49">
            <w:pPr>
              <w:spacing w:after="0" w:line="240" w:lineRule="auto"/>
              <w:rPr>
                <w:rFonts w:ascii="Times New Roman" w:hAnsi="Times New Roman" w:cs="Times New Roman"/>
              </w:rPr>
            </w:pPr>
          </w:p>
          <w:p w14:paraId="7F36685F" w14:textId="77777777" w:rsidR="0082715B" w:rsidRDefault="0082715B" w:rsidP="00190F49">
            <w:pPr>
              <w:spacing w:after="0" w:line="240" w:lineRule="auto"/>
              <w:rPr>
                <w:rFonts w:ascii="Times New Roman" w:hAnsi="Times New Roman" w:cs="Times New Roman"/>
              </w:rPr>
            </w:pPr>
          </w:p>
          <w:p w14:paraId="22388075" w14:textId="77777777" w:rsidR="0082715B" w:rsidRDefault="0082715B" w:rsidP="00190F49">
            <w:pPr>
              <w:spacing w:after="0" w:line="240" w:lineRule="auto"/>
              <w:rPr>
                <w:rFonts w:ascii="Times New Roman" w:hAnsi="Times New Roman" w:cs="Times New Roman"/>
              </w:rPr>
            </w:pPr>
          </w:p>
          <w:p w14:paraId="06B83EC4" w14:textId="77777777" w:rsidR="0082715B" w:rsidRDefault="0082715B" w:rsidP="00190F49">
            <w:pPr>
              <w:spacing w:after="0" w:line="240" w:lineRule="auto"/>
              <w:rPr>
                <w:rFonts w:ascii="Times New Roman" w:hAnsi="Times New Roman" w:cs="Times New Roman"/>
              </w:rPr>
            </w:pPr>
          </w:p>
          <w:p w14:paraId="450EADF4" w14:textId="77777777" w:rsidR="0082715B" w:rsidRDefault="0082715B" w:rsidP="00190F49">
            <w:pPr>
              <w:spacing w:after="0" w:line="240" w:lineRule="auto"/>
              <w:rPr>
                <w:rFonts w:ascii="Times New Roman" w:hAnsi="Times New Roman" w:cs="Times New Roman"/>
              </w:rPr>
            </w:pPr>
          </w:p>
          <w:p w14:paraId="7404CC3B" w14:textId="77777777" w:rsidR="0082715B" w:rsidRDefault="0082715B" w:rsidP="00190F49">
            <w:pPr>
              <w:spacing w:after="0" w:line="240" w:lineRule="auto"/>
              <w:rPr>
                <w:rFonts w:ascii="Times New Roman" w:hAnsi="Times New Roman" w:cs="Times New Roman"/>
              </w:rPr>
            </w:pPr>
          </w:p>
          <w:p w14:paraId="04EE9685" w14:textId="77777777" w:rsidR="0082715B" w:rsidRDefault="0082715B" w:rsidP="00190F49">
            <w:pPr>
              <w:spacing w:after="0" w:line="240" w:lineRule="auto"/>
              <w:rPr>
                <w:rFonts w:ascii="Times New Roman" w:hAnsi="Times New Roman" w:cs="Times New Roman"/>
              </w:rPr>
            </w:pPr>
          </w:p>
          <w:p w14:paraId="3B8A8597" w14:textId="77777777" w:rsidR="0082715B" w:rsidRDefault="0082715B" w:rsidP="00190F49">
            <w:pPr>
              <w:spacing w:after="0" w:line="240" w:lineRule="auto"/>
              <w:rPr>
                <w:rFonts w:ascii="Times New Roman" w:hAnsi="Times New Roman" w:cs="Times New Roman"/>
              </w:rPr>
            </w:pPr>
          </w:p>
          <w:p w14:paraId="7BBDEA73" w14:textId="77777777" w:rsidR="0082715B" w:rsidRDefault="0082715B" w:rsidP="00190F49">
            <w:pPr>
              <w:spacing w:after="0" w:line="240" w:lineRule="auto"/>
              <w:rPr>
                <w:rFonts w:ascii="Times New Roman" w:hAnsi="Times New Roman" w:cs="Times New Roman"/>
              </w:rPr>
            </w:pPr>
          </w:p>
          <w:p w14:paraId="678F03C1" w14:textId="77777777" w:rsidR="0082715B" w:rsidRDefault="0082715B" w:rsidP="00190F49">
            <w:pPr>
              <w:spacing w:after="0" w:line="240" w:lineRule="auto"/>
              <w:rPr>
                <w:rFonts w:ascii="Times New Roman" w:hAnsi="Times New Roman" w:cs="Times New Roman"/>
              </w:rPr>
            </w:pPr>
          </w:p>
          <w:p w14:paraId="507AD306" w14:textId="77777777" w:rsidR="0082715B" w:rsidRDefault="0082715B" w:rsidP="00190F49">
            <w:pPr>
              <w:spacing w:after="0" w:line="240" w:lineRule="auto"/>
              <w:rPr>
                <w:rFonts w:ascii="Times New Roman" w:hAnsi="Times New Roman" w:cs="Times New Roman"/>
              </w:rPr>
            </w:pPr>
          </w:p>
          <w:p w14:paraId="46A02705" w14:textId="77777777" w:rsidR="0082715B" w:rsidRDefault="0082715B" w:rsidP="00190F49">
            <w:pPr>
              <w:spacing w:after="0" w:line="240" w:lineRule="auto"/>
              <w:rPr>
                <w:rFonts w:ascii="Times New Roman" w:hAnsi="Times New Roman" w:cs="Times New Roman"/>
              </w:rPr>
            </w:pPr>
          </w:p>
          <w:p w14:paraId="3E3C285C" w14:textId="77777777" w:rsidR="0082715B" w:rsidRDefault="0082715B" w:rsidP="00190F49">
            <w:pPr>
              <w:spacing w:after="0" w:line="240" w:lineRule="auto"/>
              <w:rPr>
                <w:rFonts w:ascii="Times New Roman" w:hAnsi="Times New Roman" w:cs="Times New Roman"/>
              </w:rPr>
            </w:pPr>
          </w:p>
          <w:p w14:paraId="033E631B" w14:textId="77777777" w:rsidR="0082715B" w:rsidRDefault="0082715B" w:rsidP="00190F49">
            <w:pPr>
              <w:spacing w:after="0" w:line="240" w:lineRule="auto"/>
              <w:rPr>
                <w:rFonts w:ascii="Times New Roman" w:hAnsi="Times New Roman" w:cs="Times New Roman"/>
              </w:rPr>
            </w:pPr>
          </w:p>
          <w:p w14:paraId="66434D0D" w14:textId="77777777" w:rsidR="0082715B" w:rsidRDefault="0082715B" w:rsidP="00190F49">
            <w:pPr>
              <w:spacing w:after="0" w:line="240" w:lineRule="auto"/>
              <w:rPr>
                <w:rFonts w:ascii="Times New Roman" w:hAnsi="Times New Roman" w:cs="Times New Roman"/>
              </w:rPr>
            </w:pPr>
          </w:p>
          <w:p w14:paraId="13714D53" w14:textId="77777777" w:rsidR="0082715B" w:rsidRDefault="0082715B" w:rsidP="00190F49">
            <w:pPr>
              <w:spacing w:after="0" w:line="240" w:lineRule="auto"/>
              <w:rPr>
                <w:rFonts w:ascii="Times New Roman" w:hAnsi="Times New Roman" w:cs="Times New Roman"/>
              </w:rPr>
            </w:pPr>
          </w:p>
          <w:p w14:paraId="0B5B3D42" w14:textId="77777777" w:rsidR="0082715B" w:rsidRDefault="0082715B" w:rsidP="00190F49">
            <w:pPr>
              <w:spacing w:after="0" w:line="240" w:lineRule="auto"/>
              <w:rPr>
                <w:rFonts w:ascii="Times New Roman" w:hAnsi="Times New Roman" w:cs="Times New Roman"/>
              </w:rPr>
            </w:pPr>
          </w:p>
          <w:p w14:paraId="17C7A40A" w14:textId="77777777" w:rsidR="0082715B" w:rsidRDefault="0082715B" w:rsidP="00190F49">
            <w:pPr>
              <w:spacing w:after="0" w:line="240" w:lineRule="auto"/>
              <w:rPr>
                <w:rFonts w:ascii="Times New Roman" w:hAnsi="Times New Roman" w:cs="Times New Roman"/>
              </w:rPr>
            </w:pPr>
          </w:p>
          <w:p w14:paraId="75F2D69A" w14:textId="77777777" w:rsidR="0082715B" w:rsidRDefault="0082715B" w:rsidP="00190F49">
            <w:pPr>
              <w:spacing w:after="0" w:line="240" w:lineRule="auto"/>
              <w:rPr>
                <w:rFonts w:ascii="Times New Roman" w:hAnsi="Times New Roman" w:cs="Times New Roman"/>
              </w:rPr>
            </w:pPr>
          </w:p>
          <w:p w14:paraId="5C8C330E" w14:textId="77777777" w:rsidR="0082715B" w:rsidRDefault="0082715B" w:rsidP="00190F49">
            <w:pPr>
              <w:spacing w:after="0" w:line="240" w:lineRule="auto"/>
              <w:rPr>
                <w:rFonts w:ascii="Times New Roman" w:hAnsi="Times New Roman" w:cs="Times New Roman"/>
              </w:rPr>
            </w:pPr>
          </w:p>
          <w:p w14:paraId="621FA3D1" w14:textId="77777777" w:rsidR="0082715B" w:rsidRDefault="0082715B" w:rsidP="00190F49">
            <w:pPr>
              <w:spacing w:after="0" w:line="240" w:lineRule="auto"/>
              <w:rPr>
                <w:rFonts w:ascii="Times New Roman" w:hAnsi="Times New Roman" w:cs="Times New Roman"/>
              </w:rPr>
            </w:pPr>
          </w:p>
          <w:p w14:paraId="0C91E1B2" w14:textId="77777777" w:rsidR="0082715B" w:rsidRDefault="0082715B" w:rsidP="00190F49">
            <w:pPr>
              <w:spacing w:after="0" w:line="240" w:lineRule="auto"/>
              <w:rPr>
                <w:rFonts w:ascii="Times New Roman" w:hAnsi="Times New Roman" w:cs="Times New Roman"/>
              </w:rPr>
            </w:pPr>
          </w:p>
          <w:p w14:paraId="435D67B2" w14:textId="77777777" w:rsidR="0082715B" w:rsidRDefault="0082715B" w:rsidP="00190F49">
            <w:pPr>
              <w:spacing w:after="0" w:line="240" w:lineRule="auto"/>
              <w:rPr>
                <w:rFonts w:ascii="Times New Roman" w:hAnsi="Times New Roman" w:cs="Times New Roman"/>
              </w:rPr>
            </w:pPr>
          </w:p>
          <w:p w14:paraId="08CC3306" w14:textId="77777777" w:rsidR="0082715B" w:rsidRDefault="0082715B" w:rsidP="00190F49">
            <w:pPr>
              <w:spacing w:after="0" w:line="240" w:lineRule="auto"/>
              <w:rPr>
                <w:rFonts w:ascii="Times New Roman" w:hAnsi="Times New Roman" w:cs="Times New Roman"/>
              </w:rPr>
            </w:pPr>
          </w:p>
          <w:p w14:paraId="2843BBAD" w14:textId="77777777" w:rsidR="0082715B" w:rsidRDefault="0082715B" w:rsidP="00190F49">
            <w:pPr>
              <w:spacing w:after="0" w:line="240" w:lineRule="auto"/>
              <w:rPr>
                <w:rFonts w:ascii="Times New Roman" w:hAnsi="Times New Roman" w:cs="Times New Roman"/>
              </w:rPr>
            </w:pPr>
          </w:p>
          <w:p w14:paraId="5768F176" w14:textId="77777777" w:rsidR="0082715B" w:rsidRDefault="0082715B" w:rsidP="00190F49">
            <w:pPr>
              <w:spacing w:after="0" w:line="240" w:lineRule="auto"/>
              <w:rPr>
                <w:rFonts w:ascii="Times New Roman" w:hAnsi="Times New Roman" w:cs="Times New Roman"/>
              </w:rPr>
            </w:pPr>
          </w:p>
          <w:p w14:paraId="68E1057E" w14:textId="77777777" w:rsidR="0082715B" w:rsidRDefault="0082715B" w:rsidP="00190F49">
            <w:pPr>
              <w:spacing w:after="0" w:line="240" w:lineRule="auto"/>
              <w:rPr>
                <w:rFonts w:ascii="Times New Roman" w:hAnsi="Times New Roman" w:cs="Times New Roman"/>
              </w:rPr>
            </w:pPr>
          </w:p>
          <w:p w14:paraId="613B2427" w14:textId="77777777" w:rsidR="0082715B" w:rsidRDefault="0082715B" w:rsidP="00190F49">
            <w:pPr>
              <w:spacing w:after="0" w:line="240" w:lineRule="auto"/>
              <w:rPr>
                <w:rFonts w:ascii="Times New Roman" w:hAnsi="Times New Roman" w:cs="Times New Roman"/>
              </w:rPr>
            </w:pPr>
          </w:p>
          <w:p w14:paraId="15A5BCA0" w14:textId="77777777" w:rsidR="0082715B" w:rsidRDefault="0082715B" w:rsidP="00190F49">
            <w:pPr>
              <w:spacing w:after="0" w:line="240" w:lineRule="auto"/>
              <w:rPr>
                <w:rFonts w:ascii="Times New Roman" w:hAnsi="Times New Roman" w:cs="Times New Roman"/>
              </w:rPr>
            </w:pPr>
          </w:p>
          <w:p w14:paraId="0764E261" w14:textId="77777777" w:rsidR="0082715B" w:rsidRDefault="0082715B" w:rsidP="00190F49">
            <w:pPr>
              <w:spacing w:after="0" w:line="240" w:lineRule="auto"/>
              <w:rPr>
                <w:rFonts w:ascii="Times New Roman" w:hAnsi="Times New Roman" w:cs="Times New Roman"/>
              </w:rPr>
            </w:pPr>
          </w:p>
          <w:p w14:paraId="68829F71" w14:textId="77777777" w:rsidR="0082715B" w:rsidRDefault="0082715B" w:rsidP="00190F49">
            <w:pPr>
              <w:spacing w:after="0" w:line="240" w:lineRule="auto"/>
              <w:rPr>
                <w:rFonts w:ascii="Times New Roman" w:hAnsi="Times New Roman" w:cs="Times New Roman"/>
              </w:rPr>
            </w:pPr>
          </w:p>
          <w:p w14:paraId="00717231" w14:textId="77777777" w:rsidR="0082715B" w:rsidRDefault="0082715B" w:rsidP="00190F49">
            <w:pPr>
              <w:spacing w:after="0" w:line="240" w:lineRule="auto"/>
              <w:rPr>
                <w:rFonts w:ascii="Times New Roman" w:hAnsi="Times New Roman" w:cs="Times New Roman"/>
              </w:rPr>
            </w:pPr>
          </w:p>
          <w:p w14:paraId="14B96566" w14:textId="77777777" w:rsidR="0082715B" w:rsidRDefault="0082715B" w:rsidP="00190F49">
            <w:pPr>
              <w:spacing w:after="0" w:line="240" w:lineRule="auto"/>
              <w:rPr>
                <w:rFonts w:ascii="Times New Roman" w:hAnsi="Times New Roman" w:cs="Times New Roman"/>
              </w:rPr>
            </w:pPr>
          </w:p>
          <w:p w14:paraId="1C7494E7" w14:textId="77777777" w:rsidR="0082715B" w:rsidRDefault="0082715B" w:rsidP="00190F49">
            <w:pPr>
              <w:spacing w:after="0" w:line="240" w:lineRule="auto"/>
              <w:rPr>
                <w:rFonts w:ascii="Times New Roman" w:hAnsi="Times New Roman" w:cs="Times New Roman"/>
              </w:rPr>
            </w:pPr>
          </w:p>
          <w:p w14:paraId="59254282" w14:textId="77777777" w:rsidR="0082715B" w:rsidRDefault="0082715B" w:rsidP="00190F49">
            <w:pPr>
              <w:spacing w:after="0" w:line="240" w:lineRule="auto"/>
              <w:rPr>
                <w:rFonts w:ascii="Times New Roman" w:hAnsi="Times New Roman" w:cs="Times New Roman"/>
              </w:rPr>
            </w:pPr>
          </w:p>
          <w:p w14:paraId="037D8D49" w14:textId="77777777" w:rsidR="0082715B" w:rsidRDefault="0082715B" w:rsidP="00190F49">
            <w:pPr>
              <w:spacing w:after="0" w:line="240" w:lineRule="auto"/>
              <w:rPr>
                <w:rFonts w:ascii="Times New Roman" w:hAnsi="Times New Roman" w:cs="Times New Roman"/>
              </w:rPr>
            </w:pPr>
          </w:p>
          <w:p w14:paraId="193A36B2" w14:textId="77777777" w:rsidR="0082715B" w:rsidRDefault="0082715B" w:rsidP="00190F49">
            <w:pPr>
              <w:spacing w:after="0" w:line="240" w:lineRule="auto"/>
              <w:rPr>
                <w:rFonts w:ascii="Times New Roman" w:hAnsi="Times New Roman" w:cs="Times New Roman"/>
              </w:rPr>
            </w:pPr>
          </w:p>
          <w:p w14:paraId="656E9A04" w14:textId="77777777" w:rsidR="0082715B" w:rsidRDefault="0082715B" w:rsidP="00190F49">
            <w:pPr>
              <w:spacing w:after="0" w:line="240" w:lineRule="auto"/>
              <w:rPr>
                <w:rFonts w:ascii="Times New Roman" w:hAnsi="Times New Roman" w:cs="Times New Roman"/>
              </w:rPr>
            </w:pPr>
          </w:p>
          <w:p w14:paraId="21BDA717" w14:textId="77777777" w:rsidR="0082715B" w:rsidRDefault="0082715B" w:rsidP="00190F49">
            <w:pPr>
              <w:spacing w:after="0" w:line="240" w:lineRule="auto"/>
              <w:rPr>
                <w:rFonts w:ascii="Times New Roman" w:hAnsi="Times New Roman" w:cs="Times New Roman"/>
              </w:rPr>
            </w:pPr>
          </w:p>
          <w:p w14:paraId="72D1F4FE" w14:textId="77777777" w:rsidR="0082715B" w:rsidRDefault="0082715B" w:rsidP="00190F49">
            <w:pPr>
              <w:spacing w:after="0" w:line="240" w:lineRule="auto"/>
              <w:rPr>
                <w:rFonts w:ascii="Times New Roman" w:hAnsi="Times New Roman" w:cs="Times New Roman"/>
              </w:rPr>
            </w:pPr>
          </w:p>
          <w:p w14:paraId="4513FD8D" w14:textId="77777777" w:rsidR="0082715B" w:rsidRDefault="0082715B" w:rsidP="00190F49">
            <w:pPr>
              <w:spacing w:after="0" w:line="240" w:lineRule="auto"/>
              <w:rPr>
                <w:rFonts w:ascii="Times New Roman" w:hAnsi="Times New Roman" w:cs="Times New Roman"/>
              </w:rPr>
            </w:pPr>
          </w:p>
          <w:p w14:paraId="41A89C8E" w14:textId="77777777" w:rsidR="0082715B" w:rsidRDefault="0082715B" w:rsidP="00190F49">
            <w:pPr>
              <w:spacing w:after="0" w:line="240" w:lineRule="auto"/>
              <w:rPr>
                <w:rFonts w:ascii="Times New Roman" w:hAnsi="Times New Roman" w:cs="Times New Roman"/>
              </w:rPr>
            </w:pPr>
          </w:p>
          <w:p w14:paraId="74EED525" w14:textId="77777777" w:rsidR="0082715B" w:rsidRDefault="0082715B" w:rsidP="00190F49">
            <w:pPr>
              <w:spacing w:after="0" w:line="240" w:lineRule="auto"/>
              <w:rPr>
                <w:rFonts w:ascii="Times New Roman" w:hAnsi="Times New Roman" w:cs="Times New Roman"/>
              </w:rPr>
            </w:pPr>
          </w:p>
          <w:p w14:paraId="3DDA583E" w14:textId="77777777" w:rsidR="0082715B" w:rsidRDefault="0082715B" w:rsidP="00190F49">
            <w:pPr>
              <w:spacing w:after="0" w:line="240" w:lineRule="auto"/>
              <w:rPr>
                <w:rFonts w:ascii="Times New Roman" w:hAnsi="Times New Roman" w:cs="Times New Roman"/>
              </w:rPr>
            </w:pPr>
          </w:p>
          <w:p w14:paraId="266F12C3" w14:textId="77777777" w:rsidR="0082715B" w:rsidRDefault="0082715B" w:rsidP="00190F49">
            <w:pPr>
              <w:spacing w:after="0" w:line="240" w:lineRule="auto"/>
              <w:rPr>
                <w:rFonts w:ascii="Times New Roman" w:hAnsi="Times New Roman" w:cs="Times New Roman"/>
              </w:rPr>
            </w:pPr>
          </w:p>
          <w:p w14:paraId="501F78F9" w14:textId="77777777" w:rsidR="0082715B" w:rsidRDefault="0082715B" w:rsidP="00190F49">
            <w:pPr>
              <w:spacing w:after="0" w:line="240" w:lineRule="auto"/>
              <w:rPr>
                <w:rFonts w:ascii="Times New Roman" w:hAnsi="Times New Roman" w:cs="Times New Roman"/>
              </w:rPr>
            </w:pPr>
          </w:p>
          <w:p w14:paraId="1C841C25" w14:textId="77777777" w:rsidR="0082715B" w:rsidRDefault="0082715B" w:rsidP="00190F49">
            <w:pPr>
              <w:spacing w:after="0" w:line="240" w:lineRule="auto"/>
              <w:rPr>
                <w:rFonts w:ascii="Times New Roman" w:hAnsi="Times New Roman" w:cs="Times New Roman"/>
              </w:rPr>
            </w:pPr>
          </w:p>
          <w:p w14:paraId="76EEC517" w14:textId="77777777" w:rsidR="0082715B" w:rsidRDefault="0082715B" w:rsidP="00190F49">
            <w:pPr>
              <w:spacing w:after="0" w:line="240" w:lineRule="auto"/>
              <w:rPr>
                <w:rFonts w:ascii="Times New Roman" w:hAnsi="Times New Roman" w:cs="Times New Roman"/>
              </w:rPr>
            </w:pPr>
          </w:p>
          <w:p w14:paraId="05365399" w14:textId="77777777" w:rsidR="0082715B" w:rsidRDefault="0082715B" w:rsidP="00190F49">
            <w:pPr>
              <w:spacing w:after="0" w:line="240" w:lineRule="auto"/>
              <w:rPr>
                <w:rFonts w:ascii="Times New Roman" w:hAnsi="Times New Roman" w:cs="Times New Roman"/>
              </w:rPr>
            </w:pPr>
          </w:p>
          <w:p w14:paraId="5E7BF426" w14:textId="77777777" w:rsidR="0082715B" w:rsidRDefault="0082715B" w:rsidP="00190F49">
            <w:pPr>
              <w:spacing w:after="0" w:line="240" w:lineRule="auto"/>
              <w:rPr>
                <w:rFonts w:ascii="Times New Roman" w:hAnsi="Times New Roman" w:cs="Times New Roman"/>
              </w:rPr>
            </w:pPr>
          </w:p>
          <w:p w14:paraId="72816183" w14:textId="77777777" w:rsidR="0082715B" w:rsidRDefault="0082715B" w:rsidP="00190F49">
            <w:pPr>
              <w:spacing w:after="0" w:line="240" w:lineRule="auto"/>
              <w:rPr>
                <w:rFonts w:ascii="Times New Roman" w:hAnsi="Times New Roman" w:cs="Times New Roman"/>
              </w:rPr>
            </w:pPr>
          </w:p>
          <w:p w14:paraId="18128F99" w14:textId="77777777" w:rsidR="0082715B" w:rsidRDefault="0082715B" w:rsidP="00190F49">
            <w:pPr>
              <w:spacing w:after="0" w:line="240" w:lineRule="auto"/>
              <w:rPr>
                <w:rFonts w:ascii="Times New Roman" w:hAnsi="Times New Roman" w:cs="Times New Roman"/>
              </w:rPr>
            </w:pPr>
          </w:p>
          <w:p w14:paraId="0E02DE7E" w14:textId="77777777" w:rsidR="0082715B" w:rsidRDefault="0082715B" w:rsidP="00190F49">
            <w:pPr>
              <w:spacing w:after="0" w:line="240" w:lineRule="auto"/>
              <w:rPr>
                <w:rFonts w:ascii="Times New Roman" w:hAnsi="Times New Roman" w:cs="Times New Roman"/>
              </w:rPr>
            </w:pPr>
          </w:p>
          <w:p w14:paraId="66EAAB60" w14:textId="77777777" w:rsidR="0082715B" w:rsidRDefault="0082715B" w:rsidP="00190F49">
            <w:pPr>
              <w:spacing w:after="0" w:line="240" w:lineRule="auto"/>
              <w:rPr>
                <w:rFonts w:ascii="Times New Roman" w:hAnsi="Times New Roman" w:cs="Times New Roman"/>
              </w:rPr>
            </w:pPr>
          </w:p>
          <w:p w14:paraId="25B8C785" w14:textId="77777777" w:rsidR="0082715B" w:rsidRDefault="0082715B" w:rsidP="00190F49">
            <w:pPr>
              <w:spacing w:after="0" w:line="240" w:lineRule="auto"/>
              <w:rPr>
                <w:rFonts w:ascii="Times New Roman" w:hAnsi="Times New Roman" w:cs="Times New Roman"/>
              </w:rPr>
            </w:pPr>
          </w:p>
          <w:p w14:paraId="541B292E" w14:textId="77777777" w:rsidR="0082715B" w:rsidRDefault="0082715B" w:rsidP="00190F49">
            <w:pPr>
              <w:spacing w:after="0" w:line="240" w:lineRule="auto"/>
              <w:rPr>
                <w:rFonts w:ascii="Times New Roman" w:hAnsi="Times New Roman" w:cs="Times New Roman"/>
              </w:rPr>
            </w:pPr>
          </w:p>
          <w:p w14:paraId="0CA44F33" w14:textId="77777777" w:rsidR="0082715B" w:rsidRDefault="0082715B" w:rsidP="00190F49">
            <w:pPr>
              <w:spacing w:after="0" w:line="240" w:lineRule="auto"/>
              <w:rPr>
                <w:rFonts w:ascii="Times New Roman" w:hAnsi="Times New Roman" w:cs="Times New Roman"/>
              </w:rPr>
            </w:pPr>
          </w:p>
          <w:p w14:paraId="2517BD0B" w14:textId="77777777" w:rsidR="0082715B" w:rsidRDefault="0082715B" w:rsidP="00190F49">
            <w:pPr>
              <w:spacing w:after="0" w:line="240" w:lineRule="auto"/>
              <w:rPr>
                <w:rFonts w:ascii="Times New Roman" w:hAnsi="Times New Roman" w:cs="Times New Roman"/>
              </w:rPr>
            </w:pPr>
          </w:p>
          <w:p w14:paraId="3BFF3360" w14:textId="77777777" w:rsidR="0082715B" w:rsidRDefault="0082715B" w:rsidP="00190F49">
            <w:pPr>
              <w:spacing w:after="0" w:line="240" w:lineRule="auto"/>
              <w:rPr>
                <w:rFonts w:ascii="Times New Roman" w:hAnsi="Times New Roman" w:cs="Times New Roman"/>
              </w:rPr>
            </w:pPr>
          </w:p>
          <w:p w14:paraId="11066921" w14:textId="77777777" w:rsidR="0082715B" w:rsidRDefault="0082715B" w:rsidP="00190F49">
            <w:pPr>
              <w:spacing w:after="0" w:line="240" w:lineRule="auto"/>
              <w:rPr>
                <w:rFonts w:ascii="Times New Roman" w:hAnsi="Times New Roman" w:cs="Times New Roman"/>
              </w:rPr>
            </w:pPr>
          </w:p>
          <w:p w14:paraId="7F902907" w14:textId="77777777" w:rsidR="0082715B" w:rsidRDefault="0082715B" w:rsidP="00190F49">
            <w:pPr>
              <w:spacing w:after="0" w:line="240" w:lineRule="auto"/>
              <w:rPr>
                <w:rFonts w:ascii="Times New Roman" w:hAnsi="Times New Roman" w:cs="Times New Roman"/>
              </w:rPr>
            </w:pPr>
          </w:p>
          <w:p w14:paraId="330DD7B9" w14:textId="77777777" w:rsidR="0082715B" w:rsidRDefault="0082715B" w:rsidP="00190F49">
            <w:pPr>
              <w:spacing w:after="0" w:line="240" w:lineRule="auto"/>
              <w:rPr>
                <w:rFonts w:ascii="Times New Roman" w:hAnsi="Times New Roman" w:cs="Times New Roman"/>
              </w:rPr>
            </w:pPr>
          </w:p>
          <w:p w14:paraId="33A18644" w14:textId="77777777" w:rsidR="0082715B" w:rsidRDefault="0082715B" w:rsidP="00190F49">
            <w:pPr>
              <w:spacing w:after="0" w:line="240" w:lineRule="auto"/>
              <w:rPr>
                <w:rFonts w:ascii="Times New Roman" w:hAnsi="Times New Roman" w:cs="Times New Roman"/>
              </w:rPr>
            </w:pPr>
          </w:p>
          <w:p w14:paraId="2282D53F" w14:textId="77777777" w:rsidR="0082715B" w:rsidRDefault="0082715B" w:rsidP="00190F49">
            <w:pPr>
              <w:spacing w:after="0" w:line="240" w:lineRule="auto"/>
              <w:rPr>
                <w:rFonts w:ascii="Times New Roman" w:hAnsi="Times New Roman" w:cs="Times New Roman"/>
              </w:rPr>
            </w:pPr>
          </w:p>
          <w:p w14:paraId="59C80C4E" w14:textId="77777777" w:rsidR="0082715B" w:rsidRDefault="0082715B" w:rsidP="00190F49">
            <w:pPr>
              <w:spacing w:after="0" w:line="240" w:lineRule="auto"/>
              <w:rPr>
                <w:rFonts w:ascii="Times New Roman" w:hAnsi="Times New Roman" w:cs="Times New Roman"/>
              </w:rPr>
            </w:pPr>
          </w:p>
          <w:p w14:paraId="3C1EEA3C" w14:textId="77777777" w:rsidR="0082715B" w:rsidRDefault="0082715B" w:rsidP="00190F49">
            <w:pPr>
              <w:spacing w:after="0" w:line="240" w:lineRule="auto"/>
              <w:rPr>
                <w:rFonts w:ascii="Times New Roman" w:hAnsi="Times New Roman" w:cs="Times New Roman"/>
              </w:rPr>
            </w:pPr>
          </w:p>
          <w:p w14:paraId="4A73D181" w14:textId="77777777" w:rsidR="0082715B" w:rsidRDefault="0082715B" w:rsidP="00190F49">
            <w:pPr>
              <w:spacing w:after="0" w:line="240" w:lineRule="auto"/>
              <w:rPr>
                <w:rFonts w:ascii="Times New Roman" w:hAnsi="Times New Roman" w:cs="Times New Roman"/>
              </w:rPr>
            </w:pPr>
          </w:p>
          <w:p w14:paraId="1F8A155A" w14:textId="77777777" w:rsidR="0082715B" w:rsidRDefault="0082715B" w:rsidP="00190F49">
            <w:pPr>
              <w:spacing w:after="0" w:line="240" w:lineRule="auto"/>
              <w:rPr>
                <w:rFonts w:ascii="Times New Roman" w:hAnsi="Times New Roman" w:cs="Times New Roman"/>
              </w:rPr>
            </w:pPr>
          </w:p>
          <w:p w14:paraId="3A654B55" w14:textId="77777777" w:rsidR="0082715B" w:rsidRDefault="0082715B" w:rsidP="00190F49">
            <w:pPr>
              <w:spacing w:after="0" w:line="240" w:lineRule="auto"/>
              <w:rPr>
                <w:rFonts w:ascii="Times New Roman" w:hAnsi="Times New Roman" w:cs="Times New Roman"/>
              </w:rPr>
            </w:pPr>
          </w:p>
          <w:p w14:paraId="56A1A563" w14:textId="77777777" w:rsidR="0082715B" w:rsidRDefault="0082715B" w:rsidP="00190F49">
            <w:pPr>
              <w:spacing w:after="0" w:line="240" w:lineRule="auto"/>
              <w:rPr>
                <w:rFonts w:ascii="Times New Roman" w:hAnsi="Times New Roman" w:cs="Times New Roman"/>
              </w:rPr>
            </w:pPr>
          </w:p>
          <w:p w14:paraId="06407867" w14:textId="77777777" w:rsidR="0082715B" w:rsidRDefault="0082715B" w:rsidP="00190F49">
            <w:pPr>
              <w:spacing w:after="0" w:line="240" w:lineRule="auto"/>
              <w:rPr>
                <w:rFonts w:ascii="Times New Roman" w:hAnsi="Times New Roman" w:cs="Times New Roman"/>
              </w:rPr>
            </w:pPr>
          </w:p>
          <w:p w14:paraId="28063342" w14:textId="77777777" w:rsidR="0082715B" w:rsidRDefault="0082715B" w:rsidP="00190F49">
            <w:pPr>
              <w:spacing w:after="0" w:line="240" w:lineRule="auto"/>
              <w:rPr>
                <w:rFonts w:ascii="Times New Roman" w:hAnsi="Times New Roman" w:cs="Times New Roman"/>
              </w:rPr>
            </w:pPr>
          </w:p>
          <w:p w14:paraId="5B9B0A4B" w14:textId="77777777" w:rsidR="0082715B" w:rsidRDefault="0082715B" w:rsidP="00190F49">
            <w:pPr>
              <w:spacing w:after="0" w:line="240" w:lineRule="auto"/>
              <w:rPr>
                <w:rFonts w:ascii="Times New Roman" w:hAnsi="Times New Roman" w:cs="Times New Roman"/>
              </w:rPr>
            </w:pPr>
          </w:p>
          <w:p w14:paraId="5FE70C32" w14:textId="77777777" w:rsidR="0082715B" w:rsidRDefault="0082715B" w:rsidP="00190F49">
            <w:pPr>
              <w:spacing w:after="0" w:line="240" w:lineRule="auto"/>
              <w:rPr>
                <w:rFonts w:ascii="Times New Roman" w:hAnsi="Times New Roman" w:cs="Times New Roman"/>
              </w:rPr>
            </w:pPr>
          </w:p>
          <w:p w14:paraId="4E51B32B" w14:textId="77777777" w:rsidR="0082715B" w:rsidRDefault="0082715B" w:rsidP="00190F49">
            <w:pPr>
              <w:spacing w:after="0" w:line="240" w:lineRule="auto"/>
              <w:rPr>
                <w:rFonts w:ascii="Times New Roman" w:hAnsi="Times New Roman" w:cs="Times New Roman"/>
              </w:rPr>
            </w:pPr>
          </w:p>
          <w:p w14:paraId="2ACE87B2" w14:textId="77777777" w:rsidR="0082715B" w:rsidRDefault="0082715B" w:rsidP="00190F49">
            <w:pPr>
              <w:spacing w:after="0" w:line="240" w:lineRule="auto"/>
              <w:rPr>
                <w:rFonts w:ascii="Times New Roman" w:hAnsi="Times New Roman" w:cs="Times New Roman"/>
              </w:rPr>
            </w:pPr>
          </w:p>
          <w:p w14:paraId="230AEC5E" w14:textId="77777777" w:rsidR="0082715B" w:rsidRDefault="0082715B" w:rsidP="00190F49">
            <w:pPr>
              <w:spacing w:after="0" w:line="240" w:lineRule="auto"/>
              <w:rPr>
                <w:rFonts w:ascii="Times New Roman" w:hAnsi="Times New Roman" w:cs="Times New Roman"/>
              </w:rPr>
            </w:pPr>
          </w:p>
          <w:p w14:paraId="190BB431" w14:textId="77777777" w:rsidR="0082715B" w:rsidRDefault="0082715B" w:rsidP="00190F49">
            <w:pPr>
              <w:spacing w:after="0" w:line="240" w:lineRule="auto"/>
              <w:rPr>
                <w:rFonts w:ascii="Times New Roman" w:hAnsi="Times New Roman" w:cs="Times New Roman"/>
              </w:rPr>
            </w:pPr>
          </w:p>
          <w:p w14:paraId="06913766" w14:textId="77777777" w:rsidR="0082715B" w:rsidRDefault="0082715B" w:rsidP="00190F49">
            <w:pPr>
              <w:spacing w:after="0" w:line="240" w:lineRule="auto"/>
              <w:rPr>
                <w:rFonts w:ascii="Times New Roman" w:hAnsi="Times New Roman" w:cs="Times New Roman"/>
              </w:rPr>
            </w:pPr>
          </w:p>
          <w:p w14:paraId="013EFA7F" w14:textId="77777777" w:rsidR="0082715B" w:rsidRDefault="0082715B" w:rsidP="00190F49">
            <w:pPr>
              <w:spacing w:after="0" w:line="240" w:lineRule="auto"/>
              <w:rPr>
                <w:rFonts w:ascii="Times New Roman" w:hAnsi="Times New Roman" w:cs="Times New Roman"/>
              </w:rPr>
            </w:pPr>
          </w:p>
          <w:p w14:paraId="2C2C3DCB" w14:textId="77777777" w:rsidR="0082715B" w:rsidRDefault="0082715B" w:rsidP="00190F49">
            <w:pPr>
              <w:spacing w:after="0" w:line="240" w:lineRule="auto"/>
              <w:rPr>
                <w:rFonts w:ascii="Times New Roman" w:hAnsi="Times New Roman" w:cs="Times New Roman"/>
              </w:rPr>
            </w:pPr>
          </w:p>
          <w:p w14:paraId="3F65B31B" w14:textId="77777777" w:rsidR="0082715B" w:rsidRDefault="0082715B" w:rsidP="00190F49">
            <w:pPr>
              <w:spacing w:after="0" w:line="240" w:lineRule="auto"/>
              <w:rPr>
                <w:rFonts w:ascii="Times New Roman" w:hAnsi="Times New Roman" w:cs="Times New Roman"/>
              </w:rPr>
            </w:pPr>
          </w:p>
          <w:p w14:paraId="5BA089F7" w14:textId="77777777" w:rsidR="0082715B" w:rsidRDefault="0082715B" w:rsidP="00190F49">
            <w:pPr>
              <w:spacing w:after="0" w:line="240" w:lineRule="auto"/>
              <w:rPr>
                <w:rFonts w:ascii="Times New Roman" w:hAnsi="Times New Roman" w:cs="Times New Roman"/>
              </w:rPr>
            </w:pPr>
          </w:p>
          <w:p w14:paraId="14074122" w14:textId="77777777" w:rsidR="0082715B" w:rsidRDefault="0082715B" w:rsidP="00190F49">
            <w:pPr>
              <w:spacing w:after="0" w:line="240" w:lineRule="auto"/>
              <w:rPr>
                <w:rFonts w:ascii="Times New Roman" w:hAnsi="Times New Roman" w:cs="Times New Roman"/>
              </w:rPr>
            </w:pPr>
          </w:p>
          <w:p w14:paraId="273B0CC9" w14:textId="77777777" w:rsidR="0082715B" w:rsidRDefault="0082715B" w:rsidP="00190F49">
            <w:pPr>
              <w:spacing w:after="0" w:line="240" w:lineRule="auto"/>
              <w:rPr>
                <w:rFonts w:ascii="Times New Roman" w:hAnsi="Times New Roman" w:cs="Times New Roman"/>
              </w:rPr>
            </w:pPr>
          </w:p>
          <w:p w14:paraId="3217A183" w14:textId="77777777" w:rsidR="0082715B" w:rsidRDefault="0082715B" w:rsidP="00190F49">
            <w:pPr>
              <w:spacing w:after="0" w:line="240" w:lineRule="auto"/>
              <w:rPr>
                <w:rFonts w:ascii="Times New Roman" w:hAnsi="Times New Roman" w:cs="Times New Roman"/>
              </w:rPr>
            </w:pPr>
          </w:p>
          <w:p w14:paraId="2AE484AC" w14:textId="77777777" w:rsidR="0082715B" w:rsidRDefault="0082715B" w:rsidP="00190F49">
            <w:pPr>
              <w:spacing w:after="0" w:line="240" w:lineRule="auto"/>
              <w:rPr>
                <w:rFonts w:ascii="Times New Roman" w:hAnsi="Times New Roman" w:cs="Times New Roman"/>
              </w:rPr>
            </w:pPr>
          </w:p>
          <w:p w14:paraId="116DD516" w14:textId="77777777" w:rsidR="0082715B" w:rsidRDefault="0082715B" w:rsidP="00190F49">
            <w:pPr>
              <w:spacing w:after="0" w:line="240" w:lineRule="auto"/>
              <w:rPr>
                <w:rFonts w:ascii="Times New Roman" w:hAnsi="Times New Roman" w:cs="Times New Roman"/>
              </w:rPr>
            </w:pPr>
          </w:p>
          <w:p w14:paraId="0417014C" w14:textId="77777777" w:rsidR="0082715B" w:rsidRDefault="0082715B" w:rsidP="00190F49">
            <w:pPr>
              <w:spacing w:after="0" w:line="240" w:lineRule="auto"/>
              <w:rPr>
                <w:rFonts w:ascii="Times New Roman" w:hAnsi="Times New Roman" w:cs="Times New Roman"/>
              </w:rPr>
            </w:pPr>
          </w:p>
          <w:p w14:paraId="79B362E2" w14:textId="77777777" w:rsidR="0082715B" w:rsidRDefault="0082715B" w:rsidP="00190F49">
            <w:pPr>
              <w:spacing w:after="0" w:line="240" w:lineRule="auto"/>
              <w:rPr>
                <w:rFonts w:ascii="Times New Roman" w:hAnsi="Times New Roman" w:cs="Times New Roman"/>
              </w:rPr>
            </w:pPr>
          </w:p>
          <w:p w14:paraId="07F24BE8" w14:textId="77777777" w:rsidR="0082715B" w:rsidRDefault="0082715B" w:rsidP="00190F49">
            <w:pPr>
              <w:spacing w:after="0" w:line="240" w:lineRule="auto"/>
              <w:rPr>
                <w:rFonts w:ascii="Times New Roman" w:hAnsi="Times New Roman" w:cs="Times New Roman"/>
              </w:rPr>
            </w:pPr>
          </w:p>
          <w:p w14:paraId="1A57C608" w14:textId="77777777" w:rsidR="0082715B" w:rsidRDefault="0082715B" w:rsidP="00190F49">
            <w:pPr>
              <w:spacing w:after="0" w:line="240" w:lineRule="auto"/>
              <w:rPr>
                <w:rFonts w:ascii="Times New Roman" w:hAnsi="Times New Roman" w:cs="Times New Roman"/>
              </w:rPr>
            </w:pPr>
          </w:p>
          <w:p w14:paraId="369AF74F" w14:textId="77777777" w:rsidR="0082715B" w:rsidRDefault="0082715B" w:rsidP="00190F49">
            <w:pPr>
              <w:spacing w:after="0" w:line="240" w:lineRule="auto"/>
              <w:rPr>
                <w:rFonts w:ascii="Times New Roman" w:hAnsi="Times New Roman" w:cs="Times New Roman"/>
              </w:rPr>
            </w:pPr>
          </w:p>
          <w:p w14:paraId="2AB9C76A" w14:textId="77777777" w:rsidR="0082715B" w:rsidRDefault="0082715B" w:rsidP="00190F49">
            <w:pPr>
              <w:spacing w:after="0" w:line="240" w:lineRule="auto"/>
              <w:rPr>
                <w:rFonts w:ascii="Times New Roman" w:hAnsi="Times New Roman" w:cs="Times New Roman"/>
              </w:rPr>
            </w:pPr>
          </w:p>
          <w:p w14:paraId="639CC5A0" w14:textId="77777777" w:rsidR="0082715B" w:rsidRDefault="0082715B" w:rsidP="00190F49">
            <w:pPr>
              <w:spacing w:after="0" w:line="240" w:lineRule="auto"/>
              <w:rPr>
                <w:rFonts w:ascii="Times New Roman" w:hAnsi="Times New Roman" w:cs="Times New Roman"/>
              </w:rPr>
            </w:pPr>
          </w:p>
          <w:p w14:paraId="600CCB23" w14:textId="77777777" w:rsidR="0082715B" w:rsidRDefault="0082715B" w:rsidP="00190F49">
            <w:pPr>
              <w:spacing w:after="0" w:line="240" w:lineRule="auto"/>
              <w:rPr>
                <w:rFonts w:ascii="Times New Roman" w:hAnsi="Times New Roman" w:cs="Times New Roman"/>
              </w:rPr>
            </w:pPr>
          </w:p>
          <w:p w14:paraId="76147BDE" w14:textId="77777777" w:rsidR="0082715B" w:rsidRDefault="0082715B" w:rsidP="00190F49">
            <w:pPr>
              <w:spacing w:after="0" w:line="240" w:lineRule="auto"/>
              <w:rPr>
                <w:rFonts w:ascii="Times New Roman" w:hAnsi="Times New Roman" w:cs="Times New Roman"/>
              </w:rPr>
            </w:pPr>
          </w:p>
          <w:p w14:paraId="73D7F9DA" w14:textId="77777777" w:rsidR="0082715B" w:rsidRDefault="0082715B" w:rsidP="00190F49">
            <w:pPr>
              <w:spacing w:after="0" w:line="240" w:lineRule="auto"/>
              <w:rPr>
                <w:rFonts w:ascii="Times New Roman" w:hAnsi="Times New Roman" w:cs="Times New Roman"/>
              </w:rPr>
            </w:pPr>
          </w:p>
          <w:p w14:paraId="6F492890" w14:textId="77777777" w:rsidR="0082715B" w:rsidRDefault="0082715B" w:rsidP="00190F49">
            <w:pPr>
              <w:spacing w:after="0" w:line="240" w:lineRule="auto"/>
              <w:rPr>
                <w:rFonts w:ascii="Times New Roman" w:hAnsi="Times New Roman" w:cs="Times New Roman"/>
              </w:rPr>
            </w:pPr>
          </w:p>
          <w:p w14:paraId="50A7080C" w14:textId="77777777" w:rsidR="0082715B" w:rsidRDefault="0082715B" w:rsidP="00190F49">
            <w:pPr>
              <w:spacing w:after="0" w:line="240" w:lineRule="auto"/>
              <w:rPr>
                <w:rFonts w:ascii="Times New Roman" w:hAnsi="Times New Roman" w:cs="Times New Roman"/>
              </w:rPr>
            </w:pPr>
          </w:p>
          <w:p w14:paraId="370CB83A" w14:textId="77777777" w:rsidR="0082715B" w:rsidRDefault="0082715B" w:rsidP="00190F49">
            <w:pPr>
              <w:spacing w:after="0" w:line="240" w:lineRule="auto"/>
              <w:rPr>
                <w:rFonts w:ascii="Times New Roman" w:hAnsi="Times New Roman" w:cs="Times New Roman"/>
              </w:rPr>
            </w:pPr>
          </w:p>
          <w:p w14:paraId="0933B7BE" w14:textId="77777777" w:rsidR="0082715B" w:rsidRDefault="0082715B" w:rsidP="00190F49">
            <w:pPr>
              <w:spacing w:after="0" w:line="240" w:lineRule="auto"/>
              <w:rPr>
                <w:rFonts w:ascii="Times New Roman" w:hAnsi="Times New Roman" w:cs="Times New Roman"/>
              </w:rPr>
            </w:pPr>
          </w:p>
          <w:p w14:paraId="074F9FCC" w14:textId="77777777" w:rsidR="0082715B" w:rsidRDefault="0082715B" w:rsidP="00190F49">
            <w:pPr>
              <w:spacing w:after="0" w:line="240" w:lineRule="auto"/>
              <w:rPr>
                <w:rFonts w:ascii="Times New Roman" w:hAnsi="Times New Roman" w:cs="Times New Roman"/>
              </w:rPr>
            </w:pPr>
          </w:p>
          <w:p w14:paraId="0A5412F2" w14:textId="77777777" w:rsidR="0082715B" w:rsidRDefault="0082715B" w:rsidP="00190F49">
            <w:pPr>
              <w:spacing w:after="0" w:line="240" w:lineRule="auto"/>
              <w:rPr>
                <w:rFonts w:ascii="Times New Roman" w:hAnsi="Times New Roman" w:cs="Times New Roman"/>
              </w:rPr>
            </w:pPr>
          </w:p>
          <w:p w14:paraId="5F0C0645" w14:textId="77777777" w:rsidR="0082715B" w:rsidRDefault="0082715B" w:rsidP="00190F49">
            <w:pPr>
              <w:spacing w:after="0" w:line="240" w:lineRule="auto"/>
              <w:rPr>
                <w:rFonts w:ascii="Times New Roman" w:hAnsi="Times New Roman" w:cs="Times New Roman"/>
              </w:rPr>
            </w:pPr>
          </w:p>
          <w:p w14:paraId="615DDC23" w14:textId="77777777" w:rsidR="0082715B" w:rsidRDefault="0082715B" w:rsidP="00190F49">
            <w:pPr>
              <w:spacing w:after="0" w:line="240" w:lineRule="auto"/>
              <w:rPr>
                <w:rFonts w:ascii="Times New Roman" w:hAnsi="Times New Roman" w:cs="Times New Roman"/>
              </w:rPr>
            </w:pPr>
          </w:p>
          <w:p w14:paraId="059E6804" w14:textId="77777777" w:rsidR="0082715B" w:rsidRDefault="0082715B" w:rsidP="00190F49">
            <w:pPr>
              <w:spacing w:after="0" w:line="240" w:lineRule="auto"/>
              <w:rPr>
                <w:rFonts w:ascii="Times New Roman" w:hAnsi="Times New Roman" w:cs="Times New Roman"/>
              </w:rPr>
            </w:pPr>
          </w:p>
          <w:p w14:paraId="5CBF7CC5" w14:textId="77777777" w:rsidR="0082715B" w:rsidRDefault="0082715B" w:rsidP="00190F49">
            <w:pPr>
              <w:spacing w:after="0" w:line="240" w:lineRule="auto"/>
              <w:rPr>
                <w:rFonts w:ascii="Times New Roman" w:hAnsi="Times New Roman" w:cs="Times New Roman"/>
              </w:rPr>
            </w:pPr>
          </w:p>
          <w:p w14:paraId="799EB984" w14:textId="77777777" w:rsidR="0082715B" w:rsidRDefault="0082715B" w:rsidP="00190F49">
            <w:pPr>
              <w:spacing w:after="0" w:line="240" w:lineRule="auto"/>
              <w:rPr>
                <w:rFonts w:ascii="Times New Roman" w:hAnsi="Times New Roman" w:cs="Times New Roman"/>
              </w:rPr>
            </w:pPr>
          </w:p>
          <w:p w14:paraId="5673E4EB" w14:textId="77777777" w:rsidR="004D7FA3" w:rsidRDefault="004D7FA3" w:rsidP="00190F49">
            <w:pPr>
              <w:spacing w:after="0" w:line="240" w:lineRule="auto"/>
              <w:rPr>
                <w:rFonts w:ascii="Times New Roman" w:hAnsi="Times New Roman" w:cs="Times New Roman"/>
              </w:rPr>
            </w:pPr>
          </w:p>
          <w:p w14:paraId="072AA603" w14:textId="760E6643" w:rsidR="000331E4" w:rsidRPr="00190F49" w:rsidRDefault="000331E4" w:rsidP="00190F49">
            <w:pPr>
              <w:spacing w:after="0" w:line="240" w:lineRule="auto"/>
              <w:rPr>
                <w:rFonts w:ascii="Times New Roman" w:hAnsi="Times New Roman" w:cs="Times New Roman"/>
              </w:rPr>
            </w:pPr>
          </w:p>
        </w:tc>
        <w:tc>
          <w:tcPr>
            <w:tcW w:w="4253" w:type="dxa"/>
          </w:tcPr>
          <w:p w14:paraId="5DAD0F1C" w14:textId="77777777" w:rsidR="00357CEC" w:rsidRPr="001300A9" w:rsidRDefault="00357CEC" w:rsidP="00357CEC">
            <w:pPr>
              <w:pStyle w:val="Default"/>
              <w:rPr>
                <w:sz w:val="22"/>
                <w:szCs w:val="22"/>
              </w:rPr>
            </w:pPr>
          </w:p>
          <w:p w14:paraId="7CD766C8" w14:textId="77777777" w:rsidR="00282566" w:rsidRPr="001300A9" w:rsidRDefault="00282566" w:rsidP="00357CEC">
            <w:pPr>
              <w:pStyle w:val="Default"/>
              <w:rPr>
                <w:sz w:val="22"/>
                <w:szCs w:val="22"/>
              </w:rPr>
            </w:pPr>
          </w:p>
          <w:p w14:paraId="7DB3F25C" w14:textId="77777777" w:rsidR="00282566" w:rsidRPr="001300A9" w:rsidRDefault="00282566" w:rsidP="00357CEC">
            <w:pPr>
              <w:pStyle w:val="Default"/>
              <w:rPr>
                <w:sz w:val="22"/>
                <w:szCs w:val="22"/>
              </w:rPr>
            </w:pPr>
          </w:p>
          <w:p w14:paraId="08F643E0" w14:textId="77777777" w:rsidR="00282566" w:rsidRPr="001300A9" w:rsidRDefault="00282566" w:rsidP="00357CEC">
            <w:pPr>
              <w:pStyle w:val="Default"/>
              <w:rPr>
                <w:sz w:val="22"/>
                <w:szCs w:val="22"/>
              </w:rPr>
            </w:pPr>
          </w:p>
          <w:p w14:paraId="2D3C5F02" w14:textId="77777777" w:rsidR="00282566" w:rsidRPr="001300A9" w:rsidRDefault="00282566" w:rsidP="00357CEC">
            <w:pPr>
              <w:pStyle w:val="Default"/>
              <w:rPr>
                <w:sz w:val="22"/>
                <w:szCs w:val="22"/>
              </w:rPr>
            </w:pPr>
          </w:p>
          <w:p w14:paraId="597038D9" w14:textId="77777777" w:rsidR="00282566" w:rsidRPr="001300A9" w:rsidRDefault="00282566" w:rsidP="00357CEC">
            <w:pPr>
              <w:pStyle w:val="Default"/>
              <w:rPr>
                <w:sz w:val="22"/>
                <w:szCs w:val="22"/>
              </w:rPr>
            </w:pPr>
          </w:p>
          <w:p w14:paraId="124BB550" w14:textId="77777777" w:rsidR="00282566" w:rsidRPr="001300A9" w:rsidRDefault="00282566" w:rsidP="00357CEC">
            <w:pPr>
              <w:pStyle w:val="Default"/>
              <w:rPr>
                <w:sz w:val="22"/>
                <w:szCs w:val="22"/>
              </w:rPr>
            </w:pPr>
          </w:p>
          <w:p w14:paraId="6A628BC5" w14:textId="77777777" w:rsidR="00282566" w:rsidRPr="001300A9" w:rsidRDefault="00282566" w:rsidP="00357CEC">
            <w:pPr>
              <w:pStyle w:val="Default"/>
              <w:rPr>
                <w:sz w:val="22"/>
                <w:szCs w:val="22"/>
              </w:rPr>
            </w:pPr>
          </w:p>
          <w:p w14:paraId="415C84A9" w14:textId="77777777" w:rsidR="00282566" w:rsidRPr="001300A9" w:rsidRDefault="00282566" w:rsidP="00357CEC">
            <w:pPr>
              <w:pStyle w:val="Default"/>
              <w:rPr>
                <w:sz w:val="22"/>
                <w:szCs w:val="22"/>
              </w:rPr>
            </w:pPr>
          </w:p>
          <w:p w14:paraId="3BE8216C" w14:textId="77777777" w:rsidR="00282566" w:rsidRPr="001300A9" w:rsidRDefault="00282566" w:rsidP="00357CEC">
            <w:pPr>
              <w:pStyle w:val="Default"/>
              <w:rPr>
                <w:sz w:val="22"/>
                <w:szCs w:val="22"/>
              </w:rPr>
            </w:pPr>
          </w:p>
          <w:p w14:paraId="491000EC" w14:textId="77777777" w:rsidR="00282566" w:rsidRPr="001300A9" w:rsidRDefault="00282566" w:rsidP="00357CEC">
            <w:pPr>
              <w:pStyle w:val="Default"/>
              <w:rPr>
                <w:sz w:val="22"/>
                <w:szCs w:val="22"/>
              </w:rPr>
            </w:pPr>
          </w:p>
          <w:p w14:paraId="544672B5" w14:textId="77777777" w:rsidR="00282566" w:rsidRPr="001300A9" w:rsidRDefault="00282566" w:rsidP="00357CEC">
            <w:pPr>
              <w:pStyle w:val="Default"/>
              <w:rPr>
                <w:sz w:val="22"/>
                <w:szCs w:val="22"/>
              </w:rPr>
            </w:pPr>
          </w:p>
          <w:p w14:paraId="24AAFDC9" w14:textId="77777777" w:rsidR="00282566" w:rsidRPr="001300A9" w:rsidRDefault="00282566" w:rsidP="00357CEC">
            <w:pPr>
              <w:pStyle w:val="Default"/>
              <w:rPr>
                <w:sz w:val="22"/>
                <w:szCs w:val="22"/>
              </w:rPr>
            </w:pPr>
          </w:p>
          <w:p w14:paraId="2458C9F5" w14:textId="77777777" w:rsidR="00282566" w:rsidRPr="001300A9" w:rsidRDefault="00282566" w:rsidP="00357CEC">
            <w:pPr>
              <w:pStyle w:val="Default"/>
              <w:rPr>
                <w:sz w:val="22"/>
                <w:szCs w:val="22"/>
              </w:rPr>
            </w:pPr>
          </w:p>
          <w:p w14:paraId="63675FA0" w14:textId="77777777" w:rsidR="00282566" w:rsidRPr="001300A9" w:rsidRDefault="00282566" w:rsidP="00357CEC">
            <w:pPr>
              <w:pStyle w:val="Default"/>
              <w:rPr>
                <w:sz w:val="22"/>
                <w:szCs w:val="22"/>
              </w:rPr>
            </w:pPr>
          </w:p>
          <w:p w14:paraId="0D3267A8" w14:textId="0B543640" w:rsidR="00282566" w:rsidRPr="001300A9" w:rsidRDefault="009D0AA1" w:rsidP="00357CEC">
            <w:pPr>
              <w:pStyle w:val="Default"/>
              <w:rPr>
                <w:sz w:val="22"/>
                <w:szCs w:val="22"/>
              </w:rPr>
            </w:pPr>
            <w:r>
              <w:rPr>
                <w:sz w:val="22"/>
                <w:szCs w:val="22"/>
              </w:rPr>
              <w:t xml:space="preserve">(1) </w:t>
            </w:r>
            <w:r w:rsidR="00282566" w:rsidRPr="001300A9">
              <w:rPr>
                <w:sz w:val="22"/>
                <w:szCs w:val="22"/>
              </w:rPr>
              <w:t xml:space="preserve">Regulovaný subjekt musí mať povolenie na emisie skleníkových plynov na činnosť uvedenú v prílohe č. 1 tabuľke B od 1. januára 2025. Žiadosť podľa § 6 ods. 2 a 3 je regulovaný subjekt povinný podať </w:t>
            </w:r>
            <w:r w:rsidR="00890347">
              <w:rPr>
                <w:sz w:val="22"/>
                <w:szCs w:val="22"/>
              </w:rPr>
              <w:t>bezodkladne.</w:t>
            </w:r>
          </w:p>
          <w:p w14:paraId="057DEC59" w14:textId="2A4BEEBD" w:rsidR="00011D6B" w:rsidRPr="001300A9" w:rsidRDefault="00011D6B" w:rsidP="00357CEC">
            <w:pPr>
              <w:pStyle w:val="Default"/>
              <w:rPr>
                <w:sz w:val="22"/>
                <w:szCs w:val="22"/>
              </w:rPr>
            </w:pPr>
          </w:p>
          <w:p w14:paraId="1FA54A6E" w14:textId="77777777" w:rsidR="00190F49" w:rsidRDefault="00190F49" w:rsidP="00E62D95">
            <w:pPr>
              <w:pStyle w:val="Default"/>
              <w:rPr>
                <w:sz w:val="22"/>
                <w:szCs w:val="22"/>
              </w:rPr>
            </w:pPr>
          </w:p>
          <w:p w14:paraId="6CFBA4A3" w14:textId="6F4B14CC" w:rsidR="00E62D95" w:rsidRPr="001300A9" w:rsidRDefault="009D0AA1" w:rsidP="00E62D95">
            <w:pPr>
              <w:pStyle w:val="Default"/>
              <w:rPr>
                <w:sz w:val="22"/>
                <w:szCs w:val="22"/>
              </w:rPr>
            </w:pPr>
            <w:r>
              <w:rPr>
                <w:sz w:val="22"/>
                <w:szCs w:val="22"/>
              </w:rPr>
              <w:t xml:space="preserve">(2) </w:t>
            </w:r>
            <w:r w:rsidR="00E62D95" w:rsidRPr="001300A9">
              <w:rPr>
                <w:sz w:val="22"/>
                <w:szCs w:val="22"/>
              </w:rPr>
              <w:t>Žiadosť o povolenie na emisie skleníkových plynov pre regulované subjekty obsahuje</w:t>
            </w:r>
          </w:p>
          <w:p w14:paraId="2203D9A2" w14:textId="4FD89A04" w:rsidR="002B60A4" w:rsidRDefault="002B60A4" w:rsidP="002B60A4">
            <w:pPr>
              <w:pStyle w:val="Default"/>
              <w:rPr>
                <w:sz w:val="22"/>
                <w:szCs w:val="22"/>
              </w:rPr>
            </w:pPr>
            <w:r>
              <w:rPr>
                <w:sz w:val="22"/>
                <w:szCs w:val="22"/>
              </w:rPr>
              <w:t xml:space="preserve">a) </w:t>
            </w:r>
            <w:r w:rsidRPr="002B60A4">
              <w:rPr>
                <w:sz w:val="22"/>
                <w:szCs w:val="22"/>
              </w:rPr>
              <w:t>identifikač</w:t>
            </w:r>
            <w:r>
              <w:rPr>
                <w:sz w:val="22"/>
                <w:szCs w:val="22"/>
              </w:rPr>
              <w:t>né údaje regulovaného subjektu,</w:t>
            </w:r>
          </w:p>
          <w:p w14:paraId="782C12F6" w14:textId="6DC462A2" w:rsidR="002B60A4" w:rsidRPr="00E71B63" w:rsidRDefault="002B60A4" w:rsidP="002B60A4">
            <w:pPr>
              <w:pStyle w:val="Default"/>
              <w:rPr>
                <w:sz w:val="22"/>
                <w:szCs w:val="22"/>
              </w:rPr>
            </w:pPr>
            <w:r>
              <w:rPr>
                <w:sz w:val="22"/>
                <w:szCs w:val="22"/>
              </w:rPr>
              <w:t>b</w:t>
            </w:r>
            <w:r w:rsidRPr="00E71B63">
              <w:rPr>
                <w:sz w:val="22"/>
                <w:szCs w:val="22"/>
              </w:rPr>
              <w:t xml:space="preserve">) </w:t>
            </w:r>
            <w:r w:rsidR="00E71B63" w:rsidRPr="00E71B63">
              <w:rPr>
                <w:rStyle w:val="normaltextrun"/>
                <w:sz w:val="22"/>
                <w:szCs w:val="22"/>
                <w:shd w:val="clear" w:color="auto" w:fill="FFFFFF"/>
              </w:rPr>
              <w:t>opis druhov palív (kód kombinovanej nomenklatúry), ktoré daný subjekt uvádza na trh, a ktoré sa využívajú na účely spaľovania v odvetviach uvedených v prílohe č. 1 tabuľke B, ako aj opis prostriedkov, ktoré tento subjekt využíva pri uvádzaní daných palív na trh,</w:t>
            </w:r>
          </w:p>
          <w:p w14:paraId="0CADB1D4" w14:textId="77777777" w:rsidR="00E71B63" w:rsidRPr="00E71B63" w:rsidRDefault="002B60A4" w:rsidP="002B60A4">
            <w:pPr>
              <w:pStyle w:val="Default"/>
              <w:rPr>
                <w:rStyle w:val="eop"/>
                <w:sz w:val="22"/>
                <w:szCs w:val="22"/>
                <w:shd w:val="clear" w:color="auto" w:fill="FFFFFF"/>
              </w:rPr>
            </w:pPr>
            <w:r w:rsidRPr="00E71B63">
              <w:rPr>
                <w:sz w:val="22"/>
                <w:szCs w:val="22"/>
              </w:rPr>
              <w:t xml:space="preserve">c) </w:t>
            </w:r>
            <w:r w:rsidR="00E71B63" w:rsidRPr="00E71B63">
              <w:rPr>
                <w:rStyle w:val="normaltextrun"/>
                <w:sz w:val="22"/>
                <w:szCs w:val="22"/>
                <w:shd w:val="clear" w:color="auto" w:fill="FFFFFF"/>
              </w:rPr>
              <w:t>opis konečného použitia alebo konečných použití palív uvedených na trh v prípade činnosti uvedenej v prílohe č. 1 tabuľke B,</w:t>
            </w:r>
            <w:r w:rsidR="00E71B63" w:rsidRPr="00E71B63">
              <w:rPr>
                <w:rStyle w:val="eop"/>
                <w:sz w:val="22"/>
                <w:szCs w:val="22"/>
                <w:shd w:val="clear" w:color="auto" w:fill="FFFFFF"/>
              </w:rPr>
              <w:t> </w:t>
            </w:r>
          </w:p>
          <w:p w14:paraId="1D6AE70E" w14:textId="25F03F00" w:rsidR="002B60A4" w:rsidRDefault="002B60A4" w:rsidP="002B60A4">
            <w:pPr>
              <w:pStyle w:val="Default"/>
              <w:rPr>
                <w:sz w:val="22"/>
                <w:szCs w:val="22"/>
              </w:rPr>
            </w:pPr>
            <w:r w:rsidRPr="00E71B63">
              <w:rPr>
                <w:sz w:val="22"/>
                <w:szCs w:val="22"/>
              </w:rPr>
              <w:t>d) monitorovací plán, ktorý obsahuje návrh postupu alebo schválený postup zisťovania a vykazovania</w:t>
            </w:r>
            <w:r w:rsidRPr="002B60A4">
              <w:rPr>
                <w:sz w:val="22"/>
                <w:szCs w:val="22"/>
              </w:rPr>
              <w:t xml:space="preserve"> množstva emisií skleníkových plynov podľa osobitné</w:t>
            </w:r>
            <w:r>
              <w:rPr>
                <w:sz w:val="22"/>
                <w:szCs w:val="22"/>
              </w:rPr>
              <w:t>ho predpisu</w:t>
            </w:r>
            <w:r w:rsidRPr="00E71B63">
              <w:rPr>
                <w:sz w:val="22"/>
                <w:szCs w:val="22"/>
                <w:vertAlign w:val="superscript"/>
              </w:rPr>
              <w:t>1a</w:t>
            </w:r>
            <w:r>
              <w:rPr>
                <w:sz w:val="22"/>
                <w:szCs w:val="22"/>
              </w:rPr>
              <w:t>) a prílohy č. 3a,</w:t>
            </w:r>
          </w:p>
          <w:p w14:paraId="07646240" w14:textId="6BD81494" w:rsidR="002B60A4" w:rsidRDefault="002B60A4" w:rsidP="002B60A4">
            <w:pPr>
              <w:pStyle w:val="Default"/>
              <w:rPr>
                <w:sz w:val="22"/>
                <w:szCs w:val="22"/>
              </w:rPr>
            </w:pPr>
            <w:r>
              <w:rPr>
                <w:sz w:val="22"/>
                <w:szCs w:val="22"/>
              </w:rPr>
              <w:t xml:space="preserve">e) </w:t>
            </w:r>
            <w:r w:rsidRPr="002B60A4">
              <w:rPr>
                <w:sz w:val="22"/>
                <w:szCs w:val="22"/>
              </w:rPr>
              <w:t>netechnické zhrnuti</w:t>
            </w:r>
            <w:r w:rsidR="00E71B63">
              <w:rPr>
                <w:sz w:val="22"/>
                <w:szCs w:val="22"/>
              </w:rPr>
              <w:t>e údajov uvedených v písmenách a</w:t>
            </w:r>
            <w:r w:rsidRPr="002B60A4">
              <w:rPr>
                <w:sz w:val="22"/>
                <w:szCs w:val="22"/>
              </w:rPr>
              <w:t>) až d).</w:t>
            </w:r>
          </w:p>
          <w:p w14:paraId="26288EDB" w14:textId="5C1FDD0B" w:rsidR="00287825" w:rsidRDefault="00287825" w:rsidP="00E62D95">
            <w:pPr>
              <w:pStyle w:val="Default"/>
              <w:rPr>
                <w:sz w:val="22"/>
                <w:szCs w:val="22"/>
              </w:rPr>
            </w:pPr>
          </w:p>
          <w:p w14:paraId="4D6FCDA1" w14:textId="77777777" w:rsidR="00E71B63" w:rsidRPr="001300A9" w:rsidRDefault="00E71B63" w:rsidP="00E62D95">
            <w:pPr>
              <w:pStyle w:val="Default"/>
              <w:rPr>
                <w:sz w:val="22"/>
                <w:szCs w:val="22"/>
              </w:rPr>
            </w:pPr>
          </w:p>
          <w:p w14:paraId="376660F5" w14:textId="7D888FE8" w:rsidR="5F673433" w:rsidRDefault="5F673433" w:rsidP="5F673433">
            <w:pPr>
              <w:pStyle w:val="Default"/>
              <w:rPr>
                <w:sz w:val="22"/>
                <w:szCs w:val="22"/>
              </w:rPr>
            </w:pPr>
          </w:p>
          <w:p w14:paraId="7E1E285E" w14:textId="11B964C3" w:rsidR="00D82E61" w:rsidRDefault="009D0AA1" w:rsidP="0049088A">
            <w:pPr>
              <w:pStyle w:val="Default"/>
              <w:rPr>
                <w:sz w:val="22"/>
                <w:szCs w:val="22"/>
              </w:rPr>
            </w:pPr>
            <w:r>
              <w:rPr>
                <w:sz w:val="22"/>
                <w:szCs w:val="22"/>
              </w:rPr>
              <w:t xml:space="preserve">(1) </w:t>
            </w:r>
            <w:r w:rsidR="00E71B63">
              <w:rPr>
                <w:sz w:val="22"/>
                <w:szCs w:val="22"/>
              </w:rPr>
              <w:t>O</w:t>
            </w:r>
            <w:r w:rsidR="00E71B63" w:rsidRPr="00E71B63">
              <w:rPr>
                <w:sz w:val="22"/>
                <w:szCs w:val="22"/>
              </w:rPr>
              <w:t>kresný úrad v sídle kraja na základe žiadosti podľa § 6 ods. 2 vydá regulovanému subjektu povolenie na emisie skleníkových plynov, ak regulovaný subjekt spĺňa požiadavky na monitorovanie emisií skleníkových plynov a na podávanie správ podľa osobitného predpisu</w:t>
            </w:r>
            <w:r w:rsidR="00475AC8" w:rsidRPr="001300A9">
              <w:rPr>
                <w:sz w:val="22"/>
                <w:szCs w:val="22"/>
              </w:rPr>
              <w:t>.</w:t>
            </w:r>
            <w:r w:rsidR="00475AC8" w:rsidRPr="001300A9">
              <w:rPr>
                <w:sz w:val="22"/>
                <w:szCs w:val="22"/>
                <w:vertAlign w:val="superscript"/>
              </w:rPr>
              <w:t>1a</w:t>
            </w:r>
            <w:r w:rsidR="00475AC8" w:rsidRPr="001300A9">
              <w:rPr>
                <w:sz w:val="22"/>
                <w:szCs w:val="22"/>
              </w:rPr>
              <w:t>)</w:t>
            </w:r>
          </w:p>
          <w:p w14:paraId="19709F9F" w14:textId="77777777" w:rsidR="00D82E61" w:rsidRDefault="00D82E61" w:rsidP="0049088A">
            <w:pPr>
              <w:pStyle w:val="Default"/>
              <w:rPr>
                <w:sz w:val="22"/>
                <w:szCs w:val="22"/>
              </w:rPr>
            </w:pPr>
          </w:p>
          <w:p w14:paraId="5012F492" w14:textId="77777777" w:rsidR="00D82E61" w:rsidRDefault="00D82E61" w:rsidP="0049088A">
            <w:pPr>
              <w:pStyle w:val="Default"/>
              <w:rPr>
                <w:sz w:val="22"/>
                <w:szCs w:val="22"/>
              </w:rPr>
            </w:pPr>
          </w:p>
          <w:p w14:paraId="63F4E0D9" w14:textId="1D7C9954" w:rsidR="0049088A" w:rsidRPr="001300A9" w:rsidRDefault="0049088A" w:rsidP="0049088A">
            <w:pPr>
              <w:pStyle w:val="Default"/>
              <w:rPr>
                <w:sz w:val="22"/>
                <w:szCs w:val="22"/>
              </w:rPr>
            </w:pPr>
            <w:r w:rsidRPr="001300A9">
              <w:rPr>
                <w:sz w:val="22"/>
                <w:szCs w:val="22"/>
              </w:rPr>
              <w:t>Povolenie na emisie skleníkových plynov pre regulované subjekty okrem všeobecných náležitostí rozhodnutia</w:t>
            </w:r>
            <w:r w:rsidRPr="001300A9">
              <w:rPr>
                <w:sz w:val="22"/>
                <w:szCs w:val="22"/>
                <w:vertAlign w:val="superscript"/>
              </w:rPr>
              <w:t>3</w:t>
            </w:r>
            <w:r w:rsidRPr="001300A9">
              <w:rPr>
                <w:sz w:val="22"/>
                <w:szCs w:val="22"/>
              </w:rPr>
              <w:t>) obsahuje</w:t>
            </w:r>
          </w:p>
          <w:p w14:paraId="4462C6FD" w14:textId="5700FD69" w:rsidR="0049088A" w:rsidRPr="00E71B63" w:rsidRDefault="002B60A4" w:rsidP="0049088A">
            <w:pPr>
              <w:pStyle w:val="Default"/>
              <w:rPr>
                <w:sz w:val="22"/>
                <w:szCs w:val="22"/>
              </w:rPr>
            </w:pPr>
            <w:r>
              <w:rPr>
                <w:sz w:val="22"/>
                <w:szCs w:val="22"/>
              </w:rPr>
              <w:t xml:space="preserve">a) </w:t>
            </w:r>
            <w:r w:rsidR="0049088A" w:rsidRPr="00E71B63">
              <w:rPr>
                <w:sz w:val="22"/>
                <w:szCs w:val="22"/>
              </w:rPr>
              <w:t>názov a adresu regulovaného subjektu,</w:t>
            </w:r>
          </w:p>
          <w:p w14:paraId="1C78AFCE" w14:textId="3AC63C39" w:rsidR="0049088A" w:rsidRPr="00E71B63" w:rsidRDefault="002B60A4" w:rsidP="0049088A">
            <w:pPr>
              <w:pStyle w:val="Default"/>
              <w:rPr>
                <w:sz w:val="22"/>
                <w:szCs w:val="22"/>
              </w:rPr>
            </w:pPr>
            <w:r w:rsidRPr="00E71B63">
              <w:rPr>
                <w:sz w:val="22"/>
                <w:szCs w:val="22"/>
              </w:rPr>
              <w:t xml:space="preserve">b) </w:t>
            </w:r>
            <w:r w:rsidR="00E71B63" w:rsidRPr="00E71B63">
              <w:rPr>
                <w:rStyle w:val="normaltextrun"/>
                <w:sz w:val="22"/>
                <w:szCs w:val="22"/>
                <w:shd w:val="clear" w:color="auto" w:fill="FFFFFF"/>
              </w:rPr>
              <w:t>opis prostriedkov, ktoré regulovaný subjekt využíva pri uvádzaní palív na trh v odvetviach, na ktoré sa vzťahuje príloha č. 1 tabuľka B,</w:t>
            </w:r>
            <w:r w:rsidR="00E71B63" w:rsidRPr="00E71B63">
              <w:rPr>
                <w:rStyle w:val="eop"/>
                <w:sz w:val="22"/>
                <w:szCs w:val="22"/>
                <w:shd w:val="clear" w:color="auto" w:fill="FFFFFF"/>
              </w:rPr>
              <w:t> </w:t>
            </w:r>
          </w:p>
          <w:p w14:paraId="5CFD27C8" w14:textId="3D4203B6" w:rsidR="0049088A" w:rsidRPr="00E71B63" w:rsidRDefault="002B60A4" w:rsidP="0049088A">
            <w:pPr>
              <w:pStyle w:val="Default"/>
              <w:rPr>
                <w:sz w:val="22"/>
                <w:szCs w:val="22"/>
              </w:rPr>
            </w:pPr>
            <w:r w:rsidRPr="00E71B63">
              <w:rPr>
                <w:sz w:val="22"/>
                <w:szCs w:val="22"/>
              </w:rPr>
              <w:t xml:space="preserve">c) </w:t>
            </w:r>
            <w:r w:rsidR="00E71B63" w:rsidRPr="00E71B63">
              <w:rPr>
                <w:rStyle w:val="normaltextrun"/>
                <w:sz w:val="22"/>
                <w:szCs w:val="22"/>
                <w:shd w:val="clear" w:color="auto" w:fill="FFFFFF"/>
              </w:rPr>
              <w:t>zoznam palív, ktoré regulovaný subjekt uvádza na trh v odvetviach, na ktoré sa vzťahuje príloha č. 1 tabuľka B,</w:t>
            </w:r>
          </w:p>
          <w:p w14:paraId="76EC1B77" w14:textId="1B1E632E" w:rsidR="0049088A" w:rsidRPr="00E71B63" w:rsidRDefault="002B60A4" w:rsidP="0049088A">
            <w:pPr>
              <w:pStyle w:val="Default"/>
              <w:rPr>
                <w:sz w:val="22"/>
                <w:szCs w:val="22"/>
              </w:rPr>
            </w:pPr>
            <w:r w:rsidRPr="00E71B63">
              <w:rPr>
                <w:sz w:val="22"/>
                <w:szCs w:val="22"/>
              </w:rPr>
              <w:t xml:space="preserve">d) </w:t>
            </w:r>
            <w:r w:rsidR="0049088A" w:rsidRPr="00E71B63">
              <w:rPr>
                <w:sz w:val="22"/>
                <w:szCs w:val="22"/>
              </w:rPr>
              <w:t>monitorovací plán, ktorý spĺňa požiadavky podľa osobitného predpisu</w:t>
            </w:r>
            <w:r w:rsidR="0049088A" w:rsidRPr="00E71B63">
              <w:rPr>
                <w:sz w:val="22"/>
                <w:szCs w:val="22"/>
                <w:vertAlign w:val="superscript"/>
              </w:rPr>
              <w:t>1a</w:t>
            </w:r>
            <w:r w:rsidR="0049088A" w:rsidRPr="00E71B63">
              <w:rPr>
                <w:sz w:val="22"/>
                <w:szCs w:val="22"/>
              </w:rPr>
              <w:t>) a prílohy č. 3a,</w:t>
            </w:r>
          </w:p>
          <w:p w14:paraId="5AE68F14" w14:textId="7EA242F6" w:rsidR="0049088A" w:rsidRPr="00E71B63" w:rsidRDefault="002B60A4" w:rsidP="0049088A">
            <w:pPr>
              <w:pStyle w:val="Default"/>
              <w:rPr>
                <w:sz w:val="22"/>
                <w:szCs w:val="22"/>
              </w:rPr>
            </w:pPr>
            <w:r w:rsidRPr="00E71B63">
              <w:rPr>
                <w:sz w:val="22"/>
                <w:szCs w:val="22"/>
              </w:rPr>
              <w:t xml:space="preserve">e) </w:t>
            </w:r>
            <w:r w:rsidR="00E71B63" w:rsidRPr="00E71B63">
              <w:rPr>
                <w:rStyle w:val="normaltextrun"/>
                <w:sz w:val="22"/>
                <w:szCs w:val="22"/>
                <w:shd w:val="clear" w:color="auto" w:fill="FFFFFF"/>
              </w:rPr>
              <w:t>požiadavky na podávanie správ o emisiách skleníkových plynov podľa osobitného predpisu</w:t>
            </w:r>
            <w:r w:rsidR="0049088A" w:rsidRPr="00E71B63">
              <w:rPr>
                <w:sz w:val="22"/>
                <w:szCs w:val="22"/>
              </w:rPr>
              <w:t>,</w:t>
            </w:r>
            <w:r w:rsidR="0049088A" w:rsidRPr="00E71B63">
              <w:rPr>
                <w:sz w:val="22"/>
                <w:szCs w:val="22"/>
                <w:vertAlign w:val="superscript"/>
              </w:rPr>
              <w:t>1a</w:t>
            </w:r>
            <w:r w:rsidR="0049088A" w:rsidRPr="00E71B63">
              <w:rPr>
                <w:sz w:val="22"/>
                <w:szCs w:val="22"/>
              </w:rPr>
              <w:t>)</w:t>
            </w:r>
          </w:p>
          <w:p w14:paraId="678E3EDE" w14:textId="5FE58A97" w:rsidR="009D0AA1" w:rsidRPr="00E71B63" w:rsidRDefault="009D0AA1" w:rsidP="00F13A0B">
            <w:pPr>
              <w:pStyle w:val="Default"/>
              <w:rPr>
                <w:sz w:val="22"/>
                <w:szCs w:val="22"/>
              </w:rPr>
            </w:pPr>
          </w:p>
          <w:p w14:paraId="0402A803" w14:textId="655EA9B1" w:rsidR="00E71B63" w:rsidRPr="00E71B63" w:rsidRDefault="00E71B63" w:rsidP="00F13A0B">
            <w:pPr>
              <w:pStyle w:val="Default"/>
              <w:rPr>
                <w:sz w:val="22"/>
                <w:szCs w:val="22"/>
              </w:rPr>
            </w:pPr>
          </w:p>
          <w:p w14:paraId="7BA0E2BC" w14:textId="7CD975BB" w:rsidR="00E71B63" w:rsidRPr="00E71B63" w:rsidRDefault="00E71B63" w:rsidP="00F13A0B">
            <w:pPr>
              <w:pStyle w:val="Default"/>
              <w:rPr>
                <w:sz w:val="22"/>
                <w:szCs w:val="22"/>
              </w:rPr>
            </w:pPr>
          </w:p>
          <w:p w14:paraId="3D867395" w14:textId="1137F927" w:rsidR="00E71B63" w:rsidRDefault="00E71B63" w:rsidP="00F13A0B">
            <w:pPr>
              <w:pStyle w:val="Default"/>
              <w:rPr>
                <w:sz w:val="22"/>
                <w:szCs w:val="22"/>
              </w:rPr>
            </w:pPr>
          </w:p>
          <w:p w14:paraId="2B5E00F2" w14:textId="77777777" w:rsidR="00E71B63" w:rsidRDefault="00E71B63" w:rsidP="00F13A0B">
            <w:pPr>
              <w:pStyle w:val="Default"/>
              <w:rPr>
                <w:sz w:val="22"/>
                <w:szCs w:val="22"/>
              </w:rPr>
            </w:pPr>
          </w:p>
          <w:p w14:paraId="2996483D" w14:textId="77777777" w:rsidR="00E71B63" w:rsidRDefault="00E71B63" w:rsidP="00F13A0B">
            <w:pPr>
              <w:pStyle w:val="Default"/>
              <w:rPr>
                <w:sz w:val="22"/>
                <w:szCs w:val="22"/>
              </w:rPr>
            </w:pPr>
          </w:p>
          <w:p w14:paraId="386C091A" w14:textId="6520AD8D" w:rsidR="009D0AA1" w:rsidRDefault="009D0AA1" w:rsidP="009D0AA1">
            <w:pPr>
              <w:pStyle w:val="Default"/>
              <w:rPr>
                <w:sz w:val="22"/>
                <w:szCs w:val="22"/>
              </w:rPr>
            </w:pPr>
            <w:r w:rsidRPr="4792BE4F">
              <w:rPr>
                <w:sz w:val="22"/>
                <w:szCs w:val="22"/>
              </w:rPr>
              <w:t xml:space="preserve">(2) </w:t>
            </w:r>
            <w:r w:rsidR="00F13A0B" w:rsidRPr="4792BE4F">
              <w:rPr>
                <w:sz w:val="22"/>
                <w:szCs w:val="22"/>
              </w:rPr>
              <w:t>Správny poriadok sa nevzťahuje na konanie podľa § 9, 10,</w:t>
            </w:r>
            <w:r w:rsidR="722E1279" w:rsidRPr="4792BE4F">
              <w:rPr>
                <w:sz w:val="22"/>
                <w:szCs w:val="22"/>
              </w:rPr>
              <w:t xml:space="preserve"> 11,</w:t>
            </w:r>
            <w:r w:rsidR="00F13A0B" w:rsidRPr="4792BE4F">
              <w:rPr>
                <w:sz w:val="22"/>
                <w:szCs w:val="22"/>
              </w:rPr>
              <w:t xml:space="preserve"> 14 a 15, § 21 ods. 1 písm. e), § 21 ods. 4 písm. b)</w:t>
            </w:r>
            <w:r w:rsidR="00D60F20">
              <w:t>, § 21 ods. 6 písm. d</w:t>
            </w:r>
            <w:r w:rsidR="002A6462">
              <w:t>)</w:t>
            </w:r>
            <w:r w:rsidR="00F13A0B" w:rsidRPr="4792BE4F">
              <w:rPr>
                <w:sz w:val="22"/>
                <w:szCs w:val="22"/>
              </w:rPr>
              <w:t xml:space="preserve">, § 26 ods. 1 písm. d), </w:t>
            </w:r>
            <w:r w:rsidR="003B72CB">
              <w:t xml:space="preserve">§ 26 ods. 1 písm. </w:t>
            </w:r>
            <w:r w:rsidR="0B1FCF7F">
              <w:t>v</w:t>
            </w:r>
            <w:r w:rsidR="003B72CB">
              <w:t>),</w:t>
            </w:r>
            <w:r w:rsidR="008CFB95">
              <w:t xml:space="preserve"> </w:t>
            </w:r>
            <w:r w:rsidR="008CFB95" w:rsidRPr="4792BE4F">
              <w:rPr>
                <w:sz w:val="22"/>
                <w:szCs w:val="22"/>
              </w:rPr>
              <w:t>§ 26a ods. 1 písm. g) a</w:t>
            </w:r>
            <w:r w:rsidR="003B72CB">
              <w:t xml:space="preserve"> </w:t>
            </w:r>
            <w:r w:rsidR="00F13A0B" w:rsidRPr="4792BE4F">
              <w:rPr>
                <w:sz w:val="22"/>
                <w:szCs w:val="22"/>
              </w:rPr>
              <w:t>§ 27 ods. 1 písm. c).</w:t>
            </w:r>
          </w:p>
          <w:p w14:paraId="320AE12F" w14:textId="77777777" w:rsidR="009D0AA1" w:rsidRDefault="009D0AA1" w:rsidP="009D0AA1">
            <w:pPr>
              <w:pStyle w:val="Default"/>
              <w:rPr>
                <w:sz w:val="22"/>
                <w:szCs w:val="22"/>
              </w:rPr>
            </w:pPr>
          </w:p>
          <w:p w14:paraId="051099D0" w14:textId="77777777" w:rsidR="00D60F20" w:rsidRPr="00D60F20" w:rsidRDefault="00730219" w:rsidP="00AE37F1">
            <w:pPr>
              <w:pStyle w:val="Default"/>
              <w:rPr>
                <w:sz w:val="22"/>
                <w:szCs w:val="22"/>
              </w:rPr>
            </w:pPr>
            <w:r>
              <w:rPr>
                <w:sz w:val="22"/>
                <w:szCs w:val="22"/>
              </w:rPr>
              <w:t xml:space="preserve">(1) </w:t>
            </w:r>
            <w:r w:rsidR="00D60F20" w:rsidRPr="00D60F20">
              <w:rPr>
                <w:rStyle w:val="normaltextrun"/>
                <w:sz w:val="22"/>
                <w:szCs w:val="22"/>
                <w:shd w:val="clear" w:color="auto" w:fill="FFFFFF"/>
              </w:rPr>
              <w:t>Regulovaný subjekt je povinný bezodkladne oznámiť okresnému úradu v sídle kraja každú plánovanú zmenu povahy svojej činnosti alebo zmenu týkajúcu sa palív uvádzaných týmto subjektom na trh, ktoré môžu byť dôvodom na zmenu povolenia na emisie skleníkových plynov</w:t>
            </w:r>
            <w:r w:rsidR="00D60F20" w:rsidRPr="00D60F20">
              <w:rPr>
                <w:rStyle w:val="normaltextrun"/>
                <w:sz w:val="22"/>
                <w:szCs w:val="22"/>
                <w:shd w:val="clear" w:color="auto" w:fill="FFFFFF"/>
                <w:vertAlign w:val="superscript"/>
              </w:rPr>
              <w:t>1a</w:t>
            </w:r>
            <w:r w:rsidR="00D60F20" w:rsidRPr="00D60F20">
              <w:rPr>
                <w:rStyle w:val="normaltextrun"/>
                <w:sz w:val="22"/>
                <w:szCs w:val="22"/>
                <w:shd w:val="clear" w:color="auto" w:fill="FFFFFF"/>
              </w:rPr>
              <w:t>) alebo na vyradenie zo systému obchodovania. Ak to charakter zmeny povahy činnosti regulovaného subjektu vyžaduje, okresný úrad v sídle kraja zmení povolenie na emisie skleníkových plynov alebo vydá rozhodnutie o vyradení zo systému obchodovania. Na konanie o zmene povolenia na emisie skleníkových plynov sa primerane vzťahujú § 6 ods. 3 a § 6a.</w:t>
            </w:r>
            <w:r w:rsidR="00D60F20" w:rsidRPr="00D60F20">
              <w:rPr>
                <w:rStyle w:val="eop"/>
                <w:sz w:val="22"/>
                <w:szCs w:val="22"/>
                <w:shd w:val="clear" w:color="auto" w:fill="FFFFFF"/>
              </w:rPr>
              <w:t> </w:t>
            </w:r>
            <w:r w:rsidR="00D60F20" w:rsidRPr="00D60F20">
              <w:rPr>
                <w:sz w:val="22"/>
                <w:szCs w:val="22"/>
              </w:rPr>
              <w:t xml:space="preserve"> </w:t>
            </w:r>
          </w:p>
          <w:p w14:paraId="22208FF6" w14:textId="311D7DA1" w:rsidR="00D60F20" w:rsidRPr="00D60F20" w:rsidRDefault="00D60F20" w:rsidP="00AE37F1">
            <w:pPr>
              <w:pStyle w:val="Default"/>
              <w:rPr>
                <w:sz w:val="22"/>
                <w:szCs w:val="22"/>
              </w:rPr>
            </w:pPr>
            <w:r>
              <w:rPr>
                <w:sz w:val="22"/>
                <w:szCs w:val="22"/>
              </w:rPr>
              <w:t xml:space="preserve">(2) </w:t>
            </w:r>
            <w:r w:rsidRPr="00D60F20">
              <w:rPr>
                <w:rStyle w:val="normaltextrun"/>
                <w:sz w:val="22"/>
                <w:szCs w:val="22"/>
                <w:shd w:val="clear" w:color="auto" w:fill="FFFFFF"/>
              </w:rPr>
              <w:t>Okresný úrad v sídle kraja zruší povolenie na emisie skleníkových plynov a vyradí regulovaný subjekt zo systému obchodovania, ak regulovaný subjekt ukončil svoju činnosť uvedenú v prílohe č. 1 tabuľke B.</w:t>
            </w:r>
            <w:r w:rsidRPr="00D60F20">
              <w:rPr>
                <w:rStyle w:val="eop"/>
                <w:sz w:val="22"/>
                <w:szCs w:val="22"/>
                <w:shd w:val="clear" w:color="auto" w:fill="FFFFFF"/>
              </w:rPr>
              <w:t> </w:t>
            </w:r>
            <w:r w:rsidRPr="00D60F20">
              <w:rPr>
                <w:sz w:val="22"/>
                <w:szCs w:val="22"/>
              </w:rPr>
              <w:t xml:space="preserve"> </w:t>
            </w:r>
          </w:p>
          <w:p w14:paraId="7677DC8F" w14:textId="2EEA4119" w:rsidR="00AE37F1" w:rsidRPr="00D60F20" w:rsidRDefault="00D60F20" w:rsidP="00AE37F1">
            <w:pPr>
              <w:pStyle w:val="Default"/>
              <w:rPr>
                <w:sz w:val="22"/>
                <w:szCs w:val="22"/>
              </w:rPr>
            </w:pPr>
            <w:r>
              <w:rPr>
                <w:sz w:val="22"/>
                <w:szCs w:val="22"/>
              </w:rPr>
              <w:t xml:space="preserve">(3) </w:t>
            </w:r>
            <w:r w:rsidRPr="00D60F20">
              <w:rPr>
                <w:rStyle w:val="normaltextrun"/>
                <w:sz w:val="22"/>
                <w:szCs w:val="22"/>
                <w:shd w:val="clear" w:color="auto" w:fill="FFFFFF"/>
              </w:rPr>
              <w:t>Okresný úrad v sídle kraja zmení povolenie na emisie skleníkových plynov, ak sa zmenili podmienky, na ktorých základe bolo vydané povolenie na emisie skleníkových plynov.</w:t>
            </w:r>
            <w:r w:rsidRPr="00D60F20">
              <w:rPr>
                <w:rStyle w:val="normaltextrun"/>
                <w:sz w:val="22"/>
                <w:szCs w:val="22"/>
                <w:shd w:val="clear" w:color="auto" w:fill="FFFFFF"/>
                <w:vertAlign w:val="superscript"/>
              </w:rPr>
              <w:t>1a</w:t>
            </w:r>
            <w:r w:rsidRPr="00D60F20">
              <w:rPr>
                <w:rStyle w:val="normaltextrun"/>
                <w:sz w:val="22"/>
                <w:szCs w:val="22"/>
                <w:shd w:val="clear" w:color="auto" w:fill="FFFFFF"/>
              </w:rPr>
              <w:t>)</w:t>
            </w:r>
            <w:r w:rsidRPr="00D60F20">
              <w:rPr>
                <w:rStyle w:val="eop"/>
                <w:sz w:val="22"/>
                <w:szCs w:val="22"/>
                <w:shd w:val="clear" w:color="auto" w:fill="FFFFFF"/>
              </w:rPr>
              <w:t> </w:t>
            </w:r>
          </w:p>
          <w:p w14:paraId="703E29E4" w14:textId="6FB7DA9A" w:rsidR="00AE37F1" w:rsidRPr="00D60F20" w:rsidRDefault="00D60F20" w:rsidP="00AE37F1">
            <w:pPr>
              <w:pStyle w:val="Default"/>
              <w:rPr>
                <w:sz w:val="22"/>
                <w:szCs w:val="22"/>
              </w:rPr>
            </w:pPr>
            <w:r>
              <w:rPr>
                <w:sz w:val="22"/>
                <w:szCs w:val="22"/>
              </w:rPr>
              <w:t xml:space="preserve">(4) </w:t>
            </w:r>
            <w:r w:rsidRPr="00D60F20">
              <w:rPr>
                <w:rStyle w:val="normaltextrun"/>
                <w:sz w:val="22"/>
                <w:szCs w:val="22"/>
                <w:shd w:val="clear" w:color="auto" w:fill="FFFFFF"/>
              </w:rPr>
              <w:t>Práva a povinnosti regulovaného subjektu určené v povolení na emisie skleníkových plynov prechádzajú na jeho právneho nástupcu. Nový regulovaný subjekt je povinný oznámiť okresnému úradu v sídle kraja, ministerstvu a vnútroštátnemu správcovi zmenu regulovaného subjektu a svoje identifikačné údaje podľa § 6 do desiatich dní odo dňa, keď došlo k prechodu práv a povinností.</w:t>
            </w:r>
          </w:p>
          <w:p w14:paraId="147E1912" w14:textId="77777777" w:rsidR="009C51A8" w:rsidRPr="00D60F20" w:rsidRDefault="009C51A8" w:rsidP="00AE37F1">
            <w:pPr>
              <w:pStyle w:val="Default"/>
              <w:rPr>
                <w:sz w:val="22"/>
                <w:szCs w:val="22"/>
              </w:rPr>
            </w:pPr>
          </w:p>
          <w:p w14:paraId="12569690" w14:textId="77777777" w:rsidR="009C51A8" w:rsidRPr="00D60F20" w:rsidRDefault="009C51A8" w:rsidP="00AE37F1">
            <w:pPr>
              <w:pStyle w:val="Default"/>
              <w:rPr>
                <w:sz w:val="22"/>
                <w:szCs w:val="22"/>
              </w:rPr>
            </w:pPr>
          </w:p>
          <w:p w14:paraId="4C74EA70" w14:textId="77777777" w:rsidR="009C51A8" w:rsidRPr="001300A9" w:rsidRDefault="009C51A8" w:rsidP="00AE37F1">
            <w:pPr>
              <w:pStyle w:val="Default"/>
              <w:rPr>
                <w:sz w:val="22"/>
                <w:szCs w:val="22"/>
              </w:rPr>
            </w:pPr>
          </w:p>
          <w:p w14:paraId="4BBAA6FB" w14:textId="77777777" w:rsidR="009C51A8" w:rsidRPr="001300A9" w:rsidRDefault="009C51A8" w:rsidP="00AE37F1">
            <w:pPr>
              <w:pStyle w:val="Default"/>
              <w:rPr>
                <w:sz w:val="22"/>
                <w:szCs w:val="22"/>
              </w:rPr>
            </w:pPr>
          </w:p>
          <w:p w14:paraId="13EB4297" w14:textId="77777777" w:rsidR="009C51A8" w:rsidRPr="001300A9" w:rsidRDefault="009C51A8" w:rsidP="00AE37F1">
            <w:pPr>
              <w:pStyle w:val="Default"/>
              <w:rPr>
                <w:sz w:val="22"/>
                <w:szCs w:val="22"/>
              </w:rPr>
            </w:pPr>
          </w:p>
          <w:p w14:paraId="48F16C5E" w14:textId="77777777" w:rsidR="009C51A8" w:rsidRPr="001300A9" w:rsidRDefault="009C51A8" w:rsidP="00AE37F1">
            <w:pPr>
              <w:pStyle w:val="Default"/>
              <w:rPr>
                <w:sz w:val="22"/>
                <w:szCs w:val="22"/>
              </w:rPr>
            </w:pPr>
          </w:p>
          <w:p w14:paraId="092CC12E" w14:textId="77777777" w:rsidR="009C51A8" w:rsidRPr="001300A9" w:rsidRDefault="009C51A8" w:rsidP="00AE37F1">
            <w:pPr>
              <w:pStyle w:val="Default"/>
              <w:rPr>
                <w:sz w:val="22"/>
                <w:szCs w:val="22"/>
              </w:rPr>
            </w:pPr>
          </w:p>
          <w:p w14:paraId="1A14A513" w14:textId="77777777" w:rsidR="009C51A8" w:rsidRPr="001300A9" w:rsidRDefault="009C51A8" w:rsidP="00AE37F1">
            <w:pPr>
              <w:pStyle w:val="Default"/>
              <w:rPr>
                <w:sz w:val="22"/>
                <w:szCs w:val="22"/>
              </w:rPr>
            </w:pPr>
          </w:p>
          <w:p w14:paraId="12C07634" w14:textId="77777777" w:rsidR="009C51A8" w:rsidRPr="001300A9" w:rsidRDefault="009C51A8" w:rsidP="00AE37F1">
            <w:pPr>
              <w:pStyle w:val="Default"/>
              <w:rPr>
                <w:sz w:val="22"/>
                <w:szCs w:val="22"/>
              </w:rPr>
            </w:pPr>
          </w:p>
          <w:p w14:paraId="59F0ABFD" w14:textId="77777777" w:rsidR="009C51A8" w:rsidRPr="001300A9" w:rsidRDefault="009C51A8" w:rsidP="00AE37F1">
            <w:pPr>
              <w:pStyle w:val="Default"/>
              <w:rPr>
                <w:sz w:val="22"/>
                <w:szCs w:val="22"/>
              </w:rPr>
            </w:pPr>
          </w:p>
          <w:p w14:paraId="6637B7A1" w14:textId="77777777" w:rsidR="009C51A8" w:rsidRPr="001300A9" w:rsidRDefault="009C51A8" w:rsidP="00AE37F1">
            <w:pPr>
              <w:pStyle w:val="Default"/>
              <w:rPr>
                <w:sz w:val="22"/>
                <w:szCs w:val="22"/>
              </w:rPr>
            </w:pPr>
          </w:p>
          <w:p w14:paraId="6252AB14" w14:textId="77777777" w:rsidR="009C51A8" w:rsidRPr="001300A9" w:rsidRDefault="009C51A8" w:rsidP="00AE37F1">
            <w:pPr>
              <w:pStyle w:val="Default"/>
              <w:rPr>
                <w:sz w:val="22"/>
                <w:szCs w:val="22"/>
              </w:rPr>
            </w:pPr>
          </w:p>
          <w:p w14:paraId="1EF5B586" w14:textId="77777777" w:rsidR="009C51A8" w:rsidRPr="001300A9" w:rsidRDefault="009C51A8" w:rsidP="00AE37F1">
            <w:pPr>
              <w:pStyle w:val="Default"/>
              <w:rPr>
                <w:sz w:val="22"/>
                <w:szCs w:val="22"/>
              </w:rPr>
            </w:pPr>
          </w:p>
          <w:p w14:paraId="14C74EBD" w14:textId="77777777" w:rsidR="009C51A8" w:rsidRPr="001300A9" w:rsidRDefault="009C51A8" w:rsidP="00AE37F1">
            <w:pPr>
              <w:pStyle w:val="Default"/>
              <w:rPr>
                <w:sz w:val="22"/>
                <w:szCs w:val="22"/>
              </w:rPr>
            </w:pPr>
          </w:p>
          <w:p w14:paraId="3A7BD385" w14:textId="77777777" w:rsidR="009C51A8" w:rsidRPr="001300A9" w:rsidRDefault="009C51A8" w:rsidP="00AE37F1">
            <w:pPr>
              <w:pStyle w:val="Default"/>
              <w:rPr>
                <w:sz w:val="22"/>
                <w:szCs w:val="22"/>
              </w:rPr>
            </w:pPr>
          </w:p>
          <w:p w14:paraId="16EA605C" w14:textId="77777777" w:rsidR="009C51A8" w:rsidRPr="001300A9" w:rsidRDefault="009C51A8" w:rsidP="00AE37F1">
            <w:pPr>
              <w:pStyle w:val="Default"/>
              <w:rPr>
                <w:sz w:val="22"/>
                <w:szCs w:val="22"/>
              </w:rPr>
            </w:pPr>
          </w:p>
          <w:p w14:paraId="0CB38BD9" w14:textId="77777777" w:rsidR="009C51A8" w:rsidRPr="001300A9" w:rsidRDefault="009C51A8" w:rsidP="00AE37F1">
            <w:pPr>
              <w:pStyle w:val="Default"/>
              <w:rPr>
                <w:sz w:val="22"/>
                <w:szCs w:val="22"/>
              </w:rPr>
            </w:pPr>
          </w:p>
          <w:p w14:paraId="6A33FCFA" w14:textId="77777777" w:rsidR="009C51A8" w:rsidRPr="001300A9" w:rsidRDefault="009C51A8" w:rsidP="00AE37F1">
            <w:pPr>
              <w:pStyle w:val="Default"/>
              <w:rPr>
                <w:sz w:val="22"/>
                <w:szCs w:val="22"/>
              </w:rPr>
            </w:pPr>
          </w:p>
          <w:p w14:paraId="3DA57FFF" w14:textId="77777777" w:rsidR="009C51A8" w:rsidRPr="001300A9" w:rsidRDefault="009C51A8" w:rsidP="00AE37F1">
            <w:pPr>
              <w:pStyle w:val="Default"/>
              <w:rPr>
                <w:sz w:val="22"/>
                <w:szCs w:val="22"/>
              </w:rPr>
            </w:pPr>
          </w:p>
          <w:p w14:paraId="66A5EDAA" w14:textId="77777777" w:rsidR="009C51A8" w:rsidRPr="001300A9" w:rsidRDefault="009C51A8" w:rsidP="00AE37F1">
            <w:pPr>
              <w:pStyle w:val="Default"/>
              <w:rPr>
                <w:sz w:val="22"/>
                <w:szCs w:val="22"/>
              </w:rPr>
            </w:pPr>
          </w:p>
          <w:p w14:paraId="1698D91D" w14:textId="77777777" w:rsidR="009C51A8" w:rsidRPr="001300A9" w:rsidRDefault="009C51A8" w:rsidP="00AE37F1">
            <w:pPr>
              <w:pStyle w:val="Default"/>
              <w:rPr>
                <w:sz w:val="22"/>
                <w:szCs w:val="22"/>
              </w:rPr>
            </w:pPr>
          </w:p>
          <w:p w14:paraId="78DB981E" w14:textId="77777777" w:rsidR="009C51A8" w:rsidRPr="001300A9" w:rsidRDefault="009C51A8" w:rsidP="00AE37F1">
            <w:pPr>
              <w:pStyle w:val="Default"/>
              <w:rPr>
                <w:sz w:val="22"/>
                <w:szCs w:val="22"/>
              </w:rPr>
            </w:pPr>
          </w:p>
          <w:p w14:paraId="7172E590" w14:textId="77777777" w:rsidR="009C51A8" w:rsidRPr="001300A9" w:rsidRDefault="009C51A8" w:rsidP="00AE37F1">
            <w:pPr>
              <w:pStyle w:val="Default"/>
              <w:rPr>
                <w:sz w:val="22"/>
                <w:szCs w:val="22"/>
              </w:rPr>
            </w:pPr>
          </w:p>
          <w:p w14:paraId="557FBDB5" w14:textId="77777777" w:rsidR="009C51A8" w:rsidRPr="001300A9" w:rsidRDefault="009C51A8" w:rsidP="00AE37F1">
            <w:pPr>
              <w:pStyle w:val="Default"/>
              <w:rPr>
                <w:sz w:val="22"/>
                <w:szCs w:val="22"/>
              </w:rPr>
            </w:pPr>
          </w:p>
          <w:p w14:paraId="5CDD7716" w14:textId="77777777" w:rsidR="009C51A8" w:rsidRPr="001300A9" w:rsidRDefault="009C51A8" w:rsidP="00AE37F1">
            <w:pPr>
              <w:pStyle w:val="Default"/>
              <w:rPr>
                <w:sz w:val="22"/>
                <w:szCs w:val="22"/>
              </w:rPr>
            </w:pPr>
          </w:p>
          <w:p w14:paraId="08A7842B" w14:textId="77777777" w:rsidR="009C51A8" w:rsidRPr="001300A9" w:rsidRDefault="009C51A8" w:rsidP="00AE37F1">
            <w:pPr>
              <w:pStyle w:val="Default"/>
              <w:rPr>
                <w:sz w:val="22"/>
                <w:szCs w:val="22"/>
              </w:rPr>
            </w:pPr>
          </w:p>
          <w:p w14:paraId="3BE54C9C" w14:textId="77777777" w:rsidR="009C51A8" w:rsidRPr="001300A9" w:rsidRDefault="009C51A8" w:rsidP="00AE37F1">
            <w:pPr>
              <w:pStyle w:val="Default"/>
              <w:rPr>
                <w:sz w:val="22"/>
                <w:szCs w:val="22"/>
              </w:rPr>
            </w:pPr>
          </w:p>
          <w:p w14:paraId="5A35A657" w14:textId="77777777" w:rsidR="009C51A8" w:rsidRPr="001300A9" w:rsidRDefault="009C51A8" w:rsidP="00AE37F1">
            <w:pPr>
              <w:pStyle w:val="Default"/>
              <w:rPr>
                <w:sz w:val="22"/>
                <w:szCs w:val="22"/>
              </w:rPr>
            </w:pPr>
          </w:p>
          <w:p w14:paraId="17C1B31C" w14:textId="77777777" w:rsidR="009C51A8" w:rsidRPr="001300A9" w:rsidRDefault="009C51A8" w:rsidP="00AE37F1">
            <w:pPr>
              <w:pStyle w:val="Default"/>
              <w:rPr>
                <w:sz w:val="22"/>
                <w:szCs w:val="22"/>
              </w:rPr>
            </w:pPr>
          </w:p>
          <w:p w14:paraId="2AF02689" w14:textId="77777777" w:rsidR="009C51A8" w:rsidRPr="001300A9" w:rsidRDefault="009C51A8" w:rsidP="00AE37F1">
            <w:pPr>
              <w:pStyle w:val="Default"/>
              <w:rPr>
                <w:sz w:val="22"/>
                <w:szCs w:val="22"/>
              </w:rPr>
            </w:pPr>
          </w:p>
          <w:p w14:paraId="42D3F88F" w14:textId="77777777" w:rsidR="009C51A8" w:rsidRPr="001300A9" w:rsidRDefault="009C51A8" w:rsidP="00AE37F1">
            <w:pPr>
              <w:pStyle w:val="Default"/>
              <w:rPr>
                <w:sz w:val="22"/>
                <w:szCs w:val="22"/>
              </w:rPr>
            </w:pPr>
          </w:p>
          <w:p w14:paraId="08F6F95B" w14:textId="77777777" w:rsidR="009C51A8" w:rsidRPr="001300A9" w:rsidRDefault="009C51A8" w:rsidP="00AE37F1">
            <w:pPr>
              <w:pStyle w:val="Default"/>
              <w:rPr>
                <w:sz w:val="22"/>
                <w:szCs w:val="22"/>
              </w:rPr>
            </w:pPr>
          </w:p>
          <w:p w14:paraId="031E197B" w14:textId="77777777" w:rsidR="009C51A8" w:rsidRPr="001300A9" w:rsidRDefault="009C51A8" w:rsidP="00AE37F1">
            <w:pPr>
              <w:pStyle w:val="Default"/>
              <w:rPr>
                <w:sz w:val="22"/>
                <w:szCs w:val="22"/>
              </w:rPr>
            </w:pPr>
          </w:p>
          <w:p w14:paraId="65A4BBA7" w14:textId="77777777" w:rsidR="009C51A8" w:rsidRPr="001300A9" w:rsidRDefault="009C51A8" w:rsidP="00AE37F1">
            <w:pPr>
              <w:pStyle w:val="Default"/>
              <w:rPr>
                <w:sz w:val="22"/>
                <w:szCs w:val="22"/>
              </w:rPr>
            </w:pPr>
          </w:p>
          <w:p w14:paraId="0E175FE3" w14:textId="77777777" w:rsidR="009C51A8" w:rsidRPr="001300A9" w:rsidRDefault="009C51A8" w:rsidP="00AE37F1">
            <w:pPr>
              <w:pStyle w:val="Default"/>
              <w:rPr>
                <w:sz w:val="22"/>
                <w:szCs w:val="22"/>
              </w:rPr>
            </w:pPr>
          </w:p>
          <w:p w14:paraId="1BC1CD62" w14:textId="77777777" w:rsidR="009C51A8" w:rsidRPr="001300A9" w:rsidRDefault="009C51A8" w:rsidP="00AE37F1">
            <w:pPr>
              <w:pStyle w:val="Default"/>
              <w:rPr>
                <w:sz w:val="22"/>
                <w:szCs w:val="22"/>
              </w:rPr>
            </w:pPr>
          </w:p>
          <w:p w14:paraId="57B6373F" w14:textId="77777777" w:rsidR="009C51A8" w:rsidRPr="001300A9" w:rsidRDefault="009C51A8" w:rsidP="00AE37F1">
            <w:pPr>
              <w:pStyle w:val="Default"/>
              <w:rPr>
                <w:sz w:val="22"/>
                <w:szCs w:val="22"/>
              </w:rPr>
            </w:pPr>
          </w:p>
          <w:p w14:paraId="3070B0A8" w14:textId="77777777" w:rsidR="009C51A8" w:rsidRPr="001300A9" w:rsidRDefault="009C51A8" w:rsidP="00AE37F1">
            <w:pPr>
              <w:pStyle w:val="Default"/>
              <w:rPr>
                <w:sz w:val="22"/>
                <w:szCs w:val="22"/>
              </w:rPr>
            </w:pPr>
          </w:p>
          <w:p w14:paraId="23BA83D0" w14:textId="77777777" w:rsidR="009C51A8" w:rsidRPr="001300A9" w:rsidRDefault="009C51A8" w:rsidP="00AE37F1">
            <w:pPr>
              <w:pStyle w:val="Default"/>
              <w:rPr>
                <w:sz w:val="22"/>
                <w:szCs w:val="22"/>
              </w:rPr>
            </w:pPr>
          </w:p>
          <w:p w14:paraId="7B1AA579" w14:textId="77777777" w:rsidR="009C51A8" w:rsidRPr="001300A9" w:rsidRDefault="009C51A8" w:rsidP="00AE37F1">
            <w:pPr>
              <w:pStyle w:val="Default"/>
              <w:rPr>
                <w:sz w:val="22"/>
                <w:szCs w:val="22"/>
              </w:rPr>
            </w:pPr>
          </w:p>
          <w:p w14:paraId="02282949" w14:textId="77777777" w:rsidR="009C51A8" w:rsidRPr="001300A9" w:rsidRDefault="009C51A8" w:rsidP="00AE37F1">
            <w:pPr>
              <w:pStyle w:val="Default"/>
              <w:rPr>
                <w:sz w:val="22"/>
                <w:szCs w:val="22"/>
              </w:rPr>
            </w:pPr>
          </w:p>
          <w:p w14:paraId="62D9DB0B" w14:textId="77777777" w:rsidR="009C51A8" w:rsidRPr="001300A9" w:rsidRDefault="009C51A8" w:rsidP="00AE37F1">
            <w:pPr>
              <w:pStyle w:val="Default"/>
              <w:rPr>
                <w:sz w:val="22"/>
                <w:szCs w:val="22"/>
              </w:rPr>
            </w:pPr>
          </w:p>
          <w:p w14:paraId="71EC980C" w14:textId="77777777" w:rsidR="009C51A8" w:rsidRPr="001300A9" w:rsidRDefault="009C51A8" w:rsidP="00AE37F1">
            <w:pPr>
              <w:pStyle w:val="Default"/>
              <w:rPr>
                <w:sz w:val="22"/>
                <w:szCs w:val="22"/>
              </w:rPr>
            </w:pPr>
          </w:p>
          <w:p w14:paraId="24988A2C" w14:textId="77777777" w:rsidR="009C51A8" w:rsidRPr="001300A9" w:rsidRDefault="009C51A8" w:rsidP="00AE37F1">
            <w:pPr>
              <w:pStyle w:val="Default"/>
              <w:rPr>
                <w:sz w:val="22"/>
                <w:szCs w:val="22"/>
              </w:rPr>
            </w:pPr>
          </w:p>
          <w:p w14:paraId="1EA9B0E0" w14:textId="77777777" w:rsidR="009C51A8" w:rsidRPr="001300A9" w:rsidRDefault="009C51A8" w:rsidP="00AE37F1">
            <w:pPr>
              <w:pStyle w:val="Default"/>
              <w:rPr>
                <w:sz w:val="22"/>
                <w:szCs w:val="22"/>
              </w:rPr>
            </w:pPr>
          </w:p>
          <w:p w14:paraId="07CB8C7E" w14:textId="77777777" w:rsidR="009C51A8" w:rsidRPr="001300A9" w:rsidRDefault="009C51A8" w:rsidP="00AE37F1">
            <w:pPr>
              <w:pStyle w:val="Default"/>
              <w:rPr>
                <w:sz w:val="22"/>
                <w:szCs w:val="22"/>
              </w:rPr>
            </w:pPr>
          </w:p>
          <w:p w14:paraId="01A355DA" w14:textId="77777777" w:rsidR="009C51A8" w:rsidRPr="001300A9" w:rsidRDefault="009C51A8" w:rsidP="00AE37F1">
            <w:pPr>
              <w:pStyle w:val="Default"/>
              <w:rPr>
                <w:sz w:val="22"/>
                <w:szCs w:val="22"/>
              </w:rPr>
            </w:pPr>
          </w:p>
          <w:p w14:paraId="02942424" w14:textId="77777777" w:rsidR="009C51A8" w:rsidRPr="001300A9" w:rsidRDefault="009C51A8" w:rsidP="00AE37F1">
            <w:pPr>
              <w:pStyle w:val="Default"/>
              <w:rPr>
                <w:sz w:val="22"/>
                <w:szCs w:val="22"/>
              </w:rPr>
            </w:pPr>
          </w:p>
          <w:p w14:paraId="62204A23" w14:textId="77777777" w:rsidR="009C51A8" w:rsidRPr="001300A9" w:rsidRDefault="009C51A8" w:rsidP="00AE37F1">
            <w:pPr>
              <w:pStyle w:val="Default"/>
              <w:rPr>
                <w:sz w:val="22"/>
                <w:szCs w:val="22"/>
              </w:rPr>
            </w:pPr>
          </w:p>
          <w:p w14:paraId="3A431819" w14:textId="77777777" w:rsidR="009C51A8" w:rsidRPr="001300A9" w:rsidRDefault="009C51A8" w:rsidP="00AE37F1">
            <w:pPr>
              <w:pStyle w:val="Default"/>
              <w:rPr>
                <w:sz w:val="22"/>
                <w:szCs w:val="22"/>
              </w:rPr>
            </w:pPr>
          </w:p>
          <w:p w14:paraId="147B32F0" w14:textId="77777777" w:rsidR="009C51A8" w:rsidRPr="001300A9" w:rsidRDefault="009C51A8" w:rsidP="00AE37F1">
            <w:pPr>
              <w:pStyle w:val="Default"/>
              <w:rPr>
                <w:sz w:val="22"/>
                <w:szCs w:val="22"/>
              </w:rPr>
            </w:pPr>
          </w:p>
          <w:p w14:paraId="0CE7E198" w14:textId="77777777" w:rsidR="009C51A8" w:rsidRPr="001300A9" w:rsidRDefault="009C51A8" w:rsidP="00AE37F1">
            <w:pPr>
              <w:pStyle w:val="Default"/>
              <w:rPr>
                <w:sz w:val="22"/>
                <w:szCs w:val="22"/>
              </w:rPr>
            </w:pPr>
          </w:p>
          <w:p w14:paraId="702AB89D" w14:textId="77777777" w:rsidR="009C51A8" w:rsidRPr="001300A9" w:rsidRDefault="009C51A8" w:rsidP="00AE37F1">
            <w:pPr>
              <w:pStyle w:val="Default"/>
              <w:rPr>
                <w:sz w:val="22"/>
                <w:szCs w:val="22"/>
              </w:rPr>
            </w:pPr>
          </w:p>
          <w:p w14:paraId="45B0A587" w14:textId="77777777" w:rsidR="009C51A8" w:rsidRPr="001300A9" w:rsidRDefault="009C51A8" w:rsidP="00AE37F1">
            <w:pPr>
              <w:pStyle w:val="Default"/>
              <w:rPr>
                <w:sz w:val="22"/>
                <w:szCs w:val="22"/>
              </w:rPr>
            </w:pPr>
          </w:p>
          <w:p w14:paraId="1A5D2FE8" w14:textId="77777777" w:rsidR="009C51A8" w:rsidRPr="001300A9" w:rsidRDefault="009C51A8" w:rsidP="00AE37F1">
            <w:pPr>
              <w:pStyle w:val="Default"/>
              <w:rPr>
                <w:sz w:val="22"/>
                <w:szCs w:val="22"/>
              </w:rPr>
            </w:pPr>
          </w:p>
          <w:p w14:paraId="1A22414B" w14:textId="77777777" w:rsidR="009C51A8" w:rsidRPr="001300A9" w:rsidRDefault="009C51A8" w:rsidP="00AE37F1">
            <w:pPr>
              <w:pStyle w:val="Default"/>
              <w:rPr>
                <w:sz w:val="22"/>
                <w:szCs w:val="22"/>
              </w:rPr>
            </w:pPr>
          </w:p>
          <w:p w14:paraId="5081CB2D" w14:textId="77777777" w:rsidR="009C51A8" w:rsidRPr="001300A9" w:rsidRDefault="009C51A8" w:rsidP="00AE37F1">
            <w:pPr>
              <w:pStyle w:val="Default"/>
              <w:rPr>
                <w:sz w:val="22"/>
                <w:szCs w:val="22"/>
              </w:rPr>
            </w:pPr>
          </w:p>
          <w:p w14:paraId="5A3E5EF1" w14:textId="77777777" w:rsidR="009C51A8" w:rsidRPr="001300A9" w:rsidRDefault="009C51A8" w:rsidP="00AE37F1">
            <w:pPr>
              <w:pStyle w:val="Default"/>
              <w:rPr>
                <w:sz w:val="22"/>
                <w:szCs w:val="22"/>
              </w:rPr>
            </w:pPr>
          </w:p>
          <w:p w14:paraId="497FF067" w14:textId="77777777" w:rsidR="009C51A8" w:rsidRPr="001300A9" w:rsidRDefault="009C51A8" w:rsidP="00AE37F1">
            <w:pPr>
              <w:pStyle w:val="Default"/>
              <w:rPr>
                <w:sz w:val="22"/>
                <w:szCs w:val="22"/>
              </w:rPr>
            </w:pPr>
          </w:p>
          <w:p w14:paraId="63C4E8E4" w14:textId="77777777" w:rsidR="009C51A8" w:rsidRPr="001300A9" w:rsidRDefault="009C51A8" w:rsidP="00AE37F1">
            <w:pPr>
              <w:pStyle w:val="Default"/>
              <w:rPr>
                <w:sz w:val="22"/>
                <w:szCs w:val="22"/>
              </w:rPr>
            </w:pPr>
          </w:p>
          <w:p w14:paraId="482CEED0" w14:textId="77777777" w:rsidR="009C51A8" w:rsidRPr="001300A9" w:rsidRDefault="009C51A8" w:rsidP="00AE37F1">
            <w:pPr>
              <w:pStyle w:val="Default"/>
              <w:rPr>
                <w:sz w:val="22"/>
                <w:szCs w:val="22"/>
              </w:rPr>
            </w:pPr>
          </w:p>
          <w:p w14:paraId="69F4E5AF" w14:textId="77777777" w:rsidR="009C51A8" w:rsidRPr="001300A9" w:rsidRDefault="009C51A8" w:rsidP="00AE37F1">
            <w:pPr>
              <w:pStyle w:val="Default"/>
              <w:rPr>
                <w:sz w:val="22"/>
                <w:szCs w:val="22"/>
              </w:rPr>
            </w:pPr>
          </w:p>
          <w:p w14:paraId="23D1AA9F" w14:textId="77777777" w:rsidR="009C51A8" w:rsidRPr="001300A9" w:rsidRDefault="009C51A8" w:rsidP="00AE37F1">
            <w:pPr>
              <w:pStyle w:val="Default"/>
              <w:rPr>
                <w:sz w:val="22"/>
                <w:szCs w:val="22"/>
              </w:rPr>
            </w:pPr>
          </w:p>
          <w:p w14:paraId="287641EE" w14:textId="77777777" w:rsidR="009C51A8" w:rsidRPr="001300A9" w:rsidRDefault="009C51A8" w:rsidP="00AE37F1">
            <w:pPr>
              <w:pStyle w:val="Default"/>
              <w:rPr>
                <w:sz w:val="22"/>
                <w:szCs w:val="22"/>
              </w:rPr>
            </w:pPr>
          </w:p>
          <w:p w14:paraId="3F8E2B02" w14:textId="77777777" w:rsidR="009C51A8" w:rsidRPr="001300A9" w:rsidRDefault="009C51A8" w:rsidP="00AE37F1">
            <w:pPr>
              <w:pStyle w:val="Default"/>
              <w:rPr>
                <w:sz w:val="22"/>
                <w:szCs w:val="22"/>
              </w:rPr>
            </w:pPr>
          </w:p>
          <w:p w14:paraId="55508D4F" w14:textId="77777777" w:rsidR="009C51A8" w:rsidRPr="001300A9" w:rsidRDefault="009C51A8" w:rsidP="00AE37F1">
            <w:pPr>
              <w:pStyle w:val="Default"/>
              <w:rPr>
                <w:sz w:val="22"/>
                <w:szCs w:val="22"/>
              </w:rPr>
            </w:pPr>
          </w:p>
          <w:p w14:paraId="48683893" w14:textId="77777777" w:rsidR="009C51A8" w:rsidRPr="001300A9" w:rsidRDefault="009C51A8" w:rsidP="00AE37F1">
            <w:pPr>
              <w:pStyle w:val="Default"/>
              <w:rPr>
                <w:sz w:val="22"/>
                <w:szCs w:val="22"/>
              </w:rPr>
            </w:pPr>
          </w:p>
          <w:p w14:paraId="38C3C0A4" w14:textId="77777777" w:rsidR="009C51A8" w:rsidRPr="001300A9" w:rsidRDefault="009C51A8" w:rsidP="00AE37F1">
            <w:pPr>
              <w:pStyle w:val="Default"/>
              <w:rPr>
                <w:sz w:val="22"/>
                <w:szCs w:val="22"/>
              </w:rPr>
            </w:pPr>
          </w:p>
          <w:p w14:paraId="5DB3E3C4" w14:textId="77777777" w:rsidR="009C51A8" w:rsidRPr="001300A9" w:rsidRDefault="009C51A8" w:rsidP="00AE37F1">
            <w:pPr>
              <w:pStyle w:val="Default"/>
              <w:rPr>
                <w:sz w:val="22"/>
                <w:szCs w:val="22"/>
              </w:rPr>
            </w:pPr>
          </w:p>
          <w:p w14:paraId="7B02EF6D" w14:textId="77777777" w:rsidR="009C51A8" w:rsidRPr="001300A9" w:rsidRDefault="009C51A8" w:rsidP="00AE37F1">
            <w:pPr>
              <w:pStyle w:val="Default"/>
              <w:rPr>
                <w:sz w:val="22"/>
                <w:szCs w:val="22"/>
              </w:rPr>
            </w:pPr>
          </w:p>
          <w:p w14:paraId="5CF077B9" w14:textId="77777777" w:rsidR="009C51A8" w:rsidRPr="001300A9" w:rsidRDefault="009C51A8" w:rsidP="00AE37F1">
            <w:pPr>
              <w:pStyle w:val="Default"/>
              <w:rPr>
                <w:sz w:val="22"/>
                <w:szCs w:val="22"/>
              </w:rPr>
            </w:pPr>
          </w:p>
          <w:p w14:paraId="4A20BEB1" w14:textId="77777777" w:rsidR="009C51A8" w:rsidRPr="001300A9" w:rsidRDefault="009C51A8" w:rsidP="00AE37F1">
            <w:pPr>
              <w:pStyle w:val="Default"/>
              <w:rPr>
                <w:sz w:val="22"/>
                <w:szCs w:val="22"/>
              </w:rPr>
            </w:pPr>
          </w:p>
          <w:p w14:paraId="741F534A" w14:textId="77777777" w:rsidR="009C51A8" w:rsidRPr="001300A9" w:rsidRDefault="009C51A8" w:rsidP="00AE37F1">
            <w:pPr>
              <w:pStyle w:val="Default"/>
              <w:rPr>
                <w:sz w:val="22"/>
                <w:szCs w:val="22"/>
              </w:rPr>
            </w:pPr>
          </w:p>
          <w:p w14:paraId="3D25A5AD" w14:textId="77777777" w:rsidR="009C51A8" w:rsidRPr="001300A9" w:rsidRDefault="009C51A8" w:rsidP="00AE37F1">
            <w:pPr>
              <w:pStyle w:val="Default"/>
              <w:rPr>
                <w:sz w:val="22"/>
                <w:szCs w:val="22"/>
              </w:rPr>
            </w:pPr>
          </w:p>
          <w:p w14:paraId="23651C93" w14:textId="77777777" w:rsidR="009C51A8" w:rsidRPr="001300A9" w:rsidRDefault="009C51A8" w:rsidP="00AE37F1">
            <w:pPr>
              <w:pStyle w:val="Default"/>
              <w:rPr>
                <w:sz w:val="22"/>
                <w:szCs w:val="22"/>
              </w:rPr>
            </w:pPr>
          </w:p>
          <w:p w14:paraId="764E2B2D" w14:textId="77777777" w:rsidR="009C51A8" w:rsidRPr="001300A9" w:rsidRDefault="009C51A8" w:rsidP="00AE37F1">
            <w:pPr>
              <w:pStyle w:val="Default"/>
              <w:rPr>
                <w:sz w:val="22"/>
                <w:szCs w:val="22"/>
              </w:rPr>
            </w:pPr>
          </w:p>
          <w:p w14:paraId="0F10AB6B" w14:textId="77777777" w:rsidR="009C51A8" w:rsidRPr="001300A9" w:rsidRDefault="009C51A8" w:rsidP="00AE37F1">
            <w:pPr>
              <w:pStyle w:val="Default"/>
              <w:rPr>
                <w:sz w:val="22"/>
                <w:szCs w:val="22"/>
              </w:rPr>
            </w:pPr>
          </w:p>
          <w:p w14:paraId="7231BB32" w14:textId="77777777" w:rsidR="009C51A8" w:rsidRPr="001300A9" w:rsidRDefault="009C51A8" w:rsidP="00AE37F1">
            <w:pPr>
              <w:pStyle w:val="Default"/>
              <w:rPr>
                <w:sz w:val="22"/>
                <w:szCs w:val="22"/>
              </w:rPr>
            </w:pPr>
          </w:p>
          <w:p w14:paraId="60BD67EE" w14:textId="77777777" w:rsidR="009C51A8" w:rsidRPr="001300A9" w:rsidRDefault="009C51A8" w:rsidP="00AE37F1">
            <w:pPr>
              <w:pStyle w:val="Default"/>
              <w:rPr>
                <w:sz w:val="22"/>
                <w:szCs w:val="22"/>
              </w:rPr>
            </w:pPr>
          </w:p>
          <w:p w14:paraId="573B7327" w14:textId="77777777" w:rsidR="009C51A8" w:rsidRPr="001300A9" w:rsidRDefault="009C51A8" w:rsidP="00AE37F1">
            <w:pPr>
              <w:pStyle w:val="Default"/>
              <w:rPr>
                <w:sz w:val="22"/>
                <w:szCs w:val="22"/>
              </w:rPr>
            </w:pPr>
          </w:p>
          <w:p w14:paraId="69252D60" w14:textId="77777777" w:rsidR="009C51A8" w:rsidRPr="001300A9" w:rsidRDefault="009C51A8" w:rsidP="00AE37F1">
            <w:pPr>
              <w:pStyle w:val="Default"/>
              <w:rPr>
                <w:sz w:val="22"/>
                <w:szCs w:val="22"/>
              </w:rPr>
            </w:pPr>
          </w:p>
          <w:p w14:paraId="14B44441" w14:textId="77777777" w:rsidR="009C51A8" w:rsidRPr="001300A9" w:rsidRDefault="009C51A8" w:rsidP="00AE37F1">
            <w:pPr>
              <w:pStyle w:val="Default"/>
              <w:rPr>
                <w:sz w:val="22"/>
                <w:szCs w:val="22"/>
              </w:rPr>
            </w:pPr>
          </w:p>
          <w:p w14:paraId="5E6F4A59" w14:textId="77777777" w:rsidR="009C51A8" w:rsidRPr="001300A9" w:rsidRDefault="009C51A8" w:rsidP="00AE37F1">
            <w:pPr>
              <w:pStyle w:val="Default"/>
              <w:rPr>
                <w:sz w:val="22"/>
                <w:szCs w:val="22"/>
              </w:rPr>
            </w:pPr>
          </w:p>
          <w:p w14:paraId="5ED34FF6" w14:textId="77777777" w:rsidR="009C51A8" w:rsidRPr="001300A9" w:rsidRDefault="009C51A8" w:rsidP="00AE37F1">
            <w:pPr>
              <w:pStyle w:val="Default"/>
              <w:rPr>
                <w:sz w:val="22"/>
                <w:szCs w:val="22"/>
              </w:rPr>
            </w:pPr>
          </w:p>
          <w:p w14:paraId="45842E2A" w14:textId="77777777" w:rsidR="009C51A8" w:rsidRPr="001300A9" w:rsidRDefault="009C51A8" w:rsidP="00AE37F1">
            <w:pPr>
              <w:pStyle w:val="Default"/>
              <w:rPr>
                <w:sz w:val="22"/>
                <w:szCs w:val="22"/>
              </w:rPr>
            </w:pPr>
          </w:p>
          <w:p w14:paraId="45BF9A10" w14:textId="77777777" w:rsidR="009C51A8" w:rsidRPr="001300A9" w:rsidRDefault="009C51A8" w:rsidP="00AE37F1">
            <w:pPr>
              <w:pStyle w:val="Default"/>
              <w:rPr>
                <w:sz w:val="22"/>
                <w:szCs w:val="22"/>
              </w:rPr>
            </w:pPr>
          </w:p>
          <w:p w14:paraId="52B293C0" w14:textId="77777777" w:rsidR="009C51A8" w:rsidRPr="001300A9" w:rsidRDefault="009C51A8" w:rsidP="00AE37F1">
            <w:pPr>
              <w:pStyle w:val="Default"/>
              <w:rPr>
                <w:sz w:val="22"/>
                <w:szCs w:val="22"/>
              </w:rPr>
            </w:pPr>
          </w:p>
          <w:p w14:paraId="1AC64771" w14:textId="77777777" w:rsidR="009C51A8" w:rsidRPr="001300A9" w:rsidRDefault="009C51A8" w:rsidP="00AE37F1">
            <w:pPr>
              <w:pStyle w:val="Default"/>
              <w:rPr>
                <w:sz w:val="22"/>
                <w:szCs w:val="22"/>
              </w:rPr>
            </w:pPr>
          </w:p>
          <w:p w14:paraId="3CE41BE3" w14:textId="77777777" w:rsidR="009C51A8" w:rsidRPr="001300A9" w:rsidRDefault="009C51A8" w:rsidP="00AE37F1">
            <w:pPr>
              <w:pStyle w:val="Default"/>
              <w:rPr>
                <w:sz w:val="22"/>
                <w:szCs w:val="22"/>
              </w:rPr>
            </w:pPr>
          </w:p>
          <w:p w14:paraId="4B18A6A6" w14:textId="77777777" w:rsidR="009C51A8" w:rsidRPr="001300A9" w:rsidRDefault="009C51A8" w:rsidP="00AE37F1">
            <w:pPr>
              <w:pStyle w:val="Default"/>
              <w:rPr>
                <w:sz w:val="22"/>
                <w:szCs w:val="22"/>
              </w:rPr>
            </w:pPr>
          </w:p>
          <w:p w14:paraId="12515BE1" w14:textId="77777777" w:rsidR="009C51A8" w:rsidRPr="001300A9" w:rsidRDefault="009C51A8" w:rsidP="00AE37F1">
            <w:pPr>
              <w:pStyle w:val="Default"/>
              <w:rPr>
                <w:sz w:val="22"/>
                <w:szCs w:val="22"/>
              </w:rPr>
            </w:pPr>
          </w:p>
          <w:p w14:paraId="354828A3" w14:textId="77777777" w:rsidR="009C51A8" w:rsidRPr="001300A9" w:rsidRDefault="009C51A8" w:rsidP="00AE37F1">
            <w:pPr>
              <w:pStyle w:val="Default"/>
              <w:rPr>
                <w:sz w:val="22"/>
                <w:szCs w:val="22"/>
              </w:rPr>
            </w:pPr>
          </w:p>
          <w:p w14:paraId="721CABB9" w14:textId="77777777" w:rsidR="009C51A8" w:rsidRPr="001300A9" w:rsidRDefault="009C51A8" w:rsidP="00AE37F1">
            <w:pPr>
              <w:pStyle w:val="Default"/>
              <w:rPr>
                <w:sz w:val="22"/>
                <w:szCs w:val="22"/>
              </w:rPr>
            </w:pPr>
          </w:p>
          <w:p w14:paraId="59C3610C" w14:textId="77777777" w:rsidR="009C51A8" w:rsidRPr="001300A9" w:rsidRDefault="009C51A8" w:rsidP="00AE37F1">
            <w:pPr>
              <w:pStyle w:val="Default"/>
              <w:rPr>
                <w:sz w:val="22"/>
                <w:szCs w:val="22"/>
              </w:rPr>
            </w:pPr>
          </w:p>
          <w:p w14:paraId="383F1CF6" w14:textId="77777777" w:rsidR="009C51A8" w:rsidRPr="001300A9" w:rsidRDefault="009C51A8" w:rsidP="00AE37F1">
            <w:pPr>
              <w:pStyle w:val="Default"/>
              <w:rPr>
                <w:sz w:val="22"/>
                <w:szCs w:val="22"/>
              </w:rPr>
            </w:pPr>
          </w:p>
          <w:p w14:paraId="02115F3B" w14:textId="77777777" w:rsidR="009C51A8" w:rsidRPr="001300A9" w:rsidRDefault="009C51A8" w:rsidP="00AE37F1">
            <w:pPr>
              <w:pStyle w:val="Default"/>
              <w:rPr>
                <w:sz w:val="22"/>
                <w:szCs w:val="22"/>
              </w:rPr>
            </w:pPr>
          </w:p>
          <w:p w14:paraId="7A873B52" w14:textId="77777777" w:rsidR="009C51A8" w:rsidRPr="001300A9" w:rsidRDefault="009C51A8" w:rsidP="00AE37F1">
            <w:pPr>
              <w:pStyle w:val="Default"/>
              <w:rPr>
                <w:sz w:val="22"/>
                <w:szCs w:val="22"/>
              </w:rPr>
            </w:pPr>
          </w:p>
          <w:p w14:paraId="43EEFA47" w14:textId="77777777" w:rsidR="009C51A8" w:rsidRPr="001300A9" w:rsidRDefault="009C51A8" w:rsidP="00AE37F1">
            <w:pPr>
              <w:pStyle w:val="Default"/>
              <w:rPr>
                <w:sz w:val="22"/>
                <w:szCs w:val="22"/>
              </w:rPr>
            </w:pPr>
          </w:p>
          <w:p w14:paraId="3CA6120C" w14:textId="77777777" w:rsidR="009C51A8" w:rsidRPr="001300A9" w:rsidRDefault="009C51A8" w:rsidP="00AE37F1">
            <w:pPr>
              <w:pStyle w:val="Default"/>
              <w:rPr>
                <w:sz w:val="22"/>
                <w:szCs w:val="22"/>
              </w:rPr>
            </w:pPr>
          </w:p>
          <w:p w14:paraId="42B911B6" w14:textId="77777777" w:rsidR="009C51A8" w:rsidRPr="001300A9" w:rsidRDefault="009C51A8" w:rsidP="00AE37F1">
            <w:pPr>
              <w:pStyle w:val="Default"/>
              <w:rPr>
                <w:sz w:val="22"/>
                <w:szCs w:val="22"/>
              </w:rPr>
            </w:pPr>
          </w:p>
          <w:p w14:paraId="1EA2228D" w14:textId="77777777" w:rsidR="009C51A8" w:rsidRPr="001300A9" w:rsidRDefault="009C51A8" w:rsidP="00AE37F1">
            <w:pPr>
              <w:pStyle w:val="Default"/>
              <w:rPr>
                <w:sz w:val="22"/>
                <w:szCs w:val="22"/>
              </w:rPr>
            </w:pPr>
          </w:p>
          <w:p w14:paraId="1EEDC58C" w14:textId="77777777" w:rsidR="009C51A8" w:rsidRPr="001300A9" w:rsidRDefault="009C51A8" w:rsidP="00AE37F1">
            <w:pPr>
              <w:pStyle w:val="Default"/>
              <w:rPr>
                <w:sz w:val="22"/>
                <w:szCs w:val="22"/>
              </w:rPr>
            </w:pPr>
          </w:p>
          <w:p w14:paraId="491BC06F" w14:textId="77777777" w:rsidR="009C51A8" w:rsidRPr="001300A9" w:rsidRDefault="009C51A8" w:rsidP="00AE37F1">
            <w:pPr>
              <w:pStyle w:val="Default"/>
              <w:rPr>
                <w:sz w:val="22"/>
                <w:szCs w:val="22"/>
              </w:rPr>
            </w:pPr>
          </w:p>
          <w:p w14:paraId="782E0F43" w14:textId="77777777" w:rsidR="009C51A8" w:rsidRPr="001300A9" w:rsidRDefault="009C51A8" w:rsidP="00AE37F1">
            <w:pPr>
              <w:pStyle w:val="Default"/>
              <w:rPr>
                <w:sz w:val="22"/>
                <w:szCs w:val="22"/>
              </w:rPr>
            </w:pPr>
          </w:p>
          <w:p w14:paraId="6DABDE7C" w14:textId="77777777" w:rsidR="009C51A8" w:rsidRPr="001300A9" w:rsidRDefault="009C51A8" w:rsidP="00AE37F1">
            <w:pPr>
              <w:pStyle w:val="Default"/>
              <w:rPr>
                <w:sz w:val="22"/>
                <w:szCs w:val="22"/>
              </w:rPr>
            </w:pPr>
          </w:p>
          <w:p w14:paraId="4185B19F" w14:textId="77777777" w:rsidR="009C51A8" w:rsidRPr="001300A9" w:rsidRDefault="009C51A8" w:rsidP="00AE37F1">
            <w:pPr>
              <w:pStyle w:val="Default"/>
              <w:rPr>
                <w:sz w:val="22"/>
                <w:szCs w:val="22"/>
              </w:rPr>
            </w:pPr>
          </w:p>
          <w:p w14:paraId="1EAFAD46" w14:textId="77777777" w:rsidR="009C51A8" w:rsidRPr="001300A9" w:rsidRDefault="009C51A8" w:rsidP="00AE37F1">
            <w:pPr>
              <w:pStyle w:val="Default"/>
              <w:rPr>
                <w:sz w:val="22"/>
                <w:szCs w:val="22"/>
              </w:rPr>
            </w:pPr>
          </w:p>
          <w:p w14:paraId="43A880D4" w14:textId="77777777" w:rsidR="009C51A8" w:rsidRPr="001300A9" w:rsidRDefault="009C51A8" w:rsidP="00AE37F1">
            <w:pPr>
              <w:pStyle w:val="Default"/>
              <w:rPr>
                <w:sz w:val="22"/>
                <w:szCs w:val="22"/>
              </w:rPr>
            </w:pPr>
          </w:p>
          <w:p w14:paraId="214CF618" w14:textId="77777777" w:rsidR="009C51A8" w:rsidRPr="001300A9" w:rsidRDefault="009C51A8" w:rsidP="00AE37F1">
            <w:pPr>
              <w:pStyle w:val="Default"/>
              <w:rPr>
                <w:sz w:val="22"/>
                <w:szCs w:val="22"/>
              </w:rPr>
            </w:pPr>
          </w:p>
          <w:p w14:paraId="5CD74BE3" w14:textId="77777777" w:rsidR="009C51A8" w:rsidRPr="001300A9" w:rsidRDefault="009C51A8" w:rsidP="00AE37F1">
            <w:pPr>
              <w:pStyle w:val="Default"/>
              <w:rPr>
                <w:sz w:val="22"/>
                <w:szCs w:val="22"/>
              </w:rPr>
            </w:pPr>
          </w:p>
          <w:p w14:paraId="3CC107E8" w14:textId="77777777" w:rsidR="009C51A8" w:rsidRPr="001300A9" w:rsidRDefault="009C51A8" w:rsidP="00AE37F1">
            <w:pPr>
              <w:pStyle w:val="Default"/>
              <w:rPr>
                <w:sz w:val="22"/>
                <w:szCs w:val="22"/>
              </w:rPr>
            </w:pPr>
          </w:p>
          <w:p w14:paraId="782742FD" w14:textId="77777777" w:rsidR="009C51A8" w:rsidRPr="001300A9" w:rsidRDefault="009C51A8" w:rsidP="00AE37F1">
            <w:pPr>
              <w:pStyle w:val="Default"/>
              <w:rPr>
                <w:sz w:val="22"/>
                <w:szCs w:val="22"/>
              </w:rPr>
            </w:pPr>
          </w:p>
          <w:p w14:paraId="1891A40C" w14:textId="77777777" w:rsidR="009C51A8" w:rsidRPr="001300A9" w:rsidRDefault="009C51A8" w:rsidP="00AE37F1">
            <w:pPr>
              <w:pStyle w:val="Default"/>
              <w:rPr>
                <w:sz w:val="22"/>
                <w:szCs w:val="22"/>
              </w:rPr>
            </w:pPr>
          </w:p>
          <w:p w14:paraId="45CF46D9" w14:textId="77777777" w:rsidR="009C51A8" w:rsidRPr="001300A9" w:rsidRDefault="009C51A8" w:rsidP="00AE37F1">
            <w:pPr>
              <w:pStyle w:val="Default"/>
              <w:rPr>
                <w:sz w:val="22"/>
                <w:szCs w:val="22"/>
              </w:rPr>
            </w:pPr>
          </w:p>
          <w:p w14:paraId="4993F68A" w14:textId="77777777" w:rsidR="009C51A8" w:rsidRPr="001300A9" w:rsidRDefault="009C51A8" w:rsidP="00AE37F1">
            <w:pPr>
              <w:pStyle w:val="Default"/>
              <w:rPr>
                <w:sz w:val="22"/>
                <w:szCs w:val="22"/>
              </w:rPr>
            </w:pPr>
          </w:p>
          <w:p w14:paraId="7E705964" w14:textId="77777777" w:rsidR="009C51A8" w:rsidRPr="001300A9" w:rsidRDefault="009C51A8" w:rsidP="00AE37F1">
            <w:pPr>
              <w:pStyle w:val="Default"/>
              <w:rPr>
                <w:sz w:val="22"/>
                <w:szCs w:val="22"/>
              </w:rPr>
            </w:pPr>
          </w:p>
          <w:p w14:paraId="386299D1" w14:textId="77777777" w:rsidR="009C51A8" w:rsidRPr="001300A9" w:rsidRDefault="009C51A8" w:rsidP="00AE37F1">
            <w:pPr>
              <w:pStyle w:val="Default"/>
              <w:rPr>
                <w:sz w:val="22"/>
                <w:szCs w:val="22"/>
              </w:rPr>
            </w:pPr>
          </w:p>
          <w:p w14:paraId="3C50BAE8" w14:textId="77777777" w:rsidR="009C51A8" w:rsidRPr="001300A9" w:rsidRDefault="009C51A8" w:rsidP="00AE37F1">
            <w:pPr>
              <w:pStyle w:val="Default"/>
              <w:rPr>
                <w:sz w:val="22"/>
                <w:szCs w:val="22"/>
              </w:rPr>
            </w:pPr>
          </w:p>
          <w:p w14:paraId="46F34D87" w14:textId="77777777" w:rsidR="009C51A8" w:rsidRPr="001300A9" w:rsidRDefault="009C51A8" w:rsidP="00AE37F1">
            <w:pPr>
              <w:pStyle w:val="Default"/>
              <w:rPr>
                <w:sz w:val="22"/>
                <w:szCs w:val="22"/>
              </w:rPr>
            </w:pPr>
          </w:p>
          <w:p w14:paraId="29BA7841" w14:textId="77777777" w:rsidR="009C51A8" w:rsidRPr="001300A9" w:rsidRDefault="009C51A8" w:rsidP="00AE37F1">
            <w:pPr>
              <w:pStyle w:val="Default"/>
              <w:rPr>
                <w:sz w:val="22"/>
                <w:szCs w:val="22"/>
              </w:rPr>
            </w:pPr>
          </w:p>
          <w:p w14:paraId="3E173C5B" w14:textId="77777777" w:rsidR="009C51A8" w:rsidRPr="001300A9" w:rsidRDefault="009C51A8" w:rsidP="00AE37F1">
            <w:pPr>
              <w:pStyle w:val="Default"/>
              <w:rPr>
                <w:sz w:val="22"/>
                <w:szCs w:val="22"/>
              </w:rPr>
            </w:pPr>
          </w:p>
          <w:p w14:paraId="0AA714ED" w14:textId="77777777" w:rsidR="009C51A8" w:rsidRPr="001300A9" w:rsidRDefault="009C51A8" w:rsidP="00AE37F1">
            <w:pPr>
              <w:pStyle w:val="Default"/>
              <w:rPr>
                <w:sz w:val="22"/>
                <w:szCs w:val="22"/>
              </w:rPr>
            </w:pPr>
          </w:p>
          <w:p w14:paraId="44ACE021" w14:textId="77777777" w:rsidR="009C51A8" w:rsidRPr="001300A9" w:rsidRDefault="009C51A8" w:rsidP="00AE37F1">
            <w:pPr>
              <w:pStyle w:val="Default"/>
              <w:rPr>
                <w:sz w:val="22"/>
                <w:szCs w:val="22"/>
              </w:rPr>
            </w:pPr>
          </w:p>
          <w:p w14:paraId="41B337C2" w14:textId="77777777" w:rsidR="009C51A8" w:rsidRPr="001300A9" w:rsidRDefault="009C51A8" w:rsidP="00AE37F1">
            <w:pPr>
              <w:pStyle w:val="Default"/>
              <w:rPr>
                <w:sz w:val="22"/>
                <w:szCs w:val="22"/>
              </w:rPr>
            </w:pPr>
          </w:p>
          <w:p w14:paraId="1EFDB380" w14:textId="77777777" w:rsidR="009C51A8" w:rsidRPr="001300A9" w:rsidRDefault="009C51A8" w:rsidP="00AE37F1">
            <w:pPr>
              <w:pStyle w:val="Default"/>
              <w:rPr>
                <w:sz w:val="22"/>
                <w:szCs w:val="22"/>
              </w:rPr>
            </w:pPr>
          </w:p>
          <w:p w14:paraId="611B09C4" w14:textId="77777777" w:rsidR="009C51A8" w:rsidRPr="001300A9" w:rsidRDefault="009C51A8" w:rsidP="00AE37F1">
            <w:pPr>
              <w:pStyle w:val="Default"/>
              <w:rPr>
                <w:sz w:val="22"/>
                <w:szCs w:val="22"/>
              </w:rPr>
            </w:pPr>
          </w:p>
          <w:p w14:paraId="2B0A6307" w14:textId="77777777" w:rsidR="009C51A8" w:rsidRPr="001300A9" w:rsidRDefault="009C51A8" w:rsidP="00AE37F1">
            <w:pPr>
              <w:pStyle w:val="Default"/>
              <w:rPr>
                <w:sz w:val="22"/>
                <w:szCs w:val="22"/>
              </w:rPr>
            </w:pPr>
          </w:p>
          <w:p w14:paraId="51BBD396" w14:textId="77777777" w:rsidR="009C51A8" w:rsidRPr="001300A9" w:rsidRDefault="009C51A8" w:rsidP="00AE37F1">
            <w:pPr>
              <w:pStyle w:val="Default"/>
              <w:rPr>
                <w:sz w:val="22"/>
                <w:szCs w:val="22"/>
              </w:rPr>
            </w:pPr>
          </w:p>
          <w:p w14:paraId="780E8FE9" w14:textId="77777777" w:rsidR="009C51A8" w:rsidRPr="001300A9" w:rsidRDefault="009C51A8" w:rsidP="00AE37F1">
            <w:pPr>
              <w:pStyle w:val="Default"/>
              <w:rPr>
                <w:sz w:val="22"/>
                <w:szCs w:val="22"/>
              </w:rPr>
            </w:pPr>
          </w:p>
          <w:p w14:paraId="4DB70F8B" w14:textId="77777777" w:rsidR="009C51A8" w:rsidRPr="001300A9" w:rsidRDefault="009C51A8" w:rsidP="00AE37F1">
            <w:pPr>
              <w:pStyle w:val="Default"/>
              <w:rPr>
                <w:sz w:val="22"/>
                <w:szCs w:val="22"/>
              </w:rPr>
            </w:pPr>
          </w:p>
          <w:p w14:paraId="511A5BDF" w14:textId="77777777" w:rsidR="009C51A8" w:rsidRPr="001300A9" w:rsidRDefault="009C51A8" w:rsidP="00AE37F1">
            <w:pPr>
              <w:pStyle w:val="Default"/>
              <w:rPr>
                <w:sz w:val="22"/>
                <w:szCs w:val="22"/>
              </w:rPr>
            </w:pPr>
          </w:p>
          <w:p w14:paraId="627309AB" w14:textId="77777777" w:rsidR="009C51A8" w:rsidRPr="001300A9" w:rsidRDefault="009C51A8" w:rsidP="00AE37F1">
            <w:pPr>
              <w:pStyle w:val="Default"/>
              <w:rPr>
                <w:sz w:val="22"/>
                <w:szCs w:val="22"/>
              </w:rPr>
            </w:pPr>
          </w:p>
          <w:p w14:paraId="21CA9601" w14:textId="77777777" w:rsidR="009C51A8" w:rsidRPr="001300A9" w:rsidRDefault="009C51A8" w:rsidP="00AE37F1">
            <w:pPr>
              <w:pStyle w:val="Default"/>
              <w:rPr>
                <w:sz w:val="22"/>
                <w:szCs w:val="22"/>
              </w:rPr>
            </w:pPr>
          </w:p>
          <w:p w14:paraId="5B1216CF" w14:textId="77777777" w:rsidR="009C51A8" w:rsidRPr="001300A9" w:rsidRDefault="009C51A8" w:rsidP="00AE37F1">
            <w:pPr>
              <w:pStyle w:val="Default"/>
              <w:rPr>
                <w:sz w:val="22"/>
                <w:szCs w:val="22"/>
              </w:rPr>
            </w:pPr>
          </w:p>
          <w:p w14:paraId="44C88071" w14:textId="77777777" w:rsidR="009C51A8" w:rsidRPr="001300A9" w:rsidRDefault="009C51A8" w:rsidP="00AE37F1">
            <w:pPr>
              <w:pStyle w:val="Default"/>
              <w:rPr>
                <w:sz w:val="22"/>
                <w:szCs w:val="22"/>
              </w:rPr>
            </w:pPr>
          </w:p>
          <w:p w14:paraId="65C30559" w14:textId="77777777" w:rsidR="009C51A8" w:rsidRPr="001300A9" w:rsidRDefault="009C51A8" w:rsidP="00AE37F1">
            <w:pPr>
              <w:pStyle w:val="Default"/>
              <w:rPr>
                <w:sz w:val="22"/>
                <w:szCs w:val="22"/>
              </w:rPr>
            </w:pPr>
          </w:p>
          <w:p w14:paraId="7419348C" w14:textId="77777777" w:rsidR="009C51A8" w:rsidRPr="001300A9" w:rsidRDefault="009C51A8" w:rsidP="00AE37F1">
            <w:pPr>
              <w:pStyle w:val="Default"/>
              <w:rPr>
                <w:sz w:val="22"/>
                <w:szCs w:val="22"/>
              </w:rPr>
            </w:pPr>
          </w:p>
          <w:p w14:paraId="108C7DED" w14:textId="77777777" w:rsidR="009C51A8" w:rsidRPr="001300A9" w:rsidRDefault="009C51A8" w:rsidP="00AE37F1">
            <w:pPr>
              <w:pStyle w:val="Default"/>
              <w:rPr>
                <w:sz w:val="22"/>
                <w:szCs w:val="22"/>
              </w:rPr>
            </w:pPr>
          </w:p>
          <w:p w14:paraId="1D315B89" w14:textId="77777777" w:rsidR="009C51A8" w:rsidRPr="001300A9" w:rsidRDefault="009C51A8" w:rsidP="00AE37F1">
            <w:pPr>
              <w:pStyle w:val="Default"/>
              <w:rPr>
                <w:sz w:val="22"/>
                <w:szCs w:val="22"/>
              </w:rPr>
            </w:pPr>
          </w:p>
          <w:p w14:paraId="2608227E" w14:textId="77777777" w:rsidR="009C51A8" w:rsidRPr="001300A9" w:rsidRDefault="009C51A8" w:rsidP="00AE37F1">
            <w:pPr>
              <w:pStyle w:val="Default"/>
              <w:rPr>
                <w:sz w:val="22"/>
                <w:szCs w:val="22"/>
              </w:rPr>
            </w:pPr>
          </w:p>
          <w:p w14:paraId="62B6EA13" w14:textId="77777777" w:rsidR="009C51A8" w:rsidRPr="001300A9" w:rsidRDefault="009C51A8" w:rsidP="00AE37F1">
            <w:pPr>
              <w:pStyle w:val="Default"/>
              <w:rPr>
                <w:sz w:val="22"/>
                <w:szCs w:val="22"/>
              </w:rPr>
            </w:pPr>
          </w:p>
          <w:p w14:paraId="679A23D4" w14:textId="77777777" w:rsidR="009C51A8" w:rsidRPr="001300A9" w:rsidRDefault="009C51A8" w:rsidP="00AE37F1">
            <w:pPr>
              <w:pStyle w:val="Default"/>
              <w:rPr>
                <w:sz w:val="22"/>
                <w:szCs w:val="22"/>
              </w:rPr>
            </w:pPr>
          </w:p>
          <w:p w14:paraId="603F8458" w14:textId="77777777" w:rsidR="009C51A8" w:rsidRPr="001300A9" w:rsidRDefault="009C51A8" w:rsidP="00AE37F1">
            <w:pPr>
              <w:pStyle w:val="Default"/>
              <w:rPr>
                <w:sz w:val="22"/>
                <w:szCs w:val="22"/>
              </w:rPr>
            </w:pPr>
          </w:p>
          <w:p w14:paraId="42D6C50B" w14:textId="77777777" w:rsidR="009C51A8" w:rsidRPr="001300A9" w:rsidRDefault="009C51A8" w:rsidP="00AE37F1">
            <w:pPr>
              <w:pStyle w:val="Default"/>
              <w:rPr>
                <w:sz w:val="22"/>
                <w:szCs w:val="22"/>
              </w:rPr>
            </w:pPr>
          </w:p>
          <w:p w14:paraId="1D062047" w14:textId="77777777" w:rsidR="009C51A8" w:rsidRPr="001300A9" w:rsidRDefault="009C51A8" w:rsidP="00AE37F1">
            <w:pPr>
              <w:pStyle w:val="Default"/>
              <w:rPr>
                <w:sz w:val="22"/>
                <w:szCs w:val="22"/>
              </w:rPr>
            </w:pPr>
          </w:p>
          <w:p w14:paraId="196F1DCB" w14:textId="77777777" w:rsidR="009C51A8" w:rsidRPr="001300A9" w:rsidRDefault="009C51A8" w:rsidP="00AE37F1">
            <w:pPr>
              <w:pStyle w:val="Default"/>
              <w:rPr>
                <w:sz w:val="22"/>
                <w:szCs w:val="22"/>
              </w:rPr>
            </w:pPr>
          </w:p>
          <w:p w14:paraId="04456147" w14:textId="77777777" w:rsidR="009C51A8" w:rsidRPr="001300A9" w:rsidRDefault="009C51A8" w:rsidP="00AE37F1">
            <w:pPr>
              <w:pStyle w:val="Default"/>
              <w:rPr>
                <w:sz w:val="22"/>
                <w:szCs w:val="22"/>
              </w:rPr>
            </w:pPr>
          </w:p>
          <w:p w14:paraId="5DED9194" w14:textId="77777777" w:rsidR="009C51A8" w:rsidRPr="001300A9" w:rsidRDefault="009C51A8" w:rsidP="00AE37F1">
            <w:pPr>
              <w:pStyle w:val="Default"/>
              <w:rPr>
                <w:sz w:val="22"/>
                <w:szCs w:val="22"/>
              </w:rPr>
            </w:pPr>
          </w:p>
          <w:p w14:paraId="7EF3D386" w14:textId="77777777" w:rsidR="009C51A8" w:rsidRPr="001300A9" w:rsidRDefault="009C51A8" w:rsidP="00AE37F1">
            <w:pPr>
              <w:pStyle w:val="Default"/>
              <w:rPr>
                <w:sz w:val="22"/>
                <w:szCs w:val="22"/>
              </w:rPr>
            </w:pPr>
          </w:p>
          <w:p w14:paraId="7E73870D" w14:textId="77777777" w:rsidR="009C51A8" w:rsidRPr="001300A9" w:rsidRDefault="009C51A8" w:rsidP="00AE37F1">
            <w:pPr>
              <w:pStyle w:val="Default"/>
              <w:rPr>
                <w:sz w:val="22"/>
                <w:szCs w:val="22"/>
              </w:rPr>
            </w:pPr>
          </w:p>
          <w:p w14:paraId="70806628" w14:textId="77777777" w:rsidR="009C51A8" w:rsidRPr="001300A9" w:rsidRDefault="009C51A8" w:rsidP="00AE37F1">
            <w:pPr>
              <w:pStyle w:val="Default"/>
              <w:rPr>
                <w:sz w:val="22"/>
                <w:szCs w:val="22"/>
              </w:rPr>
            </w:pPr>
          </w:p>
          <w:p w14:paraId="7BE185A0" w14:textId="77777777" w:rsidR="009C51A8" w:rsidRPr="001300A9" w:rsidRDefault="009C51A8" w:rsidP="00AE37F1">
            <w:pPr>
              <w:pStyle w:val="Default"/>
              <w:rPr>
                <w:sz w:val="22"/>
                <w:szCs w:val="22"/>
              </w:rPr>
            </w:pPr>
          </w:p>
          <w:p w14:paraId="72654D27" w14:textId="77777777" w:rsidR="009C51A8" w:rsidRPr="001300A9" w:rsidRDefault="009C51A8" w:rsidP="00AE37F1">
            <w:pPr>
              <w:pStyle w:val="Default"/>
              <w:rPr>
                <w:sz w:val="22"/>
                <w:szCs w:val="22"/>
              </w:rPr>
            </w:pPr>
          </w:p>
          <w:p w14:paraId="4C770F0C" w14:textId="77777777" w:rsidR="009C51A8" w:rsidRPr="001300A9" w:rsidRDefault="009C51A8" w:rsidP="00AE37F1">
            <w:pPr>
              <w:pStyle w:val="Default"/>
              <w:rPr>
                <w:sz w:val="22"/>
                <w:szCs w:val="22"/>
              </w:rPr>
            </w:pPr>
          </w:p>
          <w:p w14:paraId="3D702180" w14:textId="77777777" w:rsidR="009C51A8" w:rsidRPr="001300A9" w:rsidRDefault="009C51A8" w:rsidP="00AE37F1">
            <w:pPr>
              <w:pStyle w:val="Default"/>
              <w:rPr>
                <w:sz w:val="22"/>
                <w:szCs w:val="22"/>
              </w:rPr>
            </w:pPr>
          </w:p>
          <w:p w14:paraId="5AEF10CD" w14:textId="77777777" w:rsidR="009C51A8" w:rsidRPr="001300A9" w:rsidRDefault="009C51A8" w:rsidP="00AE37F1">
            <w:pPr>
              <w:pStyle w:val="Default"/>
              <w:rPr>
                <w:sz w:val="22"/>
                <w:szCs w:val="22"/>
              </w:rPr>
            </w:pPr>
          </w:p>
          <w:p w14:paraId="4A695734" w14:textId="77777777" w:rsidR="009C51A8" w:rsidRPr="001300A9" w:rsidRDefault="009C51A8" w:rsidP="00AE37F1">
            <w:pPr>
              <w:pStyle w:val="Default"/>
              <w:rPr>
                <w:sz w:val="22"/>
                <w:szCs w:val="22"/>
              </w:rPr>
            </w:pPr>
          </w:p>
          <w:p w14:paraId="1C0DA4D3" w14:textId="77777777" w:rsidR="009C51A8" w:rsidRPr="001300A9" w:rsidRDefault="009C51A8" w:rsidP="00AE37F1">
            <w:pPr>
              <w:pStyle w:val="Default"/>
              <w:rPr>
                <w:sz w:val="22"/>
                <w:szCs w:val="22"/>
              </w:rPr>
            </w:pPr>
          </w:p>
          <w:p w14:paraId="05DBD23D" w14:textId="77777777" w:rsidR="009C51A8" w:rsidRPr="001300A9" w:rsidRDefault="009C51A8" w:rsidP="00AE37F1">
            <w:pPr>
              <w:pStyle w:val="Default"/>
              <w:rPr>
                <w:sz w:val="22"/>
                <w:szCs w:val="22"/>
              </w:rPr>
            </w:pPr>
          </w:p>
          <w:p w14:paraId="40F6A384" w14:textId="77777777" w:rsidR="009C51A8" w:rsidRPr="001300A9" w:rsidRDefault="009C51A8" w:rsidP="00AE37F1">
            <w:pPr>
              <w:pStyle w:val="Default"/>
              <w:rPr>
                <w:sz w:val="22"/>
                <w:szCs w:val="22"/>
              </w:rPr>
            </w:pPr>
          </w:p>
          <w:p w14:paraId="04C8BFD3" w14:textId="77777777" w:rsidR="009C51A8" w:rsidRPr="001300A9" w:rsidRDefault="009C51A8" w:rsidP="00AE37F1">
            <w:pPr>
              <w:pStyle w:val="Default"/>
              <w:rPr>
                <w:sz w:val="22"/>
                <w:szCs w:val="22"/>
              </w:rPr>
            </w:pPr>
          </w:p>
          <w:p w14:paraId="0640616E" w14:textId="77777777" w:rsidR="009C51A8" w:rsidRPr="001300A9" w:rsidRDefault="009C51A8" w:rsidP="00AE37F1">
            <w:pPr>
              <w:pStyle w:val="Default"/>
              <w:rPr>
                <w:sz w:val="22"/>
                <w:szCs w:val="22"/>
              </w:rPr>
            </w:pPr>
          </w:p>
          <w:p w14:paraId="1A986251" w14:textId="77777777" w:rsidR="009C51A8" w:rsidRPr="001300A9" w:rsidRDefault="009C51A8" w:rsidP="00AE37F1">
            <w:pPr>
              <w:pStyle w:val="Default"/>
              <w:rPr>
                <w:sz w:val="22"/>
                <w:szCs w:val="22"/>
              </w:rPr>
            </w:pPr>
          </w:p>
          <w:p w14:paraId="24EC4917" w14:textId="77777777" w:rsidR="009C51A8" w:rsidRPr="001300A9" w:rsidRDefault="009C51A8" w:rsidP="00AE37F1">
            <w:pPr>
              <w:pStyle w:val="Default"/>
              <w:rPr>
                <w:sz w:val="22"/>
                <w:szCs w:val="22"/>
              </w:rPr>
            </w:pPr>
          </w:p>
          <w:p w14:paraId="3DA76B65" w14:textId="77777777" w:rsidR="009C51A8" w:rsidRPr="001300A9" w:rsidRDefault="009C51A8" w:rsidP="00AE37F1">
            <w:pPr>
              <w:pStyle w:val="Default"/>
              <w:rPr>
                <w:sz w:val="22"/>
                <w:szCs w:val="22"/>
              </w:rPr>
            </w:pPr>
          </w:p>
          <w:p w14:paraId="71319894" w14:textId="77777777" w:rsidR="009C51A8" w:rsidRPr="001300A9" w:rsidRDefault="009C51A8" w:rsidP="00AE37F1">
            <w:pPr>
              <w:pStyle w:val="Default"/>
              <w:rPr>
                <w:sz w:val="22"/>
                <w:szCs w:val="22"/>
              </w:rPr>
            </w:pPr>
          </w:p>
          <w:p w14:paraId="12F8420E" w14:textId="77777777" w:rsidR="009C51A8" w:rsidRPr="001300A9" w:rsidRDefault="009C51A8" w:rsidP="00AE37F1">
            <w:pPr>
              <w:pStyle w:val="Default"/>
              <w:rPr>
                <w:sz w:val="22"/>
                <w:szCs w:val="22"/>
              </w:rPr>
            </w:pPr>
          </w:p>
          <w:p w14:paraId="0C370216" w14:textId="77777777" w:rsidR="009C51A8" w:rsidRPr="001300A9" w:rsidRDefault="009C51A8" w:rsidP="00AE37F1">
            <w:pPr>
              <w:pStyle w:val="Default"/>
              <w:rPr>
                <w:sz w:val="22"/>
                <w:szCs w:val="22"/>
              </w:rPr>
            </w:pPr>
          </w:p>
          <w:p w14:paraId="7FB5764F" w14:textId="77777777" w:rsidR="009C51A8" w:rsidRPr="001300A9" w:rsidRDefault="009C51A8" w:rsidP="00AE37F1">
            <w:pPr>
              <w:pStyle w:val="Default"/>
              <w:rPr>
                <w:sz w:val="22"/>
                <w:szCs w:val="22"/>
              </w:rPr>
            </w:pPr>
          </w:p>
          <w:p w14:paraId="687D0BAA" w14:textId="77777777" w:rsidR="009C51A8" w:rsidRPr="001300A9" w:rsidRDefault="009C51A8" w:rsidP="00AE37F1">
            <w:pPr>
              <w:pStyle w:val="Default"/>
              <w:rPr>
                <w:sz w:val="22"/>
                <w:szCs w:val="22"/>
              </w:rPr>
            </w:pPr>
          </w:p>
          <w:p w14:paraId="39FBFA41" w14:textId="77777777" w:rsidR="009C51A8" w:rsidRPr="001300A9" w:rsidRDefault="009C51A8" w:rsidP="00AE37F1">
            <w:pPr>
              <w:pStyle w:val="Default"/>
              <w:rPr>
                <w:sz w:val="22"/>
                <w:szCs w:val="22"/>
              </w:rPr>
            </w:pPr>
          </w:p>
          <w:p w14:paraId="5E6EB81C" w14:textId="77777777" w:rsidR="009C51A8" w:rsidRPr="001300A9" w:rsidRDefault="009C51A8" w:rsidP="00AE37F1">
            <w:pPr>
              <w:pStyle w:val="Default"/>
              <w:rPr>
                <w:sz w:val="22"/>
                <w:szCs w:val="22"/>
              </w:rPr>
            </w:pPr>
          </w:p>
          <w:p w14:paraId="22B619CC" w14:textId="77777777" w:rsidR="009C51A8" w:rsidRPr="001300A9" w:rsidRDefault="009C51A8" w:rsidP="00AE37F1">
            <w:pPr>
              <w:pStyle w:val="Default"/>
              <w:rPr>
                <w:sz w:val="22"/>
                <w:szCs w:val="22"/>
              </w:rPr>
            </w:pPr>
          </w:p>
          <w:p w14:paraId="43678609" w14:textId="77777777" w:rsidR="009C51A8" w:rsidRPr="001300A9" w:rsidRDefault="009C51A8" w:rsidP="00AE37F1">
            <w:pPr>
              <w:pStyle w:val="Default"/>
              <w:rPr>
                <w:sz w:val="22"/>
                <w:szCs w:val="22"/>
              </w:rPr>
            </w:pPr>
          </w:p>
          <w:p w14:paraId="611E2887" w14:textId="77777777" w:rsidR="009C51A8" w:rsidRPr="001300A9" w:rsidRDefault="009C51A8" w:rsidP="00AE37F1">
            <w:pPr>
              <w:pStyle w:val="Default"/>
              <w:rPr>
                <w:sz w:val="22"/>
                <w:szCs w:val="22"/>
              </w:rPr>
            </w:pPr>
          </w:p>
          <w:p w14:paraId="3FF52702" w14:textId="77777777" w:rsidR="009C51A8" w:rsidRPr="001300A9" w:rsidRDefault="009C51A8" w:rsidP="00AE37F1">
            <w:pPr>
              <w:pStyle w:val="Default"/>
              <w:rPr>
                <w:sz w:val="22"/>
                <w:szCs w:val="22"/>
              </w:rPr>
            </w:pPr>
          </w:p>
          <w:p w14:paraId="31BFAEBE" w14:textId="77777777" w:rsidR="009C51A8" w:rsidRPr="001300A9" w:rsidRDefault="009C51A8" w:rsidP="00AE37F1">
            <w:pPr>
              <w:pStyle w:val="Default"/>
              <w:rPr>
                <w:sz w:val="22"/>
                <w:szCs w:val="22"/>
              </w:rPr>
            </w:pPr>
          </w:p>
          <w:p w14:paraId="015ACC10" w14:textId="77777777" w:rsidR="009C51A8" w:rsidRPr="001300A9" w:rsidRDefault="009C51A8" w:rsidP="00AE37F1">
            <w:pPr>
              <w:pStyle w:val="Default"/>
              <w:rPr>
                <w:sz w:val="22"/>
                <w:szCs w:val="22"/>
              </w:rPr>
            </w:pPr>
          </w:p>
          <w:p w14:paraId="7ACB6292" w14:textId="77777777" w:rsidR="009C51A8" w:rsidRPr="001300A9" w:rsidRDefault="009C51A8" w:rsidP="00AE37F1">
            <w:pPr>
              <w:pStyle w:val="Default"/>
              <w:rPr>
                <w:sz w:val="22"/>
                <w:szCs w:val="22"/>
              </w:rPr>
            </w:pPr>
          </w:p>
          <w:p w14:paraId="503F3D41" w14:textId="77777777" w:rsidR="009C51A8" w:rsidRPr="001300A9" w:rsidRDefault="009C51A8" w:rsidP="00AE37F1">
            <w:pPr>
              <w:pStyle w:val="Default"/>
              <w:rPr>
                <w:sz w:val="22"/>
                <w:szCs w:val="22"/>
              </w:rPr>
            </w:pPr>
          </w:p>
          <w:p w14:paraId="0410756D" w14:textId="77777777" w:rsidR="009C51A8" w:rsidRPr="001300A9" w:rsidRDefault="009C51A8" w:rsidP="00AE37F1">
            <w:pPr>
              <w:pStyle w:val="Default"/>
              <w:rPr>
                <w:sz w:val="22"/>
                <w:szCs w:val="22"/>
              </w:rPr>
            </w:pPr>
          </w:p>
          <w:p w14:paraId="64C63D84" w14:textId="77777777" w:rsidR="009C51A8" w:rsidRPr="001300A9" w:rsidRDefault="009C51A8" w:rsidP="00AE37F1">
            <w:pPr>
              <w:pStyle w:val="Default"/>
              <w:rPr>
                <w:sz w:val="22"/>
                <w:szCs w:val="22"/>
              </w:rPr>
            </w:pPr>
          </w:p>
          <w:p w14:paraId="4BF3BB69" w14:textId="77777777" w:rsidR="009C51A8" w:rsidRPr="001300A9" w:rsidRDefault="009C51A8" w:rsidP="00AE37F1">
            <w:pPr>
              <w:pStyle w:val="Default"/>
              <w:rPr>
                <w:sz w:val="22"/>
                <w:szCs w:val="22"/>
              </w:rPr>
            </w:pPr>
          </w:p>
          <w:p w14:paraId="49287FDA" w14:textId="77777777" w:rsidR="009C51A8" w:rsidRPr="001300A9" w:rsidRDefault="009C51A8" w:rsidP="00AE37F1">
            <w:pPr>
              <w:pStyle w:val="Default"/>
              <w:rPr>
                <w:sz w:val="22"/>
                <w:szCs w:val="22"/>
              </w:rPr>
            </w:pPr>
          </w:p>
          <w:p w14:paraId="52AAE109" w14:textId="77777777" w:rsidR="009C51A8" w:rsidRPr="001300A9" w:rsidRDefault="009C51A8" w:rsidP="00AE37F1">
            <w:pPr>
              <w:pStyle w:val="Default"/>
              <w:rPr>
                <w:sz w:val="22"/>
                <w:szCs w:val="22"/>
              </w:rPr>
            </w:pPr>
          </w:p>
          <w:p w14:paraId="7E1565AC" w14:textId="77777777" w:rsidR="009C51A8" w:rsidRPr="001300A9" w:rsidRDefault="009C51A8" w:rsidP="00AE37F1">
            <w:pPr>
              <w:pStyle w:val="Default"/>
              <w:rPr>
                <w:sz w:val="22"/>
                <w:szCs w:val="22"/>
              </w:rPr>
            </w:pPr>
          </w:p>
          <w:p w14:paraId="5CEAB012" w14:textId="77777777" w:rsidR="009C51A8" w:rsidRPr="001300A9" w:rsidRDefault="009C51A8" w:rsidP="00AE37F1">
            <w:pPr>
              <w:pStyle w:val="Default"/>
              <w:rPr>
                <w:sz w:val="22"/>
                <w:szCs w:val="22"/>
              </w:rPr>
            </w:pPr>
          </w:p>
          <w:p w14:paraId="4B88CFB0" w14:textId="77777777" w:rsidR="009C51A8" w:rsidRPr="001300A9" w:rsidRDefault="009C51A8" w:rsidP="00AE37F1">
            <w:pPr>
              <w:pStyle w:val="Default"/>
              <w:rPr>
                <w:sz w:val="22"/>
                <w:szCs w:val="22"/>
              </w:rPr>
            </w:pPr>
          </w:p>
          <w:p w14:paraId="0BCD3814" w14:textId="77777777" w:rsidR="009C51A8" w:rsidRPr="001300A9" w:rsidRDefault="009C51A8" w:rsidP="00AE37F1">
            <w:pPr>
              <w:pStyle w:val="Default"/>
              <w:rPr>
                <w:sz w:val="22"/>
                <w:szCs w:val="22"/>
              </w:rPr>
            </w:pPr>
          </w:p>
          <w:p w14:paraId="5542EFDB" w14:textId="77777777" w:rsidR="009C51A8" w:rsidRPr="001300A9" w:rsidRDefault="009C51A8" w:rsidP="00AE37F1">
            <w:pPr>
              <w:pStyle w:val="Default"/>
              <w:rPr>
                <w:sz w:val="22"/>
                <w:szCs w:val="22"/>
              </w:rPr>
            </w:pPr>
          </w:p>
          <w:p w14:paraId="6F46BE87" w14:textId="77777777" w:rsidR="009C51A8" w:rsidRPr="001300A9" w:rsidRDefault="009C51A8" w:rsidP="00AE37F1">
            <w:pPr>
              <w:pStyle w:val="Default"/>
              <w:rPr>
                <w:sz w:val="22"/>
                <w:szCs w:val="22"/>
              </w:rPr>
            </w:pPr>
          </w:p>
          <w:p w14:paraId="3AEAB731" w14:textId="77777777" w:rsidR="009C51A8" w:rsidRPr="001300A9" w:rsidRDefault="009C51A8" w:rsidP="00AE37F1">
            <w:pPr>
              <w:pStyle w:val="Default"/>
              <w:rPr>
                <w:sz w:val="22"/>
                <w:szCs w:val="22"/>
              </w:rPr>
            </w:pPr>
          </w:p>
          <w:p w14:paraId="01E726A1" w14:textId="77777777" w:rsidR="009C51A8" w:rsidRPr="001300A9" w:rsidRDefault="009C51A8" w:rsidP="00AE37F1">
            <w:pPr>
              <w:pStyle w:val="Default"/>
              <w:rPr>
                <w:sz w:val="22"/>
                <w:szCs w:val="22"/>
              </w:rPr>
            </w:pPr>
          </w:p>
          <w:p w14:paraId="6EA03034" w14:textId="77777777" w:rsidR="009C51A8" w:rsidRPr="001300A9" w:rsidRDefault="009C51A8" w:rsidP="00AE37F1">
            <w:pPr>
              <w:pStyle w:val="Default"/>
              <w:rPr>
                <w:sz w:val="22"/>
                <w:szCs w:val="22"/>
              </w:rPr>
            </w:pPr>
          </w:p>
          <w:p w14:paraId="7597293E" w14:textId="77777777" w:rsidR="009C51A8" w:rsidRPr="001300A9" w:rsidRDefault="009C51A8" w:rsidP="00AE37F1">
            <w:pPr>
              <w:pStyle w:val="Default"/>
              <w:rPr>
                <w:sz w:val="22"/>
                <w:szCs w:val="22"/>
              </w:rPr>
            </w:pPr>
          </w:p>
          <w:p w14:paraId="41075439" w14:textId="77777777" w:rsidR="009C51A8" w:rsidRPr="001300A9" w:rsidRDefault="009C51A8" w:rsidP="00AE37F1">
            <w:pPr>
              <w:pStyle w:val="Default"/>
              <w:rPr>
                <w:sz w:val="22"/>
                <w:szCs w:val="22"/>
              </w:rPr>
            </w:pPr>
          </w:p>
          <w:p w14:paraId="419B3F02" w14:textId="77777777" w:rsidR="009C51A8" w:rsidRPr="001300A9" w:rsidRDefault="009C51A8" w:rsidP="00AE37F1">
            <w:pPr>
              <w:pStyle w:val="Default"/>
              <w:rPr>
                <w:sz w:val="22"/>
                <w:szCs w:val="22"/>
              </w:rPr>
            </w:pPr>
          </w:p>
          <w:p w14:paraId="022BC5EA" w14:textId="77777777" w:rsidR="009C51A8" w:rsidRPr="001300A9" w:rsidRDefault="009C51A8" w:rsidP="00AE37F1">
            <w:pPr>
              <w:pStyle w:val="Default"/>
              <w:rPr>
                <w:sz w:val="22"/>
                <w:szCs w:val="22"/>
              </w:rPr>
            </w:pPr>
          </w:p>
          <w:p w14:paraId="12C7C312" w14:textId="77777777" w:rsidR="009C51A8" w:rsidRPr="001300A9" w:rsidRDefault="009C51A8" w:rsidP="00AE37F1">
            <w:pPr>
              <w:pStyle w:val="Default"/>
              <w:rPr>
                <w:sz w:val="22"/>
                <w:szCs w:val="22"/>
              </w:rPr>
            </w:pPr>
          </w:p>
          <w:p w14:paraId="6DFD869E" w14:textId="77777777" w:rsidR="009C51A8" w:rsidRPr="001300A9" w:rsidRDefault="009C51A8" w:rsidP="00AE37F1">
            <w:pPr>
              <w:pStyle w:val="Default"/>
              <w:rPr>
                <w:sz w:val="22"/>
                <w:szCs w:val="22"/>
              </w:rPr>
            </w:pPr>
          </w:p>
          <w:p w14:paraId="6763BFD5" w14:textId="77777777" w:rsidR="009C51A8" w:rsidRPr="001300A9" w:rsidRDefault="009C51A8" w:rsidP="00AE37F1">
            <w:pPr>
              <w:pStyle w:val="Default"/>
              <w:rPr>
                <w:sz w:val="22"/>
                <w:szCs w:val="22"/>
              </w:rPr>
            </w:pPr>
          </w:p>
          <w:p w14:paraId="729FD5DE" w14:textId="77777777" w:rsidR="009C51A8" w:rsidRPr="001300A9" w:rsidRDefault="009C51A8" w:rsidP="00AE37F1">
            <w:pPr>
              <w:pStyle w:val="Default"/>
              <w:rPr>
                <w:sz w:val="22"/>
                <w:szCs w:val="22"/>
              </w:rPr>
            </w:pPr>
          </w:p>
          <w:p w14:paraId="3F5B616A" w14:textId="77777777" w:rsidR="009C51A8" w:rsidRPr="001300A9" w:rsidRDefault="009C51A8" w:rsidP="00AE37F1">
            <w:pPr>
              <w:pStyle w:val="Default"/>
              <w:rPr>
                <w:sz w:val="22"/>
                <w:szCs w:val="22"/>
              </w:rPr>
            </w:pPr>
          </w:p>
          <w:p w14:paraId="4C6161EB" w14:textId="77777777" w:rsidR="009C51A8" w:rsidRPr="001300A9" w:rsidRDefault="009C51A8" w:rsidP="00AE37F1">
            <w:pPr>
              <w:pStyle w:val="Default"/>
              <w:rPr>
                <w:sz w:val="22"/>
                <w:szCs w:val="22"/>
              </w:rPr>
            </w:pPr>
          </w:p>
          <w:p w14:paraId="5A8ABAA2" w14:textId="77777777" w:rsidR="009C51A8" w:rsidRPr="001300A9" w:rsidRDefault="009C51A8" w:rsidP="00AE37F1">
            <w:pPr>
              <w:pStyle w:val="Default"/>
              <w:rPr>
                <w:sz w:val="22"/>
                <w:szCs w:val="22"/>
              </w:rPr>
            </w:pPr>
          </w:p>
          <w:p w14:paraId="435439F4" w14:textId="77777777" w:rsidR="009C51A8" w:rsidRPr="001300A9" w:rsidRDefault="009C51A8" w:rsidP="00AE37F1">
            <w:pPr>
              <w:pStyle w:val="Default"/>
              <w:rPr>
                <w:sz w:val="22"/>
                <w:szCs w:val="22"/>
              </w:rPr>
            </w:pPr>
          </w:p>
          <w:p w14:paraId="65E76DA0" w14:textId="77777777" w:rsidR="009C51A8" w:rsidRPr="001300A9" w:rsidRDefault="009C51A8" w:rsidP="00AE37F1">
            <w:pPr>
              <w:pStyle w:val="Default"/>
              <w:rPr>
                <w:sz w:val="22"/>
                <w:szCs w:val="22"/>
              </w:rPr>
            </w:pPr>
          </w:p>
          <w:p w14:paraId="257B9312" w14:textId="77777777" w:rsidR="009C51A8" w:rsidRPr="001300A9" w:rsidRDefault="009C51A8" w:rsidP="00AE37F1">
            <w:pPr>
              <w:pStyle w:val="Default"/>
              <w:rPr>
                <w:sz w:val="22"/>
                <w:szCs w:val="22"/>
              </w:rPr>
            </w:pPr>
          </w:p>
          <w:p w14:paraId="108D5629" w14:textId="77777777" w:rsidR="009C51A8" w:rsidRPr="001300A9" w:rsidRDefault="009C51A8" w:rsidP="00AE37F1">
            <w:pPr>
              <w:pStyle w:val="Default"/>
              <w:rPr>
                <w:sz w:val="22"/>
                <w:szCs w:val="22"/>
              </w:rPr>
            </w:pPr>
          </w:p>
          <w:p w14:paraId="40B33294" w14:textId="77777777" w:rsidR="009C51A8" w:rsidRPr="001300A9" w:rsidRDefault="009C51A8" w:rsidP="00AE37F1">
            <w:pPr>
              <w:pStyle w:val="Default"/>
              <w:rPr>
                <w:sz w:val="22"/>
                <w:szCs w:val="22"/>
              </w:rPr>
            </w:pPr>
          </w:p>
          <w:p w14:paraId="0EE5EB9B" w14:textId="77777777" w:rsidR="009C51A8" w:rsidRPr="001300A9" w:rsidRDefault="009C51A8" w:rsidP="00AE37F1">
            <w:pPr>
              <w:pStyle w:val="Default"/>
              <w:rPr>
                <w:sz w:val="22"/>
                <w:szCs w:val="22"/>
              </w:rPr>
            </w:pPr>
          </w:p>
          <w:p w14:paraId="150B2E6F" w14:textId="77777777" w:rsidR="009C51A8" w:rsidRPr="001300A9" w:rsidRDefault="009C51A8" w:rsidP="00AE37F1">
            <w:pPr>
              <w:pStyle w:val="Default"/>
              <w:rPr>
                <w:sz w:val="22"/>
                <w:szCs w:val="22"/>
              </w:rPr>
            </w:pPr>
          </w:p>
          <w:p w14:paraId="675412F9" w14:textId="77777777" w:rsidR="009C51A8" w:rsidRPr="001300A9" w:rsidRDefault="009C51A8" w:rsidP="00AE37F1">
            <w:pPr>
              <w:pStyle w:val="Default"/>
              <w:rPr>
                <w:sz w:val="22"/>
                <w:szCs w:val="22"/>
              </w:rPr>
            </w:pPr>
          </w:p>
          <w:p w14:paraId="0FB9CF32" w14:textId="77777777" w:rsidR="009C51A8" w:rsidRPr="001300A9" w:rsidRDefault="009C51A8" w:rsidP="00AE37F1">
            <w:pPr>
              <w:pStyle w:val="Default"/>
              <w:rPr>
                <w:sz w:val="22"/>
                <w:szCs w:val="22"/>
              </w:rPr>
            </w:pPr>
          </w:p>
          <w:p w14:paraId="6BF890E6" w14:textId="77777777" w:rsidR="009C51A8" w:rsidRPr="001300A9" w:rsidRDefault="009C51A8" w:rsidP="00AE37F1">
            <w:pPr>
              <w:pStyle w:val="Default"/>
              <w:rPr>
                <w:sz w:val="22"/>
                <w:szCs w:val="22"/>
              </w:rPr>
            </w:pPr>
          </w:p>
          <w:p w14:paraId="3C831224" w14:textId="77777777" w:rsidR="009C51A8" w:rsidRPr="001300A9" w:rsidRDefault="009C51A8" w:rsidP="00AE37F1">
            <w:pPr>
              <w:pStyle w:val="Default"/>
              <w:rPr>
                <w:sz w:val="22"/>
                <w:szCs w:val="22"/>
              </w:rPr>
            </w:pPr>
          </w:p>
          <w:p w14:paraId="5C378588" w14:textId="77777777" w:rsidR="009C51A8" w:rsidRPr="001300A9" w:rsidRDefault="009C51A8" w:rsidP="00AE37F1">
            <w:pPr>
              <w:pStyle w:val="Default"/>
              <w:rPr>
                <w:sz w:val="22"/>
                <w:szCs w:val="22"/>
              </w:rPr>
            </w:pPr>
          </w:p>
          <w:p w14:paraId="0728A23D" w14:textId="77777777" w:rsidR="009C51A8" w:rsidRPr="001300A9" w:rsidRDefault="009C51A8" w:rsidP="00AE37F1">
            <w:pPr>
              <w:pStyle w:val="Default"/>
              <w:rPr>
                <w:sz w:val="22"/>
                <w:szCs w:val="22"/>
              </w:rPr>
            </w:pPr>
          </w:p>
          <w:p w14:paraId="2F28CD3D" w14:textId="77777777" w:rsidR="009C51A8" w:rsidRPr="001300A9" w:rsidRDefault="009C51A8" w:rsidP="00AE37F1">
            <w:pPr>
              <w:pStyle w:val="Default"/>
              <w:rPr>
                <w:sz w:val="22"/>
                <w:szCs w:val="22"/>
              </w:rPr>
            </w:pPr>
          </w:p>
          <w:p w14:paraId="4C6B4BD7" w14:textId="77777777" w:rsidR="009C51A8" w:rsidRPr="001300A9" w:rsidRDefault="009C51A8" w:rsidP="00AE37F1">
            <w:pPr>
              <w:pStyle w:val="Default"/>
              <w:rPr>
                <w:sz w:val="22"/>
                <w:szCs w:val="22"/>
              </w:rPr>
            </w:pPr>
          </w:p>
          <w:p w14:paraId="55FE0DBB" w14:textId="77777777" w:rsidR="009C51A8" w:rsidRPr="001300A9" w:rsidRDefault="009C51A8" w:rsidP="00AE37F1">
            <w:pPr>
              <w:pStyle w:val="Default"/>
              <w:rPr>
                <w:sz w:val="22"/>
                <w:szCs w:val="22"/>
              </w:rPr>
            </w:pPr>
          </w:p>
          <w:p w14:paraId="5587238D" w14:textId="77777777" w:rsidR="009C51A8" w:rsidRPr="001300A9" w:rsidRDefault="009C51A8" w:rsidP="00AE37F1">
            <w:pPr>
              <w:pStyle w:val="Default"/>
              <w:rPr>
                <w:sz w:val="22"/>
                <w:szCs w:val="22"/>
              </w:rPr>
            </w:pPr>
          </w:p>
          <w:p w14:paraId="0CFF25F1" w14:textId="77777777" w:rsidR="009C51A8" w:rsidRPr="001300A9" w:rsidRDefault="009C51A8" w:rsidP="00AE37F1">
            <w:pPr>
              <w:pStyle w:val="Default"/>
              <w:rPr>
                <w:sz w:val="22"/>
                <w:szCs w:val="22"/>
              </w:rPr>
            </w:pPr>
          </w:p>
          <w:p w14:paraId="6912F11A" w14:textId="77777777" w:rsidR="009C51A8" w:rsidRPr="001300A9" w:rsidRDefault="009C51A8" w:rsidP="00AE37F1">
            <w:pPr>
              <w:pStyle w:val="Default"/>
              <w:rPr>
                <w:sz w:val="22"/>
                <w:szCs w:val="22"/>
              </w:rPr>
            </w:pPr>
          </w:p>
          <w:p w14:paraId="37C938E4" w14:textId="77777777" w:rsidR="009C51A8" w:rsidRPr="001300A9" w:rsidRDefault="009C51A8" w:rsidP="00AE37F1">
            <w:pPr>
              <w:pStyle w:val="Default"/>
              <w:rPr>
                <w:sz w:val="22"/>
                <w:szCs w:val="22"/>
              </w:rPr>
            </w:pPr>
          </w:p>
          <w:p w14:paraId="16C39958" w14:textId="77777777" w:rsidR="009C51A8" w:rsidRPr="001300A9" w:rsidRDefault="009C51A8" w:rsidP="00AE37F1">
            <w:pPr>
              <w:pStyle w:val="Default"/>
              <w:rPr>
                <w:sz w:val="22"/>
                <w:szCs w:val="22"/>
              </w:rPr>
            </w:pPr>
          </w:p>
          <w:p w14:paraId="38FEE7C0" w14:textId="77777777" w:rsidR="009C51A8" w:rsidRPr="001300A9" w:rsidRDefault="009C51A8" w:rsidP="00AE37F1">
            <w:pPr>
              <w:pStyle w:val="Default"/>
              <w:rPr>
                <w:sz w:val="22"/>
                <w:szCs w:val="22"/>
              </w:rPr>
            </w:pPr>
          </w:p>
          <w:p w14:paraId="719BA83D" w14:textId="77777777" w:rsidR="009C51A8" w:rsidRPr="001300A9" w:rsidRDefault="009C51A8" w:rsidP="00AE37F1">
            <w:pPr>
              <w:pStyle w:val="Default"/>
              <w:rPr>
                <w:sz w:val="22"/>
                <w:szCs w:val="22"/>
              </w:rPr>
            </w:pPr>
          </w:p>
          <w:p w14:paraId="307DABD0" w14:textId="77777777" w:rsidR="009C51A8" w:rsidRPr="001300A9" w:rsidRDefault="009C51A8" w:rsidP="00AE37F1">
            <w:pPr>
              <w:pStyle w:val="Default"/>
              <w:rPr>
                <w:sz w:val="22"/>
                <w:szCs w:val="22"/>
              </w:rPr>
            </w:pPr>
          </w:p>
          <w:p w14:paraId="7143DAC7" w14:textId="77777777" w:rsidR="009C51A8" w:rsidRPr="001300A9" w:rsidRDefault="009C51A8" w:rsidP="00AE37F1">
            <w:pPr>
              <w:pStyle w:val="Default"/>
              <w:rPr>
                <w:sz w:val="22"/>
                <w:szCs w:val="22"/>
              </w:rPr>
            </w:pPr>
          </w:p>
          <w:p w14:paraId="7F6EA0C3" w14:textId="4EF359C8" w:rsidR="009C51A8" w:rsidRDefault="009C51A8" w:rsidP="00AE37F1">
            <w:pPr>
              <w:pStyle w:val="Default"/>
              <w:rPr>
                <w:sz w:val="22"/>
                <w:szCs w:val="22"/>
              </w:rPr>
            </w:pPr>
          </w:p>
          <w:p w14:paraId="68C81DAD" w14:textId="6B01486A" w:rsidR="001B0A76" w:rsidRDefault="001B0A76" w:rsidP="00AE37F1">
            <w:pPr>
              <w:pStyle w:val="Default"/>
              <w:rPr>
                <w:sz w:val="22"/>
                <w:szCs w:val="22"/>
              </w:rPr>
            </w:pPr>
          </w:p>
          <w:p w14:paraId="49BA468D" w14:textId="041B941B" w:rsidR="00287825" w:rsidRDefault="00287825" w:rsidP="002977C9">
            <w:pPr>
              <w:pStyle w:val="Default"/>
              <w:rPr>
                <w:sz w:val="22"/>
                <w:szCs w:val="22"/>
              </w:rPr>
            </w:pPr>
          </w:p>
          <w:p w14:paraId="0300B0A0" w14:textId="61530A2D" w:rsidR="002977C9" w:rsidRPr="00D60F20" w:rsidRDefault="00383D96" w:rsidP="002977C9">
            <w:pPr>
              <w:pStyle w:val="Default"/>
              <w:rPr>
                <w:sz w:val="22"/>
                <w:szCs w:val="22"/>
              </w:rPr>
            </w:pPr>
            <w:r w:rsidRPr="001300A9">
              <w:rPr>
                <w:sz w:val="22"/>
                <w:szCs w:val="22"/>
              </w:rPr>
              <w:t xml:space="preserve">(15) </w:t>
            </w:r>
            <w:r w:rsidR="002977C9" w:rsidRPr="00D60F20">
              <w:rPr>
                <w:sz w:val="22"/>
                <w:szCs w:val="22"/>
              </w:rPr>
              <w:t xml:space="preserve">Povinnosť odovzdať kvóty nevzniká </w:t>
            </w:r>
          </w:p>
          <w:p w14:paraId="1D12B155" w14:textId="77777777" w:rsidR="00D60F20" w:rsidRPr="00D60F20" w:rsidRDefault="00383D96" w:rsidP="009C51A8">
            <w:pPr>
              <w:tabs>
                <w:tab w:val="left" w:pos="426"/>
              </w:tabs>
              <w:spacing w:after="0" w:line="240" w:lineRule="auto"/>
              <w:jc w:val="both"/>
              <w:rPr>
                <w:rFonts w:ascii="Times New Roman" w:hAnsi="Times New Roman" w:cs="Times New Roman"/>
                <w:color w:val="000000"/>
              </w:rPr>
            </w:pPr>
            <w:r w:rsidRPr="00D60F20">
              <w:rPr>
                <w:rFonts w:ascii="Times New Roman" w:hAnsi="Times New Roman" w:cs="Times New Roman"/>
              </w:rPr>
              <w:t xml:space="preserve">a) </w:t>
            </w:r>
            <w:r w:rsidR="00D60F20" w:rsidRPr="00D60F20">
              <w:rPr>
                <w:rFonts w:ascii="Times New Roman" w:hAnsi="Times New Roman" w:cs="Times New Roman"/>
                <w:color w:val="000000"/>
              </w:rPr>
              <w:t>pri emisiách z prevádzok, ktoré sa preukázateľne zachytávajú a prevážajú na trvalé uloženie do zariadenia s povolením podľa osobitného predpisu,20)</w:t>
            </w:r>
          </w:p>
          <w:p w14:paraId="44ECA8C8" w14:textId="23C220DB" w:rsidR="00287825" w:rsidRDefault="00383D96" w:rsidP="009C51A8">
            <w:pPr>
              <w:tabs>
                <w:tab w:val="left" w:pos="426"/>
              </w:tabs>
              <w:spacing w:after="0" w:line="240" w:lineRule="auto"/>
              <w:jc w:val="both"/>
              <w:rPr>
                <w:rFonts w:ascii="Times New Roman" w:hAnsi="Times New Roman" w:cs="Times New Roman"/>
                <w:color w:val="000000"/>
              </w:rPr>
            </w:pPr>
            <w:r w:rsidRPr="00D60F20">
              <w:rPr>
                <w:rFonts w:ascii="Times New Roman" w:hAnsi="Times New Roman" w:cs="Times New Roman"/>
              </w:rPr>
              <w:t xml:space="preserve">b) </w:t>
            </w:r>
            <w:r w:rsidR="00D60F20" w:rsidRPr="00D60F20">
              <w:rPr>
                <w:rFonts w:ascii="Times New Roman" w:hAnsi="Times New Roman" w:cs="Times New Roman"/>
                <w:color w:val="000000"/>
              </w:rPr>
              <w:t xml:space="preserve">v súvislosti s emisiami skleníkových plynov prevádzok, ktoré sa považujú za zachytené a využívané takým spôsobom, že sa stali trvalo chemicky viazané v produkte tak, aby pri jeho bežnom používaní vrátane akejkoľvek bežnej činnosti, ku ktorej dochádza po skončení životnosti produktu, neunikali do atmosféry. </w:t>
            </w:r>
          </w:p>
          <w:p w14:paraId="69733418" w14:textId="1320D52C" w:rsidR="00D60F20" w:rsidRDefault="00D60F20" w:rsidP="009C51A8">
            <w:pPr>
              <w:tabs>
                <w:tab w:val="left" w:pos="426"/>
              </w:tabs>
              <w:spacing w:after="0" w:line="240" w:lineRule="auto"/>
              <w:jc w:val="both"/>
              <w:rPr>
                <w:rFonts w:ascii="Times New Roman" w:hAnsi="Times New Roman" w:cs="Times New Roman"/>
                <w:color w:val="000000"/>
              </w:rPr>
            </w:pPr>
          </w:p>
          <w:p w14:paraId="6D9EC3AF" w14:textId="2837B523" w:rsidR="00D60F20" w:rsidRDefault="00D60F20" w:rsidP="009C51A8">
            <w:pPr>
              <w:tabs>
                <w:tab w:val="left" w:pos="426"/>
              </w:tabs>
              <w:spacing w:after="0" w:line="240" w:lineRule="auto"/>
              <w:jc w:val="both"/>
              <w:rPr>
                <w:rFonts w:ascii="Times New Roman" w:hAnsi="Times New Roman" w:cs="Times New Roman"/>
                <w:color w:val="000000"/>
              </w:rPr>
            </w:pPr>
          </w:p>
          <w:p w14:paraId="7C2CBFDA" w14:textId="317250C3" w:rsidR="00D60F20" w:rsidRDefault="00D60F20" w:rsidP="009C51A8">
            <w:pPr>
              <w:tabs>
                <w:tab w:val="left" w:pos="426"/>
              </w:tabs>
              <w:spacing w:after="0" w:line="240" w:lineRule="auto"/>
              <w:jc w:val="both"/>
              <w:rPr>
                <w:rFonts w:ascii="Times New Roman" w:hAnsi="Times New Roman" w:cs="Times New Roman"/>
                <w:color w:val="000000"/>
              </w:rPr>
            </w:pPr>
          </w:p>
          <w:p w14:paraId="09910982" w14:textId="083D0788" w:rsidR="00D60F20" w:rsidRDefault="00D60F20" w:rsidP="009C51A8">
            <w:pPr>
              <w:tabs>
                <w:tab w:val="left" w:pos="426"/>
              </w:tabs>
              <w:spacing w:after="0" w:line="240" w:lineRule="auto"/>
              <w:jc w:val="both"/>
              <w:rPr>
                <w:rFonts w:ascii="Times New Roman" w:hAnsi="Times New Roman" w:cs="Times New Roman"/>
                <w:color w:val="000000"/>
              </w:rPr>
            </w:pPr>
          </w:p>
          <w:p w14:paraId="28569758" w14:textId="77777777" w:rsidR="00D60F20" w:rsidRPr="00D60F20" w:rsidRDefault="00D60F20" w:rsidP="009C51A8">
            <w:pPr>
              <w:tabs>
                <w:tab w:val="left" w:pos="426"/>
              </w:tabs>
              <w:spacing w:after="0" w:line="240" w:lineRule="auto"/>
              <w:jc w:val="both"/>
              <w:rPr>
                <w:rFonts w:ascii="Times New Roman" w:hAnsi="Times New Roman" w:cs="Times New Roman"/>
              </w:rPr>
            </w:pPr>
          </w:p>
          <w:p w14:paraId="2194A960" w14:textId="77777777" w:rsidR="009C51A8" w:rsidRPr="001300A9" w:rsidRDefault="009C51A8" w:rsidP="00AE37F1">
            <w:pPr>
              <w:pStyle w:val="Default"/>
              <w:rPr>
                <w:sz w:val="22"/>
                <w:szCs w:val="22"/>
              </w:rPr>
            </w:pPr>
          </w:p>
          <w:p w14:paraId="31DAB907" w14:textId="77777777" w:rsidR="005B5A02" w:rsidRPr="001300A9" w:rsidRDefault="005B5A02" w:rsidP="00AE37F1">
            <w:pPr>
              <w:pStyle w:val="Default"/>
              <w:rPr>
                <w:sz w:val="22"/>
                <w:szCs w:val="22"/>
              </w:rPr>
            </w:pPr>
          </w:p>
          <w:p w14:paraId="2479FD56" w14:textId="77777777" w:rsidR="005B5A02" w:rsidRPr="001300A9" w:rsidRDefault="005B5A02" w:rsidP="00AE37F1">
            <w:pPr>
              <w:pStyle w:val="Default"/>
              <w:rPr>
                <w:sz w:val="22"/>
                <w:szCs w:val="22"/>
              </w:rPr>
            </w:pPr>
          </w:p>
          <w:p w14:paraId="3B19B009" w14:textId="77777777" w:rsidR="005B5A02" w:rsidRPr="001300A9" w:rsidRDefault="005B5A02" w:rsidP="00AE37F1">
            <w:pPr>
              <w:pStyle w:val="Default"/>
              <w:rPr>
                <w:sz w:val="22"/>
                <w:szCs w:val="22"/>
              </w:rPr>
            </w:pPr>
          </w:p>
          <w:p w14:paraId="385CC10D" w14:textId="77777777" w:rsidR="005B5A02" w:rsidRPr="001300A9" w:rsidRDefault="005B5A02" w:rsidP="00AE37F1">
            <w:pPr>
              <w:pStyle w:val="Default"/>
              <w:rPr>
                <w:sz w:val="22"/>
                <w:szCs w:val="22"/>
              </w:rPr>
            </w:pPr>
          </w:p>
          <w:p w14:paraId="5CEFC16A" w14:textId="77777777" w:rsidR="005B5A02" w:rsidRPr="001300A9" w:rsidRDefault="005B5A02" w:rsidP="00AE37F1">
            <w:pPr>
              <w:pStyle w:val="Default"/>
              <w:rPr>
                <w:sz w:val="22"/>
                <w:szCs w:val="22"/>
              </w:rPr>
            </w:pPr>
          </w:p>
          <w:p w14:paraId="31677A6B" w14:textId="77777777" w:rsidR="005B5A02" w:rsidRPr="001300A9" w:rsidRDefault="005B5A02" w:rsidP="00AE37F1">
            <w:pPr>
              <w:pStyle w:val="Default"/>
              <w:rPr>
                <w:sz w:val="22"/>
                <w:szCs w:val="22"/>
              </w:rPr>
            </w:pPr>
          </w:p>
          <w:p w14:paraId="729D0622" w14:textId="77777777" w:rsidR="005B5A02" w:rsidRPr="001300A9" w:rsidRDefault="005B5A02" w:rsidP="00AE37F1">
            <w:pPr>
              <w:pStyle w:val="Default"/>
              <w:rPr>
                <w:sz w:val="22"/>
                <w:szCs w:val="22"/>
              </w:rPr>
            </w:pPr>
          </w:p>
          <w:p w14:paraId="02956303" w14:textId="77777777" w:rsidR="005B5A02" w:rsidRPr="001300A9" w:rsidRDefault="005B5A02" w:rsidP="00AE37F1">
            <w:pPr>
              <w:pStyle w:val="Default"/>
              <w:rPr>
                <w:sz w:val="22"/>
                <w:szCs w:val="22"/>
              </w:rPr>
            </w:pPr>
          </w:p>
          <w:p w14:paraId="11D7EAE1" w14:textId="77777777" w:rsidR="005B5A02" w:rsidRPr="001300A9" w:rsidRDefault="005B5A02" w:rsidP="00AE37F1">
            <w:pPr>
              <w:pStyle w:val="Default"/>
              <w:rPr>
                <w:sz w:val="22"/>
                <w:szCs w:val="22"/>
              </w:rPr>
            </w:pPr>
          </w:p>
          <w:p w14:paraId="5E75F027" w14:textId="77777777" w:rsidR="005B5A02" w:rsidRPr="001300A9" w:rsidRDefault="005B5A02" w:rsidP="00AE37F1">
            <w:pPr>
              <w:pStyle w:val="Default"/>
              <w:rPr>
                <w:sz w:val="22"/>
                <w:szCs w:val="22"/>
              </w:rPr>
            </w:pPr>
          </w:p>
          <w:p w14:paraId="054F29EB" w14:textId="77777777" w:rsidR="005B5A02" w:rsidRPr="001300A9" w:rsidRDefault="005B5A02" w:rsidP="00AE37F1">
            <w:pPr>
              <w:pStyle w:val="Default"/>
              <w:rPr>
                <w:sz w:val="22"/>
                <w:szCs w:val="22"/>
              </w:rPr>
            </w:pPr>
          </w:p>
          <w:p w14:paraId="4B840C17" w14:textId="77777777" w:rsidR="005B5A02" w:rsidRPr="001300A9" w:rsidRDefault="005B5A02" w:rsidP="00AE37F1">
            <w:pPr>
              <w:pStyle w:val="Default"/>
              <w:rPr>
                <w:sz w:val="22"/>
                <w:szCs w:val="22"/>
              </w:rPr>
            </w:pPr>
          </w:p>
          <w:p w14:paraId="179A8EC9" w14:textId="77777777" w:rsidR="005B5A02" w:rsidRPr="001300A9" w:rsidRDefault="005B5A02" w:rsidP="00AE37F1">
            <w:pPr>
              <w:pStyle w:val="Default"/>
              <w:rPr>
                <w:sz w:val="22"/>
                <w:szCs w:val="22"/>
              </w:rPr>
            </w:pPr>
          </w:p>
          <w:p w14:paraId="6CBB82C5" w14:textId="77777777" w:rsidR="005B5A02" w:rsidRPr="001300A9" w:rsidRDefault="005B5A02" w:rsidP="00AE37F1">
            <w:pPr>
              <w:pStyle w:val="Default"/>
              <w:rPr>
                <w:sz w:val="22"/>
                <w:szCs w:val="22"/>
              </w:rPr>
            </w:pPr>
          </w:p>
          <w:p w14:paraId="10FEAED3" w14:textId="77777777" w:rsidR="005B5A02" w:rsidRPr="001300A9" w:rsidRDefault="005B5A02" w:rsidP="00AE37F1">
            <w:pPr>
              <w:pStyle w:val="Default"/>
              <w:rPr>
                <w:sz w:val="22"/>
                <w:szCs w:val="22"/>
              </w:rPr>
            </w:pPr>
          </w:p>
          <w:p w14:paraId="3D87F9E3" w14:textId="77777777" w:rsidR="005B5A02" w:rsidRPr="001300A9" w:rsidRDefault="005B5A02" w:rsidP="00AE37F1">
            <w:pPr>
              <w:pStyle w:val="Default"/>
              <w:rPr>
                <w:sz w:val="22"/>
                <w:szCs w:val="22"/>
              </w:rPr>
            </w:pPr>
          </w:p>
          <w:p w14:paraId="688B35F0" w14:textId="77777777" w:rsidR="005B5A02" w:rsidRPr="001300A9" w:rsidRDefault="005B5A02" w:rsidP="00AE37F1">
            <w:pPr>
              <w:pStyle w:val="Default"/>
              <w:rPr>
                <w:sz w:val="22"/>
                <w:szCs w:val="22"/>
              </w:rPr>
            </w:pPr>
          </w:p>
          <w:p w14:paraId="257077D9" w14:textId="77777777" w:rsidR="005B5A02" w:rsidRPr="001300A9" w:rsidRDefault="005B5A02" w:rsidP="00AE37F1">
            <w:pPr>
              <w:pStyle w:val="Default"/>
              <w:rPr>
                <w:sz w:val="22"/>
                <w:szCs w:val="22"/>
              </w:rPr>
            </w:pPr>
          </w:p>
          <w:p w14:paraId="6BAA3992" w14:textId="77777777" w:rsidR="005B5A02" w:rsidRPr="001300A9" w:rsidRDefault="005B5A02" w:rsidP="00AE37F1">
            <w:pPr>
              <w:pStyle w:val="Default"/>
              <w:rPr>
                <w:sz w:val="22"/>
                <w:szCs w:val="22"/>
              </w:rPr>
            </w:pPr>
          </w:p>
          <w:p w14:paraId="5BDE8891" w14:textId="77777777" w:rsidR="005B5A02" w:rsidRPr="001300A9" w:rsidRDefault="005B5A02" w:rsidP="00AE37F1">
            <w:pPr>
              <w:pStyle w:val="Default"/>
              <w:rPr>
                <w:sz w:val="22"/>
                <w:szCs w:val="22"/>
              </w:rPr>
            </w:pPr>
          </w:p>
          <w:p w14:paraId="0066BBFC" w14:textId="77777777" w:rsidR="005B5A02" w:rsidRPr="001300A9" w:rsidRDefault="005B5A02" w:rsidP="00AE37F1">
            <w:pPr>
              <w:pStyle w:val="Default"/>
              <w:rPr>
                <w:sz w:val="22"/>
                <w:szCs w:val="22"/>
              </w:rPr>
            </w:pPr>
          </w:p>
          <w:p w14:paraId="2A0F4278" w14:textId="77777777" w:rsidR="005B5A02" w:rsidRPr="001300A9" w:rsidRDefault="005B5A02" w:rsidP="00AE37F1">
            <w:pPr>
              <w:pStyle w:val="Default"/>
              <w:rPr>
                <w:sz w:val="22"/>
                <w:szCs w:val="22"/>
              </w:rPr>
            </w:pPr>
          </w:p>
          <w:p w14:paraId="0D45A40A" w14:textId="77777777" w:rsidR="005B5A02" w:rsidRPr="001300A9" w:rsidRDefault="005B5A02" w:rsidP="00AE37F1">
            <w:pPr>
              <w:pStyle w:val="Default"/>
              <w:rPr>
                <w:sz w:val="22"/>
                <w:szCs w:val="22"/>
              </w:rPr>
            </w:pPr>
          </w:p>
          <w:p w14:paraId="3E2E1C18" w14:textId="77777777" w:rsidR="005B5A02" w:rsidRPr="001300A9" w:rsidRDefault="005B5A02" w:rsidP="00AE37F1">
            <w:pPr>
              <w:pStyle w:val="Default"/>
              <w:rPr>
                <w:sz w:val="22"/>
                <w:szCs w:val="22"/>
              </w:rPr>
            </w:pPr>
          </w:p>
          <w:p w14:paraId="1E866C8D" w14:textId="77777777" w:rsidR="005B5A02" w:rsidRPr="001300A9" w:rsidRDefault="005B5A02" w:rsidP="00AE37F1">
            <w:pPr>
              <w:pStyle w:val="Default"/>
              <w:rPr>
                <w:sz w:val="22"/>
                <w:szCs w:val="22"/>
              </w:rPr>
            </w:pPr>
          </w:p>
          <w:p w14:paraId="470ABF5C" w14:textId="77777777" w:rsidR="005B5A02" w:rsidRPr="001300A9" w:rsidRDefault="005B5A02" w:rsidP="00AE37F1">
            <w:pPr>
              <w:pStyle w:val="Default"/>
              <w:rPr>
                <w:sz w:val="22"/>
                <w:szCs w:val="22"/>
              </w:rPr>
            </w:pPr>
          </w:p>
          <w:p w14:paraId="20ED188E" w14:textId="77777777" w:rsidR="005B5A02" w:rsidRPr="001300A9" w:rsidRDefault="005B5A02" w:rsidP="00AE37F1">
            <w:pPr>
              <w:pStyle w:val="Default"/>
              <w:rPr>
                <w:sz w:val="22"/>
                <w:szCs w:val="22"/>
              </w:rPr>
            </w:pPr>
          </w:p>
          <w:p w14:paraId="51551549" w14:textId="77777777" w:rsidR="005B5A02" w:rsidRPr="001300A9" w:rsidRDefault="005B5A02" w:rsidP="00AE37F1">
            <w:pPr>
              <w:pStyle w:val="Default"/>
              <w:rPr>
                <w:sz w:val="22"/>
                <w:szCs w:val="22"/>
              </w:rPr>
            </w:pPr>
          </w:p>
          <w:p w14:paraId="520F39D6" w14:textId="77777777" w:rsidR="005B5A02" w:rsidRPr="001300A9" w:rsidRDefault="005B5A02" w:rsidP="00AE37F1">
            <w:pPr>
              <w:pStyle w:val="Default"/>
              <w:rPr>
                <w:sz w:val="22"/>
                <w:szCs w:val="22"/>
              </w:rPr>
            </w:pPr>
          </w:p>
          <w:p w14:paraId="5611D4CD" w14:textId="77777777" w:rsidR="005B5A02" w:rsidRPr="001300A9" w:rsidRDefault="005B5A02" w:rsidP="00AE37F1">
            <w:pPr>
              <w:pStyle w:val="Default"/>
              <w:rPr>
                <w:sz w:val="22"/>
                <w:szCs w:val="22"/>
              </w:rPr>
            </w:pPr>
          </w:p>
          <w:p w14:paraId="5DB16EFD" w14:textId="77777777" w:rsidR="005B5A02" w:rsidRPr="001300A9" w:rsidRDefault="005B5A02" w:rsidP="00AE37F1">
            <w:pPr>
              <w:pStyle w:val="Default"/>
              <w:rPr>
                <w:sz w:val="22"/>
                <w:szCs w:val="22"/>
              </w:rPr>
            </w:pPr>
          </w:p>
          <w:p w14:paraId="27AFB9CD" w14:textId="77777777" w:rsidR="005B5A02" w:rsidRPr="001300A9" w:rsidRDefault="005B5A02" w:rsidP="00AE37F1">
            <w:pPr>
              <w:pStyle w:val="Default"/>
              <w:rPr>
                <w:sz w:val="22"/>
                <w:szCs w:val="22"/>
              </w:rPr>
            </w:pPr>
          </w:p>
          <w:p w14:paraId="5A68B94A" w14:textId="77777777" w:rsidR="005B5A02" w:rsidRPr="001300A9" w:rsidRDefault="005B5A02" w:rsidP="00AE37F1">
            <w:pPr>
              <w:pStyle w:val="Default"/>
              <w:rPr>
                <w:sz w:val="22"/>
                <w:szCs w:val="22"/>
              </w:rPr>
            </w:pPr>
          </w:p>
          <w:p w14:paraId="556E2EB0" w14:textId="77777777" w:rsidR="005B5A02" w:rsidRPr="001300A9" w:rsidRDefault="005B5A02" w:rsidP="00AE37F1">
            <w:pPr>
              <w:pStyle w:val="Default"/>
              <w:rPr>
                <w:sz w:val="22"/>
                <w:szCs w:val="22"/>
              </w:rPr>
            </w:pPr>
          </w:p>
          <w:p w14:paraId="088674E6" w14:textId="77777777" w:rsidR="005B5A02" w:rsidRPr="001300A9" w:rsidRDefault="005B5A02" w:rsidP="00AE37F1">
            <w:pPr>
              <w:pStyle w:val="Default"/>
              <w:rPr>
                <w:sz w:val="22"/>
                <w:szCs w:val="22"/>
              </w:rPr>
            </w:pPr>
          </w:p>
          <w:p w14:paraId="7E5A2578" w14:textId="77777777" w:rsidR="005B5A02" w:rsidRPr="001300A9" w:rsidRDefault="005B5A02" w:rsidP="00AE37F1">
            <w:pPr>
              <w:pStyle w:val="Default"/>
              <w:rPr>
                <w:sz w:val="22"/>
                <w:szCs w:val="22"/>
              </w:rPr>
            </w:pPr>
          </w:p>
          <w:p w14:paraId="6B7BE337" w14:textId="77777777" w:rsidR="005B5A02" w:rsidRPr="001300A9" w:rsidRDefault="005B5A02" w:rsidP="00AE37F1">
            <w:pPr>
              <w:pStyle w:val="Default"/>
              <w:rPr>
                <w:sz w:val="22"/>
                <w:szCs w:val="22"/>
              </w:rPr>
            </w:pPr>
          </w:p>
          <w:p w14:paraId="50A50034" w14:textId="77777777" w:rsidR="005B5A02" w:rsidRPr="001300A9" w:rsidRDefault="005B5A02" w:rsidP="00AE37F1">
            <w:pPr>
              <w:pStyle w:val="Default"/>
              <w:rPr>
                <w:sz w:val="22"/>
                <w:szCs w:val="22"/>
              </w:rPr>
            </w:pPr>
          </w:p>
          <w:p w14:paraId="24B889AB" w14:textId="77777777" w:rsidR="005B5A02" w:rsidRPr="001300A9" w:rsidRDefault="005B5A02" w:rsidP="00AE37F1">
            <w:pPr>
              <w:pStyle w:val="Default"/>
              <w:rPr>
                <w:sz w:val="22"/>
                <w:szCs w:val="22"/>
              </w:rPr>
            </w:pPr>
          </w:p>
          <w:p w14:paraId="73953E4B" w14:textId="77777777" w:rsidR="005B5A02" w:rsidRPr="001300A9" w:rsidRDefault="005B5A02" w:rsidP="00AE37F1">
            <w:pPr>
              <w:pStyle w:val="Default"/>
              <w:rPr>
                <w:sz w:val="22"/>
                <w:szCs w:val="22"/>
              </w:rPr>
            </w:pPr>
          </w:p>
          <w:p w14:paraId="38A6B5DF" w14:textId="77777777" w:rsidR="005B5A02" w:rsidRPr="001300A9" w:rsidRDefault="005B5A02" w:rsidP="00AE37F1">
            <w:pPr>
              <w:pStyle w:val="Default"/>
              <w:rPr>
                <w:sz w:val="22"/>
                <w:szCs w:val="22"/>
              </w:rPr>
            </w:pPr>
          </w:p>
          <w:p w14:paraId="74345B5F" w14:textId="77777777" w:rsidR="005B5A02" w:rsidRPr="001300A9" w:rsidRDefault="005B5A02" w:rsidP="00AE37F1">
            <w:pPr>
              <w:pStyle w:val="Default"/>
              <w:rPr>
                <w:sz w:val="22"/>
                <w:szCs w:val="22"/>
              </w:rPr>
            </w:pPr>
          </w:p>
          <w:p w14:paraId="461D55CD" w14:textId="77777777" w:rsidR="005B5A02" w:rsidRPr="001300A9" w:rsidRDefault="005B5A02" w:rsidP="00AE37F1">
            <w:pPr>
              <w:pStyle w:val="Default"/>
              <w:rPr>
                <w:sz w:val="22"/>
                <w:szCs w:val="22"/>
              </w:rPr>
            </w:pPr>
          </w:p>
          <w:p w14:paraId="0EF7918B" w14:textId="77777777" w:rsidR="005B5A02" w:rsidRPr="001300A9" w:rsidRDefault="005B5A02" w:rsidP="00AE37F1">
            <w:pPr>
              <w:pStyle w:val="Default"/>
              <w:rPr>
                <w:sz w:val="22"/>
                <w:szCs w:val="22"/>
              </w:rPr>
            </w:pPr>
          </w:p>
          <w:p w14:paraId="26568071" w14:textId="77777777" w:rsidR="005B5A02" w:rsidRPr="001300A9" w:rsidRDefault="005B5A02" w:rsidP="00AE37F1">
            <w:pPr>
              <w:pStyle w:val="Default"/>
              <w:rPr>
                <w:sz w:val="22"/>
                <w:szCs w:val="22"/>
              </w:rPr>
            </w:pPr>
          </w:p>
          <w:p w14:paraId="52DC9562" w14:textId="77777777" w:rsidR="005B5A02" w:rsidRPr="001300A9" w:rsidRDefault="005B5A02" w:rsidP="00AE37F1">
            <w:pPr>
              <w:pStyle w:val="Default"/>
              <w:rPr>
                <w:sz w:val="22"/>
                <w:szCs w:val="22"/>
              </w:rPr>
            </w:pPr>
          </w:p>
          <w:p w14:paraId="22105B69" w14:textId="77777777" w:rsidR="005B5A02" w:rsidRPr="001300A9" w:rsidRDefault="005B5A02" w:rsidP="00AE37F1">
            <w:pPr>
              <w:pStyle w:val="Default"/>
              <w:rPr>
                <w:sz w:val="22"/>
                <w:szCs w:val="22"/>
              </w:rPr>
            </w:pPr>
          </w:p>
          <w:p w14:paraId="65E7D530" w14:textId="77777777" w:rsidR="005B5A02" w:rsidRPr="001300A9" w:rsidRDefault="005B5A02" w:rsidP="00AE37F1">
            <w:pPr>
              <w:pStyle w:val="Default"/>
              <w:rPr>
                <w:sz w:val="22"/>
                <w:szCs w:val="22"/>
              </w:rPr>
            </w:pPr>
          </w:p>
          <w:p w14:paraId="0439CF96" w14:textId="77777777" w:rsidR="005B5A02" w:rsidRPr="001300A9" w:rsidRDefault="005B5A02" w:rsidP="00AE37F1">
            <w:pPr>
              <w:pStyle w:val="Default"/>
              <w:rPr>
                <w:sz w:val="22"/>
                <w:szCs w:val="22"/>
              </w:rPr>
            </w:pPr>
          </w:p>
          <w:p w14:paraId="1EF7E61D" w14:textId="77777777" w:rsidR="005B5A02" w:rsidRPr="001300A9" w:rsidRDefault="005B5A02" w:rsidP="00AE37F1">
            <w:pPr>
              <w:pStyle w:val="Default"/>
              <w:rPr>
                <w:sz w:val="22"/>
                <w:szCs w:val="22"/>
              </w:rPr>
            </w:pPr>
          </w:p>
          <w:p w14:paraId="6AD0D038" w14:textId="77777777" w:rsidR="005B5A02" w:rsidRPr="001300A9" w:rsidRDefault="005B5A02" w:rsidP="00AE37F1">
            <w:pPr>
              <w:pStyle w:val="Default"/>
              <w:rPr>
                <w:sz w:val="22"/>
                <w:szCs w:val="22"/>
              </w:rPr>
            </w:pPr>
          </w:p>
          <w:p w14:paraId="561FF228" w14:textId="77777777" w:rsidR="005B5A02" w:rsidRPr="001300A9" w:rsidRDefault="005B5A02" w:rsidP="00AE37F1">
            <w:pPr>
              <w:pStyle w:val="Default"/>
              <w:rPr>
                <w:sz w:val="22"/>
                <w:szCs w:val="22"/>
              </w:rPr>
            </w:pPr>
          </w:p>
          <w:p w14:paraId="026609CC" w14:textId="77777777" w:rsidR="005B5A02" w:rsidRPr="001300A9" w:rsidRDefault="005B5A02" w:rsidP="00AE37F1">
            <w:pPr>
              <w:pStyle w:val="Default"/>
              <w:rPr>
                <w:sz w:val="22"/>
                <w:szCs w:val="22"/>
              </w:rPr>
            </w:pPr>
          </w:p>
          <w:p w14:paraId="5262DF1B" w14:textId="77777777" w:rsidR="005B5A02" w:rsidRPr="001300A9" w:rsidRDefault="005B5A02" w:rsidP="00AE37F1">
            <w:pPr>
              <w:pStyle w:val="Default"/>
              <w:rPr>
                <w:sz w:val="22"/>
                <w:szCs w:val="22"/>
              </w:rPr>
            </w:pPr>
          </w:p>
          <w:p w14:paraId="05568E45" w14:textId="77777777" w:rsidR="005B5A02" w:rsidRPr="001300A9" w:rsidRDefault="005B5A02" w:rsidP="00AE37F1">
            <w:pPr>
              <w:pStyle w:val="Default"/>
              <w:rPr>
                <w:sz w:val="22"/>
                <w:szCs w:val="22"/>
              </w:rPr>
            </w:pPr>
          </w:p>
          <w:p w14:paraId="65F05B60" w14:textId="77777777" w:rsidR="005B5A02" w:rsidRPr="001300A9" w:rsidRDefault="005B5A02" w:rsidP="00AE37F1">
            <w:pPr>
              <w:pStyle w:val="Default"/>
              <w:rPr>
                <w:sz w:val="22"/>
                <w:szCs w:val="22"/>
              </w:rPr>
            </w:pPr>
          </w:p>
          <w:p w14:paraId="6456950F" w14:textId="77777777" w:rsidR="005B5A02" w:rsidRPr="001300A9" w:rsidRDefault="005B5A02" w:rsidP="00AE37F1">
            <w:pPr>
              <w:pStyle w:val="Default"/>
              <w:rPr>
                <w:sz w:val="22"/>
                <w:szCs w:val="22"/>
              </w:rPr>
            </w:pPr>
          </w:p>
          <w:p w14:paraId="1039CD09" w14:textId="77777777" w:rsidR="005B5A02" w:rsidRPr="001300A9" w:rsidRDefault="005B5A02" w:rsidP="00AE37F1">
            <w:pPr>
              <w:pStyle w:val="Default"/>
              <w:rPr>
                <w:sz w:val="22"/>
                <w:szCs w:val="22"/>
              </w:rPr>
            </w:pPr>
          </w:p>
          <w:p w14:paraId="62C9766B" w14:textId="77777777" w:rsidR="005B5A02" w:rsidRPr="001300A9" w:rsidRDefault="005B5A02" w:rsidP="00AE37F1">
            <w:pPr>
              <w:pStyle w:val="Default"/>
              <w:rPr>
                <w:sz w:val="22"/>
                <w:szCs w:val="22"/>
              </w:rPr>
            </w:pPr>
          </w:p>
          <w:p w14:paraId="16554295" w14:textId="77777777" w:rsidR="005B5A02" w:rsidRPr="001300A9" w:rsidRDefault="005B5A02" w:rsidP="00AE37F1">
            <w:pPr>
              <w:pStyle w:val="Default"/>
              <w:rPr>
                <w:sz w:val="22"/>
                <w:szCs w:val="22"/>
              </w:rPr>
            </w:pPr>
          </w:p>
          <w:p w14:paraId="64B49068" w14:textId="77777777" w:rsidR="005B5A02" w:rsidRPr="001300A9" w:rsidRDefault="005B5A02" w:rsidP="00AE37F1">
            <w:pPr>
              <w:pStyle w:val="Default"/>
              <w:rPr>
                <w:sz w:val="22"/>
                <w:szCs w:val="22"/>
              </w:rPr>
            </w:pPr>
          </w:p>
          <w:p w14:paraId="005AE228" w14:textId="77777777" w:rsidR="005B5A02" w:rsidRPr="001300A9" w:rsidRDefault="005B5A02" w:rsidP="00AE37F1">
            <w:pPr>
              <w:pStyle w:val="Default"/>
              <w:rPr>
                <w:sz w:val="22"/>
                <w:szCs w:val="22"/>
              </w:rPr>
            </w:pPr>
          </w:p>
          <w:p w14:paraId="3698AD78" w14:textId="77777777" w:rsidR="005B5A02" w:rsidRPr="001300A9" w:rsidRDefault="005B5A02" w:rsidP="00AE37F1">
            <w:pPr>
              <w:pStyle w:val="Default"/>
              <w:rPr>
                <w:sz w:val="22"/>
                <w:szCs w:val="22"/>
              </w:rPr>
            </w:pPr>
          </w:p>
          <w:p w14:paraId="2F5A0316" w14:textId="77777777" w:rsidR="005B5A02" w:rsidRPr="001300A9" w:rsidRDefault="005B5A02" w:rsidP="00AE37F1">
            <w:pPr>
              <w:pStyle w:val="Default"/>
              <w:rPr>
                <w:sz w:val="22"/>
                <w:szCs w:val="22"/>
              </w:rPr>
            </w:pPr>
          </w:p>
          <w:p w14:paraId="336E946F" w14:textId="77777777" w:rsidR="005B5A02" w:rsidRPr="001300A9" w:rsidRDefault="005B5A02" w:rsidP="00AE37F1">
            <w:pPr>
              <w:pStyle w:val="Default"/>
              <w:rPr>
                <w:sz w:val="22"/>
                <w:szCs w:val="22"/>
              </w:rPr>
            </w:pPr>
          </w:p>
          <w:p w14:paraId="431141EB" w14:textId="77777777" w:rsidR="005B5A02" w:rsidRPr="001300A9" w:rsidRDefault="005B5A02" w:rsidP="00AE37F1">
            <w:pPr>
              <w:pStyle w:val="Default"/>
              <w:rPr>
                <w:sz w:val="22"/>
                <w:szCs w:val="22"/>
              </w:rPr>
            </w:pPr>
          </w:p>
          <w:p w14:paraId="00F0B26F" w14:textId="77777777" w:rsidR="005B5A02" w:rsidRPr="001300A9" w:rsidRDefault="005B5A02" w:rsidP="00AE37F1">
            <w:pPr>
              <w:pStyle w:val="Default"/>
              <w:rPr>
                <w:sz w:val="22"/>
                <w:szCs w:val="22"/>
              </w:rPr>
            </w:pPr>
          </w:p>
          <w:p w14:paraId="0D3074A6" w14:textId="77777777" w:rsidR="005B5A02" w:rsidRPr="001300A9" w:rsidRDefault="005B5A02" w:rsidP="00AE37F1">
            <w:pPr>
              <w:pStyle w:val="Default"/>
              <w:rPr>
                <w:sz w:val="22"/>
                <w:szCs w:val="22"/>
              </w:rPr>
            </w:pPr>
          </w:p>
          <w:p w14:paraId="3B4D72FE" w14:textId="77777777" w:rsidR="005B5A02" w:rsidRPr="001300A9" w:rsidRDefault="005B5A02" w:rsidP="00AE37F1">
            <w:pPr>
              <w:pStyle w:val="Default"/>
              <w:rPr>
                <w:sz w:val="22"/>
                <w:szCs w:val="22"/>
              </w:rPr>
            </w:pPr>
          </w:p>
          <w:p w14:paraId="56154061" w14:textId="77777777" w:rsidR="005B5A02" w:rsidRPr="001300A9" w:rsidRDefault="005B5A02" w:rsidP="00AE37F1">
            <w:pPr>
              <w:pStyle w:val="Default"/>
              <w:rPr>
                <w:sz w:val="22"/>
                <w:szCs w:val="22"/>
              </w:rPr>
            </w:pPr>
          </w:p>
          <w:p w14:paraId="0AC991C5" w14:textId="77777777" w:rsidR="005B5A02" w:rsidRPr="001300A9" w:rsidRDefault="005B5A02" w:rsidP="00AE37F1">
            <w:pPr>
              <w:pStyle w:val="Default"/>
              <w:rPr>
                <w:sz w:val="22"/>
                <w:szCs w:val="22"/>
              </w:rPr>
            </w:pPr>
          </w:p>
          <w:p w14:paraId="360B3B95" w14:textId="77777777" w:rsidR="005B5A02" w:rsidRPr="001300A9" w:rsidRDefault="005B5A02" w:rsidP="00AE37F1">
            <w:pPr>
              <w:pStyle w:val="Default"/>
              <w:rPr>
                <w:sz w:val="22"/>
                <w:szCs w:val="22"/>
              </w:rPr>
            </w:pPr>
          </w:p>
          <w:p w14:paraId="6BC8C1A1" w14:textId="77777777" w:rsidR="005B5A02" w:rsidRPr="001300A9" w:rsidRDefault="005B5A02" w:rsidP="00AE37F1">
            <w:pPr>
              <w:pStyle w:val="Default"/>
              <w:rPr>
                <w:sz w:val="22"/>
                <w:szCs w:val="22"/>
              </w:rPr>
            </w:pPr>
          </w:p>
          <w:p w14:paraId="4D7863F7" w14:textId="77777777" w:rsidR="005B5A02" w:rsidRDefault="005B5A02" w:rsidP="00AE37F1">
            <w:pPr>
              <w:pStyle w:val="Default"/>
              <w:rPr>
                <w:sz w:val="22"/>
                <w:szCs w:val="22"/>
              </w:rPr>
            </w:pPr>
          </w:p>
          <w:p w14:paraId="66578FFE" w14:textId="5FC77C9F" w:rsidR="00891428" w:rsidRDefault="00891428" w:rsidP="00AE37F1">
            <w:pPr>
              <w:pStyle w:val="Default"/>
              <w:rPr>
                <w:sz w:val="22"/>
                <w:szCs w:val="22"/>
              </w:rPr>
            </w:pPr>
          </w:p>
          <w:p w14:paraId="0304D268" w14:textId="03889ABC" w:rsidR="00891428" w:rsidRDefault="00891428" w:rsidP="00AE37F1">
            <w:pPr>
              <w:pStyle w:val="Default"/>
              <w:rPr>
                <w:sz w:val="22"/>
                <w:szCs w:val="22"/>
              </w:rPr>
            </w:pPr>
          </w:p>
          <w:p w14:paraId="2AA4C8EF" w14:textId="5D70BA59" w:rsidR="00891428" w:rsidRDefault="00891428" w:rsidP="00AE37F1">
            <w:pPr>
              <w:pStyle w:val="Default"/>
              <w:rPr>
                <w:sz w:val="22"/>
                <w:szCs w:val="22"/>
              </w:rPr>
            </w:pPr>
          </w:p>
          <w:p w14:paraId="48A9D25B" w14:textId="094D7B89" w:rsidR="00891428" w:rsidRDefault="00891428" w:rsidP="00AE37F1">
            <w:pPr>
              <w:pStyle w:val="Default"/>
              <w:rPr>
                <w:sz w:val="22"/>
                <w:szCs w:val="22"/>
              </w:rPr>
            </w:pPr>
          </w:p>
          <w:p w14:paraId="7C88DFE7" w14:textId="62D50450" w:rsidR="00891428" w:rsidRDefault="00891428" w:rsidP="00AE37F1">
            <w:pPr>
              <w:pStyle w:val="Default"/>
              <w:rPr>
                <w:sz w:val="22"/>
                <w:szCs w:val="22"/>
              </w:rPr>
            </w:pPr>
          </w:p>
          <w:p w14:paraId="211362F5" w14:textId="5C02A99C" w:rsidR="00891428" w:rsidRDefault="00891428" w:rsidP="00AE37F1">
            <w:pPr>
              <w:pStyle w:val="Default"/>
              <w:rPr>
                <w:sz w:val="22"/>
                <w:szCs w:val="22"/>
              </w:rPr>
            </w:pPr>
          </w:p>
          <w:p w14:paraId="6D319ACA" w14:textId="459CAE61" w:rsidR="00891428" w:rsidRDefault="00891428" w:rsidP="00AE37F1">
            <w:pPr>
              <w:pStyle w:val="Default"/>
              <w:rPr>
                <w:sz w:val="22"/>
                <w:szCs w:val="22"/>
              </w:rPr>
            </w:pPr>
          </w:p>
          <w:p w14:paraId="26DA99AE" w14:textId="40F073C6" w:rsidR="00891428" w:rsidRDefault="00891428" w:rsidP="00AE37F1">
            <w:pPr>
              <w:pStyle w:val="Default"/>
              <w:rPr>
                <w:sz w:val="22"/>
                <w:szCs w:val="22"/>
              </w:rPr>
            </w:pPr>
          </w:p>
          <w:p w14:paraId="63963C6F" w14:textId="7BB2B9C7" w:rsidR="00891428" w:rsidRDefault="00891428" w:rsidP="00AE37F1">
            <w:pPr>
              <w:pStyle w:val="Default"/>
              <w:rPr>
                <w:sz w:val="22"/>
                <w:szCs w:val="22"/>
              </w:rPr>
            </w:pPr>
          </w:p>
          <w:p w14:paraId="128DF5D1" w14:textId="549426CF" w:rsidR="00891428" w:rsidRDefault="00891428" w:rsidP="00AE37F1">
            <w:pPr>
              <w:pStyle w:val="Default"/>
              <w:rPr>
                <w:sz w:val="22"/>
                <w:szCs w:val="22"/>
              </w:rPr>
            </w:pPr>
          </w:p>
          <w:p w14:paraId="52A1B282" w14:textId="6411936E" w:rsidR="00891428" w:rsidRDefault="00891428" w:rsidP="00AE37F1">
            <w:pPr>
              <w:pStyle w:val="Default"/>
              <w:rPr>
                <w:sz w:val="22"/>
                <w:szCs w:val="22"/>
              </w:rPr>
            </w:pPr>
          </w:p>
          <w:p w14:paraId="1151D980" w14:textId="1E0263F6" w:rsidR="00891428" w:rsidRDefault="00891428" w:rsidP="00AE37F1">
            <w:pPr>
              <w:pStyle w:val="Default"/>
              <w:rPr>
                <w:sz w:val="22"/>
                <w:szCs w:val="22"/>
              </w:rPr>
            </w:pPr>
          </w:p>
          <w:p w14:paraId="5CC1836C" w14:textId="5987EC7E" w:rsidR="00891428" w:rsidRDefault="00891428" w:rsidP="00AE37F1">
            <w:pPr>
              <w:pStyle w:val="Default"/>
              <w:rPr>
                <w:sz w:val="22"/>
                <w:szCs w:val="22"/>
              </w:rPr>
            </w:pPr>
          </w:p>
          <w:p w14:paraId="4E88833A" w14:textId="492A8000" w:rsidR="00891428" w:rsidRDefault="00891428" w:rsidP="00AE37F1">
            <w:pPr>
              <w:pStyle w:val="Default"/>
              <w:rPr>
                <w:sz w:val="22"/>
                <w:szCs w:val="22"/>
              </w:rPr>
            </w:pPr>
          </w:p>
          <w:p w14:paraId="7E7D5E42" w14:textId="5F61C0BB" w:rsidR="00891428" w:rsidRDefault="00891428" w:rsidP="00AE37F1">
            <w:pPr>
              <w:pStyle w:val="Default"/>
              <w:rPr>
                <w:sz w:val="22"/>
                <w:szCs w:val="22"/>
              </w:rPr>
            </w:pPr>
          </w:p>
          <w:p w14:paraId="442B9EB9" w14:textId="6C109E9E" w:rsidR="00891428" w:rsidRDefault="00891428" w:rsidP="00AE37F1">
            <w:pPr>
              <w:pStyle w:val="Default"/>
              <w:rPr>
                <w:sz w:val="22"/>
                <w:szCs w:val="22"/>
              </w:rPr>
            </w:pPr>
          </w:p>
          <w:p w14:paraId="54A2006B" w14:textId="4AD721E5" w:rsidR="00891428" w:rsidRDefault="00891428" w:rsidP="00AE37F1">
            <w:pPr>
              <w:pStyle w:val="Default"/>
              <w:rPr>
                <w:sz w:val="22"/>
                <w:szCs w:val="22"/>
              </w:rPr>
            </w:pPr>
          </w:p>
          <w:p w14:paraId="3A3C2DA7" w14:textId="5DF935D9" w:rsidR="00891428" w:rsidRDefault="00891428" w:rsidP="00AE37F1">
            <w:pPr>
              <w:pStyle w:val="Default"/>
              <w:rPr>
                <w:sz w:val="22"/>
                <w:szCs w:val="22"/>
              </w:rPr>
            </w:pPr>
          </w:p>
          <w:p w14:paraId="3C93B94C" w14:textId="46CE7951" w:rsidR="00891428" w:rsidRDefault="00891428" w:rsidP="00AE37F1">
            <w:pPr>
              <w:pStyle w:val="Default"/>
              <w:rPr>
                <w:sz w:val="22"/>
                <w:szCs w:val="22"/>
              </w:rPr>
            </w:pPr>
          </w:p>
          <w:p w14:paraId="7A10F4BC" w14:textId="05F267D7" w:rsidR="00891428" w:rsidRDefault="00891428" w:rsidP="00AE37F1">
            <w:pPr>
              <w:pStyle w:val="Default"/>
              <w:rPr>
                <w:sz w:val="22"/>
                <w:szCs w:val="22"/>
              </w:rPr>
            </w:pPr>
          </w:p>
          <w:p w14:paraId="3F864772" w14:textId="61E4BDD8" w:rsidR="00891428" w:rsidRDefault="00891428" w:rsidP="00AE37F1">
            <w:pPr>
              <w:pStyle w:val="Default"/>
              <w:rPr>
                <w:sz w:val="22"/>
                <w:szCs w:val="22"/>
              </w:rPr>
            </w:pPr>
          </w:p>
          <w:p w14:paraId="1F53ED99" w14:textId="79F4D5AF" w:rsidR="00891428" w:rsidRDefault="00891428" w:rsidP="00AE37F1">
            <w:pPr>
              <w:pStyle w:val="Default"/>
              <w:rPr>
                <w:sz w:val="22"/>
                <w:szCs w:val="22"/>
              </w:rPr>
            </w:pPr>
          </w:p>
          <w:p w14:paraId="40B6A292" w14:textId="0A8168E1" w:rsidR="00891428" w:rsidRDefault="00891428" w:rsidP="00AE37F1">
            <w:pPr>
              <w:pStyle w:val="Default"/>
              <w:rPr>
                <w:sz w:val="22"/>
                <w:szCs w:val="22"/>
              </w:rPr>
            </w:pPr>
          </w:p>
          <w:p w14:paraId="21A128A7" w14:textId="77777777" w:rsidR="00891428" w:rsidRPr="001300A9" w:rsidRDefault="00891428" w:rsidP="00AE37F1">
            <w:pPr>
              <w:pStyle w:val="Default"/>
              <w:rPr>
                <w:sz w:val="22"/>
                <w:szCs w:val="22"/>
              </w:rPr>
            </w:pPr>
          </w:p>
          <w:p w14:paraId="75AA8B33" w14:textId="77777777" w:rsidR="005B5A02" w:rsidRPr="001300A9" w:rsidRDefault="005B5A02" w:rsidP="00AE37F1">
            <w:pPr>
              <w:pStyle w:val="Default"/>
              <w:rPr>
                <w:sz w:val="22"/>
                <w:szCs w:val="22"/>
              </w:rPr>
            </w:pPr>
          </w:p>
          <w:p w14:paraId="7F3C54A5" w14:textId="77777777" w:rsidR="005B5A02" w:rsidRPr="001300A9" w:rsidRDefault="005B5A02" w:rsidP="00AE37F1">
            <w:pPr>
              <w:pStyle w:val="Default"/>
              <w:rPr>
                <w:sz w:val="22"/>
                <w:szCs w:val="22"/>
              </w:rPr>
            </w:pPr>
          </w:p>
          <w:p w14:paraId="071ED1FC" w14:textId="189A7C1C" w:rsidR="5F673433" w:rsidRDefault="5F673433" w:rsidP="5F673433">
            <w:pPr>
              <w:pStyle w:val="Default"/>
              <w:rPr>
                <w:sz w:val="22"/>
                <w:szCs w:val="22"/>
              </w:rPr>
            </w:pPr>
          </w:p>
          <w:p w14:paraId="4750D401" w14:textId="7C1AC2C2" w:rsidR="5F673433" w:rsidRDefault="5F673433" w:rsidP="5F673433">
            <w:pPr>
              <w:pStyle w:val="Default"/>
              <w:rPr>
                <w:sz w:val="22"/>
                <w:szCs w:val="22"/>
              </w:rPr>
            </w:pPr>
          </w:p>
          <w:p w14:paraId="2D7ED6A8" w14:textId="7B68AA54" w:rsidR="5F673433" w:rsidRDefault="5F673433" w:rsidP="5F673433">
            <w:pPr>
              <w:pStyle w:val="Default"/>
              <w:rPr>
                <w:sz w:val="22"/>
                <w:szCs w:val="22"/>
              </w:rPr>
            </w:pPr>
          </w:p>
          <w:p w14:paraId="6F4F309C" w14:textId="15602F84" w:rsidR="5F673433" w:rsidRDefault="5F673433" w:rsidP="5F673433">
            <w:pPr>
              <w:pStyle w:val="Default"/>
              <w:rPr>
                <w:sz w:val="22"/>
                <w:szCs w:val="22"/>
              </w:rPr>
            </w:pPr>
          </w:p>
          <w:p w14:paraId="01A28787" w14:textId="455B977C" w:rsidR="5F673433" w:rsidRDefault="5F673433" w:rsidP="5F673433">
            <w:pPr>
              <w:pStyle w:val="Default"/>
              <w:rPr>
                <w:sz w:val="22"/>
                <w:szCs w:val="22"/>
              </w:rPr>
            </w:pPr>
          </w:p>
          <w:p w14:paraId="338399E7" w14:textId="66F84865" w:rsidR="5F673433" w:rsidRDefault="5F673433" w:rsidP="5F673433">
            <w:pPr>
              <w:pStyle w:val="Default"/>
              <w:rPr>
                <w:sz w:val="22"/>
                <w:szCs w:val="22"/>
              </w:rPr>
            </w:pPr>
          </w:p>
          <w:p w14:paraId="74EBC681" w14:textId="36DFBE75" w:rsidR="5F673433" w:rsidRDefault="5F673433" w:rsidP="5F673433">
            <w:pPr>
              <w:pStyle w:val="Default"/>
              <w:rPr>
                <w:sz w:val="22"/>
                <w:szCs w:val="22"/>
              </w:rPr>
            </w:pPr>
          </w:p>
          <w:p w14:paraId="7673DC40" w14:textId="17B7B5C4" w:rsidR="5F673433" w:rsidRDefault="5F673433" w:rsidP="5F673433">
            <w:pPr>
              <w:pStyle w:val="Default"/>
              <w:rPr>
                <w:sz w:val="22"/>
                <w:szCs w:val="22"/>
              </w:rPr>
            </w:pPr>
          </w:p>
          <w:p w14:paraId="00EEE06F" w14:textId="5B21A241" w:rsidR="5F673433" w:rsidRDefault="5F673433" w:rsidP="5F673433">
            <w:pPr>
              <w:pStyle w:val="Default"/>
              <w:rPr>
                <w:sz w:val="22"/>
                <w:szCs w:val="22"/>
              </w:rPr>
            </w:pPr>
          </w:p>
          <w:p w14:paraId="05240798" w14:textId="0F071BA4" w:rsidR="5F673433" w:rsidRDefault="5F673433" w:rsidP="5F673433">
            <w:pPr>
              <w:pStyle w:val="Default"/>
              <w:rPr>
                <w:sz w:val="22"/>
                <w:szCs w:val="22"/>
              </w:rPr>
            </w:pPr>
          </w:p>
          <w:p w14:paraId="1397DBA4" w14:textId="043B141C" w:rsidR="5F673433" w:rsidRDefault="5F673433" w:rsidP="5F673433">
            <w:pPr>
              <w:pStyle w:val="Default"/>
              <w:rPr>
                <w:sz w:val="22"/>
                <w:szCs w:val="22"/>
              </w:rPr>
            </w:pPr>
          </w:p>
          <w:p w14:paraId="22EE1CCB" w14:textId="6FC6F5A1" w:rsidR="5F673433" w:rsidRDefault="5F673433" w:rsidP="5F673433">
            <w:pPr>
              <w:pStyle w:val="Default"/>
              <w:rPr>
                <w:sz w:val="22"/>
                <w:szCs w:val="22"/>
              </w:rPr>
            </w:pPr>
          </w:p>
          <w:p w14:paraId="2D919313" w14:textId="1A68E96F" w:rsidR="5F673433" w:rsidRDefault="5F673433" w:rsidP="5F673433">
            <w:pPr>
              <w:pStyle w:val="Default"/>
              <w:rPr>
                <w:sz w:val="22"/>
                <w:szCs w:val="22"/>
              </w:rPr>
            </w:pPr>
          </w:p>
          <w:p w14:paraId="56F1E784" w14:textId="6E2FAC78" w:rsidR="004A64C9" w:rsidRPr="001300A9" w:rsidRDefault="009D0AA1" w:rsidP="004A64C9">
            <w:pPr>
              <w:pStyle w:val="Default"/>
              <w:rPr>
                <w:sz w:val="22"/>
                <w:szCs w:val="22"/>
              </w:rPr>
            </w:pPr>
            <w:r>
              <w:rPr>
                <w:sz w:val="22"/>
                <w:szCs w:val="22"/>
              </w:rPr>
              <w:t xml:space="preserve">(6) </w:t>
            </w:r>
            <w:r w:rsidR="004A64C9" w:rsidRPr="001300A9">
              <w:rPr>
                <w:sz w:val="22"/>
                <w:szCs w:val="22"/>
              </w:rPr>
              <w:t>Regulovaný subjekt je povinný</w:t>
            </w:r>
          </w:p>
          <w:p w14:paraId="194B8680" w14:textId="7D6366D3" w:rsidR="004A64C9" w:rsidRPr="001300A9" w:rsidRDefault="004A64C9" w:rsidP="004A64C9">
            <w:pPr>
              <w:pStyle w:val="Default"/>
              <w:rPr>
                <w:sz w:val="22"/>
                <w:szCs w:val="22"/>
              </w:rPr>
            </w:pPr>
            <w:r w:rsidRPr="001300A9">
              <w:rPr>
                <w:sz w:val="22"/>
                <w:szCs w:val="22"/>
              </w:rPr>
              <w:t>a)</w:t>
            </w:r>
            <w:r w:rsidRPr="001300A9">
              <w:rPr>
                <w:sz w:val="22"/>
                <w:szCs w:val="22"/>
              </w:rPr>
              <w:tab/>
            </w:r>
            <w:r w:rsidR="007A7391" w:rsidRPr="007A7391">
              <w:rPr>
                <w:sz w:val="22"/>
                <w:szCs w:val="22"/>
              </w:rPr>
              <w:t>predložiť okresnému úradu v sídle kraja do 1. apríla 2026 a potom každoročne prostredníctvom elektronického systému správu o emisiách skleníkových plynov počas predchádzajúceho kalendárneho roka overenú overovateľom ako správnu v súlade s kritériami podľa osobitného predpisu</w:t>
            </w:r>
            <w:r w:rsidRPr="001300A9">
              <w:rPr>
                <w:sz w:val="22"/>
                <w:szCs w:val="22"/>
              </w:rPr>
              <w:t>,</w:t>
            </w:r>
            <w:r w:rsidRPr="00730219">
              <w:rPr>
                <w:sz w:val="22"/>
                <w:szCs w:val="22"/>
                <w:vertAlign w:val="superscript"/>
              </w:rPr>
              <w:t>5</w:t>
            </w:r>
            <w:r w:rsidRPr="001300A9">
              <w:rPr>
                <w:sz w:val="22"/>
                <w:szCs w:val="22"/>
              </w:rPr>
              <w:t>)</w:t>
            </w:r>
          </w:p>
          <w:p w14:paraId="4C723872" w14:textId="6C0ED927" w:rsidR="004A64C9" w:rsidRPr="001300A9" w:rsidRDefault="007A7391" w:rsidP="004A64C9">
            <w:pPr>
              <w:pStyle w:val="Default"/>
              <w:rPr>
                <w:sz w:val="22"/>
                <w:szCs w:val="22"/>
              </w:rPr>
            </w:pPr>
            <w:r>
              <w:rPr>
                <w:sz w:val="22"/>
                <w:szCs w:val="22"/>
              </w:rPr>
              <w:t>b</w:t>
            </w:r>
            <w:r w:rsidR="004A64C9" w:rsidRPr="001300A9">
              <w:rPr>
                <w:sz w:val="22"/>
                <w:szCs w:val="22"/>
              </w:rPr>
              <w:t>)</w:t>
            </w:r>
            <w:r w:rsidR="004A64C9" w:rsidRPr="001300A9">
              <w:rPr>
                <w:sz w:val="22"/>
                <w:szCs w:val="22"/>
              </w:rPr>
              <w:tab/>
              <w:t>plniť povinnosti podľa písmen a) aj v roku nasledujúcom po kalendárnom roku vyradenia regulovaného subjektu zo systému obchodovania podľa § 6b,</w:t>
            </w:r>
          </w:p>
          <w:p w14:paraId="54EC4288" w14:textId="076EE052" w:rsidR="004A64C9" w:rsidRPr="001300A9" w:rsidRDefault="004A64C9" w:rsidP="004A64C9">
            <w:pPr>
              <w:pStyle w:val="Default"/>
              <w:rPr>
                <w:sz w:val="22"/>
                <w:szCs w:val="22"/>
              </w:rPr>
            </w:pPr>
            <w:r w:rsidRPr="001300A9">
              <w:rPr>
                <w:sz w:val="22"/>
                <w:szCs w:val="22"/>
              </w:rPr>
              <w:t>d)</w:t>
            </w:r>
            <w:r w:rsidRPr="001300A9">
              <w:rPr>
                <w:sz w:val="22"/>
                <w:szCs w:val="22"/>
              </w:rPr>
              <w:tab/>
              <w:t xml:space="preserve">oznámiť </w:t>
            </w:r>
            <w:r w:rsidR="007A7391">
              <w:rPr>
                <w:sz w:val="22"/>
                <w:szCs w:val="22"/>
              </w:rPr>
              <w:t>okresnému úradu v sídle kraja</w:t>
            </w:r>
            <w:r w:rsidRPr="001300A9">
              <w:rPr>
                <w:sz w:val="22"/>
                <w:szCs w:val="22"/>
              </w:rPr>
              <w:t xml:space="preserve"> každú významnú zmenu monitorovacieho plánu podľa osobitného predpisu</w:t>
            </w:r>
            <w:r w:rsidRPr="00730219">
              <w:rPr>
                <w:sz w:val="22"/>
                <w:szCs w:val="22"/>
                <w:vertAlign w:val="superscript"/>
              </w:rPr>
              <w:t>1a</w:t>
            </w:r>
            <w:r w:rsidRPr="001300A9">
              <w:rPr>
                <w:sz w:val="22"/>
                <w:szCs w:val="22"/>
              </w:rPr>
              <w:t>) do 30 dní od tejto zmeny,</w:t>
            </w:r>
          </w:p>
          <w:p w14:paraId="4D9569AD" w14:textId="623E7207" w:rsidR="00E47E51" w:rsidRPr="001300A9" w:rsidRDefault="004A64C9" w:rsidP="00AE37F1">
            <w:pPr>
              <w:pStyle w:val="Default"/>
              <w:rPr>
                <w:sz w:val="22"/>
                <w:szCs w:val="22"/>
              </w:rPr>
            </w:pPr>
            <w:r w:rsidRPr="001300A9">
              <w:rPr>
                <w:sz w:val="22"/>
                <w:szCs w:val="22"/>
              </w:rPr>
              <w:t>e)</w:t>
            </w:r>
            <w:r w:rsidRPr="001300A9">
              <w:rPr>
                <w:sz w:val="22"/>
                <w:szCs w:val="22"/>
              </w:rPr>
              <w:tab/>
              <w:t xml:space="preserve">oznámiť </w:t>
            </w:r>
            <w:r w:rsidR="007A7391">
              <w:rPr>
                <w:sz w:val="22"/>
                <w:szCs w:val="22"/>
              </w:rPr>
              <w:t>okresnému úradu v sídle kraja</w:t>
            </w:r>
            <w:r w:rsidRPr="001300A9">
              <w:rPr>
                <w:sz w:val="22"/>
                <w:szCs w:val="22"/>
              </w:rPr>
              <w:t xml:space="preserve"> zmeny monitorovacieho plánu, ktoré nie sú významné podľa osobitného predpisu,</w:t>
            </w:r>
            <w:r w:rsidRPr="00730219">
              <w:rPr>
                <w:sz w:val="22"/>
                <w:szCs w:val="22"/>
                <w:vertAlign w:val="superscript"/>
              </w:rPr>
              <w:t>1a</w:t>
            </w:r>
            <w:r w:rsidRPr="001300A9">
              <w:rPr>
                <w:sz w:val="22"/>
                <w:szCs w:val="22"/>
              </w:rPr>
              <w:t>) najneskôr do 31. decembra príslušného kalendárneho roka.</w:t>
            </w:r>
          </w:p>
          <w:p w14:paraId="4CCD9C5E" w14:textId="77777777" w:rsidR="0006236A" w:rsidRDefault="0006236A" w:rsidP="0006236A">
            <w:pPr>
              <w:pStyle w:val="Default"/>
              <w:rPr>
                <w:sz w:val="22"/>
                <w:szCs w:val="22"/>
              </w:rPr>
            </w:pPr>
          </w:p>
          <w:p w14:paraId="797D1442" w14:textId="78546B00" w:rsidR="007E112E" w:rsidRDefault="007E112E" w:rsidP="0006236A">
            <w:pPr>
              <w:pStyle w:val="Default"/>
              <w:rPr>
                <w:sz w:val="22"/>
                <w:szCs w:val="22"/>
              </w:rPr>
            </w:pPr>
          </w:p>
          <w:p w14:paraId="68E83452" w14:textId="2B95904B" w:rsidR="0006236A" w:rsidRPr="001300A9" w:rsidRDefault="0604B8B7" w:rsidP="0006236A">
            <w:pPr>
              <w:pStyle w:val="Default"/>
              <w:rPr>
                <w:sz w:val="22"/>
                <w:szCs w:val="22"/>
              </w:rPr>
            </w:pPr>
            <w:r w:rsidRPr="5F673433">
              <w:rPr>
                <w:sz w:val="22"/>
                <w:szCs w:val="22"/>
              </w:rPr>
              <w:t xml:space="preserve">(1) </w:t>
            </w:r>
            <w:r w:rsidR="0D239D8F" w:rsidRPr="5F673433">
              <w:rPr>
                <w:sz w:val="22"/>
                <w:szCs w:val="22"/>
              </w:rPr>
              <w:t xml:space="preserve">Regulovaný subjekt od roku 2025 monitoruje za každý kalendárny rok emisie zodpovedajúce množstvám palív uvedených </w:t>
            </w:r>
            <w:r w:rsidR="44700A47" w:rsidRPr="5F673433">
              <w:rPr>
                <w:sz w:val="22"/>
                <w:szCs w:val="22"/>
              </w:rPr>
              <w:t>na trh</w:t>
            </w:r>
            <w:r w:rsidR="0D239D8F" w:rsidRPr="5F673433">
              <w:rPr>
                <w:sz w:val="22"/>
                <w:szCs w:val="22"/>
              </w:rPr>
              <w:t xml:space="preserve"> podľa prílohy č. 1 tabuľky B a počnúc rokom 2026 uvedené emisie v nasledujúcom roku nahlasuje </w:t>
            </w:r>
            <w:r w:rsidR="44700A47" w:rsidRPr="5F673433">
              <w:rPr>
                <w:sz w:val="22"/>
                <w:szCs w:val="22"/>
              </w:rPr>
              <w:t>okresnému úradu v sídle kraja</w:t>
            </w:r>
            <w:r w:rsidR="0D239D8F" w:rsidRPr="5F673433">
              <w:rPr>
                <w:sz w:val="22"/>
                <w:szCs w:val="22"/>
              </w:rPr>
              <w:t xml:space="preserve"> podľa osobitného predpisu.</w:t>
            </w:r>
            <w:r w:rsidR="0D239D8F" w:rsidRPr="5F673433">
              <w:rPr>
                <w:sz w:val="22"/>
                <w:szCs w:val="22"/>
                <w:vertAlign w:val="superscript"/>
              </w:rPr>
              <w:t>1a</w:t>
            </w:r>
            <w:r w:rsidR="0D239D8F" w:rsidRPr="5F673433">
              <w:rPr>
                <w:sz w:val="22"/>
                <w:szCs w:val="22"/>
              </w:rPr>
              <w:t>)</w:t>
            </w:r>
          </w:p>
          <w:p w14:paraId="485EBD27" w14:textId="2E9D338E" w:rsidR="00E47E51" w:rsidRPr="001300A9" w:rsidRDefault="00E47E51" w:rsidP="00AE37F1">
            <w:pPr>
              <w:pStyle w:val="Default"/>
              <w:rPr>
                <w:sz w:val="22"/>
                <w:szCs w:val="22"/>
              </w:rPr>
            </w:pPr>
          </w:p>
          <w:p w14:paraId="5EF71C34" w14:textId="42B42EF2" w:rsidR="00C23D99" w:rsidRPr="001300A9" w:rsidRDefault="00C23D99" w:rsidP="00AE37F1">
            <w:pPr>
              <w:pStyle w:val="Default"/>
              <w:rPr>
                <w:sz w:val="22"/>
                <w:szCs w:val="22"/>
              </w:rPr>
            </w:pPr>
          </w:p>
          <w:p w14:paraId="413B51E9" w14:textId="77777777" w:rsidR="00977BAF" w:rsidRDefault="00977BAF" w:rsidP="00E47E51">
            <w:pPr>
              <w:pStyle w:val="Default"/>
              <w:rPr>
                <w:sz w:val="22"/>
                <w:szCs w:val="22"/>
              </w:rPr>
            </w:pPr>
          </w:p>
          <w:p w14:paraId="0670C8C3" w14:textId="77777777" w:rsidR="00977BAF" w:rsidRPr="001300A9" w:rsidRDefault="00977BAF" w:rsidP="00E47E51">
            <w:pPr>
              <w:pStyle w:val="Default"/>
              <w:rPr>
                <w:sz w:val="22"/>
                <w:szCs w:val="22"/>
              </w:rPr>
            </w:pPr>
          </w:p>
          <w:p w14:paraId="4813AE4F" w14:textId="77777777" w:rsidR="009D0AA1" w:rsidRDefault="009D0AA1" w:rsidP="00E47E51">
            <w:pPr>
              <w:pStyle w:val="Default"/>
              <w:rPr>
                <w:sz w:val="22"/>
                <w:szCs w:val="22"/>
              </w:rPr>
            </w:pPr>
          </w:p>
          <w:p w14:paraId="03AA2FCB" w14:textId="7A85A6CA" w:rsidR="007E112E" w:rsidRDefault="007E112E" w:rsidP="00E47E51">
            <w:pPr>
              <w:pStyle w:val="Default"/>
              <w:rPr>
                <w:sz w:val="22"/>
                <w:szCs w:val="22"/>
              </w:rPr>
            </w:pPr>
          </w:p>
          <w:p w14:paraId="745C81E6" w14:textId="02565553" w:rsidR="007E112E" w:rsidRDefault="007E112E" w:rsidP="00E47E51">
            <w:pPr>
              <w:pStyle w:val="Default"/>
              <w:rPr>
                <w:sz w:val="22"/>
                <w:szCs w:val="22"/>
              </w:rPr>
            </w:pPr>
          </w:p>
          <w:p w14:paraId="4513F857" w14:textId="1DB9CBA7" w:rsidR="007E112E" w:rsidRDefault="007E112E" w:rsidP="00E47E51">
            <w:pPr>
              <w:pStyle w:val="Default"/>
              <w:rPr>
                <w:sz w:val="22"/>
                <w:szCs w:val="22"/>
              </w:rPr>
            </w:pPr>
          </w:p>
          <w:p w14:paraId="7BC678EA" w14:textId="1B50CFBF" w:rsidR="007E112E" w:rsidRDefault="007E112E" w:rsidP="00E47E51">
            <w:pPr>
              <w:pStyle w:val="Default"/>
              <w:rPr>
                <w:sz w:val="22"/>
                <w:szCs w:val="22"/>
              </w:rPr>
            </w:pPr>
          </w:p>
          <w:p w14:paraId="063E83C5" w14:textId="3D92DD39" w:rsidR="007E112E" w:rsidRDefault="007E112E" w:rsidP="00E47E51">
            <w:pPr>
              <w:pStyle w:val="Default"/>
              <w:rPr>
                <w:sz w:val="22"/>
                <w:szCs w:val="22"/>
              </w:rPr>
            </w:pPr>
          </w:p>
          <w:p w14:paraId="463DA681" w14:textId="77777777" w:rsidR="007E112E" w:rsidRDefault="007E112E" w:rsidP="00E47E51">
            <w:pPr>
              <w:pStyle w:val="Default"/>
              <w:rPr>
                <w:sz w:val="22"/>
                <w:szCs w:val="22"/>
              </w:rPr>
            </w:pPr>
          </w:p>
          <w:p w14:paraId="7C6BBD05" w14:textId="77777777" w:rsidR="007E112E" w:rsidRDefault="007E112E" w:rsidP="00E47E51">
            <w:pPr>
              <w:pStyle w:val="Default"/>
              <w:rPr>
                <w:sz w:val="22"/>
                <w:szCs w:val="22"/>
              </w:rPr>
            </w:pPr>
          </w:p>
          <w:p w14:paraId="20E5C101" w14:textId="77777777" w:rsidR="007E112E" w:rsidRDefault="007E112E" w:rsidP="00E47E51">
            <w:pPr>
              <w:pStyle w:val="Default"/>
              <w:rPr>
                <w:sz w:val="22"/>
                <w:szCs w:val="22"/>
              </w:rPr>
            </w:pPr>
          </w:p>
          <w:p w14:paraId="4A5F82BC" w14:textId="77777777" w:rsidR="007E112E" w:rsidRDefault="007E112E" w:rsidP="00E47E51">
            <w:pPr>
              <w:pStyle w:val="Default"/>
              <w:rPr>
                <w:sz w:val="22"/>
                <w:szCs w:val="22"/>
              </w:rPr>
            </w:pPr>
          </w:p>
          <w:p w14:paraId="74AC3DB4" w14:textId="77777777" w:rsidR="007E112E" w:rsidRDefault="007E112E" w:rsidP="00E47E51">
            <w:pPr>
              <w:pStyle w:val="Default"/>
              <w:rPr>
                <w:sz w:val="22"/>
                <w:szCs w:val="22"/>
              </w:rPr>
            </w:pPr>
          </w:p>
          <w:p w14:paraId="2F318F8D" w14:textId="77777777" w:rsidR="007E112E" w:rsidRDefault="007E112E" w:rsidP="00E47E51">
            <w:pPr>
              <w:pStyle w:val="Default"/>
              <w:rPr>
                <w:sz w:val="22"/>
                <w:szCs w:val="22"/>
              </w:rPr>
            </w:pPr>
          </w:p>
          <w:p w14:paraId="53FDF1D3" w14:textId="77777777" w:rsidR="007E112E" w:rsidRDefault="007E112E" w:rsidP="00E47E51">
            <w:pPr>
              <w:pStyle w:val="Default"/>
              <w:rPr>
                <w:sz w:val="22"/>
                <w:szCs w:val="22"/>
              </w:rPr>
            </w:pPr>
          </w:p>
          <w:p w14:paraId="516658EF" w14:textId="77777777" w:rsidR="007E112E" w:rsidRDefault="007E112E" w:rsidP="00E47E51">
            <w:pPr>
              <w:pStyle w:val="Default"/>
              <w:rPr>
                <w:sz w:val="22"/>
                <w:szCs w:val="22"/>
              </w:rPr>
            </w:pPr>
          </w:p>
          <w:p w14:paraId="57D8A91B" w14:textId="77777777" w:rsidR="007E112E" w:rsidRDefault="007E112E" w:rsidP="00E47E51">
            <w:pPr>
              <w:pStyle w:val="Default"/>
              <w:rPr>
                <w:sz w:val="22"/>
                <w:szCs w:val="22"/>
              </w:rPr>
            </w:pPr>
          </w:p>
          <w:p w14:paraId="3B0D4174" w14:textId="69B5322C" w:rsidR="007E112E" w:rsidRDefault="007E112E" w:rsidP="00E47E51">
            <w:pPr>
              <w:pStyle w:val="Default"/>
              <w:rPr>
                <w:sz w:val="22"/>
                <w:szCs w:val="22"/>
              </w:rPr>
            </w:pPr>
          </w:p>
          <w:p w14:paraId="2DD15F59" w14:textId="63B2E199" w:rsidR="00977BAF" w:rsidRPr="001300A9" w:rsidRDefault="009D0AA1" w:rsidP="00E47E51">
            <w:pPr>
              <w:pStyle w:val="Default"/>
              <w:rPr>
                <w:sz w:val="22"/>
                <w:szCs w:val="22"/>
              </w:rPr>
            </w:pPr>
            <w:r>
              <w:rPr>
                <w:sz w:val="22"/>
                <w:szCs w:val="22"/>
              </w:rPr>
              <w:t xml:space="preserve">(2) </w:t>
            </w:r>
            <w:r w:rsidR="00977BAF" w:rsidRPr="001300A9">
              <w:rPr>
                <w:sz w:val="22"/>
                <w:szCs w:val="22"/>
              </w:rPr>
              <w:t xml:space="preserve">Regulovaný subjekt, ktorý je k 1. januáru 2025 držiteľom povolenia na emisie skleníkových plynov podľa § 6 nahlási </w:t>
            </w:r>
            <w:r w:rsidR="007A7391">
              <w:rPr>
                <w:sz w:val="22"/>
                <w:szCs w:val="22"/>
              </w:rPr>
              <w:t>okresnému úradu v sídle kraja</w:t>
            </w:r>
            <w:r w:rsidR="00977BAF" w:rsidRPr="001300A9">
              <w:rPr>
                <w:sz w:val="22"/>
                <w:szCs w:val="22"/>
              </w:rPr>
              <w:t xml:space="preserve"> do 30. apríla 2025 svoje historické emisie za rok 2024.</w:t>
            </w:r>
          </w:p>
          <w:p w14:paraId="4212A99E" w14:textId="77777777" w:rsidR="00383D96" w:rsidRPr="001300A9" w:rsidRDefault="00383D96" w:rsidP="00E47E51">
            <w:pPr>
              <w:pStyle w:val="Default"/>
              <w:rPr>
                <w:sz w:val="22"/>
                <w:szCs w:val="22"/>
              </w:rPr>
            </w:pPr>
          </w:p>
          <w:p w14:paraId="3B2F62AB" w14:textId="77777777" w:rsidR="00383D96" w:rsidRPr="001300A9" w:rsidRDefault="00383D96" w:rsidP="00383D96">
            <w:pPr>
              <w:tabs>
                <w:tab w:val="left" w:pos="426"/>
              </w:tabs>
              <w:spacing w:after="0" w:line="240" w:lineRule="auto"/>
              <w:jc w:val="both"/>
              <w:rPr>
                <w:rFonts w:ascii="Times New Roman" w:hAnsi="Times New Roman" w:cs="Times New Roman"/>
                <w:sz w:val="24"/>
                <w:szCs w:val="24"/>
              </w:rPr>
            </w:pPr>
          </w:p>
          <w:p w14:paraId="40508ECC" w14:textId="77777777" w:rsidR="00383D96" w:rsidRPr="001300A9" w:rsidRDefault="00383D96" w:rsidP="00383D96">
            <w:pPr>
              <w:tabs>
                <w:tab w:val="left" w:pos="426"/>
              </w:tabs>
              <w:spacing w:after="0" w:line="240" w:lineRule="auto"/>
              <w:jc w:val="both"/>
              <w:rPr>
                <w:rFonts w:ascii="Times New Roman" w:hAnsi="Times New Roman" w:cs="Times New Roman"/>
                <w:sz w:val="24"/>
                <w:szCs w:val="24"/>
              </w:rPr>
            </w:pPr>
          </w:p>
          <w:p w14:paraId="55C65AC2" w14:textId="77777777" w:rsidR="00383D96" w:rsidRPr="001300A9" w:rsidRDefault="00383D96" w:rsidP="00383D96">
            <w:pPr>
              <w:tabs>
                <w:tab w:val="left" w:pos="426"/>
              </w:tabs>
              <w:spacing w:after="0" w:line="240" w:lineRule="auto"/>
              <w:jc w:val="both"/>
              <w:rPr>
                <w:rFonts w:ascii="Times New Roman" w:hAnsi="Times New Roman" w:cs="Times New Roman"/>
                <w:sz w:val="24"/>
                <w:szCs w:val="24"/>
              </w:rPr>
            </w:pPr>
          </w:p>
          <w:p w14:paraId="245EBA82" w14:textId="77777777" w:rsidR="00383D96" w:rsidRPr="001300A9" w:rsidRDefault="00383D96" w:rsidP="00383D96">
            <w:pPr>
              <w:tabs>
                <w:tab w:val="left" w:pos="426"/>
              </w:tabs>
              <w:spacing w:after="0" w:line="240" w:lineRule="auto"/>
              <w:jc w:val="both"/>
              <w:rPr>
                <w:rFonts w:ascii="Times New Roman" w:hAnsi="Times New Roman" w:cs="Times New Roman"/>
                <w:sz w:val="24"/>
                <w:szCs w:val="24"/>
              </w:rPr>
            </w:pPr>
          </w:p>
          <w:p w14:paraId="05A58E48" w14:textId="77777777" w:rsidR="00383D96" w:rsidRPr="001300A9" w:rsidRDefault="00383D96" w:rsidP="00383D96">
            <w:pPr>
              <w:tabs>
                <w:tab w:val="left" w:pos="426"/>
              </w:tabs>
              <w:spacing w:after="0" w:line="240" w:lineRule="auto"/>
              <w:jc w:val="both"/>
              <w:rPr>
                <w:rFonts w:ascii="Times New Roman" w:hAnsi="Times New Roman" w:cs="Times New Roman"/>
                <w:sz w:val="24"/>
                <w:szCs w:val="24"/>
              </w:rPr>
            </w:pPr>
          </w:p>
          <w:p w14:paraId="0CEDDE6B" w14:textId="77777777" w:rsidR="00383D96" w:rsidRPr="001300A9" w:rsidRDefault="00383D96" w:rsidP="00383D96">
            <w:pPr>
              <w:tabs>
                <w:tab w:val="left" w:pos="426"/>
              </w:tabs>
              <w:spacing w:after="0" w:line="240" w:lineRule="auto"/>
              <w:jc w:val="both"/>
              <w:rPr>
                <w:rFonts w:ascii="Times New Roman" w:hAnsi="Times New Roman" w:cs="Times New Roman"/>
                <w:sz w:val="24"/>
                <w:szCs w:val="24"/>
              </w:rPr>
            </w:pPr>
          </w:p>
          <w:p w14:paraId="20EA61AD" w14:textId="77777777" w:rsidR="00383D96" w:rsidRPr="001300A9" w:rsidRDefault="00383D96" w:rsidP="00383D96">
            <w:pPr>
              <w:tabs>
                <w:tab w:val="left" w:pos="426"/>
              </w:tabs>
              <w:spacing w:after="0" w:line="240" w:lineRule="auto"/>
              <w:jc w:val="both"/>
              <w:rPr>
                <w:rFonts w:ascii="Times New Roman" w:hAnsi="Times New Roman" w:cs="Times New Roman"/>
                <w:sz w:val="24"/>
                <w:szCs w:val="24"/>
              </w:rPr>
            </w:pPr>
          </w:p>
          <w:p w14:paraId="75480207" w14:textId="77777777" w:rsidR="00383D96" w:rsidRPr="001300A9" w:rsidRDefault="00383D96" w:rsidP="00383D96">
            <w:pPr>
              <w:tabs>
                <w:tab w:val="left" w:pos="426"/>
              </w:tabs>
              <w:spacing w:after="0" w:line="240" w:lineRule="auto"/>
              <w:jc w:val="both"/>
              <w:rPr>
                <w:rFonts w:ascii="Times New Roman" w:hAnsi="Times New Roman" w:cs="Times New Roman"/>
                <w:sz w:val="24"/>
                <w:szCs w:val="24"/>
              </w:rPr>
            </w:pPr>
          </w:p>
          <w:p w14:paraId="403DB416" w14:textId="77777777" w:rsidR="00383D96" w:rsidRPr="001300A9" w:rsidRDefault="00383D96" w:rsidP="00383D96">
            <w:pPr>
              <w:tabs>
                <w:tab w:val="left" w:pos="426"/>
              </w:tabs>
              <w:spacing w:after="0" w:line="240" w:lineRule="auto"/>
              <w:jc w:val="both"/>
              <w:rPr>
                <w:rFonts w:ascii="Times New Roman" w:hAnsi="Times New Roman" w:cs="Times New Roman"/>
                <w:sz w:val="24"/>
                <w:szCs w:val="24"/>
              </w:rPr>
            </w:pPr>
          </w:p>
          <w:p w14:paraId="1D68FE60" w14:textId="77777777" w:rsidR="00383D96" w:rsidRPr="001300A9" w:rsidRDefault="00383D96" w:rsidP="00383D96">
            <w:pPr>
              <w:tabs>
                <w:tab w:val="left" w:pos="426"/>
              </w:tabs>
              <w:spacing w:after="0" w:line="240" w:lineRule="auto"/>
              <w:jc w:val="both"/>
              <w:rPr>
                <w:rFonts w:ascii="Times New Roman" w:hAnsi="Times New Roman" w:cs="Times New Roman"/>
                <w:sz w:val="24"/>
                <w:szCs w:val="24"/>
              </w:rPr>
            </w:pPr>
          </w:p>
          <w:p w14:paraId="191EB85B" w14:textId="77777777" w:rsidR="00383D96" w:rsidRPr="001300A9" w:rsidRDefault="00383D96" w:rsidP="00383D96">
            <w:pPr>
              <w:tabs>
                <w:tab w:val="left" w:pos="426"/>
              </w:tabs>
              <w:spacing w:after="0" w:line="240" w:lineRule="auto"/>
              <w:jc w:val="both"/>
              <w:rPr>
                <w:rFonts w:ascii="Times New Roman" w:hAnsi="Times New Roman" w:cs="Times New Roman"/>
                <w:sz w:val="24"/>
                <w:szCs w:val="24"/>
              </w:rPr>
            </w:pPr>
          </w:p>
          <w:p w14:paraId="0FA8BEB0" w14:textId="77777777" w:rsidR="00383D96" w:rsidRPr="001300A9" w:rsidRDefault="00383D96" w:rsidP="00383D96">
            <w:pPr>
              <w:tabs>
                <w:tab w:val="left" w:pos="426"/>
              </w:tabs>
              <w:spacing w:after="0" w:line="240" w:lineRule="auto"/>
              <w:jc w:val="both"/>
              <w:rPr>
                <w:rFonts w:ascii="Times New Roman" w:hAnsi="Times New Roman" w:cs="Times New Roman"/>
                <w:sz w:val="24"/>
                <w:szCs w:val="24"/>
              </w:rPr>
            </w:pPr>
          </w:p>
          <w:p w14:paraId="69B548B7" w14:textId="77777777" w:rsidR="00383D96" w:rsidRPr="001300A9" w:rsidRDefault="00383D96" w:rsidP="00383D96">
            <w:pPr>
              <w:tabs>
                <w:tab w:val="left" w:pos="426"/>
              </w:tabs>
              <w:spacing w:after="0" w:line="240" w:lineRule="auto"/>
              <w:jc w:val="both"/>
              <w:rPr>
                <w:rFonts w:ascii="Times New Roman" w:hAnsi="Times New Roman" w:cs="Times New Roman"/>
                <w:sz w:val="24"/>
                <w:szCs w:val="24"/>
              </w:rPr>
            </w:pPr>
          </w:p>
          <w:p w14:paraId="06812D92" w14:textId="77777777" w:rsidR="00383D96" w:rsidRPr="001300A9" w:rsidRDefault="00383D96" w:rsidP="00383D96">
            <w:pPr>
              <w:tabs>
                <w:tab w:val="left" w:pos="426"/>
              </w:tabs>
              <w:spacing w:after="0" w:line="240" w:lineRule="auto"/>
              <w:jc w:val="both"/>
              <w:rPr>
                <w:rFonts w:ascii="Times New Roman" w:hAnsi="Times New Roman" w:cs="Times New Roman"/>
                <w:sz w:val="24"/>
                <w:szCs w:val="24"/>
              </w:rPr>
            </w:pPr>
          </w:p>
          <w:p w14:paraId="22F4EDA8" w14:textId="77777777" w:rsidR="00383D96" w:rsidRPr="001300A9" w:rsidRDefault="00383D96" w:rsidP="00383D96">
            <w:pPr>
              <w:tabs>
                <w:tab w:val="left" w:pos="426"/>
              </w:tabs>
              <w:spacing w:after="0" w:line="240" w:lineRule="auto"/>
              <w:jc w:val="both"/>
              <w:rPr>
                <w:rFonts w:ascii="Times New Roman" w:hAnsi="Times New Roman" w:cs="Times New Roman"/>
                <w:sz w:val="24"/>
                <w:szCs w:val="24"/>
              </w:rPr>
            </w:pPr>
          </w:p>
          <w:p w14:paraId="31F084CD" w14:textId="77777777" w:rsidR="00383D96" w:rsidRPr="001300A9" w:rsidRDefault="00383D96" w:rsidP="00383D96">
            <w:pPr>
              <w:tabs>
                <w:tab w:val="left" w:pos="426"/>
              </w:tabs>
              <w:spacing w:after="0" w:line="240" w:lineRule="auto"/>
              <w:jc w:val="both"/>
              <w:rPr>
                <w:rFonts w:ascii="Times New Roman" w:hAnsi="Times New Roman" w:cs="Times New Roman"/>
                <w:sz w:val="24"/>
                <w:szCs w:val="24"/>
              </w:rPr>
            </w:pPr>
          </w:p>
          <w:p w14:paraId="33D928C3" w14:textId="77777777" w:rsidR="00383D96" w:rsidRPr="001300A9" w:rsidRDefault="00383D96" w:rsidP="00383D96">
            <w:pPr>
              <w:tabs>
                <w:tab w:val="left" w:pos="426"/>
              </w:tabs>
              <w:spacing w:after="0" w:line="240" w:lineRule="auto"/>
              <w:jc w:val="both"/>
              <w:rPr>
                <w:rFonts w:ascii="Times New Roman" w:hAnsi="Times New Roman" w:cs="Times New Roman"/>
                <w:sz w:val="24"/>
                <w:szCs w:val="24"/>
              </w:rPr>
            </w:pPr>
          </w:p>
          <w:p w14:paraId="1807182E" w14:textId="77777777" w:rsidR="00383D96" w:rsidRPr="001300A9" w:rsidRDefault="00383D96" w:rsidP="00383D96">
            <w:pPr>
              <w:tabs>
                <w:tab w:val="left" w:pos="426"/>
              </w:tabs>
              <w:spacing w:after="0" w:line="240" w:lineRule="auto"/>
              <w:jc w:val="both"/>
              <w:rPr>
                <w:rFonts w:ascii="Times New Roman" w:hAnsi="Times New Roman" w:cs="Times New Roman"/>
                <w:sz w:val="24"/>
                <w:szCs w:val="24"/>
              </w:rPr>
            </w:pPr>
          </w:p>
          <w:p w14:paraId="5C680EF8" w14:textId="77777777" w:rsidR="00383D96" w:rsidRPr="001300A9" w:rsidRDefault="00383D96" w:rsidP="00383D96">
            <w:pPr>
              <w:tabs>
                <w:tab w:val="left" w:pos="426"/>
              </w:tabs>
              <w:spacing w:after="0" w:line="240" w:lineRule="auto"/>
              <w:jc w:val="both"/>
              <w:rPr>
                <w:rFonts w:ascii="Times New Roman" w:hAnsi="Times New Roman" w:cs="Times New Roman"/>
                <w:sz w:val="24"/>
                <w:szCs w:val="24"/>
              </w:rPr>
            </w:pPr>
          </w:p>
          <w:p w14:paraId="3E015307" w14:textId="77777777" w:rsidR="00383D96" w:rsidRPr="001300A9" w:rsidRDefault="00383D96" w:rsidP="00383D96">
            <w:pPr>
              <w:tabs>
                <w:tab w:val="left" w:pos="426"/>
              </w:tabs>
              <w:spacing w:after="0" w:line="240" w:lineRule="auto"/>
              <w:jc w:val="both"/>
              <w:rPr>
                <w:rFonts w:ascii="Times New Roman" w:hAnsi="Times New Roman" w:cs="Times New Roman"/>
                <w:sz w:val="24"/>
                <w:szCs w:val="24"/>
              </w:rPr>
            </w:pPr>
          </w:p>
          <w:p w14:paraId="13DCCE74" w14:textId="77777777" w:rsidR="00383D96" w:rsidRPr="001300A9" w:rsidRDefault="00383D96" w:rsidP="00383D96">
            <w:pPr>
              <w:tabs>
                <w:tab w:val="left" w:pos="426"/>
              </w:tabs>
              <w:spacing w:after="0" w:line="240" w:lineRule="auto"/>
              <w:jc w:val="both"/>
              <w:rPr>
                <w:rFonts w:ascii="Times New Roman" w:hAnsi="Times New Roman" w:cs="Times New Roman"/>
                <w:sz w:val="24"/>
                <w:szCs w:val="24"/>
              </w:rPr>
            </w:pPr>
          </w:p>
          <w:p w14:paraId="392E2EE2" w14:textId="77777777" w:rsidR="00383D96" w:rsidRPr="001300A9" w:rsidRDefault="00383D96" w:rsidP="00383D96">
            <w:pPr>
              <w:tabs>
                <w:tab w:val="left" w:pos="426"/>
              </w:tabs>
              <w:spacing w:after="0" w:line="240" w:lineRule="auto"/>
              <w:jc w:val="both"/>
              <w:rPr>
                <w:rFonts w:ascii="Times New Roman" w:hAnsi="Times New Roman" w:cs="Times New Roman"/>
                <w:sz w:val="24"/>
                <w:szCs w:val="24"/>
              </w:rPr>
            </w:pPr>
          </w:p>
          <w:p w14:paraId="39468B54" w14:textId="77777777" w:rsidR="00383D96" w:rsidRPr="001300A9" w:rsidRDefault="00383D96" w:rsidP="00383D96">
            <w:pPr>
              <w:tabs>
                <w:tab w:val="left" w:pos="426"/>
              </w:tabs>
              <w:spacing w:after="0" w:line="240" w:lineRule="auto"/>
              <w:jc w:val="both"/>
              <w:rPr>
                <w:rFonts w:ascii="Times New Roman" w:hAnsi="Times New Roman" w:cs="Times New Roman"/>
                <w:sz w:val="24"/>
                <w:szCs w:val="24"/>
              </w:rPr>
            </w:pPr>
          </w:p>
          <w:p w14:paraId="797C2470" w14:textId="77777777" w:rsidR="00383D96" w:rsidRPr="001300A9" w:rsidRDefault="00383D96" w:rsidP="00383D96">
            <w:pPr>
              <w:tabs>
                <w:tab w:val="left" w:pos="426"/>
              </w:tabs>
              <w:spacing w:after="0" w:line="240" w:lineRule="auto"/>
              <w:jc w:val="both"/>
              <w:rPr>
                <w:rFonts w:ascii="Times New Roman" w:hAnsi="Times New Roman" w:cs="Times New Roman"/>
                <w:sz w:val="24"/>
                <w:szCs w:val="24"/>
              </w:rPr>
            </w:pPr>
          </w:p>
          <w:p w14:paraId="44CB7370" w14:textId="77777777" w:rsidR="00383D96" w:rsidRPr="001300A9" w:rsidRDefault="00383D96" w:rsidP="00383D96">
            <w:pPr>
              <w:tabs>
                <w:tab w:val="left" w:pos="426"/>
              </w:tabs>
              <w:spacing w:after="0" w:line="240" w:lineRule="auto"/>
              <w:jc w:val="both"/>
              <w:rPr>
                <w:rFonts w:ascii="Times New Roman" w:hAnsi="Times New Roman" w:cs="Times New Roman"/>
                <w:sz w:val="24"/>
                <w:szCs w:val="24"/>
              </w:rPr>
            </w:pPr>
          </w:p>
          <w:p w14:paraId="60B1C4E9" w14:textId="77777777" w:rsidR="00383D96" w:rsidRPr="001300A9" w:rsidRDefault="00383D96" w:rsidP="00383D96">
            <w:pPr>
              <w:tabs>
                <w:tab w:val="left" w:pos="426"/>
              </w:tabs>
              <w:spacing w:after="0" w:line="240" w:lineRule="auto"/>
              <w:jc w:val="both"/>
              <w:rPr>
                <w:rFonts w:ascii="Times New Roman" w:hAnsi="Times New Roman" w:cs="Times New Roman"/>
                <w:sz w:val="24"/>
                <w:szCs w:val="24"/>
              </w:rPr>
            </w:pPr>
          </w:p>
          <w:p w14:paraId="79E0C74F" w14:textId="77777777" w:rsidR="00383D96" w:rsidRPr="001300A9" w:rsidRDefault="00383D96" w:rsidP="00383D96">
            <w:pPr>
              <w:tabs>
                <w:tab w:val="left" w:pos="426"/>
              </w:tabs>
              <w:spacing w:after="0" w:line="240" w:lineRule="auto"/>
              <w:jc w:val="both"/>
              <w:rPr>
                <w:rFonts w:ascii="Times New Roman" w:hAnsi="Times New Roman" w:cs="Times New Roman"/>
                <w:sz w:val="24"/>
                <w:szCs w:val="24"/>
              </w:rPr>
            </w:pPr>
          </w:p>
          <w:p w14:paraId="3DC2AAE0" w14:textId="77777777" w:rsidR="00383D96" w:rsidRPr="001300A9" w:rsidRDefault="00383D96" w:rsidP="00383D96">
            <w:pPr>
              <w:tabs>
                <w:tab w:val="left" w:pos="426"/>
              </w:tabs>
              <w:spacing w:after="0" w:line="240" w:lineRule="auto"/>
              <w:jc w:val="both"/>
              <w:rPr>
                <w:rFonts w:ascii="Times New Roman" w:hAnsi="Times New Roman" w:cs="Times New Roman"/>
                <w:sz w:val="24"/>
                <w:szCs w:val="24"/>
              </w:rPr>
            </w:pPr>
          </w:p>
          <w:p w14:paraId="669E31A6" w14:textId="77777777" w:rsidR="00383D96" w:rsidRPr="001300A9" w:rsidRDefault="00383D96" w:rsidP="00383D96">
            <w:pPr>
              <w:tabs>
                <w:tab w:val="left" w:pos="426"/>
              </w:tabs>
              <w:spacing w:after="0" w:line="240" w:lineRule="auto"/>
              <w:jc w:val="both"/>
              <w:rPr>
                <w:rFonts w:ascii="Times New Roman" w:hAnsi="Times New Roman" w:cs="Times New Roman"/>
                <w:sz w:val="24"/>
                <w:szCs w:val="24"/>
              </w:rPr>
            </w:pPr>
          </w:p>
          <w:p w14:paraId="7D03A544" w14:textId="77777777" w:rsidR="00383D96" w:rsidRPr="001300A9" w:rsidRDefault="00383D96" w:rsidP="00383D96">
            <w:pPr>
              <w:tabs>
                <w:tab w:val="left" w:pos="426"/>
              </w:tabs>
              <w:spacing w:after="0" w:line="240" w:lineRule="auto"/>
              <w:jc w:val="both"/>
              <w:rPr>
                <w:rFonts w:ascii="Times New Roman" w:hAnsi="Times New Roman" w:cs="Times New Roman"/>
                <w:sz w:val="24"/>
                <w:szCs w:val="24"/>
              </w:rPr>
            </w:pPr>
          </w:p>
          <w:p w14:paraId="5541ABDC" w14:textId="77777777" w:rsidR="00383D96" w:rsidRPr="001300A9" w:rsidRDefault="00383D96" w:rsidP="00383D96">
            <w:pPr>
              <w:tabs>
                <w:tab w:val="left" w:pos="426"/>
              </w:tabs>
              <w:spacing w:after="0" w:line="240" w:lineRule="auto"/>
              <w:jc w:val="both"/>
              <w:rPr>
                <w:rFonts w:ascii="Times New Roman" w:hAnsi="Times New Roman" w:cs="Times New Roman"/>
                <w:sz w:val="24"/>
                <w:szCs w:val="24"/>
              </w:rPr>
            </w:pPr>
          </w:p>
          <w:p w14:paraId="47756817" w14:textId="77777777" w:rsidR="00383D96" w:rsidRPr="001300A9" w:rsidRDefault="00383D96" w:rsidP="00383D96">
            <w:pPr>
              <w:tabs>
                <w:tab w:val="left" w:pos="426"/>
              </w:tabs>
              <w:spacing w:after="0" w:line="240" w:lineRule="auto"/>
              <w:jc w:val="both"/>
              <w:rPr>
                <w:rFonts w:ascii="Times New Roman" w:hAnsi="Times New Roman" w:cs="Times New Roman"/>
                <w:sz w:val="24"/>
                <w:szCs w:val="24"/>
              </w:rPr>
            </w:pPr>
          </w:p>
          <w:p w14:paraId="3DC8621E" w14:textId="77777777" w:rsidR="00383D96" w:rsidRPr="001300A9" w:rsidRDefault="00383D96" w:rsidP="00383D96">
            <w:pPr>
              <w:tabs>
                <w:tab w:val="left" w:pos="426"/>
              </w:tabs>
              <w:spacing w:after="0" w:line="240" w:lineRule="auto"/>
              <w:jc w:val="both"/>
              <w:rPr>
                <w:rFonts w:ascii="Times New Roman" w:hAnsi="Times New Roman" w:cs="Times New Roman"/>
                <w:sz w:val="24"/>
                <w:szCs w:val="24"/>
              </w:rPr>
            </w:pPr>
          </w:p>
          <w:p w14:paraId="15C77C3B" w14:textId="77777777" w:rsidR="00383D96" w:rsidRPr="001300A9" w:rsidRDefault="00383D96" w:rsidP="00383D96">
            <w:pPr>
              <w:tabs>
                <w:tab w:val="left" w:pos="426"/>
              </w:tabs>
              <w:spacing w:after="0" w:line="240" w:lineRule="auto"/>
              <w:jc w:val="both"/>
              <w:rPr>
                <w:rFonts w:ascii="Times New Roman" w:hAnsi="Times New Roman" w:cs="Times New Roman"/>
                <w:sz w:val="24"/>
                <w:szCs w:val="24"/>
              </w:rPr>
            </w:pPr>
          </w:p>
          <w:p w14:paraId="08607DAF" w14:textId="77777777" w:rsidR="00383D96" w:rsidRPr="001300A9" w:rsidRDefault="00383D96" w:rsidP="00383D96">
            <w:pPr>
              <w:tabs>
                <w:tab w:val="left" w:pos="426"/>
              </w:tabs>
              <w:spacing w:after="0" w:line="240" w:lineRule="auto"/>
              <w:jc w:val="both"/>
              <w:rPr>
                <w:rFonts w:ascii="Times New Roman" w:hAnsi="Times New Roman" w:cs="Times New Roman"/>
                <w:sz w:val="24"/>
                <w:szCs w:val="24"/>
              </w:rPr>
            </w:pPr>
          </w:p>
          <w:p w14:paraId="512A10E1" w14:textId="77777777" w:rsidR="00383D96" w:rsidRPr="001300A9" w:rsidRDefault="00383D96" w:rsidP="00383D96">
            <w:pPr>
              <w:tabs>
                <w:tab w:val="left" w:pos="426"/>
              </w:tabs>
              <w:spacing w:after="0" w:line="240" w:lineRule="auto"/>
              <w:jc w:val="both"/>
              <w:rPr>
                <w:rFonts w:ascii="Times New Roman" w:hAnsi="Times New Roman" w:cs="Times New Roman"/>
                <w:sz w:val="24"/>
                <w:szCs w:val="24"/>
              </w:rPr>
            </w:pPr>
          </w:p>
          <w:p w14:paraId="1C8CBAE3" w14:textId="77777777" w:rsidR="00383D96" w:rsidRPr="001300A9" w:rsidRDefault="00383D96" w:rsidP="00383D96">
            <w:pPr>
              <w:tabs>
                <w:tab w:val="left" w:pos="426"/>
              </w:tabs>
              <w:spacing w:after="0" w:line="240" w:lineRule="auto"/>
              <w:jc w:val="both"/>
              <w:rPr>
                <w:rFonts w:ascii="Times New Roman" w:hAnsi="Times New Roman" w:cs="Times New Roman"/>
                <w:sz w:val="24"/>
                <w:szCs w:val="24"/>
              </w:rPr>
            </w:pPr>
          </w:p>
          <w:p w14:paraId="1EA08DC4" w14:textId="44AEB732" w:rsidR="00383D96" w:rsidRPr="007A7391" w:rsidRDefault="00383D96" w:rsidP="00383D96">
            <w:pPr>
              <w:tabs>
                <w:tab w:val="left" w:pos="426"/>
              </w:tabs>
              <w:spacing w:after="0" w:line="240" w:lineRule="auto"/>
              <w:jc w:val="both"/>
              <w:rPr>
                <w:rFonts w:ascii="Times New Roman" w:hAnsi="Times New Roman" w:cs="Times New Roman"/>
                <w:sz w:val="24"/>
                <w:szCs w:val="24"/>
              </w:rPr>
            </w:pPr>
          </w:p>
          <w:p w14:paraId="7FC3E047" w14:textId="14048251" w:rsidR="5F673433" w:rsidRDefault="5F673433" w:rsidP="5F673433">
            <w:pPr>
              <w:tabs>
                <w:tab w:val="left" w:pos="426"/>
              </w:tabs>
              <w:spacing w:after="0" w:line="240" w:lineRule="auto"/>
              <w:jc w:val="both"/>
              <w:rPr>
                <w:rFonts w:ascii="Times New Roman" w:hAnsi="Times New Roman" w:cs="Times New Roman"/>
                <w:sz w:val="24"/>
                <w:szCs w:val="24"/>
              </w:rPr>
            </w:pPr>
          </w:p>
          <w:p w14:paraId="046C9201" w14:textId="28C02D1C" w:rsidR="5F673433" w:rsidRDefault="5F673433" w:rsidP="5F673433">
            <w:pPr>
              <w:tabs>
                <w:tab w:val="left" w:pos="426"/>
              </w:tabs>
              <w:spacing w:after="0" w:line="240" w:lineRule="auto"/>
              <w:jc w:val="both"/>
              <w:rPr>
                <w:rFonts w:ascii="Times New Roman" w:hAnsi="Times New Roman" w:cs="Times New Roman"/>
                <w:sz w:val="24"/>
                <w:szCs w:val="24"/>
              </w:rPr>
            </w:pPr>
          </w:p>
          <w:p w14:paraId="4F1A4F76" w14:textId="77777777" w:rsidR="007E112E" w:rsidRDefault="007E112E" w:rsidP="0078131C">
            <w:pPr>
              <w:tabs>
                <w:tab w:val="left" w:pos="426"/>
              </w:tabs>
              <w:spacing w:after="0" w:line="240" w:lineRule="auto"/>
              <w:jc w:val="both"/>
              <w:rPr>
                <w:rFonts w:ascii="Times New Roman" w:hAnsi="Times New Roman" w:cs="Times New Roman"/>
              </w:rPr>
            </w:pPr>
          </w:p>
          <w:p w14:paraId="1A437865" w14:textId="22AB2E51" w:rsidR="0078131C" w:rsidRPr="007A7391" w:rsidRDefault="0078131C" w:rsidP="0078131C">
            <w:pPr>
              <w:tabs>
                <w:tab w:val="left" w:pos="426"/>
              </w:tabs>
              <w:spacing w:after="0" w:line="240" w:lineRule="auto"/>
              <w:jc w:val="both"/>
              <w:rPr>
                <w:rFonts w:ascii="Times New Roman" w:hAnsi="Times New Roman" w:cs="Times New Roman"/>
              </w:rPr>
            </w:pPr>
            <w:r w:rsidRPr="007A7391">
              <w:rPr>
                <w:rFonts w:ascii="Times New Roman" w:hAnsi="Times New Roman" w:cs="Times New Roman"/>
              </w:rPr>
              <w:t xml:space="preserve">(1) </w:t>
            </w:r>
            <w:r w:rsidR="007A7391" w:rsidRPr="007A7391">
              <w:rPr>
                <w:rStyle w:val="normaltextrun"/>
                <w:rFonts w:ascii="Times New Roman" w:hAnsi="Times New Roman" w:cs="Times New Roman"/>
                <w:color w:val="000000"/>
                <w:shd w:val="clear" w:color="auto" w:fill="FFFFFF"/>
              </w:rPr>
              <w:t>Okresný úrad, a ak ide o prevádzkovateľa lietadla a lodnú spoločnosť ministerstvo, uloží prevádzkovateľovi, prevádzkovateľovi lietadla a lodnej spoločnosti, ktorý každoročne do 30. septembra neodovzdá do registra kvóty potrebné na pokrytie emisií za predchádzajúci  rok  podľa  § 21  ods. 1 písm.  b), ods. 2  písm.  b) a ods. 5 písm. b), pokutu  100  eur za  každú  nepokrytú  tonu  ekvivalentu  oxidu  uhličitého  emitovaného  z prevádzky, lietadla a námornej lode. Zaplatenie pokuty za neodovzdanie kvót nezbavuje prevádzkovateľa, prevádzkovateľa lietadla a lodnú spoločnosť povinnosti odovzdať kvóty rovnajúce sa príslušnému prekročeniu emisií najneskôr pri odovzdávaní kvót za nasledujúci kalendárny rok. Pokuty za neodovzdanie  kvót  vydaných  na  obdobie  podľa  § 23 ods. 1 sa zvýšia v súlade s európskym indexom spotrebiteľských cien.</w:t>
            </w:r>
          </w:p>
          <w:p w14:paraId="200D7ECC" w14:textId="77777777" w:rsidR="007A7391" w:rsidRDefault="0078131C" w:rsidP="0078131C">
            <w:pPr>
              <w:tabs>
                <w:tab w:val="left" w:pos="426"/>
              </w:tabs>
              <w:spacing w:after="0" w:line="240" w:lineRule="auto"/>
              <w:jc w:val="both"/>
              <w:rPr>
                <w:rStyle w:val="eop"/>
                <w:rFonts w:ascii="Times New Roman" w:hAnsi="Times New Roman" w:cs="Times New Roman"/>
                <w:color w:val="000000"/>
                <w:shd w:val="clear" w:color="auto" w:fill="FFFFFF"/>
              </w:rPr>
            </w:pPr>
            <w:r w:rsidRPr="007A7391">
              <w:rPr>
                <w:rFonts w:ascii="Times New Roman" w:hAnsi="Times New Roman" w:cs="Times New Roman"/>
              </w:rPr>
              <w:t xml:space="preserve">(2) </w:t>
            </w:r>
            <w:r w:rsidR="007A7391">
              <w:rPr>
                <w:rFonts w:ascii="Times New Roman" w:hAnsi="Times New Roman" w:cs="Times New Roman"/>
              </w:rPr>
              <w:t>O</w:t>
            </w:r>
            <w:r w:rsidR="007A7391" w:rsidRPr="007A7391">
              <w:rPr>
                <w:rStyle w:val="normaltextrun"/>
                <w:rFonts w:ascii="Times New Roman" w:hAnsi="Times New Roman" w:cs="Times New Roman"/>
                <w:color w:val="000000"/>
                <w:shd w:val="clear" w:color="auto" w:fill="FFFFFF"/>
              </w:rPr>
              <w:t>kresný úrad, a ak ide o regulovaný subjekt okresný úrad v sídle kraja, a ak ide o prevádzkovateľa lietadla a lodnú spoločnosť ministerstvo, uloží prevádzkovateľovi, regulovanému subjektu, prevádzkovateľovi lietadla a lodnej spoločnosti pokutu od 1 000 eur do 16 600 eur, ak</w:t>
            </w:r>
            <w:r w:rsidR="007A7391" w:rsidRPr="007A7391">
              <w:rPr>
                <w:rStyle w:val="eop"/>
                <w:rFonts w:ascii="Times New Roman" w:hAnsi="Times New Roman" w:cs="Times New Roman"/>
                <w:color w:val="000000"/>
                <w:shd w:val="clear" w:color="auto" w:fill="FFFFFF"/>
              </w:rPr>
              <w:t> </w:t>
            </w:r>
          </w:p>
          <w:p w14:paraId="0EDDFE44" w14:textId="46E9F3D9" w:rsidR="0078131C" w:rsidRPr="007A7391" w:rsidRDefault="007A7391" w:rsidP="0078131C">
            <w:pPr>
              <w:tabs>
                <w:tab w:val="left" w:pos="426"/>
              </w:tabs>
              <w:spacing w:after="0" w:line="240" w:lineRule="auto"/>
              <w:jc w:val="both"/>
              <w:rPr>
                <w:rFonts w:ascii="Times New Roman" w:hAnsi="Times New Roman" w:cs="Times New Roman"/>
              </w:rPr>
            </w:pPr>
            <w:r>
              <w:rPr>
                <w:rFonts w:ascii="Times New Roman" w:hAnsi="Times New Roman" w:cs="Times New Roman"/>
              </w:rPr>
              <w:t xml:space="preserve">a) </w:t>
            </w:r>
            <w:r w:rsidRPr="007A7391">
              <w:rPr>
                <w:rStyle w:val="normaltextrun"/>
                <w:rFonts w:ascii="Times New Roman" w:hAnsi="Times New Roman" w:cs="Times New Roman"/>
                <w:color w:val="000000"/>
                <w:bdr w:val="none" w:sz="0" w:space="0" w:color="auto" w:frame="1"/>
              </w:rPr>
              <w:t>nepodá v určenej lehote žiadosť o povolenie na vypúšťanie emisií skleníkových plynov podľa § 3</w:t>
            </w:r>
            <w:r w:rsidR="0078131C" w:rsidRPr="007A7391">
              <w:rPr>
                <w:rFonts w:ascii="Times New Roman" w:hAnsi="Times New Roman" w:cs="Times New Roman"/>
              </w:rPr>
              <w:t>,</w:t>
            </w:r>
          </w:p>
          <w:p w14:paraId="5C07BD35" w14:textId="2C91F8D1" w:rsidR="007A7391" w:rsidRPr="007A7391" w:rsidRDefault="007A7391" w:rsidP="0078131C">
            <w:pPr>
              <w:tabs>
                <w:tab w:val="left" w:pos="426"/>
              </w:tabs>
              <w:spacing w:after="0" w:line="240" w:lineRule="auto"/>
              <w:jc w:val="both"/>
              <w:rPr>
                <w:rStyle w:val="eop"/>
                <w:rFonts w:ascii="Times New Roman" w:hAnsi="Times New Roman" w:cs="Times New Roman"/>
                <w:color w:val="000000"/>
                <w:shd w:val="clear" w:color="auto" w:fill="FFFFFF"/>
              </w:rPr>
            </w:pPr>
            <w:r>
              <w:rPr>
                <w:rFonts w:ascii="Times New Roman" w:hAnsi="Times New Roman" w:cs="Times New Roman"/>
              </w:rPr>
              <w:t xml:space="preserve">b) </w:t>
            </w:r>
            <w:r w:rsidRPr="007A7391">
              <w:rPr>
                <w:rStyle w:val="normaltextrun"/>
                <w:rFonts w:ascii="Times New Roman" w:hAnsi="Times New Roman" w:cs="Times New Roman"/>
                <w:color w:val="000000"/>
                <w:shd w:val="clear" w:color="auto" w:fill="FFFFFF"/>
              </w:rPr>
              <w:t>nepodá v určenej lehote žiadosť o povolenie na emisie skleníkových plynov podľa § 6,</w:t>
            </w:r>
            <w:r w:rsidRPr="007A7391">
              <w:rPr>
                <w:rStyle w:val="eop"/>
                <w:rFonts w:ascii="Times New Roman" w:hAnsi="Times New Roman" w:cs="Times New Roman"/>
                <w:color w:val="000000"/>
                <w:shd w:val="clear" w:color="auto" w:fill="FFFFFF"/>
              </w:rPr>
              <w:t> </w:t>
            </w:r>
          </w:p>
          <w:p w14:paraId="6E2574D1" w14:textId="76283019" w:rsidR="0078131C" w:rsidRPr="007A7391" w:rsidRDefault="007A7391" w:rsidP="0078131C">
            <w:pPr>
              <w:tabs>
                <w:tab w:val="left" w:pos="426"/>
              </w:tabs>
              <w:spacing w:after="0" w:line="240" w:lineRule="auto"/>
              <w:jc w:val="both"/>
              <w:rPr>
                <w:rFonts w:ascii="Times New Roman" w:hAnsi="Times New Roman" w:cs="Times New Roman"/>
              </w:rPr>
            </w:pPr>
            <w:r>
              <w:rPr>
                <w:rFonts w:ascii="Times New Roman" w:hAnsi="Times New Roman" w:cs="Times New Roman"/>
              </w:rPr>
              <w:t xml:space="preserve">c) </w:t>
            </w:r>
            <w:r w:rsidRPr="007A7391">
              <w:rPr>
                <w:rStyle w:val="normaltextrun"/>
                <w:rFonts w:ascii="Times New Roman" w:hAnsi="Times New Roman" w:cs="Times New Roman"/>
                <w:color w:val="000000"/>
                <w:shd w:val="clear" w:color="auto" w:fill="FFFFFF"/>
              </w:rPr>
              <w:t>nedodržiava požiadavky na monitorovanie emisií skleníkových plynov alebo na podávanie správ o ich emisiách ustanovené v povolení na vypúšťanie emisií skleníkových plynov podľa § 4,</w:t>
            </w:r>
            <w:r w:rsidRPr="007A7391">
              <w:rPr>
                <w:rStyle w:val="eop"/>
                <w:rFonts w:ascii="Times New Roman" w:hAnsi="Times New Roman" w:cs="Times New Roman"/>
                <w:color w:val="000000"/>
                <w:shd w:val="clear" w:color="auto" w:fill="FFFFFF"/>
              </w:rPr>
              <w:t> </w:t>
            </w:r>
          </w:p>
          <w:p w14:paraId="0587B6DB" w14:textId="22A268E0" w:rsidR="007A7391" w:rsidRPr="007A7391" w:rsidRDefault="007A7391" w:rsidP="0078131C">
            <w:pPr>
              <w:tabs>
                <w:tab w:val="left" w:pos="426"/>
              </w:tabs>
              <w:spacing w:after="0" w:line="240" w:lineRule="auto"/>
              <w:jc w:val="both"/>
              <w:rPr>
                <w:rStyle w:val="eop"/>
                <w:rFonts w:ascii="Times New Roman" w:hAnsi="Times New Roman" w:cs="Times New Roman"/>
                <w:color w:val="000000"/>
                <w:shd w:val="clear" w:color="auto" w:fill="FFFFFF"/>
              </w:rPr>
            </w:pPr>
            <w:r>
              <w:rPr>
                <w:rFonts w:ascii="Times New Roman" w:hAnsi="Times New Roman" w:cs="Times New Roman"/>
              </w:rPr>
              <w:t xml:space="preserve">d) </w:t>
            </w:r>
            <w:r w:rsidRPr="007A7391">
              <w:rPr>
                <w:rStyle w:val="normaltextrun"/>
                <w:rFonts w:ascii="Times New Roman" w:hAnsi="Times New Roman" w:cs="Times New Roman"/>
                <w:color w:val="000000"/>
                <w:shd w:val="clear" w:color="auto" w:fill="FFFFFF"/>
              </w:rPr>
              <w:t>nedodržiava požiadavky na monitorovanie emisií skleníkových plynov alebo na podávanie správ o emisiách ustanovené v povolení na emisie skleníkových plynov pre regulované subjekty podľa § 6a,</w:t>
            </w:r>
            <w:r w:rsidRPr="007A7391">
              <w:rPr>
                <w:rStyle w:val="eop"/>
                <w:rFonts w:ascii="Times New Roman" w:hAnsi="Times New Roman" w:cs="Times New Roman"/>
                <w:color w:val="000000"/>
                <w:shd w:val="clear" w:color="auto" w:fill="FFFFFF"/>
              </w:rPr>
              <w:t> </w:t>
            </w:r>
          </w:p>
          <w:p w14:paraId="39390635" w14:textId="38E47697" w:rsidR="0078131C" w:rsidRPr="007A7391" w:rsidRDefault="007A7391" w:rsidP="0078131C">
            <w:pPr>
              <w:tabs>
                <w:tab w:val="left" w:pos="426"/>
              </w:tabs>
              <w:spacing w:after="0" w:line="240" w:lineRule="auto"/>
              <w:jc w:val="both"/>
              <w:rPr>
                <w:rFonts w:ascii="Times New Roman" w:hAnsi="Times New Roman" w:cs="Times New Roman"/>
              </w:rPr>
            </w:pPr>
            <w:r>
              <w:rPr>
                <w:rFonts w:ascii="Times New Roman" w:hAnsi="Times New Roman" w:cs="Times New Roman"/>
              </w:rPr>
              <w:t xml:space="preserve">e) </w:t>
            </w:r>
            <w:r w:rsidRPr="007A7391">
              <w:rPr>
                <w:rStyle w:val="normaltextrun"/>
                <w:rFonts w:ascii="Times New Roman" w:hAnsi="Times New Roman" w:cs="Times New Roman"/>
                <w:color w:val="000000"/>
                <w:shd w:val="clear" w:color="auto" w:fill="FFFFFF"/>
              </w:rPr>
              <w:t>neoznámi údaje podľa § 5 a § 6b, </w:t>
            </w:r>
            <w:r w:rsidRPr="007A7391">
              <w:rPr>
                <w:rStyle w:val="eop"/>
                <w:rFonts w:ascii="Times New Roman" w:hAnsi="Times New Roman" w:cs="Times New Roman"/>
                <w:color w:val="000000"/>
                <w:shd w:val="clear" w:color="auto" w:fill="FFFFFF"/>
              </w:rPr>
              <w:t> </w:t>
            </w:r>
          </w:p>
          <w:p w14:paraId="192A18CA" w14:textId="4F6C1851" w:rsidR="0078131C" w:rsidRPr="007A7391" w:rsidRDefault="007A7391" w:rsidP="0078131C">
            <w:pPr>
              <w:tabs>
                <w:tab w:val="left" w:pos="426"/>
              </w:tabs>
              <w:spacing w:after="0" w:line="240" w:lineRule="auto"/>
              <w:jc w:val="both"/>
              <w:rPr>
                <w:rFonts w:ascii="Times New Roman" w:hAnsi="Times New Roman" w:cs="Times New Roman"/>
              </w:rPr>
            </w:pPr>
            <w:r>
              <w:rPr>
                <w:rFonts w:ascii="Times New Roman" w:hAnsi="Times New Roman" w:cs="Times New Roman"/>
              </w:rPr>
              <w:t xml:space="preserve">f) </w:t>
            </w:r>
            <w:r w:rsidRPr="007A7391">
              <w:rPr>
                <w:rStyle w:val="normaltextrun"/>
                <w:rFonts w:ascii="Times New Roman" w:hAnsi="Times New Roman" w:cs="Times New Roman"/>
                <w:color w:val="000000"/>
                <w:shd w:val="clear" w:color="auto" w:fill="FFFFFF"/>
              </w:rPr>
              <w:t>nesplní v určenej lehote povinnosti podľa § 21 ods. 1 písm. c) až e), § 21 ods. 2 písm. a), § 21 ods. 4, § 21 ods. 5 písm. a) a § 21 ods. 6 písm. a), c) a d).</w:t>
            </w:r>
          </w:p>
          <w:p w14:paraId="186FF8D2" w14:textId="77777777" w:rsidR="0078131C" w:rsidRPr="001300A9" w:rsidRDefault="0078131C" w:rsidP="0078131C">
            <w:pPr>
              <w:tabs>
                <w:tab w:val="left" w:pos="426"/>
              </w:tabs>
              <w:spacing w:after="0" w:line="240" w:lineRule="auto"/>
              <w:jc w:val="both"/>
              <w:rPr>
                <w:rFonts w:ascii="Times New Roman" w:hAnsi="Times New Roman" w:cs="Times New Roman"/>
                <w:sz w:val="24"/>
                <w:szCs w:val="24"/>
              </w:rPr>
            </w:pPr>
          </w:p>
          <w:p w14:paraId="2B239D39" w14:textId="77777777" w:rsidR="00383D96" w:rsidRPr="001300A9" w:rsidRDefault="00383D96" w:rsidP="00383D96">
            <w:pPr>
              <w:tabs>
                <w:tab w:val="left" w:pos="426"/>
              </w:tabs>
              <w:spacing w:after="0" w:line="240" w:lineRule="auto"/>
              <w:jc w:val="both"/>
              <w:rPr>
                <w:rFonts w:ascii="Times New Roman" w:hAnsi="Times New Roman" w:cs="Times New Roman"/>
                <w:sz w:val="24"/>
                <w:szCs w:val="24"/>
              </w:rPr>
            </w:pPr>
          </w:p>
          <w:p w14:paraId="694E402C" w14:textId="77777777" w:rsidR="00383D96" w:rsidRPr="001300A9" w:rsidRDefault="00383D96" w:rsidP="00383D96">
            <w:pPr>
              <w:tabs>
                <w:tab w:val="left" w:pos="426"/>
              </w:tabs>
              <w:spacing w:after="0" w:line="240" w:lineRule="auto"/>
              <w:jc w:val="both"/>
              <w:rPr>
                <w:rFonts w:ascii="Times New Roman" w:hAnsi="Times New Roman" w:cs="Times New Roman"/>
                <w:sz w:val="24"/>
                <w:szCs w:val="24"/>
              </w:rPr>
            </w:pPr>
          </w:p>
          <w:p w14:paraId="085F3592" w14:textId="77777777" w:rsidR="00383D96" w:rsidRPr="001300A9" w:rsidRDefault="00383D96" w:rsidP="00383D96">
            <w:pPr>
              <w:tabs>
                <w:tab w:val="left" w:pos="426"/>
              </w:tabs>
              <w:spacing w:after="0" w:line="240" w:lineRule="auto"/>
              <w:jc w:val="both"/>
              <w:rPr>
                <w:rFonts w:ascii="Times New Roman" w:hAnsi="Times New Roman" w:cs="Times New Roman"/>
                <w:sz w:val="24"/>
                <w:szCs w:val="24"/>
              </w:rPr>
            </w:pPr>
          </w:p>
          <w:p w14:paraId="7DEF18A0" w14:textId="77777777" w:rsidR="00383D96" w:rsidRPr="001300A9" w:rsidRDefault="00383D96" w:rsidP="00383D96">
            <w:pPr>
              <w:tabs>
                <w:tab w:val="left" w:pos="426"/>
              </w:tabs>
              <w:spacing w:after="0" w:line="240" w:lineRule="auto"/>
              <w:jc w:val="both"/>
              <w:rPr>
                <w:rFonts w:ascii="Times New Roman" w:hAnsi="Times New Roman" w:cs="Times New Roman"/>
                <w:sz w:val="24"/>
                <w:szCs w:val="24"/>
              </w:rPr>
            </w:pPr>
          </w:p>
          <w:p w14:paraId="4191D836" w14:textId="77777777" w:rsidR="00383D96" w:rsidRPr="001300A9" w:rsidRDefault="00383D96" w:rsidP="00383D96">
            <w:pPr>
              <w:tabs>
                <w:tab w:val="left" w:pos="426"/>
              </w:tabs>
              <w:spacing w:after="0" w:line="240" w:lineRule="auto"/>
              <w:jc w:val="both"/>
              <w:rPr>
                <w:rFonts w:ascii="Times New Roman" w:hAnsi="Times New Roman" w:cs="Times New Roman"/>
                <w:sz w:val="24"/>
                <w:szCs w:val="24"/>
              </w:rPr>
            </w:pPr>
          </w:p>
          <w:p w14:paraId="5E1E57CD" w14:textId="77777777" w:rsidR="00383D96" w:rsidRPr="001300A9" w:rsidRDefault="00383D96" w:rsidP="00383D96">
            <w:pPr>
              <w:tabs>
                <w:tab w:val="left" w:pos="426"/>
              </w:tabs>
              <w:spacing w:after="0" w:line="240" w:lineRule="auto"/>
              <w:jc w:val="both"/>
              <w:rPr>
                <w:rFonts w:ascii="Times New Roman" w:hAnsi="Times New Roman" w:cs="Times New Roman"/>
                <w:sz w:val="24"/>
                <w:szCs w:val="24"/>
              </w:rPr>
            </w:pPr>
          </w:p>
          <w:p w14:paraId="2B9F8E72" w14:textId="77777777" w:rsidR="00383D96" w:rsidRPr="001300A9" w:rsidRDefault="00383D96" w:rsidP="00383D96">
            <w:pPr>
              <w:tabs>
                <w:tab w:val="left" w:pos="426"/>
              </w:tabs>
              <w:spacing w:after="0" w:line="240" w:lineRule="auto"/>
              <w:jc w:val="both"/>
              <w:rPr>
                <w:rFonts w:ascii="Times New Roman" w:hAnsi="Times New Roman" w:cs="Times New Roman"/>
                <w:sz w:val="24"/>
                <w:szCs w:val="24"/>
              </w:rPr>
            </w:pPr>
          </w:p>
          <w:p w14:paraId="611A67FD" w14:textId="77777777" w:rsidR="00383D96" w:rsidRPr="001300A9" w:rsidRDefault="00383D96" w:rsidP="00383D96">
            <w:pPr>
              <w:tabs>
                <w:tab w:val="left" w:pos="426"/>
              </w:tabs>
              <w:spacing w:after="0" w:line="240" w:lineRule="auto"/>
              <w:jc w:val="both"/>
              <w:rPr>
                <w:rFonts w:ascii="Times New Roman" w:hAnsi="Times New Roman" w:cs="Times New Roman"/>
                <w:sz w:val="24"/>
                <w:szCs w:val="24"/>
              </w:rPr>
            </w:pPr>
          </w:p>
          <w:p w14:paraId="1A216F9F" w14:textId="77777777" w:rsidR="00383D96" w:rsidRPr="001300A9" w:rsidRDefault="00383D96" w:rsidP="00383D96">
            <w:pPr>
              <w:tabs>
                <w:tab w:val="left" w:pos="426"/>
              </w:tabs>
              <w:spacing w:after="0" w:line="240" w:lineRule="auto"/>
              <w:jc w:val="both"/>
              <w:rPr>
                <w:rFonts w:ascii="Times New Roman" w:hAnsi="Times New Roman" w:cs="Times New Roman"/>
                <w:sz w:val="24"/>
                <w:szCs w:val="24"/>
              </w:rPr>
            </w:pPr>
          </w:p>
          <w:p w14:paraId="6C46D1E7" w14:textId="77777777" w:rsidR="00383D96" w:rsidRPr="001300A9" w:rsidRDefault="00383D96" w:rsidP="00383D96">
            <w:pPr>
              <w:tabs>
                <w:tab w:val="left" w:pos="426"/>
              </w:tabs>
              <w:spacing w:after="0" w:line="240" w:lineRule="auto"/>
              <w:jc w:val="both"/>
              <w:rPr>
                <w:rFonts w:ascii="Times New Roman" w:hAnsi="Times New Roman" w:cs="Times New Roman"/>
                <w:sz w:val="24"/>
                <w:szCs w:val="24"/>
              </w:rPr>
            </w:pPr>
          </w:p>
          <w:p w14:paraId="4315CB7F" w14:textId="77777777" w:rsidR="00383D96" w:rsidRPr="001300A9" w:rsidRDefault="00383D96" w:rsidP="00383D96">
            <w:pPr>
              <w:tabs>
                <w:tab w:val="left" w:pos="426"/>
              </w:tabs>
              <w:spacing w:after="0" w:line="240" w:lineRule="auto"/>
              <w:jc w:val="both"/>
              <w:rPr>
                <w:rFonts w:ascii="Times New Roman" w:hAnsi="Times New Roman" w:cs="Times New Roman"/>
                <w:sz w:val="24"/>
                <w:szCs w:val="24"/>
              </w:rPr>
            </w:pPr>
          </w:p>
          <w:p w14:paraId="678A7B1D" w14:textId="77777777" w:rsidR="00383D96" w:rsidRPr="001300A9" w:rsidRDefault="00383D96" w:rsidP="00383D96">
            <w:pPr>
              <w:tabs>
                <w:tab w:val="left" w:pos="426"/>
              </w:tabs>
              <w:spacing w:after="0" w:line="240" w:lineRule="auto"/>
              <w:jc w:val="both"/>
              <w:rPr>
                <w:rFonts w:ascii="Times New Roman" w:hAnsi="Times New Roman" w:cs="Times New Roman"/>
                <w:sz w:val="24"/>
                <w:szCs w:val="24"/>
              </w:rPr>
            </w:pPr>
          </w:p>
          <w:p w14:paraId="4DF09349" w14:textId="77777777" w:rsidR="00383D96" w:rsidRPr="001300A9" w:rsidRDefault="00383D96" w:rsidP="00383D96">
            <w:pPr>
              <w:tabs>
                <w:tab w:val="left" w:pos="426"/>
              </w:tabs>
              <w:spacing w:after="0" w:line="240" w:lineRule="auto"/>
              <w:jc w:val="both"/>
              <w:rPr>
                <w:rFonts w:ascii="Times New Roman" w:hAnsi="Times New Roman" w:cs="Times New Roman"/>
                <w:sz w:val="24"/>
                <w:szCs w:val="24"/>
              </w:rPr>
            </w:pPr>
          </w:p>
          <w:p w14:paraId="754AF1EB" w14:textId="77777777" w:rsidR="00383D96" w:rsidRPr="001300A9" w:rsidRDefault="00383D96" w:rsidP="00383D96">
            <w:pPr>
              <w:tabs>
                <w:tab w:val="left" w:pos="426"/>
              </w:tabs>
              <w:spacing w:after="0" w:line="240" w:lineRule="auto"/>
              <w:jc w:val="both"/>
              <w:rPr>
                <w:rFonts w:ascii="Times New Roman" w:hAnsi="Times New Roman" w:cs="Times New Roman"/>
                <w:sz w:val="24"/>
                <w:szCs w:val="24"/>
              </w:rPr>
            </w:pPr>
          </w:p>
          <w:p w14:paraId="5F75430F" w14:textId="77777777" w:rsidR="00383D96" w:rsidRPr="001300A9" w:rsidRDefault="00383D96" w:rsidP="00383D96">
            <w:pPr>
              <w:tabs>
                <w:tab w:val="left" w:pos="426"/>
              </w:tabs>
              <w:spacing w:after="0" w:line="240" w:lineRule="auto"/>
              <w:jc w:val="both"/>
              <w:rPr>
                <w:rFonts w:ascii="Times New Roman" w:hAnsi="Times New Roman" w:cs="Times New Roman"/>
                <w:sz w:val="24"/>
                <w:szCs w:val="24"/>
              </w:rPr>
            </w:pPr>
          </w:p>
          <w:p w14:paraId="345EC42E" w14:textId="77777777" w:rsidR="00383D96" w:rsidRPr="001300A9" w:rsidRDefault="00383D96" w:rsidP="00383D96">
            <w:pPr>
              <w:tabs>
                <w:tab w:val="left" w:pos="426"/>
              </w:tabs>
              <w:spacing w:after="0" w:line="240" w:lineRule="auto"/>
              <w:jc w:val="both"/>
              <w:rPr>
                <w:rFonts w:ascii="Times New Roman" w:hAnsi="Times New Roman" w:cs="Times New Roman"/>
                <w:sz w:val="24"/>
                <w:szCs w:val="24"/>
              </w:rPr>
            </w:pPr>
          </w:p>
          <w:p w14:paraId="2DA41F2B" w14:textId="77777777" w:rsidR="00383D96" w:rsidRPr="001300A9" w:rsidRDefault="00383D96" w:rsidP="00383D96">
            <w:pPr>
              <w:tabs>
                <w:tab w:val="left" w:pos="426"/>
              </w:tabs>
              <w:spacing w:after="0" w:line="240" w:lineRule="auto"/>
              <w:jc w:val="both"/>
              <w:rPr>
                <w:rFonts w:ascii="Times New Roman" w:hAnsi="Times New Roman" w:cs="Times New Roman"/>
                <w:sz w:val="24"/>
                <w:szCs w:val="24"/>
              </w:rPr>
            </w:pPr>
          </w:p>
          <w:p w14:paraId="6CE01A9E" w14:textId="77777777" w:rsidR="00383D96" w:rsidRPr="001300A9" w:rsidRDefault="00383D96" w:rsidP="00383D96">
            <w:pPr>
              <w:tabs>
                <w:tab w:val="left" w:pos="426"/>
              </w:tabs>
              <w:spacing w:after="0" w:line="240" w:lineRule="auto"/>
              <w:jc w:val="both"/>
              <w:rPr>
                <w:rFonts w:ascii="Times New Roman" w:hAnsi="Times New Roman" w:cs="Times New Roman"/>
                <w:sz w:val="24"/>
                <w:szCs w:val="24"/>
              </w:rPr>
            </w:pPr>
          </w:p>
          <w:p w14:paraId="3E0ECB7C" w14:textId="77777777" w:rsidR="00383D96" w:rsidRPr="001300A9" w:rsidRDefault="00383D96" w:rsidP="00383D96">
            <w:pPr>
              <w:tabs>
                <w:tab w:val="left" w:pos="426"/>
              </w:tabs>
              <w:spacing w:after="0" w:line="240" w:lineRule="auto"/>
              <w:jc w:val="both"/>
              <w:rPr>
                <w:rFonts w:ascii="Times New Roman" w:hAnsi="Times New Roman" w:cs="Times New Roman"/>
                <w:sz w:val="24"/>
                <w:szCs w:val="24"/>
              </w:rPr>
            </w:pPr>
          </w:p>
          <w:p w14:paraId="382B4901" w14:textId="77777777" w:rsidR="00383D96" w:rsidRPr="001300A9" w:rsidRDefault="00383D96" w:rsidP="00383D96">
            <w:pPr>
              <w:tabs>
                <w:tab w:val="left" w:pos="426"/>
              </w:tabs>
              <w:spacing w:after="0" w:line="240" w:lineRule="auto"/>
              <w:jc w:val="both"/>
              <w:rPr>
                <w:rFonts w:ascii="Times New Roman" w:hAnsi="Times New Roman" w:cs="Times New Roman"/>
                <w:sz w:val="24"/>
                <w:szCs w:val="24"/>
              </w:rPr>
            </w:pPr>
          </w:p>
          <w:p w14:paraId="5FA6D07B" w14:textId="77777777" w:rsidR="00383D96" w:rsidRPr="001300A9" w:rsidRDefault="00383D96" w:rsidP="00383D96">
            <w:pPr>
              <w:tabs>
                <w:tab w:val="left" w:pos="426"/>
              </w:tabs>
              <w:spacing w:after="0" w:line="240" w:lineRule="auto"/>
              <w:jc w:val="both"/>
              <w:rPr>
                <w:rFonts w:ascii="Times New Roman" w:hAnsi="Times New Roman" w:cs="Times New Roman"/>
                <w:sz w:val="24"/>
                <w:szCs w:val="24"/>
              </w:rPr>
            </w:pPr>
          </w:p>
          <w:p w14:paraId="0BABDEDF" w14:textId="77777777" w:rsidR="00383D96" w:rsidRPr="001300A9" w:rsidRDefault="00383D96" w:rsidP="00383D96">
            <w:pPr>
              <w:tabs>
                <w:tab w:val="left" w:pos="426"/>
              </w:tabs>
              <w:spacing w:after="0" w:line="240" w:lineRule="auto"/>
              <w:jc w:val="both"/>
              <w:rPr>
                <w:rFonts w:ascii="Times New Roman" w:hAnsi="Times New Roman" w:cs="Times New Roman"/>
                <w:sz w:val="24"/>
                <w:szCs w:val="24"/>
              </w:rPr>
            </w:pPr>
          </w:p>
          <w:p w14:paraId="0492E569" w14:textId="77777777" w:rsidR="00383D96" w:rsidRPr="001300A9" w:rsidRDefault="00383D96" w:rsidP="00383D96">
            <w:pPr>
              <w:tabs>
                <w:tab w:val="left" w:pos="426"/>
              </w:tabs>
              <w:spacing w:after="0" w:line="240" w:lineRule="auto"/>
              <w:jc w:val="both"/>
              <w:rPr>
                <w:rFonts w:ascii="Times New Roman" w:hAnsi="Times New Roman" w:cs="Times New Roman"/>
                <w:sz w:val="24"/>
                <w:szCs w:val="24"/>
              </w:rPr>
            </w:pPr>
          </w:p>
          <w:p w14:paraId="1259C570" w14:textId="77777777" w:rsidR="00383D96" w:rsidRPr="001300A9" w:rsidRDefault="00383D96" w:rsidP="00383D96">
            <w:pPr>
              <w:tabs>
                <w:tab w:val="left" w:pos="426"/>
              </w:tabs>
              <w:spacing w:after="0" w:line="240" w:lineRule="auto"/>
              <w:jc w:val="both"/>
              <w:rPr>
                <w:rFonts w:ascii="Times New Roman" w:hAnsi="Times New Roman" w:cs="Times New Roman"/>
                <w:sz w:val="24"/>
                <w:szCs w:val="24"/>
              </w:rPr>
            </w:pPr>
          </w:p>
          <w:p w14:paraId="7F0C96B4" w14:textId="77777777" w:rsidR="00383D96" w:rsidRPr="001300A9" w:rsidRDefault="00383D96" w:rsidP="00383D96">
            <w:pPr>
              <w:tabs>
                <w:tab w:val="left" w:pos="426"/>
              </w:tabs>
              <w:spacing w:after="0" w:line="240" w:lineRule="auto"/>
              <w:jc w:val="both"/>
              <w:rPr>
                <w:rFonts w:ascii="Times New Roman" w:hAnsi="Times New Roman" w:cs="Times New Roman"/>
                <w:sz w:val="24"/>
                <w:szCs w:val="24"/>
              </w:rPr>
            </w:pPr>
          </w:p>
          <w:p w14:paraId="5B226C47" w14:textId="77777777" w:rsidR="00383D96" w:rsidRPr="001300A9" w:rsidRDefault="00383D96" w:rsidP="00383D96">
            <w:pPr>
              <w:tabs>
                <w:tab w:val="left" w:pos="426"/>
              </w:tabs>
              <w:spacing w:after="0" w:line="240" w:lineRule="auto"/>
              <w:jc w:val="both"/>
              <w:rPr>
                <w:rFonts w:ascii="Times New Roman" w:hAnsi="Times New Roman" w:cs="Times New Roman"/>
                <w:sz w:val="24"/>
                <w:szCs w:val="24"/>
              </w:rPr>
            </w:pPr>
          </w:p>
          <w:p w14:paraId="7D17D556" w14:textId="77777777" w:rsidR="00383D96" w:rsidRPr="001300A9" w:rsidRDefault="00383D96" w:rsidP="00383D96">
            <w:pPr>
              <w:tabs>
                <w:tab w:val="left" w:pos="426"/>
              </w:tabs>
              <w:spacing w:after="0" w:line="240" w:lineRule="auto"/>
              <w:jc w:val="both"/>
              <w:rPr>
                <w:rFonts w:ascii="Times New Roman" w:hAnsi="Times New Roman" w:cs="Times New Roman"/>
                <w:sz w:val="24"/>
                <w:szCs w:val="24"/>
              </w:rPr>
            </w:pPr>
          </w:p>
          <w:p w14:paraId="059C01AF" w14:textId="77777777" w:rsidR="00383D96" w:rsidRPr="001300A9" w:rsidRDefault="00383D96" w:rsidP="00383D96">
            <w:pPr>
              <w:tabs>
                <w:tab w:val="left" w:pos="426"/>
              </w:tabs>
              <w:spacing w:after="0" w:line="240" w:lineRule="auto"/>
              <w:jc w:val="both"/>
              <w:rPr>
                <w:rFonts w:ascii="Times New Roman" w:hAnsi="Times New Roman" w:cs="Times New Roman"/>
                <w:sz w:val="24"/>
                <w:szCs w:val="24"/>
              </w:rPr>
            </w:pPr>
          </w:p>
          <w:p w14:paraId="1549A77D" w14:textId="77777777" w:rsidR="00383D96" w:rsidRPr="001300A9" w:rsidRDefault="00383D96" w:rsidP="00383D96">
            <w:pPr>
              <w:tabs>
                <w:tab w:val="left" w:pos="426"/>
              </w:tabs>
              <w:spacing w:after="0" w:line="240" w:lineRule="auto"/>
              <w:jc w:val="both"/>
              <w:rPr>
                <w:rFonts w:ascii="Times New Roman" w:hAnsi="Times New Roman" w:cs="Times New Roman"/>
                <w:sz w:val="24"/>
                <w:szCs w:val="24"/>
              </w:rPr>
            </w:pPr>
          </w:p>
          <w:p w14:paraId="51DBB651" w14:textId="77777777" w:rsidR="00383D96" w:rsidRPr="001300A9" w:rsidRDefault="00383D96" w:rsidP="00383D96">
            <w:pPr>
              <w:tabs>
                <w:tab w:val="left" w:pos="426"/>
              </w:tabs>
              <w:spacing w:after="0" w:line="240" w:lineRule="auto"/>
              <w:jc w:val="both"/>
              <w:rPr>
                <w:rFonts w:ascii="Times New Roman" w:hAnsi="Times New Roman" w:cs="Times New Roman"/>
                <w:sz w:val="24"/>
                <w:szCs w:val="24"/>
              </w:rPr>
            </w:pPr>
          </w:p>
          <w:p w14:paraId="6BD585AD" w14:textId="77777777" w:rsidR="00383D96" w:rsidRPr="001300A9" w:rsidRDefault="00383D96" w:rsidP="00383D96">
            <w:pPr>
              <w:tabs>
                <w:tab w:val="left" w:pos="426"/>
              </w:tabs>
              <w:spacing w:after="0" w:line="240" w:lineRule="auto"/>
              <w:jc w:val="both"/>
              <w:rPr>
                <w:rFonts w:ascii="Times New Roman" w:hAnsi="Times New Roman" w:cs="Times New Roman"/>
                <w:sz w:val="24"/>
                <w:szCs w:val="24"/>
              </w:rPr>
            </w:pPr>
          </w:p>
          <w:p w14:paraId="4762940A" w14:textId="77777777" w:rsidR="00383D96" w:rsidRPr="001300A9" w:rsidRDefault="00383D96" w:rsidP="00383D96">
            <w:pPr>
              <w:tabs>
                <w:tab w:val="left" w:pos="426"/>
              </w:tabs>
              <w:spacing w:after="0" w:line="240" w:lineRule="auto"/>
              <w:jc w:val="both"/>
              <w:rPr>
                <w:rFonts w:ascii="Times New Roman" w:hAnsi="Times New Roman" w:cs="Times New Roman"/>
                <w:sz w:val="24"/>
                <w:szCs w:val="24"/>
              </w:rPr>
            </w:pPr>
          </w:p>
          <w:p w14:paraId="50E7B49C" w14:textId="77777777" w:rsidR="00383D96" w:rsidRPr="001300A9" w:rsidRDefault="00383D96" w:rsidP="00383D96">
            <w:pPr>
              <w:tabs>
                <w:tab w:val="left" w:pos="426"/>
              </w:tabs>
              <w:spacing w:after="0" w:line="240" w:lineRule="auto"/>
              <w:jc w:val="both"/>
              <w:rPr>
                <w:rFonts w:ascii="Times New Roman" w:hAnsi="Times New Roman" w:cs="Times New Roman"/>
                <w:sz w:val="24"/>
                <w:szCs w:val="24"/>
              </w:rPr>
            </w:pPr>
          </w:p>
          <w:p w14:paraId="3B98C389" w14:textId="77777777" w:rsidR="00383D96" w:rsidRPr="001300A9" w:rsidRDefault="00383D96" w:rsidP="00383D96">
            <w:pPr>
              <w:tabs>
                <w:tab w:val="left" w:pos="426"/>
              </w:tabs>
              <w:spacing w:after="0" w:line="240" w:lineRule="auto"/>
              <w:jc w:val="both"/>
              <w:rPr>
                <w:rFonts w:ascii="Times New Roman" w:hAnsi="Times New Roman" w:cs="Times New Roman"/>
                <w:sz w:val="24"/>
                <w:szCs w:val="24"/>
              </w:rPr>
            </w:pPr>
          </w:p>
          <w:p w14:paraId="7A3C4E38" w14:textId="77777777" w:rsidR="00383D96" w:rsidRPr="001300A9" w:rsidRDefault="00383D96" w:rsidP="00383D96">
            <w:pPr>
              <w:tabs>
                <w:tab w:val="left" w:pos="426"/>
              </w:tabs>
              <w:spacing w:after="0" w:line="240" w:lineRule="auto"/>
              <w:jc w:val="both"/>
              <w:rPr>
                <w:rFonts w:ascii="Times New Roman" w:hAnsi="Times New Roman" w:cs="Times New Roman"/>
                <w:sz w:val="24"/>
                <w:szCs w:val="24"/>
              </w:rPr>
            </w:pPr>
          </w:p>
          <w:p w14:paraId="50E4D0A3" w14:textId="77777777" w:rsidR="00383D96" w:rsidRPr="001300A9" w:rsidRDefault="00383D96" w:rsidP="00383D96">
            <w:pPr>
              <w:tabs>
                <w:tab w:val="left" w:pos="426"/>
              </w:tabs>
              <w:spacing w:after="0" w:line="240" w:lineRule="auto"/>
              <w:jc w:val="both"/>
              <w:rPr>
                <w:rFonts w:ascii="Times New Roman" w:hAnsi="Times New Roman" w:cs="Times New Roman"/>
                <w:sz w:val="24"/>
                <w:szCs w:val="24"/>
              </w:rPr>
            </w:pPr>
          </w:p>
          <w:p w14:paraId="24A25FFF" w14:textId="77777777" w:rsidR="00383D96" w:rsidRPr="001300A9" w:rsidRDefault="00383D96" w:rsidP="00383D96">
            <w:pPr>
              <w:tabs>
                <w:tab w:val="left" w:pos="426"/>
              </w:tabs>
              <w:spacing w:after="0" w:line="240" w:lineRule="auto"/>
              <w:jc w:val="both"/>
              <w:rPr>
                <w:rFonts w:ascii="Times New Roman" w:hAnsi="Times New Roman" w:cs="Times New Roman"/>
                <w:sz w:val="24"/>
                <w:szCs w:val="24"/>
              </w:rPr>
            </w:pPr>
          </w:p>
          <w:p w14:paraId="138399D3" w14:textId="77777777" w:rsidR="00383D96" w:rsidRPr="001300A9" w:rsidRDefault="00383D96" w:rsidP="00383D96">
            <w:pPr>
              <w:tabs>
                <w:tab w:val="left" w:pos="426"/>
              </w:tabs>
              <w:spacing w:after="0" w:line="240" w:lineRule="auto"/>
              <w:jc w:val="both"/>
              <w:rPr>
                <w:rFonts w:ascii="Times New Roman" w:hAnsi="Times New Roman" w:cs="Times New Roman"/>
                <w:sz w:val="24"/>
                <w:szCs w:val="24"/>
              </w:rPr>
            </w:pPr>
          </w:p>
          <w:p w14:paraId="3326460E" w14:textId="77777777" w:rsidR="00383D96" w:rsidRPr="001300A9" w:rsidRDefault="00383D96" w:rsidP="00383D96">
            <w:pPr>
              <w:tabs>
                <w:tab w:val="left" w:pos="426"/>
              </w:tabs>
              <w:spacing w:after="0" w:line="240" w:lineRule="auto"/>
              <w:jc w:val="both"/>
              <w:rPr>
                <w:rFonts w:ascii="Times New Roman" w:hAnsi="Times New Roman" w:cs="Times New Roman"/>
                <w:sz w:val="24"/>
                <w:szCs w:val="24"/>
              </w:rPr>
            </w:pPr>
          </w:p>
          <w:p w14:paraId="4800E6EA" w14:textId="77777777" w:rsidR="00383D96" w:rsidRPr="001300A9" w:rsidRDefault="00383D96" w:rsidP="00383D96">
            <w:pPr>
              <w:tabs>
                <w:tab w:val="left" w:pos="426"/>
              </w:tabs>
              <w:spacing w:after="0" w:line="240" w:lineRule="auto"/>
              <w:jc w:val="both"/>
              <w:rPr>
                <w:rFonts w:ascii="Times New Roman" w:hAnsi="Times New Roman" w:cs="Times New Roman"/>
                <w:sz w:val="24"/>
                <w:szCs w:val="24"/>
              </w:rPr>
            </w:pPr>
          </w:p>
          <w:p w14:paraId="63BA3B2D" w14:textId="77777777" w:rsidR="00383D96" w:rsidRPr="001300A9" w:rsidRDefault="00383D96" w:rsidP="00383D96">
            <w:pPr>
              <w:tabs>
                <w:tab w:val="left" w:pos="426"/>
              </w:tabs>
              <w:spacing w:after="0" w:line="240" w:lineRule="auto"/>
              <w:jc w:val="both"/>
              <w:rPr>
                <w:rFonts w:ascii="Times New Roman" w:hAnsi="Times New Roman" w:cs="Times New Roman"/>
                <w:sz w:val="24"/>
                <w:szCs w:val="24"/>
              </w:rPr>
            </w:pPr>
          </w:p>
          <w:p w14:paraId="2C806BF8" w14:textId="77777777" w:rsidR="00383D96" w:rsidRPr="001300A9" w:rsidRDefault="00383D96" w:rsidP="00383D96">
            <w:pPr>
              <w:tabs>
                <w:tab w:val="left" w:pos="426"/>
              </w:tabs>
              <w:spacing w:after="0" w:line="240" w:lineRule="auto"/>
              <w:jc w:val="both"/>
              <w:rPr>
                <w:rFonts w:ascii="Times New Roman" w:hAnsi="Times New Roman" w:cs="Times New Roman"/>
                <w:sz w:val="24"/>
                <w:szCs w:val="24"/>
              </w:rPr>
            </w:pPr>
          </w:p>
          <w:p w14:paraId="7B8454CE" w14:textId="77777777" w:rsidR="00383D96" w:rsidRPr="001300A9" w:rsidRDefault="00383D96" w:rsidP="00383D96">
            <w:pPr>
              <w:tabs>
                <w:tab w:val="left" w:pos="426"/>
              </w:tabs>
              <w:spacing w:after="0" w:line="240" w:lineRule="auto"/>
              <w:jc w:val="both"/>
              <w:rPr>
                <w:rFonts w:ascii="Times New Roman" w:hAnsi="Times New Roman" w:cs="Times New Roman"/>
                <w:sz w:val="24"/>
                <w:szCs w:val="24"/>
              </w:rPr>
            </w:pPr>
          </w:p>
          <w:p w14:paraId="57107C39" w14:textId="77777777" w:rsidR="00383D96" w:rsidRPr="001300A9" w:rsidRDefault="00383D96" w:rsidP="00383D96">
            <w:pPr>
              <w:tabs>
                <w:tab w:val="left" w:pos="426"/>
              </w:tabs>
              <w:spacing w:after="0" w:line="240" w:lineRule="auto"/>
              <w:jc w:val="both"/>
              <w:rPr>
                <w:rFonts w:ascii="Times New Roman" w:hAnsi="Times New Roman" w:cs="Times New Roman"/>
                <w:sz w:val="24"/>
                <w:szCs w:val="24"/>
              </w:rPr>
            </w:pPr>
          </w:p>
          <w:p w14:paraId="2AA6D7BF" w14:textId="77777777" w:rsidR="00383D96" w:rsidRPr="001300A9" w:rsidRDefault="00383D96" w:rsidP="00383D96">
            <w:pPr>
              <w:tabs>
                <w:tab w:val="left" w:pos="426"/>
              </w:tabs>
              <w:spacing w:after="0" w:line="240" w:lineRule="auto"/>
              <w:jc w:val="both"/>
              <w:rPr>
                <w:rFonts w:ascii="Times New Roman" w:hAnsi="Times New Roman" w:cs="Times New Roman"/>
                <w:sz w:val="24"/>
                <w:szCs w:val="24"/>
              </w:rPr>
            </w:pPr>
          </w:p>
          <w:p w14:paraId="33EA65D7" w14:textId="77777777" w:rsidR="00383D96" w:rsidRPr="001300A9" w:rsidRDefault="00383D96" w:rsidP="00383D96">
            <w:pPr>
              <w:tabs>
                <w:tab w:val="left" w:pos="426"/>
              </w:tabs>
              <w:spacing w:after="0" w:line="240" w:lineRule="auto"/>
              <w:jc w:val="both"/>
              <w:rPr>
                <w:rFonts w:ascii="Times New Roman" w:hAnsi="Times New Roman" w:cs="Times New Roman"/>
                <w:sz w:val="24"/>
                <w:szCs w:val="24"/>
              </w:rPr>
            </w:pPr>
          </w:p>
          <w:p w14:paraId="514CA227" w14:textId="77777777" w:rsidR="00383D96" w:rsidRPr="001300A9" w:rsidRDefault="00383D96" w:rsidP="00383D96">
            <w:pPr>
              <w:tabs>
                <w:tab w:val="left" w:pos="426"/>
              </w:tabs>
              <w:spacing w:after="0" w:line="240" w:lineRule="auto"/>
              <w:jc w:val="both"/>
              <w:rPr>
                <w:rFonts w:ascii="Times New Roman" w:hAnsi="Times New Roman" w:cs="Times New Roman"/>
                <w:sz w:val="24"/>
                <w:szCs w:val="24"/>
              </w:rPr>
            </w:pPr>
          </w:p>
          <w:p w14:paraId="7DFA9B0B" w14:textId="77777777" w:rsidR="00383D96" w:rsidRPr="001300A9" w:rsidRDefault="00383D96" w:rsidP="00383D96">
            <w:pPr>
              <w:tabs>
                <w:tab w:val="left" w:pos="426"/>
              </w:tabs>
              <w:spacing w:after="0" w:line="240" w:lineRule="auto"/>
              <w:jc w:val="both"/>
              <w:rPr>
                <w:rFonts w:ascii="Times New Roman" w:hAnsi="Times New Roman" w:cs="Times New Roman"/>
                <w:sz w:val="24"/>
                <w:szCs w:val="24"/>
              </w:rPr>
            </w:pPr>
          </w:p>
          <w:p w14:paraId="2C82F6A0" w14:textId="77777777" w:rsidR="00383D96" w:rsidRPr="001300A9" w:rsidRDefault="00383D96" w:rsidP="00383D96">
            <w:pPr>
              <w:tabs>
                <w:tab w:val="left" w:pos="426"/>
              </w:tabs>
              <w:spacing w:after="0" w:line="240" w:lineRule="auto"/>
              <w:jc w:val="both"/>
              <w:rPr>
                <w:rFonts w:ascii="Times New Roman" w:hAnsi="Times New Roman" w:cs="Times New Roman"/>
                <w:sz w:val="24"/>
                <w:szCs w:val="24"/>
              </w:rPr>
            </w:pPr>
          </w:p>
          <w:p w14:paraId="1BDCBC54" w14:textId="77777777" w:rsidR="00383D96" w:rsidRPr="001300A9" w:rsidRDefault="00383D96" w:rsidP="00383D96">
            <w:pPr>
              <w:tabs>
                <w:tab w:val="left" w:pos="426"/>
              </w:tabs>
              <w:spacing w:after="0" w:line="240" w:lineRule="auto"/>
              <w:jc w:val="both"/>
              <w:rPr>
                <w:rFonts w:ascii="Times New Roman" w:hAnsi="Times New Roman" w:cs="Times New Roman"/>
                <w:sz w:val="24"/>
                <w:szCs w:val="24"/>
              </w:rPr>
            </w:pPr>
          </w:p>
          <w:p w14:paraId="4EFAE6F4" w14:textId="77777777" w:rsidR="00383D96" w:rsidRPr="001300A9" w:rsidRDefault="00383D96" w:rsidP="00383D96">
            <w:pPr>
              <w:tabs>
                <w:tab w:val="left" w:pos="426"/>
              </w:tabs>
              <w:spacing w:after="0" w:line="240" w:lineRule="auto"/>
              <w:jc w:val="both"/>
              <w:rPr>
                <w:rFonts w:ascii="Times New Roman" w:hAnsi="Times New Roman" w:cs="Times New Roman"/>
                <w:sz w:val="24"/>
                <w:szCs w:val="24"/>
              </w:rPr>
            </w:pPr>
          </w:p>
          <w:p w14:paraId="2C72C326" w14:textId="77777777" w:rsidR="00383D96" w:rsidRPr="001300A9" w:rsidRDefault="00383D96" w:rsidP="00383D96">
            <w:pPr>
              <w:tabs>
                <w:tab w:val="left" w:pos="426"/>
              </w:tabs>
              <w:spacing w:after="0" w:line="240" w:lineRule="auto"/>
              <w:jc w:val="both"/>
              <w:rPr>
                <w:rFonts w:ascii="Times New Roman" w:hAnsi="Times New Roman" w:cs="Times New Roman"/>
                <w:sz w:val="24"/>
                <w:szCs w:val="24"/>
              </w:rPr>
            </w:pPr>
          </w:p>
          <w:p w14:paraId="4AF88F41" w14:textId="77777777" w:rsidR="00383D96" w:rsidRPr="001300A9" w:rsidRDefault="00383D96" w:rsidP="00383D96">
            <w:pPr>
              <w:tabs>
                <w:tab w:val="left" w:pos="426"/>
              </w:tabs>
              <w:spacing w:after="0" w:line="240" w:lineRule="auto"/>
              <w:jc w:val="both"/>
              <w:rPr>
                <w:rFonts w:ascii="Times New Roman" w:hAnsi="Times New Roman" w:cs="Times New Roman"/>
                <w:sz w:val="24"/>
                <w:szCs w:val="24"/>
              </w:rPr>
            </w:pPr>
          </w:p>
          <w:p w14:paraId="5FCB2F88" w14:textId="77777777" w:rsidR="00383D96" w:rsidRPr="001300A9" w:rsidRDefault="00383D96" w:rsidP="00383D96">
            <w:pPr>
              <w:tabs>
                <w:tab w:val="left" w:pos="426"/>
              </w:tabs>
              <w:spacing w:after="0" w:line="240" w:lineRule="auto"/>
              <w:jc w:val="both"/>
              <w:rPr>
                <w:rFonts w:ascii="Times New Roman" w:hAnsi="Times New Roman" w:cs="Times New Roman"/>
                <w:sz w:val="24"/>
                <w:szCs w:val="24"/>
              </w:rPr>
            </w:pPr>
          </w:p>
          <w:p w14:paraId="2F3F4BE3" w14:textId="77777777" w:rsidR="00383D96" w:rsidRPr="001300A9" w:rsidRDefault="00383D96" w:rsidP="00383D96">
            <w:pPr>
              <w:tabs>
                <w:tab w:val="left" w:pos="426"/>
              </w:tabs>
              <w:spacing w:after="0" w:line="240" w:lineRule="auto"/>
              <w:jc w:val="both"/>
              <w:rPr>
                <w:rFonts w:ascii="Times New Roman" w:hAnsi="Times New Roman" w:cs="Times New Roman"/>
                <w:sz w:val="24"/>
                <w:szCs w:val="24"/>
              </w:rPr>
            </w:pPr>
          </w:p>
          <w:p w14:paraId="350AAEB4" w14:textId="77777777" w:rsidR="00383D96" w:rsidRPr="001300A9" w:rsidRDefault="00383D96" w:rsidP="00383D96">
            <w:pPr>
              <w:tabs>
                <w:tab w:val="left" w:pos="426"/>
              </w:tabs>
              <w:spacing w:after="0" w:line="240" w:lineRule="auto"/>
              <w:jc w:val="both"/>
              <w:rPr>
                <w:rFonts w:ascii="Times New Roman" w:hAnsi="Times New Roman" w:cs="Times New Roman"/>
                <w:sz w:val="24"/>
                <w:szCs w:val="24"/>
              </w:rPr>
            </w:pPr>
          </w:p>
          <w:p w14:paraId="39A14629" w14:textId="77777777" w:rsidR="00383D96" w:rsidRPr="001300A9" w:rsidRDefault="00383D96" w:rsidP="00383D96">
            <w:pPr>
              <w:tabs>
                <w:tab w:val="left" w:pos="426"/>
              </w:tabs>
              <w:spacing w:after="0" w:line="240" w:lineRule="auto"/>
              <w:jc w:val="both"/>
              <w:rPr>
                <w:rFonts w:ascii="Times New Roman" w:hAnsi="Times New Roman" w:cs="Times New Roman"/>
                <w:sz w:val="24"/>
                <w:szCs w:val="24"/>
              </w:rPr>
            </w:pPr>
          </w:p>
          <w:p w14:paraId="4CE33C0A" w14:textId="77777777" w:rsidR="00383D96" w:rsidRPr="001300A9" w:rsidRDefault="00383D96" w:rsidP="00383D96">
            <w:pPr>
              <w:tabs>
                <w:tab w:val="left" w:pos="426"/>
              </w:tabs>
              <w:spacing w:after="0" w:line="240" w:lineRule="auto"/>
              <w:jc w:val="both"/>
              <w:rPr>
                <w:rFonts w:ascii="Times New Roman" w:hAnsi="Times New Roman" w:cs="Times New Roman"/>
                <w:sz w:val="24"/>
                <w:szCs w:val="24"/>
              </w:rPr>
            </w:pPr>
          </w:p>
          <w:p w14:paraId="7497F7C4" w14:textId="77777777" w:rsidR="00383D96" w:rsidRPr="001300A9" w:rsidRDefault="00383D96" w:rsidP="00383D96">
            <w:pPr>
              <w:tabs>
                <w:tab w:val="left" w:pos="426"/>
              </w:tabs>
              <w:spacing w:after="0" w:line="240" w:lineRule="auto"/>
              <w:jc w:val="both"/>
              <w:rPr>
                <w:rFonts w:ascii="Times New Roman" w:hAnsi="Times New Roman" w:cs="Times New Roman"/>
                <w:sz w:val="24"/>
                <w:szCs w:val="24"/>
              </w:rPr>
            </w:pPr>
          </w:p>
          <w:p w14:paraId="48A02107" w14:textId="77777777" w:rsidR="00383D96" w:rsidRPr="001300A9" w:rsidRDefault="00383D96" w:rsidP="00383D96">
            <w:pPr>
              <w:tabs>
                <w:tab w:val="left" w:pos="426"/>
              </w:tabs>
              <w:spacing w:after="0" w:line="240" w:lineRule="auto"/>
              <w:jc w:val="both"/>
              <w:rPr>
                <w:rFonts w:ascii="Times New Roman" w:hAnsi="Times New Roman" w:cs="Times New Roman"/>
                <w:sz w:val="24"/>
                <w:szCs w:val="24"/>
              </w:rPr>
            </w:pPr>
          </w:p>
          <w:p w14:paraId="5EB03DC3" w14:textId="77777777" w:rsidR="00383D96" w:rsidRPr="001300A9" w:rsidRDefault="00383D96" w:rsidP="00383D96">
            <w:pPr>
              <w:tabs>
                <w:tab w:val="left" w:pos="426"/>
              </w:tabs>
              <w:spacing w:after="0" w:line="240" w:lineRule="auto"/>
              <w:jc w:val="both"/>
              <w:rPr>
                <w:rFonts w:ascii="Times New Roman" w:hAnsi="Times New Roman" w:cs="Times New Roman"/>
                <w:sz w:val="24"/>
                <w:szCs w:val="24"/>
              </w:rPr>
            </w:pPr>
          </w:p>
          <w:p w14:paraId="30537615" w14:textId="77777777" w:rsidR="00383D96" w:rsidRPr="001300A9" w:rsidRDefault="00383D96" w:rsidP="00383D96">
            <w:pPr>
              <w:tabs>
                <w:tab w:val="left" w:pos="426"/>
              </w:tabs>
              <w:spacing w:after="0" w:line="240" w:lineRule="auto"/>
              <w:jc w:val="both"/>
              <w:rPr>
                <w:rFonts w:ascii="Times New Roman" w:hAnsi="Times New Roman" w:cs="Times New Roman"/>
                <w:sz w:val="24"/>
                <w:szCs w:val="24"/>
              </w:rPr>
            </w:pPr>
          </w:p>
          <w:p w14:paraId="685D028D" w14:textId="77777777" w:rsidR="00383D96" w:rsidRPr="001300A9" w:rsidRDefault="00383D96" w:rsidP="00383D96">
            <w:pPr>
              <w:tabs>
                <w:tab w:val="left" w:pos="426"/>
              </w:tabs>
              <w:spacing w:after="0" w:line="240" w:lineRule="auto"/>
              <w:jc w:val="both"/>
              <w:rPr>
                <w:rFonts w:ascii="Times New Roman" w:hAnsi="Times New Roman" w:cs="Times New Roman"/>
                <w:sz w:val="24"/>
                <w:szCs w:val="24"/>
              </w:rPr>
            </w:pPr>
          </w:p>
          <w:p w14:paraId="1C468BAF" w14:textId="77777777" w:rsidR="00383D96" w:rsidRPr="001300A9" w:rsidRDefault="00383D96" w:rsidP="00383D96">
            <w:pPr>
              <w:tabs>
                <w:tab w:val="left" w:pos="426"/>
              </w:tabs>
              <w:spacing w:after="0" w:line="240" w:lineRule="auto"/>
              <w:jc w:val="both"/>
              <w:rPr>
                <w:rFonts w:ascii="Times New Roman" w:hAnsi="Times New Roman" w:cs="Times New Roman"/>
                <w:sz w:val="24"/>
                <w:szCs w:val="24"/>
              </w:rPr>
            </w:pPr>
          </w:p>
          <w:p w14:paraId="3E6B48FD" w14:textId="77777777" w:rsidR="00383D96" w:rsidRPr="001300A9" w:rsidRDefault="00383D96" w:rsidP="00383D96">
            <w:pPr>
              <w:tabs>
                <w:tab w:val="left" w:pos="426"/>
              </w:tabs>
              <w:spacing w:after="0" w:line="240" w:lineRule="auto"/>
              <w:jc w:val="both"/>
              <w:rPr>
                <w:rFonts w:ascii="Times New Roman" w:hAnsi="Times New Roman" w:cs="Times New Roman"/>
                <w:sz w:val="24"/>
                <w:szCs w:val="24"/>
              </w:rPr>
            </w:pPr>
          </w:p>
          <w:p w14:paraId="7152348D" w14:textId="77777777" w:rsidR="00383D96" w:rsidRPr="001300A9" w:rsidRDefault="00383D96" w:rsidP="00383D96">
            <w:pPr>
              <w:tabs>
                <w:tab w:val="left" w:pos="426"/>
              </w:tabs>
              <w:spacing w:after="0" w:line="240" w:lineRule="auto"/>
              <w:jc w:val="both"/>
              <w:rPr>
                <w:rFonts w:ascii="Times New Roman" w:hAnsi="Times New Roman" w:cs="Times New Roman"/>
                <w:sz w:val="24"/>
                <w:szCs w:val="24"/>
              </w:rPr>
            </w:pPr>
          </w:p>
          <w:p w14:paraId="7D71D71A" w14:textId="77777777" w:rsidR="00383D96" w:rsidRPr="001300A9" w:rsidRDefault="00383D96" w:rsidP="00383D96">
            <w:pPr>
              <w:tabs>
                <w:tab w:val="left" w:pos="426"/>
              </w:tabs>
              <w:spacing w:after="0" w:line="240" w:lineRule="auto"/>
              <w:jc w:val="both"/>
              <w:rPr>
                <w:rFonts w:ascii="Times New Roman" w:hAnsi="Times New Roman" w:cs="Times New Roman"/>
                <w:sz w:val="24"/>
                <w:szCs w:val="24"/>
              </w:rPr>
            </w:pPr>
          </w:p>
          <w:p w14:paraId="6586307F" w14:textId="77777777" w:rsidR="00383D96" w:rsidRPr="001300A9" w:rsidRDefault="00383D96" w:rsidP="00383D96">
            <w:pPr>
              <w:tabs>
                <w:tab w:val="left" w:pos="426"/>
              </w:tabs>
              <w:spacing w:after="0" w:line="240" w:lineRule="auto"/>
              <w:jc w:val="both"/>
              <w:rPr>
                <w:rFonts w:ascii="Times New Roman" w:hAnsi="Times New Roman" w:cs="Times New Roman"/>
                <w:sz w:val="24"/>
                <w:szCs w:val="24"/>
              </w:rPr>
            </w:pPr>
          </w:p>
          <w:p w14:paraId="4E091B2A" w14:textId="77777777" w:rsidR="00383D96" w:rsidRPr="001300A9" w:rsidRDefault="00383D96" w:rsidP="00383D96">
            <w:pPr>
              <w:tabs>
                <w:tab w:val="left" w:pos="426"/>
              </w:tabs>
              <w:spacing w:after="0" w:line="240" w:lineRule="auto"/>
              <w:jc w:val="both"/>
              <w:rPr>
                <w:rFonts w:ascii="Times New Roman" w:hAnsi="Times New Roman" w:cs="Times New Roman"/>
                <w:sz w:val="24"/>
                <w:szCs w:val="24"/>
              </w:rPr>
            </w:pPr>
          </w:p>
          <w:p w14:paraId="6EB470EE" w14:textId="77777777" w:rsidR="00383D96" w:rsidRPr="001300A9" w:rsidRDefault="00383D96" w:rsidP="00383D96">
            <w:pPr>
              <w:tabs>
                <w:tab w:val="left" w:pos="426"/>
              </w:tabs>
              <w:spacing w:after="0" w:line="240" w:lineRule="auto"/>
              <w:jc w:val="both"/>
              <w:rPr>
                <w:rFonts w:ascii="Times New Roman" w:hAnsi="Times New Roman" w:cs="Times New Roman"/>
                <w:sz w:val="24"/>
                <w:szCs w:val="24"/>
              </w:rPr>
            </w:pPr>
          </w:p>
          <w:p w14:paraId="63025067" w14:textId="77777777" w:rsidR="00383D96" w:rsidRPr="001300A9" w:rsidRDefault="00383D96" w:rsidP="00383D96">
            <w:pPr>
              <w:tabs>
                <w:tab w:val="left" w:pos="426"/>
              </w:tabs>
              <w:spacing w:after="0" w:line="240" w:lineRule="auto"/>
              <w:jc w:val="both"/>
              <w:rPr>
                <w:rFonts w:ascii="Times New Roman" w:hAnsi="Times New Roman" w:cs="Times New Roman"/>
                <w:sz w:val="24"/>
                <w:szCs w:val="24"/>
              </w:rPr>
            </w:pPr>
          </w:p>
          <w:p w14:paraId="4C588504" w14:textId="77777777" w:rsidR="00383D96" w:rsidRPr="001300A9" w:rsidRDefault="00383D96" w:rsidP="00383D96">
            <w:pPr>
              <w:tabs>
                <w:tab w:val="left" w:pos="426"/>
              </w:tabs>
              <w:spacing w:after="0" w:line="240" w:lineRule="auto"/>
              <w:jc w:val="both"/>
              <w:rPr>
                <w:rFonts w:ascii="Times New Roman" w:hAnsi="Times New Roman" w:cs="Times New Roman"/>
                <w:sz w:val="24"/>
                <w:szCs w:val="24"/>
              </w:rPr>
            </w:pPr>
          </w:p>
          <w:p w14:paraId="733194C3" w14:textId="77777777" w:rsidR="00383D96" w:rsidRPr="001300A9" w:rsidRDefault="00383D96" w:rsidP="00383D96">
            <w:pPr>
              <w:tabs>
                <w:tab w:val="left" w:pos="426"/>
              </w:tabs>
              <w:spacing w:after="0" w:line="240" w:lineRule="auto"/>
              <w:jc w:val="both"/>
              <w:rPr>
                <w:rFonts w:ascii="Times New Roman" w:hAnsi="Times New Roman" w:cs="Times New Roman"/>
                <w:sz w:val="24"/>
                <w:szCs w:val="24"/>
              </w:rPr>
            </w:pPr>
          </w:p>
          <w:p w14:paraId="34F86D29" w14:textId="77777777" w:rsidR="00383D96" w:rsidRPr="001300A9" w:rsidRDefault="00383D96" w:rsidP="00383D96">
            <w:pPr>
              <w:tabs>
                <w:tab w:val="left" w:pos="426"/>
              </w:tabs>
              <w:spacing w:after="0" w:line="240" w:lineRule="auto"/>
              <w:jc w:val="both"/>
              <w:rPr>
                <w:rFonts w:ascii="Times New Roman" w:hAnsi="Times New Roman" w:cs="Times New Roman"/>
                <w:sz w:val="24"/>
                <w:szCs w:val="24"/>
              </w:rPr>
            </w:pPr>
          </w:p>
          <w:p w14:paraId="12501B3E" w14:textId="77777777" w:rsidR="00383D96" w:rsidRPr="001300A9" w:rsidRDefault="00383D96" w:rsidP="00383D96">
            <w:pPr>
              <w:tabs>
                <w:tab w:val="left" w:pos="426"/>
              </w:tabs>
              <w:spacing w:after="0" w:line="240" w:lineRule="auto"/>
              <w:jc w:val="both"/>
              <w:rPr>
                <w:rFonts w:ascii="Times New Roman" w:hAnsi="Times New Roman" w:cs="Times New Roman"/>
                <w:sz w:val="24"/>
                <w:szCs w:val="24"/>
              </w:rPr>
            </w:pPr>
          </w:p>
          <w:p w14:paraId="62300C8A" w14:textId="77777777" w:rsidR="00383D96" w:rsidRPr="001300A9" w:rsidRDefault="00383D96" w:rsidP="00383D96">
            <w:pPr>
              <w:tabs>
                <w:tab w:val="left" w:pos="426"/>
              </w:tabs>
              <w:spacing w:after="0" w:line="240" w:lineRule="auto"/>
              <w:jc w:val="both"/>
              <w:rPr>
                <w:rFonts w:ascii="Times New Roman" w:hAnsi="Times New Roman" w:cs="Times New Roman"/>
                <w:sz w:val="24"/>
                <w:szCs w:val="24"/>
              </w:rPr>
            </w:pPr>
          </w:p>
          <w:p w14:paraId="74C33BD8" w14:textId="77777777" w:rsidR="00383D96" w:rsidRPr="001300A9" w:rsidRDefault="00383D96" w:rsidP="00383D96">
            <w:pPr>
              <w:tabs>
                <w:tab w:val="left" w:pos="426"/>
              </w:tabs>
              <w:spacing w:after="0" w:line="240" w:lineRule="auto"/>
              <w:jc w:val="both"/>
              <w:rPr>
                <w:rFonts w:ascii="Times New Roman" w:hAnsi="Times New Roman" w:cs="Times New Roman"/>
                <w:sz w:val="24"/>
                <w:szCs w:val="24"/>
              </w:rPr>
            </w:pPr>
          </w:p>
          <w:p w14:paraId="0715A336" w14:textId="77777777" w:rsidR="00383D96" w:rsidRPr="001300A9" w:rsidRDefault="00383D96" w:rsidP="00383D96">
            <w:pPr>
              <w:tabs>
                <w:tab w:val="left" w:pos="426"/>
              </w:tabs>
              <w:spacing w:after="0" w:line="240" w:lineRule="auto"/>
              <w:jc w:val="both"/>
              <w:rPr>
                <w:rFonts w:ascii="Times New Roman" w:hAnsi="Times New Roman" w:cs="Times New Roman"/>
                <w:sz w:val="24"/>
                <w:szCs w:val="24"/>
              </w:rPr>
            </w:pPr>
          </w:p>
          <w:p w14:paraId="2B8D6CFE" w14:textId="77777777" w:rsidR="00383D96" w:rsidRPr="001300A9" w:rsidRDefault="00383D96" w:rsidP="00383D96">
            <w:pPr>
              <w:tabs>
                <w:tab w:val="left" w:pos="426"/>
              </w:tabs>
              <w:spacing w:after="0" w:line="240" w:lineRule="auto"/>
              <w:jc w:val="both"/>
              <w:rPr>
                <w:rFonts w:ascii="Times New Roman" w:hAnsi="Times New Roman" w:cs="Times New Roman"/>
                <w:sz w:val="24"/>
                <w:szCs w:val="24"/>
              </w:rPr>
            </w:pPr>
          </w:p>
          <w:p w14:paraId="376E7699" w14:textId="77777777" w:rsidR="00383D96" w:rsidRPr="001300A9" w:rsidRDefault="00383D96" w:rsidP="00383D96">
            <w:pPr>
              <w:tabs>
                <w:tab w:val="left" w:pos="426"/>
              </w:tabs>
              <w:spacing w:after="0" w:line="240" w:lineRule="auto"/>
              <w:jc w:val="both"/>
              <w:rPr>
                <w:rFonts w:ascii="Times New Roman" w:hAnsi="Times New Roman" w:cs="Times New Roman"/>
                <w:sz w:val="24"/>
                <w:szCs w:val="24"/>
              </w:rPr>
            </w:pPr>
          </w:p>
          <w:p w14:paraId="64D7E263" w14:textId="77777777" w:rsidR="00383D96" w:rsidRPr="001300A9" w:rsidRDefault="00383D96" w:rsidP="00383D96">
            <w:pPr>
              <w:tabs>
                <w:tab w:val="left" w:pos="426"/>
              </w:tabs>
              <w:spacing w:after="0" w:line="240" w:lineRule="auto"/>
              <w:jc w:val="both"/>
              <w:rPr>
                <w:rFonts w:ascii="Times New Roman" w:hAnsi="Times New Roman" w:cs="Times New Roman"/>
                <w:sz w:val="24"/>
                <w:szCs w:val="24"/>
              </w:rPr>
            </w:pPr>
          </w:p>
          <w:p w14:paraId="3E1E6F0B" w14:textId="77777777" w:rsidR="00383D96" w:rsidRPr="001300A9" w:rsidRDefault="00383D96" w:rsidP="00383D96">
            <w:pPr>
              <w:tabs>
                <w:tab w:val="left" w:pos="426"/>
              </w:tabs>
              <w:spacing w:after="0" w:line="240" w:lineRule="auto"/>
              <w:jc w:val="both"/>
              <w:rPr>
                <w:rFonts w:ascii="Times New Roman" w:hAnsi="Times New Roman" w:cs="Times New Roman"/>
                <w:sz w:val="24"/>
                <w:szCs w:val="24"/>
              </w:rPr>
            </w:pPr>
          </w:p>
          <w:p w14:paraId="22EFC6C4" w14:textId="77777777" w:rsidR="00383D96" w:rsidRPr="001300A9" w:rsidRDefault="00383D96" w:rsidP="00383D96">
            <w:pPr>
              <w:tabs>
                <w:tab w:val="left" w:pos="426"/>
              </w:tabs>
              <w:spacing w:after="0" w:line="240" w:lineRule="auto"/>
              <w:jc w:val="both"/>
              <w:rPr>
                <w:rFonts w:ascii="Times New Roman" w:hAnsi="Times New Roman" w:cs="Times New Roman"/>
                <w:sz w:val="24"/>
                <w:szCs w:val="24"/>
              </w:rPr>
            </w:pPr>
          </w:p>
          <w:p w14:paraId="65CB2209" w14:textId="77777777" w:rsidR="00383D96" w:rsidRPr="001300A9" w:rsidRDefault="00383D96" w:rsidP="00383D96">
            <w:pPr>
              <w:tabs>
                <w:tab w:val="left" w:pos="426"/>
              </w:tabs>
              <w:spacing w:after="0" w:line="240" w:lineRule="auto"/>
              <w:jc w:val="both"/>
              <w:rPr>
                <w:rFonts w:ascii="Times New Roman" w:hAnsi="Times New Roman" w:cs="Times New Roman"/>
                <w:sz w:val="24"/>
                <w:szCs w:val="24"/>
              </w:rPr>
            </w:pPr>
          </w:p>
          <w:p w14:paraId="50FB1375" w14:textId="77777777" w:rsidR="00383D96" w:rsidRPr="001300A9" w:rsidRDefault="00383D96" w:rsidP="00383D96">
            <w:pPr>
              <w:tabs>
                <w:tab w:val="left" w:pos="426"/>
              </w:tabs>
              <w:spacing w:after="0" w:line="240" w:lineRule="auto"/>
              <w:jc w:val="both"/>
              <w:rPr>
                <w:rFonts w:ascii="Times New Roman" w:hAnsi="Times New Roman" w:cs="Times New Roman"/>
                <w:sz w:val="24"/>
                <w:szCs w:val="24"/>
              </w:rPr>
            </w:pPr>
          </w:p>
          <w:p w14:paraId="1A5F1E09" w14:textId="77777777" w:rsidR="00383D96" w:rsidRPr="001300A9" w:rsidRDefault="00383D96" w:rsidP="00383D96">
            <w:pPr>
              <w:tabs>
                <w:tab w:val="left" w:pos="426"/>
              </w:tabs>
              <w:spacing w:after="0" w:line="240" w:lineRule="auto"/>
              <w:jc w:val="both"/>
              <w:rPr>
                <w:rFonts w:ascii="Times New Roman" w:hAnsi="Times New Roman" w:cs="Times New Roman"/>
                <w:sz w:val="24"/>
                <w:szCs w:val="24"/>
              </w:rPr>
            </w:pPr>
          </w:p>
          <w:p w14:paraId="565BC9FD" w14:textId="77777777" w:rsidR="00383D96" w:rsidRPr="001300A9" w:rsidRDefault="00383D96" w:rsidP="00383D96">
            <w:pPr>
              <w:tabs>
                <w:tab w:val="left" w:pos="426"/>
              </w:tabs>
              <w:spacing w:after="0" w:line="240" w:lineRule="auto"/>
              <w:jc w:val="both"/>
              <w:rPr>
                <w:rFonts w:ascii="Times New Roman" w:hAnsi="Times New Roman" w:cs="Times New Roman"/>
                <w:sz w:val="24"/>
                <w:szCs w:val="24"/>
              </w:rPr>
            </w:pPr>
          </w:p>
          <w:p w14:paraId="0CE88C19" w14:textId="77777777" w:rsidR="00383D96" w:rsidRPr="001300A9" w:rsidRDefault="00383D96" w:rsidP="00383D96">
            <w:pPr>
              <w:tabs>
                <w:tab w:val="left" w:pos="426"/>
              </w:tabs>
              <w:spacing w:after="0" w:line="240" w:lineRule="auto"/>
              <w:jc w:val="both"/>
              <w:rPr>
                <w:rFonts w:ascii="Times New Roman" w:hAnsi="Times New Roman" w:cs="Times New Roman"/>
                <w:sz w:val="24"/>
                <w:szCs w:val="24"/>
              </w:rPr>
            </w:pPr>
          </w:p>
          <w:p w14:paraId="29F0737B" w14:textId="77777777" w:rsidR="00383D96" w:rsidRPr="001300A9" w:rsidRDefault="00383D96" w:rsidP="00383D96">
            <w:pPr>
              <w:tabs>
                <w:tab w:val="left" w:pos="426"/>
              </w:tabs>
              <w:spacing w:after="0" w:line="240" w:lineRule="auto"/>
              <w:jc w:val="both"/>
              <w:rPr>
                <w:rFonts w:ascii="Times New Roman" w:hAnsi="Times New Roman" w:cs="Times New Roman"/>
                <w:sz w:val="24"/>
                <w:szCs w:val="24"/>
              </w:rPr>
            </w:pPr>
          </w:p>
          <w:p w14:paraId="57BD31EC" w14:textId="77777777" w:rsidR="00383D96" w:rsidRPr="001300A9" w:rsidRDefault="00383D96" w:rsidP="00383D96">
            <w:pPr>
              <w:tabs>
                <w:tab w:val="left" w:pos="426"/>
              </w:tabs>
              <w:spacing w:after="0" w:line="240" w:lineRule="auto"/>
              <w:jc w:val="both"/>
              <w:rPr>
                <w:rFonts w:ascii="Times New Roman" w:hAnsi="Times New Roman" w:cs="Times New Roman"/>
                <w:sz w:val="24"/>
                <w:szCs w:val="24"/>
              </w:rPr>
            </w:pPr>
          </w:p>
          <w:p w14:paraId="45D3B2B1" w14:textId="77777777" w:rsidR="00383D96" w:rsidRPr="001300A9" w:rsidRDefault="00383D96" w:rsidP="00383D96">
            <w:pPr>
              <w:tabs>
                <w:tab w:val="left" w:pos="426"/>
              </w:tabs>
              <w:spacing w:after="0" w:line="240" w:lineRule="auto"/>
              <w:jc w:val="both"/>
              <w:rPr>
                <w:rFonts w:ascii="Times New Roman" w:hAnsi="Times New Roman" w:cs="Times New Roman"/>
                <w:sz w:val="24"/>
                <w:szCs w:val="24"/>
              </w:rPr>
            </w:pPr>
          </w:p>
          <w:p w14:paraId="3CAE13D6" w14:textId="77777777" w:rsidR="00383D96" w:rsidRPr="001300A9" w:rsidRDefault="00383D96" w:rsidP="00383D96">
            <w:pPr>
              <w:tabs>
                <w:tab w:val="left" w:pos="426"/>
              </w:tabs>
              <w:spacing w:after="0" w:line="240" w:lineRule="auto"/>
              <w:jc w:val="both"/>
              <w:rPr>
                <w:rFonts w:ascii="Times New Roman" w:hAnsi="Times New Roman" w:cs="Times New Roman"/>
                <w:sz w:val="24"/>
                <w:szCs w:val="24"/>
              </w:rPr>
            </w:pPr>
          </w:p>
          <w:p w14:paraId="7A807601" w14:textId="77777777" w:rsidR="00383D96" w:rsidRPr="001300A9" w:rsidRDefault="00383D96" w:rsidP="00383D96">
            <w:pPr>
              <w:tabs>
                <w:tab w:val="left" w:pos="426"/>
              </w:tabs>
              <w:spacing w:after="0" w:line="240" w:lineRule="auto"/>
              <w:jc w:val="both"/>
              <w:rPr>
                <w:rFonts w:ascii="Times New Roman" w:hAnsi="Times New Roman" w:cs="Times New Roman"/>
                <w:sz w:val="24"/>
                <w:szCs w:val="24"/>
              </w:rPr>
            </w:pPr>
          </w:p>
          <w:p w14:paraId="73627697" w14:textId="77777777" w:rsidR="00383D96" w:rsidRPr="001300A9" w:rsidRDefault="00383D96" w:rsidP="00383D96">
            <w:pPr>
              <w:tabs>
                <w:tab w:val="left" w:pos="426"/>
              </w:tabs>
              <w:spacing w:after="0" w:line="240" w:lineRule="auto"/>
              <w:jc w:val="both"/>
              <w:rPr>
                <w:rFonts w:ascii="Times New Roman" w:hAnsi="Times New Roman" w:cs="Times New Roman"/>
                <w:sz w:val="24"/>
                <w:szCs w:val="24"/>
              </w:rPr>
            </w:pPr>
          </w:p>
          <w:p w14:paraId="145BD3E3" w14:textId="77777777" w:rsidR="00383D96" w:rsidRPr="001300A9" w:rsidRDefault="00383D96" w:rsidP="00383D96">
            <w:pPr>
              <w:tabs>
                <w:tab w:val="left" w:pos="426"/>
              </w:tabs>
              <w:spacing w:after="0" w:line="240" w:lineRule="auto"/>
              <w:jc w:val="both"/>
              <w:rPr>
                <w:rFonts w:ascii="Times New Roman" w:hAnsi="Times New Roman" w:cs="Times New Roman"/>
                <w:sz w:val="24"/>
                <w:szCs w:val="24"/>
              </w:rPr>
            </w:pPr>
          </w:p>
          <w:p w14:paraId="1E5E3349" w14:textId="77777777" w:rsidR="00383D96" w:rsidRPr="001300A9" w:rsidRDefault="00383D96" w:rsidP="00383D96">
            <w:pPr>
              <w:tabs>
                <w:tab w:val="left" w:pos="426"/>
              </w:tabs>
              <w:spacing w:after="0" w:line="240" w:lineRule="auto"/>
              <w:jc w:val="both"/>
              <w:rPr>
                <w:rFonts w:ascii="Times New Roman" w:hAnsi="Times New Roman" w:cs="Times New Roman"/>
                <w:sz w:val="24"/>
                <w:szCs w:val="24"/>
              </w:rPr>
            </w:pPr>
          </w:p>
          <w:p w14:paraId="67C31159" w14:textId="77777777" w:rsidR="00383D96" w:rsidRPr="001300A9" w:rsidRDefault="00383D96" w:rsidP="00383D96">
            <w:pPr>
              <w:tabs>
                <w:tab w:val="left" w:pos="426"/>
              </w:tabs>
              <w:spacing w:after="0" w:line="240" w:lineRule="auto"/>
              <w:jc w:val="both"/>
              <w:rPr>
                <w:rFonts w:ascii="Times New Roman" w:hAnsi="Times New Roman" w:cs="Times New Roman"/>
                <w:sz w:val="24"/>
                <w:szCs w:val="24"/>
              </w:rPr>
            </w:pPr>
          </w:p>
          <w:p w14:paraId="02E4C1B8" w14:textId="77777777" w:rsidR="00383D96" w:rsidRPr="001300A9" w:rsidRDefault="00383D96" w:rsidP="00383D96">
            <w:pPr>
              <w:tabs>
                <w:tab w:val="left" w:pos="426"/>
              </w:tabs>
              <w:spacing w:after="0" w:line="240" w:lineRule="auto"/>
              <w:jc w:val="both"/>
              <w:rPr>
                <w:rFonts w:ascii="Times New Roman" w:hAnsi="Times New Roman" w:cs="Times New Roman"/>
                <w:sz w:val="24"/>
                <w:szCs w:val="24"/>
              </w:rPr>
            </w:pPr>
          </w:p>
          <w:p w14:paraId="19BB7807" w14:textId="77777777" w:rsidR="00383D96" w:rsidRPr="001300A9" w:rsidRDefault="00383D96" w:rsidP="00383D96">
            <w:pPr>
              <w:tabs>
                <w:tab w:val="left" w:pos="426"/>
              </w:tabs>
              <w:spacing w:after="0" w:line="240" w:lineRule="auto"/>
              <w:jc w:val="both"/>
              <w:rPr>
                <w:rFonts w:ascii="Times New Roman" w:hAnsi="Times New Roman" w:cs="Times New Roman"/>
                <w:sz w:val="24"/>
                <w:szCs w:val="24"/>
              </w:rPr>
            </w:pPr>
          </w:p>
          <w:p w14:paraId="1E863BC8" w14:textId="77777777" w:rsidR="00383D96" w:rsidRPr="001300A9" w:rsidRDefault="00383D96" w:rsidP="00383D96">
            <w:pPr>
              <w:tabs>
                <w:tab w:val="left" w:pos="426"/>
              </w:tabs>
              <w:spacing w:after="0" w:line="240" w:lineRule="auto"/>
              <w:jc w:val="both"/>
              <w:rPr>
                <w:rFonts w:ascii="Times New Roman" w:hAnsi="Times New Roman" w:cs="Times New Roman"/>
                <w:sz w:val="24"/>
                <w:szCs w:val="24"/>
              </w:rPr>
            </w:pPr>
          </w:p>
          <w:p w14:paraId="68831130" w14:textId="77777777" w:rsidR="00383D96" w:rsidRPr="001300A9" w:rsidRDefault="00383D96" w:rsidP="00383D96">
            <w:pPr>
              <w:tabs>
                <w:tab w:val="left" w:pos="426"/>
              </w:tabs>
              <w:spacing w:after="0" w:line="240" w:lineRule="auto"/>
              <w:jc w:val="both"/>
              <w:rPr>
                <w:rFonts w:ascii="Times New Roman" w:hAnsi="Times New Roman" w:cs="Times New Roman"/>
                <w:sz w:val="24"/>
                <w:szCs w:val="24"/>
              </w:rPr>
            </w:pPr>
          </w:p>
          <w:p w14:paraId="71A6D1B7" w14:textId="77777777" w:rsidR="00383D96" w:rsidRPr="001300A9" w:rsidRDefault="00383D96" w:rsidP="00383D96">
            <w:pPr>
              <w:tabs>
                <w:tab w:val="left" w:pos="426"/>
              </w:tabs>
              <w:spacing w:after="0" w:line="240" w:lineRule="auto"/>
              <w:jc w:val="both"/>
              <w:rPr>
                <w:rFonts w:ascii="Times New Roman" w:hAnsi="Times New Roman" w:cs="Times New Roman"/>
                <w:sz w:val="24"/>
                <w:szCs w:val="24"/>
              </w:rPr>
            </w:pPr>
          </w:p>
          <w:p w14:paraId="48768ABD" w14:textId="77777777" w:rsidR="00383D96" w:rsidRPr="001300A9" w:rsidRDefault="00383D96" w:rsidP="00383D96">
            <w:pPr>
              <w:tabs>
                <w:tab w:val="left" w:pos="426"/>
              </w:tabs>
              <w:spacing w:after="0" w:line="240" w:lineRule="auto"/>
              <w:jc w:val="both"/>
              <w:rPr>
                <w:rFonts w:ascii="Times New Roman" w:hAnsi="Times New Roman" w:cs="Times New Roman"/>
                <w:sz w:val="24"/>
                <w:szCs w:val="24"/>
              </w:rPr>
            </w:pPr>
          </w:p>
          <w:p w14:paraId="76E45B66" w14:textId="77777777" w:rsidR="00383D96" w:rsidRPr="001300A9" w:rsidRDefault="00383D96" w:rsidP="00383D96">
            <w:pPr>
              <w:tabs>
                <w:tab w:val="left" w:pos="426"/>
              </w:tabs>
              <w:spacing w:after="0" w:line="240" w:lineRule="auto"/>
              <w:jc w:val="both"/>
              <w:rPr>
                <w:rFonts w:ascii="Times New Roman" w:hAnsi="Times New Roman" w:cs="Times New Roman"/>
                <w:sz w:val="24"/>
                <w:szCs w:val="24"/>
              </w:rPr>
            </w:pPr>
          </w:p>
          <w:p w14:paraId="7B409E12" w14:textId="77777777" w:rsidR="00383D96" w:rsidRPr="001300A9" w:rsidRDefault="00383D96" w:rsidP="00383D96">
            <w:pPr>
              <w:tabs>
                <w:tab w:val="left" w:pos="426"/>
              </w:tabs>
              <w:spacing w:after="0" w:line="240" w:lineRule="auto"/>
              <w:jc w:val="both"/>
              <w:rPr>
                <w:rFonts w:ascii="Times New Roman" w:hAnsi="Times New Roman" w:cs="Times New Roman"/>
                <w:sz w:val="24"/>
                <w:szCs w:val="24"/>
              </w:rPr>
            </w:pPr>
          </w:p>
          <w:p w14:paraId="1E8BBB4A" w14:textId="77777777" w:rsidR="00383D96" w:rsidRPr="001300A9" w:rsidRDefault="00383D96" w:rsidP="00383D96">
            <w:pPr>
              <w:tabs>
                <w:tab w:val="left" w:pos="426"/>
              </w:tabs>
              <w:spacing w:after="0" w:line="240" w:lineRule="auto"/>
              <w:jc w:val="both"/>
              <w:rPr>
                <w:rFonts w:ascii="Times New Roman" w:hAnsi="Times New Roman" w:cs="Times New Roman"/>
                <w:sz w:val="24"/>
                <w:szCs w:val="24"/>
              </w:rPr>
            </w:pPr>
          </w:p>
          <w:p w14:paraId="2845A4A4" w14:textId="77777777" w:rsidR="00383D96" w:rsidRPr="001300A9" w:rsidRDefault="00383D96" w:rsidP="00383D96">
            <w:pPr>
              <w:tabs>
                <w:tab w:val="left" w:pos="426"/>
              </w:tabs>
              <w:spacing w:after="0" w:line="240" w:lineRule="auto"/>
              <w:jc w:val="both"/>
              <w:rPr>
                <w:rFonts w:ascii="Times New Roman" w:hAnsi="Times New Roman" w:cs="Times New Roman"/>
                <w:sz w:val="24"/>
                <w:szCs w:val="24"/>
              </w:rPr>
            </w:pPr>
          </w:p>
          <w:p w14:paraId="6A0FBE44" w14:textId="77777777" w:rsidR="00383D96" w:rsidRPr="001300A9" w:rsidRDefault="00383D96" w:rsidP="00383D96">
            <w:pPr>
              <w:tabs>
                <w:tab w:val="left" w:pos="426"/>
              </w:tabs>
              <w:spacing w:after="0" w:line="240" w:lineRule="auto"/>
              <w:jc w:val="both"/>
              <w:rPr>
                <w:rFonts w:ascii="Times New Roman" w:hAnsi="Times New Roman" w:cs="Times New Roman"/>
                <w:sz w:val="24"/>
                <w:szCs w:val="24"/>
              </w:rPr>
            </w:pPr>
          </w:p>
          <w:p w14:paraId="08EB9026" w14:textId="77777777" w:rsidR="00383D96" w:rsidRPr="001300A9" w:rsidRDefault="00383D96" w:rsidP="00383D96">
            <w:pPr>
              <w:tabs>
                <w:tab w:val="left" w:pos="426"/>
              </w:tabs>
              <w:spacing w:after="0" w:line="240" w:lineRule="auto"/>
              <w:jc w:val="both"/>
              <w:rPr>
                <w:rFonts w:ascii="Times New Roman" w:hAnsi="Times New Roman" w:cs="Times New Roman"/>
                <w:sz w:val="24"/>
                <w:szCs w:val="24"/>
              </w:rPr>
            </w:pPr>
          </w:p>
          <w:p w14:paraId="085E41EF" w14:textId="77777777" w:rsidR="00383D96" w:rsidRPr="001300A9" w:rsidRDefault="00383D96" w:rsidP="00383D96">
            <w:pPr>
              <w:tabs>
                <w:tab w:val="left" w:pos="426"/>
              </w:tabs>
              <w:spacing w:after="0" w:line="240" w:lineRule="auto"/>
              <w:jc w:val="both"/>
              <w:rPr>
                <w:rFonts w:ascii="Times New Roman" w:hAnsi="Times New Roman" w:cs="Times New Roman"/>
                <w:sz w:val="24"/>
                <w:szCs w:val="24"/>
              </w:rPr>
            </w:pPr>
          </w:p>
          <w:p w14:paraId="5443302E" w14:textId="77777777" w:rsidR="00383D96" w:rsidRPr="001300A9" w:rsidRDefault="00383D96" w:rsidP="00383D96">
            <w:pPr>
              <w:tabs>
                <w:tab w:val="left" w:pos="426"/>
              </w:tabs>
              <w:spacing w:after="0" w:line="240" w:lineRule="auto"/>
              <w:jc w:val="both"/>
              <w:rPr>
                <w:rFonts w:ascii="Times New Roman" w:hAnsi="Times New Roman" w:cs="Times New Roman"/>
                <w:sz w:val="24"/>
                <w:szCs w:val="24"/>
              </w:rPr>
            </w:pPr>
          </w:p>
          <w:p w14:paraId="75CC0533" w14:textId="77777777" w:rsidR="00383D96" w:rsidRPr="001300A9" w:rsidRDefault="00383D96" w:rsidP="00383D96">
            <w:pPr>
              <w:tabs>
                <w:tab w:val="left" w:pos="426"/>
              </w:tabs>
              <w:spacing w:after="0" w:line="240" w:lineRule="auto"/>
              <w:jc w:val="both"/>
              <w:rPr>
                <w:rFonts w:ascii="Times New Roman" w:hAnsi="Times New Roman" w:cs="Times New Roman"/>
                <w:sz w:val="24"/>
                <w:szCs w:val="24"/>
              </w:rPr>
            </w:pPr>
          </w:p>
          <w:p w14:paraId="5615C464" w14:textId="77777777" w:rsidR="00383D96" w:rsidRPr="001300A9" w:rsidRDefault="00383D96" w:rsidP="00383D96">
            <w:pPr>
              <w:tabs>
                <w:tab w:val="left" w:pos="426"/>
              </w:tabs>
              <w:spacing w:after="0" w:line="240" w:lineRule="auto"/>
              <w:jc w:val="both"/>
              <w:rPr>
                <w:rFonts w:ascii="Times New Roman" w:hAnsi="Times New Roman" w:cs="Times New Roman"/>
                <w:sz w:val="24"/>
                <w:szCs w:val="24"/>
              </w:rPr>
            </w:pPr>
          </w:p>
          <w:p w14:paraId="7D7F259B" w14:textId="77777777" w:rsidR="00383D96" w:rsidRPr="001300A9" w:rsidRDefault="00383D96" w:rsidP="00383D96">
            <w:pPr>
              <w:tabs>
                <w:tab w:val="left" w:pos="426"/>
              </w:tabs>
              <w:spacing w:after="0" w:line="240" w:lineRule="auto"/>
              <w:jc w:val="both"/>
              <w:rPr>
                <w:rFonts w:ascii="Times New Roman" w:hAnsi="Times New Roman" w:cs="Times New Roman"/>
                <w:sz w:val="24"/>
                <w:szCs w:val="24"/>
              </w:rPr>
            </w:pPr>
          </w:p>
          <w:p w14:paraId="5824C844" w14:textId="77777777" w:rsidR="00383D96" w:rsidRPr="001300A9" w:rsidRDefault="00383D96" w:rsidP="00383D96">
            <w:pPr>
              <w:tabs>
                <w:tab w:val="left" w:pos="426"/>
              </w:tabs>
              <w:spacing w:after="0" w:line="240" w:lineRule="auto"/>
              <w:jc w:val="both"/>
              <w:rPr>
                <w:rFonts w:ascii="Times New Roman" w:hAnsi="Times New Roman" w:cs="Times New Roman"/>
                <w:sz w:val="24"/>
                <w:szCs w:val="24"/>
              </w:rPr>
            </w:pPr>
          </w:p>
          <w:p w14:paraId="756DCEAB" w14:textId="77777777" w:rsidR="00383D96" w:rsidRPr="001300A9" w:rsidRDefault="00383D96" w:rsidP="00383D96">
            <w:pPr>
              <w:tabs>
                <w:tab w:val="left" w:pos="426"/>
              </w:tabs>
              <w:spacing w:after="0" w:line="240" w:lineRule="auto"/>
              <w:jc w:val="both"/>
              <w:rPr>
                <w:rFonts w:ascii="Times New Roman" w:hAnsi="Times New Roman" w:cs="Times New Roman"/>
                <w:sz w:val="24"/>
                <w:szCs w:val="24"/>
              </w:rPr>
            </w:pPr>
          </w:p>
          <w:p w14:paraId="2B2274D5" w14:textId="77777777" w:rsidR="00383D96" w:rsidRPr="001300A9" w:rsidRDefault="00383D96" w:rsidP="00383D96">
            <w:pPr>
              <w:tabs>
                <w:tab w:val="left" w:pos="426"/>
              </w:tabs>
              <w:spacing w:after="0" w:line="240" w:lineRule="auto"/>
              <w:jc w:val="both"/>
              <w:rPr>
                <w:rFonts w:ascii="Times New Roman" w:hAnsi="Times New Roman" w:cs="Times New Roman"/>
                <w:sz w:val="24"/>
                <w:szCs w:val="24"/>
              </w:rPr>
            </w:pPr>
          </w:p>
          <w:p w14:paraId="78760474" w14:textId="77777777" w:rsidR="00383D96" w:rsidRPr="001300A9" w:rsidRDefault="00383D96" w:rsidP="00383D96">
            <w:pPr>
              <w:tabs>
                <w:tab w:val="left" w:pos="426"/>
              </w:tabs>
              <w:spacing w:after="0" w:line="240" w:lineRule="auto"/>
              <w:jc w:val="both"/>
              <w:rPr>
                <w:rFonts w:ascii="Times New Roman" w:hAnsi="Times New Roman" w:cs="Times New Roman"/>
                <w:sz w:val="24"/>
                <w:szCs w:val="24"/>
              </w:rPr>
            </w:pPr>
          </w:p>
          <w:p w14:paraId="2852AAE5" w14:textId="77777777" w:rsidR="00383D96" w:rsidRPr="001300A9" w:rsidRDefault="00383D96" w:rsidP="00383D96">
            <w:pPr>
              <w:tabs>
                <w:tab w:val="left" w:pos="426"/>
              </w:tabs>
              <w:spacing w:after="0" w:line="240" w:lineRule="auto"/>
              <w:jc w:val="both"/>
              <w:rPr>
                <w:rFonts w:ascii="Times New Roman" w:hAnsi="Times New Roman" w:cs="Times New Roman"/>
                <w:sz w:val="24"/>
                <w:szCs w:val="24"/>
              </w:rPr>
            </w:pPr>
          </w:p>
          <w:p w14:paraId="7E27E9AD" w14:textId="77777777" w:rsidR="00383D96" w:rsidRPr="001300A9" w:rsidRDefault="00383D96" w:rsidP="00383D96">
            <w:pPr>
              <w:tabs>
                <w:tab w:val="left" w:pos="426"/>
              </w:tabs>
              <w:spacing w:after="0" w:line="240" w:lineRule="auto"/>
              <w:jc w:val="both"/>
              <w:rPr>
                <w:rFonts w:ascii="Times New Roman" w:hAnsi="Times New Roman" w:cs="Times New Roman"/>
                <w:sz w:val="24"/>
                <w:szCs w:val="24"/>
              </w:rPr>
            </w:pPr>
          </w:p>
          <w:p w14:paraId="188B479E" w14:textId="77777777" w:rsidR="00383D96" w:rsidRPr="001300A9" w:rsidRDefault="00383D96" w:rsidP="00383D96">
            <w:pPr>
              <w:tabs>
                <w:tab w:val="left" w:pos="426"/>
              </w:tabs>
              <w:spacing w:after="0" w:line="240" w:lineRule="auto"/>
              <w:jc w:val="both"/>
              <w:rPr>
                <w:rFonts w:ascii="Times New Roman" w:hAnsi="Times New Roman" w:cs="Times New Roman"/>
                <w:sz w:val="24"/>
                <w:szCs w:val="24"/>
              </w:rPr>
            </w:pPr>
          </w:p>
          <w:p w14:paraId="6F0C2650" w14:textId="77777777" w:rsidR="00383D96" w:rsidRPr="001300A9" w:rsidRDefault="00383D96" w:rsidP="00383D96">
            <w:pPr>
              <w:tabs>
                <w:tab w:val="left" w:pos="426"/>
              </w:tabs>
              <w:spacing w:after="0" w:line="240" w:lineRule="auto"/>
              <w:jc w:val="both"/>
              <w:rPr>
                <w:rFonts w:ascii="Times New Roman" w:hAnsi="Times New Roman" w:cs="Times New Roman"/>
                <w:sz w:val="24"/>
                <w:szCs w:val="24"/>
              </w:rPr>
            </w:pPr>
          </w:p>
          <w:p w14:paraId="28A1C049" w14:textId="77777777" w:rsidR="00383D96" w:rsidRPr="001300A9" w:rsidRDefault="00383D96" w:rsidP="00383D96">
            <w:pPr>
              <w:tabs>
                <w:tab w:val="left" w:pos="426"/>
              </w:tabs>
              <w:spacing w:after="0" w:line="240" w:lineRule="auto"/>
              <w:jc w:val="both"/>
              <w:rPr>
                <w:rFonts w:ascii="Times New Roman" w:hAnsi="Times New Roman" w:cs="Times New Roman"/>
                <w:sz w:val="24"/>
                <w:szCs w:val="24"/>
              </w:rPr>
            </w:pPr>
          </w:p>
          <w:p w14:paraId="0A897378" w14:textId="77777777" w:rsidR="00383D96" w:rsidRPr="001300A9" w:rsidRDefault="00383D96" w:rsidP="00383D96">
            <w:pPr>
              <w:tabs>
                <w:tab w:val="left" w:pos="426"/>
              </w:tabs>
              <w:spacing w:after="0" w:line="240" w:lineRule="auto"/>
              <w:jc w:val="both"/>
              <w:rPr>
                <w:rFonts w:ascii="Times New Roman" w:hAnsi="Times New Roman" w:cs="Times New Roman"/>
                <w:sz w:val="24"/>
                <w:szCs w:val="24"/>
              </w:rPr>
            </w:pPr>
          </w:p>
          <w:p w14:paraId="134B9C52" w14:textId="77777777" w:rsidR="00383D96" w:rsidRPr="001300A9" w:rsidRDefault="00383D96" w:rsidP="00383D96">
            <w:pPr>
              <w:tabs>
                <w:tab w:val="left" w:pos="426"/>
              </w:tabs>
              <w:spacing w:after="0" w:line="240" w:lineRule="auto"/>
              <w:jc w:val="both"/>
              <w:rPr>
                <w:rFonts w:ascii="Times New Roman" w:hAnsi="Times New Roman" w:cs="Times New Roman"/>
                <w:sz w:val="24"/>
                <w:szCs w:val="24"/>
              </w:rPr>
            </w:pPr>
          </w:p>
          <w:p w14:paraId="0836655E" w14:textId="77777777" w:rsidR="00383D96" w:rsidRPr="001300A9" w:rsidRDefault="00383D96" w:rsidP="00383D96">
            <w:pPr>
              <w:tabs>
                <w:tab w:val="left" w:pos="426"/>
              </w:tabs>
              <w:spacing w:after="0" w:line="240" w:lineRule="auto"/>
              <w:jc w:val="both"/>
              <w:rPr>
                <w:rFonts w:ascii="Times New Roman" w:hAnsi="Times New Roman" w:cs="Times New Roman"/>
                <w:sz w:val="24"/>
                <w:szCs w:val="24"/>
              </w:rPr>
            </w:pPr>
          </w:p>
          <w:p w14:paraId="62780F41" w14:textId="77777777" w:rsidR="00383D96" w:rsidRPr="001300A9" w:rsidRDefault="00383D96" w:rsidP="00383D96">
            <w:pPr>
              <w:tabs>
                <w:tab w:val="left" w:pos="426"/>
              </w:tabs>
              <w:spacing w:after="0" w:line="240" w:lineRule="auto"/>
              <w:jc w:val="both"/>
              <w:rPr>
                <w:rFonts w:ascii="Times New Roman" w:hAnsi="Times New Roman" w:cs="Times New Roman"/>
                <w:sz w:val="24"/>
                <w:szCs w:val="24"/>
              </w:rPr>
            </w:pPr>
          </w:p>
          <w:p w14:paraId="73E55559" w14:textId="77777777" w:rsidR="00383D96" w:rsidRPr="001300A9" w:rsidRDefault="00383D96" w:rsidP="00383D96">
            <w:pPr>
              <w:tabs>
                <w:tab w:val="left" w:pos="426"/>
              </w:tabs>
              <w:spacing w:after="0" w:line="240" w:lineRule="auto"/>
              <w:jc w:val="both"/>
              <w:rPr>
                <w:rFonts w:ascii="Times New Roman" w:hAnsi="Times New Roman" w:cs="Times New Roman"/>
                <w:sz w:val="24"/>
                <w:szCs w:val="24"/>
              </w:rPr>
            </w:pPr>
          </w:p>
          <w:p w14:paraId="166CB2C3" w14:textId="77777777" w:rsidR="00383D96" w:rsidRPr="001300A9" w:rsidRDefault="00383D96" w:rsidP="00383D96">
            <w:pPr>
              <w:tabs>
                <w:tab w:val="left" w:pos="426"/>
              </w:tabs>
              <w:spacing w:after="0" w:line="240" w:lineRule="auto"/>
              <w:jc w:val="both"/>
              <w:rPr>
                <w:rFonts w:ascii="Times New Roman" w:hAnsi="Times New Roman" w:cs="Times New Roman"/>
                <w:sz w:val="24"/>
                <w:szCs w:val="24"/>
              </w:rPr>
            </w:pPr>
          </w:p>
          <w:p w14:paraId="5E846BE9" w14:textId="77777777" w:rsidR="00383D96" w:rsidRPr="001300A9" w:rsidRDefault="00383D96" w:rsidP="00383D96">
            <w:pPr>
              <w:tabs>
                <w:tab w:val="left" w:pos="426"/>
              </w:tabs>
              <w:spacing w:after="0" w:line="240" w:lineRule="auto"/>
              <w:jc w:val="both"/>
              <w:rPr>
                <w:rFonts w:ascii="Times New Roman" w:hAnsi="Times New Roman" w:cs="Times New Roman"/>
                <w:sz w:val="24"/>
                <w:szCs w:val="24"/>
              </w:rPr>
            </w:pPr>
          </w:p>
          <w:p w14:paraId="630F609E" w14:textId="77777777" w:rsidR="00383D96" w:rsidRPr="001300A9" w:rsidRDefault="00383D96" w:rsidP="00383D96">
            <w:pPr>
              <w:tabs>
                <w:tab w:val="left" w:pos="426"/>
              </w:tabs>
              <w:spacing w:after="0" w:line="240" w:lineRule="auto"/>
              <w:jc w:val="both"/>
              <w:rPr>
                <w:rFonts w:ascii="Times New Roman" w:hAnsi="Times New Roman" w:cs="Times New Roman"/>
                <w:sz w:val="24"/>
                <w:szCs w:val="24"/>
              </w:rPr>
            </w:pPr>
          </w:p>
          <w:p w14:paraId="290BCAA5" w14:textId="77777777" w:rsidR="00383D96" w:rsidRPr="001300A9" w:rsidRDefault="00383D96" w:rsidP="00383D96">
            <w:pPr>
              <w:tabs>
                <w:tab w:val="left" w:pos="426"/>
              </w:tabs>
              <w:spacing w:after="0" w:line="240" w:lineRule="auto"/>
              <w:jc w:val="both"/>
              <w:rPr>
                <w:rFonts w:ascii="Times New Roman" w:hAnsi="Times New Roman" w:cs="Times New Roman"/>
                <w:sz w:val="24"/>
                <w:szCs w:val="24"/>
              </w:rPr>
            </w:pPr>
          </w:p>
          <w:p w14:paraId="2FE72CC1" w14:textId="77777777" w:rsidR="00383D96" w:rsidRPr="001300A9" w:rsidRDefault="00383D96" w:rsidP="00383D96">
            <w:pPr>
              <w:tabs>
                <w:tab w:val="left" w:pos="426"/>
              </w:tabs>
              <w:spacing w:after="0" w:line="240" w:lineRule="auto"/>
              <w:jc w:val="both"/>
              <w:rPr>
                <w:rFonts w:ascii="Times New Roman" w:hAnsi="Times New Roman" w:cs="Times New Roman"/>
                <w:sz w:val="24"/>
                <w:szCs w:val="24"/>
              </w:rPr>
            </w:pPr>
          </w:p>
          <w:p w14:paraId="43D3D647" w14:textId="77777777" w:rsidR="00383D96" w:rsidRPr="001300A9" w:rsidRDefault="00383D96" w:rsidP="00383D96">
            <w:pPr>
              <w:tabs>
                <w:tab w:val="left" w:pos="426"/>
              </w:tabs>
              <w:spacing w:after="0" w:line="240" w:lineRule="auto"/>
              <w:jc w:val="both"/>
              <w:rPr>
                <w:rFonts w:ascii="Times New Roman" w:hAnsi="Times New Roman" w:cs="Times New Roman"/>
                <w:sz w:val="24"/>
                <w:szCs w:val="24"/>
              </w:rPr>
            </w:pPr>
          </w:p>
          <w:p w14:paraId="3D7E7F31" w14:textId="77777777" w:rsidR="00383D96" w:rsidRPr="001300A9" w:rsidRDefault="00383D96" w:rsidP="00383D96">
            <w:pPr>
              <w:tabs>
                <w:tab w:val="left" w:pos="426"/>
              </w:tabs>
              <w:spacing w:after="0" w:line="240" w:lineRule="auto"/>
              <w:jc w:val="both"/>
              <w:rPr>
                <w:rFonts w:ascii="Times New Roman" w:hAnsi="Times New Roman" w:cs="Times New Roman"/>
                <w:sz w:val="24"/>
                <w:szCs w:val="24"/>
              </w:rPr>
            </w:pPr>
          </w:p>
          <w:p w14:paraId="5BCDA0A8" w14:textId="77777777" w:rsidR="00383D96" w:rsidRPr="001300A9" w:rsidRDefault="00383D96" w:rsidP="00383D96">
            <w:pPr>
              <w:tabs>
                <w:tab w:val="left" w:pos="426"/>
              </w:tabs>
              <w:spacing w:after="0" w:line="240" w:lineRule="auto"/>
              <w:jc w:val="both"/>
              <w:rPr>
                <w:rFonts w:ascii="Times New Roman" w:hAnsi="Times New Roman" w:cs="Times New Roman"/>
                <w:sz w:val="24"/>
                <w:szCs w:val="24"/>
              </w:rPr>
            </w:pPr>
          </w:p>
          <w:p w14:paraId="62F04E1A" w14:textId="77777777" w:rsidR="00383D96" w:rsidRPr="001300A9" w:rsidRDefault="00383D96" w:rsidP="00383D96">
            <w:pPr>
              <w:tabs>
                <w:tab w:val="left" w:pos="426"/>
              </w:tabs>
              <w:spacing w:after="0" w:line="240" w:lineRule="auto"/>
              <w:jc w:val="both"/>
              <w:rPr>
                <w:rFonts w:ascii="Times New Roman" w:hAnsi="Times New Roman" w:cs="Times New Roman"/>
                <w:sz w:val="24"/>
                <w:szCs w:val="24"/>
              </w:rPr>
            </w:pPr>
          </w:p>
          <w:p w14:paraId="383A52A3" w14:textId="77777777" w:rsidR="00383D96" w:rsidRPr="001300A9" w:rsidRDefault="00383D96" w:rsidP="00383D96">
            <w:pPr>
              <w:tabs>
                <w:tab w:val="left" w:pos="426"/>
              </w:tabs>
              <w:spacing w:after="0" w:line="240" w:lineRule="auto"/>
              <w:jc w:val="both"/>
              <w:rPr>
                <w:rFonts w:ascii="Times New Roman" w:hAnsi="Times New Roman" w:cs="Times New Roman"/>
                <w:sz w:val="24"/>
                <w:szCs w:val="24"/>
              </w:rPr>
            </w:pPr>
          </w:p>
          <w:p w14:paraId="63D6C7FA" w14:textId="77777777" w:rsidR="00383D96" w:rsidRPr="001300A9" w:rsidRDefault="00383D96" w:rsidP="00383D96">
            <w:pPr>
              <w:tabs>
                <w:tab w:val="left" w:pos="426"/>
              </w:tabs>
              <w:spacing w:after="0" w:line="240" w:lineRule="auto"/>
              <w:jc w:val="both"/>
              <w:rPr>
                <w:rFonts w:ascii="Times New Roman" w:hAnsi="Times New Roman" w:cs="Times New Roman"/>
                <w:sz w:val="24"/>
                <w:szCs w:val="24"/>
              </w:rPr>
            </w:pPr>
          </w:p>
          <w:p w14:paraId="66EDB99C" w14:textId="77777777" w:rsidR="00383D96" w:rsidRPr="001300A9" w:rsidRDefault="00383D96" w:rsidP="00383D96">
            <w:pPr>
              <w:tabs>
                <w:tab w:val="left" w:pos="426"/>
              </w:tabs>
              <w:spacing w:after="0" w:line="240" w:lineRule="auto"/>
              <w:jc w:val="both"/>
              <w:rPr>
                <w:rFonts w:ascii="Times New Roman" w:hAnsi="Times New Roman" w:cs="Times New Roman"/>
                <w:sz w:val="24"/>
                <w:szCs w:val="24"/>
              </w:rPr>
            </w:pPr>
          </w:p>
          <w:p w14:paraId="339EE98D" w14:textId="77777777" w:rsidR="00383D96" w:rsidRPr="001300A9" w:rsidRDefault="00383D96" w:rsidP="00383D96">
            <w:pPr>
              <w:tabs>
                <w:tab w:val="left" w:pos="426"/>
              </w:tabs>
              <w:spacing w:after="0" w:line="240" w:lineRule="auto"/>
              <w:jc w:val="both"/>
              <w:rPr>
                <w:rFonts w:ascii="Times New Roman" w:hAnsi="Times New Roman" w:cs="Times New Roman"/>
                <w:sz w:val="24"/>
                <w:szCs w:val="24"/>
              </w:rPr>
            </w:pPr>
          </w:p>
          <w:p w14:paraId="33424E2D" w14:textId="77777777" w:rsidR="00383D96" w:rsidRPr="001300A9" w:rsidRDefault="00383D96" w:rsidP="00383D96">
            <w:pPr>
              <w:tabs>
                <w:tab w:val="left" w:pos="426"/>
              </w:tabs>
              <w:spacing w:after="0" w:line="240" w:lineRule="auto"/>
              <w:jc w:val="both"/>
              <w:rPr>
                <w:rFonts w:ascii="Times New Roman" w:hAnsi="Times New Roman" w:cs="Times New Roman"/>
                <w:sz w:val="24"/>
                <w:szCs w:val="24"/>
              </w:rPr>
            </w:pPr>
          </w:p>
          <w:p w14:paraId="3A232A41" w14:textId="77777777" w:rsidR="00383D96" w:rsidRPr="001300A9" w:rsidRDefault="00383D96" w:rsidP="00383D96">
            <w:pPr>
              <w:tabs>
                <w:tab w:val="left" w:pos="426"/>
              </w:tabs>
              <w:spacing w:after="0" w:line="240" w:lineRule="auto"/>
              <w:jc w:val="both"/>
              <w:rPr>
                <w:rFonts w:ascii="Times New Roman" w:hAnsi="Times New Roman" w:cs="Times New Roman"/>
                <w:sz w:val="24"/>
                <w:szCs w:val="24"/>
              </w:rPr>
            </w:pPr>
          </w:p>
          <w:p w14:paraId="3D41557D" w14:textId="77777777" w:rsidR="00383D96" w:rsidRPr="001300A9" w:rsidRDefault="00383D96" w:rsidP="00383D96">
            <w:pPr>
              <w:tabs>
                <w:tab w:val="left" w:pos="426"/>
              </w:tabs>
              <w:spacing w:after="0" w:line="240" w:lineRule="auto"/>
              <w:jc w:val="both"/>
              <w:rPr>
                <w:rFonts w:ascii="Times New Roman" w:hAnsi="Times New Roman" w:cs="Times New Roman"/>
                <w:sz w:val="24"/>
                <w:szCs w:val="24"/>
              </w:rPr>
            </w:pPr>
          </w:p>
          <w:p w14:paraId="61F166FE" w14:textId="77777777" w:rsidR="00383D96" w:rsidRPr="001300A9" w:rsidRDefault="00383D96" w:rsidP="00383D96">
            <w:pPr>
              <w:tabs>
                <w:tab w:val="left" w:pos="426"/>
              </w:tabs>
              <w:spacing w:after="0" w:line="240" w:lineRule="auto"/>
              <w:jc w:val="both"/>
              <w:rPr>
                <w:rFonts w:ascii="Times New Roman" w:hAnsi="Times New Roman" w:cs="Times New Roman"/>
                <w:sz w:val="24"/>
                <w:szCs w:val="24"/>
              </w:rPr>
            </w:pPr>
          </w:p>
          <w:p w14:paraId="47C0D890" w14:textId="77777777" w:rsidR="00383D96" w:rsidRPr="001300A9" w:rsidRDefault="00383D96" w:rsidP="00383D96">
            <w:pPr>
              <w:tabs>
                <w:tab w:val="left" w:pos="426"/>
              </w:tabs>
              <w:spacing w:after="0" w:line="240" w:lineRule="auto"/>
              <w:jc w:val="both"/>
              <w:rPr>
                <w:rFonts w:ascii="Times New Roman" w:hAnsi="Times New Roman" w:cs="Times New Roman"/>
                <w:sz w:val="24"/>
                <w:szCs w:val="24"/>
              </w:rPr>
            </w:pPr>
          </w:p>
          <w:p w14:paraId="73149D74" w14:textId="77777777" w:rsidR="00383D96" w:rsidRPr="001300A9" w:rsidRDefault="00383D96" w:rsidP="00383D96">
            <w:pPr>
              <w:tabs>
                <w:tab w:val="left" w:pos="426"/>
              </w:tabs>
              <w:spacing w:after="0" w:line="240" w:lineRule="auto"/>
              <w:jc w:val="both"/>
              <w:rPr>
                <w:rFonts w:ascii="Times New Roman" w:hAnsi="Times New Roman" w:cs="Times New Roman"/>
                <w:sz w:val="24"/>
                <w:szCs w:val="24"/>
              </w:rPr>
            </w:pPr>
          </w:p>
          <w:p w14:paraId="2E351BCD" w14:textId="77777777" w:rsidR="00383D96" w:rsidRPr="001300A9" w:rsidRDefault="00383D96" w:rsidP="00383D96">
            <w:pPr>
              <w:tabs>
                <w:tab w:val="left" w:pos="426"/>
              </w:tabs>
              <w:spacing w:after="0" w:line="240" w:lineRule="auto"/>
              <w:jc w:val="both"/>
              <w:rPr>
                <w:rFonts w:ascii="Times New Roman" w:hAnsi="Times New Roman" w:cs="Times New Roman"/>
                <w:sz w:val="24"/>
                <w:szCs w:val="24"/>
              </w:rPr>
            </w:pPr>
          </w:p>
          <w:p w14:paraId="13BE45CA" w14:textId="77777777" w:rsidR="00383D96" w:rsidRPr="001300A9" w:rsidRDefault="00383D96" w:rsidP="00383D96">
            <w:pPr>
              <w:tabs>
                <w:tab w:val="left" w:pos="426"/>
              </w:tabs>
              <w:spacing w:after="0" w:line="240" w:lineRule="auto"/>
              <w:jc w:val="both"/>
              <w:rPr>
                <w:rFonts w:ascii="Times New Roman" w:hAnsi="Times New Roman" w:cs="Times New Roman"/>
                <w:sz w:val="24"/>
                <w:szCs w:val="24"/>
              </w:rPr>
            </w:pPr>
          </w:p>
          <w:p w14:paraId="4F340B7D" w14:textId="77777777" w:rsidR="00383D96" w:rsidRPr="001300A9" w:rsidRDefault="00383D96" w:rsidP="00383D96">
            <w:pPr>
              <w:tabs>
                <w:tab w:val="left" w:pos="426"/>
              </w:tabs>
              <w:spacing w:after="0" w:line="240" w:lineRule="auto"/>
              <w:jc w:val="both"/>
              <w:rPr>
                <w:rFonts w:ascii="Times New Roman" w:hAnsi="Times New Roman" w:cs="Times New Roman"/>
                <w:sz w:val="24"/>
                <w:szCs w:val="24"/>
              </w:rPr>
            </w:pPr>
          </w:p>
          <w:p w14:paraId="7904D1C3" w14:textId="77777777" w:rsidR="00383D96" w:rsidRPr="001300A9" w:rsidRDefault="00383D96" w:rsidP="00383D96">
            <w:pPr>
              <w:tabs>
                <w:tab w:val="left" w:pos="426"/>
              </w:tabs>
              <w:spacing w:after="0" w:line="240" w:lineRule="auto"/>
              <w:jc w:val="both"/>
              <w:rPr>
                <w:rFonts w:ascii="Times New Roman" w:hAnsi="Times New Roman" w:cs="Times New Roman"/>
                <w:sz w:val="24"/>
                <w:szCs w:val="24"/>
              </w:rPr>
            </w:pPr>
          </w:p>
          <w:p w14:paraId="3CA8EB82" w14:textId="77777777" w:rsidR="00383D96" w:rsidRPr="001300A9" w:rsidRDefault="00383D96" w:rsidP="00383D96">
            <w:pPr>
              <w:tabs>
                <w:tab w:val="left" w:pos="426"/>
              </w:tabs>
              <w:spacing w:after="0" w:line="240" w:lineRule="auto"/>
              <w:jc w:val="both"/>
              <w:rPr>
                <w:rFonts w:ascii="Times New Roman" w:hAnsi="Times New Roman" w:cs="Times New Roman"/>
                <w:sz w:val="24"/>
                <w:szCs w:val="24"/>
              </w:rPr>
            </w:pPr>
          </w:p>
          <w:p w14:paraId="6AE2807F" w14:textId="77777777" w:rsidR="00383D96" w:rsidRPr="001300A9" w:rsidRDefault="00383D96" w:rsidP="00383D96">
            <w:pPr>
              <w:tabs>
                <w:tab w:val="left" w:pos="426"/>
              </w:tabs>
              <w:spacing w:after="0" w:line="240" w:lineRule="auto"/>
              <w:jc w:val="both"/>
              <w:rPr>
                <w:rFonts w:ascii="Times New Roman" w:hAnsi="Times New Roman" w:cs="Times New Roman"/>
                <w:sz w:val="24"/>
                <w:szCs w:val="24"/>
              </w:rPr>
            </w:pPr>
          </w:p>
          <w:p w14:paraId="5815C7E0" w14:textId="77777777" w:rsidR="00383D96" w:rsidRPr="001300A9" w:rsidRDefault="00383D96" w:rsidP="00383D96">
            <w:pPr>
              <w:tabs>
                <w:tab w:val="left" w:pos="426"/>
              </w:tabs>
              <w:spacing w:after="0" w:line="240" w:lineRule="auto"/>
              <w:jc w:val="both"/>
              <w:rPr>
                <w:rFonts w:ascii="Times New Roman" w:hAnsi="Times New Roman" w:cs="Times New Roman"/>
                <w:sz w:val="24"/>
                <w:szCs w:val="24"/>
              </w:rPr>
            </w:pPr>
          </w:p>
          <w:p w14:paraId="171433EB" w14:textId="77777777" w:rsidR="00383D96" w:rsidRPr="001300A9" w:rsidRDefault="00383D96" w:rsidP="00383D96">
            <w:pPr>
              <w:tabs>
                <w:tab w:val="left" w:pos="426"/>
              </w:tabs>
              <w:spacing w:after="0" w:line="240" w:lineRule="auto"/>
              <w:jc w:val="both"/>
              <w:rPr>
                <w:rFonts w:ascii="Times New Roman" w:hAnsi="Times New Roman" w:cs="Times New Roman"/>
                <w:sz w:val="24"/>
                <w:szCs w:val="24"/>
              </w:rPr>
            </w:pPr>
          </w:p>
          <w:p w14:paraId="0D414455" w14:textId="3DFC45FA" w:rsidR="00383D96" w:rsidRDefault="00383D96" w:rsidP="00383D96">
            <w:pPr>
              <w:tabs>
                <w:tab w:val="left" w:pos="426"/>
              </w:tabs>
              <w:spacing w:after="0" w:line="240" w:lineRule="auto"/>
              <w:jc w:val="both"/>
              <w:rPr>
                <w:rFonts w:ascii="Times New Roman" w:hAnsi="Times New Roman" w:cs="Times New Roman"/>
                <w:sz w:val="24"/>
                <w:szCs w:val="24"/>
              </w:rPr>
            </w:pPr>
          </w:p>
          <w:p w14:paraId="12156077" w14:textId="59226422" w:rsidR="00730219" w:rsidRDefault="00730219" w:rsidP="00383D96">
            <w:pPr>
              <w:tabs>
                <w:tab w:val="left" w:pos="426"/>
              </w:tabs>
              <w:spacing w:after="0" w:line="240" w:lineRule="auto"/>
              <w:jc w:val="both"/>
              <w:rPr>
                <w:rFonts w:ascii="Times New Roman" w:hAnsi="Times New Roman" w:cs="Times New Roman"/>
                <w:sz w:val="24"/>
                <w:szCs w:val="24"/>
              </w:rPr>
            </w:pPr>
          </w:p>
          <w:p w14:paraId="17686151" w14:textId="1A6A28A9" w:rsidR="00730219" w:rsidRDefault="00730219" w:rsidP="00383D96">
            <w:pPr>
              <w:tabs>
                <w:tab w:val="left" w:pos="426"/>
              </w:tabs>
              <w:spacing w:after="0" w:line="240" w:lineRule="auto"/>
              <w:jc w:val="both"/>
              <w:rPr>
                <w:rFonts w:ascii="Times New Roman" w:hAnsi="Times New Roman" w:cs="Times New Roman"/>
                <w:sz w:val="24"/>
                <w:szCs w:val="24"/>
              </w:rPr>
            </w:pPr>
          </w:p>
          <w:p w14:paraId="75A692C3" w14:textId="12594BF6" w:rsidR="00730219" w:rsidRDefault="00730219" w:rsidP="00383D96">
            <w:pPr>
              <w:tabs>
                <w:tab w:val="left" w:pos="426"/>
              </w:tabs>
              <w:spacing w:after="0" w:line="240" w:lineRule="auto"/>
              <w:jc w:val="both"/>
              <w:rPr>
                <w:rFonts w:ascii="Times New Roman" w:hAnsi="Times New Roman" w:cs="Times New Roman"/>
                <w:sz w:val="24"/>
                <w:szCs w:val="24"/>
              </w:rPr>
            </w:pPr>
          </w:p>
          <w:p w14:paraId="06C3DF6F" w14:textId="235F483E" w:rsidR="00730219" w:rsidRDefault="00730219" w:rsidP="00383D96">
            <w:pPr>
              <w:tabs>
                <w:tab w:val="left" w:pos="426"/>
              </w:tabs>
              <w:spacing w:after="0" w:line="240" w:lineRule="auto"/>
              <w:jc w:val="both"/>
              <w:rPr>
                <w:rFonts w:ascii="Times New Roman" w:hAnsi="Times New Roman" w:cs="Times New Roman"/>
                <w:sz w:val="24"/>
                <w:szCs w:val="24"/>
              </w:rPr>
            </w:pPr>
          </w:p>
          <w:p w14:paraId="19633EBA" w14:textId="0F6A34FF" w:rsidR="00730219" w:rsidRDefault="00730219" w:rsidP="00383D96">
            <w:pPr>
              <w:tabs>
                <w:tab w:val="left" w:pos="426"/>
              </w:tabs>
              <w:spacing w:after="0" w:line="240" w:lineRule="auto"/>
              <w:jc w:val="both"/>
              <w:rPr>
                <w:rFonts w:ascii="Times New Roman" w:hAnsi="Times New Roman" w:cs="Times New Roman"/>
                <w:sz w:val="24"/>
                <w:szCs w:val="24"/>
              </w:rPr>
            </w:pPr>
          </w:p>
          <w:p w14:paraId="09E5F49F" w14:textId="5B30F297" w:rsidR="00730219" w:rsidRDefault="00730219" w:rsidP="00383D96">
            <w:pPr>
              <w:tabs>
                <w:tab w:val="left" w:pos="426"/>
              </w:tabs>
              <w:spacing w:after="0" w:line="240" w:lineRule="auto"/>
              <w:jc w:val="both"/>
              <w:rPr>
                <w:rFonts w:ascii="Times New Roman" w:hAnsi="Times New Roman" w:cs="Times New Roman"/>
                <w:sz w:val="24"/>
                <w:szCs w:val="24"/>
              </w:rPr>
            </w:pPr>
          </w:p>
          <w:p w14:paraId="7FD76AB0" w14:textId="1ED664CC" w:rsidR="006902A0" w:rsidRDefault="006902A0" w:rsidP="00383D96">
            <w:pPr>
              <w:tabs>
                <w:tab w:val="left" w:pos="426"/>
              </w:tabs>
              <w:spacing w:after="0" w:line="240" w:lineRule="auto"/>
              <w:jc w:val="both"/>
              <w:rPr>
                <w:rFonts w:ascii="Times New Roman" w:hAnsi="Times New Roman" w:cs="Times New Roman"/>
                <w:sz w:val="24"/>
                <w:szCs w:val="24"/>
              </w:rPr>
            </w:pPr>
          </w:p>
          <w:p w14:paraId="21E59DA2" w14:textId="213F858D" w:rsidR="006902A0" w:rsidRDefault="006902A0" w:rsidP="00383D96">
            <w:pPr>
              <w:tabs>
                <w:tab w:val="left" w:pos="426"/>
              </w:tabs>
              <w:spacing w:after="0" w:line="240" w:lineRule="auto"/>
              <w:jc w:val="both"/>
              <w:rPr>
                <w:rFonts w:ascii="Times New Roman" w:hAnsi="Times New Roman" w:cs="Times New Roman"/>
                <w:sz w:val="24"/>
                <w:szCs w:val="24"/>
              </w:rPr>
            </w:pPr>
          </w:p>
          <w:p w14:paraId="1CF33609" w14:textId="73E44952" w:rsidR="006902A0" w:rsidRDefault="006902A0" w:rsidP="00383D96">
            <w:pPr>
              <w:tabs>
                <w:tab w:val="left" w:pos="426"/>
              </w:tabs>
              <w:spacing w:after="0" w:line="240" w:lineRule="auto"/>
              <w:jc w:val="both"/>
              <w:rPr>
                <w:rFonts w:ascii="Times New Roman" w:hAnsi="Times New Roman" w:cs="Times New Roman"/>
                <w:sz w:val="24"/>
                <w:szCs w:val="24"/>
              </w:rPr>
            </w:pPr>
          </w:p>
          <w:p w14:paraId="17DDC867" w14:textId="2BD4F5C2" w:rsidR="006902A0" w:rsidRDefault="006902A0" w:rsidP="00383D96">
            <w:pPr>
              <w:tabs>
                <w:tab w:val="left" w:pos="426"/>
              </w:tabs>
              <w:spacing w:after="0" w:line="240" w:lineRule="auto"/>
              <w:jc w:val="both"/>
              <w:rPr>
                <w:rFonts w:ascii="Times New Roman" w:hAnsi="Times New Roman" w:cs="Times New Roman"/>
                <w:sz w:val="24"/>
                <w:szCs w:val="24"/>
              </w:rPr>
            </w:pPr>
          </w:p>
          <w:p w14:paraId="23E4D45E" w14:textId="679C1D4C" w:rsidR="006902A0" w:rsidRDefault="006902A0" w:rsidP="00383D96">
            <w:pPr>
              <w:tabs>
                <w:tab w:val="left" w:pos="426"/>
              </w:tabs>
              <w:spacing w:after="0" w:line="240" w:lineRule="auto"/>
              <w:jc w:val="both"/>
              <w:rPr>
                <w:rFonts w:ascii="Times New Roman" w:hAnsi="Times New Roman" w:cs="Times New Roman"/>
                <w:sz w:val="24"/>
                <w:szCs w:val="24"/>
              </w:rPr>
            </w:pPr>
          </w:p>
          <w:p w14:paraId="6B1CD176" w14:textId="53EADCEB" w:rsidR="006902A0" w:rsidRDefault="006902A0" w:rsidP="00383D96">
            <w:pPr>
              <w:tabs>
                <w:tab w:val="left" w:pos="426"/>
              </w:tabs>
              <w:spacing w:after="0" w:line="240" w:lineRule="auto"/>
              <w:jc w:val="both"/>
              <w:rPr>
                <w:rFonts w:ascii="Times New Roman" w:hAnsi="Times New Roman" w:cs="Times New Roman"/>
                <w:sz w:val="24"/>
                <w:szCs w:val="24"/>
              </w:rPr>
            </w:pPr>
          </w:p>
          <w:p w14:paraId="742A078C" w14:textId="1608D8E8" w:rsidR="006902A0" w:rsidRDefault="006902A0" w:rsidP="00383D96">
            <w:pPr>
              <w:tabs>
                <w:tab w:val="left" w:pos="426"/>
              </w:tabs>
              <w:spacing w:after="0" w:line="240" w:lineRule="auto"/>
              <w:jc w:val="both"/>
              <w:rPr>
                <w:rFonts w:ascii="Times New Roman" w:hAnsi="Times New Roman" w:cs="Times New Roman"/>
                <w:sz w:val="24"/>
                <w:szCs w:val="24"/>
              </w:rPr>
            </w:pPr>
          </w:p>
          <w:p w14:paraId="6C75EB7C" w14:textId="77777777" w:rsidR="006902A0" w:rsidRPr="001300A9" w:rsidRDefault="006902A0" w:rsidP="00383D96">
            <w:pPr>
              <w:tabs>
                <w:tab w:val="left" w:pos="426"/>
              </w:tabs>
              <w:spacing w:after="0" w:line="240" w:lineRule="auto"/>
              <w:jc w:val="both"/>
              <w:rPr>
                <w:rFonts w:ascii="Times New Roman" w:hAnsi="Times New Roman" w:cs="Times New Roman"/>
                <w:sz w:val="24"/>
                <w:szCs w:val="24"/>
              </w:rPr>
            </w:pPr>
          </w:p>
          <w:p w14:paraId="280250D3" w14:textId="77777777" w:rsidR="0082715B" w:rsidRDefault="0082715B" w:rsidP="00383D96">
            <w:pPr>
              <w:tabs>
                <w:tab w:val="left" w:pos="426"/>
              </w:tabs>
              <w:spacing w:after="0" w:line="240" w:lineRule="auto"/>
              <w:jc w:val="both"/>
              <w:rPr>
                <w:rFonts w:ascii="Times New Roman" w:hAnsi="Times New Roman" w:cs="Times New Roman"/>
              </w:rPr>
            </w:pPr>
          </w:p>
          <w:p w14:paraId="541E0606" w14:textId="00683DCE" w:rsidR="0082715B" w:rsidRDefault="0082715B" w:rsidP="00383D96">
            <w:pPr>
              <w:tabs>
                <w:tab w:val="left" w:pos="426"/>
              </w:tabs>
              <w:spacing w:after="0" w:line="240" w:lineRule="auto"/>
              <w:jc w:val="both"/>
              <w:rPr>
                <w:rFonts w:ascii="Times New Roman" w:hAnsi="Times New Roman" w:cs="Times New Roman"/>
              </w:rPr>
            </w:pPr>
          </w:p>
          <w:p w14:paraId="201B22B6" w14:textId="5443A4B5" w:rsidR="00383D96" w:rsidRPr="001300A9" w:rsidRDefault="00383D96" w:rsidP="00E47E51">
            <w:pPr>
              <w:pStyle w:val="Default"/>
              <w:rPr>
                <w:sz w:val="22"/>
                <w:szCs w:val="22"/>
              </w:rPr>
            </w:pPr>
          </w:p>
        </w:tc>
        <w:tc>
          <w:tcPr>
            <w:tcW w:w="567" w:type="dxa"/>
          </w:tcPr>
          <w:p w14:paraId="676F3B6F" w14:textId="77777777" w:rsidR="00357CEC" w:rsidRPr="001300A9" w:rsidRDefault="00357CEC" w:rsidP="00357CEC">
            <w:pPr>
              <w:pStyle w:val="Default"/>
              <w:rPr>
                <w:sz w:val="22"/>
                <w:szCs w:val="22"/>
              </w:rPr>
            </w:pPr>
          </w:p>
          <w:p w14:paraId="33C14622" w14:textId="77777777" w:rsidR="00C603D3" w:rsidRPr="001300A9" w:rsidRDefault="00C603D3" w:rsidP="00357CEC">
            <w:pPr>
              <w:pStyle w:val="Default"/>
              <w:rPr>
                <w:sz w:val="22"/>
                <w:szCs w:val="22"/>
              </w:rPr>
            </w:pPr>
          </w:p>
          <w:p w14:paraId="23EDF7C6" w14:textId="77777777" w:rsidR="00C603D3" w:rsidRPr="001300A9" w:rsidRDefault="00C603D3" w:rsidP="00357CEC">
            <w:pPr>
              <w:pStyle w:val="Default"/>
              <w:rPr>
                <w:sz w:val="22"/>
                <w:szCs w:val="22"/>
              </w:rPr>
            </w:pPr>
          </w:p>
          <w:p w14:paraId="745C3BF7" w14:textId="77777777" w:rsidR="00C603D3" w:rsidRPr="001300A9" w:rsidRDefault="00C603D3" w:rsidP="00357CEC">
            <w:pPr>
              <w:pStyle w:val="Default"/>
              <w:rPr>
                <w:sz w:val="22"/>
                <w:szCs w:val="22"/>
              </w:rPr>
            </w:pPr>
          </w:p>
          <w:p w14:paraId="5EE72DAD" w14:textId="77777777" w:rsidR="00C603D3" w:rsidRPr="001300A9" w:rsidRDefault="00C603D3" w:rsidP="00357CEC">
            <w:pPr>
              <w:pStyle w:val="Default"/>
              <w:rPr>
                <w:sz w:val="22"/>
                <w:szCs w:val="22"/>
              </w:rPr>
            </w:pPr>
          </w:p>
          <w:p w14:paraId="00366841" w14:textId="77777777" w:rsidR="00C603D3" w:rsidRPr="001300A9" w:rsidRDefault="00C603D3" w:rsidP="00357CEC">
            <w:pPr>
              <w:pStyle w:val="Default"/>
              <w:rPr>
                <w:sz w:val="22"/>
                <w:szCs w:val="22"/>
              </w:rPr>
            </w:pPr>
          </w:p>
          <w:p w14:paraId="354ECF97" w14:textId="77777777" w:rsidR="00C603D3" w:rsidRPr="001300A9" w:rsidRDefault="00C603D3" w:rsidP="00357CEC">
            <w:pPr>
              <w:pStyle w:val="Default"/>
              <w:rPr>
                <w:sz w:val="22"/>
                <w:szCs w:val="22"/>
              </w:rPr>
            </w:pPr>
          </w:p>
          <w:p w14:paraId="331A1706" w14:textId="77777777" w:rsidR="00C603D3" w:rsidRPr="001300A9" w:rsidRDefault="00C603D3" w:rsidP="00357CEC">
            <w:pPr>
              <w:pStyle w:val="Default"/>
              <w:rPr>
                <w:sz w:val="22"/>
                <w:szCs w:val="22"/>
              </w:rPr>
            </w:pPr>
          </w:p>
          <w:p w14:paraId="0106EE67" w14:textId="77777777" w:rsidR="00C603D3" w:rsidRPr="001300A9" w:rsidRDefault="00C603D3" w:rsidP="00357CEC">
            <w:pPr>
              <w:pStyle w:val="Default"/>
              <w:rPr>
                <w:sz w:val="22"/>
                <w:szCs w:val="22"/>
              </w:rPr>
            </w:pPr>
          </w:p>
          <w:p w14:paraId="204F72B8" w14:textId="77777777" w:rsidR="00C603D3" w:rsidRPr="001300A9" w:rsidRDefault="00C603D3" w:rsidP="00357CEC">
            <w:pPr>
              <w:pStyle w:val="Default"/>
              <w:rPr>
                <w:sz w:val="22"/>
                <w:szCs w:val="22"/>
              </w:rPr>
            </w:pPr>
          </w:p>
          <w:p w14:paraId="09A701FF" w14:textId="77777777" w:rsidR="00C603D3" w:rsidRPr="001300A9" w:rsidRDefault="00C603D3" w:rsidP="00357CEC">
            <w:pPr>
              <w:pStyle w:val="Default"/>
              <w:rPr>
                <w:sz w:val="22"/>
                <w:szCs w:val="22"/>
              </w:rPr>
            </w:pPr>
          </w:p>
          <w:p w14:paraId="2AB73ECF" w14:textId="77777777" w:rsidR="00C603D3" w:rsidRPr="001300A9" w:rsidRDefault="00C603D3" w:rsidP="00357CEC">
            <w:pPr>
              <w:pStyle w:val="Default"/>
              <w:rPr>
                <w:sz w:val="22"/>
                <w:szCs w:val="22"/>
              </w:rPr>
            </w:pPr>
          </w:p>
          <w:p w14:paraId="0CF85946" w14:textId="77777777" w:rsidR="00C603D3" w:rsidRPr="001300A9" w:rsidRDefault="00C603D3" w:rsidP="00357CEC">
            <w:pPr>
              <w:pStyle w:val="Default"/>
              <w:rPr>
                <w:sz w:val="22"/>
                <w:szCs w:val="22"/>
              </w:rPr>
            </w:pPr>
          </w:p>
          <w:p w14:paraId="5160DE9E" w14:textId="77777777" w:rsidR="00C603D3" w:rsidRPr="001300A9" w:rsidRDefault="00C603D3" w:rsidP="00357CEC">
            <w:pPr>
              <w:pStyle w:val="Default"/>
              <w:rPr>
                <w:sz w:val="22"/>
                <w:szCs w:val="22"/>
              </w:rPr>
            </w:pPr>
          </w:p>
          <w:p w14:paraId="3CDDD12D" w14:textId="7F4E57E2" w:rsidR="00287825" w:rsidRDefault="00287825" w:rsidP="00357CEC">
            <w:pPr>
              <w:pStyle w:val="Default"/>
              <w:rPr>
                <w:sz w:val="22"/>
                <w:szCs w:val="22"/>
              </w:rPr>
            </w:pPr>
          </w:p>
          <w:p w14:paraId="386872EF" w14:textId="67E7A625" w:rsidR="00C603D3" w:rsidRPr="001300A9" w:rsidRDefault="00C603D3" w:rsidP="00357CEC">
            <w:pPr>
              <w:pStyle w:val="Default"/>
              <w:rPr>
                <w:sz w:val="22"/>
                <w:szCs w:val="22"/>
              </w:rPr>
            </w:pPr>
            <w:r w:rsidRPr="001300A9">
              <w:rPr>
                <w:sz w:val="22"/>
                <w:szCs w:val="22"/>
              </w:rPr>
              <w:t>Ú</w:t>
            </w:r>
          </w:p>
          <w:p w14:paraId="28D13437" w14:textId="77777777" w:rsidR="00505FD2" w:rsidRPr="001300A9" w:rsidRDefault="00505FD2" w:rsidP="00357CEC">
            <w:pPr>
              <w:pStyle w:val="Default"/>
              <w:rPr>
                <w:sz w:val="22"/>
                <w:szCs w:val="22"/>
              </w:rPr>
            </w:pPr>
          </w:p>
          <w:p w14:paraId="5EAEDB6B" w14:textId="77777777" w:rsidR="00505FD2" w:rsidRPr="001300A9" w:rsidRDefault="00505FD2" w:rsidP="00357CEC">
            <w:pPr>
              <w:pStyle w:val="Default"/>
              <w:rPr>
                <w:sz w:val="22"/>
                <w:szCs w:val="22"/>
              </w:rPr>
            </w:pPr>
          </w:p>
          <w:p w14:paraId="125922B9" w14:textId="77777777" w:rsidR="00505FD2" w:rsidRPr="001300A9" w:rsidRDefault="00505FD2" w:rsidP="00357CEC">
            <w:pPr>
              <w:pStyle w:val="Default"/>
              <w:rPr>
                <w:sz w:val="22"/>
                <w:szCs w:val="22"/>
              </w:rPr>
            </w:pPr>
          </w:p>
          <w:p w14:paraId="0E866725" w14:textId="77777777" w:rsidR="00505FD2" w:rsidRPr="001300A9" w:rsidRDefault="00505FD2" w:rsidP="00357CEC">
            <w:pPr>
              <w:pStyle w:val="Default"/>
              <w:rPr>
                <w:sz w:val="22"/>
                <w:szCs w:val="22"/>
              </w:rPr>
            </w:pPr>
          </w:p>
          <w:p w14:paraId="204BBCE9" w14:textId="77777777" w:rsidR="00505FD2" w:rsidRPr="001300A9" w:rsidRDefault="00505FD2" w:rsidP="00357CEC">
            <w:pPr>
              <w:pStyle w:val="Default"/>
              <w:rPr>
                <w:sz w:val="22"/>
                <w:szCs w:val="22"/>
              </w:rPr>
            </w:pPr>
          </w:p>
          <w:p w14:paraId="2D6EC64C" w14:textId="0E980961" w:rsidR="002B60A4" w:rsidRPr="001300A9" w:rsidRDefault="002B60A4" w:rsidP="00357CEC">
            <w:pPr>
              <w:pStyle w:val="Default"/>
              <w:rPr>
                <w:sz w:val="22"/>
                <w:szCs w:val="22"/>
              </w:rPr>
            </w:pPr>
          </w:p>
          <w:p w14:paraId="2CB733BD" w14:textId="77777777" w:rsidR="009D0AA1" w:rsidRDefault="009D0AA1" w:rsidP="00357CEC">
            <w:pPr>
              <w:pStyle w:val="Default"/>
              <w:rPr>
                <w:sz w:val="22"/>
                <w:szCs w:val="22"/>
              </w:rPr>
            </w:pPr>
          </w:p>
          <w:p w14:paraId="2B888283" w14:textId="2E69D258" w:rsidR="00505FD2" w:rsidRPr="001300A9" w:rsidRDefault="00505FD2" w:rsidP="00357CEC">
            <w:pPr>
              <w:pStyle w:val="Default"/>
              <w:rPr>
                <w:sz w:val="22"/>
                <w:szCs w:val="22"/>
              </w:rPr>
            </w:pPr>
            <w:r w:rsidRPr="001300A9">
              <w:rPr>
                <w:sz w:val="22"/>
                <w:szCs w:val="22"/>
              </w:rPr>
              <w:t>Ú</w:t>
            </w:r>
          </w:p>
          <w:p w14:paraId="388B5A37" w14:textId="77777777" w:rsidR="00505FD2" w:rsidRPr="001300A9" w:rsidRDefault="00505FD2" w:rsidP="00357CEC">
            <w:pPr>
              <w:pStyle w:val="Default"/>
              <w:rPr>
                <w:sz w:val="22"/>
                <w:szCs w:val="22"/>
              </w:rPr>
            </w:pPr>
          </w:p>
          <w:p w14:paraId="0132226C" w14:textId="77777777" w:rsidR="00505FD2" w:rsidRPr="001300A9" w:rsidRDefault="00505FD2" w:rsidP="00357CEC">
            <w:pPr>
              <w:pStyle w:val="Default"/>
              <w:rPr>
                <w:sz w:val="22"/>
                <w:szCs w:val="22"/>
              </w:rPr>
            </w:pPr>
          </w:p>
          <w:p w14:paraId="0D2DA060" w14:textId="77777777" w:rsidR="00505FD2" w:rsidRPr="001300A9" w:rsidRDefault="00505FD2" w:rsidP="00357CEC">
            <w:pPr>
              <w:pStyle w:val="Default"/>
              <w:rPr>
                <w:sz w:val="22"/>
                <w:szCs w:val="22"/>
              </w:rPr>
            </w:pPr>
          </w:p>
          <w:p w14:paraId="6155EA4C" w14:textId="77777777" w:rsidR="00505FD2" w:rsidRPr="001300A9" w:rsidRDefault="00505FD2" w:rsidP="00357CEC">
            <w:pPr>
              <w:pStyle w:val="Default"/>
              <w:rPr>
                <w:sz w:val="22"/>
                <w:szCs w:val="22"/>
              </w:rPr>
            </w:pPr>
          </w:p>
          <w:p w14:paraId="7DBD9E99" w14:textId="77777777" w:rsidR="00505FD2" w:rsidRPr="001300A9" w:rsidRDefault="00505FD2" w:rsidP="00357CEC">
            <w:pPr>
              <w:pStyle w:val="Default"/>
              <w:rPr>
                <w:sz w:val="22"/>
                <w:szCs w:val="22"/>
              </w:rPr>
            </w:pPr>
          </w:p>
          <w:p w14:paraId="66DE8CE7" w14:textId="77777777" w:rsidR="00505FD2" w:rsidRPr="001300A9" w:rsidRDefault="00505FD2" w:rsidP="00357CEC">
            <w:pPr>
              <w:pStyle w:val="Default"/>
              <w:rPr>
                <w:sz w:val="22"/>
                <w:szCs w:val="22"/>
              </w:rPr>
            </w:pPr>
          </w:p>
          <w:p w14:paraId="0E048153" w14:textId="77777777" w:rsidR="00505FD2" w:rsidRPr="001300A9" w:rsidRDefault="00505FD2" w:rsidP="00357CEC">
            <w:pPr>
              <w:pStyle w:val="Default"/>
              <w:rPr>
                <w:sz w:val="22"/>
                <w:szCs w:val="22"/>
              </w:rPr>
            </w:pPr>
          </w:p>
          <w:p w14:paraId="413C54CD" w14:textId="77777777" w:rsidR="00505FD2" w:rsidRPr="001300A9" w:rsidRDefault="00505FD2" w:rsidP="00357CEC">
            <w:pPr>
              <w:pStyle w:val="Default"/>
              <w:rPr>
                <w:sz w:val="22"/>
                <w:szCs w:val="22"/>
              </w:rPr>
            </w:pPr>
          </w:p>
          <w:p w14:paraId="6264D0ED" w14:textId="77777777" w:rsidR="00505FD2" w:rsidRPr="001300A9" w:rsidRDefault="00505FD2" w:rsidP="00357CEC">
            <w:pPr>
              <w:pStyle w:val="Default"/>
              <w:rPr>
                <w:sz w:val="22"/>
                <w:szCs w:val="22"/>
              </w:rPr>
            </w:pPr>
          </w:p>
          <w:p w14:paraId="0D6986C3" w14:textId="77777777" w:rsidR="00505FD2" w:rsidRPr="001300A9" w:rsidRDefault="00505FD2" w:rsidP="00357CEC">
            <w:pPr>
              <w:pStyle w:val="Default"/>
              <w:rPr>
                <w:sz w:val="22"/>
                <w:szCs w:val="22"/>
              </w:rPr>
            </w:pPr>
          </w:p>
          <w:p w14:paraId="1B8B8DF4" w14:textId="77777777" w:rsidR="00505FD2" w:rsidRPr="001300A9" w:rsidRDefault="00505FD2" w:rsidP="00357CEC">
            <w:pPr>
              <w:pStyle w:val="Default"/>
              <w:rPr>
                <w:sz w:val="22"/>
                <w:szCs w:val="22"/>
              </w:rPr>
            </w:pPr>
          </w:p>
          <w:p w14:paraId="2AA4EC70" w14:textId="77777777" w:rsidR="00505FD2" w:rsidRPr="001300A9" w:rsidRDefault="00505FD2" w:rsidP="00357CEC">
            <w:pPr>
              <w:pStyle w:val="Default"/>
              <w:rPr>
                <w:sz w:val="22"/>
                <w:szCs w:val="22"/>
              </w:rPr>
            </w:pPr>
          </w:p>
          <w:p w14:paraId="29C773F4" w14:textId="77777777" w:rsidR="00505FD2" w:rsidRPr="001300A9" w:rsidRDefault="00505FD2" w:rsidP="00357CEC">
            <w:pPr>
              <w:pStyle w:val="Default"/>
              <w:rPr>
                <w:sz w:val="22"/>
                <w:szCs w:val="22"/>
              </w:rPr>
            </w:pPr>
          </w:p>
          <w:p w14:paraId="29FC0821" w14:textId="77777777" w:rsidR="00505FD2" w:rsidRPr="001300A9" w:rsidRDefault="00505FD2" w:rsidP="00357CEC">
            <w:pPr>
              <w:pStyle w:val="Default"/>
              <w:rPr>
                <w:sz w:val="22"/>
                <w:szCs w:val="22"/>
              </w:rPr>
            </w:pPr>
          </w:p>
          <w:p w14:paraId="111A7108" w14:textId="77777777" w:rsidR="00505FD2" w:rsidRPr="001300A9" w:rsidRDefault="00505FD2" w:rsidP="00357CEC">
            <w:pPr>
              <w:pStyle w:val="Default"/>
              <w:rPr>
                <w:sz w:val="22"/>
                <w:szCs w:val="22"/>
              </w:rPr>
            </w:pPr>
          </w:p>
          <w:p w14:paraId="4521FE3E" w14:textId="77777777" w:rsidR="00505FD2" w:rsidRPr="001300A9" w:rsidRDefault="00505FD2" w:rsidP="00357CEC">
            <w:pPr>
              <w:pStyle w:val="Default"/>
              <w:rPr>
                <w:sz w:val="22"/>
                <w:szCs w:val="22"/>
              </w:rPr>
            </w:pPr>
          </w:p>
          <w:p w14:paraId="1E245E6A" w14:textId="77777777" w:rsidR="00505FD2" w:rsidRPr="001300A9" w:rsidRDefault="00505FD2" w:rsidP="00357CEC">
            <w:pPr>
              <w:pStyle w:val="Default"/>
              <w:rPr>
                <w:sz w:val="22"/>
                <w:szCs w:val="22"/>
              </w:rPr>
            </w:pPr>
          </w:p>
          <w:p w14:paraId="5D3E2F53" w14:textId="77777777" w:rsidR="00505FD2" w:rsidRPr="001300A9" w:rsidRDefault="00505FD2" w:rsidP="00357CEC">
            <w:pPr>
              <w:pStyle w:val="Default"/>
              <w:rPr>
                <w:sz w:val="22"/>
                <w:szCs w:val="22"/>
              </w:rPr>
            </w:pPr>
          </w:p>
          <w:p w14:paraId="640ECA53" w14:textId="77777777" w:rsidR="00505FD2" w:rsidRPr="001300A9" w:rsidRDefault="00505FD2" w:rsidP="00357CEC">
            <w:pPr>
              <w:pStyle w:val="Default"/>
              <w:rPr>
                <w:sz w:val="22"/>
                <w:szCs w:val="22"/>
              </w:rPr>
            </w:pPr>
          </w:p>
          <w:p w14:paraId="0BD37E74" w14:textId="77777777" w:rsidR="00A66FDC" w:rsidRPr="001300A9" w:rsidRDefault="00A66FDC" w:rsidP="00357CEC">
            <w:pPr>
              <w:pStyle w:val="Default"/>
              <w:rPr>
                <w:sz w:val="22"/>
                <w:szCs w:val="22"/>
              </w:rPr>
            </w:pPr>
          </w:p>
          <w:p w14:paraId="5BB14928" w14:textId="77777777" w:rsidR="00A66FDC" w:rsidRPr="001300A9" w:rsidRDefault="00A66FDC" w:rsidP="00357CEC">
            <w:pPr>
              <w:pStyle w:val="Default"/>
              <w:rPr>
                <w:sz w:val="22"/>
                <w:szCs w:val="22"/>
              </w:rPr>
            </w:pPr>
          </w:p>
          <w:p w14:paraId="1490DD65" w14:textId="77777777" w:rsidR="00A66FDC" w:rsidRPr="001300A9" w:rsidRDefault="00A66FDC" w:rsidP="00357CEC">
            <w:pPr>
              <w:pStyle w:val="Default"/>
              <w:rPr>
                <w:sz w:val="22"/>
                <w:szCs w:val="22"/>
              </w:rPr>
            </w:pPr>
          </w:p>
          <w:p w14:paraId="28336494" w14:textId="5CEC4018" w:rsidR="00190F49" w:rsidRDefault="00190F49" w:rsidP="00357CEC">
            <w:pPr>
              <w:pStyle w:val="Default"/>
              <w:rPr>
                <w:sz w:val="22"/>
                <w:szCs w:val="22"/>
              </w:rPr>
            </w:pPr>
          </w:p>
          <w:p w14:paraId="2314557F" w14:textId="77777777" w:rsidR="009D0AA1" w:rsidRDefault="009D0AA1" w:rsidP="00357CEC">
            <w:pPr>
              <w:pStyle w:val="Default"/>
              <w:rPr>
                <w:sz w:val="22"/>
                <w:szCs w:val="22"/>
              </w:rPr>
            </w:pPr>
          </w:p>
          <w:p w14:paraId="21EC3282" w14:textId="62424315" w:rsidR="00505FD2" w:rsidRPr="001300A9" w:rsidRDefault="00505FD2" w:rsidP="00357CEC">
            <w:pPr>
              <w:pStyle w:val="Default"/>
              <w:rPr>
                <w:sz w:val="22"/>
                <w:szCs w:val="22"/>
              </w:rPr>
            </w:pPr>
            <w:r w:rsidRPr="001300A9">
              <w:rPr>
                <w:sz w:val="22"/>
                <w:szCs w:val="22"/>
              </w:rPr>
              <w:t>Ú</w:t>
            </w:r>
          </w:p>
          <w:p w14:paraId="0FE12DDB" w14:textId="77777777" w:rsidR="004D41C1" w:rsidRPr="001300A9" w:rsidRDefault="004D41C1" w:rsidP="00357CEC">
            <w:pPr>
              <w:pStyle w:val="Default"/>
              <w:rPr>
                <w:sz w:val="22"/>
                <w:szCs w:val="22"/>
              </w:rPr>
            </w:pPr>
          </w:p>
          <w:p w14:paraId="0782B81D" w14:textId="77777777" w:rsidR="004D41C1" w:rsidRPr="001300A9" w:rsidRDefault="004D41C1" w:rsidP="00357CEC">
            <w:pPr>
              <w:pStyle w:val="Default"/>
              <w:rPr>
                <w:sz w:val="22"/>
                <w:szCs w:val="22"/>
              </w:rPr>
            </w:pPr>
          </w:p>
          <w:p w14:paraId="2997C0B5" w14:textId="77777777" w:rsidR="004D41C1" w:rsidRPr="001300A9" w:rsidRDefault="004D41C1" w:rsidP="00357CEC">
            <w:pPr>
              <w:pStyle w:val="Default"/>
              <w:rPr>
                <w:sz w:val="22"/>
                <w:szCs w:val="22"/>
              </w:rPr>
            </w:pPr>
          </w:p>
          <w:p w14:paraId="58904D5F" w14:textId="77777777" w:rsidR="004D41C1" w:rsidRPr="001300A9" w:rsidRDefault="004D41C1" w:rsidP="00357CEC">
            <w:pPr>
              <w:pStyle w:val="Default"/>
              <w:rPr>
                <w:sz w:val="22"/>
                <w:szCs w:val="22"/>
              </w:rPr>
            </w:pPr>
          </w:p>
          <w:p w14:paraId="0190DC62" w14:textId="77777777" w:rsidR="004D41C1" w:rsidRPr="001300A9" w:rsidRDefault="004D41C1" w:rsidP="00357CEC">
            <w:pPr>
              <w:pStyle w:val="Default"/>
              <w:rPr>
                <w:sz w:val="22"/>
                <w:szCs w:val="22"/>
              </w:rPr>
            </w:pPr>
          </w:p>
          <w:p w14:paraId="57647259" w14:textId="77777777" w:rsidR="004D41C1" w:rsidRPr="001300A9" w:rsidRDefault="004D41C1" w:rsidP="00357CEC">
            <w:pPr>
              <w:pStyle w:val="Default"/>
              <w:rPr>
                <w:sz w:val="22"/>
                <w:szCs w:val="22"/>
              </w:rPr>
            </w:pPr>
          </w:p>
          <w:p w14:paraId="4FCF9C62" w14:textId="77777777" w:rsidR="00E71B63" w:rsidRDefault="00E71B63" w:rsidP="009302CF">
            <w:pPr>
              <w:pStyle w:val="Default"/>
              <w:rPr>
                <w:sz w:val="22"/>
                <w:szCs w:val="22"/>
              </w:rPr>
            </w:pPr>
          </w:p>
          <w:p w14:paraId="6A52196D" w14:textId="5242B500" w:rsidR="5F673433" w:rsidRDefault="5F673433" w:rsidP="5F673433">
            <w:pPr>
              <w:pStyle w:val="Default"/>
              <w:rPr>
                <w:sz w:val="22"/>
                <w:szCs w:val="22"/>
              </w:rPr>
            </w:pPr>
          </w:p>
          <w:p w14:paraId="66B1B10E" w14:textId="54760CA3" w:rsidR="009302CF" w:rsidRPr="001300A9" w:rsidRDefault="00E71B63" w:rsidP="009302CF">
            <w:pPr>
              <w:pStyle w:val="Default"/>
              <w:rPr>
                <w:sz w:val="22"/>
                <w:szCs w:val="22"/>
              </w:rPr>
            </w:pPr>
            <w:r>
              <w:rPr>
                <w:sz w:val="22"/>
                <w:szCs w:val="22"/>
              </w:rPr>
              <w:t>Č</w:t>
            </w:r>
          </w:p>
          <w:p w14:paraId="0BAFB1DF" w14:textId="77777777" w:rsidR="004D41C1" w:rsidRPr="001300A9" w:rsidRDefault="004D41C1" w:rsidP="00357CEC">
            <w:pPr>
              <w:pStyle w:val="Default"/>
              <w:rPr>
                <w:sz w:val="22"/>
                <w:szCs w:val="22"/>
              </w:rPr>
            </w:pPr>
          </w:p>
          <w:p w14:paraId="43723D69" w14:textId="77777777" w:rsidR="004D41C1" w:rsidRPr="001300A9" w:rsidRDefault="004D41C1" w:rsidP="00357CEC">
            <w:pPr>
              <w:pStyle w:val="Default"/>
              <w:rPr>
                <w:sz w:val="22"/>
                <w:szCs w:val="22"/>
              </w:rPr>
            </w:pPr>
          </w:p>
          <w:p w14:paraId="03A101E0" w14:textId="77777777" w:rsidR="004D41C1" w:rsidRPr="001300A9" w:rsidRDefault="004D41C1" w:rsidP="00357CEC">
            <w:pPr>
              <w:pStyle w:val="Default"/>
              <w:rPr>
                <w:sz w:val="22"/>
                <w:szCs w:val="22"/>
              </w:rPr>
            </w:pPr>
          </w:p>
          <w:p w14:paraId="4ED93E43" w14:textId="77777777" w:rsidR="004D41C1" w:rsidRPr="001300A9" w:rsidRDefault="004D41C1" w:rsidP="00357CEC">
            <w:pPr>
              <w:pStyle w:val="Default"/>
              <w:rPr>
                <w:sz w:val="22"/>
                <w:szCs w:val="22"/>
              </w:rPr>
            </w:pPr>
          </w:p>
          <w:p w14:paraId="69430DF6" w14:textId="77777777" w:rsidR="004D41C1" w:rsidRPr="001300A9" w:rsidRDefault="004D41C1" w:rsidP="00357CEC">
            <w:pPr>
              <w:pStyle w:val="Default"/>
              <w:rPr>
                <w:sz w:val="22"/>
                <w:szCs w:val="22"/>
              </w:rPr>
            </w:pPr>
          </w:p>
          <w:p w14:paraId="3AE7C0BF" w14:textId="77777777" w:rsidR="004D41C1" w:rsidRPr="001300A9" w:rsidRDefault="004D41C1" w:rsidP="00357CEC">
            <w:pPr>
              <w:pStyle w:val="Default"/>
              <w:rPr>
                <w:sz w:val="22"/>
                <w:szCs w:val="22"/>
              </w:rPr>
            </w:pPr>
          </w:p>
          <w:p w14:paraId="3B98634F" w14:textId="77777777" w:rsidR="004D41C1" w:rsidRPr="001300A9" w:rsidRDefault="004D41C1" w:rsidP="00357CEC">
            <w:pPr>
              <w:pStyle w:val="Default"/>
              <w:rPr>
                <w:sz w:val="22"/>
                <w:szCs w:val="22"/>
              </w:rPr>
            </w:pPr>
          </w:p>
          <w:p w14:paraId="460D29C5" w14:textId="77777777" w:rsidR="004D41C1" w:rsidRPr="001300A9" w:rsidRDefault="004D41C1" w:rsidP="00357CEC">
            <w:pPr>
              <w:pStyle w:val="Default"/>
              <w:rPr>
                <w:sz w:val="22"/>
                <w:szCs w:val="22"/>
              </w:rPr>
            </w:pPr>
          </w:p>
          <w:p w14:paraId="12F2D2EC" w14:textId="77777777" w:rsidR="004D41C1" w:rsidRPr="001300A9" w:rsidRDefault="004D41C1" w:rsidP="00357CEC">
            <w:pPr>
              <w:pStyle w:val="Default"/>
              <w:rPr>
                <w:sz w:val="22"/>
                <w:szCs w:val="22"/>
              </w:rPr>
            </w:pPr>
          </w:p>
          <w:p w14:paraId="712C9604" w14:textId="77777777" w:rsidR="004D41C1" w:rsidRPr="001300A9" w:rsidRDefault="004D41C1" w:rsidP="00357CEC">
            <w:pPr>
              <w:pStyle w:val="Default"/>
              <w:rPr>
                <w:sz w:val="22"/>
                <w:szCs w:val="22"/>
              </w:rPr>
            </w:pPr>
          </w:p>
          <w:p w14:paraId="20BDE58C" w14:textId="77777777" w:rsidR="004D41C1" w:rsidRPr="001300A9" w:rsidRDefault="004D41C1" w:rsidP="00357CEC">
            <w:pPr>
              <w:pStyle w:val="Default"/>
              <w:rPr>
                <w:sz w:val="22"/>
                <w:szCs w:val="22"/>
              </w:rPr>
            </w:pPr>
          </w:p>
          <w:p w14:paraId="3AA6BD25" w14:textId="77777777" w:rsidR="004D41C1" w:rsidRPr="001300A9" w:rsidRDefault="004D41C1" w:rsidP="00357CEC">
            <w:pPr>
              <w:pStyle w:val="Default"/>
              <w:rPr>
                <w:sz w:val="22"/>
                <w:szCs w:val="22"/>
              </w:rPr>
            </w:pPr>
          </w:p>
          <w:p w14:paraId="53CAA240" w14:textId="77777777" w:rsidR="004D41C1" w:rsidRPr="001300A9" w:rsidRDefault="004D41C1" w:rsidP="00357CEC">
            <w:pPr>
              <w:pStyle w:val="Default"/>
              <w:rPr>
                <w:sz w:val="22"/>
                <w:szCs w:val="22"/>
              </w:rPr>
            </w:pPr>
          </w:p>
          <w:p w14:paraId="0C50F942" w14:textId="77777777" w:rsidR="004D41C1" w:rsidRPr="001300A9" w:rsidRDefault="004D41C1" w:rsidP="00357CEC">
            <w:pPr>
              <w:pStyle w:val="Default"/>
              <w:rPr>
                <w:sz w:val="22"/>
                <w:szCs w:val="22"/>
              </w:rPr>
            </w:pPr>
          </w:p>
          <w:p w14:paraId="08D1DC8C" w14:textId="77777777" w:rsidR="004D41C1" w:rsidRPr="001300A9" w:rsidRDefault="004D41C1" w:rsidP="00357CEC">
            <w:pPr>
              <w:pStyle w:val="Default"/>
              <w:rPr>
                <w:sz w:val="22"/>
                <w:szCs w:val="22"/>
              </w:rPr>
            </w:pPr>
          </w:p>
          <w:p w14:paraId="7641C813" w14:textId="77777777" w:rsidR="004D41C1" w:rsidRPr="001300A9" w:rsidRDefault="004D41C1" w:rsidP="00357CEC">
            <w:pPr>
              <w:pStyle w:val="Default"/>
              <w:rPr>
                <w:sz w:val="22"/>
                <w:szCs w:val="22"/>
              </w:rPr>
            </w:pPr>
          </w:p>
          <w:p w14:paraId="6C177D66" w14:textId="77777777" w:rsidR="004D41C1" w:rsidRPr="001300A9" w:rsidRDefault="004D41C1" w:rsidP="00357CEC">
            <w:pPr>
              <w:pStyle w:val="Default"/>
              <w:rPr>
                <w:sz w:val="22"/>
                <w:szCs w:val="22"/>
              </w:rPr>
            </w:pPr>
          </w:p>
          <w:p w14:paraId="1D3E5E8F" w14:textId="77777777" w:rsidR="004D41C1" w:rsidRPr="001300A9" w:rsidRDefault="004D41C1" w:rsidP="00357CEC">
            <w:pPr>
              <w:pStyle w:val="Default"/>
              <w:rPr>
                <w:sz w:val="22"/>
                <w:szCs w:val="22"/>
              </w:rPr>
            </w:pPr>
          </w:p>
          <w:p w14:paraId="2E95666E" w14:textId="77777777" w:rsidR="004D41C1" w:rsidRPr="001300A9" w:rsidRDefault="004D41C1" w:rsidP="00357CEC">
            <w:pPr>
              <w:pStyle w:val="Default"/>
              <w:rPr>
                <w:sz w:val="22"/>
                <w:szCs w:val="22"/>
              </w:rPr>
            </w:pPr>
          </w:p>
          <w:p w14:paraId="7DC75E38" w14:textId="72DB5C8F" w:rsidR="0082715B" w:rsidRDefault="0082715B" w:rsidP="00357CEC">
            <w:pPr>
              <w:pStyle w:val="Default"/>
              <w:rPr>
                <w:sz w:val="22"/>
                <w:szCs w:val="22"/>
              </w:rPr>
            </w:pPr>
          </w:p>
          <w:p w14:paraId="7C4520D1" w14:textId="77777777" w:rsidR="009D0AA1" w:rsidRDefault="009D0AA1" w:rsidP="00357CEC">
            <w:pPr>
              <w:pStyle w:val="Default"/>
              <w:rPr>
                <w:sz w:val="22"/>
                <w:szCs w:val="22"/>
              </w:rPr>
            </w:pPr>
          </w:p>
          <w:p w14:paraId="06694E54" w14:textId="77777777" w:rsidR="009D0AA1" w:rsidRDefault="009D0AA1" w:rsidP="00357CEC">
            <w:pPr>
              <w:pStyle w:val="Default"/>
              <w:rPr>
                <w:sz w:val="22"/>
                <w:szCs w:val="22"/>
              </w:rPr>
            </w:pPr>
          </w:p>
          <w:p w14:paraId="2EDE4C08" w14:textId="77777777" w:rsidR="009D0AA1" w:rsidRDefault="009D0AA1" w:rsidP="00357CEC">
            <w:pPr>
              <w:pStyle w:val="Default"/>
              <w:rPr>
                <w:sz w:val="22"/>
                <w:szCs w:val="22"/>
              </w:rPr>
            </w:pPr>
          </w:p>
          <w:p w14:paraId="0E2D6F38" w14:textId="10EEA937" w:rsidR="004D41C1" w:rsidRPr="001300A9" w:rsidRDefault="004D41C1" w:rsidP="00357CEC">
            <w:pPr>
              <w:pStyle w:val="Default"/>
              <w:rPr>
                <w:sz w:val="22"/>
                <w:szCs w:val="22"/>
              </w:rPr>
            </w:pPr>
            <w:r w:rsidRPr="001300A9">
              <w:rPr>
                <w:sz w:val="22"/>
                <w:szCs w:val="22"/>
              </w:rPr>
              <w:t>Ú</w:t>
            </w:r>
          </w:p>
          <w:p w14:paraId="12E7148E" w14:textId="77777777" w:rsidR="00443F1D" w:rsidRPr="001300A9" w:rsidRDefault="00443F1D" w:rsidP="00357CEC">
            <w:pPr>
              <w:pStyle w:val="Default"/>
              <w:rPr>
                <w:sz w:val="22"/>
                <w:szCs w:val="22"/>
              </w:rPr>
            </w:pPr>
          </w:p>
          <w:p w14:paraId="61FE240E" w14:textId="77777777" w:rsidR="00443F1D" w:rsidRPr="001300A9" w:rsidRDefault="00443F1D" w:rsidP="00357CEC">
            <w:pPr>
              <w:pStyle w:val="Default"/>
              <w:rPr>
                <w:sz w:val="22"/>
                <w:szCs w:val="22"/>
              </w:rPr>
            </w:pPr>
          </w:p>
          <w:p w14:paraId="19AA8A18" w14:textId="77777777" w:rsidR="00443F1D" w:rsidRPr="001300A9" w:rsidRDefault="00443F1D" w:rsidP="00357CEC">
            <w:pPr>
              <w:pStyle w:val="Default"/>
              <w:rPr>
                <w:sz w:val="22"/>
                <w:szCs w:val="22"/>
              </w:rPr>
            </w:pPr>
          </w:p>
          <w:p w14:paraId="5B8CD0AA" w14:textId="084EE847" w:rsidR="00643C74" w:rsidRPr="001300A9" w:rsidRDefault="00643C74" w:rsidP="00357CEC">
            <w:pPr>
              <w:pStyle w:val="Default"/>
              <w:rPr>
                <w:sz w:val="22"/>
                <w:szCs w:val="22"/>
              </w:rPr>
            </w:pPr>
          </w:p>
          <w:p w14:paraId="5EB7AF79" w14:textId="33FFE791" w:rsidR="5F673433" w:rsidRDefault="5F673433" w:rsidP="5F673433">
            <w:pPr>
              <w:pStyle w:val="Default"/>
              <w:rPr>
                <w:sz w:val="22"/>
                <w:szCs w:val="22"/>
              </w:rPr>
            </w:pPr>
          </w:p>
          <w:p w14:paraId="7CADB8F1" w14:textId="1F670877" w:rsidR="00D82E61" w:rsidRDefault="00D82E61" w:rsidP="00357CEC">
            <w:pPr>
              <w:pStyle w:val="Default"/>
              <w:rPr>
                <w:sz w:val="22"/>
                <w:szCs w:val="22"/>
              </w:rPr>
            </w:pPr>
          </w:p>
          <w:p w14:paraId="08DE28BC" w14:textId="7761C41E" w:rsidR="00443F1D" w:rsidRPr="001300A9" w:rsidRDefault="00443F1D" w:rsidP="00357CEC">
            <w:pPr>
              <w:pStyle w:val="Default"/>
              <w:rPr>
                <w:sz w:val="22"/>
                <w:szCs w:val="22"/>
              </w:rPr>
            </w:pPr>
            <w:r w:rsidRPr="001300A9">
              <w:rPr>
                <w:sz w:val="22"/>
                <w:szCs w:val="22"/>
              </w:rPr>
              <w:t>Ú</w:t>
            </w:r>
          </w:p>
          <w:p w14:paraId="5DD0748E" w14:textId="77777777" w:rsidR="00F171D9" w:rsidRPr="001300A9" w:rsidRDefault="00F171D9" w:rsidP="00357CEC">
            <w:pPr>
              <w:pStyle w:val="Default"/>
              <w:rPr>
                <w:sz w:val="22"/>
                <w:szCs w:val="22"/>
              </w:rPr>
            </w:pPr>
          </w:p>
          <w:p w14:paraId="23A981E6" w14:textId="77777777" w:rsidR="00F171D9" w:rsidRPr="001300A9" w:rsidRDefault="00F171D9" w:rsidP="00357CEC">
            <w:pPr>
              <w:pStyle w:val="Default"/>
              <w:rPr>
                <w:sz w:val="22"/>
                <w:szCs w:val="22"/>
              </w:rPr>
            </w:pPr>
          </w:p>
          <w:p w14:paraId="6138F1CE" w14:textId="77777777" w:rsidR="00F171D9" w:rsidRPr="001300A9" w:rsidRDefault="00F171D9" w:rsidP="00357CEC">
            <w:pPr>
              <w:pStyle w:val="Default"/>
              <w:rPr>
                <w:sz w:val="22"/>
                <w:szCs w:val="22"/>
              </w:rPr>
            </w:pPr>
          </w:p>
          <w:p w14:paraId="2A4D7DBB" w14:textId="77777777" w:rsidR="00F171D9" w:rsidRPr="001300A9" w:rsidRDefault="00F171D9" w:rsidP="00357CEC">
            <w:pPr>
              <w:pStyle w:val="Default"/>
              <w:rPr>
                <w:sz w:val="22"/>
                <w:szCs w:val="22"/>
              </w:rPr>
            </w:pPr>
          </w:p>
          <w:p w14:paraId="371E5E0C" w14:textId="77777777" w:rsidR="00F171D9" w:rsidRPr="001300A9" w:rsidRDefault="00F171D9" w:rsidP="00357CEC">
            <w:pPr>
              <w:pStyle w:val="Default"/>
              <w:rPr>
                <w:sz w:val="22"/>
                <w:szCs w:val="22"/>
              </w:rPr>
            </w:pPr>
          </w:p>
          <w:p w14:paraId="6C380103" w14:textId="77777777" w:rsidR="00F171D9" w:rsidRPr="001300A9" w:rsidRDefault="00F171D9" w:rsidP="00357CEC">
            <w:pPr>
              <w:pStyle w:val="Default"/>
              <w:rPr>
                <w:sz w:val="22"/>
                <w:szCs w:val="22"/>
              </w:rPr>
            </w:pPr>
          </w:p>
          <w:p w14:paraId="7D0AA744" w14:textId="77777777" w:rsidR="00F171D9" w:rsidRPr="001300A9" w:rsidRDefault="00F171D9" w:rsidP="00357CEC">
            <w:pPr>
              <w:pStyle w:val="Default"/>
              <w:rPr>
                <w:sz w:val="22"/>
                <w:szCs w:val="22"/>
              </w:rPr>
            </w:pPr>
          </w:p>
          <w:p w14:paraId="07A64222" w14:textId="77777777" w:rsidR="00F171D9" w:rsidRPr="001300A9" w:rsidRDefault="00F171D9" w:rsidP="00357CEC">
            <w:pPr>
              <w:pStyle w:val="Default"/>
              <w:rPr>
                <w:sz w:val="22"/>
                <w:szCs w:val="22"/>
              </w:rPr>
            </w:pPr>
          </w:p>
          <w:p w14:paraId="1259CF94" w14:textId="77777777" w:rsidR="00F171D9" w:rsidRPr="001300A9" w:rsidRDefault="00F171D9" w:rsidP="00357CEC">
            <w:pPr>
              <w:pStyle w:val="Default"/>
              <w:rPr>
                <w:sz w:val="22"/>
                <w:szCs w:val="22"/>
              </w:rPr>
            </w:pPr>
          </w:p>
          <w:p w14:paraId="4E9A9C5F" w14:textId="77777777" w:rsidR="00F171D9" w:rsidRPr="001300A9" w:rsidRDefault="00F171D9" w:rsidP="00357CEC">
            <w:pPr>
              <w:pStyle w:val="Default"/>
              <w:rPr>
                <w:sz w:val="22"/>
                <w:szCs w:val="22"/>
              </w:rPr>
            </w:pPr>
          </w:p>
          <w:p w14:paraId="3B1BD8FA" w14:textId="77777777" w:rsidR="00F171D9" w:rsidRPr="001300A9" w:rsidRDefault="00F171D9" w:rsidP="00357CEC">
            <w:pPr>
              <w:pStyle w:val="Default"/>
              <w:rPr>
                <w:sz w:val="22"/>
                <w:szCs w:val="22"/>
              </w:rPr>
            </w:pPr>
          </w:p>
          <w:p w14:paraId="14CF9F7D" w14:textId="77777777" w:rsidR="00F171D9" w:rsidRPr="001300A9" w:rsidRDefault="00F171D9" w:rsidP="00357CEC">
            <w:pPr>
              <w:pStyle w:val="Default"/>
              <w:rPr>
                <w:sz w:val="22"/>
                <w:szCs w:val="22"/>
              </w:rPr>
            </w:pPr>
          </w:p>
          <w:p w14:paraId="64681431" w14:textId="77777777" w:rsidR="00F171D9" w:rsidRPr="001300A9" w:rsidRDefault="00F171D9" w:rsidP="00357CEC">
            <w:pPr>
              <w:pStyle w:val="Default"/>
              <w:rPr>
                <w:sz w:val="22"/>
                <w:szCs w:val="22"/>
              </w:rPr>
            </w:pPr>
          </w:p>
          <w:p w14:paraId="09372683" w14:textId="77777777" w:rsidR="00F171D9" w:rsidRPr="001300A9" w:rsidRDefault="00F171D9" w:rsidP="00357CEC">
            <w:pPr>
              <w:pStyle w:val="Default"/>
              <w:rPr>
                <w:sz w:val="22"/>
                <w:szCs w:val="22"/>
              </w:rPr>
            </w:pPr>
          </w:p>
          <w:p w14:paraId="10F20767" w14:textId="77777777" w:rsidR="00F171D9" w:rsidRPr="001300A9" w:rsidRDefault="00F171D9" w:rsidP="00357CEC">
            <w:pPr>
              <w:pStyle w:val="Default"/>
              <w:rPr>
                <w:sz w:val="22"/>
                <w:szCs w:val="22"/>
              </w:rPr>
            </w:pPr>
          </w:p>
          <w:p w14:paraId="5697C805" w14:textId="77777777" w:rsidR="00F171D9" w:rsidRPr="001300A9" w:rsidRDefault="00F171D9" w:rsidP="00357CEC">
            <w:pPr>
              <w:pStyle w:val="Default"/>
              <w:rPr>
                <w:sz w:val="22"/>
                <w:szCs w:val="22"/>
              </w:rPr>
            </w:pPr>
          </w:p>
          <w:p w14:paraId="381F1603" w14:textId="77777777" w:rsidR="00F171D9" w:rsidRPr="001300A9" w:rsidRDefault="00F171D9" w:rsidP="00357CEC">
            <w:pPr>
              <w:pStyle w:val="Default"/>
              <w:rPr>
                <w:sz w:val="22"/>
                <w:szCs w:val="22"/>
              </w:rPr>
            </w:pPr>
          </w:p>
          <w:p w14:paraId="57748CCD" w14:textId="77777777" w:rsidR="00F171D9" w:rsidRPr="001300A9" w:rsidRDefault="00F171D9" w:rsidP="00357CEC">
            <w:pPr>
              <w:pStyle w:val="Default"/>
              <w:rPr>
                <w:sz w:val="22"/>
                <w:szCs w:val="22"/>
              </w:rPr>
            </w:pPr>
          </w:p>
          <w:p w14:paraId="1EE09D6C" w14:textId="77777777" w:rsidR="00F171D9" w:rsidRPr="001300A9" w:rsidRDefault="00F171D9" w:rsidP="00357CEC">
            <w:pPr>
              <w:pStyle w:val="Default"/>
              <w:rPr>
                <w:sz w:val="22"/>
                <w:szCs w:val="22"/>
              </w:rPr>
            </w:pPr>
          </w:p>
          <w:p w14:paraId="755F20CD" w14:textId="77777777" w:rsidR="00F171D9" w:rsidRPr="001300A9" w:rsidRDefault="00F171D9" w:rsidP="00357CEC">
            <w:pPr>
              <w:pStyle w:val="Default"/>
              <w:rPr>
                <w:sz w:val="22"/>
                <w:szCs w:val="22"/>
              </w:rPr>
            </w:pPr>
          </w:p>
          <w:p w14:paraId="381648B3" w14:textId="77777777" w:rsidR="00F171D9" w:rsidRPr="001300A9" w:rsidRDefault="00F171D9" w:rsidP="00357CEC">
            <w:pPr>
              <w:pStyle w:val="Default"/>
              <w:rPr>
                <w:sz w:val="22"/>
                <w:szCs w:val="22"/>
              </w:rPr>
            </w:pPr>
          </w:p>
          <w:p w14:paraId="11F9AC7C" w14:textId="77777777" w:rsidR="00F171D9" w:rsidRPr="001300A9" w:rsidRDefault="00F171D9" w:rsidP="00357CEC">
            <w:pPr>
              <w:pStyle w:val="Default"/>
              <w:rPr>
                <w:sz w:val="22"/>
                <w:szCs w:val="22"/>
              </w:rPr>
            </w:pPr>
          </w:p>
          <w:p w14:paraId="620959A1" w14:textId="77777777" w:rsidR="00F171D9" w:rsidRPr="001300A9" w:rsidRDefault="00F171D9" w:rsidP="00357CEC">
            <w:pPr>
              <w:pStyle w:val="Default"/>
              <w:rPr>
                <w:sz w:val="22"/>
                <w:szCs w:val="22"/>
              </w:rPr>
            </w:pPr>
          </w:p>
          <w:p w14:paraId="40590584" w14:textId="77777777" w:rsidR="00F171D9" w:rsidRPr="001300A9" w:rsidRDefault="00F171D9" w:rsidP="00357CEC">
            <w:pPr>
              <w:pStyle w:val="Default"/>
              <w:rPr>
                <w:sz w:val="22"/>
                <w:szCs w:val="22"/>
              </w:rPr>
            </w:pPr>
          </w:p>
          <w:p w14:paraId="49DA6C63" w14:textId="77777777" w:rsidR="00F171D9" w:rsidRPr="001300A9" w:rsidRDefault="00F171D9" w:rsidP="00357CEC">
            <w:pPr>
              <w:pStyle w:val="Default"/>
              <w:rPr>
                <w:sz w:val="22"/>
                <w:szCs w:val="22"/>
              </w:rPr>
            </w:pPr>
          </w:p>
          <w:p w14:paraId="65858BF1" w14:textId="77777777" w:rsidR="00F171D9" w:rsidRPr="001300A9" w:rsidRDefault="00F171D9" w:rsidP="00357CEC">
            <w:pPr>
              <w:pStyle w:val="Default"/>
              <w:rPr>
                <w:sz w:val="22"/>
                <w:szCs w:val="22"/>
              </w:rPr>
            </w:pPr>
          </w:p>
          <w:p w14:paraId="459AEE62" w14:textId="77777777" w:rsidR="00F171D9" w:rsidRPr="001300A9" w:rsidRDefault="00F171D9" w:rsidP="00357CEC">
            <w:pPr>
              <w:pStyle w:val="Default"/>
              <w:rPr>
                <w:sz w:val="22"/>
                <w:szCs w:val="22"/>
              </w:rPr>
            </w:pPr>
          </w:p>
          <w:p w14:paraId="270B69FD" w14:textId="77777777" w:rsidR="00F171D9" w:rsidRPr="001300A9" w:rsidRDefault="00F171D9" w:rsidP="00357CEC">
            <w:pPr>
              <w:pStyle w:val="Default"/>
              <w:rPr>
                <w:sz w:val="22"/>
                <w:szCs w:val="22"/>
              </w:rPr>
            </w:pPr>
          </w:p>
          <w:p w14:paraId="6ECAD928" w14:textId="77777777" w:rsidR="00F171D9" w:rsidRPr="001300A9" w:rsidRDefault="00F171D9" w:rsidP="00357CEC">
            <w:pPr>
              <w:pStyle w:val="Default"/>
              <w:rPr>
                <w:sz w:val="22"/>
                <w:szCs w:val="22"/>
              </w:rPr>
            </w:pPr>
          </w:p>
          <w:p w14:paraId="65994EF1" w14:textId="77777777" w:rsidR="00F171D9" w:rsidRPr="001300A9" w:rsidRDefault="00F171D9" w:rsidP="00357CEC">
            <w:pPr>
              <w:pStyle w:val="Default"/>
              <w:rPr>
                <w:sz w:val="22"/>
                <w:szCs w:val="22"/>
              </w:rPr>
            </w:pPr>
          </w:p>
          <w:p w14:paraId="6C210656" w14:textId="77777777" w:rsidR="00F171D9" w:rsidRPr="001300A9" w:rsidRDefault="00F171D9" w:rsidP="00357CEC">
            <w:pPr>
              <w:pStyle w:val="Default"/>
              <w:rPr>
                <w:sz w:val="22"/>
                <w:szCs w:val="22"/>
              </w:rPr>
            </w:pPr>
          </w:p>
          <w:p w14:paraId="086B8404" w14:textId="77777777" w:rsidR="00F171D9" w:rsidRPr="001300A9" w:rsidRDefault="00F171D9" w:rsidP="00357CEC">
            <w:pPr>
              <w:pStyle w:val="Default"/>
              <w:rPr>
                <w:sz w:val="22"/>
                <w:szCs w:val="22"/>
              </w:rPr>
            </w:pPr>
          </w:p>
          <w:p w14:paraId="60B021B1" w14:textId="77777777" w:rsidR="00F171D9" w:rsidRPr="001300A9" w:rsidRDefault="00F171D9" w:rsidP="00357CEC">
            <w:pPr>
              <w:pStyle w:val="Default"/>
              <w:rPr>
                <w:sz w:val="22"/>
                <w:szCs w:val="22"/>
              </w:rPr>
            </w:pPr>
          </w:p>
          <w:p w14:paraId="65C4F787" w14:textId="77777777" w:rsidR="00F171D9" w:rsidRPr="001300A9" w:rsidRDefault="00F171D9" w:rsidP="00357CEC">
            <w:pPr>
              <w:pStyle w:val="Default"/>
              <w:rPr>
                <w:sz w:val="22"/>
                <w:szCs w:val="22"/>
              </w:rPr>
            </w:pPr>
          </w:p>
          <w:p w14:paraId="7D819C5C" w14:textId="77777777" w:rsidR="00F171D9" w:rsidRPr="001300A9" w:rsidRDefault="00F171D9" w:rsidP="00357CEC">
            <w:pPr>
              <w:pStyle w:val="Default"/>
              <w:rPr>
                <w:sz w:val="22"/>
                <w:szCs w:val="22"/>
              </w:rPr>
            </w:pPr>
          </w:p>
          <w:p w14:paraId="0D20E764" w14:textId="77777777" w:rsidR="00F171D9" w:rsidRPr="001300A9" w:rsidRDefault="00F171D9" w:rsidP="00357CEC">
            <w:pPr>
              <w:pStyle w:val="Default"/>
              <w:rPr>
                <w:sz w:val="22"/>
                <w:szCs w:val="22"/>
              </w:rPr>
            </w:pPr>
          </w:p>
          <w:p w14:paraId="010DB41A" w14:textId="77777777" w:rsidR="00F171D9" w:rsidRPr="001300A9" w:rsidRDefault="00F171D9" w:rsidP="00357CEC">
            <w:pPr>
              <w:pStyle w:val="Default"/>
              <w:rPr>
                <w:sz w:val="22"/>
                <w:szCs w:val="22"/>
              </w:rPr>
            </w:pPr>
          </w:p>
          <w:p w14:paraId="221D960D" w14:textId="77777777" w:rsidR="00F171D9" w:rsidRPr="001300A9" w:rsidRDefault="00F171D9" w:rsidP="00357CEC">
            <w:pPr>
              <w:pStyle w:val="Default"/>
              <w:rPr>
                <w:sz w:val="22"/>
                <w:szCs w:val="22"/>
              </w:rPr>
            </w:pPr>
          </w:p>
          <w:p w14:paraId="29691095" w14:textId="77777777" w:rsidR="00F171D9" w:rsidRPr="001300A9" w:rsidRDefault="00F171D9" w:rsidP="00357CEC">
            <w:pPr>
              <w:pStyle w:val="Default"/>
              <w:rPr>
                <w:sz w:val="22"/>
                <w:szCs w:val="22"/>
              </w:rPr>
            </w:pPr>
          </w:p>
          <w:p w14:paraId="341A4316" w14:textId="77777777" w:rsidR="00F171D9" w:rsidRPr="001300A9" w:rsidRDefault="00F171D9" w:rsidP="00357CEC">
            <w:pPr>
              <w:pStyle w:val="Default"/>
              <w:rPr>
                <w:sz w:val="22"/>
                <w:szCs w:val="22"/>
              </w:rPr>
            </w:pPr>
          </w:p>
          <w:p w14:paraId="1C450415" w14:textId="77777777" w:rsidR="00F171D9" w:rsidRPr="001300A9" w:rsidRDefault="00F171D9" w:rsidP="00357CEC">
            <w:pPr>
              <w:pStyle w:val="Default"/>
              <w:rPr>
                <w:sz w:val="22"/>
                <w:szCs w:val="22"/>
              </w:rPr>
            </w:pPr>
          </w:p>
          <w:p w14:paraId="6EB67940" w14:textId="77777777" w:rsidR="00F171D9" w:rsidRPr="001300A9" w:rsidRDefault="00F171D9" w:rsidP="00357CEC">
            <w:pPr>
              <w:pStyle w:val="Default"/>
              <w:rPr>
                <w:sz w:val="22"/>
                <w:szCs w:val="22"/>
              </w:rPr>
            </w:pPr>
          </w:p>
          <w:p w14:paraId="36ADA307" w14:textId="77777777" w:rsidR="00F171D9" w:rsidRPr="001300A9" w:rsidRDefault="00F171D9" w:rsidP="00357CEC">
            <w:pPr>
              <w:pStyle w:val="Default"/>
              <w:rPr>
                <w:sz w:val="22"/>
                <w:szCs w:val="22"/>
              </w:rPr>
            </w:pPr>
          </w:p>
          <w:p w14:paraId="3C5CA5BF" w14:textId="77777777" w:rsidR="00F171D9" w:rsidRPr="001300A9" w:rsidRDefault="00F171D9" w:rsidP="00357CEC">
            <w:pPr>
              <w:pStyle w:val="Default"/>
              <w:rPr>
                <w:sz w:val="22"/>
                <w:szCs w:val="22"/>
              </w:rPr>
            </w:pPr>
          </w:p>
          <w:p w14:paraId="07FB559D" w14:textId="77777777" w:rsidR="00F171D9" w:rsidRPr="001300A9" w:rsidRDefault="00F171D9" w:rsidP="00357CEC">
            <w:pPr>
              <w:pStyle w:val="Default"/>
              <w:rPr>
                <w:sz w:val="22"/>
                <w:szCs w:val="22"/>
              </w:rPr>
            </w:pPr>
          </w:p>
          <w:p w14:paraId="17664676" w14:textId="77777777" w:rsidR="00F171D9" w:rsidRPr="001300A9" w:rsidRDefault="00F171D9" w:rsidP="00357CEC">
            <w:pPr>
              <w:pStyle w:val="Default"/>
              <w:rPr>
                <w:sz w:val="22"/>
                <w:szCs w:val="22"/>
              </w:rPr>
            </w:pPr>
          </w:p>
          <w:p w14:paraId="120C78C2" w14:textId="77777777" w:rsidR="00F171D9" w:rsidRPr="001300A9" w:rsidRDefault="00F171D9" w:rsidP="00357CEC">
            <w:pPr>
              <w:pStyle w:val="Default"/>
              <w:rPr>
                <w:sz w:val="22"/>
                <w:szCs w:val="22"/>
              </w:rPr>
            </w:pPr>
          </w:p>
          <w:p w14:paraId="1465D22B" w14:textId="77777777" w:rsidR="00F171D9" w:rsidRPr="001300A9" w:rsidRDefault="00F171D9" w:rsidP="00357CEC">
            <w:pPr>
              <w:pStyle w:val="Default"/>
              <w:rPr>
                <w:sz w:val="22"/>
                <w:szCs w:val="22"/>
              </w:rPr>
            </w:pPr>
          </w:p>
          <w:p w14:paraId="2A6A169F" w14:textId="77777777" w:rsidR="00F171D9" w:rsidRPr="001300A9" w:rsidRDefault="00F171D9" w:rsidP="00357CEC">
            <w:pPr>
              <w:pStyle w:val="Default"/>
              <w:rPr>
                <w:sz w:val="22"/>
                <w:szCs w:val="22"/>
              </w:rPr>
            </w:pPr>
          </w:p>
          <w:p w14:paraId="6FCB45DA" w14:textId="77777777" w:rsidR="00F171D9" w:rsidRPr="001300A9" w:rsidRDefault="00F171D9" w:rsidP="00357CEC">
            <w:pPr>
              <w:pStyle w:val="Default"/>
              <w:rPr>
                <w:sz w:val="22"/>
                <w:szCs w:val="22"/>
              </w:rPr>
            </w:pPr>
          </w:p>
          <w:p w14:paraId="134C6180" w14:textId="77777777" w:rsidR="00F171D9" w:rsidRPr="001300A9" w:rsidRDefault="00F171D9" w:rsidP="00357CEC">
            <w:pPr>
              <w:pStyle w:val="Default"/>
              <w:rPr>
                <w:sz w:val="22"/>
                <w:szCs w:val="22"/>
              </w:rPr>
            </w:pPr>
          </w:p>
          <w:p w14:paraId="1C0CBF9F" w14:textId="77777777" w:rsidR="00F171D9" w:rsidRPr="001300A9" w:rsidRDefault="00F171D9" w:rsidP="00357CEC">
            <w:pPr>
              <w:pStyle w:val="Default"/>
              <w:rPr>
                <w:sz w:val="22"/>
                <w:szCs w:val="22"/>
              </w:rPr>
            </w:pPr>
          </w:p>
          <w:p w14:paraId="57130DAC" w14:textId="77777777" w:rsidR="00F171D9" w:rsidRPr="001300A9" w:rsidRDefault="00F171D9" w:rsidP="00357CEC">
            <w:pPr>
              <w:pStyle w:val="Default"/>
              <w:rPr>
                <w:sz w:val="22"/>
                <w:szCs w:val="22"/>
              </w:rPr>
            </w:pPr>
          </w:p>
          <w:p w14:paraId="554198E4" w14:textId="77777777" w:rsidR="00F171D9" w:rsidRPr="001300A9" w:rsidRDefault="00F171D9" w:rsidP="00357CEC">
            <w:pPr>
              <w:pStyle w:val="Default"/>
              <w:rPr>
                <w:sz w:val="22"/>
                <w:szCs w:val="22"/>
              </w:rPr>
            </w:pPr>
          </w:p>
          <w:p w14:paraId="3F9BCEFA" w14:textId="77777777" w:rsidR="00F171D9" w:rsidRPr="001300A9" w:rsidRDefault="00F171D9" w:rsidP="00357CEC">
            <w:pPr>
              <w:pStyle w:val="Default"/>
              <w:rPr>
                <w:sz w:val="22"/>
                <w:szCs w:val="22"/>
              </w:rPr>
            </w:pPr>
          </w:p>
          <w:p w14:paraId="1F4D6C58" w14:textId="77777777" w:rsidR="00F171D9" w:rsidRPr="001300A9" w:rsidRDefault="00F171D9" w:rsidP="00357CEC">
            <w:pPr>
              <w:pStyle w:val="Default"/>
              <w:rPr>
                <w:sz w:val="22"/>
                <w:szCs w:val="22"/>
              </w:rPr>
            </w:pPr>
          </w:p>
          <w:p w14:paraId="1E0D4F72" w14:textId="77777777" w:rsidR="00F171D9" w:rsidRPr="001300A9" w:rsidRDefault="00F171D9" w:rsidP="00357CEC">
            <w:pPr>
              <w:pStyle w:val="Default"/>
              <w:rPr>
                <w:sz w:val="22"/>
                <w:szCs w:val="22"/>
              </w:rPr>
            </w:pPr>
          </w:p>
          <w:p w14:paraId="42677299" w14:textId="77777777" w:rsidR="00F171D9" w:rsidRPr="001300A9" w:rsidRDefault="00F171D9" w:rsidP="00357CEC">
            <w:pPr>
              <w:pStyle w:val="Default"/>
              <w:rPr>
                <w:sz w:val="22"/>
                <w:szCs w:val="22"/>
              </w:rPr>
            </w:pPr>
          </w:p>
          <w:p w14:paraId="55766003" w14:textId="77777777" w:rsidR="00F171D9" w:rsidRPr="001300A9" w:rsidRDefault="00F171D9" w:rsidP="00357CEC">
            <w:pPr>
              <w:pStyle w:val="Default"/>
              <w:rPr>
                <w:sz w:val="22"/>
                <w:szCs w:val="22"/>
              </w:rPr>
            </w:pPr>
          </w:p>
          <w:p w14:paraId="0746B653" w14:textId="77777777" w:rsidR="00F171D9" w:rsidRPr="001300A9" w:rsidRDefault="00F171D9" w:rsidP="00357CEC">
            <w:pPr>
              <w:pStyle w:val="Default"/>
              <w:rPr>
                <w:sz w:val="22"/>
                <w:szCs w:val="22"/>
              </w:rPr>
            </w:pPr>
          </w:p>
          <w:p w14:paraId="66246F16" w14:textId="77777777" w:rsidR="00F171D9" w:rsidRPr="001300A9" w:rsidRDefault="00F171D9" w:rsidP="00357CEC">
            <w:pPr>
              <w:pStyle w:val="Default"/>
              <w:rPr>
                <w:sz w:val="22"/>
                <w:szCs w:val="22"/>
              </w:rPr>
            </w:pPr>
          </w:p>
          <w:p w14:paraId="4115FE08" w14:textId="77777777" w:rsidR="00F171D9" w:rsidRPr="001300A9" w:rsidRDefault="00F171D9" w:rsidP="00357CEC">
            <w:pPr>
              <w:pStyle w:val="Default"/>
              <w:rPr>
                <w:sz w:val="22"/>
                <w:szCs w:val="22"/>
              </w:rPr>
            </w:pPr>
          </w:p>
          <w:p w14:paraId="5D12C3DA" w14:textId="77777777" w:rsidR="00F171D9" w:rsidRPr="001300A9" w:rsidRDefault="00F171D9" w:rsidP="00357CEC">
            <w:pPr>
              <w:pStyle w:val="Default"/>
              <w:rPr>
                <w:sz w:val="22"/>
                <w:szCs w:val="22"/>
              </w:rPr>
            </w:pPr>
          </w:p>
          <w:p w14:paraId="28B6C38B" w14:textId="77777777" w:rsidR="00F171D9" w:rsidRPr="001300A9" w:rsidRDefault="00F171D9" w:rsidP="00357CEC">
            <w:pPr>
              <w:pStyle w:val="Default"/>
              <w:rPr>
                <w:sz w:val="22"/>
                <w:szCs w:val="22"/>
              </w:rPr>
            </w:pPr>
          </w:p>
          <w:p w14:paraId="57E80E31" w14:textId="77777777" w:rsidR="00F171D9" w:rsidRPr="001300A9" w:rsidRDefault="00F171D9" w:rsidP="00357CEC">
            <w:pPr>
              <w:pStyle w:val="Default"/>
              <w:rPr>
                <w:sz w:val="22"/>
                <w:szCs w:val="22"/>
              </w:rPr>
            </w:pPr>
          </w:p>
          <w:p w14:paraId="3980F94E" w14:textId="77777777" w:rsidR="00F171D9" w:rsidRPr="001300A9" w:rsidRDefault="00F171D9" w:rsidP="00357CEC">
            <w:pPr>
              <w:pStyle w:val="Default"/>
              <w:rPr>
                <w:sz w:val="22"/>
                <w:szCs w:val="22"/>
              </w:rPr>
            </w:pPr>
          </w:p>
          <w:p w14:paraId="39BDD39C" w14:textId="77777777" w:rsidR="00F171D9" w:rsidRPr="001300A9" w:rsidRDefault="00F171D9" w:rsidP="00357CEC">
            <w:pPr>
              <w:pStyle w:val="Default"/>
              <w:rPr>
                <w:sz w:val="22"/>
                <w:szCs w:val="22"/>
              </w:rPr>
            </w:pPr>
          </w:p>
          <w:p w14:paraId="400D6C62" w14:textId="77777777" w:rsidR="00F171D9" w:rsidRPr="001300A9" w:rsidRDefault="00F171D9" w:rsidP="00357CEC">
            <w:pPr>
              <w:pStyle w:val="Default"/>
              <w:rPr>
                <w:sz w:val="22"/>
                <w:szCs w:val="22"/>
              </w:rPr>
            </w:pPr>
          </w:p>
          <w:p w14:paraId="5061613E" w14:textId="77777777" w:rsidR="00F171D9" w:rsidRPr="001300A9" w:rsidRDefault="00F171D9" w:rsidP="00357CEC">
            <w:pPr>
              <w:pStyle w:val="Default"/>
              <w:rPr>
                <w:sz w:val="22"/>
                <w:szCs w:val="22"/>
              </w:rPr>
            </w:pPr>
          </w:p>
          <w:p w14:paraId="1ADDC67A" w14:textId="77777777" w:rsidR="00F171D9" w:rsidRPr="001300A9" w:rsidRDefault="00F171D9" w:rsidP="00357CEC">
            <w:pPr>
              <w:pStyle w:val="Default"/>
              <w:rPr>
                <w:sz w:val="22"/>
                <w:szCs w:val="22"/>
              </w:rPr>
            </w:pPr>
          </w:p>
          <w:p w14:paraId="1FB75DD9" w14:textId="77777777" w:rsidR="00F171D9" w:rsidRPr="001300A9" w:rsidRDefault="00F171D9" w:rsidP="00357CEC">
            <w:pPr>
              <w:pStyle w:val="Default"/>
              <w:rPr>
                <w:sz w:val="22"/>
                <w:szCs w:val="22"/>
              </w:rPr>
            </w:pPr>
          </w:p>
          <w:p w14:paraId="5C542FE7" w14:textId="77777777" w:rsidR="00F171D9" w:rsidRPr="001300A9" w:rsidRDefault="00F171D9" w:rsidP="00357CEC">
            <w:pPr>
              <w:pStyle w:val="Default"/>
              <w:rPr>
                <w:sz w:val="22"/>
                <w:szCs w:val="22"/>
              </w:rPr>
            </w:pPr>
          </w:p>
          <w:p w14:paraId="3DC3FBCE" w14:textId="77777777" w:rsidR="00F171D9" w:rsidRPr="001300A9" w:rsidRDefault="00F171D9" w:rsidP="00357CEC">
            <w:pPr>
              <w:pStyle w:val="Default"/>
              <w:rPr>
                <w:sz w:val="22"/>
                <w:szCs w:val="22"/>
              </w:rPr>
            </w:pPr>
          </w:p>
          <w:p w14:paraId="680C919C" w14:textId="77777777" w:rsidR="00F171D9" w:rsidRPr="001300A9" w:rsidRDefault="00F171D9" w:rsidP="00357CEC">
            <w:pPr>
              <w:pStyle w:val="Default"/>
              <w:rPr>
                <w:sz w:val="22"/>
                <w:szCs w:val="22"/>
              </w:rPr>
            </w:pPr>
          </w:p>
          <w:p w14:paraId="0179CB20" w14:textId="77777777" w:rsidR="00F171D9" w:rsidRPr="001300A9" w:rsidRDefault="00F171D9" w:rsidP="00357CEC">
            <w:pPr>
              <w:pStyle w:val="Default"/>
              <w:rPr>
                <w:sz w:val="22"/>
                <w:szCs w:val="22"/>
              </w:rPr>
            </w:pPr>
          </w:p>
          <w:p w14:paraId="1249772C" w14:textId="77777777" w:rsidR="00F171D9" w:rsidRPr="001300A9" w:rsidRDefault="00F171D9" w:rsidP="00357CEC">
            <w:pPr>
              <w:pStyle w:val="Default"/>
              <w:rPr>
                <w:sz w:val="22"/>
                <w:szCs w:val="22"/>
              </w:rPr>
            </w:pPr>
          </w:p>
          <w:p w14:paraId="31C8F7A6" w14:textId="77777777" w:rsidR="00F171D9" w:rsidRPr="001300A9" w:rsidRDefault="00F171D9" w:rsidP="00357CEC">
            <w:pPr>
              <w:pStyle w:val="Default"/>
              <w:rPr>
                <w:sz w:val="22"/>
                <w:szCs w:val="22"/>
              </w:rPr>
            </w:pPr>
          </w:p>
          <w:p w14:paraId="4F627FCB" w14:textId="77777777" w:rsidR="00F171D9" w:rsidRPr="001300A9" w:rsidRDefault="00F171D9" w:rsidP="00357CEC">
            <w:pPr>
              <w:pStyle w:val="Default"/>
              <w:rPr>
                <w:sz w:val="22"/>
                <w:szCs w:val="22"/>
              </w:rPr>
            </w:pPr>
          </w:p>
          <w:p w14:paraId="35685AB0" w14:textId="77777777" w:rsidR="00F171D9" w:rsidRPr="001300A9" w:rsidRDefault="00F171D9" w:rsidP="00357CEC">
            <w:pPr>
              <w:pStyle w:val="Default"/>
              <w:rPr>
                <w:sz w:val="22"/>
                <w:szCs w:val="22"/>
              </w:rPr>
            </w:pPr>
          </w:p>
          <w:p w14:paraId="69412E79" w14:textId="77777777" w:rsidR="00F171D9" w:rsidRPr="001300A9" w:rsidRDefault="00F171D9" w:rsidP="00357CEC">
            <w:pPr>
              <w:pStyle w:val="Default"/>
              <w:rPr>
                <w:sz w:val="22"/>
                <w:szCs w:val="22"/>
              </w:rPr>
            </w:pPr>
          </w:p>
          <w:p w14:paraId="26FC4C50" w14:textId="77777777" w:rsidR="00F171D9" w:rsidRPr="001300A9" w:rsidRDefault="00F171D9" w:rsidP="00357CEC">
            <w:pPr>
              <w:pStyle w:val="Default"/>
              <w:rPr>
                <w:sz w:val="22"/>
                <w:szCs w:val="22"/>
              </w:rPr>
            </w:pPr>
          </w:p>
          <w:p w14:paraId="356C6DC4" w14:textId="77777777" w:rsidR="00F171D9" w:rsidRPr="001300A9" w:rsidRDefault="00F171D9" w:rsidP="00357CEC">
            <w:pPr>
              <w:pStyle w:val="Default"/>
              <w:rPr>
                <w:sz w:val="22"/>
                <w:szCs w:val="22"/>
              </w:rPr>
            </w:pPr>
          </w:p>
          <w:p w14:paraId="0E00127C" w14:textId="77777777" w:rsidR="00F171D9" w:rsidRPr="001300A9" w:rsidRDefault="00F171D9" w:rsidP="00357CEC">
            <w:pPr>
              <w:pStyle w:val="Default"/>
              <w:rPr>
                <w:sz w:val="22"/>
                <w:szCs w:val="22"/>
              </w:rPr>
            </w:pPr>
          </w:p>
          <w:p w14:paraId="13413375" w14:textId="77777777" w:rsidR="00F171D9" w:rsidRPr="001300A9" w:rsidRDefault="00F171D9" w:rsidP="00357CEC">
            <w:pPr>
              <w:pStyle w:val="Default"/>
              <w:rPr>
                <w:sz w:val="22"/>
                <w:szCs w:val="22"/>
              </w:rPr>
            </w:pPr>
          </w:p>
          <w:p w14:paraId="4309835A" w14:textId="77777777" w:rsidR="00F171D9" w:rsidRPr="001300A9" w:rsidRDefault="00F171D9" w:rsidP="00357CEC">
            <w:pPr>
              <w:pStyle w:val="Default"/>
              <w:rPr>
                <w:sz w:val="22"/>
                <w:szCs w:val="22"/>
              </w:rPr>
            </w:pPr>
          </w:p>
          <w:p w14:paraId="40B3FD4E" w14:textId="77777777" w:rsidR="00F171D9" w:rsidRPr="001300A9" w:rsidRDefault="00F171D9" w:rsidP="00357CEC">
            <w:pPr>
              <w:pStyle w:val="Default"/>
              <w:rPr>
                <w:sz w:val="22"/>
                <w:szCs w:val="22"/>
              </w:rPr>
            </w:pPr>
          </w:p>
          <w:p w14:paraId="09A5963F" w14:textId="77777777" w:rsidR="00F171D9" w:rsidRPr="001300A9" w:rsidRDefault="00F171D9" w:rsidP="00357CEC">
            <w:pPr>
              <w:pStyle w:val="Default"/>
              <w:rPr>
                <w:sz w:val="22"/>
                <w:szCs w:val="22"/>
              </w:rPr>
            </w:pPr>
          </w:p>
          <w:p w14:paraId="7A3884B1" w14:textId="77777777" w:rsidR="00F171D9" w:rsidRPr="001300A9" w:rsidRDefault="00F171D9" w:rsidP="00357CEC">
            <w:pPr>
              <w:pStyle w:val="Default"/>
              <w:rPr>
                <w:sz w:val="22"/>
                <w:szCs w:val="22"/>
              </w:rPr>
            </w:pPr>
          </w:p>
          <w:p w14:paraId="02AC332F" w14:textId="77777777" w:rsidR="00F171D9" w:rsidRPr="001300A9" w:rsidRDefault="00F171D9" w:rsidP="00357CEC">
            <w:pPr>
              <w:pStyle w:val="Default"/>
              <w:rPr>
                <w:sz w:val="22"/>
                <w:szCs w:val="22"/>
              </w:rPr>
            </w:pPr>
          </w:p>
          <w:p w14:paraId="2565FA88" w14:textId="77777777" w:rsidR="00F171D9" w:rsidRPr="001300A9" w:rsidRDefault="00F171D9" w:rsidP="00357CEC">
            <w:pPr>
              <w:pStyle w:val="Default"/>
              <w:rPr>
                <w:sz w:val="22"/>
                <w:szCs w:val="22"/>
              </w:rPr>
            </w:pPr>
          </w:p>
          <w:p w14:paraId="0E07642C" w14:textId="77777777" w:rsidR="00F171D9" w:rsidRPr="001300A9" w:rsidRDefault="00F171D9" w:rsidP="00357CEC">
            <w:pPr>
              <w:pStyle w:val="Default"/>
              <w:rPr>
                <w:sz w:val="22"/>
                <w:szCs w:val="22"/>
              </w:rPr>
            </w:pPr>
          </w:p>
          <w:p w14:paraId="61465629" w14:textId="77777777" w:rsidR="00F171D9" w:rsidRPr="001300A9" w:rsidRDefault="00F171D9" w:rsidP="00357CEC">
            <w:pPr>
              <w:pStyle w:val="Default"/>
              <w:rPr>
                <w:sz w:val="22"/>
                <w:szCs w:val="22"/>
              </w:rPr>
            </w:pPr>
          </w:p>
          <w:p w14:paraId="3D1B6BB5" w14:textId="77777777" w:rsidR="00F171D9" w:rsidRPr="001300A9" w:rsidRDefault="00F171D9" w:rsidP="00357CEC">
            <w:pPr>
              <w:pStyle w:val="Default"/>
              <w:rPr>
                <w:sz w:val="22"/>
                <w:szCs w:val="22"/>
              </w:rPr>
            </w:pPr>
          </w:p>
          <w:p w14:paraId="744A9AB7" w14:textId="77777777" w:rsidR="00F171D9" w:rsidRPr="001300A9" w:rsidRDefault="00F171D9" w:rsidP="00357CEC">
            <w:pPr>
              <w:pStyle w:val="Default"/>
              <w:rPr>
                <w:sz w:val="22"/>
                <w:szCs w:val="22"/>
              </w:rPr>
            </w:pPr>
          </w:p>
          <w:p w14:paraId="4203673C" w14:textId="77777777" w:rsidR="00F171D9" w:rsidRPr="001300A9" w:rsidRDefault="00F171D9" w:rsidP="00357CEC">
            <w:pPr>
              <w:pStyle w:val="Default"/>
              <w:rPr>
                <w:sz w:val="22"/>
                <w:szCs w:val="22"/>
              </w:rPr>
            </w:pPr>
          </w:p>
          <w:p w14:paraId="5F848698" w14:textId="77777777" w:rsidR="00F171D9" w:rsidRPr="001300A9" w:rsidRDefault="00F171D9" w:rsidP="00357CEC">
            <w:pPr>
              <w:pStyle w:val="Default"/>
              <w:rPr>
                <w:sz w:val="22"/>
                <w:szCs w:val="22"/>
              </w:rPr>
            </w:pPr>
          </w:p>
          <w:p w14:paraId="1309AB4B" w14:textId="77777777" w:rsidR="00F171D9" w:rsidRPr="001300A9" w:rsidRDefault="00F171D9" w:rsidP="00357CEC">
            <w:pPr>
              <w:pStyle w:val="Default"/>
              <w:rPr>
                <w:sz w:val="22"/>
                <w:szCs w:val="22"/>
              </w:rPr>
            </w:pPr>
          </w:p>
          <w:p w14:paraId="2D6D6591" w14:textId="77777777" w:rsidR="00F171D9" w:rsidRPr="001300A9" w:rsidRDefault="00F171D9" w:rsidP="00357CEC">
            <w:pPr>
              <w:pStyle w:val="Default"/>
              <w:rPr>
                <w:sz w:val="22"/>
                <w:szCs w:val="22"/>
              </w:rPr>
            </w:pPr>
          </w:p>
          <w:p w14:paraId="60F2B813" w14:textId="77777777" w:rsidR="00F171D9" w:rsidRPr="001300A9" w:rsidRDefault="00F171D9" w:rsidP="00357CEC">
            <w:pPr>
              <w:pStyle w:val="Default"/>
              <w:rPr>
                <w:sz w:val="22"/>
                <w:szCs w:val="22"/>
              </w:rPr>
            </w:pPr>
          </w:p>
          <w:p w14:paraId="5D9F2217" w14:textId="77777777" w:rsidR="00F171D9" w:rsidRPr="001300A9" w:rsidRDefault="00F171D9" w:rsidP="00357CEC">
            <w:pPr>
              <w:pStyle w:val="Default"/>
              <w:rPr>
                <w:sz w:val="22"/>
                <w:szCs w:val="22"/>
              </w:rPr>
            </w:pPr>
          </w:p>
          <w:p w14:paraId="385C11F0" w14:textId="77777777" w:rsidR="00F171D9" w:rsidRPr="001300A9" w:rsidRDefault="00F171D9" w:rsidP="00357CEC">
            <w:pPr>
              <w:pStyle w:val="Default"/>
              <w:rPr>
                <w:sz w:val="22"/>
                <w:szCs w:val="22"/>
              </w:rPr>
            </w:pPr>
          </w:p>
          <w:p w14:paraId="23415D3C" w14:textId="77777777" w:rsidR="00F171D9" w:rsidRPr="001300A9" w:rsidRDefault="00F171D9" w:rsidP="00357CEC">
            <w:pPr>
              <w:pStyle w:val="Default"/>
              <w:rPr>
                <w:sz w:val="22"/>
                <w:szCs w:val="22"/>
              </w:rPr>
            </w:pPr>
          </w:p>
          <w:p w14:paraId="7E4D94AF" w14:textId="77777777" w:rsidR="00F171D9" w:rsidRPr="001300A9" w:rsidRDefault="00F171D9" w:rsidP="00357CEC">
            <w:pPr>
              <w:pStyle w:val="Default"/>
              <w:rPr>
                <w:sz w:val="22"/>
                <w:szCs w:val="22"/>
              </w:rPr>
            </w:pPr>
          </w:p>
          <w:p w14:paraId="26306282" w14:textId="77777777" w:rsidR="00F171D9" w:rsidRPr="001300A9" w:rsidRDefault="00F171D9" w:rsidP="00357CEC">
            <w:pPr>
              <w:pStyle w:val="Default"/>
              <w:rPr>
                <w:sz w:val="22"/>
                <w:szCs w:val="22"/>
              </w:rPr>
            </w:pPr>
          </w:p>
          <w:p w14:paraId="14C61C39" w14:textId="77777777" w:rsidR="00F171D9" w:rsidRPr="001300A9" w:rsidRDefault="00F171D9" w:rsidP="00357CEC">
            <w:pPr>
              <w:pStyle w:val="Default"/>
              <w:rPr>
                <w:sz w:val="22"/>
                <w:szCs w:val="22"/>
              </w:rPr>
            </w:pPr>
          </w:p>
          <w:p w14:paraId="10B9FD5B" w14:textId="77777777" w:rsidR="00F171D9" w:rsidRPr="001300A9" w:rsidRDefault="00F171D9" w:rsidP="00357CEC">
            <w:pPr>
              <w:pStyle w:val="Default"/>
              <w:rPr>
                <w:sz w:val="22"/>
                <w:szCs w:val="22"/>
              </w:rPr>
            </w:pPr>
          </w:p>
          <w:p w14:paraId="118229CB" w14:textId="77777777" w:rsidR="00F171D9" w:rsidRPr="001300A9" w:rsidRDefault="00F171D9" w:rsidP="00357CEC">
            <w:pPr>
              <w:pStyle w:val="Default"/>
              <w:rPr>
                <w:sz w:val="22"/>
                <w:szCs w:val="22"/>
              </w:rPr>
            </w:pPr>
          </w:p>
          <w:p w14:paraId="50775D5E" w14:textId="77777777" w:rsidR="00F171D9" w:rsidRPr="001300A9" w:rsidRDefault="00F171D9" w:rsidP="00357CEC">
            <w:pPr>
              <w:pStyle w:val="Default"/>
              <w:rPr>
                <w:sz w:val="22"/>
                <w:szCs w:val="22"/>
              </w:rPr>
            </w:pPr>
          </w:p>
          <w:p w14:paraId="24F8E686" w14:textId="77777777" w:rsidR="00F171D9" w:rsidRPr="001300A9" w:rsidRDefault="00F171D9" w:rsidP="00357CEC">
            <w:pPr>
              <w:pStyle w:val="Default"/>
              <w:rPr>
                <w:sz w:val="22"/>
                <w:szCs w:val="22"/>
              </w:rPr>
            </w:pPr>
          </w:p>
          <w:p w14:paraId="37B22506" w14:textId="77777777" w:rsidR="00F171D9" w:rsidRPr="001300A9" w:rsidRDefault="00F171D9" w:rsidP="00357CEC">
            <w:pPr>
              <w:pStyle w:val="Default"/>
              <w:rPr>
                <w:sz w:val="22"/>
                <w:szCs w:val="22"/>
              </w:rPr>
            </w:pPr>
          </w:p>
          <w:p w14:paraId="511348A6" w14:textId="77777777" w:rsidR="00F171D9" w:rsidRPr="001300A9" w:rsidRDefault="00F171D9" w:rsidP="00357CEC">
            <w:pPr>
              <w:pStyle w:val="Default"/>
              <w:rPr>
                <w:sz w:val="22"/>
                <w:szCs w:val="22"/>
              </w:rPr>
            </w:pPr>
          </w:p>
          <w:p w14:paraId="2DB9F699" w14:textId="77777777" w:rsidR="00F171D9" w:rsidRPr="001300A9" w:rsidRDefault="00F171D9" w:rsidP="00357CEC">
            <w:pPr>
              <w:pStyle w:val="Default"/>
              <w:rPr>
                <w:sz w:val="22"/>
                <w:szCs w:val="22"/>
              </w:rPr>
            </w:pPr>
          </w:p>
          <w:p w14:paraId="7FC28EDF" w14:textId="77777777" w:rsidR="00F171D9" w:rsidRPr="001300A9" w:rsidRDefault="00F171D9" w:rsidP="00357CEC">
            <w:pPr>
              <w:pStyle w:val="Default"/>
              <w:rPr>
                <w:sz w:val="22"/>
                <w:szCs w:val="22"/>
              </w:rPr>
            </w:pPr>
          </w:p>
          <w:p w14:paraId="43B6295D" w14:textId="77777777" w:rsidR="00F171D9" w:rsidRPr="001300A9" w:rsidRDefault="00F171D9" w:rsidP="00357CEC">
            <w:pPr>
              <w:pStyle w:val="Default"/>
              <w:rPr>
                <w:sz w:val="22"/>
                <w:szCs w:val="22"/>
              </w:rPr>
            </w:pPr>
          </w:p>
          <w:p w14:paraId="2D2BC8D7" w14:textId="77777777" w:rsidR="00F171D9" w:rsidRPr="001300A9" w:rsidRDefault="00F171D9" w:rsidP="00357CEC">
            <w:pPr>
              <w:pStyle w:val="Default"/>
              <w:rPr>
                <w:sz w:val="22"/>
                <w:szCs w:val="22"/>
              </w:rPr>
            </w:pPr>
          </w:p>
          <w:p w14:paraId="28D71BDC" w14:textId="77777777" w:rsidR="00F171D9" w:rsidRPr="001300A9" w:rsidRDefault="00F171D9" w:rsidP="00357CEC">
            <w:pPr>
              <w:pStyle w:val="Default"/>
              <w:rPr>
                <w:sz w:val="22"/>
                <w:szCs w:val="22"/>
              </w:rPr>
            </w:pPr>
          </w:p>
          <w:p w14:paraId="4C2C9013" w14:textId="77777777" w:rsidR="00F171D9" w:rsidRPr="001300A9" w:rsidRDefault="00F171D9" w:rsidP="00357CEC">
            <w:pPr>
              <w:pStyle w:val="Default"/>
              <w:rPr>
                <w:sz w:val="22"/>
                <w:szCs w:val="22"/>
              </w:rPr>
            </w:pPr>
          </w:p>
          <w:p w14:paraId="67543EB0" w14:textId="77777777" w:rsidR="00F171D9" w:rsidRPr="001300A9" w:rsidRDefault="00F171D9" w:rsidP="00357CEC">
            <w:pPr>
              <w:pStyle w:val="Default"/>
              <w:rPr>
                <w:sz w:val="22"/>
                <w:szCs w:val="22"/>
              </w:rPr>
            </w:pPr>
          </w:p>
          <w:p w14:paraId="6320C08E" w14:textId="77777777" w:rsidR="00F171D9" w:rsidRPr="001300A9" w:rsidRDefault="00F171D9" w:rsidP="00357CEC">
            <w:pPr>
              <w:pStyle w:val="Default"/>
              <w:rPr>
                <w:sz w:val="22"/>
                <w:szCs w:val="22"/>
              </w:rPr>
            </w:pPr>
          </w:p>
          <w:p w14:paraId="4A5B7EB5" w14:textId="77777777" w:rsidR="00F171D9" w:rsidRPr="001300A9" w:rsidRDefault="00F171D9" w:rsidP="00357CEC">
            <w:pPr>
              <w:pStyle w:val="Default"/>
              <w:rPr>
                <w:sz w:val="22"/>
                <w:szCs w:val="22"/>
              </w:rPr>
            </w:pPr>
          </w:p>
          <w:p w14:paraId="599D2351" w14:textId="77777777" w:rsidR="00F171D9" w:rsidRPr="001300A9" w:rsidRDefault="00F171D9" w:rsidP="00357CEC">
            <w:pPr>
              <w:pStyle w:val="Default"/>
              <w:rPr>
                <w:sz w:val="22"/>
                <w:szCs w:val="22"/>
              </w:rPr>
            </w:pPr>
          </w:p>
          <w:p w14:paraId="28434019" w14:textId="77777777" w:rsidR="00F171D9" w:rsidRPr="001300A9" w:rsidRDefault="00F171D9" w:rsidP="00357CEC">
            <w:pPr>
              <w:pStyle w:val="Default"/>
              <w:rPr>
                <w:sz w:val="22"/>
                <w:szCs w:val="22"/>
              </w:rPr>
            </w:pPr>
          </w:p>
          <w:p w14:paraId="65345CB0" w14:textId="77777777" w:rsidR="00F171D9" w:rsidRPr="001300A9" w:rsidRDefault="00F171D9" w:rsidP="00357CEC">
            <w:pPr>
              <w:pStyle w:val="Default"/>
              <w:rPr>
                <w:sz w:val="22"/>
                <w:szCs w:val="22"/>
              </w:rPr>
            </w:pPr>
          </w:p>
          <w:p w14:paraId="0E52C4AC" w14:textId="77777777" w:rsidR="00F171D9" w:rsidRPr="001300A9" w:rsidRDefault="00F171D9" w:rsidP="00357CEC">
            <w:pPr>
              <w:pStyle w:val="Default"/>
              <w:rPr>
                <w:sz w:val="22"/>
                <w:szCs w:val="22"/>
              </w:rPr>
            </w:pPr>
          </w:p>
          <w:p w14:paraId="466C6A09" w14:textId="77777777" w:rsidR="00F171D9" w:rsidRPr="001300A9" w:rsidRDefault="00F171D9" w:rsidP="00357CEC">
            <w:pPr>
              <w:pStyle w:val="Default"/>
              <w:rPr>
                <w:sz w:val="22"/>
                <w:szCs w:val="22"/>
              </w:rPr>
            </w:pPr>
          </w:p>
          <w:p w14:paraId="768E8072" w14:textId="77777777" w:rsidR="00F171D9" w:rsidRPr="001300A9" w:rsidRDefault="00F171D9" w:rsidP="00357CEC">
            <w:pPr>
              <w:pStyle w:val="Default"/>
              <w:rPr>
                <w:sz w:val="22"/>
                <w:szCs w:val="22"/>
              </w:rPr>
            </w:pPr>
          </w:p>
          <w:p w14:paraId="32C14C1E" w14:textId="77777777" w:rsidR="00F171D9" w:rsidRPr="001300A9" w:rsidRDefault="00F171D9" w:rsidP="00357CEC">
            <w:pPr>
              <w:pStyle w:val="Default"/>
              <w:rPr>
                <w:sz w:val="22"/>
                <w:szCs w:val="22"/>
              </w:rPr>
            </w:pPr>
          </w:p>
          <w:p w14:paraId="44A37CA3" w14:textId="77777777" w:rsidR="00F171D9" w:rsidRPr="001300A9" w:rsidRDefault="00F171D9" w:rsidP="00357CEC">
            <w:pPr>
              <w:pStyle w:val="Default"/>
              <w:rPr>
                <w:sz w:val="22"/>
                <w:szCs w:val="22"/>
              </w:rPr>
            </w:pPr>
          </w:p>
          <w:p w14:paraId="1A347B76" w14:textId="77777777" w:rsidR="00F171D9" w:rsidRPr="001300A9" w:rsidRDefault="00F171D9" w:rsidP="00357CEC">
            <w:pPr>
              <w:pStyle w:val="Default"/>
              <w:rPr>
                <w:sz w:val="22"/>
                <w:szCs w:val="22"/>
              </w:rPr>
            </w:pPr>
          </w:p>
          <w:p w14:paraId="0EF54BAB" w14:textId="77777777" w:rsidR="00F171D9" w:rsidRPr="001300A9" w:rsidRDefault="00F171D9" w:rsidP="00357CEC">
            <w:pPr>
              <w:pStyle w:val="Default"/>
              <w:rPr>
                <w:sz w:val="22"/>
                <w:szCs w:val="22"/>
              </w:rPr>
            </w:pPr>
          </w:p>
          <w:p w14:paraId="775286FB" w14:textId="77777777" w:rsidR="00F171D9" w:rsidRPr="001300A9" w:rsidRDefault="00F171D9" w:rsidP="00357CEC">
            <w:pPr>
              <w:pStyle w:val="Default"/>
              <w:rPr>
                <w:sz w:val="22"/>
                <w:szCs w:val="22"/>
              </w:rPr>
            </w:pPr>
          </w:p>
          <w:p w14:paraId="13C88645" w14:textId="77777777" w:rsidR="00F171D9" w:rsidRPr="001300A9" w:rsidRDefault="00F171D9" w:rsidP="00357CEC">
            <w:pPr>
              <w:pStyle w:val="Default"/>
              <w:rPr>
                <w:sz w:val="22"/>
                <w:szCs w:val="22"/>
              </w:rPr>
            </w:pPr>
          </w:p>
          <w:p w14:paraId="6D8C04F2" w14:textId="77777777" w:rsidR="00F171D9" w:rsidRPr="001300A9" w:rsidRDefault="00F171D9" w:rsidP="00357CEC">
            <w:pPr>
              <w:pStyle w:val="Default"/>
              <w:rPr>
                <w:sz w:val="22"/>
                <w:szCs w:val="22"/>
              </w:rPr>
            </w:pPr>
          </w:p>
          <w:p w14:paraId="2A2E85DB" w14:textId="77777777" w:rsidR="00F171D9" w:rsidRPr="001300A9" w:rsidRDefault="00F171D9" w:rsidP="00357CEC">
            <w:pPr>
              <w:pStyle w:val="Default"/>
              <w:rPr>
                <w:sz w:val="22"/>
                <w:szCs w:val="22"/>
              </w:rPr>
            </w:pPr>
          </w:p>
          <w:p w14:paraId="7242D871" w14:textId="77777777" w:rsidR="00F171D9" w:rsidRPr="001300A9" w:rsidRDefault="00F171D9" w:rsidP="00357CEC">
            <w:pPr>
              <w:pStyle w:val="Default"/>
              <w:rPr>
                <w:sz w:val="22"/>
                <w:szCs w:val="22"/>
              </w:rPr>
            </w:pPr>
          </w:p>
          <w:p w14:paraId="1CB1EDD1" w14:textId="77777777" w:rsidR="00F171D9" w:rsidRPr="001300A9" w:rsidRDefault="00F171D9" w:rsidP="00357CEC">
            <w:pPr>
              <w:pStyle w:val="Default"/>
              <w:rPr>
                <w:sz w:val="22"/>
                <w:szCs w:val="22"/>
              </w:rPr>
            </w:pPr>
          </w:p>
          <w:p w14:paraId="3AB7B941" w14:textId="77777777" w:rsidR="00F171D9" w:rsidRPr="001300A9" w:rsidRDefault="00F171D9" w:rsidP="00357CEC">
            <w:pPr>
              <w:pStyle w:val="Default"/>
              <w:rPr>
                <w:sz w:val="22"/>
                <w:szCs w:val="22"/>
              </w:rPr>
            </w:pPr>
          </w:p>
          <w:p w14:paraId="0EACB12F" w14:textId="77777777" w:rsidR="00F171D9" w:rsidRPr="001300A9" w:rsidRDefault="00F171D9" w:rsidP="00357CEC">
            <w:pPr>
              <w:pStyle w:val="Default"/>
              <w:rPr>
                <w:sz w:val="22"/>
                <w:szCs w:val="22"/>
              </w:rPr>
            </w:pPr>
          </w:p>
          <w:p w14:paraId="7111058D" w14:textId="77777777" w:rsidR="00F171D9" w:rsidRPr="001300A9" w:rsidRDefault="00F171D9" w:rsidP="00357CEC">
            <w:pPr>
              <w:pStyle w:val="Default"/>
              <w:rPr>
                <w:sz w:val="22"/>
                <w:szCs w:val="22"/>
              </w:rPr>
            </w:pPr>
          </w:p>
          <w:p w14:paraId="1588FE9D" w14:textId="77777777" w:rsidR="00F171D9" w:rsidRPr="001300A9" w:rsidRDefault="00F171D9" w:rsidP="00357CEC">
            <w:pPr>
              <w:pStyle w:val="Default"/>
              <w:rPr>
                <w:sz w:val="22"/>
                <w:szCs w:val="22"/>
              </w:rPr>
            </w:pPr>
          </w:p>
          <w:p w14:paraId="64A4E2A6" w14:textId="77777777" w:rsidR="00F171D9" w:rsidRPr="001300A9" w:rsidRDefault="00F171D9" w:rsidP="00357CEC">
            <w:pPr>
              <w:pStyle w:val="Default"/>
              <w:rPr>
                <w:sz w:val="22"/>
                <w:szCs w:val="22"/>
              </w:rPr>
            </w:pPr>
          </w:p>
          <w:p w14:paraId="7421CE07" w14:textId="77777777" w:rsidR="00F171D9" w:rsidRPr="001300A9" w:rsidRDefault="00F171D9" w:rsidP="00357CEC">
            <w:pPr>
              <w:pStyle w:val="Default"/>
              <w:rPr>
                <w:sz w:val="22"/>
                <w:szCs w:val="22"/>
              </w:rPr>
            </w:pPr>
          </w:p>
          <w:p w14:paraId="5820086A" w14:textId="77777777" w:rsidR="00F171D9" w:rsidRPr="001300A9" w:rsidRDefault="00F171D9" w:rsidP="00357CEC">
            <w:pPr>
              <w:pStyle w:val="Default"/>
              <w:rPr>
                <w:sz w:val="22"/>
                <w:szCs w:val="22"/>
              </w:rPr>
            </w:pPr>
          </w:p>
          <w:p w14:paraId="09A5C34E" w14:textId="77777777" w:rsidR="00F171D9" w:rsidRPr="001300A9" w:rsidRDefault="00F171D9" w:rsidP="00357CEC">
            <w:pPr>
              <w:pStyle w:val="Default"/>
              <w:rPr>
                <w:sz w:val="22"/>
                <w:szCs w:val="22"/>
              </w:rPr>
            </w:pPr>
          </w:p>
          <w:p w14:paraId="058BD012" w14:textId="77777777" w:rsidR="00F171D9" w:rsidRPr="001300A9" w:rsidRDefault="00F171D9" w:rsidP="00357CEC">
            <w:pPr>
              <w:pStyle w:val="Default"/>
              <w:rPr>
                <w:sz w:val="22"/>
                <w:szCs w:val="22"/>
              </w:rPr>
            </w:pPr>
          </w:p>
          <w:p w14:paraId="7CB26287" w14:textId="77777777" w:rsidR="00F171D9" w:rsidRPr="001300A9" w:rsidRDefault="00F171D9" w:rsidP="00357CEC">
            <w:pPr>
              <w:pStyle w:val="Default"/>
              <w:rPr>
                <w:sz w:val="22"/>
                <w:szCs w:val="22"/>
              </w:rPr>
            </w:pPr>
          </w:p>
          <w:p w14:paraId="1A822406" w14:textId="77777777" w:rsidR="00F171D9" w:rsidRPr="001300A9" w:rsidRDefault="00F171D9" w:rsidP="00357CEC">
            <w:pPr>
              <w:pStyle w:val="Default"/>
              <w:rPr>
                <w:sz w:val="22"/>
                <w:szCs w:val="22"/>
              </w:rPr>
            </w:pPr>
          </w:p>
          <w:p w14:paraId="3446FAF0" w14:textId="77777777" w:rsidR="00F171D9" w:rsidRPr="001300A9" w:rsidRDefault="00F171D9" w:rsidP="00357CEC">
            <w:pPr>
              <w:pStyle w:val="Default"/>
              <w:rPr>
                <w:sz w:val="22"/>
                <w:szCs w:val="22"/>
              </w:rPr>
            </w:pPr>
          </w:p>
          <w:p w14:paraId="313C0AD0" w14:textId="77777777" w:rsidR="00F171D9" w:rsidRPr="001300A9" w:rsidRDefault="00F171D9" w:rsidP="00357CEC">
            <w:pPr>
              <w:pStyle w:val="Default"/>
              <w:rPr>
                <w:sz w:val="22"/>
                <w:szCs w:val="22"/>
              </w:rPr>
            </w:pPr>
          </w:p>
          <w:p w14:paraId="73F390DF" w14:textId="77777777" w:rsidR="00F171D9" w:rsidRPr="001300A9" w:rsidRDefault="00F171D9" w:rsidP="00357CEC">
            <w:pPr>
              <w:pStyle w:val="Default"/>
              <w:rPr>
                <w:sz w:val="22"/>
                <w:szCs w:val="22"/>
              </w:rPr>
            </w:pPr>
          </w:p>
          <w:p w14:paraId="2A29611C" w14:textId="77777777" w:rsidR="00F171D9" w:rsidRPr="001300A9" w:rsidRDefault="00F171D9" w:rsidP="00357CEC">
            <w:pPr>
              <w:pStyle w:val="Default"/>
              <w:rPr>
                <w:sz w:val="22"/>
                <w:szCs w:val="22"/>
              </w:rPr>
            </w:pPr>
          </w:p>
          <w:p w14:paraId="7E4BE7D1" w14:textId="77777777" w:rsidR="00F171D9" w:rsidRPr="001300A9" w:rsidRDefault="00F171D9" w:rsidP="00357CEC">
            <w:pPr>
              <w:pStyle w:val="Default"/>
              <w:rPr>
                <w:sz w:val="22"/>
                <w:szCs w:val="22"/>
              </w:rPr>
            </w:pPr>
          </w:p>
          <w:p w14:paraId="1CA5B3B4" w14:textId="77777777" w:rsidR="00F171D9" w:rsidRPr="001300A9" w:rsidRDefault="00F171D9" w:rsidP="00357CEC">
            <w:pPr>
              <w:pStyle w:val="Default"/>
              <w:rPr>
                <w:sz w:val="22"/>
                <w:szCs w:val="22"/>
              </w:rPr>
            </w:pPr>
          </w:p>
          <w:p w14:paraId="3DD8AC61" w14:textId="77777777" w:rsidR="00F171D9" w:rsidRPr="001300A9" w:rsidRDefault="00F171D9" w:rsidP="00357CEC">
            <w:pPr>
              <w:pStyle w:val="Default"/>
              <w:rPr>
                <w:sz w:val="22"/>
                <w:szCs w:val="22"/>
              </w:rPr>
            </w:pPr>
          </w:p>
          <w:p w14:paraId="5E54397F" w14:textId="77777777" w:rsidR="00F171D9" w:rsidRPr="001300A9" w:rsidRDefault="00F171D9" w:rsidP="00357CEC">
            <w:pPr>
              <w:pStyle w:val="Default"/>
              <w:rPr>
                <w:sz w:val="22"/>
                <w:szCs w:val="22"/>
              </w:rPr>
            </w:pPr>
          </w:p>
          <w:p w14:paraId="79E0BE45" w14:textId="77777777" w:rsidR="00F171D9" w:rsidRPr="001300A9" w:rsidRDefault="00F171D9" w:rsidP="00357CEC">
            <w:pPr>
              <w:pStyle w:val="Default"/>
              <w:rPr>
                <w:sz w:val="22"/>
                <w:szCs w:val="22"/>
              </w:rPr>
            </w:pPr>
          </w:p>
          <w:p w14:paraId="46CCED8B" w14:textId="77777777" w:rsidR="00F171D9" w:rsidRPr="001300A9" w:rsidRDefault="00F171D9" w:rsidP="00357CEC">
            <w:pPr>
              <w:pStyle w:val="Default"/>
              <w:rPr>
                <w:sz w:val="22"/>
                <w:szCs w:val="22"/>
              </w:rPr>
            </w:pPr>
          </w:p>
          <w:p w14:paraId="2B849A5B" w14:textId="77777777" w:rsidR="00F171D9" w:rsidRPr="001300A9" w:rsidRDefault="00F171D9" w:rsidP="00357CEC">
            <w:pPr>
              <w:pStyle w:val="Default"/>
              <w:rPr>
                <w:sz w:val="22"/>
                <w:szCs w:val="22"/>
              </w:rPr>
            </w:pPr>
          </w:p>
          <w:p w14:paraId="5564C8FF" w14:textId="77777777" w:rsidR="00F171D9" w:rsidRPr="001300A9" w:rsidRDefault="00F171D9" w:rsidP="00357CEC">
            <w:pPr>
              <w:pStyle w:val="Default"/>
              <w:rPr>
                <w:sz w:val="22"/>
                <w:szCs w:val="22"/>
              </w:rPr>
            </w:pPr>
          </w:p>
          <w:p w14:paraId="40C5E499" w14:textId="77777777" w:rsidR="00F171D9" w:rsidRPr="001300A9" w:rsidRDefault="00F171D9" w:rsidP="00357CEC">
            <w:pPr>
              <w:pStyle w:val="Default"/>
              <w:rPr>
                <w:sz w:val="22"/>
                <w:szCs w:val="22"/>
              </w:rPr>
            </w:pPr>
          </w:p>
          <w:p w14:paraId="58FB1D27" w14:textId="77777777" w:rsidR="00F171D9" w:rsidRPr="001300A9" w:rsidRDefault="00F171D9" w:rsidP="00357CEC">
            <w:pPr>
              <w:pStyle w:val="Default"/>
              <w:rPr>
                <w:sz w:val="22"/>
                <w:szCs w:val="22"/>
              </w:rPr>
            </w:pPr>
          </w:p>
          <w:p w14:paraId="1E35291E" w14:textId="77777777" w:rsidR="00F171D9" w:rsidRPr="001300A9" w:rsidRDefault="00F171D9" w:rsidP="00357CEC">
            <w:pPr>
              <w:pStyle w:val="Default"/>
              <w:rPr>
                <w:sz w:val="22"/>
                <w:szCs w:val="22"/>
              </w:rPr>
            </w:pPr>
          </w:p>
          <w:p w14:paraId="0C4709DC" w14:textId="77777777" w:rsidR="00F171D9" w:rsidRPr="001300A9" w:rsidRDefault="00F171D9" w:rsidP="00357CEC">
            <w:pPr>
              <w:pStyle w:val="Default"/>
              <w:rPr>
                <w:sz w:val="22"/>
                <w:szCs w:val="22"/>
              </w:rPr>
            </w:pPr>
          </w:p>
          <w:p w14:paraId="10073924" w14:textId="77777777" w:rsidR="00F171D9" w:rsidRPr="001300A9" w:rsidRDefault="00F171D9" w:rsidP="00357CEC">
            <w:pPr>
              <w:pStyle w:val="Default"/>
              <w:rPr>
                <w:sz w:val="22"/>
                <w:szCs w:val="22"/>
              </w:rPr>
            </w:pPr>
          </w:p>
          <w:p w14:paraId="1433392C" w14:textId="77777777" w:rsidR="00F171D9" w:rsidRPr="001300A9" w:rsidRDefault="00F171D9" w:rsidP="00357CEC">
            <w:pPr>
              <w:pStyle w:val="Default"/>
              <w:rPr>
                <w:sz w:val="22"/>
                <w:szCs w:val="22"/>
              </w:rPr>
            </w:pPr>
          </w:p>
          <w:p w14:paraId="036A0515" w14:textId="77777777" w:rsidR="00F171D9" w:rsidRPr="001300A9" w:rsidRDefault="00F171D9" w:rsidP="00357CEC">
            <w:pPr>
              <w:pStyle w:val="Default"/>
              <w:rPr>
                <w:sz w:val="22"/>
                <w:szCs w:val="22"/>
              </w:rPr>
            </w:pPr>
          </w:p>
          <w:p w14:paraId="786A0DD9" w14:textId="77777777" w:rsidR="00F171D9" w:rsidRPr="001300A9" w:rsidRDefault="00F171D9" w:rsidP="00357CEC">
            <w:pPr>
              <w:pStyle w:val="Default"/>
              <w:rPr>
                <w:sz w:val="22"/>
                <w:szCs w:val="22"/>
              </w:rPr>
            </w:pPr>
          </w:p>
          <w:p w14:paraId="437D383C" w14:textId="77777777" w:rsidR="00F171D9" w:rsidRPr="001300A9" w:rsidRDefault="00F171D9" w:rsidP="00357CEC">
            <w:pPr>
              <w:pStyle w:val="Default"/>
              <w:rPr>
                <w:sz w:val="22"/>
                <w:szCs w:val="22"/>
              </w:rPr>
            </w:pPr>
          </w:p>
          <w:p w14:paraId="6867E938" w14:textId="77777777" w:rsidR="00F171D9" w:rsidRPr="001300A9" w:rsidRDefault="00F171D9" w:rsidP="00357CEC">
            <w:pPr>
              <w:pStyle w:val="Default"/>
              <w:rPr>
                <w:sz w:val="22"/>
                <w:szCs w:val="22"/>
              </w:rPr>
            </w:pPr>
          </w:p>
          <w:p w14:paraId="25267F5F" w14:textId="77777777" w:rsidR="00F171D9" w:rsidRPr="001300A9" w:rsidRDefault="00F171D9" w:rsidP="00357CEC">
            <w:pPr>
              <w:pStyle w:val="Default"/>
              <w:rPr>
                <w:sz w:val="22"/>
                <w:szCs w:val="22"/>
              </w:rPr>
            </w:pPr>
          </w:p>
          <w:p w14:paraId="4E3B2582" w14:textId="77777777" w:rsidR="00F171D9" w:rsidRPr="001300A9" w:rsidRDefault="00F171D9" w:rsidP="00357CEC">
            <w:pPr>
              <w:pStyle w:val="Default"/>
              <w:rPr>
                <w:sz w:val="22"/>
                <w:szCs w:val="22"/>
              </w:rPr>
            </w:pPr>
          </w:p>
          <w:p w14:paraId="762CF4D3" w14:textId="77777777" w:rsidR="00F171D9" w:rsidRPr="001300A9" w:rsidRDefault="00F171D9" w:rsidP="00357CEC">
            <w:pPr>
              <w:pStyle w:val="Default"/>
              <w:rPr>
                <w:sz w:val="22"/>
                <w:szCs w:val="22"/>
              </w:rPr>
            </w:pPr>
          </w:p>
          <w:p w14:paraId="1E83261A" w14:textId="77777777" w:rsidR="00F171D9" w:rsidRPr="001300A9" w:rsidRDefault="00F171D9" w:rsidP="00357CEC">
            <w:pPr>
              <w:pStyle w:val="Default"/>
              <w:rPr>
                <w:sz w:val="22"/>
                <w:szCs w:val="22"/>
              </w:rPr>
            </w:pPr>
          </w:p>
          <w:p w14:paraId="0B88BDFC" w14:textId="77777777" w:rsidR="00F171D9" w:rsidRPr="001300A9" w:rsidRDefault="00F171D9" w:rsidP="00357CEC">
            <w:pPr>
              <w:pStyle w:val="Default"/>
              <w:rPr>
                <w:sz w:val="22"/>
                <w:szCs w:val="22"/>
              </w:rPr>
            </w:pPr>
          </w:p>
          <w:p w14:paraId="7E48BF7A" w14:textId="77777777" w:rsidR="00F171D9" w:rsidRPr="001300A9" w:rsidRDefault="00F171D9" w:rsidP="00357CEC">
            <w:pPr>
              <w:pStyle w:val="Default"/>
              <w:rPr>
                <w:sz w:val="22"/>
                <w:szCs w:val="22"/>
              </w:rPr>
            </w:pPr>
          </w:p>
          <w:p w14:paraId="792F0FE7" w14:textId="77777777" w:rsidR="00F171D9" w:rsidRPr="001300A9" w:rsidRDefault="00F171D9" w:rsidP="00357CEC">
            <w:pPr>
              <w:pStyle w:val="Default"/>
              <w:rPr>
                <w:sz w:val="22"/>
                <w:szCs w:val="22"/>
              </w:rPr>
            </w:pPr>
          </w:p>
          <w:p w14:paraId="1E766B03" w14:textId="77777777" w:rsidR="00F171D9" w:rsidRPr="001300A9" w:rsidRDefault="00F171D9" w:rsidP="00357CEC">
            <w:pPr>
              <w:pStyle w:val="Default"/>
              <w:rPr>
                <w:sz w:val="22"/>
                <w:szCs w:val="22"/>
              </w:rPr>
            </w:pPr>
          </w:p>
          <w:p w14:paraId="13774FF5" w14:textId="77777777" w:rsidR="00F171D9" w:rsidRPr="001300A9" w:rsidRDefault="00F171D9" w:rsidP="00357CEC">
            <w:pPr>
              <w:pStyle w:val="Default"/>
              <w:rPr>
                <w:sz w:val="22"/>
                <w:szCs w:val="22"/>
              </w:rPr>
            </w:pPr>
          </w:p>
          <w:p w14:paraId="226F969B" w14:textId="77777777" w:rsidR="00F171D9" w:rsidRPr="001300A9" w:rsidRDefault="00F171D9" w:rsidP="00357CEC">
            <w:pPr>
              <w:pStyle w:val="Default"/>
              <w:rPr>
                <w:sz w:val="22"/>
                <w:szCs w:val="22"/>
              </w:rPr>
            </w:pPr>
          </w:p>
          <w:p w14:paraId="241F5468" w14:textId="77777777" w:rsidR="00F171D9" w:rsidRPr="001300A9" w:rsidRDefault="00F171D9" w:rsidP="00357CEC">
            <w:pPr>
              <w:pStyle w:val="Default"/>
              <w:rPr>
                <w:sz w:val="22"/>
                <w:szCs w:val="22"/>
              </w:rPr>
            </w:pPr>
          </w:p>
          <w:p w14:paraId="52AA794F" w14:textId="77777777" w:rsidR="00F171D9" w:rsidRPr="001300A9" w:rsidRDefault="00F171D9" w:rsidP="00357CEC">
            <w:pPr>
              <w:pStyle w:val="Default"/>
              <w:rPr>
                <w:sz w:val="22"/>
                <w:szCs w:val="22"/>
              </w:rPr>
            </w:pPr>
          </w:p>
          <w:p w14:paraId="28EB7F59" w14:textId="77777777" w:rsidR="00F171D9" w:rsidRPr="001300A9" w:rsidRDefault="00F171D9" w:rsidP="00357CEC">
            <w:pPr>
              <w:pStyle w:val="Default"/>
              <w:rPr>
                <w:sz w:val="22"/>
                <w:szCs w:val="22"/>
              </w:rPr>
            </w:pPr>
          </w:p>
          <w:p w14:paraId="126F728B" w14:textId="77777777" w:rsidR="00F171D9" w:rsidRPr="001300A9" w:rsidRDefault="00F171D9" w:rsidP="00357CEC">
            <w:pPr>
              <w:pStyle w:val="Default"/>
              <w:rPr>
                <w:sz w:val="22"/>
                <w:szCs w:val="22"/>
              </w:rPr>
            </w:pPr>
          </w:p>
          <w:p w14:paraId="3FD82656" w14:textId="77777777" w:rsidR="00F171D9" w:rsidRPr="001300A9" w:rsidRDefault="00F171D9" w:rsidP="00357CEC">
            <w:pPr>
              <w:pStyle w:val="Default"/>
              <w:rPr>
                <w:sz w:val="22"/>
                <w:szCs w:val="22"/>
              </w:rPr>
            </w:pPr>
          </w:p>
          <w:p w14:paraId="5269CB40" w14:textId="77777777" w:rsidR="00F171D9" w:rsidRPr="001300A9" w:rsidRDefault="00F171D9" w:rsidP="00357CEC">
            <w:pPr>
              <w:pStyle w:val="Default"/>
              <w:rPr>
                <w:sz w:val="22"/>
                <w:szCs w:val="22"/>
              </w:rPr>
            </w:pPr>
          </w:p>
          <w:p w14:paraId="0E2B9A2A" w14:textId="77777777" w:rsidR="00F171D9" w:rsidRPr="001300A9" w:rsidRDefault="00F171D9" w:rsidP="00357CEC">
            <w:pPr>
              <w:pStyle w:val="Default"/>
              <w:rPr>
                <w:sz w:val="22"/>
                <w:szCs w:val="22"/>
              </w:rPr>
            </w:pPr>
          </w:p>
          <w:p w14:paraId="7C96CC99" w14:textId="77777777" w:rsidR="00F171D9" w:rsidRPr="001300A9" w:rsidRDefault="00F171D9" w:rsidP="00357CEC">
            <w:pPr>
              <w:pStyle w:val="Default"/>
              <w:rPr>
                <w:sz w:val="22"/>
                <w:szCs w:val="22"/>
              </w:rPr>
            </w:pPr>
          </w:p>
          <w:p w14:paraId="28FAA3AA" w14:textId="77777777" w:rsidR="00F171D9" w:rsidRPr="001300A9" w:rsidRDefault="00F171D9" w:rsidP="00357CEC">
            <w:pPr>
              <w:pStyle w:val="Default"/>
              <w:rPr>
                <w:sz w:val="22"/>
                <w:szCs w:val="22"/>
              </w:rPr>
            </w:pPr>
          </w:p>
          <w:p w14:paraId="7783BACD" w14:textId="77777777" w:rsidR="00F171D9" w:rsidRPr="001300A9" w:rsidRDefault="00F171D9" w:rsidP="00357CEC">
            <w:pPr>
              <w:pStyle w:val="Default"/>
              <w:rPr>
                <w:sz w:val="22"/>
                <w:szCs w:val="22"/>
              </w:rPr>
            </w:pPr>
          </w:p>
          <w:p w14:paraId="52E40E5B" w14:textId="77777777" w:rsidR="00F171D9" w:rsidRPr="001300A9" w:rsidRDefault="00F171D9" w:rsidP="00357CEC">
            <w:pPr>
              <w:pStyle w:val="Default"/>
              <w:rPr>
                <w:sz w:val="22"/>
                <w:szCs w:val="22"/>
              </w:rPr>
            </w:pPr>
          </w:p>
          <w:p w14:paraId="4A615348" w14:textId="77777777" w:rsidR="00F171D9" w:rsidRPr="001300A9" w:rsidRDefault="00F171D9" w:rsidP="00357CEC">
            <w:pPr>
              <w:pStyle w:val="Default"/>
              <w:rPr>
                <w:sz w:val="22"/>
                <w:szCs w:val="22"/>
              </w:rPr>
            </w:pPr>
          </w:p>
          <w:p w14:paraId="254A2C2D" w14:textId="77777777" w:rsidR="00F171D9" w:rsidRPr="001300A9" w:rsidRDefault="00F171D9" w:rsidP="00357CEC">
            <w:pPr>
              <w:pStyle w:val="Default"/>
              <w:rPr>
                <w:sz w:val="22"/>
                <w:szCs w:val="22"/>
              </w:rPr>
            </w:pPr>
          </w:p>
          <w:p w14:paraId="373E69D3" w14:textId="77777777" w:rsidR="00F171D9" w:rsidRPr="001300A9" w:rsidRDefault="00F171D9" w:rsidP="00357CEC">
            <w:pPr>
              <w:pStyle w:val="Default"/>
              <w:rPr>
                <w:sz w:val="22"/>
                <w:szCs w:val="22"/>
              </w:rPr>
            </w:pPr>
          </w:p>
          <w:p w14:paraId="60040C47" w14:textId="77777777" w:rsidR="00F171D9" w:rsidRPr="001300A9" w:rsidRDefault="00F171D9" w:rsidP="00357CEC">
            <w:pPr>
              <w:pStyle w:val="Default"/>
              <w:rPr>
                <w:sz w:val="22"/>
                <w:szCs w:val="22"/>
              </w:rPr>
            </w:pPr>
          </w:p>
          <w:p w14:paraId="4680C847" w14:textId="77777777" w:rsidR="00F171D9" w:rsidRPr="001300A9" w:rsidRDefault="00F171D9" w:rsidP="00357CEC">
            <w:pPr>
              <w:pStyle w:val="Default"/>
              <w:rPr>
                <w:sz w:val="22"/>
                <w:szCs w:val="22"/>
              </w:rPr>
            </w:pPr>
          </w:p>
          <w:p w14:paraId="164B462A" w14:textId="77777777" w:rsidR="00F171D9" w:rsidRPr="001300A9" w:rsidRDefault="00F171D9" w:rsidP="00357CEC">
            <w:pPr>
              <w:pStyle w:val="Default"/>
              <w:rPr>
                <w:sz w:val="22"/>
                <w:szCs w:val="22"/>
              </w:rPr>
            </w:pPr>
          </w:p>
          <w:p w14:paraId="11AAAD0A" w14:textId="77777777" w:rsidR="00F171D9" w:rsidRPr="001300A9" w:rsidRDefault="00F171D9" w:rsidP="00357CEC">
            <w:pPr>
              <w:pStyle w:val="Default"/>
              <w:rPr>
                <w:sz w:val="22"/>
                <w:szCs w:val="22"/>
              </w:rPr>
            </w:pPr>
          </w:p>
          <w:p w14:paraId="7FF08F8C" w14:textId="77777777" w:rsidR="00F171D9" w:rsidRPr="001300A9" w:rsidRDefault="00F171D9" w:rsidP="00357CEC">
            <w:pPr>
              <w:pStyle w:val="Default"/>
              <w:rPr>
                <w:sz w:val="22"/>
                <w:szCs w:val="22"/>
              </w:rPr>
            </w:pPr>
          </w:p>
          <w:p w14:paraId="3CF7D1C5" w14:textId="77777777" w:rsidR="00F171D9" w:rsidRPr="001300A9" w:rsidRDefault="00F171D9" w:rsidP="00357CEC">
            <w:pPr>
              <w:pStyle w:val="Default"/>
              <w:rPr>
                <w:sz w:val="22"/>
                <w:szCs w:val="22"/>
              </w:rPr>
            </w:pPr>
          </w:p>
          <w:p w14:paraId="07E81308" w14:textId="77777777" w:rsidR="00F171D9" w:rsidRPr="001300A9" w:rsidRDefault="00F171D9" w:rsidP="00357CEC">
            <w:pPr>
              <w:pStyle w:val="Default"/>
              <w:rPr>
                <w:sz w:val="22"/>
                <w:szCs w:val="22"/>
              </w:rPr>
            </w:pPr>
          </w:p>
          <w:p w14:paraId="3986C362" w14:textId="77777777" w:rsidR="00F171D9" w:rsidRPr="001300A9" w:rsidRDefault="00F171D9" w:rsidP="00357CEC">
            <w:pPr>
              <w:pStyle w:val="Default"/>
              <w:rPr>
                <w:sz w:val="22"/>
                <w:szCs w:val="22"/>
              </w:rPr>
            </w:pPr>
          </w:p>
          <w:p w14:paraId="30182247" w14:textId="77777777" w:rsidR="00F171D9" w:rsidRPr="001300A9" w:rsidRDefault="00F171D9" w:rsidP="00357CEC">
            <w:pPr>
              <w:pStyle w:val="Default"/>
              <w:rPr>
                <w:sz w:val="22"/>
                <w:szCs w:val="22"/>
              </w:rPr>
            </w:pPr>
          </w:p>
          <w:p w14:paraId="5D20BA60" w14:textId="77777777" w:rsidR="00F171D9" w:rsidRPr="001300A9" w:rsidRDefault="00F171D9" w:rsidP="00357CEC">
            <w:pPr>
              <w:pStyle w:val="Default"/>
              <w:rPr>
                <w:sz w:val="22"/>
                <w:szCs w:val="22"/>
              </w:rPr>
            </w:pPr>
          </w:p>
          <w:p w14:paraId="0FD6132D" w14:textId="77777777" w:rsidR="00F171D9" w:rsidRPr="001300A9" w:rsidRDefault="00F171D9" w:rsidP="00357CEC">
            <w:pPr>
              <w:pStyle w:val="Default"/>
              <w:rPr>
                <w:sz w:val="22"/>
                <w:szCs w:val="22"/>
              </w:rPr>
            </w:pPr>
          </w:p>
          <w:p w14:paraId="7F8B20E0" w14:textId="77777777" w:rsidR="00F171D9" w:rsidRPr="001300A9" w:rsidRDefault="00F171D9" w:rsidP="00357CEC">
            <w:pPr>
              <w:pStyle w:val="Default"/>
              <w:rPr>
                <w:sz w:val="22"/>
                <w:szCs w:val="22"/>
              </w:rPr>
            </w:pPr>
          </w:p>
          <w:p w14:paraId="20BA5DB8" w14:textId="77777777" w:rsidR="00F171D9" w:rsidRPr="001300A9" w:rsidRDefault="00F171D9" w:rsidP="00357CEC">
            <w:pPr>
              <w:pStyle w:val="Default"/>
              <w:rPr>
                <w:sz w:val="22"/>
                <w:szCs w:val="22"/>
              </w:rPr>
            </w:pPr>
          </w:p>
          <w:p w14:paraId="1F17AE98" w14:textId="77777777" w:rsidR="00F171D9" w:rsidRPr="001300A9" w:rsidRDefault="00F171D9" w:rsidP="00357CEC">
            <w:pPr>
              <w:pStyle w:val="Default"/>
              <w:rPr>
                <w:sz w:val="22"/>
                <w:szCs w:val="22"/>
              </w:rPr>
            </w:pPr>
          </w:p>
          <w:p w14:paraId="72C147FF" w14:textId="77777777" w:rsidR="00F171D9" w:rsidRPr="001300A9" w:rsidRDefault="00F171D9" w:rsidP="00357CEC">
            <w:pPr>
              <w:pStyle w:val="Default"/>
              <w:rPr>
                <w:sz w:val="22"/>
                <w:szCs w:val="22"/>
              </w:rPr>
            </w:pPr>
          </w:p>
          <w:p w14:paraId="59621929" w14:textId="77777777" w:rsidR="00F171D9" w:rsidRPr="001300A9" w:rsidRDefault="00F171D9" w:rsidP="00357CEC">
            <w:pPr>
              <w:pStyle w:val="Default"/>
              <w:rPr>
                <w:sz w:val="22"/>
                <w:szCs w:val="22"/>
              </w:rPr>
            </w:pPr>
          </w:p>
          <w:p w14:paraId="071DC3DD" w14:textId="77777777" w:rsidR="00F171D9" w:rsidRPr="001300A9" w:rsidRDefault="00F171D9" w:rsidP="00357CEC">
            <w:pPr>
              <w:pStyle w:val="Default"/>
              <w:rPr>
                <w:sz w:val="22"/>
                <w:szCs w:val="22"/>
              </w:rPr>
            </w:pPr>
          </w:p>
          <w:p w14:paraId="56F8B22E" w14:textId="77777777" w:rsidR="00F171D9" w:rsidRPr="001300A9" w:rsidRDefault="00F171D9" w:rsidP="00357CEC">
            <w:pPr>
              <w:pStyle w:val="Default"/>
              <w:rPr>
                <w:sz w:val="22"/>
                <w:szCs w:val="22"/>
              </w:rPr>
            </w:pPr>
          </w:p>
          <w:p w14:paraId="12F3321A" w14:textId="77777777" w:rsidR="00F171D9" w:rsidRPr="001300A9" w:rsidRDefault="00F171D9" w:rsidP="00357CEC">
            <w:pPr>
              <w:pStyle w:val="Default"/>
              <w:rPr>
                <w:sz w:val="22"/>
                <w:szCs w:val="22"/>
              </w:rPr>
            </w:pPr>
          </w:p>
          <w:p w14:paraId="2591BC25" w14:textId="77777777" w:rsidR="00F171D9" w:rsidRPr="001300A9" w:rsidRDefault="00F171D9" w:rsidP="00357CEC">
            <w:pPr>
              <w:pStyle w:val="Default"/>
              <w:rPr>
                <w:sz w:val="22"/>
                <w:szCs w:val="22"/>
              </w:rPr>
            </w:pPr>
          </w:p>
          <w:p w14:paraId="037C112F" w14:textId="77777777" w:rsidR="00F171D9" w:rsidRPr="001300A9" w:rsidRDefault="00F171D9" w:rsidP="00357CEC">
            <w:pPr>
              <w:pStyle w:val="Default"/>
              <w:rPr>
                <w:sz w:val="22"/>
                <w:szCs w:val="22"/>
              </w:rPr>
            </w:pPr>
          </w:p>
          <w:p w14:paraId="609E32BE" w14:textId="77777777" w:rsidR="00F171D9" w:rsidRPr="001300A9" w:rsidRDefault="00F171D9" w:rsidP="00357CEC">
            <w:pPr>
              <w:pStyle w:val="Default"/>
              <w:rPr>
                <w:sz w:val="22"/>
                <w:szCs w:val="22"/>
              </w:rPr>
            </w:pPr>
          </w:p>
          <w:p w14:paraId="120E69DB" w14:textId="77777777" w:rsidR="00F171D9" w:rsidRPr="001300A9" w:rsidRDefault="00F171D9" w:rsidP="00357CEC">
            <w:pPr>
              <w:pStyle w:val="Default"/>
              <w:rPr>
                <w:sz w:val="22"/>
                <w:szCs w:val="22"/>
              </w:rPr>
            </w:pPr>
          </w:p>
          <w:p w14:paraId="63E0304D" w14:textId="77777777" w:rsidR="00F171D9" w:rsidRPr="001300A9" w:rsidRDefault="00F171D9" w:rsidP="00357CEC">
            <w:pPr>
              <w:pStyle w:val="Default"/>
              <w:rPr>
                <w:sz w:val="22"/>
                <w:szCs w:val="22"/>
              </w:rPr>
            </w:pPr>
          </w:p>
          <w:p w14:paraId="54AD7081" w14:textId="77777777" w:rsidR="00F171D9" w:rsidRPr="001300A9" w:rsidRDefault="00F171D9" w:rsidP="00357CEC">
            <w:pPr>
              <w:pStyle w:val="Default"/>
              <w:rPr>
                <w:sz w:val="22"/>
                <w:szCs w:val="22"/>
              </w:rPr>
            </w:pPr>
          </w:p>
          <w:p w14:paraId="54A62FC5" w14:textId="77777777" w:rsidR="00F171D9" w:rsidRPr="001300A9" w:rsidRDefault="00F171D9" w:rsidP="00357CEC">
            <w:pPr>
              <w:pStyle w:val="Default"/>
              <w:rPr>
                <w:sz w:val="22"/>
                <w:szCs w:val="22"/>
              </w:rPr>
            </w:pPr>
          </w:p>
          <w:p w14:paraId="7B4A5724" w14:textId="77777777" w:rsidR="00F171D9" w:rsidRPr="001300A9" w:rsidRDefault="00F171D9" w:rsidP="00357CEC">
            <w:pPr>
              <w:pStyle w:val="Default"/>
              <w:rPr>
                <w:sz w:val="22"/>
                <w:szCs w:val="22"/>
              </w:rPr>
            </w:pPr>
          </w:p>
          <w:p w14:paraId="42B9EEC9" w14:textId="77777777" w:rsidR="00F171D9" w:rsidRPr="001300A9" w:rsidRDefault="00F171D9" w:rsidP="00357CEC">
            <w:pPr>
              <w:pStyle w:val="Default"/>
              <w:rPr>
                <w:sz w:val="22"/>
                <w:szCs w:val="22"/>
              </w:rPr>
            </w:pPr>
          </w:p>
          <w:p w14:paraId="1477092B" w14:textId="77777777" w:rsidR="00F171D9" w:rsidRPr="001300A9" w:rsidRDefault="00F171D9" w:rsidP="00357CEC">
            <w:pPr>
              <w:pStyle w:val="Default"/>
              <w:rPr>
                <w:sz w:val="22"/>
                <w:szCs w:val="22"/>
              </w:rPr>
            </w:pPr>
          </w:p>
          <w:p w14:paraId="724216E4" w14:textId="77777777" w:rsidR="00F171D9" w:rsidRPr="001300A9" w:rsidRDefault="00F171D9" w:rsidP="00357CEC">
            <w:pPr>
              <w:pStyle w:val="Default"/>
              <w:rPr>
                <w:sz w:val="22"/>
                <w:szCs w:val="22"/>
              </w:rPr>
            </w:pPr>
          </w:p>
          <w:p w14:paraId="6266CFAC" w14:textId="77777777" w:rsidR="00F171D9" w:rsidRPr="001300A9" w:rsidRDefault="00F171D9" w:rsidP="00357CEC">
            <w:pPr>
              <w:pStyle w:val="Default"/>
              <w:rPr>
                <w:sz w:val="22"/>
                <w:szCs w:val="22"/>
              </w:rPr>
            </w:pPr>
          </w:p>
          <w:p w14:paraId="52C276E7" w14:textId="77777777" w:rsidR="00F171D9" w:rsidRPr="001300A9" w:rsidRDefault="00F171D9" w:rsidP="00357CEC">
            <w:pPr>
              <w:pStyle w:val="Default"/>
              <w:rPr>
                <w:sz w:val="22"/>
                <w:szCs w:val="22"/>
              </w:rPr>
            </w:pPr>
          </w:p>
          <w:p w14:paraId="1FE1227E" w14:textId="77777777" w:rsidR="00F171D9" w:rsidRPr="001300A9" w:rsidRDefault="00F171D9" w:rsidP="00357CEC">
            <w:pPr>
              <w:pStyle w:val="Default"/>
              <w:rPr>
                <w:sz w:val="22"/>
                <w:szCs w:val="22"/>
              </w:rPr>
            </w:pPr>
          </w:p>
          <w:p w14:paraId="42B06EBB" w14:textId="77777777" w:rsidR="00F171D9" w:rsidRPr="001300A9" w:rsidRDefault="00F171D9" w:rsidP="00357CEC">
            <w:pPr>
              <w:pStyle w:val="Default"/>
              <w:rPr>
                <w:sz w:val="22"/>
                <w:szCs w:val="22"/>
              </w:rPr>
            </w:pPr>
          </w:p>
          <w:p w14:paraId="3A07DC88" w14:textId="77777777" w:rsidR="00F171D9" w:rsidRPr="001300A9" w:rsidRDefault="00F171D9" w:rsidP="00357CEC">
            <w:pPr>
              <w:pStyle w:val="Default"/>
              <w:rPr>
                <w:sz w:val="22"/>
                <w:szCs w:val="22"/>
              </w:rPr>
            </w:pPr>
          </w:p>
          <w:p w14:paraId="680F1BB6" w14:textId="77777777" w:rsidR="00F171D9" w:rsidRPr="001300A9" w:rsidRDefault="00F171D9" w:rsidP="00357CEC">
            <w:pPr>
              <w:pStyle w:val="Default"/>
              <w:rPr>
                <w:sz w:val="22"/>
                <w:szCs w:val="22"/>
              </w:rPr>
            </w:pPr>
          </w:p>
          <w:p w14:paraId="6E1B73CF" w14:textId="77777777" w:rsidR="00F171D9" w:rsidRPr="001300A9" w:rsidRDefault="00F171D9" w:rsidP="00357CEC">
            <w:pPr>
              <w:pStyle w:val="Default"/>
              <w:rPr>
                <w:sz w:val="22"/>
                <w:szCs w:val="22"/>
              </w:rPr>
            </w:pPr>
          </w:p>
          <w:p w14:paraId="07189F7F" w14:textId="77777777" w:rsidR="00F171D9" w:rsidRPr="001300A9" w:rsidRDefault="00F171D9" w:rsidP="00357CEC">
            <w:pPr>
              <w:pStyle w:val="Default"/>
              <w:rPr>
                <w:sz w:val="22"/>
                <w:szCs w:val="22"/>
              </w:rPr>
            </w:pPr>
          </w:p>
          <w:p w14:paraId="0CBD77DB" w14:textId="77777777" w:rsidR="00F171D9" w:rsidRPr="001300A9" w:rsidRDefault="00F171D9" w:rsidP="00357CEC">
            <w:pPr>
              <w:pStyle w:val="Default"/>
              <w:rPr>
                <w:sz w:val="22"/>
                <w:szCs w:val="22"/>
              </w:rPr>
            </w:pPr>
          </w:p>
          <w:p w14:paraId="68A4F769" w14:textId="77777777" w:rsidR="00F171D9" w:rsidRPr="001300A9" w:rsidRDefault="00F171D9" w:rsidP="00357CEC">
            <w:pPr>
              <w:pStyle w:val="Default"/>
              <w:rPr>
                <w:sz w:val="22"/>
                <w:szCs w:val="22"/>
              </w:rPr>
            </w:pPr>
          </w:p>
          <w:p w14:paraId="73FD5264" w14:textId="77777777" w:rsidR="00F171D9" w:rsidRPr="001300A9" w:rsidRDefault="00F171D9" w:rsidP="00357CEC">
            <w:pPr>
              <w:pStyle w:val="Default"/>
              <w:rPr>
                <w:sz w:val="22"/>
                <w:szCs w:val="22"/>
              </w:rPr>
            </w:pPr>
          </w:p>
          <w:p w14:paraId="5FD2D05C" w14:textId="77777777" w:rsidR="00F171D9" w:rsidRPr="001300A9" w:rsidRDefault="00F171D9" w:rsidP="00357CEC">
            <w:pPr>
              <w:pStyle w:val="Default"/>
              <w:rPr>
                <w:sz w:val="22"/>
                <w:szCs w:val="22"/>
              </w:rPr>
            </w:pPr>
          </w:p>
          <w:p w14:paraId="77958850" w14:textId="77777777" w:rsidR="00F171D9" w:rsidRPr="001300A9" w:rsidRDefault="00F171D9" w:rsidP="00357CEC">
            <w:pPr>
              <w:pStyle w:val="Default"/>
              <w:rPr>
                <w:sz w:val="22"/>
                <w:szCs w:val="22"/>
              </w:rPr>
            </w:pPr>
          </w:p>
          <w:p w14:paraId="670ABB98" w14:textId="77777777" w:rsidR="00F171D9" w:rsidRPr="001300A9" w:rsidRDefault="00F171D9" w:rsidP="00357CEC">
            <w:pPr>
              <w:pStyle w:val="Default"/>
              <w:rPr>
                <w:sz w:val="22"/>
                <w:szCs w:val="22"/>
              </w:rPr>
            </w:pPr>
          </w:p>
          <w:p w14:paraId="1BA9E6DF" w14:textId="77777777" w:rsidR="00F171D9" w:rsidRPr="001300A9" w:rsidRDefault="00F171D9" w:rsidP="00357CEC">
            <w:pPr>
              <w:pStyle w:val="Default"/>
              <w:rPr>
                <w:sz w:val="22"/>
                <w:szCs w:val="22"/>
              </w:rPr>
            </w:pPr>
          </w:p>
          <w:p w14:paraId="15935D0F" w14:textId="77777777" w:rsidR="00F171D9" w:rsidRPr="001300A9" w:rsidRDefault="00F171D9" w:rsidP="00357CEC">
            <w:pPr>
              <w:pStyle w:val="Default"/>
              <w:rPr>
                <w:sz w:val="22"/>
                <w:szCs w:val="22"/>
              </w:rPr>
            </w:pPr>
          </w:p>
          <w:p w14:paraId="46E464E6" w14:textId="77777777" w:rsidR="00F171D9" w:rsidRPr="001300A9" w:rsidRDefault="00F171D9" w:rsidP="00357CEC">
            <w:pPr>
              <w:pStyle w:val="Default"/>
              <w:rPr>
                <w:sz w:val="22"/>
                <w:szCs w:val="22"/>
              </w:rPr>
            </w:pPr>
          </w:p>
          <w:p w14:paraId="6505BF06" w14:textId="77777777" w:rsidR="00F171D9" w:rsidRPr="001300A9" w:rsidRDefault="00F171D9" w:rsidP="00357CEC">
            <w:pPr>
              <w:pStyle w:val="Default"/>
              <w:rPr>
                <w:sz w:val="22"/>
                <w:szCs w:val="22"/>
              </w:rPr>
            </w:pPr>
          </w:p>
          <w:p w14:paraId="0E3CB883" w14:textId="77777777" w:rsidR="00F171D9" w:rsidRPr="001300A9" w:rsidRDefault="00F171D9" w:rsidP="00357CEC">
            <w:pPr>
              <w:pStyle w:val="Default"/>
              <w:rPr>
                <w:sz w:val="22"/>
                <w:szCs w:val="22"/>
              </w:rPr>
            </w:pPr>
          </w:p>
          <w:p w14:paraId="0CB70DED" w14:textId="77777777" w:rsidR="00F171D9" w:rsidRPr="001300A9" w:rsidRDefault="00F171D9" w:rsidP="00357CEC">
            <w:pPr>
              <w:pStyle w:val="Default"/>
              <w:rPr>
                <w:sz w:val="22"/>
                <w:szCs w:val="22"/>
              </w:rPr>
            </w:pPr>
          </w:p>
          <w:p w14:paraId="7A7302EB" w14:textId="77777777" w:rsidR="00F171D9" w:rsidRPr="001300A9" w:rsidRDefault="00F171D9" w:rsidP="00357CEC">
            <w:pPr>
              <w:pStyle w:val="Default"/>
              <w:rPr>
                <w:sz w:val="22"/>
                <w:szCs w:val="22"/>
              </w:rPr>
            </w:pPr>
          </w:p>
          <w:p w14:paraId="304F324A" w14:textId="77777777" w:rsidR="00F171D9" w:rsidRPr="001300A9" w:rsidRDefault="00F171D9" w:rsidP="00357CEC">
            <w:pPr>
              <w:pStyle w:val="Default"/>
              <w:rPr>
                <w:sz w:val="22"/>
                <w:szCs w:val="22"/>
              </w:rPr>
            </w:pPr>
          </w:p>
          <w:p w14:paraId="3200BA7F" w14:textId="77777777" w:rsidR="00F171D9" w:rsidRPr="001300A9" w:rsidRDefault="00F171D9" w:rsidP="00357CEC">
            <w:pPr>
              <w:pStyle w:val="Default"/>
              <w:rPr>
                <w:sz w:val="22"/>
                <w:szCs w:val="22"/>
              </w:rPr>
            </w:pPr>
          </w:p>
          <w:p w14:paraId="40B28AC8" w14:textId="77777777" w:rsidR="00F171D9" w:rsidRPr="001300A9" w:rsidRDefault="00F171D9" w:rsidP="00357CEC">
            <w:pPr>
              <w:pStyle w:val="Default"/>
              <w:rPr>
                <w:sz w:val="22"/>
                <w:szCs w:val="22"/>
              </w:rPr>
            </w:pPr>
          </w:p>
          <w:p w14:paraId="64EDB4B3" w14:textId="77777777" w:rsidR="00F171D9" w:rsidRPr="001300A9" w:rsidRDefault="00F171D9" w:rsidP="00357CEC">
            <w:pPr>
              <w:pStyle w:val="Default"/>
              <w:rPr>
                <w:sz w:val="22"/>
                <w:szCs w:val="22"/>
              </w:rPr>
            </w:pPr>
          </w:p>
          <w:p w14:paraId="64A8C630" w14:textId="77777777" w:rsidR="00F171D9" w:rsidRPr="001300A9" w:rsidRDefault="00F171D9" w:rsidP="00357CEC">
            <w:pPr>
              <w:pStyle w:val="Default"/>
              <w:rPr>
                <w:sz w:val="22"/>
                <w:szCs w:val="22"/>
              </w:rPr>
            </w:pPr>
          </w:p>
          <w:p w14:paraId="4CC35023" w14:textId="77777777" w:rsidR="00F171D9" w:rsidRPr="001300A9" w:rsidRDefault="00F171D9" w:rsidP="00357CEC">
            <w:pPr>
              <w:pStyle w:val="Default"/>
              <w:rPr>
                <w:sz w:val="22"/>
                <w:szCs w:val="22"/>
              </w:rPr>
            </w:pPr>
          </w:p>
          <w:p w14:paraId="4ACADD6F" w14:textId="77777777" w:rsidR="00F171D9" w:rsidRPr="001300A9" w:rsidRDefault="00F171D9" w:rsidP="00357CEC">
            <w:pPr>
              <w:pStyle w:val="Default"/>
              <w:rPr>
                <w:sz w:val="22"/>
                <w:szCs w:val="22"/>
              </w:rPr>
            </w:pPr>
          </w:p>
          <w:p w14:paraId="37FA9E69" w14:textId="77777777" w:rsidR="00F171D9" w:rsidRPr="001300A9" w:rsidRDefault="00F171D9" w:rsidP="00357CEC">
            <w:pPr>
              <w:pStyle w:val="Default"/>
              <w:rPr>
                <w:sz w:val="22"/>
                <w:szCs w:val="22"/>
              </w:rPr>
            </w:pPr>
          </w:p>
          <w:p w14:paraId="0FAE7DC1" w14:textId="77777777" w:rsidR="00F171D9" w:rsidRPr="001300A9" w:rsidRDefault="00F171D9" w:rsidP="00357CEC">
            <w:pPr>
              <w:pStyle w:val="Default"/>
              <w:rPr>
                <w:sz w:val="22"/>
                <w:szCs w:val="22"/>
              </w:rPr>
            </w:pPr>
          </w:p>
          <w:p w14:paraId="0FB1B1AA" w14:textId="77777777" w:rsidR="00F171D9" w:rsidRPr="001300A9" w:rsidRDefault="00F171D9" w:rsidP="00357CEC">
            <w:pPr>
              <w:pStyle w:val="Default"/>
              <w:rPr>
                <w:sz w:val="22"/>
                <w:szCs w:val="22"/>
              </w:rPr>
            </w:pPr>
          </w:p>
          <w:p w14:paraId="34125EA0" w14:textId="77777777" w:rsidR="00F171D9" w:rsidRPr="001300A9" w:rsidRDefault="00F171D9" w:rsidP="00357CEC">
            <w:pPr>
              <w:pStyle w:val="Default"/>
              <w:rPr>
                <w:sz w:val="22"/>
                <w:szCs w:val="22"/>
              </w:rPr>
            </w:pPr>
          </w:p>
          <w:p w14:paraId="008E633D" w14:textId="77777777" w:rsidR="00F171D9" w:rsidRPr="001300A9" w:rsidRDefault="00F171D9" w:rsidP="00357CEC">
            <w:pPr>
              <w:pStyle w:val="Default"/>
              <w:rPr>
                <w:sz w:val="22"/>
                <w:szCs w:val="22"/>
              </w:rPr>
            </w:pPr>
          </w:p>
          <w:p w14:paraId="19A7EE7F" w14:textId="77777777" w:rsidR="00F171D9" w:rsidRPr="001300A9" w:rsidRDefault="00F171D9" w:rsidP="00357CEC">
            <w:pPr>
              <w:pStyle w:val="Default"/>
              <w:rPr>
                <w:sz w:val="22"/>
                <w:szCs w:val="22"/>
              </w:rPr>
            </w:pPr>
          </w:p>
          <w:p w14:paraId="603340B8" w14:textId="77777777" w:rsidR="00F171D9" w:rsidRPr="001300A9" w:rsidRDefault="00F171D9" w:rsidP="00357CEC">
            <w:pPr>
              <w:pStyle w:val="Default"/>
              <w:rPr>
                <w:sz w:val="22"/>
                <w:szCs w:val="22"/>
              </w:rPr>
            </w:pPr>
          </w:p>
          <w:p w14:paraId="18E275A9" w14:textId="77777777" w:rsidR="00F171D9" w:rsidRPr="001300A9" w:rsidRDefault="00F171D9" w:rsidP="00357CEC">
            <w:pPr>
              <w:pStyle w:val="Default"/>
              <w:rPr>
                <w:sz w:val="22"/>
                <w:szCs w:val="22"/>
              </w:rPr>
            </w:pPr>
          </w:p>
          <w:p w14:paraId="243EEE99" w14:textId="77777777" w:rsidR="00F171D9" w:rsidRPr="001300A9" w:rsidRDefault="00F171D9" w:rsidP="00357CEC">
            <w:pPr>
              <w:pStyle w:val="Default"/>
              <w:rPr>
                <w:sz w:val="22"/>
                <w:szCs w:val="22"/>
              </w:rPr>
            </w:pPr>
          </w:p>
          <w:p w14:paraId="3EDFE24B" w14:textId="6CC8F4F2" w:rsidR="00F171D9" w:rsidRDefault="00F171D9" w:rsidP="00357CEC">
            <w:pPr>
              <w:pStyle w:val="Default"/>
              <w:rPr>
                <w:sz w:val="22"/>
                <w:szCs w:val="22"/>
              </w:rPr>
            </w:pPr>
          </w:p>
          <w:p w14:paraId="7469EB7C" w14:textId="1E7BF2C1" w:rsidR="00730219" w:rsidRDefault="00730219" w:rsidP="00357CEC">
            <w:pPr>
              <w:pStyle w:val="Default"/>
              <w:rPr>
                <w:sz w:val="22"/>
                <w:szCs w:val="22"/>
              </w:rPr>
            </w:pPr>
          </w:p>
          <w:p w14:paraId="141C8F96" w14:textId="26BD2D2F" w:rsidR="00730219" w:rsidRDefault="00730219" w:rsidP="00357CEC">
            <w:pPr>
              <w:pStyle w:val="Default"/>
              <w:rPr>
                <w:sz w:val="22"/>
                <w:szCs w:val="22"/>
              </w:rPr>
            </w:pPr>
          </w:p>
          <w:p w14:paraId="427B26B0" w14:textId="77777777" w:rsidR="00730219" w:rsidRPr="001300A9" w:rsidRDefault="00730219" w:rsidP="00357CEC">
            <w:pPr>
              <w:pStyle w:val="Default"/>
              <w:rPr>
                <w:sz w:val="22"/>
                <w:szCs w:val="22"/>
              </w:rPr>
            </w:pPr>
          </w:p>
          <w:p w14:paraId="2333EC86" w14:textId="310D7E57" w:rsidR="00287825" w:rsidRDefault="00287825" w:rsidP="00357CEC">
            <w:pPr>
              <w:pStyle w:val="Default"/>
              <w:rPr>
                <w:sz w:val="22"/>
                <w:szCs w:val="22"/>
              </w:rPr>
            </w:pPr>
          </w:p>
          <w:p w14:paraId="1ADBB7B8" w14:textId="4C017981" w:rsidR="5F673433" w:rsidRDefault="5F673433" w:rsidP="5F673433">
            <w:pPr>
              <w:pStyle w:val="Default"/>
              <w:rPr>
                <w:sz w:val="22"/>
                <w:szCs w:val="22"/>
              </w:rPr>
            </w:pPr>
          </w:p>
          <w:p w14:paraId="3EB4D93D" w14:textId="11187986" w:rsidR="5F673433" w:rsidRDefault="5F673433" w:rsidP="5F673433">
            <w:pPr>
              <w:pStyle w:val="Default"/>
              <w:rPr>
                <w:sz w:val="22"/>
                <w:szCs w:val="22"/>
              </w:rPr>
            </w:pPr>
          </w:p>
          <w:p w14:paraId="5CD3A9F4" w14:textId="114B247E" w:rsidR="5F673433" w:rsidRDefault="5F673433" w:rsidP="5F673433">
            <w:pPr>
              <w:pStyle w:val="Default"/>
              <w:rPr>
                <w:sz w:val="22"/>
                <w:szCs w:val="22"/>
              </w:rPr>
            </w:pPr>
          </w:p>
          <w:p w14:paraId="750BE713" w14:textId="1E625D19" w:rsidR="5F673433" w:rsidRDefault="5F673433" w:rsidP="5F673433">
            <w:pPr>
              <w:pStyle w:val="Default"/>
              <w:rPr>
                <w:sz w:val="22"/>
                <w:szCs w:val="22"/>
              </w:rPr>
            </w:pPr>
          </w:p>
          <w:p w14:paraId="1ACE2232" w14:textId="76772F9B" w:rsidR="5F673433" w:rsidRDefault="5F673433" w:rsidP="5F673433">
            <w:pPr>
              <w:pStyle w:val="Default"/>
              <w:rPr>
                <w:sz w:val="22"/>
                <w:szCs w:val="22"/>
              </w:rPr>
            </w:pPr>
          </w:p>
          <w:p w14:paraId="3EB22EC8" w14:textId="7A35E648" w:rsidR="00F171D9" w:rsidRPr="001300A9" w:rsidRDefault="00891428" w:rsidP="00357CEC">
            <w:pPr>
              <w:pStyle w:val="Default"/>
              <w:rPr>
                <w:sz w:val="22"/>
                <w:szCs w:val="22"/>
              </w:rPr>
            </w:pPr>
            <w:r w:rsidRPr="00223C49">
              <w:rPr>
                <w:sz w:val="22"/>
                <w:szCs w:val="22"/>
              </w:rPr>
              <w:t>Č</w:t>
            </w:r>
          </w:p>
          <w:p w14:paraId="6C1B08CA" w14:textId="77777777" w:rsidR="00F171D9" w:rsidRPr="001300A9" w:rsidRDefault="00F171D9" w:rsidP="00357CEC">
            <w:pPr>
              <w:pStyle w:val="Default"/>
              <w:rPr>
                <w:sz w:val="22"/>
                <w:szCs w:val="22"/>
              </w:rPr>
            </w:pPr>
          </w:p>
          <w:p w14:paraId="33043335" w14:textId="77777777" w:rsidR="00F171D9" w:rsidRPr="001300A9" w:rsidRDefault="00F171D9" w:rsidP="00357CEC">
            <w:pPr>
              <w:pStyle w:val="Default"/>
              <w:rPr>
                <w:sz w:val="22"/>
                <w:szCs w:val="22"/>
              </w:rPr>
            </w:pPr>
          </w:p>
          <w:p w14:paraId="3B62E386" w14:textId="77777777" w:rsidR="00F171D9" w:rsidRPr="001300A9" w:rsidRDefault="00F171D9" w:rsidP="00357CEC">
            <w:pPr>
              <w:pStyle w:val="Default"/>
              <w:rPr>
                <w:sz w:val="22"/>
                <w:szCs w:val="22"/>
              </w:rPr>
            </w:pPr>
          </w:p>
          <w:p w14:paraId="5619EE58" w14:textId="77777777" w:rsidR="00F171D9" w:rsidRPr="001300A9" w:rsidRDefault="00F171D9" w:rsidP="00357CEC">
            <w:pPr>
              <w:pStyle w:val="Default"/>
              <w:rPr>
                <w:sz w:val="22"/>
                <w:szCs w:val="22"/>
              </w:rPr>
            </w:pPr>
          </w:p>
          <w:p w14:paraId="242E012C" w14:textId="77777777" w:rsidR="00F171D9" w:rsidRPr="001300A9" w:rsidRDefault="00F171D9" w:rsidP="00357CEC">
            <w:pPr>
              <w:pStyle w:val="Default"/>
              <w:rPr>
                <w:sz w:val="22"/>
                <w:szCs w:val="22"/>
              </w:rPr>
            </w:pPr>
          </w:p>
          <w:p w14:paraId="6ED3495E" w14:textId="77777777" w:rsidR="00F171D9" w:rsidRPr="001300A9" w:rsidRDefault="00F171D9" w:rsidP="00357CEC">
            <w:pPr>
              <w:pStyle w:val="Default"/>
              <w:rPr>
                <w:sz w:val="22"/>
                <w:szCs w:val="22"/>
              </w:rPr>
            </w:pPr>
          </w:p>
          <w:p w14:paraId="719136EB" w14:textId="77777777" w:rsidR="00F171D9" w:rsidRPr="001300A9" w:rsidRDefault="00F171D9" w:rsidP="00357CEC">
            <w:pPr>
              <w:pStyle w:val="Default"/>
              <w:rPr>
                <w:sz w:val="22"/>
                <w:szCs w:val="22"/>
              </w:rPr>
            </w:pPr>
          </w:p>
          <w:p w14:paraId="4CF762A1" w14:textId="77777777" w:rsidR="00F171D9" w:rsidRPr="001300A9" w:rsidRDefault="00F171D9" w:rsidP="00357CEC">
            <w:pPr>
              <w:pStyle w:val="Default"/>
              <w:rPr>
                <w:sz w:val="22"/>
                <w:szCs w:val="22"/>
              </w:rPr>
            </w:pPr>
          </w:p>
          <w:p w14:paraId="262895F2" w14:textId="77777777" w:rsidR="00F171D9" w:rsidRPr="001300A9" w:rsidRDefault="00F171D9" w:rsidP="00357CEC">
            <w:pPr>
              <w:pStyle w:val="Default"/>
              <w:rPr>
                <w:sz w:val="22"/>
                <w:szCs w:val="22"/>
              </w:rPr>
            </w:pPr>
          </w:p>
          <w:p w14:paraId="5A5EA41E" w14:textId="77777777" w:rsidR="00F171D9" w:rsidRPr="001300A9" w:rsidRDefault="00F171D9" w:rsidP="00357CEC">
            <w:pPr>
              <w:pStyle w:val="Default"/>
              <w:rPr>
                <w:sz w:val="22"/>
                <w:szCs w:val="22"/>
              </w:rPr>
            </w:pPr>
          </w:p>
          <w:p w14:paraId="3202EAAE" w14:textId="77777777" w:rsidR="00F171D9" w:rsidRPr="001300A9" w:rsidRDefault="00F171D9" w:rsidP="00357CEC">
            <w:pPr>
              <w:pStyle w:val="Default"/>
              <w:rPr>
                <w:sz w:val="22"/>
                <w:szCs w:val="22"/>
              </w:rPr>
            </w:pPr>
          </w:p>
          <w:p w14:paraId="3E0B32D0" w14:textId="77777777" w:rsidR="00F171D9" w:rsidRPr="001300A9" w:rsidRDefault="00F171D9" w:rsidP="00357CEC">
            <w:pPr>
              <w:pStyle w:val="Default"/>
              <w:rPr>
                <w:sz w:val="22"/>
                <w:szCs w:val="22"/>
              </w:rPr>
            </w:pPr>
          </w:p>
          <w:p w14:paraId="4A2DA3DE" w14:textId="77777777" w:rsidR="00F171D9" w:rsidRPr="001300A9" w:rsidRDefault="00F171D9" w:rsidP="00357CEC">
            <w:pPr>
              <w:pStyle w:val="Default"/>
              <w:rPr>
                <w:sz w:val="22"/>
                <w:szCs w:val="22"/>
              </w:rPr>
            </w:pPr>
          </w:p>
          <w:p w14:paraId="64801E32" w14:textId="77777777" w:rsidR="001560DE" w:rsidRPr="001300A9" w:rsidRDefault="001560DE" w:rsidP="00357CEC">
            <w:pPr>
              <w:pStyle w:val="Default"/>
              <w:rPr>
                <w:sz w:val="22"/>
                <w:szCs w:val="22"/>
              </w:rPr>
            </w:pPr>
          </w:p>
          <w:p w14:paraId="04641849" w14:textId="77777777" w:rsidR="00287825" w:rsidRDefault="00287825" w:rsidP="00357CEC">
            <w:pPr>
              <w:pStyle w:val="Default"/>
              <w:rPr>
                <w:sz w:val="22"/>
                <w:szCs w:val="22"/>
              </w:rPr>
            </w:pPr>
          </w:p>
          <w:p w14:paraId="4C88701F" w14:textId="77777777" w:rsidR="009D0AA1" w:rsidRDefault="009D0AA1" w:rsidP="00357CEC">
            <w:pPr>
              <w:pStyle w:val="Default"/>
              <w:rPr>
                <w:sz w:val="22"/>
                <w:szCs w:val="22"/>
              </w:rPr>
            </w:pPr>
          </w:p>
          <w:p w14:paraId="6A8BD053" w14:textId="77777777" w:rsidR="009D0AA1" w:rsidRDefault="009D0AA1" w:rsidP="00357CEC">
            <w:pPr>
              <w:pStyle w:val="Default"/>
              <w:rPr>
                <w:sz w:val="22"/>
                <w:szCs w:val="22"/>
              </w:rPr>
            </w:pPr>
          </w:p>
          <w:p w14:paraId="70ABCBCD" w14:textId="1D6E37A4" w:rsidR="00F171D9" w:rsidRPr="001300A9" w:rsidRDefault="00D60F20" w:rsidP="00357CEC">
            <w:pPr>
              <w:pStyle w:val="Default"/>
              <w:rPr>
                <w:sz w:val="22"/>
                <w:szCs w:val="22"/>
              </w:rPr>
            </w:pPr>
            <w:r w:rsidRPr="007E112E">
              <w:rPr>
                <w:sz w:val="22"/>
                <w:szCs w:val="22"/>
              </w:rPr>
              <w:t>Ž</w:t>
            </w:r>
          </w:p>
          <w:p w14:paraId="35AA35BC" w14:textId="77777777" w:rsidR="0077369F" w:rsidRPr="001300A9" w:rsidRDefault="0077369F" w:rsidP="00357CEC">
            <w:pPr>
              <w:pStyle w:val="Default"/>
              <w:rPr>
                <w:sz w:val="22"/>
                <w:szCs w:val="22"/>
              </w:rPr>
            </w:pPr>
          </w:p>
          <w:p w14:paraId="64B091C2" w14:textId="77777777" w:rsidR="0077369F" w:rsidRPr="001300A9" w:rsidRDefault="0077369F" w:rsidP="00357CEC">
            <w:pPr>
              <w:pStyle w:val="Default"/>
              <w:rPr>
                <w:sz w:val="22"/>
                <w:szCs w:val="22"/>
              </w:rPr>
            </w:pPr>
          </w:p>
          <w:p w14:paraId="4E54C434" w14:textId="77777777" w:rsidR="0077369F" w:rsidRPr="001300A9" w:rsidRDefault="0077369F" w:rsidP="00357CEC">
            <w:pPr>
              <w:pStyle w:val="Default"/>
              <w:rPr>
                <w:sz w:val="22"/>
                <w:szCs w:val="22"/>
              </w:rPr>
            </w:pPr>
          </w:p>
          <w:p w14:paraId="56364D97" w14:textId="77777777" w:rsidR="0077369F" w:rsidRPr="001300A9" w:rsidRDefault="0077369F" w:rsidP="00357CEC">
            <w:pPr>
              <w:pStyle w:val="Default"/>
              <w:rPr>
                <w:sz w:val="22"/>
                <w:szCs w:val="22"/>
              </w:rPr>
            </w:pPr>
          </w:p>
          <w:p w14:paraId="79DDF494" w14:textId="77777777" w:rsidR="0077369F" w:rsidRPr="001300A9" w:rsidRDefault="0077369F" w:rsidP="00357CEC">
            <w:pPr>
              <w:pStyle w:val="Default"/>
              <w:rPr>
                <w:sz w:val="22"/>
                <w:szCs w:val="22"/>
              </w:rPr>
            </w:pPr>
          </w:p>
          <w:p w14:paraId="45248A77" w14:textId="77777777" w:rsidR="0077369F" w:rsidRPr="001300A9" w:rsidRDefault="0077369F" w:rsidP="00357CEC">
            <w:pPr>
              <w:pStyle w:val="Default"/>
              <w:rPr>
                <w:sz w:val="22"/>
                <w:szCs w:val="22"/>
              </w:rPr>
            </w:pPr>
          </w:p>
          <w:p w14:paraId="3D540A9E" w14:textId="77777777" w:rsidR="0077369F" w:rsidRPr="001300A9" w:rsidRDefault="0077369F" w:rsidP="00357CEC">
            <w:pPr>
              <w:pStyle w:val="Default"/>
              <w:rPr>
                <w:sz w:val="22"/>
                <w:szCs w:val="22"/>
              </w:rPr>
            </w:pPr>
          </w:p>
          <w:p w14:paraId="08F15B4C" w14:textId="77777777" w:rsidR="0077369F" w:rsidRPr="001300A9" w:rsidRDefault="0077369F" w:rsidP="00357CEC">
            <w:pPr>
              <w:pStyle w:val="Default"/>
              <w:rPr>
                <w:sz w:val="22"/>
                <w:szCs w:val="22"/>
              </w:rPr>
            </w:pPr>
          </w:p>
          <w:p w14:paraId="20A20EE6" w14:textId="77777777" w:rsidR="0077369F" w:rsidRPr="001300A9" w:rsidRDefault="0077369F" w:rsidP="00357CEC">
            <w:pPr>
              <w:pStyle w:val="Default"/>
              <w:rPr>
                <w:sz w:val="22"/>
                <w:szCs w:val="22"/>
              </w:rPr>
            </w:pPr>
          </w:p>
          <w:p w14:paraId="350554F6" w14:textId="77777777" w:rsidR="0077369F" w:rsidRPr="001300A9" w:rsidRDefault="0077369F" w:rsidP="00357CEC">
            <w:pPr>
              <w:pStyle w:val="Default"/>
              <w:rPr>
                <w:sz w:val="22"/>
                <w:szCs w:val="22"/>
              </w:rPr>
            </w:pPr>
          </w:p>
          <w:p w14:paraId="1916D6B7" w14:textId="77777777" w:rsidR="0077369F" w:rsidRPr="001300A9" w:rsidRDefault="0077369F" w:rsidP="00357CEC">
            <w:pPr>
              <w:pStyle w:val="Default"/>
              <w:rPr>
                <w:sz w:val="22"/>
                <w:szCs w:val="22"/>
              </w:rPr>
            </w:pPr>
          </w:p>
          <w:p w14:paraId="26143423" w14:textId="77777777" w:rsidR="0077369F" w:rsidRPr="001300A9" w:rsidRDefault="0077369F" w:rsidP="00357CEC">
            <w:pPr>
              <w:pStyle w:val="Default"/>
              <w:rPr>
                <w:sz w:val="22"/>
                <w:szCs w:val="22"/>
              </w:rPr>
            </w:pPr>
          </w:p>
          <w:p w14:paraId="36F10589" w14:textId="77777777" w:rsidR="0077369F" w:rsidRPr="001300A9" w:rsidRDefault="0077369F" w:rsidP="00357CEC">
            <w:pPr>
              <w:pStyle w:val="Default"/>
              <w:rPr>
                <w:sz w:val="22"/>
                <w:szCs w:val="22"/>
              </w:rPr>
            </w:pPr>
          </w:p>
          <w:p w14:paraId="36064578" w14:textId="77777777" w:rsidR="0077369F" w:rsidRPr="001300A9" w:rsidRDefault="0077369F" w:rsidP="00357CEC">
            <w:pPr>
              <w:pStyle w:val="Default"/>
              <w:rPr>
                <w:sz w:val="22"/>
                <w:szCs w:val="22"/>
              </w:rPr>
            </w:pPr>
          </w:p>
          <w:p w14:paraId="10A6782C" w14:textId="77777777" w:rsidR="0077369F" w:rsidRPr="001300A9" w:rsidRDefault="0077369F" w:rsidP="00357CEC">
            <w:pPr>
              <w:pStyle w:val="Default"/>
              <w:rPr>
                <w:sz w:val="22"/>
                <w:szCs w:val="22"/>
              </w:rPr>
            </w:pPr>
          </w:p>
          <w:p w14:paraId="4E8C432E" w14:textId="77777777" w:rsidR="0077369F" w:rsidRPr="001300A9" w:rsidRDefault="0077369F" w:rsidP="00357CEC">
            <w:pPr>
              <w:pStyle w:val="Default"/>
              <w:rPr>
                <w:sz w:val="22"/>
                <w:szCs w:val="22"/>
              </w:rPr>
            </w:pPr>
          </w:p>
          <w:p w14:paraId="141FAAA9" w14:textId="77777777" w:rsidR="0077369F" w:rsidRPr="001300A9" w:rsidRDefault="0077369F" w:rsidP="00357CEC">
            <w:pPr>
              <w:pStyle w:val="Default"/>
              <w:rPr>
                <w:sz w:val="22"/>
                <w:szCs w:val="22"/>
              </w:rPr>
            </w:pPr>
          </w:p>
          <w:p w14:paraId="1FAB6B69" w14:textId="77777777" w:rsidR="0077369F" w:rsidRPr="001300A9" w:rsidRDefault="0077369F" w:rsidP="00357CEC">
            <w:pPr>
              <w:pStyle w:val="Default"/>
              <w:rPr>
                <w:sz w:val="22"/>
                <w:szCs w:val="22"/>
              </w:rPr>
            </w:pPr>
          </w:p>
          <w:p w14:paraId="34317AF2" w14:textId="2BBAD867" w:rsidR="5F673433" w:rsidRDefault="5F673433" w:rsidP="5F673433">
            <w:pPr>
              <w:pStyle w:val="Default"/>
              <w:rPr>
                <w:sz w:val="22"/>
                <w:szCs w:val="22"/>
              </w:rPr>
            </w:pPr>
          </w:p>
          <w:p w14:paraId="20686C79" w14:textId="7AC5A352" w:rsidR="5F673433" w:rsidRDefault="5F673433" w:rsidP="5F673433">
            <w:pPr>
              <w:pStyle w:val="Default"/>
              <w:rPr>
                <w:sz w:val="22"/>
                <w:szCs w:val="22"/>
              </w:rPr>
            </w:pPr>
          </w:p>
          <w:p w14:paraId="0332FDE9" w14:textId="77777777" w:rsidR="007E112E" w:rsidRPr="001300A9" w:rsidRDefault="007E112E" w:rsidP="007E112E">
            <w:pPr>
              <w:pStyle w:val="Default"/>
              <w:rPr>
                <w:sz w:val="22"/>
                <w:szCs w:val="22"/>
              </w:rPr>
            </w:pPr>
            <w:r w:rsidRPr="007E112E">
              <w:rPr>
                <w:sz w:val="22"/>
                <w:szCs w:val="22"/>
              </w:rPr>
              <w:t>Ž</w:t>
            </w:r>
          </w:p>
          <w:p w14:paraId="70D61569" w14:textId="77777777" w:rsidR="0077369F" w:rsidRPr="001300A9" w:rsidRDefault="0077369F" w:rsidP="00357CEC">
            <w:pPr>
              <w:pStyle w:val="Default"/>
              <w:rPr>
                <w:sz w:val="22"/>
                <w:szCs w:val="22"/>
              </w:rPr>
            </w:pPr>
          </w:p>
          <w:p w14:paraId="05A01866" w14:textId="77777777" w:rsidR="0077369F" w:rsidRPr="001300A9" w:rsidRDefault="0077369F" w:rsidP="00357CEC">
            <w:pPr>
              <w:pStyle w:val="Default"/>
              <w:rPr>
                <w:sz w:val="22"/>
                <w:szCs w:val="22"/>
              </w:rPr>
            </w:pPr>
          </w:p>
          <w:p w14:paraId="1F1EC297" w14:textId="77777777" w:rsidR="0077369F" w:rsidRPr="001300A9" w:rsidRDefault="0077369F" w:rsidP="00357CEC">
            <w:pPr>
              <w:pStyle w:val="Default"/>
              <w:rPr>
                <w:sz w:val="22"/>
                <w:szCs w:val="22"/>
              </w:rPr>
            </w:pPr>
          </w:p>
          <w:p w14:paraId="1AEF2036" w14:textId="77777777" w:rsidR="0077369F" w:rsidRPr="001300A9" w:rsidRDefault="0077369F" w:rsidP="00357CEC">
            <w:pPr>
              <w:pStyle w:val="Default"/>
              <w:rPr>
                <w:sz w:val="22"/>
                <w:szCs w:val="22"/>
              </w:rPr>
            </w:pPr>
          </w:p>
          <w:p w14:paraId="1CC0941C" w14:textId="77777777" w:rsidR="0077369F" w:rsidRPr="001300A9" w:rsidRDefault="0077369F" w:rsidP="00357CEC">
            <w:pPr>
              <w:pStyle w:val="Default"/>
              <w:rPr>
                <w:sz w:val="22"/>
                <w:szCs w:val="22"/>
              </w:rPr>
            </w:pPr>
          </w:p>
          <w:p w14:paraId="22F2269C" w14:textId="77777777" w:rsidR="0077369F" w:rsidRPr="001300A9" w:rsidRDefault="0077369F" w:rsidP="00357CEC">
            <w:pPr>
              <w:pStyle w:val="Default"/>
              <w:rPr>
                <w:sz w:val="22"/>
                <w:szCs w:val="22"/>
              </w:rPr>
            </w:pPr>
          </w:p>
          <w:p w14:paraId="66FF67AD" w14:textId="77777777" w:rsidR="0077369F" w:rsidRPr="001300A9" w:rsidRDefault="0077369F" w:rsidP="00357CEC">
            <w:pPr>
              <w:pStyle w:val="Default"/>
              <w:rPr>
                <w:sz w:val="22"/>
                <w:szCs w:val="22"/>
              </w:rPr>
            </w:pPr>
          </w:p>
          <w:p w14:paraId="01EEAAB3" w14:textId="77777777" w:rsidR="0077369F" w:rsidRPr="001300A9" w:rsidRDefault="0077369F" w:rsidP="00357CEC">
            <w:pPr>
              <w:pStyle w:val="Default"/>
              <w:rPr>
                <w:sz w:val="22"/>
                <w:szCs w:val="22"/>
              </w:rPr>
            </w:pPr>
          </w:p>
          <w:p w14:paraId="6114F344" w14:textId="77777777" w:rsidR="0077369F" w:rsidRPr="001300A9" w:rsidRDefault="0077369F" w:rsidP="00357CEC">
            <w:pPr>
              <w:pStyle w:val="Default"/>
              <w:rPr>
                <w:sz w:val="22"/>
                <w:szCs w:val="22"/>
              </w:rPr>
            </w:pPr>
          </w:p>
          <w:p w14:paraId="5C62ECD4" w14:textId="77777777" w:rsidR="0077369F" w:rsidRPr="001300A9" w:rsidRDefault="0077369F" w:rsidP="00357CEC">
            <w:pPr>
              <w:pStyle w:val="Default"/>
              <w:rPr>
                <w:sz w:val="22"/>
                <w:szCs w:val="22"/>
              </w:rPr>
            </w:pPr>
          </w:p>
          <w:p w14:paraId="43EBA51F" w14:textId="77777777" w:rsidR="0077369F" w:rsidRPr="001300A9" w:rsidRDefault="0077369F" w:rsidP="00357CEC">
            <w:pPr>
              <w:pStyle w:val="Default"/>
              <w:rPr>
                <w:sz w:val="22"/>
                <w:szCs w:val="22"/>
              </w:rPr>
            </w:pPr>
          </w:p>
          <w:p w14:paraId="7143A54E" w14:textId="77777777" w:rsidR="0077369F" w:rsidRPr="001300A9" w:rsidRDefault="0077369F" w:rsidP="00357CEC">
            <w:pPr>
              <w:pStyle w:val="Default"/>
              <w:rPr>
                <w:sz w:val="22"/>
                <w:szCs w:val="22"/>
              </w:rPr>
            </w:pPr>
          </w:p>
          <w:p w14:paraId="14301F06" w14:textId="77777777" w:rsidR="0077369F" w:rsidRPr="001300A9" w:rsidRDefault="0077369F" w:rsidP="00357CEC">
            <w:pPr>
              <w:pStyle w:val="Default"/>
              <w:rPr>
                <w:sz w:val="22"/>
                <w:szCs w:val="22"/>
              </w:rPr>
            </w:pPr>
          </w:p>
          <w:p w14:paraId="7882E7A7" w14:textId="77777777" w:rsidR="0077369F" w:rsidRPr="001300A9" w:rsidRDefault="0077369F" w:rsidP="00357CEC">
            <w:pPr>
              <w:pStyle w:val="Default"/>
              <w:rPr>
                <w:sz w:val="22"/>
                <w:szCs w:val="22"/>
              </w:rPr>
            </w:pPr>
          </w:p>
          <w:p w14:paraId="387FB1D5" w14:textId="77777777" w:rsidR="0077369F" w:rsidRPr="001300A9" w:rsidRDefault="0077369F" w:rsidP="00357CEC">
            <w:pPr>
              <w:pStyle w:val="Default"/>
              <w:rPr>
                <w:sz w:val="22"/>
                <w:szCs w:val="22"/>
              </w:rPr>
            </w:pPr>
          </w:p>
          <w:p w14:paraId="4F1E702E" w14:textId="77777777" w:rsidR="0077369F" w:rsidRPr="001300A9" w:rsidRDefault="0077369F" w:rsidP="00357CEC">
            <w:pPr>
              <w:pStyle w:val="Default"/>
              <w:rPr>
                <w:sz w:val="22"/>
                <w:szCs w:val="22"/>
              </w:rPr>
            </w:pPr>
          </w:p>
          <w:p w14:paraId="097C2D5A" w14:textId="77777777" w:rsidR="0077369F" w:rsidRPr="001300A9" w:rsidRDefault="0077369F" w:rsidP="00357CEC">
            <w:pPr>
              <w:pStyle w:val="Default"/>
              <w:rPr>
                <w:sz w:val="22"/>
                <w:szCs w:val="22"/>
              </w:rPr>
            </w:pPr>
          </w:p>
          <w:p w14:paraId="0A0D478C" w14:textId="77777777" w:rsidR="0077369F" w:rsidRPr="001300A9" w:rsidRDefault="0077369F" w:rsidP="00357CEC">
            <w:pPr>
              <w:pStyle w:val="Default"/>
              <w:rPr>
                <w:sz w:val="22"/>
                <w:szCs w:val="22"/>
              </w:rPr>
            </w:pPr>
          </w:p>
          <w:p w14:paraId="217A647C" w14:textId="77777777" w:rsidR="0077369F" w:rsidRPr="001300A9" w:rsidRDefault="0077369F" w:rsidP="00357CEC">
            <w:pPr>
              <w:pStyle w:val="Default"/>
              <w:rPr>
                <w:sz w:val="22"/>
                <w:szCs w:val="22"/>
              </w:rPr>
            </w:pPr>
          </w:p>
          <w:p w14:paraId="5DD7F2CB" w14:textId="77777777" w:rsidR="0077369F" w:rsidRPr="001300A9" w:rsidRDefault="0077369F" w:rsidP="00357CEC">
            <w:pPr>
              <w:pStyle w:val="Default"/>
              <w:rPr>
                <w:sz w:val="22"/>
                <w:szCs w:val="22"/>
              </w:rPr>
            </w:pPr>
          </w:p>
          <w:p w14:paraId="14CE2B70" w14:textId="77777777" w:rsidR="0077369F" w:rsidRPr="001300A9" w:rsidRDefault="0077369F" w:rsidP="00357CEC">
            <w:pPr>
              <w:pStyle w:val="Default"/>
              <w:rPr>
                <w:sz w:val="22"/>
                <w:szCs w:val="22"/>
              </w:rPr>
            </w:pPr>
          </w:p>
          <w:p w14:paraId="75ECAAA2" w14:textId="77777777" w:rsidR="0077369F" w:rsidRPr="001300A9" w:rsidRDefault="0077369F" w:rsidP="00357CEC">
            <w:pPr>
              <w:pStyle w:val="Default"/>
              <w:rPr>
                <w:sz w:val="22"/>
                <w:szCs w:val="22"/>
              </w:rPr>
            </w:pPr>
          </w:p>
          <w:p w14:paraId="25F8B586" w14:textId="77777777" w:rsidR="0077369F" w:rsidRPr="001300A9" w:rsidRDefault="0077369F" w:rsidP="00357CEC">
            <w:pPr>
              <w:pStyle w:val="Default"/>
              <w:rPr>
                <w:sz w:val="22"/>
                <w:szCs w:val="22"/>
              </w:rPr>
            </w:pPr>
          </w:p>
          <w:p w14:paraId="51B9F9D7" w14:textId="77777777" w:rsidR="0077369F" w:rsidRPr="001300A9" w:rsidRDefault="0077369F" w:rsidP="00357CEC">
            <w:pPr>
              <w:pStyle w:val="Default"/>
              <w:rPr>
                <w:sz w:val="22"/>
                <w:szCs w:val="22"/>
              </w:rPr>
            </w:pPr>
          </w:p>
          <w:p w14:paraId="6DDAF673" w14:textId="77777777" w:rsidR="0077369F" w:rsidRPr="001300A9" w:rsidRDefault="0077369F" w:rsidP="00357CEC">
            <w:pPr>
              <w:pStyle w:val="Default"/>
              <w:rPr>
                <w:sz w:val="22"/>
                <w:szCs w:val="22"/>
              </w:rPr>
            </w:pPr>
          </w:p>
          <w:p w14:paraId="6196453E" w14:textId="77777777" w:rsidR="0077369F" w:rsidRPr="001300A9" w:rsidRDefault="0077369F" w:rsidP="00357CEC">
            <w:pPr>
              <w:pStyle w:val="Default"/>
              <w:rPr>
                <w:sz w:val="22"/>
                <w:szCs w:val="22"/>
              </w:rPr>
            </w:pPr>
          </w:p>
          <w:p w14:paraId="462EA52C" w14:textId="77777777" w:rsidR="0077369F" w:rsidRPr="001300A9" w:rsidRDefault="0077369F" w:rsidP="00357CEC">
            <w:pPr>
              <w:pStyle w:val="Default"/>
              <w:rPr>
                <w:sz w:val="22"/>
                <w:szCs w:val="22"/>
              </w:rPr>
            </w:pPr>
          </w:p>
          <w:p w14:paraId="7ADA5A28" w14:textId="77777777" w:rsidR="0077369F" w:rsidRPr="001300A9" w:rsidRDefault="0077369F" w:rsidP="00357CEC">
            <w:pPr>
              <w:pStyle w:val="Default"/>
              <w:rPr>
                <w:sz w:val="22"/>
                <w:szCs w:val="22"/>
              </w:rPr>
            </w:pPr>
          </w:p>
          <w:p w14:paraId="101F2B38" w14:textId="77777777" w:rsidR="0077369F" w:rsidRPr="001300A9" w:rsidRDefault="0077369F" w:rsidP="00357CEC">
            <w:pPr>
              <w:pStyle w:val="Default"/>
              <w:rPr>
                <w:sz w:val="22"/>
                <w:szCs w:val="22"/>
              </w:rPr>
            </w:pPr>
          </w:p>
          <w:p w14:paraId="5676E56E" w14:textId="77777777" w:rsidR="0077369F" w:rsidRPr="001300A9" w:rsidRDefault="0077369F" w:rsidP="00357CEC">
            <w:pPr>
              <w:pStyle w:val="Default"/>
              <w:rPr>
                <w:sz w:val="22"/>
                <w:szCs w:val="22"/>
              </w:rPr>
            </w:pPr>
          </w:p>
          <w:p w14:paraId="569F83D7" w14:textId="77777777" w:rsidR="0077369F" w:rsidRPr="001300A9" w:rsidRDefault="0077369F" w:rsidP="00357CEC">
            <w:pPr>
              <w:pStyle w:val="Default"/>
              <w:rPr>
                <w:sz w:val="22"/>
                <w:szCs w:val="22"/>
              </w:rPr>
            </w:pPr>
          </w:p>
          <w:p w14:paraId="2FC03571" w14:textId="77777777" w:rsidR="0077369F" w:rsidRPr="001300A9" w:rsidRDefault="0077369F" w:rsidP="00357CEC">
            <w:pPr>
              <w:pStyle w:val="Default"/>
              <w:rPr>
                <w:sz w:val="22"/>
                <w:szCs w:val="22"/>
              </w:rPr>
            </w:pPr>
          </w:p>
          <w:p w14:paraId="4C40551A" w14:textId="77777777" w:rsidR="0077369F" w:rsidRPr="001300A9" w:rsidRDefault="0077369F" w:rsidP="00357CEC">
            <w:pPr>
              <w:pStyle w:val="Default"/>
              <w:rPr>
                <w:sz w:val="22"/>
                <w:szCs w:val="22"/>
              </w:rPr>
            </w:pPr>
          </w:p>
          <w:p w14:paraId="33F06C05" w14:textId="77777777" w:rsidR="0077369F" w:rsidRPr="001300A9" w:rsidRDefault="0077369F" w:rsidP="00357CEC">
            <w:pPr>
              <w:pStyle w:val="Default"/>
              <w:rPr>
                <w:sz w:val="22"/>
                <w:szCs w:val="22"/>
              </w:rPr>
            </w:pPr>
          </w:p>
          <w:p w14:paraId="502D959D" w14:textId="77777777" w:rsidR="0077369F" w:rsidRPr="001300A9" w:rsidRDefault="0077369F" w:rsidP="00357CEC">
            <w:pPr>
              <w:pStyle w:val="Default"/>
              <w:rPr>
                <w:sz w:val="22"/>
                <w:szCs w:val="22"/>
              </w:rPr>
            </w:pPr>
          </w:p>
          <w:p w14:paraId="26F117B3" w14:textId="77777777" w:rsidR="0077369F" w:rsidRPr="001300A9" w:rsidRDefault="0077369F" w:rsidP="00357CEC">
            <w:pPr>
              <w:pStyle w:val="Default"/>
              <w:rPr>
                <w:sz w:val="22"/>
                <w:szCs w:val="22"/>
              </w:rPr>
            </w:pPr>
          </w:p>
          <w:p w14:paraId="136343FC" w14:textId="77777777" w:rsidR="0077369F" w:rsidRPr="001300A9" w:rsidRDefault="0077369F" w:rsidP="00357CEC">
            <w:pPr>
              <w:pStyle w:val="Default"/>
              <w:rPr>
                <w:sz w:val="22"/>
                <w:szCs w:val="22"/>
              </w:rPr>
            </w:pPr>
          </w:p>
          <w:p w14:paraId="772BDC97" w14:textId="77777777" w:rsidR="0077369F" w:rsidRPr="001300A9" w:rsidRDefault="0077369F" w:rsidP="00357CEC">
            <w:pPr>
              <w:pStyle w:val="Default"/>
              <w:rPr>
                <w:sz w:val="22"/>
                <w:szCs w:val="22"/>
              </w:rPr>
            </w:pPr>
          </w:p>
          <w:p w14:paraId="591B3AAD" w14:textId="77777777" w:rsidR="0077369F" w:rsidRPr="001300A9" w:rsidRDefault="0077369F" w:rsidP="00357CEC">
            <w:pPr>
              <w:pStyle w:val="Default"/>
              <w:rPr>
                <w:sz w:val="22"/>
                <w:szCs w:val="22"/>
              </w:rPr>
            </w:pPr>
          </w:p>
          <w:p w14:paraId="116EB71E" w14:textId="77777777" w:rsidR="0077369F" w:rsidRPr="001300A9" w:rsidRDefault="0077369F" w:rsidP="00357CEC">
            <w:pPr>
              <w:pStyle w:val="Default"/>
              <w:rPr>
                <w:sz w:val="22"/>
                <w:szCs w:val="22"/>
              </w:rPr>
            </w:pPr>
          </w:p>
          <w:p w14:paraId="7769C408" w14:textId="77777777" w:rsidR="0077369F" w:rsidRPr="001300A9" w:rsidRDefault="0077369F" w:rsidP="00357CEC">
            <w:pPr>
              <w:pStyle w:val="Default"/>
              <w:rPr>
                <w:sz w:val="22"/>
                <w:szCs w:val="22"/>
              </w:rPr>
            </w:pPr>
          </w:p>
          <w:p w14:paraId="1BB32FB7" w14:textId="77777777" w:rsidR="0077369F" w:rsidRPr="001300A9" w:rsidRDefault="0077369F" w:rsidP="00357CEC">
            <w:pPr>
              <w:pStyle w:val="Default"/>
              <w:rPr>
                <w:sz w:val="22"/>
                <w:szCs w:val="22"/>
              </w:rPr>
            </w:pPr>
          </w:p>
          <w:p w14:paraId="0ACCAFA2" w14:textId="77777777" w:rsidR="0077369F" w:rsidRPr="001300A9" w:rsidRDefault="0077369F" w:rsidP="00357CEC">
            <w:pPr>
              <w:pStyle w:val="Default"/>
              <w:rPr>
                <w:sz w:val="22"/>
                <w:szCs w:val="22"/>
              </w:rPr>
            </w:pPr>
          </w:p>
          <w:p w14:paraId="1CD78956" w14:textId="77777777" w:rsidR="0077369F" w:rsidRPr="001300A9" w:rsidRDefault="0077369F" w:rsidP="00357CEC">
            <w:pPr>
              <w:pStyle w:val="Default"/>
              <w:rPr>
                <w:sz w:val="22"/>
                <w:szCs w:val="22"/>
              </w:rPr>
            </w:pPr>
          </w:p>
          <w:p w14:paraId="406FE177" w14:textId="77777777" w:rsidR="0077369F" w:rsidRPr="001300A9" w:rsidRDefault="0077369F" w:rsidP="00357CEC">
            <w:pPr>
              <w:pStyle w:val="Default"/>
              <w:rPr>
                <w:sz w:val="22"/>
                <w:szCs w:val="22"/>
              </w:rPr>
            </w:pPr>
          </w:p>
          <w:p w14:paraId="158804AB" w14:textId="77777777" w:rsidR="0077369F" w:rsidRPr="001300A9" w:rsidRDefault="0077369F" w:rsidP="00357CEC">
            <w:pPr>
              <w:pStyle w:val="Default"/>
              <w:rPr>
                <w:sz w:val="22"/>
                <w:szCs w:val="22"/>
              </w:rPr>
            </w:pPr>
          </w:p>
          <w:p w14:paraId="77BF2323" w14:textId="77777777" w:rsidR="0077369F" w:rsidRPr="001300A9" w:rsidRDefault="0077369F" w:rsidP="00357CEC">
            <w:pPr>
              <w:pStyle w:val="Default"/>
              <w:rPr>
                <w:sz w:val="22"/>
                <w:szCs w:val="22"/>
              </w:rPr>
            </w:pPr>
          </w:p>
          <w:p w14:paraId="6563E4BD" w14:textId="77777777" w:rsidR="0077369F" w:rsidRPr="001300A9" w:rsidRDefault="0077369F" w:rsidP="00357CEC">
            <w:pPr>
              <w:pStyle w:val="Default"/>
              <w:rPr>
                <w:sz w:val="22"/>
                <w:szCs w:val="22"/>
              </w:rPr>
            </w:pPr>
          </w:p>
          <w:p w14:paraId="0FBD5961" w14:textId="77777777" w:rsidR="0077369F" w:rsidRPr="001300A9" w:rsidRDefault="0077369F" w:rsidP="00357CEC">
            <w:pPr>
              <w:pStyle w:val="Default"/>
              <w:rPr>
                <w:sz w:val="22"/>
                <w:szCs w:val="22"/>
              </w:rPr>
            </w:pPr>
          </w:p>
          <w:p w14:paraId="0AF63AEF" w14:textId="77777777" w:rsidR="0077369F" w:rsidRPr="001300A9" w:rsidRDefault="0077369F" w:rsidP="00357CEC">
            <w:pPr>
              <w:pStyle w:val="Default"/>
              <w:rPr>
                <w:sz w:val="22"/>
                <w:szCs w:val="22"/>
              </w:rPr>
            </w:pPr>
          </w:p>
          <w:p w14:paraId="59FFD370" w14:textId="77777777" w:rsidR="0077369F" w:rsidRPr="001300A9" w:rsidRDefault="0077369F" w:rsidP="00357CEC">
            <w:pPr>
              <w:pStyle w:val="Default"/>
              <w:rPr>
                <w:sz w:val="22"/>
                <w:szCs w:val="22"/>
              </w:rPr>
            </w:pPr>
          </w:p>
          <w:p w14:paraId="4F9D5CD6" w14:textId="77777777" w:rsidR="0077369F" w:rsidRPr="001300A9" w:rsidRDefault="0077369F" w:rsidP="00357CEC">
            <w:pPr>
              <w:pStyle w:val="Default"/>
              <w:rPr>
                <w:sz w:val="22"/>
                <w:szCs w:val="22"/>
              </w:rPr>
            </w:pPr>
          </w:p>
          <w:p w14:paraId="7A1D31CC" w14:textId="77777777" w:rsidR="0077369F" w:rsidRPr="001300A9" w:rsidRDefault="0077369F" w:rsidP="00357CEC">
            <w:pPr>
              <w:pStyle w:val="Default"/>
              <w:rPr>
                <w:sz w:val="22"/>
                <w:szCs w:val="22"/>
              </w:rPr>
            </w:pPr>
          </w:p>
          <w:p w14:paraId="6BF9B11B" w14:textId="77777777" w:rsidR="0077369F" w:rsidRPr="001300A9" w:rsidRDefault="0077369F" w:rsidP="00357CEC">
            <w:pPr>
              <w:pStyle w:val="Default"/>
              <w:rPr>
                <w:sz w:val="22"/>
                <w:szCs w:val="22"/>
              </w:rPr>
            </w:pPr>
          </w:p>
          <w:p w14:paraId="20F430FC" w14:textId="77777777" w:rsidR="0077369F" w:rsidRPr="001300A9" w:rsidRDefault="0077369F" w:rsidP="00357CEC">
            <w:pPr>
              <w:pStyle w:val="Default"/>
              <w:rPr>
                <w:sz w:val="22"/>
                <w:szCs w:val="22"/>
              </w:rPr>
            </w:pPr>
          </w:p>
          <w:p w14:paraId="76248A13" w14:textId="77777777" w:rsidR="0077369F" w:rsidRPr="001300A9" w:rsidRDefault="0077369F" w:rsidP="00357CEC">
            <w:pPr>
              <w:pStyle w:val="Default"/>
              <w:rPr>
                <w:sz w:val="22"/>
                <w:szCs w:val="22"/>
              </w:rPr>
            </w:pPr>
          </w:p>
          <w:p w14:paraId="7BA0F7BA" w14:textId="77777777" w:rsidR="0077369F" w:rsidRPr="001300A9" w:rsidRDefault="0077369F" w:rsidP="00357CEC">
            <w:pPr>
              <w:pStyle w:val="Default"/>
              <w:rPr>
                <w:sz w:val="22"/>
                <w:szCs w:val="22"/>
              </w:rPr>
            </w:pPr>
          </w:p>
          <w:p w14:paraId="3CC8D96F" w14:textId="77777777" w:rsidR="0077369F" w:rsidRPr="001300A9" w:rsidRDefault="0077369F" w:rsidP="00357CEC">
            <w:pPr>
              <w:pStyle w:val="Default"/>
              <w:rPr>
                <w:sz w:val="22"/>
                <w:szCs w:val="22"/>
              </w:rPr>
            </w:pPr>
          </w:p>
          <w:p w14:paraId="3C553E3C" w14:textId="77777777" w:rsidR="0077369F" w:rsidRPr="001300A9" w:rsidRDefault="0077369F" w:rsidP="00357CEC">
            <w:pPr>
              <w:pStyle w:val="Default"/>
              <w:rPr>
                <w:sz w:val="22"/>
                <w:szCs w:val="22"/>
              </w:rPr>
            </w:pPr>
          </w:p>
          <w:p w14:paraId="3EDA7FF9" w14:textId="77777777" w:rsidR="0077369F" w:rsidRPr="001300A9" w:rsidRDefault="0077369F" w:rsidP="00357CEC">
            <w:pPr>
              <w:pStyle w:val="Default"/>
              <w:rPr>
                <w:sz w:val="22"/>
                <w:szCs w:val="22"/>
              </w:rPr>
            </w:pPr>
          </w:p>
          <w:p w14:paraId="58685395" w14:textId="77777777" w:rsidR="0077369F" w:rsidRPr="001300A9" w:rsidRDefault="0077369F" w:rsidP="00357CEC">
            <w:pPr>
              <w:pStyle w:val="Default"/>
              <w:rPr>
                <w:sz w:val="22"/>
                <w:szCs w:val="22"/>
              </w:rPr>
            </w:pPr>
          </w:p>
          <w:p w14:paraId="0E1945C6" w14:textId="77777777" w:rsidR="0077369F" w:rsidRPr="001300A9" w:rsidRDefault="0077369F" w:rsidP="00357CEC">
            <w:pPr>
              <w:pStyle w:val="Default"/>
              <w:rPr>
                <w:sz w:val="22"/>
                <w:szCs w:val="22"/>
              </w:rPr>
            </w:pPr>
          </w:p>
          <w:p w14:paraId="7AAA9D32" w14:textId="77777777" w:rsidR="0077369F" w:rsidRPr="001300A9" w:rsidRDefault="0077369F" w:rsidP="00357CEC">
            <w:pPr>
              <w:pStyle w:val="Default"/>
              <w:rPr>
                <w:sz w:val="22"/>
                <w:szCs w:val="22"/>
              </w:rPr>
            </w:pPr>
          </w:p>
          <w:p w14:paraId="662D26BD" w14:textId="77777777" w:rsidR="0077369F" w:rsidRPr="001300A9" w:rsidRDefault="0077369F" w:rsidP="00357CEC">
            <w:pPr>
              <w:pStyle w:val="Default"/>
              <w:rPr>
                <w:sz w:val="22"/>
                <w:szCs w:val="22"/>
              </w:rPr>
            </w:pPr>
          </w:p>
          <w:p w14:paraId="7E8B0D41" w14:textId="77777777" w:rsidR="0077369F" w:rsidRPr="001300A9" w:rsidRDefault="0077369F" w:rsidP="00357CEC">
            <w:pPr>
              <w:pStyle w:val="Default"/>
              <w:rPr>
                <w:sz w:val="22"/>
                <w:szCs w:val="22"/>
              </w:rPr>
            </w:pPr>
          </w:p>
          <w:p w14:paraId="08B907E2" w14:textId="77777777" w:rsidR="0077369F" w:rsidRPr="001300A9" w:rsidRDefault="0077369F" w:rsidP="00357CEC">
            <w:pPr>
              <w:pStyle w:val="Default"/>
              <w:rPr>
                <w:sz w:val="22"/>
                <w:szCs w:val="22"/>
              </w:rPr>
            </w:pPr>
          </w:p>
          <w:p w14:paraId="12E535D8" w14:textId="77777777" w:rsidR="0077369F" w:rsidRPr="001300A9" w:rsidRDefault="0077369F" w:rsidP="00357CEC">
            <w:pPr>
              <w:pStyle w:val="Default"/>
              <w:rPr>
                <w:sz w:val="22"/>
                <w:szCs w:val="22"/>
              </w:rPr>
            </w:pPr>
          </w:p>
          <w:p w14:paraId="4475BC5A" w14:textId="77777777" w:rsidR="0077369F" w:rsidRPr="001300A9" w:rsidRDefault="0077369F" w:rsidP="00357CEC">
            <w:pPr>
              <w:pStyle w:val="Default"/>
              <w:rPr>
                <w:sz w:val="22"/>
                <w:szCs w:val="22"/>
              </w:rPr>
            </w:pPr>
          </w:p>
          <w:p w14:paraId="4E739F44" w14:textId="77777777" w:rsidR="0077369F" w:rsidRPr="001300A9" w:rsidRDefault="0077369F" w:rsidP="00357CEC">
            <w:pPr>
              <w:pStyle w:val="Default"/>
              <w:rPr>
                <w:sz w:val="22"/>
                <w:szCs w:val="22"/>
              </w:rPr>
            </w:pPr>
          </w:p>
          <w:p w14:paraId="75800FA5" w14:textId="77777777" w:rsidR="0077369F" w:rsidRPr="001300A9" w:rsidRDefault="0077369F" w:rsidP="00357CEC">
            <w:pPr>
              <w:pStyle w:val="Default"/>
              <w:rPr>
                <w:sz w:val="22"/>
                <w:szCs w:val="22"/>
              </w:rPr>
            </w:pPr>
          </w:p>
          <w:p w14:paraId="0F916FBA" w14:textId="77777777" w:rsidR="0077369F" w:rsidRPr="001300A9" w:rsidRDefault="0077369F" w:rsidP="00357CEC">
            <w:pPr>
              <w:pStyle w:val="Default"/>
              <w:rPr>
                <w:sz w:val="22"/>
                <w:szCs w:val="22"/>
              </w:rPr>
            </w:pPr>
          </w:p>
          <w:p w14:paraId="6699195A" w14:textId="77777777" w:rsidR="0077369F" w:rsidRPr="001300A9" w:rsidRDefault="0077369F" w:rsidP="00357CEC">
            <w:pPr>
              <w:pStyle w:val="Default"/>
              <w:rPr>
                <w:sz w:val="22"/>
                <w:szCs w:val="22"/>
              </w:rPr>
            </w:pPr>
          </w:p>
          <w:p w14:paraId="196DD4F4" w14:textId="77777777" w:rsidR="0077369F" w:rsidRPr="001300A9" w:rsidRDefault="0077369F" w:rsidP="00357CEC">
            <w:pPr>
              <w:pStyle w:val="Default"/>
              <w:rPr>
                <w:sz w:val="22"/>
                <w:szCs w:val="22"/>
              </w:rPr>
            </w:pPr>
          </w:p>
          <w:p w14:paraId="054FD2C1" w14:textId="77777777" w:rsidR="0077369F" w:rsidRPr="001300A9" w:rsidRDefault="0077369F" w:rsidP="00357CEC">
            <w:pPr>
              <w:pStyle w:val="Default"/>
              <w:rPr>
                <w:sz w:val="22"/>
                <w:szCs w:val="22"/>
              </w:rPr>
            </w:pPr>
          </w:p>
          <w:p w14:paraId="6F752D4F" w14:textId="77777777" w:rsidR="0077369F" w:rsidRPr="001300A9" w:rsidRDefault="0077369F" w:rsidP="00357CEC">
            <w:pPr>
              <w:pStyle w:val="Default"/>
              <w:rPr>
                <w:sz w:val="22"/>
                <w:szCs w:val="22"/>
              </w:rPr>
            </w:pPr>
          </w:p>
          <w:p w14:paraId="38558392" w14:textId="77777777" w:rsidR="0077369F" w:rsidRPr="001300A9" w:rsidRDefault="0077369F" w:rsidP="00357CEC">
            <w:pPr>
              <w:pStyle w:val="Default"/>
              <w:rPr>
                <w:sz w:val="22"/>
                <w:szCs w:val="22"/>
              </w:rPr>
            </w:pPr>
          </w:p>
          <w:p w14:paraId="34B69F47" w14:textId="77777777" w:rsidR="0077369F" w:rsidRPr="001300A9" w:rsidRDefault="0077369F" w:rsidP="00357CEC">
            <w:pPr>
              <w:pStyle w:val="Default"/>
              <w:rPr>
                <w:sz w:val="22"/>
                <w:szCs w:val="22"/>
              </w:rPr>
            </w:pPr>
          </w:p>
          <w:p w14:paraId="469F9CEC" w14:textId="77777777" w:rsidR="0077369F" w:rsidRPr="001300A9" w:rsidRDefault="0077369F" w:rsidP="00357CEC">
            <w:pPr>
              <w:pStyle w:val="Default"/>
              <w:rPr>
                <w:sz w:val="22"/>
                <w:szCs w:val="22"/>
              </w:rPr>
            </w:pPr>
          </w:p>
          <w:p w14:paraId="4F3D67DF" w14:textId="77777777" w:rsidR="0077369F" w:rsidRPr="001300A9" w:rsidRDefault="0077369F" w:rsidP="00357CEC">
            <w:pPr>
              <w:pStyle w:val="Default"/>
              <w:rPr>
                <w:sz w:val="22"/>
                <w:szCs w:val="22"/>
              </w:rPr>
            </w:pPr>
          </w:p>
          <w:p w14:paraId="3CF09FE7" w14:textId="77777777" w:rsidR="0077369F" w:rsidRPr="001300A9" w:rsidRDefault="0077369F" w:rsidP="00357CEC">
            <w:pPr>
              <w:pStyle w:val="Default"/>
              <w:rPr>
                <w:sz w:val="22"/>
                <w:szCs w:val="22"/>
              </w:rPr>
            </w:pPr>
          </w:p>
          <w:p w14:paraId="282838B8" w14:textId="77777777" w:rsidR="0077369F" w:rsidRPr="001300A9" w:rsidRDefault="0077369F" w:rsidP="00357CEC">
            <w:pPr>
              <w:pStyle w:val="Default"/>
              <w:rPr>
                <w:sz w:val="22"/>
                <w:szCs w:val="22"/>
              </w:rPr>
            </w:pPr>
          </w:p>
          <w:p w14:paraId="78884DBA" w14:textId="77777777" w:rsidR="0077369F" w:rsidRPr="001300A9" w:rsidRDefault="0077369F" w:rsidP="00357CEC">
            <w:pPr>
              <w:pStyle w:val="Default"/>
              <w:rPr>
                <w:sz w:val="22"/>
                <w:szCs w:val="22"/>
              </w:rPr>
            </w:pPr>
          </w:p>
          <w:p w14:paraId="4117B462" w14:textId="77777777" w:rsidR="0077369F" w:rsidRPr="001300A9" w:rsidRDefault="0077369F" w:rsidP="00357CEC">
            <w:pPr>
              <w:pStyle w:val="Default"/>
              <w:rPr>
                <w:sz w:val="22"/>
                <w:szCs w:val="22"/>
              </w:rPr>
            </w:pPr>
          </w:p>
          <w:p w14:paraId="7281B362" w14:textId="77777777" w:rsidR="0077369F" w:rsidRPr="001300A9" w:rsidRDefault="0077369F" w:rsidP="00357CEC">
            <w:pPr>
              <w:pStyle w:val="Default"/>
              <w:rPr>
                <w:sz w:val="22"/>
                <w:szCs w:val="22"/>
              </w:rPr>
            </w:pPr>
          </w:p>
          <w:p w14:paraId="3639F5FB" w14:textId="77777777" w:rsidR="0082715B" w:rsidRDefault="0082715B" w:rsidP="00357CEC">
            <w:pPr>
              <w:pStyle w:val="Default"/>
              <w:rPr>
                <w:sz w:val="22"/>
                <w:szCs w:val="22"/>
              </w:rPr>
            </w:pPr>
          </w:p>
          <w:p w14:paraId="6153E264" w14:textId="77777777" w:rsidR="009D0AA1" w:rsidRDefault="009D0AA1" w:rsidP="00357CEC">
            <w:pPr>
              <w:pStyle w:val="Default"/>
              <w:rPr>
                <w:sz w:val="22"/>
                <w:szCs w:val="22"/>
              </w:rPr>
            </w:pPr>
          </w:p>
          <w:p w14:paraId="1105C11E" w14:textId="77777777" w:rsidR="009D0AA1" w:rsidRDefault="009D0AA1" w:rsidP="00357CEC">
            <w:pPr>
              <w:pStyle w:val="Default"/>
              <w:rPr>
                <w:sz w:val="22"/>
                <w:szCs w:val="22"/>
              </w:rPr>
            </w:pPr>
          </w:p>
          <w:p w14:paraId="1B8E131E" w14:textId="77777777" w:rsidR="009D0AA1" w:rsidRDefault="009D0AA1" w:rsidP="00357CEC">
            <w:pPr>
              <w:pStyle w:val="Default"/>
              <w:rPr>
                <w:sz w:val="22"/>
                <w:szCs w:val="22"/>
              </w:rPr>
            </w:pPr>
          </w:p>
          <w:p w14:paraId="31714883" w14:textId="77777777" w:rsidR="009D0AA1" w:rsidRDefault="009D0AA1" w:rsidP="00357CEC">
            <w:pPr>
              <w:pStyle w:val="Default"/>
              <w:rPr>
                <w:sz w:val="22"/>
                <w:szCs w:val="22"/>
              </w:rPr>
            </w:pPr>
          </w:p>
          <w:p w14:paraId="75033C18" w14:textId="77777777" w:rsidR="009D0AA1" w:rsidRDefault="009D0AA1" w:rsidP="00357CEC">
            <w:pPr>
              <w:pStyle w:val="Default"/>
              <w:rPr>
                <w:sz w:val="22"/>
                <w:szCs w:val="22"/>
              </w:rPr>
            </w:pPr>
          </w:p>
          <w:p w14:paraId="6D080A34" w14:textId="77777777" w:rsidR="009D0AA1" w:rsidRDefault="009D0AA1" w:rsidP="00357CEC">
            <w:pPr>
              <w:pStyle w:val="Default"/>
              <w:rPr>
                <w:sz w:val="22"/>
                <w:szCs w:val="22"/>
              </w:rPr>
            </w:pPr>
          </w:p>
          <w:p w14:paraId="4354B530" w14:textId="4C213E64" w:rsidR="0077369F" w:rsidRPr="001300A9" w:rsidRDefault="007A7391" w:rsidP="00357CEC">
            <w:pPr>
              <w:pStyle w:val="Default"/>
              <w:rPr>
                <w:sz w:val="22"/>
                <w:szCs w:val="22"/>
              </w:rPr>
            </w:pPr>
            <w:r>
              <w:rPr>
                <w:sz w:val="22"/>
                <w:szCs w:val="22"/>
              </w:rPr>
              <w:t>Č</w:t>
            </w:r>
          </w:p>
          <w:p w14:paraId="5CA8F706" w14:textId="77777777" w:rsidR="00A95A69" w:rsidRPr="001300A9" w:rsidRDefault="00A95A69" w:rsidP="00357CEC">
            <w:pPr>
              <w:pStyle w:val="Default"/>
              <w:rPr>
                <w:sz w:val="22"/>
                <w:szCs w:val="22"/>
              </w:rPr>
            </w:pPr>
          </w:p>
          <w:p w14:paraId="450F3845" w14:textId="77777777" w:rsidR="00A95A69" w:rsidRPr="001300A9" w:rsidRDefault="00A95A69" w:rsidP="00357CEC">
            <w:pPr>
              <w:pStyle w:val="Default"/>
              <w:rPr>
                <w:sz w:val="22"/>
                <w:szCs w:val="22"/>
              </w:rPr>
            </w:pPr>
          </w:p>
          <w:p w14:paraId="1E9CF9C3" w14:textId="77777777" w:rsidR="00A95A69" w:rsidRPr="001300A9" w:rsidRDefault="00A95A69" w:rsidP="00357CEC">
            <w:pPr>
              <w:pStyle w:val="Default"/>
              <w:rPr>
                <w:sz w:val="22"/>
                <w:szCs w:val="22"/>
              </w:rPr>
            </w:pPr>
          </w:p>
          <w:p w14:paraId="66EEAC68" w14:textId="77777777" w:rsidR="00A95A69" w:rsidRPr="001300A9" w:rsidRDefault="00A95A69" w:rsidP="00357CEC">
            <w:pPr>
              <w:pStyle w:val="Default"/>
              <w:rPr>
                <w:sz w:val="22"/>
                <w:szCs w:val="22"/>
              </w:rPr>
            </w:pPr>
          </w:p>
          <w:p w14:paraId="08D5331C" w14:textId="77777777" w:rsidR="00A95A69" w:rsidRPr="001300A9" w:rsidRDefault="00A95A69" w:rsidP="00357CEC">
            <w:pPr>
              <w:pStyle w:val="Default"/>
              <w:rPr>
                <w:sz w:val="22"/>
                <w:szCs w:val="22"/>
              </w:rPr>
            </w:pPr>
          </w:p>
          <w:p w14:paraId="52FD08E0" w14:textId="77777777" w:rsidR="00A95A69" w:rsidRPr="001300A9" w:rsidRDefault="00A95A69" w:rsidP="00357CEC">
            <w:pPr>
              <w:pStyle w:val="Default"/>
              <w:rPr>
                <w:sz w:val="22"/>
                <w:szCs w:val="22"/>
              </w:rPr>
            </w:pPr>
          </w:p>
          <w:p w14:paraId="5055A068" w14:textId="77777777" w:rsidR="00A95A69" w:rsidRPr="001300A9" w:rsidRDefault="00A95A69" w:rsidP="00357CEC">
            <w:pPr>
              <w:pStyle w:val="Default"/>
              <w:rPr>
                <w:sz w:val="22"/>
                <w:szCs w:val="22"/>
              </w:rPr>
            </w:pPr>
          </w:p>
          <w:p w14:paraId="5A3EB68D" w14:textId="77777777" w:rsidR="00A95A69" w:rsidRPr="001300A9" w:rsidRDefault="00A95A69" w:rsidP="00357CEC">
            <w:pPr>
              <w:pStyle w:val="Default"/>
              <w:rPr>
                <w:sz w:val="22"/>
                <w:szCs w:val="22"/>
              </w:rPr>
            </w:pPr>
          </w:p>
          <w:p w14:paraId="725E56D4" w14:textId="77777777" w:rsidR="00A95A69" w:rsidRPr="001300A9" w:rsidRDefault="00A95A69" w:rsidP="00357CEC">
            <w:pPr>
              <w:pStyle w:val="Default"/>
              <w:rPr>
                <w:sz w:val="22"/>
                <w:szCs w:val="22"/>
              </w:rPr>
            </w:pPr>
          </w:p>
          <w:p w14:paraId="38BF28C4" w14:textId="77777777" w:rsidR="00A95A69" w:rsidRPr="001300A9" w:rsidRDefault="00A95A69" w:rsidP="00357CEC">
            <w:pPr>
              <w:pStyle w:val="Default"/>
              <w:rPr>
                <w:sz w:val="22"/>
                <w:szCs w:val="22"/>
              </w:rPr>
            </w:pPr>
          </w:p>
          <w:p w14:paraId="45626A31" w14:textId="77777777" w:rsidR="00A95A69" w:rsidRPr="001300A9" w:rsidRDefault="00A95A69" w:rsidP="00357CEC">
            <w:pPr>
              <w:pStyle w:val="Default"/>
              <w:rPr>
                <w:sz w:val="22"/>
                <w:szCs w:val="22"/>
              </w:rPr>
            </w:pPr>
          </w:p>
          <w:p w14:paraId="2AEEF93E" w14:textId="77777777" w:rsidR="00A95A69" w:rsidRPr="001300A9" w:rsidRDefault="00A95A69" w:rsidP="00357CEC">
            <w:pPr>
              <w:pStyle w:val="Default"/>
              <w:rPr>
                <w:sz w:val="22"/>
                <w:szCs w:val="22"/>
              </w:rPr>
            </w:pPr>
          </w:p>
          <w:p w14:paraId="2159CB7C" w14:textId="77777777" w:rsidR="00A95A69" w:rsidRPr="001300A9" w:rsidRDefault="00A95A69" w:rsidP="00357CEC">
            <w:pPr>
              <w:pStyle w:val="Default"/>
              <w:rPr>
                <w:sz w:val="22"/>
                <w:szCs w:val="22"/>
              </w:rPr>
            </w:pPr>
          </w:p>
          <w:p w14:paraId="09BB6F49" w14:textId="77777777" w:rsidR="00A95A69" w:rsidRPr="001300A9" w:rsidRDefault="00A95A69" w:rsidP="00357CEC">
            <w:pPr>
              <w:pStyle w:val="Default"/>
              <w:rPr>
                <w:sz w:val="22"/>
                <w:szCs w:val="22"/>
              </w:rPr>
            </w:pPr>
          </w:p>
          <w:p w14:paraId="4CA51476" w14:textId="77777777" w:rsidR="00A95A69" w:rsidRPr="001300A9" w:rsidRDefault="00A95A69" w:rsidP="00357CEC">
            <w:pPr>
              <w:pStyle w:val="Default"/>
              <w:rPr>
                <w:sz w:val="22"/>
                <w:szCs w:val="22"/>
              </w:rPr>
            </w:pPr>
          </w:p>
          <w:p w14:paraId="77C1828F" w14:textId="77777777" w:rsidR="00A95A69" w:rsidRPr="001300A9" w:rsidRDefault="00A95A69" w:rsidP="00357CEC">
            <w:pPr>
              <w:pStyle w:val="Default"/>
              <w:rPr>
                <w:sz w:val="22"/>
                <w:szCs w:val="22"/>
              </w:rPr>
            </w:pPr>
          </w:p>
          <w:p w14:paraId="74A3B3FB" w14:textId="77777777" w:rsidR="00A95A69" w:rsidRPr="001300A9" w:rsidRDefault="00A95A69" w:rsidP="00357CEC">
            <w:pPr>
              <w:pStyle w:val="Default"/>
              <w:rPr>
                <w:sz w:val="22"/>
                <w:szCs w:val="22"/>
              </w:rPr>
            </w:pPr>
          </w:p>
          <w:p w14:paraId="13F9ACFA" w14:textId="77777777" w:rsidR="0006236A" w:rsidRDefault="0006236A" w:rsidP="00357CEC">
            <w:pPr>
              <w:pStyle w:val="Default"/>
              <w:rPr>
                <w:sz w:val="22"/>
                <w:szCs w:val="22"/>
              </w:rPr>
            </w:pPr>
          </w:p>
          <w:p w14:paraId="483504E4" w14:textId="77777777" w:rsidR="0006236A" w:rsidRDefault="0006236A" w:rsidP="00357CEC">
            <w:pPr>
              <w:pStyle w:val="Default"/>
              <w:rPr>
                <w:sz w:val="22"/>
                <w:szCs w:val="22"/>
              </w:rPr>
            </w:pPr>
          </w:p>
          <w:p w14:paraId="45F15A9B" w14:textId="77777777" w:rsidR="0006236A" w:rsidRDefault="0006236A" w:rsidP="00357CEC">
            <w:pPr>
              <w:pStyle w:val="Default"/>
              <w:rPr>
                <w:sz w:val="22"/>
                <w:szCs w:val="22"/>
              </w:rPr>
            </w:pPr>
          </w:p>
          <w:p w14:paraId="11D27495" w14:textId="77777777" w:rsidR="0006236A" w:rsidRDefault="0006236A" w:rsidP="00357CEC">
            <w:pPr>
              <w:pStyle w:val="Default"/>
              <w:rPr>
                <w:sz w:val="22"/>
                <w:szCs w:val="22"/>
              </w:rPr>
            </w:pPr>
          </w:p>
          <w:p w14:paraId="6E159097" w14:textId="77777777" w:rsidR="009D0AA1" w:rsidRDefault="009D0AA1" w:rsidP="00357CEC">
            <w:pPr>
              <w:pStyle w:val="Default"/>
              <w:rPr>
                <w:sz w:val="22"/>
                <w:szCs w:val="22"/>
              </w:rPr>
            </w:pPr>
          </w:p>
          <w:p w14:paraId="028C7583" w14:textId="5DAA272A" w:rsidR="00A95A69" w:rsidRPr="001300A9" w:rsidRDefault="00A95A69" w:rsidP="00357CEC">
            <w:pPr>
              <w:pStyle w:val="Default"/>
              <w:rPr>
                <w:sz w:val="22"/>
                <w:szCs w:val="22"/>
              </w:rPr>
            </w:pPr>
          </w:p>
          <w:p w14:paraId="06510F70" w14:textId="25F0CEB6" w:rsidR="00A95A69" w:rsidRPr="001300A9" w:rsidRDefault="007E112E" w:rsidP="00357CEC">
            <w:pPr>
              <w:pStyle w:val="Default"/>
              <w:rPr>
                <w:sz w:val="22"/>
                <w:szCs w:val="22"/>
              </w:rPr>
            </w:pPr>
            <w:r>
              <w:rPr>
                <w:sz w:val="22"/>
                <w:szCs w:val="22"/>
              </w:rPr>
              <w:t>Ú</w:t>
            </w:r>
          </w:p>
          <w:p w14:paraId="51DDC777" w14:textId="77777777" w:rsidR="00A95A69" w:rsidRPr="001300A9" w:rsidRDefault="00A95A69" w:rsidP="00357CEC">
            <w:pPr>
              <w:pStyle w:val="Default"/>
              <w:rPr>
                <w:sz w:val="22"/>
                <w:szCs w:val="22"/>
              </w:rPr>
            </w:pPr>
          </w:p>
          <w:p w14:paraId="0254B285" w14:textId="77777777" w:rsidR="00A95A69" w:rsidRPr="001300A9" w:rsidRDefault="00A95A69" w:rsidP="00357CEC">
            <w:pPr>
              <w:pStyle w:val="Default"/>
              <w:rPr>
                <w:sz w:val="22"/>
                <w:szCs w:val="22"/>
              </w:rPr>
            </w:pPr>
          </w:p>
          <w:p w14:paraId="369BEE48" w14:textId="2EAC45DD" w:rsidR="00A95A69" w:rsidRPr="001300A9" w:rsidRDefault="00A95A69" w:rsidP="00357CEC">
            <w:pPr>
              <w:pStyle w:val="Default"/>
              <w:rPr>
                <w:sz w:val="22"/>
                <w:szCs w:val="22"/>
              </w:rPr>
            </w:pPr>
          </w:p>
          <w:p w14:paraId="07DB1D5B" w14:textId="042F3E49" w:rsidR="00C23D99" w:rsidRPr="001300A9" w:rsidRDefault="00C23D99" w:rsidP="00357CEC">
            <w:pPr>
              <w:pStyle w:val="Default"/>
              <w:rPr>
                <w:sz w:val="22"/>
                <w:szCs w:val="22"/>
              </w:rPr>
            </w:pPr>
          </w:p>
          <w:p w14:paraId="61E0DC6E" w14:textId="77777777" w:rsidR="007E112E" w:rsidRDefault="007E112E" w:rsidP="00357CEC">
            <w:pPr>
              <w:pStyle w:val="Default"/>
              <w:rPr>
                <w:sz w:val="22"/>
                <w:szCs w:val="22"/>
                <w:highlight w:val="yellow"/>
              </w:rPr>
            </w:pPr>
          </w:p>
          <w:p w14:paraId="53D9940F" w14:textId="77777777" w:rsidR="007E112E" w:rsidRDefault="007E112E" w:rsidP="00357CEC">
            <w:pPr>
              <w:pStyle w:val="Default"/>
              <w:rPr>
                <w:sz w:val="22"/>
                <w:szCs w:val="22"/>
                <w:highlight w:val="yellow"/>
              </w:rPr>
            </w:pPr>
          </w:p>
          <w:p w14:paraId="14966CB3" w14:textId="77777777" w:rsidR="007E112E" w:rsidRDefault="007E112E" w:rsidP="00357CEC">
            <w:pPr>
              <w:pStyle w:val="Default"/>
              <w:rPr>
                <w:sz w:val="22"/>
                <w:szCs w:val="22"/>
                <w:highlight w:val="yellow"/>
              </w:rPr>
            </w:pPr>
          </w:p>
          <w:p w14:paraId="245BA7D6" w14:textId="77777777" w:rsidR="007E112E" w:rsidRDefault="007E112E" w:rsidP="00357CEC">
            <w:pPr>
              <w:pStyle w:val="Default"/>
              <w:rPr>
                <w:sz w:val="22"/>
                <w:szCs w:val="22"/>
                <w:highlight w:val="yellow"/>
              </w:rPr>
            </w:pPr>
          </w:p>
          <w:p w14:paraId="718CA6D8" w14:textId="77777777" w:rsidR="007E112E" w:rsidRDefault="007E112E" w:rsidP="00357CEC">
            <w:pPr>
              <w:pStyle w:val="Default"/>
              <w:rPr>
                <w:sz w:val="22"/>
                <w:szCs w:val="22"/>
                <w:highlight w:val="yellow"/>
              </w:rPr>
            </w:pPr>
          </w:p>
          <w:p w14:paraId="3A606795" w14:textId="6B428246" w:rsidR="00A95A69" w:rsidRPr="007A7391" w:rsidRDefault="007A7391" w:rsidP="00357CEC">
            <w:pPr>
              <w:pStyle w:val="Default"/>
              <w:rPr>
                <w:strike/>
                <w:sz w:val="22"/>
                <w:szCs w:val="22"/>
              </w:rPr>
            </w:pPr>
            <w:r w:rsidRPr="007E112E">
              <w:rPr>
                <w:sz w:val="22"/>
                <w:szCs w:val="22"/>
              </w:rPr>
              <w:t>Ž</w:t>
            </w:r>
          </w:p>
          <w:p w14:paraId="0C154BB4" w14:textId="77777777" w:rsidR="000331E4" w:rsidRPr="001300A9" w:rsidRDefault="000331E4" w:rsidP="00357CEC">
            <w:pPr>
              <w:pStyle w:val="Default"/>
              <w:rPr>
                <w:sz w:val="22"/>
                <w:szCs w:val="22"/>
              </w:rPr>
            </w:pPr>
          </w:p>
          <w:p w14:paraId="096C9056" w14:textId="77777777" w:rsidR="000331E4" w:rsidRPr="001300A9" w:rsidRDefault="000331E4" w:rsidP="00357CEC">
            <w:pPr>
              <w:pStyle w:val="Default"/>
              <w:rPr>
                <w:sz w:val="22"/>
                <w:szCs w:val="22"/>
              </w:rPr>
            </w:pPr>
          </w:p>
          <w:p w14:paraId="3DCBE0ED" w14:textId="77777777" w:rsidR="000331E4" w:rsidRPr="001300A9" w:rsidRDefault="000331E4" w:rsidP="00357CEC">
            <w:pPr>
              <w:pStyle w:val="Default"/>
              <w:rPr>
                <w:sz w:val="22"/>
                <w:szCs w:val="22"/>
              </w:rPr>
            </w:pPr>
          </w:p>
          <w:p w14:paraId="553118C5" w14:textId="77777777" w:rsidR="000331E4" w:rsidRPr="001300A9" w:rsidRDefault="000331E4" w:rsidP="00357CEC">
            <w:pPr>
              <w:pStyle w:val="Default"/>
              <w:rPr>
                <w:sz w:val="22"/>
                <w:szCs w:val="22"/>
              </w:rPr>
            </w:pPr>
          </w:p>
          <w:p w14:paraId="4EB938A0" w14:textId="77777777" w:rsidR="000331E4" w:rsidRPr="001300A9" w:rsidRDefault="000331E4" w:rsidP="00357CEC">
            <w:pPr>
              <w:pStyle w:val="Default"/>
              <w:rPr>
                <w:sz w:val="22"/>
                <w:szCs w:val="22"/>
              </w:rPr>
            </w:pPr>
          </w:p>
          <w:p w14:paraId="43A6C00B" w14:textId="77777777" w:rsidR="000331E4" w:rsidRPr="001300A9" w:rsidRDefault="000331E4" w:rsidP="00357CEC">
            <w:pPr>
              <w:pStyle w:val="Default"/>
              <w:rPr>
                <w:sz w:val="22"/>
                <w:szCs w:val="22"/>
              </w:rPr>
            </w:pPr>
          </w:p>
          <w:p w14:paraId="0DFDDD2E" w14:textId="77777777" w:rsidR="000331E4" w:rsidRPr="001300A9" w:rsidRDefault="000331E4" w:rsidP="00357CEC">
            <w:pPr>
              <w:pStyle w:val="Default"/>
              <w:rPr>
                <w:sz w:val="22"/>
                <w:szCs w:val="22"/>
              </w:rPr>
            </w:pPr>
          </w:p>
          <w:p w14:paraId="24A846D6" w14:textId="77777777" w:rsidR="000331E4" w:rsidRPr="001300A9" w:rsidRDefault="000331E4" w:rsidP="00357CEC">
            <w:pPr>
              <w:pStyle w:val="Default"/>
              <w:rPr>
                <w:sz w:val="22"/>
                <w:szCs w:val="22"/>
              </w:rPr>
            </w:pPr>
          </w:p>
          <w:p w14:paraId="60B0D6FE" w14:textId="77777777" w:rsidR="000331E4" w:rsidRPr="001300A9" w:rsidRDefault="000331E4" w:rsidP="00357CEC">
            <w:pPr>
              <w:pStyle w:val="Default"/>
              <w:rPr>
                <w:sz w:val="22"/>
                <w:szCs w:val="22"/>
              </w:rPr>
            </w:pPr>
          </w:p>
          <w:p w14:paraId="3078174F" w14:textId="77777777" w:rsidR="000331E4" w:rsidRPr="001300A9" w:rsidRDefault="000331E4" w:rsidP="00357CEC">
            <w:pPr>
              <w:pStyle w:val="Default"/>
              <w:rPr>
                <w:sz w:val="22"/>
                <w:szCs w:val="22"/>
              </w:rPr>
            </w:pPr>
          </w:p>
          <w:p w14:paraId="5D7232EE" w14:textId="316C0B55" w:rsidR="000331E4" w:rsidRDefault="000331E4" w:rsidP="00357CEC">
            <w:pPr>
              <w:pStyle w:val="Default"/>
              <w:rPr>
                <w:sz w:val="22"/>
                <w:szCs w:val="22"/>
              </w:rPr>
            </w:pPr>
          </w:p>
          <w:p w14:paraId="2982EBF2" w14:textId="21403902" w:rsidR="004A64C9" w:rsidRPr="001300A9" w:rsidRDefault="004A64C9" w:rsidP="00357CEC">
            <w:pPr>
              <w:pStyle w:val="Default"/>
              <w:rPr>
                <w:sz w:val="22"/>
                <w:szCs w:val="22"/>
              </w:rPr>
            </w:pPr>
          </w:p>
          <w:p w14:paraId="57CFE9DB" w14:textId="1C7A03B0" w:rsidR="004A64C9" w:rsidRPr="001300A9" w:rsidRDefault="007E112E" w:rsidP="00357CEC">
            <w:pPr>
              <w:pStyle w:val="Default"/>
              <w:rPr>
                <w:sz w:val="22"/>
                <w:szCs w:val="22"/>
              </w:rPr>
            </w:pPr>
            <w:r>
              <w:rPr>
                <w:sz w:val="22"/>
                <w:szCs w:val="22"/>
              </w:rPr>
              <w:t>Ú</w:t>
            </w:r>
          </w:p>
          <w:p w14:paraId="47DF6E9A" w14:textId="61A2EAC0" w:rsidR="00926F66" w:rsidRPr="001300A9" w:rsidRDefault="00926F66" w:rsidP="00357CEC">
            <w:pPr>
              <w:pStyle w:val="Default"/>
              <w:rPr>
                <w:sz w:val="22"/>
                <w:szCs w:val="22"/>
              </w:rPr>
            </w:pPr>
          </w:p>
          <w:p w14:paraId="4214BBAA" w14:textId="30704286" w:rsidR="00926F66" w:rsidRPr="001300A9" w:rsidRDefault="00926F66" w:rsidP="00357CEC">
            <w:pPr>
              <w:pStyle w:val="Default"/>
              <w:rPr>
                <w:sz w:val="22"/>
                <w:szCs w:val="22"/>
              </w:rPr>
            </w:pPr>
          </w:p>
          <w:p w14:paraId="5DB4D962" w14:textId="30CDBC7C" w:rsidR="00926F66" w:rsidRDefault="00223C49" w:rsidP="00357CEC">
            <w:pPr>
              <w:pStyle w:val="Default"/>
              <w:rPr>
                <w:sz w:val="22"/>
                <w:szCs w:val="22"/>
              </w:rPr>
            </w:pPr>
            <w:r>
              <w:rPr>
                <w:sz w:val="22"/>
                <w:szCs w:val="22"/>
              </w:rPr>
              <w:t xml:space="preserve">    </w:t>
            </w:r>
          </w:p>
          <w:p w14:paraId="5FC4B650" w14:textId="78AEE583" w:rsidR="00223C49" w:rsidRDefault="00223C49" w:rsidP="00357CEC">
            <w:pPr>
              <w:pStyle w:val="Default"/>
              <w:rPr>
                <w:sz w:val="22"/>
                <w:szCs w:val="22"/>
              </w:rPr>
            </w:pPr>
          </w:p>
          <w:p w14:paraId="68A7BBDD" w14:textId="4CE60CF0" w:rsidR="00223C49" w:rsidRDefault="00223C49" w:rsidP="00357CEC">
            <w:pPr>
              <w:pStyle w:val="Default"/>
              <w:rPr>
                <w:sz w:val="22"/>
                <w:szCs w:val="22"/>
              </w:rPr>
            </w:pPr>
          </w:p>
          <w:p w14:paraId="308B21CA" w14:textId="77777777" w:rsidR="00223C49" w:rsidRPr="001300A9" w:rsidRDefault="00223C49" w:rsidP="00357CEC">
            <w:pPr>
              <w:pStyle w:val="Default"/>
              <w:rPr>
                <w:sz w:val="22"/>
                <w:szCs w:val="22"/>
              </w:rPr>
            </w:pPr>
          </w:p>
          <w:p w14:paraId="0934C064" w14:textId="47C56550" w:rsidR="00926F66" w:rsidRPr="001300A9" w:rsidRDefault="00926F66" w:rsidP="00357CEC">
            <w:pPr>
              <w:pStyle w:val="Default"/>
              <w:rPr>
                <w:sz w:val="22"/>
                <w:szCs w:val="22"/>
              </w:rPr>
            </w:pPr>
          </w:p>
          <w:p w14:paraId="7ACC959C" w14:textId="159482ED" w:rsidR="00926F66" w:rsidRPr="001300A9" w:rsidRDefault="00926F66" w:rsidP="00357CEC">
            <w:pPr>
              <w:pStyle w:val="Default"/>
              <w:rPr>
                <w:sz w:val="22"/>
                <w:szCs w:val="22"/>
              </w:rPr>
            </w:pPr>
          </w:p>
          <w:p w14:paraId="7D6F7E4F" w14:textId="394D9017" w:rsidR="00926F66" w:rsidRPr="001300A9" w:rsidRDefault="00926F66" w:rsidP="00357CEC">
            <w:pPr>
              <w:pStyle w:val="Default"/>
              <w:rPr>
                <w:sz w:val="22"/>
                <w:szCs w:val="22"/>
              </w:rPr>
            </w:pPr>
          </w:p>
          <w:p w14:paraId="6F9D91B4" w14:textId="0AEB8DF2" w:rsidR="00926F66" w:rsidRPr="001300A9" w:rsidRDefault="00926F66" w:rsidP="00357CEC">
            <w:pPr>
              <w:pStyle w:val="Default"/>
              <w:rPr>
                <w:sz w:val="22"/>
                <w:szCs w:val="22"/>
              </w:rPr>
            </w:pPr>
          </w:p>
          <w:p w14:paraId="09B13198" w14:textId="6DC83BEE" w:rsidR="00926F66" w:rsidRPr="001300A9" w:rsidRDefault="00926F66" w:rsidP="00357CEC">
            <w:pPr>
              <w:pStyle w:val="Default"/>
              <w:rPr>
                <w:sz w:val="22"/>
                <w:szCs w:val="22"/>
              </w:rPr>
            </w:pPr>
          </w:p>
          <w:p w14:paraId="35AFFDA4" w14:textId="3BA250DF" w:rsidR="00926F66" w:rsidRPr="001300A9" w:rsidRDefault="00926F66" w:rsidP="00357CEC">
            <w:pPr>
              <w:pStyle w:val="Default"/>
              <w:rPr>
                <w:sz w:val="22"/>
                <w:szCs w:val="22"/>
              </w:rPr>
            </w:pPr>
          </w:p>
          <w:p w14:paraId="5D05621D" w14:textId="77777777" w:rsidR="00926F66" w:rsidRPr="001300A9" w:rsidRDefault="00926F66" w:rsidP="00357CEC">
            <w:pPr>
              <w:pStyle w:val="Default"/>
              <w:rPr>
                <w:sz w:val="22"/>
                <w:szCs w:val="22"/>
              </w:rPr>
            </w:pPr>
          </w:p>
          <w:p w14:paraId="0DF5C116" w14:textId="77777777" w:rsidR="004A64C9" w:rsidRPr="001300A9" w:rsidRDefault="004A64C9" w:rsidP="00357CEC">
            <w:pPr>
              <w:pStyle w:val="Default"/>
              <w:rPr>
                <w:sz w:val="22"/>
                <w:szCs w:val="22"/>
              </w:rPr>
            </w:pPr>
          </w:p>
          <w:p w14:paraId="36845EE2" w14:textId="77777777" w:rsidR="004A64C9" w:rsidRPr="001300A9" w:rsidRDefault="004A64C9" w:rsidP="00357CEC">
            <w:pPr>
              <w:pStyle w:val="Default"/>
              <w:rPr>
                <w:sz w:val="22"/>
                <w:szCs w:val="22"/>
              </w:rPr>
            </w:pPr>
          </w:p>
          <w:p w14:paraId="14147350" w14:textId="77777777" w:rsidR="004A64C9" w:rsidRPr="001300A9" w:rsidRDefault="004A64C9" w:rsidP="00357CEC">
            <w:pPr>
              <w:pStyle w:val="Default"/>
              <w:rPr>
                <w:sz w:val="22"/>
                <w:szCs w:val="22"/>
              </w:rPr>
            </w:pPr>
          </w:p>
          <w:p w14:paraId="1DFE54B0" w14:textId="77777777" w:rsidR="004A64C9" w:rsidRPr="001300A9" w:rsidRDefault="004A64C9" w:rsidP="00357CEC">
            <w:pPr>
              <w:pStyle w:val="Default"/>
              <w:rPr>
                <w:sz w:val="22"/>
                <w:szCs w:val="22"/>
              </w:rPr>
            </w:pPr>
          </w:p>
          <w:p w14:paraId="444732FD" w14:textId="77777777" w:rsidR="00926F66" w:rsidRPr="001300A9" w:rsidRDefault="00926F66" w:rsidP="00357CEC">
            <w:pPr>
              <w:pStyle w:val="Default"/>
              <w:rPr>
                <w:sz w:val="22"/>
                <w:szCs w:val="22"/>
              </w:rPr>
            </w:pPr>
          </w:p>
          <w:p w14:paraId="7CE44CDF" w14:textId="77777777" w:rsidR="00926F66" w:rsidRPr="001300A9" w:rsidRDefault="00926F66" w:rsidP="00357CEC">
            <w:pPr>
              <w:pStyle w:val="Default"/>
              <w:rPr>
                <w:sz w:val="22"/>
                <w:szCs w:val="22"/>
              </w:rPr>
            </w:pPr>
          </w:p>
          <w:p w14:paraId="2C07B38F" w14:textId="77777777" w:rsidR="00926F66" w:rsidRPr="001300A9" w:rsidRDefault="00926F66" w:rsidP="00357CEC">
            <w:pPr>
              <w:pStyle w:val="Default"/>
              <w:rPr>
                <w:sz w:val="22"/>
                <w:szCs w:val="22"/>
              </w:rPr>
            </w:pPr>
          </w:p>
          <w:p w14:paraId="5A2D9AA2" w14:textId="77777777" w:rsidR="00926F66" w:rsidRPr="001300A9" w:rsidRDefault="00926F66" w:rsidP="00357CEC">
            <w:pPr>
              <w:pStyle w:val="Default"/>
              <w:rPr>
                <w:sz w:val="22"/>
                <w:szCs w:val="22"/>
              </w:rPr>
            </w:pPr>
          </w:p>
          <w:p w14:paraId="5A6DB041" w14:textId="77777777" w:rsidR="00926F66" w:rsidRPr="001300A9" w:rsidRDefault="00926F66" w:rsidP="00357CEC">
            <w:pPr>
              <w:pStyle w:val="Default"/>
              <w:rPr>
                <w:sz w:val="22"/>
                <w:szCs w:val="22"/>
              </w:rPr>
            </w:pPr>
          </w:p>
          <w:p w14:paraId="195BCCD7" w14:textId="77777777" w:rsidR="00926F66" w:rsidRPr="001300A9" w:rsidRDefault="00926F66" w:rsidP="00357CEC">
            <w:pPr>
              <w:pStyle w:val="Default"/>
              <w:rPr>
                <w:sz w:val="22"/>
                <w:szCs w:val="22"/>
              </w:rPr>
            </w:pPr>
          </w:p>
          <w:p w14:paraId="08590D0E" w14:textId="77777777" w:rsidR="00926F66" w:rsidRPr="001300A9" w:rsidRDefault="00926F66" w:rsidP="00357CEC">
            <w:pPr>
              <w:pStyle w:val="Default"/>
              <w:rPr>
                <w:sz w:val="22"/>
                <w:szCs w:val="22"/>
              </w:rPr>
            </w:pPr>
          </w:p>
          <w:p w14:paraId="2096BF43" w14:textId="77777777" w:rsidR="00926F66" w:rsidRPr="001300A9" w:rsidRDefault="00926F66" w:rsidP="00357CEC">
            <w:pPr>
              <w:pStyle w:val="Default"/>
              <w:rPr>
                <w:sz w:val="22"/>
                <w:szCs w:val="22"/>
              </w:rPr>
            </w:pPr>
          </w:p>
          <w:p w14:paraId="39D24A70" w14:textId="77777777" w:rsidR="00926F66" w:rsidRPr="001300A9" w:rsidRDefault="00926F66" w:rsidP="00357CEC">
            <w:pPr>
              <w:pStyle w:val="Default"/>
              <w:rPr>
                <w:sz w:val="22"/>
                <w:szCs w:val="22"/>
              </w:rPr>
            </w:pPr>
          </w:p>
          <w:p w14:paraId="34DAA14E" w14:textId="77777777" w:rsidR="00926F66" w:rsidRPr="001300A9" w:rsidRDefault="00926F66" w:rsidP="00357CEC">
            <w:pPr>
              <w:pStyle w:val="Default"/>
              <w:rPr>
                <w:sz w:val="22"/>
                <w:szCs w:val="22"/>
              </w:rPr>
            </w:pPr>
          </w:p>
          <w:p w14:paraId="1F555724" w14:textId="77777777" w:rsidR="00926F66" w:rsidRPr="001300A9" w:rsidRDefault="00926F66" w:rsidP="00357CEC">
            <w:pPr>
              <w:pStyle w:val="Default"/>
              <w:rPr>
                <w:sz w:val="22"/>
                <w:szCs w:val="22"/>
              </w:rPr>
            </w:pPr>
          </w:p>
          <w:p w14:paraId="28E7ED90" w14:textId="77777777" w:rsidR="00926F66" w:rsidRPr="001300A9" w:rsidRDefault="00926F66" w:rsidP="00357CEC">
            <w:pPr>
              <w:pStyle w:val="Default"/>
              <w:rPr>
                <w:sz w:val="22"/>
                <w:szCs w:val="22"/>
              </w:rPr>
            </w:pPr>
          </w:p>
          <w:p w14:paraId="3D487CDC" w14:textId="77777777" w:rsidR="00926F66" w:rsidRPr="001300A9" w:rsidRDefault="00926F66" w:rsidP="00357CEC">
            <w:pPr>
              <w:pStyle w:val="Default"/>
              <w:rPr>
                <w:sz w:val="22"/>
                <w:szCs w:val="22"/>
              </w:rPr>
            </w:pPr>
          </w:p>
          <w:p w14:paraId="6B44EACA" w14:textId="77777777" w:rsidR="00926F66" w:rsidRPr="001300A9" w:rsidRDefault="00926F66" w:rsidP="00357CEC">
            <w:pPr>
              <w:pStyle w:val="Default"/>
              <w:rPr>
                <w:sz w:val="22"/>
                <w:szCs w:val="22"/>
              </w:rPr>
            </w:pPr>
          </w:p>
          <w:p w14:paraId="121483FD" w14:textId="77777777" w:rsidR="00926F66" w:rsidRPr="001300A9" w:rsidRDefault="00926F66" w:rsidP="00357CEC">
            <w:pPr>
              <w:pStyle w:val="Default"/>
              <w:rPr>
                <w:sz w:val="22"/>
                <w:szCs w:val="22"/>
              </w:rPr>
            </w:pPr>
          </w:p>
          <w:p w14:paraId="158FD544" w14:textId="77777777" w:rsidR="00926F66" w:rsidRPr="001300A9" w:rsidRDefault="00926F66" w:rsidP="00357CEC">
            <w:pPr>
              <w:pStyle w:val="Default"/>
              <w:rPr>
                <w:sz w:val="22"/>
                <w:szCs w:val="22"/>
              </w:rPr>
            </w:pPr>
          </w:p>
          <w:p w14:paraId="63BECC9C" w14:textId="77777777" w:rsidR="00926F66" w:rsidRPr="001300A9" w:rsidRDefault="00926F66" w:rsidP="00357CEC">
            <w:pPr>
              <w:pStyle w:val="Default"/>
              <w:rPr>
                <w:sz w:val="22"/>
                <w:szCs w:val="22"/>
              </w:rPr>
            </w:pPr>
          </w:p>
          <w:p w14:paraId="3DA25F79" w14:textId="77777777" w:rsidR="00926F66" w:rsidRPr="001300A9" w:rsidRDefault="00926F66" w:rsidP="00357CEC">
            <w:pPr>
              <w:pStyle w:val="Default"/>
              <w:rPr>
                <w:sz w:val="22"/>
                <w:szCs w:val="22"/>
              </w:rPr>
            </w:pPr>
          </w:p>
          <w:p w14:paraId="322EE23A" w14:textId="77777777" w:rsidR="00926F66" w:rsidRPr="001300A9" w:rsidRDefault="00926F66" w:rsidP="00357CEC">
            <w:pPr>
              <w:pStyle w:val="Default"/>
              <w:rPr>
                <w:sz w:val="22"/>
                <w:szCs w:val="22"/>
              </w:rPr>
            </w:pPr>
          </w:p>
          <w:p w14:paraId="4214DF43" w14:textId="77777777" w:rsidR="00926F66" w:rsidRPr="001300A9" w:rsidRDefault="00926F66" w:rsidP="00357CEC">
            <w:pPr>
              <w:pStyle w:val="Default"/>
              <w:rPr>
                <w:sz w:val="22"/>
                <w:szCs w:val="22"/>
              </w:rPr>
            </w:pPr>
          </w:p>
          <w:p w14:paraId="0428C28D" w14:textId="77777777" w:rsidR="00926F66" w:rsidRPr="001300A9" w:rsidRDefault="00926F66" w:rsidP="00357CEC">
            <w:pPr>
              <w:pStyle w:val="Default"/>
              <w:rPr>
                <w:sz w:val="22"/>
                <w:szCs w:val="22"/>
              </w:rPr>
            </w:pPr>
          </w:p>
          <w:p w14:paraId="14E1DDAD" w14:textId="77777777" w:rsidR="00926F66" w:rsidRPr="001300A9" w:rsidRDefault="00926F66" w:rsidP="00357CEC">
            <w:pPr>
              <w:pStyle w:val="Default"/>
              <w:rPr>
                <w:sz w:val="22"/>
                <w:szCs w:val="22"/>
              </w:rPr>
            </w:pPr>
          </w:p>
          <w:p w14:paraId="3F04686F" w14:textId="77777777" w:rsidR="00926F66" w:rsidRPr="001300A9" w:rsidRDefault="00926F66" w:rsidP="00357CEC">
            <w:pPr>
              <w:pStyle w:val="Default"/>
              <w:rPr>
                <w:sz w:val="22"/>
                <w:szCs w:val="22"/>
              </w:rPr>
            </w:pPr>
          </w:p>
          <w:p w14:paraId="26F641E0" w14:textId="77777777" w:rsidR="00926F66" w:rsidRPr="001300A9" w:rsidRDefault="00926F66" w:rsidP="00357CEC">
            <w:pPr>
              <w:pStyle w:val="Default"/>
              <w:rPr>
                <w:sz w:val="22"/>
                <w:szCs w:val="22"/>
              </w:rPr>
            </w:pPr>
          </w:p>
          <w:p w14:paraId="3DC355DC" w14:textId="77777777" w:rsidR="00926F66" w:rsidRPr="001300A9" w:rsidRDefault="00926F66" w:rsidP="00357CEC">
            <w:pPr>
              <w:pStyle w:val="Default"/>
              <w:rPr>
                <w:sz w:val="22"/>
                <w:szCs w:val="22"/>
              </w:rPr>
            </w:pPr>
          </w:p>
          <w:p w14:paraId="64FCAB24" w14:textId="77777777" w:rsidR="00926F66" w:rsidRPr="001300A9" w:rsidRDefault="00926F66" w:rsidP="00357CEC">
            <w:pPr>
              <w:pStyle w:val="Default"/>
              <w:rPr>
                <w:sz w:val="22"/>
                <w:szCs w:val="22"/>
              </w:rPr>
            </w:pPr>
          </w:p>
          <w:p w14:paraId="142C3DED" w14:textId="77777777" w:rsidR="00926F66" w:rsidRPr="001300A9" w:rsidRDefault="00926F66" w:rsidP="00357CEC">
            <w:pPr>
              <w:pStyle w:val="Default"/>
              <w:rPr>
                <w:sz w:val="22"/>
                <w:szCs w:val="22"/>
              </w:rPr>
            </w:pPr>
          </w:p>
          <w:p w14:paraId="2A97EAE8" w14:textId="77777777" w:rsidR="00926F66" w:rsidRPr="001300A9" w:rsidRDefault="00926F66" w:rsidP="00357CEC">
            <w:pPr>
              <w:pStyle w:val="Default"/>
              <w:rPr>
                <w:sz w:val="22"/>
                <w:szCs w:val="22"/>
              </w:rPr>
            </w:pPr>
          </w:p>
          <w:p w14:paraId="39C6DD3F" w14:textId="77777777" w:rsidR="00926F66" w:rsidRPr="001300A9" w:rsidRDefault="00926F66" w:rsidP="00357CEC">
            <w:pPr>
              <w:pStyle w:val="Default"/>
              <w:rPr>
                <w:sz w:val="22"/>
                <w:szCs w:val="22"/>
              </w:rPr>
            </w:pPr>
          </w:p>
          <w:p w14:paraId="510609B3" w14:textId="77777777" w:rsidR="00926F66" w:rsidRPr="001300A9" w:rsidRDefault="00926F66" w:rsidP="00357CEC">
            <w:pPr>
              <w:pStyle w:val="Default"/>
              <w:rPr>
                <w:sz w:val="22"/>
                <w:szCs w:val="22"/>
              </w:rPr>
            </w:pPr>
          </w:p>
          <w:p w14:paraId="285322DC" w14:textId="77777777" w:rsidR="00926F66" w:rsidRPr="001300A9" w:rsidRDefault="00926F66" w:rsidP="00357CEC">
            <w:pPr>
              <w:pStyle w:val="Default"/>
              <w:rPr>
                <w:sz w:val="22"/>
                <w:szCs w:val="22"/>
              </w:rPr>
            </w:pPr>
          </w:p>
          <w:p w14:paraId="02121D54" w14:textId="7DB6DA7E" w:rsidR="00926F66" w:rsidRPr="001300A9" w:rsidRDefault="00926F66" w:rsidP="00357CEC">
            <w:pPr>
              <w:pStyle w:val="Default"/>
              <w:rPr>
                <w:sz w:val="22"/>
                <w:szCs w:val="22"/>
              </w:rPr>
            </w:pPr>
          </w:p>
          <w:p w14:paraId="04424DFB" w14:textId="77777777" w:rsidR="007E112E" w:rsidRDefault="007E112E" w:rsidP="00357CEC">
            <w:pPr>
              <w:pStyle w:val="Default"/>
              <w:rPr>
                <w:sz w:val="22"/>
                <w:szCs w:val="22"/>
              </w:rPr>
            </w:pPr>
          </w:p>
          <w:p w14:paraId="4DDD1295" w14:textId="187AFBAD" w:rsidR="5F673433" w:rsidRDefault="5F673433" w:rsidP="5F673433">
            <w:pPr>
              <w:pStyle w:val="Default"/>
              <w:rPr>
                <w:sz w:val="22"/>
                <w:szCs w:val="22"/>
              </w:rPr>
            </w:pPr>
          </w:p>
          <w:p w14:paraId="57CF272F" w14:textId="77777777" w:rsidR="007E112E" w:rsidRDefault="007E112E" w:rsidP="00357CEC">
            <w:pPr>
              <w:pStyle w:val="Default"/>
              <w:rPr>
                <w:sz w:val="22"/>
                <w:szCs w:val="22"/>
              </w:rPr>
            </w:pPr>
          </w:p>
          <w:p w14:paraId="540C853D" w14:textId="0F14CEF3" w:rsidR="00926F66" w:rsidRPr="001300A9" w:rsidRDefault="007A7391" w:rsidP="00357CEC">
            <w:pPr>
              <w:pStyle w:val="Default"/>
              <w:rPr>
                <w:sz w:val="22"/>
                <w:szCs w:val="22"/>
              </w:rPr>
            </w:pPr>
            <w:r w:rsidRPr="007E112E">
              <w:rPr>
                <w:sz w:val="22"/>
                <w:szCs w:val="22"/>
              </w:rPr>
              <w:t>Č</w:t>
            </w:r>
          </w:p>
          <w:p w14:paraId="2EA0AF35" w14:textId="77777777" w:rsidR="005B02EA" w:rsidRPr="001300A9" w:rsidRDefault="005B02EA" w:rsidP="00357CEC">
            <w:pPr>
              <w:pStyle w:val="Default"/>
              <w:rPr>
                <w:sz w:val="22"/>
                <w:szCs w:val="22"/>
              </w:rPr>
            </w:pPr>
          </w:p>
          <w:p w14:paraId="5142C842" w14:textId="77777777" w:rsidR="005B02EA" w:rsidRPr="001300A9" w:rsidRDefault="005B02EA" w:rsidP="00357CEC">
            <w:pPr>
              <w:pStyle w:val="Default"/>
              <w:rPr>
                <w:sz w:val="22"/>
                <w:szCs w:val="22"/>
              </w:rPr>
            </w:pPr>
          </w:p>
          <w:p w14:paraId="27D87A7A" w14:textId="77777777" w:rsidR="005B02EA" w:rsidRPr="001300A9" w:rsidRDefault="005B02EA" w:rsidP="00357CEC">
            <w:pPr>
              <w:pStyle w:val="Default"/>
              <w:rPr>
                <w:sz w:val="22"/>
                <w:szCs w:val="22"/>
              </w:rPr>
            </w:pPr>
          </w:p>
          <w:p w14:paraId="3161C9A4" w14:textId="77777777" w:rsidR="005B02EA" w:rsidRPr="001300A9" w:rsidRDefault="005B02EA" w:rsidP="00357CEC">
            <w:pPr>
              <w:pStyle w:val="Default"/>
              <w:rPr>
                <w:sz w:val="22"/>
                <w:szCs w:val="22"/>
              </w:rPr>
            </w:pPr>
          </w:p>
          <w:p w14:paraId="74937E97" w14:textId="77777777" w:rsidR="005B02EA" w:rsidRPr="001300A9" w:rsidRDefault="005B02EA" w:rsidP="00357CEC">
            <w:pPr>
              <w:pStyle w:val="Default"/>
              <w:rPr>
                <w:sz w:val="22"/>
                <w:szCs w:val="22"/>
              </w:rPr>
            </w:pPr>
          </w:p>
          <w:p w14:paraId="2EFF7918" w14:textId="77777777" w:rsidR="005B02EA" w:rsidRPr="001300A9" w:rsidRDefault="005B02EA" w:rsidP="00357CEC">
            <w:pPr>
              <w:pStyle w:val="Default"/>
              <w:rPr>
                <w:sz w:val="22"/>
                <w:szCs w:val="22"/>
              </w:rPr>
            </w:pPr>
          </w:p>
          <w:p w14:paraId="2899E5A7" w14:textId="77777777" w:rsidR="005B02EA" w:rsidRPr="001300A9" w:rsidRDefault="005B02EA" w:rsidP="00357CEC">
            <w:pPr>
              <w:pStyle w:val="Default"/>
              <w:rPr>
                <w:sz w:val="22"/>
                <w:szCs w:val="22"/>
              </w:rPr>
            </w:pPr>
          </w:p>
          <w:p w14:paraId="6DCF7F03" w14:textId="77777777" w:rsidR="005B02EA" w:rsidRPr="001300A9" w:rsidRDefault="005B02EA" w:rsidP="00357CEC">
            <w:pPr>
              <w:pStyle w:val="Default"/>
              <w:rPr>
                <w:sz w:val="22"/>
                <w:szCs w:val="22"/>
              </w:rPr>
            </w:pPr>
          </w:p>
          <w:p w14:paraId="16AF3919" w14:textId="77777777" w:rsidR="005B02EA" w:rsidRPr="001300A9" w:rsidRDefault="005B02EA" w:rsidP="00357CEC">
            <w:pPr>
              <w:pStyle w:val="Default"/>
              <w:rPr>
                <w:sz w:val="22"/>
                <w:szCs w:val="22"/>
              </w:rPr>
            </w:pPr>
          </w:p>
          <w:p w14:paraId="16A773FE" w14:textId="77777777" w:rsidR="005B02EA" w:rsidRPr="001300A9" w:rsidRDefault="005B02EA" w:rsidP="00357CEC">
            <w:pPr>
              <w:pStyle w:val="Default"/>
              <w:rPr>
                <w:sz w:val="22"/>
                <w:szCs w:val="22"/>
              </w:rPr>
            </w:pPr>
          </w:p>
          <w:p w14:paraId="3D038CE1" w14:textId="77777777" w:rsidR="005B02EA" w:rsidRPr="001300A9" w:rsidRDefault="005B02EA" w:rsidP="00357CEC">
            <w:pPr>
              <w:pStyle w:val="Default"/>
              <w:rPr>
                <w:sz w:val="22"/>
                <w:szCs w:val="22"/>
              </w:rPr>
            </w:pPr>
          </w:p>
          <w:p w14:paraId="5C3D5504" w14:textId="77777777" w:rsidR="005B02EA" w:rsidRPr="001300A9" w:rsidRDefault="005B02EA" w:rsidP="00357CEC">
            <w:pPr>
              <w:pStyle w:val="Default"/>
              <w:rPr>
                <w:sz w:val="22"/>
                <w:szCs w:val="22"/>
              </w:rPr>
            </w:pPr>
          </w:p>
          <w:p w14:paraId="1125C2AF" w14:textId="77777777" w:rsidR="005B02EA" w:rsidRPr="001300A9" w:rsidRDefault="005B02EA" w:rsidP="00357CEC">
            <w:pPr>
              <w:pStyle w:val="Default"/>
              <w:rPr>
                <w:sz w:val="22"/>
                <w:szCs w:val="22"/>
              </w:rPr>
            </w:pPr>
          </w:p>
          <w:p w14:paraId="53CA54B2" w14:textId="77777777" w:rsidR="005B02EA" w:rsidRPr="001300A9" w:rsidRDefault="005B02EA" w:rsidP="00357CEC">
            <w:pPr>
              <w:pStyle w:val="Default"/>
              <w:rPr>
                <w:sz w:val="22"/>
                <w:szCs w:val="22"/>
              </w:rPr>
            </w:pPr>
          </w:p>
          <w:p w14:paraId="2E846E6A" w14:textId="77777777" w:rsidR="005B02EA" w:rsidRPr="001300A9" w:rsidRDefault="005B02EA" w:rsidP="00357CEC">
            <w:pPr>
              <w:pStyle w:val="Default"/>
              <w:rPr>
                <w:sz w:val="22"/>
                <w:szCs w:val="22"/>
              </w:rPr>
            </w:pPr>
          </w:p>
          <w:p w14:paraId="118C8115" w14:textId="77777777" w:rsidR="005B02EA" w:rsidRPr="001300A9" w:rsidRDefault="005B02EA" w:rsidP="00357CEC">
            <w:pPr>
              <w:pStyle w:val="Default"/>
              <w:rPr>
                <w:sz w:val="22"/>
                <w:szCs w:val="22"/>
              </w:rPr>
            </w:pPr>
          </w:p>
          <w:p w14:paraId="0C1B3589" w14:textId="77777777" w:rsidR="005B02EA" w:rsidRPr="001300A9" w:rsidRDefault="005B02EA" w:rsidP="00357CEC">
            <w:pPr>
              <w:pStyle w:val="Default"/>
              <w:rPr>
                <w:sz w:val="22"/>
                <w:szCs w:val="22"/>
              </w:rPr>
            </w:pPr>
          </w:p>
          <w:p w14:paraId="07AD4B75" w14:textId="77777777" w:rsidR="005B02EA" w:rsidRPr="001300A9" w:rsidRDefault="005B02EA" w:rsidP="00357CEC">
            <w:pPr>
              <w:pStyle w:val="Default"/>
              <w:rPr>
                <w:sz w:val="22"/>
                <w:szCs w:val="22"/>
              </w:rPr>
            </w:pPr>
          </w:p>
          <w:p w14:paraId="60BA65B2" w14:textId="77777777" w:rsidR="005B02EA" w:rsidRPr="001300A9" w:rsidRDefault="005B02EA" w:rsidP="00357CEC">
            <w:pPr>
              <w:pStyle w:val="Default"/>
              <w:rPr>
                <w:sz w:val="22"/>
                <w:szCs w:val="22"/>
              </w:rPr>
            </w:pPr>
          </w:p>
          <w:p w14:paraId="42C28515" w14:textId="77777777" w:rsidR="005B02EA" w:rsidRPr="001300A9" w:rsidRDefault="005B02EA" w:rsidP="00357CEC">
            <w:pPr>
              <w:pStyle w:val="Default"/>
              <w:rPr>
                <w:sz w:val="22"/>
                <w:szCs w:val="22"/>
              </w:rPr>
            </w:pPr>
          </w:p>
          <w:p w14:paraId="13BF05BB" w14:textId="77777777" w:rsidR="005B02EA" w:rsidRPr="001300A9" w:rsidRDefault="005B02EA" w:rsidP="00357CEC">
            <w:pPr>
              <w:pStyle w:val="Default"/>
              <w:rPr>
                <w:sz w:val="22"/>
                <w:szCs w:val="22"/>
              </w:rPr>
            </w:pPr>
          </w:p>
          <w:p w14:paraId="498D92D9" w14:textId="77777777" w:rsidR="005B02EA" w:rsidRPr="001300A9" w:rsidRDefault="005B02EA" w:rsidP="00357CEC">
            <w:pPr>
              <w:pStyle w:val="Default"/>
              <w:rPr>
                <w:sz w:val="22"/>
                <w:szCs w:val="22"/>
              </w:rPr>
            </w:pPr>
          </w:p>
          <w:p w14:paraId="691A2512" w14:textId="77777777" w:rsidR="005B02EA" w:rsidRPr="001300A9" w:rsidRDefault="005B02EA" w:rsidP="00357CEC">
            <w:pPr>
              <w:pStyle w:val="Default"/>
              <w:rPr>
                <w:sz w:val="22"/>
                <w:szCs w:val="22"/>
              </w:rPr>
            </w:pPr>
          </w:p>
          <w:p w14:paraId="2CC8BF42" w14:textId="77777777" w:rsidR="005B02EA" w:rsidRPr="001300A9" w:rsidRDefault="005B02EA" w:rsidP="00357CEC">
            <w:pPr>
              <w:pStyle w:val="Default"/>
              <w:rPr>
                <w:sz w:val="22"/>
                <w:szCs w:val="22"/>
              </w:rPr>
            </w:pPr>
          </w:p>
          <w:p w14:paraId="2D103DCC" w14:textId="77777777" w:rsidR="005B02EA" w:rsidRPr="001300A9" w:rsidRDefault="005B02EA" w:rsidP="00357CEC">
            <w:pPr>
              <w:pStyle w:val="Default"/>
              <w:rPr>
                <w:sz w:val="22"/>
                <w:szCs w:val="22"/>
              </w:rPr>
            </w:pPr>
          </w:p>
          <w:p w14:paraId="49C52C70" w14:textId="77777777" w:rsidR="005B02EA" w:rsidRPr="001300A9" w:rsidRDefault="005B02EA" w:rsidP="00357CEC">
            <w:pPr>
              <w:pStyle w:val="Default"/>
              <w:rPr>
                <w:sz w:val="22"/>
                <w:szCs w:val="22"/>
              </w:rPr>
            </w:pPr>
          </w:p>
          <w:p w14:paraId="2BE63699" w14:textId="77777777" w:rsidR="005B02EA" w:rsidRPr="001300A9" w:rsidRDefault="005B02EA" w:rsidP="00357CEC">
            <w:pPr>
              <w:pStyle w:val="Default"/>
              <w:rPr>
                <w:sz w:val="22"/>
                <w:szCs w:val="22"/>
              </w:rPr>
            </w:pPr>
          </w:p>
          <w:p w14:paraId="79BB6627" w14:textId="77777777" w:rsidR="005B02EA" w:rsidRPr="001300A9" w:rsidRDefault="005B02EA" w:rsidP="00357CEC">
            <w:pPr>
              <w:pStyle w:val="Default"/>
              <w:rPr>
                <w:sz w:val="22"/>
                <w:szCs w:val="22"/>
              </w:rPr>
            </w:pPr>
          </w:p>
          <w:p w14:paraId="41EE04DE" w14:textId="77777777" w:rsidR="005B02EA" w:rsidRPr="001300A9" w:rsidRDefault="005B02EA" w:rsidP="00357CEC">
            <w:pPr>
              <w:pStyle w:val="Default"/>
              <w:rPr>
                <w:sz w:val="22"/>
                <w:szCs w:val="22"/>
              </w:rPr>
            </w:pPr>
          </w:p>
          <w:p w14:paraId="4B96FDAD" w14:textId="77777777" w:rsidR="005B02EA" w:rsidRPr="001300A9" w:rsidRDefault="005B02EA" w:rsidP="00357CEC">
            <w:pPr>
              <w:pStyle w:val="Default"/>
              <w:rPr>
                <w:sz w:val="22"/>
                <w:szCs w:val="22"/>
              </w:rPr>
            </w:pPr>
          </w:p>
          <w:p w14:paraId="51A5C5B3" w14:textId="77777777" w:rsidR="005B02EA" w:rsidRPr="001300A9" w:rsidRDefault="005B02EA" w:rsidP="00357CEC">
            <w:pPr>
              <w:pStyle w:val="Default"/>
              <w:rPr>
                <w:sz w:val="22"/>
                <w:szCs w:val="22"/>
              </w:rPr>
            </w:pPr>
          </w:p>
          <w:p w14:paraId="5689EA5E" w14:textId="77777777" w:rsidR="005B02EA" w:rsidRPr="001300A9" w:rsidRDefault="005B02EA" w:rsidP="00357CEC">
            <w:pPr>
              <w:pStyle w:val="Default"/>
              <w:rPr>
                <w:sz w:val="22"/>
                <w:szCs w:val="22"/>
              </w:rPr>
            </w:pPr>
          </w:p>
          <w:p w14:paraId="50DEA1C9" w14:textId="77777777" w:rsidR="005B02EA" w:rsidRPr="001300A9" w:rsidRDefault="005B02EA" w:rsidP="00357CEC">
            <w:pPr>
              <w:pStyle w:val="Default"/>
              <w:rPr>
                <w:sz w:val="22"/>
                <w:szCs w:val="22"/>
              </w:rPr>
            </w:pPr>
          </w:p>
          <w:p w14:paraId="53E49A5F" w14:textId="77777777" w:rsidR="005B02EA" w:rsidRPr="001300A9" w:rsidRDefault="005B02EA" w:rsidP="00357CEC">
            <w:pPr>
              <w:pStyle w:val="Default"/>
              <w:rPr>
                <w:sz w:val="22"/>
                <w:szCs w:val="22"/>
              </w:rPr>
            </w:pPr>
          </w:p>
          <w:p w14:paraId="03EE302A" w14:textId="77777777" w:rsidR="005B02EA" w:rsidRPr="001300A9" w:rsidRDefault="005B02EA" w:rsidP="00357CEC">
            <w:pPr>
              <w:pStyle w:val="Default"/>
              <w:rPr>
                <w:sz w:val="22"/>
                <w:szCs w:val="22"/>
              </w:rPr>
            </w:pPr>
          </w:p>
          <w:p w14:paraId="013FBF18" w14:textId="77777777" w:rsidR="005B02EA" w:rsidRPr="001300A9" w:rsidRDefault="005B02EA" w:rsidP="00357CEC">
            <w:pPr>
              <w:pStyle w:val="Default"/>
              <w:rPr>
                <w:sz w:val="22"/>
                <w:szCs w:val="22"/>
              </w:rPr>
            </w:pPr>
          </w:p>
          <w:p w14:paraId="68A553D5" w14:textId="77777777" w:rsidR="005B02EA" w:rsidRPr="001300A9" w:rsidRDefault="005B02EA" w:rsidP="00357CEC">
            <w:pPr>
              <w:pStyle w:val="Default"/>
              <w:rPr>
                <w:sz w:val="22"/>
                <w:szCs w:val="22"/>
              </w:rPr>
            </w:pPr>
          </w:p>
          <w:p w14:paraId="496D1D47" w14:textId="77777777" w:rsidR="005B02EA" w:rsidRPr="001300A9" w:rsidRDefault="005B02EA" w:rsidP="00357CEC">
            <w:pPr>
              <w:pStyle w:val="Default"/>
              <w:rPr>
                <w:sz w:val="22"/>
                <w:szCs w:val="22"/>
              </w:rPr>
            </w:pPr>
          </w:p>
          <w:p w14:paraId="47A682A5" w14:textId="77777777" w:rsidR="005B02EA" w:rsidRPr="001300A9" w:rsidRDefault="005B02EA" w:rsidP="00357CEC">
            <w:pPr>
              <w:pStyle w:val="Default"/>
              <w:rPr>
                <w:sz w:val="22"/>
                <w:szCs w:val="22"/>
              </w:rPr>
            </w:pPr>
          </w:p>
          <w:p w14:paraId="380052D9" w14:textId="77777777" w:rsidR="005B02EA" w:rsidRPr="001300A9" w:rsidRDefault="005B02EA" w:rsidP="00357CEC">
            <w:pPr>
              <w:pStyle w:val="Default"/>
              <w:rPr>
                <w:sz w:val="22"/>
                <w:szCs w:val="22"/>
              </w:rPr>
            </w:pPr>
          </w:p>
          <w:p w14:paraId="18ADE82D" w14:textId="77777777" w:rsidR="005B02EA" w:rsidRPr="001300A9" w:rsidRDefault="005B02EA" w:rsidP="00357CEC">
            <w:pPr>
              <w:pStyle w:val="Default"/>
              <w:rPr>
                <w:sz w:val="22"/>
                <w:szCs w:val="22"/>
              </w:rPr>
            </w:pPr>
          </w:p>
          <w:p w14:paraId="348FFA64" w14:textId="77777777" w:rsidR="005B02EA" w:rsidRPr="001300A9" w:rsidRDefault="005B02EA" w:rsidP="00357CEC">
            <w:pPr>
              <w:pStyle w:val="Default"/>
              <w:rPr>
                <w:sz w:val="22"/>
                <w:szCs w:val="22"/>
              </w:rPr>
            </w:pPr>
          </w:p>
          <w:p w14:paraId="28AEB80B" w14:textId="77777777" w:rsidR="005B02EA" w:rsidRPr="001300A9" w:rsidRDefault="005B02EA" w:rsidP="00357CEC">
            <w:pPr>
              <w:pStyle w:val="Default"/>
              <w:rPr>
                <w:sz w:val="22"/>
                <w:szCs w:val="22"/>
              </w:rPr>
            </w:pPr>
          </w:p>
          <w:p w14:paraId="4877B648" w14:textId="77777777" w:rsidR="005B02EA" w:rsidRPr="001300A9" w:rsidRDefault="005B02EA" w:rsidP="00357CEC">
            <w:pPr>
              <w:pStyle w:val="Default"/>
              <w:rPr>
                <w:sz w:val="22"/>
                <w:szCs w:val="22"/>
              </w:rPr>
            </w:pPr>
          </w:p>
          <w:p w14:paraId="089BCB30" w14:textId="77777777" w:rsidR="005B02EA" w:rsidRPr="001300A9" w:rsidRDefault="005B02EA" w:rsidP="00357CEC">
            <w:pPr>
              <w:pStyle w:val="Default"/>
              <w:rPr>
                <w:sz w:val="22"/>
                <w:szCs w:val="22"/>
              </w:rPr>
            </w:pPr>
          </w:p>
          <w:p w14:paraId="231C868B" w14:textId="77777777" w:rsidR="005B02EA" w:rsidRPr="001300A9" w:rsidRDefault="005B02EA" w:rsidP="00357CEC">
            <w:pPr>
              <w:pStyle w:val="Default"/>
              <w:rPr>
                <w:sz w:val="22"/>
                <w:szCs w:val="22"/>
              </w:rPr>
            </w:pPr>
          </w:p>
          <w:p w14:paraId="0B419D2F" w14:textId="77777777" w:rsidR="005B02EA" w:rsidRPr="001300A9" w:rsidRDefault="005B02EA" w:rsidP="00357CEC">
            <w:pPr>
              <w:pStyle w:val="Default"/>
              <w:rPr>
                <w:sz w:val="22"/>
                <w:szCs w:val="22"/>
              </w:rPr>
            </w:pPr>
          </w:p>
          <w:p w14:paraId="4A343ACA" w14:textId="77777777" w:rsidR="005B02EA" w:rsidRPr="001300A9" w:rsidRDefault="005B02EA" w:rsidP="00357CEC">
            <w:pPr>
              <w:pStyle w:val="Default"/>
              <w:rPr>
                <w:sz w:val="22"/>
                <w:szCs w:val="22"/>
              </w:rPr>
            </w:pPr>
          </w:p>
          <w:p w14:paraId="7A8E8DF5" w14:textId="77777777" w:rsidR="005B02EA" w:rsidRPr="001300A9" w:rsidRDefault="005B02EA" w:rsidP="00357CEC">
            <w:pPr>
              <w:pStyle w:val="Default"/>
              <w:rPr>
                <w:sz w:val="22"/>
                <w:szCs w:val="22"/>
              </w:rPr>
            </w:pPr>
          </w:p>
          <w:p w14:paraId="099024C7" w14:textId="77777777" w:rsidR="005B02EA" w:rsidRPr="001300A9" w:rsidRDefault="005B02EA" w:rsidP="00357CEC">
            <w:pPr>
              <w:pStyle w:val="Default"/>
              <w:rPr>
                <w:sz w:val="22"/>
                <w:szCs w:val="22"/>
              </w:rPr>
            </w:pPr>
          </w:p>
          <w:p w14:paraId="142334D5" w14:textId="77777777" w:rsidR="005B02EA" w:rsidRPr="001300A9" w:rsidRDefault="005B02EA" w:rsidP="00357CEC">
            <w:pPr>
              <w:pStyle w:val="Default"/>
              <w:rPr>
                <w:sz w:val="22"/>
                <w:szCs w:val="22"/>
              </w:rPr>
            </w:pPr>
          </w:p>
          <w:p w14:paraId="3603B905" w14:textId="77777777" w:rsidR="005B02EA" w:rsidRPr="001300A9" w:rsidRDefault="005B02EA" w:rsidP="00357CEC">
            <w:pPr>
              <w:pStyle w:val="Default"/>
              <w:rPr>
                <w:sz w:val="22"/>
                <w:szCs w:val="22"/>
              </w:rPr>
            </w:pPr>
          </w:p>
          <w:p w14:paraId="22C99AA7" w14:textId="77777777" w:rsidR="005B02EA" w:rsidRPr="001300A9" w:rsidRDefault="005B02EA" w:rsidP="00357CEC">
            <w:pPr>
              <w:pStyle w:val="Default"/>
              <w:rPr>
                <w:sz w:val="22"/>
                <w:szCs w:val="22"/>
              </w:rPr>
            </w:pPr>
          </w:p>
          <w:p w14:paraId="23B71B8E" w14:textId="77777777" w:rsidR="005B02EA" w:rsidRPr="001300A9" w:rsidRDefault="005B02EA" w:rsidP="00357CEC">
            <w:pPr>
              <w:pStyle w:val="Default"/>
              <w:rPr>
                <w:sz w:val="22"/>
                <w:szCs w:val="22"/>
              </w:rPr>
            </w:pPr>
          </w:p>
          <w:p w14:paraId="6547A0D6" w14:textId="77777777" w:rsidR="005B02EA" w:rsidRPr="001300A9" w:rsidRDefault="005B02EA" w:rsidP="00357CEC">
            <w:pPr>
              <w:pStyle w:val="Default"/>
              <w:rPr>
                <w:sz w:val="22"/>
                <w:szCs w:val="22"/>
              </w:rPr>
            </w:pPr>
          </w:p>
          <w:p w14:paraId="7116E6B9" w14:textId="77777777" w:rsidR="005B02EA" w:rsidRPr="001300A9" w:rsidRDefault="005B02EA" w:rsidP="00357CEC">
            <w:pPr>
              <w:pStyle w:val="Default"/>
              <w:rPr>
                <w:sz w:val="22"/>
                <w:szCs w:val="22"/>
              </w:rPr>
            </w:pPr>
          </w:p>
          <w:p w14:paraId="4DD93EEA" w14:textId="77777777" w:rsidR="005B02EA" w:rsidRPr="001300A9" w:rsidRDefault="005B02EA" w:rsidP="00357CEC">
            <w:pPr>
              <w:pStyle w:val="Default"/>
              <w:rPr>
                <w:sz w:val="22"/>
                <w:szCs w:val="22"/>
              </w:rPr>
            </w:pPr>
          </w:p>
          <w:p w14:paraId="5B3BF6ED" w14:textId="77777777" w:rsidR="005B02EA" w:rsidRPr="001300A9" w:rsidRDefault="005B02EA" w:rsidP="00357CEC">
            <w:pPr>
              <w:pStyle w:val="Default"/>
              <w:rPr>
                <w:sz w:val="22"/>
                <w:szCs w:val="22"/>
              </w:rPr>
            </w:pPr>
          </w:p>
          <w:p w14:paraId="1DE32E17" w14:textId="77777777" w:rsidR="005B02EA" w:rsidRPr="001300A9" w:rsidRDefault="005B02EA" w:rsidP="00357CEC">
            <w:pPr>
              <w:pStyle w:val="Default"/>
              <w:rPr>
                <w:sz w:val="22"/>
                <w:szCs w:val="22"/>
              </w:rPr>
            </w:pPr>
          </w:p>
          <w:p w14:paraId="598998C8" w14:textId="77777777" w:rsidR="005B02EA" w:rsidRPr="001300A9" w:rsidRDefault="005B02EA" w:rsidP="00357CEC">
            <w:pPr>
              <w:pStyle w:val="Default"/>
              <w:rPr>
                <w:sz w:val="22"/>
                <w:szCs w:val="22"/>
              </w:rPr>
            </w:pPr>
          </w:p>
          <w:p w14:paraId="1F009CFA" w14:textId="77777777" w:rsidR="005B02EA" w:rsidRPr="001300A9" w:rsidRDefault="005B02EA" w:rsidP="00357CEC">
            <w:pPr>
              <w:pStyle w:val="Default"/>
              <w:rPr>
                <w:sz w:val="22"/>
                <w:szCs w:val="22"/>
              </w:rPr>
            </w:pPr>
          </w:p>
          <w:p w14:paraId="1CF1D642" w14:textId="77777777" w:rsidR="005B02EA" w:rsidRPr="001300A9" w:rsidRDefault="005B02EA" w:rsidP="00357CEC">
            <w:pPr>
              <w:pStyle w:val="Default"/>
              <w:rPr>
                <w:sz w:val="22"/>
                <w:szCs w:val="22"/>
              </w:rPr>
            </w:pPr>
          </w:p>
          <w:p w14:paraId="3E42764B" w14:textId="77777777" w:rsidR="005B02EA" w:rsidRPr="001300A9" w:rsidRDefault="005B02EA" w:rsidP="00357CEC">
            <w:pPr>
              <w:pStyle w:val="Default"/>
              <w:rPr>
                <w:sz w:val="22"/>
                <w:szCs w:val="22"/>
              </w:rPr>
            </w:pPr>
          </w:p>
          <w:p w14:paraId="017076B9" w14:textId="77777777" w:rsidR="005B02EA" w:rsidRPr="001300A9" w:rsidRDefault="005B02EA" w:rsidP="00357CEC">
            <w:pPr>
              <w:pStyle w:val="Default"/>
              <w:rPr>
                <w:sz w:val="22"/>
                <w:szCs w:val="22"/>
              </w:rPr>
            </w:pPr>
          </w:p>
          <w:p w14:paraId="2B1AEF51" w14:textId="77777777" w:rsidR="005B02EA" w:rsidRPr="001300A9" w:rsidRDefault="005B02EA" w:rsidP="00357CEC">
            <w:pPr>
              <w:pStyle w:val="Default"/>
              <w:rPr>
                <w:sz w:val="22"/>
                <w:szCs w:val="22"/>
              </w:rPr>
            </w:pPr>
          </w:p>
          <w:p w14:paraId="345A31FD" w14:textId="77777777" w:rsidR="005B02EA" w:rsidRPr="001300A9" w:rsidRDefault="005B02EA" w:rsidP="00357CEC">
            <w:pPr>
              <w:pStyle w:val="Default"/>
              <w:rPr>
                <w:sz w:val="22"/>
                <w:szCs w:val="22"/>
              </w:rPr>
            </w:pPr>
          </w:p>
          <w:p w14:paraId="439E5D89" w14:textId="77777777" w:rsidR="005B02EA" w:rsidRPr="001300A9" w:rsidRDefault="005B02EA" w:rsidP="00357CEC">
            <w:pPr>
              <w:pStyle w:val="Default"/>
              <w:rPr>
                <w:sz w:val="22"/>
                <w:szCs w:val="22"/>
              </w:rPr>
            </w:pPr>
          </w:p>
          <w:p w14:paraId="51B893AE" w14:textId="77777777" w:rsidR="005B02EA" w:rsidRPr="001300A9" w:rsidRDefault="005B02EA" w:rsidP="00357CEC">
            <w:pPr>
              <w:pStyle w:val="Default"/>
              <w:rPr>
                <w:sz w:val="22"/>
                <w:szCs w:val="22"/>
              </w:rPr>
            </w:pPr>
          </w:p>
          <w:p w14:paraId="5B5D422F" w14:textId="77777777" w:rsidR="005B02EA" w:rsidRPr="001300A9" w:rsidRDefault="005B02EA" w:rsidP="00357CEC">
            <w:pPr>
              <w:pStyle w:val="Default"/>
              <w:rPr>
                <w:sz w:val="22"/>
                <w:szCs w:val="22"/>
              </w:rPr>
            </w:pPr>
          </w:p>
          <w:p w14:paraId="3DFD1196" w14:textId="77777777" w:rsidR="005B02EA" w:rsidRPr="001300A9" w:rsidRDefault="005B02EA" w:rsidP="00357CEC">
            <w:pPr>
              <w:pStyle w:val="Default"/>
              <w:rPr>
                <w:sz w:val="22"/>
                <w:szCs w:val="22"/>
              </w:rPr>
            </w:pPr>
          </w:p>
          <w:p w14:paraId="66F3DC8C" w14:textId="77777777" w:rsidR="005B02EA" w:rsidRPr="001300A9" w:rsidRDefault="005B02EA" w:rsidP="00357CEC">
            <w:pPr>
              <w:pStyle w:val="Default"/>
              <w:rPr>
                <w:sz w:val="22"/>
                <w:szCs w:val="22"/>
              </w:rPr>
            </w:pPr>
          </w:p>
          <w:p w14:paraId="01D581C9" w14:textId="77777777" w:rsidR="005B02EA" w:rsidRPr="001300A9" w:rsidRDefault="005B02EA" w:rsidP="00357CEC">
            <w:pPr>
              <w:pStyle w:val="Default"/>
              <w:rPr>
                <w:sz w:val="22"/>
                <w:szCs w:val="22"/>
              </w:rPr>
            </w:pPr>
          </w:p>
          <w:p w14:paraId="24A26DD9" w14:textId="77777777" w:rsidR="005B02EA" w:rsidRPr="001300A9" w:rsidRDefault="005B02EA" w:rsidP="00357CEC">
            <w:pPr>
              <w:pStyle w:val="Default"/>
              <w:rPr>
                <w:sz w:val="22"/>
                <w:szCs w:val="22"/>
              </w:rPr>
            </w:pPr>
          </w:p>
          <w:p w14:paraId="346BB7A1" w14:textId="77777777" w:rsidR="005B02EA" w:rsidRPr="001300A9" w:rsidRDefault="005B02EA" w:rsidP="00357CEC">
            <w:pPr>
              <w:pStyle w:val="Default"/>
              <w:rPr>
                <w:sz w:val="22"/>
                <w:szCs w:val="22"/>
              </w:rPr>
            </w:pPr>
          </w:p>
          <w:p w14:paraId="283018C8" w14:textId="77777777" w:rsidR="005B02EA" w:rsidRPr="001300A9" w:rsidRDefault="005B02EA" w:rsidP="00357CEC">
            <w:pPr>
              <w:pStyle w:val="Default"/>
              <w:rPr>
                <w:sz w:val="22"/>
                <w:szCs w:val="22"/>
              </w:rPr>
            </w:pPr>
          </w:p>
          <w:p w14:paraId="4991DB9F" w14:textId="77777777" w:rsidR="005B02EA" w:rsidRPr="001300A9" w:rsidRDefault="005B02EA" w:rsidP="00357CEC">
            <w:pPr>
              <w:pStyle w:val="Default"/>
              <w:rPr>
                <w:sz w:val="22"/>
                <w:szCs w:val="22"/>
              </w:rPr>
            </w:pPr>
          </w:p>
          <w:p w14:paraId="42BA1633" w14:textId="77777777" w:rsidR="005B02EA" w:rsidRPr="001300A9" w:rsidRDefault="005B02EA" w:rsidP="00357CEC">
            <w:pPr>
              <w:pStyle w:val="Default"/>
              <w:rPr>
                <w:sz w:val="22"/>
                <w:szCs w:val="22"/>
              </w:rPr>
            </w:pPr>
          </w:p>
          <w:p w14:paraId="2DDBE556" w14:textId="77777777" w:rsidR="005B02EA" w:rsidRPr="001300A9" w:rsidRDefault="005B02EA" w:rsidP="00357CEC">
            <w:pPr>
              <w:pStyle w:val="Default"/>
              <w:rPr>
                <w:sz w:val="22"/>
                <w:szCs w:val="22"/>
              </w:rPr>
            </w:pPr>
          </w:p>
          <w:p w14:paraId="79F5EFE2" w14:textId="77777777" w:rsidR="005B02EA" w:rsidRPr="001300A9" w:rsidRDefault="005B02EA" w:rsidP="00357CEC">
            <w:pPr>
              <w:pStyle w:val="Default"/>
              <w:rPr>
                <w:sz w:val="22"/>
                <w:szCs w:val="22"/>
              </w:rPr>
            </w:pPr>
          </w:p>
          <w:p w14:paraId="15680608" w14:textId="77777777" w:rsidR="005B02EA" w:rsidRPr="001300A9" w:rsidRDefault="005B02EA" w:rsidP="00357CEC">
            <w:pPr>
              <w:pStyle w:val="Default"/>
              <w:rPr>
                <w:sz w:val="22"/>
                <w:szCs w:val="22"/>
              </w:rPr>
            </w:pPr>
          </w:p>
          <w:p w14:paraId="1826DA15" w14:textId="77777777" w:rsidR="005B02EA" w:rsidRPr="001300A9" w:rsidRDefault="005B02EA" w:rsidP="00357CEC">
            <w:pPr>
              <w:pStyle w:val="Default"/>
              <w:rPr>
                <w:sz w:val="22"/>
                <w:szCs w:val="22"/>
              </w:rPr>
            </w:pPr>
          </w:p>
          <w:p w14:paraId="161CD53E" w14:textId="77777777" w:rsidR="005B02EA" w:rsidRPr="001300A9" w:rsidRDefault="005B02EA" w:rsidP="00357CEC">
            <w:pPr>
              <w:pStyle w:val="Default"/>
              <w:rPr>
                <w:sz w:val="22"/>
                <w:szCs w:val="22"/>
              </w:rPr>
            </w:pPr>
          </w:p>
          <w:p w14:paraId="467A167B" w14:textId="77777777" w:rsidR="005B02EA" w:rsidRPr="001300A9" w:rsidRDefault="005B02EA" w:rsidP="00357CEC">
            <w:pPr>
              <w:pStyle w:val="Default"/>
              <w:rPr>
                <w:sz w:val="22"/>
                <w:szCs w:val="22"/>
              </w:rPr>
            </w:pPr>
          </w:p>
          <w:p w14:paraId="7F1BB3C2" w14:textId="77777777" w:rsidR="005B02EA" w:rsidRPr="001300A9" w:rsidRDefault="005B02EA" w:rsidP="00357CEC">
            <w:pPr>
              <w:pStyle w:val="Default"/>
              <w:rPr>
                <w:sz w:val="22"/>
                <w:szCs w:val="22"/>
              </w:rPr>
            </w:pPr>
          </w:p>
          <w:p w14:paraId="04893F65" w14:textId="77777777" w:rsidR="005B02EA" w:rsidRPr="001300A9" w:rsidRDefault="005B02EA" w:rsidP="00357CEC">
            <w:pPr>
              <w:pStyle w:val="Default"/>
              <w:rPr>
                <w:sz w:val="22"/>
                <w:szCs w:val="22"/>
              </w:rPr>
            </w:pPr>
          </w:p>
          <w:p w14:paraId="7864ED5F" w14:textId="77777777" w:rsidR="005B02EA" w:rsidRPr="001300A9" w:rsidRDefault="005B02EA" w:rsidP="00357CEC">
            <w:pPr>
              <w:pStyle w:val="Default"/>
              <w:rPr>
                <w:sz w:val="22"/>
                <w:szCs w:val="22"/>
              </w:rPr>
            </w:pPr>
          </w:p>
          <w:p w14:paraId="5949608A" w14:textId="77777777" w:rsidR="005B02EA" w:rsidRPr="001300A9" w:rsidRDefault="005B02EA" w:rsidP="00357CEC">
            <w:pPr>
              <w:pStyle w:val="Default"/>
              <w:rPr>
                <w:sz w:val="22"/>
                <w:szCs w:val="22"/>
              </w:rPr>
            </w:pPr>
          </w:p>
          <w:p w14:paraId="56AA2FD8" w14:textId="77777777" w:rsidR="005B02EA" w:rsidRPr="001300A9" w:rsidRDefault="005B02EA" w:rsidP="00357CEC">
            <w:pPr>
              <w:pStyle w:val="Default"/>
              <w:rPr>
                <w:sz w:val="22"/>
                <w:szCs w:val="22"/>
              </w:rPr>
            </w:pPr>
          </w:p>
          <w:p w14:paraId="73921713" w14:textId="77777777" w:rsidR="005B02EA" w:rsidRPr="001300A9" w:rsidRDefault="005B02EA" w:rsidP="00357CEC">
            <w:pPr>
              <w:pStyle w:val="Default"/>
              <w:rPr>
                <w:sz w:val="22"/>
                <w:szCs w:val="22"/>
              </w:rPr>
            </w:pPr>
          </w:p>
          <w:p w14:paraId="0892E5C5" w14:textId="77777777" w:rsidR="005B02EA" w:rsidRPr="001300A9" w:rsidRDefault="005B02EA" w:rsidP="00357CEC">
            <w:pPr>
              <w:pStyle w:val="Default"/>
              <w:rPr>
                <w:sz w:val="22"/>
                <w:szCs w:val="22"/>
              </w:rPr>
            </w:pPr>
          </w:p>
          <w:p w14:paraId="48AF093E" w14:textId="77777777" w:rsidR="005B02EA" w:rsidRPr="001300A9" w:rsidRDefault="005B02EA" w:rsidP="00357CEC">
            <w:pPr>
              <w:pStyle w:val="Default"/>
              <w:rPr>
                <w:sz w:val="22"/>
                <w:szCs w:val="22"/>
              </w:rPr>
            </w:pPr>
          </w:p>
          <w:p w14:paraId="3F8DAF91" w14:textId="77777777" w:rsidR="005B02EA" w:rsidRPr="001300A9" w:rsidRDefault="005B02EA" w:rsidP="00357CEC">
            <w:pPr>
              <w:pStyle w:val="Default"/>
              <w:rPr>
                <w:sz w:val="22"/>
                <w:szCs w:val="22"/>
              </w:rPr>
            </w:pPr>
          </w:p>
          <w:p w14:paraId="29F7462E" w14:textId="77777777" w:rsidR="005B02EA" w:rsidRPr="001300A9" w:rsidRDefault="005B02EA" w:rsidP="00357CEC">
            <w:pPr>
              <w:pStyle w:val="Default"/>
              <w:rPr>
                <w:sz w:val="22"/>
                <w:szCs w:val="22"/>
              </w:rPr>
            </w:pPr>
          </w:p>
          <w:p w14:paraId="172E5EBF" w14:textId="77777777" w:rsidR="005B02EA" w:rsidRPr="001300A9" w:rsidRDefault="005B02EA" w:rsidP="00357CEC">
            <w:pPr>
              <w:pStyle w:val="Default"/>
              <w:rPr>
                <w:sz w:val="22"/>
                <w:szCs w:val="22"/>
              </w:rPr>
            </w:pPr>
          </w:p>
          <w:p w14:paraId="30635755" w14:textId="77777777" w:rsidR="005B02EA" w:rsidRPr="001300A9" w:rsidRDefault="005B02EA" w:rsidP="00357CEC">
            <w:pPr>
              <w:pStyle w:val="Default"/>
              <w:rPr>
                <w:sz w:val="22"/>
                <w:szCs w:val="22"/>
              </w:rPr>
            </w:pPr>
          </w:p>
          <w:p w14:paraId="7BA20C27" w14:textId="77777777" w:rsidR="005B02EA" w:rsidRPr="001300A9" w:rsidRDefault="005B02EA" w:rsidP="00357CEC">
            <w:pPr>
              <w:pStyle w:val="Default"/>
              <w:rPr>
                <w:sz w:val="22"/>
                <w:szCs w:val="22"/>
              </w:rPr>
            </w:pPr>
          </w:p>
          <w:p w14:paraId="66C76A7F" w14:textId="77777777" w:rsidR="005B02EA" w:rsidRPr="001300A9" w:rsidRDefault="005B02EA" w:rsidP="00357CEC">
            <w:pPr>
              <w:pStyle w:val="Default"/>
              <w:rPr>
                <w:sz w:val="22"/>
                <w:szCs w:val="22"/>
              </w:rPr>
            </w:pPr>
          </w:p>
          <w:p w14:paraId="372BAF83" w14:textId="77777777" w:rsidR="005B02EA" w:rsidRPr="001300A9" w:rsidRDefault="005B02EA" w:rsidP="00357CEC">
            <w:pPr>
              <w:pStyle w:val="Default"/>
              <w:rPr>
                <w:sz w:val="22"/>
                <w:szCs w:val="22"/>
              </w:rPr>
            </w:pPr>
          </w:p>
          <w:p w14:paraId="6B71BAB5" w14:textId="77777777" w:rsidR="005B02EA" w:rsidRPr="001300A9" w:rsidRDefault="005B02EA" w:rsidP="00357CEC">
            <w:pPr>
              <w:pStyle w:val="Default"/>
              <w:rPr>
                <w:sz w:val="22"/>
                <w:szCs w:val="22"/>
              </w:rPr>
            </w:pPr>
          </w:p>
          <w:p w14:paraId="038C11E5" w14:textId="77777777" w:rsidR="005B02EA" w:rsidRPr="001300A9" w:rsidRDefault="005B02EA" w:rsidP="00357CEC">
            <w:pPr>
              <w:pStyle w:val="Default"/>
              <w:rPr>
                <w:sz w:val="22"/>
                <w:szCs w:val="22"/>
              </w:rPr>
            </w:pPr>
          </w:p>
          <w:p w14:paraId="5467F52A" w14:textId="77777777" w:rsidR="005B02EA" w:rsidRPr="001300A9" w:rsidRDefault="005B02EA" w:rsidP="00357CEC">
            <w:pPr>
              <w:pStyle w:val="Default"/>
              <w:rPr>
                <w:sz w:val="22"/>
                <w:szCs w:val="22"/>
              </w:rPr>
            </w:pPr>
          </w:p>
          <w:p w14:paraId="1C4D98DD" w14:textId="77777777" w:rsidR="005B02EA" w:rsidRPr="001300A9" w:rsidRDefault="005B02EA" w:rsidP="00357CEC">
            <w:pPr>
              <w:pStyle w:val="Default"/>
              <w:rPr>
                <w:sz w:val="22"/>
                <w:szCs w:val="22"/>
              </w:rPr>
            </w:pPr>
          </w:p>
          <w:p w14:paraId="34ED4D80" w14:textId="77777777" w:rsidR="005B02EA" w:rsidRPr="001300A9" w:rsidRDefault="005B02EA" w:rsidP="00357CEC">
            <w:pPr>
              <w:pStyle w:val="Default"/>
              <w:rPr>
                <w:sz w:val="22"/>
                <w:szCs w:val="22"/>
              </w:rPr>
            </w:pPr>
          </w:p>
          <w:p w14:paraId="689329BC" w14:textId="77777777" w:rsidR="005B02EA" w:rsidRPr="001300A9" w:rsidRDefault="005B02EA" w:rsidP="00357CEC">
            <w:pPr>
              <w:pStyle w:val="Default"/>
              <w:rPr>
                <w:sz w:val="22"/>
                <w:szCs w:val="22"/>
              </w:rPr>
            </w:pPr>
          </w:p>
          <w:p w14:paraId="6A7EEEEC" w14:textId="77777777" w:rsidR="005B02EA" w:rsidRPr="001300A9" w:rsidRDefault="005B02EA" w:rsidP="00357CEC">
            <w:pPr>
              <w:pStyle w:val="Default"/>
              <w:rPr>
                <w:sz w:val="22"/>
                <w:szCs w:val="22"/>
              </w:rPr>
            </w:pPr>
          </w:p>
          <w:p w14:paraId="0F17AE0D" w14:textId="77777777" w:rsidR="005B02EA" w:rsidRPr="001300A9" w:rsidRDefault="005B02EA" w:rsidP="00357CEC">
            <w:pPr>
              <w:pStyle w:val="Default"/>
              <w:rPr>
                <w:sz w:val="22"/>
                <w:szCs w:val="22"/>
              </w:rPr>
            </w:pPr>
          </w:p>
          <w:p w14:paraId="45E14220" w14:textId="77777777" w:rsidR="005B02EA" w:rsidRPr="001300A9" w:rsidRDefault="005B02EA" w:rsidP="00357CEC">
            <w:pPr>
              <w:pStyle w:val="Default"/>
              <w:rPr>
                <w:sz w:val="22"/>
                <w:szCs w:val="22"/>
              </w:rPr>
            </w:pPr>
          </w:p>
          <w:p w14:paraId="7A9C12E1" w14:textId="77777777" w:rsidR="005B02EA" w:rsidRPr="001300A9" w:rsidRDefault="005B02EA" w:rsidP="00357CEC">
            <w:pPr>
              <w:pStyle w:val="Default"/>
              <w:rPr>
                <w:sz w:val="22"/>
                <w:szCs w:val="22"/>
              </w:rPr>
            </w:pPr>
          </w:p>
          <w:p w14:paraId="55641517" w14:textId="77777777" w:rsidR="005B02EA" w:rsidRPr="001300A9" w:rsidRDefault="005B02EA" w:rsidP="00357CEC">
            <w:pPr>
              <w:pStyle w:val="Default"/>
              <w:rPr>
                <w:sz w:val="22"/>
                <w:szCs w:val="22"/>
              </w:rPr>
            </w:pPr>
          </w:p>
          <w:p w14:paraId="7817E968" w14:textId="77777777" w:rsidR="005B02EA" w:rsidRPr="001300A9" w:rsidRDefault="005B02EA" w:rsidP="00357CEC">
            <w:pPr>
              <w:pStyle w:val="Default"/>
              <w:rPr>
                <w:sz w:val="22"/>
                <w:szCs w:val="22"/>
              </w:rPr>
            </w:pPr>
          </w:p>
          <w:p w14:paraId="7AD6EECB" w14:textId="77777777" w:rsidR="005B02EA" w:rsidRPr="001300A9" w:rsidRDefault="005B02EA" w:rsidP="00357CEC">
            <w:pPr>
              <w:pStyle w:val="Default"/>
              <w:rPr>
                <w:sz w:val="22"/>
                <w:szCs w:val="22"/>
              </w:rPr>
            </w:pPr>
          </w:p>
          <w:p w14:paraId="1ADD80A8" w14:textId="77777777" w:rsidR="005B02EA" w:rsidRPr="001300A9" w:rsidRDefault="005B02EA" w:rsidP="00357CEC">
            <w:pPr>
              <w:pStyle w:val="Default"/>
              <w:rPr>
                <w:sz w:val="22"/>
                <w:szCs w:val="22"/>
              </w:rPr>
            </w:pPr>
          </w:p>
          <w:p w14:paraId="365B4F19" w14:textId="77777777" w:rsidR="005B02EA" w:rsidRPr="001300A9" w:rsidRDefault="005B02EA" w:rsidP="00357CEC">
            <w:pPr>
              <w:pStyle w:val="Default"/>
              <w:rPr>
                <w:sz w:val="22"/>
                <w:szCs w:val="22"/>
              </w:rPr>
            </w:pPr>
          </w:p>
          <w:p w14:paraId="6DBA5AB1" w14:textId="77777777" w:rsidR="005B02EA" w:rsidRPr="001300A9" w:rsidRDefault="005B02EA" w:rsidP="00357CEC">
            <w:pPr>
              <w:pStyle w:val="Default"/>
              <w:rPr>
                <w:sz w:val="22"/>
                <w:szCs w:val="22"/>
              </w:rPr>
            </w:pPr>
          </w:p>
          <w:p w14:paraId="337F5419" w14:textId="77777777" w:rsidR="005B02EA" w:rsidRPr="001300A9" w:rsidRDefault="005B02EA" w:rsidP="00357CEC">
            <w:pPr>
              <w:pStyle w:val="Default"/>
              <w:rPr>
                <w:sz w:val="22"/>
                <w:szCs w:val="22"/>
              </w:rPr>
            </w:pPr>
          </w:p>
          <w:p w14:paraId="01238E2A" w14:textId="77777777" w:rsidR="005B02EA" w:rsidRPr="001300A9" w:rsidRDefault="005B02EA" w:rsidP="00357CEC">
            <w:pPr>
              <w:pStyle w:val="Default"/>
              <w:rPr>
                <w:sz w:val="22"/>
                <w:szCs w:val="22"/>
              </w:rPr>
            </w:pPr>
          </w:p>
          <w:p w14:paraId="5702BECF" w14:textId="77777777" w:rsidR="005B02EA" w:rsidRPr="001300A9" w:rsidRDefault="005B02EA" w:rsidP="00357CEC">
            <w:pPr>
              <w:pStyle w:val="Default"/>
              <w:rPr>
                <w:sz w:val="22"/>
                <w:szCs w:val="22"/>
              </w:rPr>
            </w:pPr>
          </w:p>
          <w:p w14:paraId="17E9F245" w14:textId="77777777" w:rsidR="005B02EA" w:rsidRPr="001300A9" w:rsidRDefault="005B02EA" w:rsidP="00357CEC">
            <w:pPr>
              <w:pStyle w:val="Default"/>
              <w:rPr>
                <w:sz w:val="22"/>
                <w:szCs w:val="22"/>
              </w:rPr>
            </w:pPr>
          </w:p>
          <w:p w14:paraId="6E2C5DF0" w14:textId="77777777" w:rsidR="005B02EA" w:rsidRPr="001300A9" w:rsidRDefault="005B02EA" w:rsidP="00357CEC">
            <w:pPr>
              <w:pStyle w:val="Default"/>
              <w:rPr>
                <w:sz w:val="22"/>
                <w:szCs w:val="22"/>
              </w:rPr>
            </w:pPr>
          </w:p>
          <w:p w14:paraId="60BDBFBC" w14:textId="77777777" w:rsidR="005B02EA" w:rsidRPr="001300A9" w:rsidRDefault="005B02EA" w:rsidP="00357CEC">
            <w:pPr>
              <w:pStyle w:val="Default"/>
              <w:rPr>
                <w:sz w:val="22"/>
                <w:szCs w:val="22"/>
              </w:rPr>
            </w:pPr>
          </w:p>
          <w:p w14:paraId="1E453996" w14:textId="77777777" w:rsidR="005B02EA" w:rsidRPr="001300A9" w:rsidRDefault="005B02EA" w:rsidP="00357CEC">
            <w:pPr>
              <w:pStyle w:val="Default"/>
              <w:rPr>
                <w:sz w:val="22"/>
                <w:szCs w:val="22"/>
              </w:rPr>
            </w:pPr>
          </w:p>
          <w:p w14:paraId="1577FCE2" w14:textId="77777777" w:rsidR="005B02EA" w:rsidRPr="001300A9" w:rsidRDefault="005B02EA" w:rsidP="00357CEC">
            <w:pPr>
              <w:pStyle w:val="Default"/>
              <w:rPr>
                <w:sz w:val="22"/>
                <w:szCs w:val="22"/>
              </w:rPr>
            </w:pPr>
          </w:p>
          <w:p w14:paraId="583C2F4A" w14:textId="77777777" w:rsidR="005B02EA" w:rsidRPr="001300A9" w:rsidRDefault="005B02EA" w:rsidP="00357CEC">
            <w:pPr>
              <w:pStyle w:val="Default"/>
              <w:rPr>
                <w:sz w:val="22"/>
                <w:szCs w:val="22"/>
              </w:rPr>
            </w:pPr>
          </w:p>
          <w:p w14:paraId="4B59D4BE" w14:textId="77777777" w:rsidR="005B02EA" w:rsidRPr="001300A9" w:rsidRDefault="005B02EA" w:rsidP="00357CEC">
            <w:pPr>
              <w:pStyle w:val="Default"/>
              <w:rPr>
                <w:sz w:val="22"/>
                <w:szCs w:val="22"/>
              </w:rPr>
            </w:pPr>
          </w:p>
          <w:p w14:paraId="45452CFB" w14:textId="77777777" w:rsidR="005B02EA" w:rsidRPr="001300A9" w:rsidRDefault="005B02EA" w:rsidP="00357CEC">
            <w:pPr>
              <w:pStyle w:val="Default"/>
              <w:rPr>
                <w:sz w:val="22"/>
                <w:szCs w:val="22"/>
              </w:rPr>
            </w:pPr>
          </w:p>
          <w:p w14:paraId="4085799F" w14:textId="77777777" w:rsidR="005B02EA" w:rsidRPr="001300A9" w:rsidRDefault="005B02EA" w:rsidP="00357CEC">
            <w:pPr>
              <w:pStyle w:val="Default"/>
              <w:rPr>
                <w:sz w:val="22"/>
                <w:szCs w:val="22"/>
              </w:rPr>
            </w:pPr>
          </w:p>
          <w:p w14:paraId="649050BE" w14:textId="77777777" w:rsidR="005B02EA" w:rsidRPr="001300A9" w:rsidRDefault="005B02EA" w:rsidP="00357CEC">
            <w:pPr>
              <w:pStyle w:val="Default"/>
              <w:rPr>
                <w:sz w:val="22"/>
                <w:szCs w:val="22"/>
              </w:rPr>
            </w:pPr>
          </w:p>
          <w:p w14:paraId="4F61BFED" w14:textId="77777777" w:rsidR="005B02EA" w:rsidRPr="001300A9" w:rsidRDefault="005B02EA" w:rsidP="00357CEC">
            <w:pPr>
              <w:pStyle w:val="Default"/>
              <w:rPr>
                <w:sz w:val="22"/>
                <w:szCs w:val="22"/>
              </w:rPr>
            </w:pPr>
          </w:p>
          <w:p w14:paraId="28C2A3D1" w14:textId="77777777" w:rsidR="005B02EA" w:rsidRPr="001300A9" w:rsidRDefault="005B02EA" w:rsidP="00357CEC">
            <w:pPr>
              <w:pStyle w:val="Default"/>
              <w:rPr>
                <w:sz w:val="22"/>
                <w:szCs w:val="22"/>
              </w:rPr>
            </w:pPr>
          </w:p>
          <w:p w14:paraId="579B9811" w14:textId="77777777" w:rsidR="005B02EA" w:rsidRPr="001300A9" w:rsidRDefault="005B02EA" w:rsidP="00357CEC">
            <w:pPr>
              <w:pStyle w:val="Default"/>
              <w:rPr>
                <w:sz w:val="22"/>
                <w:szCs w:val="22"/>
              </w:rPr>
            </w:pPr>
          </w:p>
          <w:p w14:paraId="48DB54BF" w14:textId="77777777" w:rsidR="005B02EA" w:rsidRPr="001300A9" w:rsidRDefault="005B02EA" w:rsidP="00357CEC">
            <w:pPr>
              <w:pStyle w:val="Default"/>
              <w:rPr>
                <w:sz w:val="22"/>
                <w:szCs w:val="22"/>
              </w:rPr>
            </w:pPr>
          </w:p>
          <w:p w14:paraId="6E4FAC00" w14:textId="77777777" w:rsidR="005B02EA" w:rsidRPr="001300A9" w:rsidRDefault="005B02EA" w:rsidP="00357CEC">
            <w:pPr>
              <w:pStyle w:val="Default"/>
              <w:rPr>
                <w:sz w:val="22"/>
                <w:szCs w:val="22"/>
              </w:rPr>
            </w:pPr>
          </w:p>
          <w:p w14:paraId="1AC2DD68" w14:textId="77777777" w:rsidR="005B02EA" w:rsidRPr="001300A9" w:rsidRDefault="005B02EA" w:rsidP="00357CEC">
            <w:pPr>
              <w:pStyle w:val="Default"/>
              <w:rPr>
                <w:sz w:val="22"/>
                <w:szCs w:val="22"/>
              </w:rPr>
            </w:pPr>
          </w:p>
          <w:p w14:paraId="6A58EB47" w14:textId="77777777" w:rsidR="005B02EA" w:rsidRPr="001300A9" w:rsidRDefault="005B02EA" w:rsidP="00357CEC">
            <w:pPr>
              <w:pStyle w:val="Default"/>
              <w:rPr>
                <w:sz w:val="22"/>
                <w:szCs w:val="22"/>
              </w:rPr>
            </w:pPr>
          </w:p>
          <w:p w14:paraId="6C4B44D6" w14:textId="77777777" w:rsidR="005B02EA" w:rsidRPr="001300A9" w:rsidRDefault="005B02EA" w:rsidP="00357CEC">
            <w:pPr>
              <w:pStyle w:val="Default"/>
              <w:rPr>
                <w:sz w:val="22"/>
                <w:szCs w:val="22"/>
              </w:rPr>
            </w:pPr>
          </w:p>
          <w:p w14:paraId="7D7FBC62" w14:textId="77777777" w:rsidR="005B02EA" w:rsidRPr="001300A9" w:rsidRDefault="005B02EA" w:rsidP="00357CEC">
            <w:pPr>
              <w:pStyle w:val="Default"/>
              <w:rPr>
                <w:sz w:val="22"/>
                <w:szCs w:val="22"/>
              </w:rPr>
            </w:pPr>
          </w:p>
          <w:p w14:paraId="2C89F14E" w14:textId="77777777" w:rsidR="005B02EA" w:rsidRPr="001300A9" w:rsidRDefault="005B02EA" w:rsidP="00357CEC">
            <w:pPr>
              <w:pStyle w:val="Default"/>
              <w:rPr>
                <w:sz w:val="22"/>
                <w:szCs w:val="22"/>
              </w:rPr>
            </w:pPr>
          </w:p>
          <w:p w14:paraId="326AB0EA" w14:textId="77777777" w:rsidR="005B02EA" w:rsidRPr="001300A9" w:rsidRDefault="005B02EA" w:rsidP="00357CEC">
            <w:pPr>
              <w:pStyle w:val="Default"/>
              <w:rPr>
                <w:sz w:val="22"/>
                <w:szCs w:val="22"/>
              </w:rPr>
            </w:pPr>
          </w:p>
          <w:p w14:paraId="3EEF0C12" w14:textId="77777777" w:rsidR="005B02EA" w:rsidRPr="001300A9" w:rsidRDefault="005B02EA" w:rsidP="00357CEC">
            <w:pPr>
              <w:pStyle w:val="Default"/>
              <w:rPr>
                <w:sz w:val="22"/>
                <w:szCs w:val="22"/>
              </w:rPr>
            </w:pPr>
          </w:p>
          <w:p w14:paraId="1560E215" w14:textId="77777777" w:rsidR="005B02EA" w:rsidRPr="001300A9" w:rsidRDefault="005B02EA" w:rsidP="00357CEC">
            <w:pPr>
              <w:pStyle w:val="Default"/>
              <w:rPr>
                <w:sz w:val="22"/>
                <w:szCs w:val="22"/>
              </w:rPr>
            </w:pPr>
          </w:p>
          <w:p w14:paraId="3741EC80" w14:textId="77777777" w:rsidR="005B02EA" w:rsidRPr="001300A9" w:rsidRDefault="005B02EA" w:rsidP="00357CEC">
            <w:pPr>
              <w:pStyle w:val="Default"/>
              <w:rPr>
                <w:sz w:val="22"/>
                <w:szCs w:val="22"/>
              </w:rPr>
            </w:pPr>
          </w:p>
          <w:p w14:paraId="56E5A68E" w14:textId="77777777" w:rsidR="005B02EA" w:rsidRPr="001300A9" w:rsidRDefault="005B02EA" w:rsidP="00357CEC">
            <w:pPr>
              <w:pStyle w:val="Default"/>
              <w:rPr>
                <w:sz w:val="22"/>
                <w:szCs w:val="22"/>
              </w:rPr>
            </w:pPr>
          </w:p>
          <w:p w14:paraId="2929648B" w14:textId="77777777" w:rsidR="005B02EA" w:rsidRPr="001300A9" w:rsidRDefault="005B02EA" w:rsidP="00357CEC">
            <w:pPr>
              <w:pStyle w:val="Default"/>
              <w:rPr>
                <w:sz w:val="22"/>
                <w:szCs w:val="22"/>
              </w:rPr>
            </w:pPr>
          </w:p>
          <w:p w14:paraId="722732CB" w14:textId="77777777" w:rsidR="005B02EA" w:rsidRPr="001300A9" w:rsidRDefault="005B02EA" w:rsidP="00357CEC">
            <w:pPr>
              <w:pStyle w:val="Default"/>
              <w:rPr>
                <w:sz w:val="22"/>
                <w:szCs w:val="22"/>
              </w:rPr>
            </w:pPr>
          </w:p>
          <w:p w14:paraId="46001146" w14:textId="77777777" w:rsidR="005B02EA" w:rsidRPr="001300A9" w:rsidRDefault="005B02EA" w:rsidP="00357CEC">
            <w:pPr>
              <w:pStyle w:val="Default"/>
              <w:rPr>
                <w:sz w:val="22"/>
                <w:szCs w:val="22"/>
              </w:rPr>
            </w:pPr>
          </w:p>
          <w:p w14:paraId="189AD952" w14:textId="77777777" w:rsidR="005B02EA" w:rsidRPr="001300A9" w:rsidRDefault="005B02EA" w:rsidP="00357CEC">
            <w:pPr>
              <w:pStyle w:val="Default"/>
              <w:rPr>
                <w:sz w:val="22"/>
                <w:szCs w:val="22"/>
              </w:rPr>
            </w:pPr>
          </w:p>
          <w:p w14:paraId="37B27C23" w14:textId="77777777" w:rsidR="005B02EA" w:rsidRPr="001300A9" w:rsidRDefault="005B02EA" w:rsidP="00357CEC">
            <w:pPr>
              <w:pStyle w:val="Default"/>
              <w:rPr>
                <w:sz w:val="22"/>
                <w:szCs w:val="22"/>
              </w:rPr>
            </w:pPr>
          </w:p>
          <w:p w14:paraId="247E5290" w14:textId="77777777" w:rsidR="005B02EA" w:rsidRPr="001300A9" w:rsidRDefault="005B02EA" w:rsidP="00357CEC">
            <w:pPr>
              <w:pStyle w:val="Default"/>
              <w:rPr>
                <w:sz w:val="22"/>
                <w:szCs w:val="22"/>
              </w:rPr>
            </w:pPr>
          </w:p>
          <w:p w14:paraId="27230A10" w14:textId="77777777" w:rsidR="005B02EA" w:rsidRPr="001300A9" w:rsidRDefault="005B02EA" w:rsidP="00357CEC">
            <w:pPr>
              <w:pStyle w:val="Default"/>
              <w:rPr>
                <w:sz w:val="22"/>
                <w:szCs w:val="22"/>
              </w:rPr>
            </w:pPr>
          </w:p>
          <w:p w14:paraId="3E765D4D" w14:textId="77777777" w:rsidR="005B02EA" w:rsidRPr="001300A9" w:rsidRDefault="005B02EA" w:rsidP="00357CEC">
            <w:pPr>
              <w:pStyle w:val="Default"/>
              <w:rPr>
                <w:sz w:val="22"/>
                <w:szCs w:val="22"/>
              </w:rPr>
            </w:pPr>
          </w:p>
          <w:p w14:paraId="635D4D35" w14:textId="77777777" w:rsidR="005B02EA" w:rsidRPr="001300A9" w:rsidRDefault="005B02EA" w:rsidP="00357CEC">
            <w:pPr>
              <w:pStyle w:val="Default"/>
              <w:rPr>
                <w:sz w:val="22"/>
                <w:szCs w:val="22"/>
              </w:rPr>
            </w:pPr>
          </w:p>
          <w:p w14:paraId="60D7BE85" w14:textId="77777777" w:rsidR="005B02EA" w:rsidRPr="001300A9" w:rsidRDefault="005B02EA" w:rsidP="00357CEC">
            <w:pPr>
              <w:pStyle w:val="Default"/>
              <w:rPr>
                <w:sz w:val="22"/>
                <w:szCs w:val="22"/>
              </w:rPr>
            </w:pPr>
          </w:p>
          <w:p w14:paraId="66E27FDD" w14:textId="77777777" w:rsidR="005B02EA" w:rsidRPr="001300A9" w:rsidRDefault="005B02EA" w:rsidP="00357CEC">
            <w:pPr>
              <w:pStyle w:val="Default"/>
              <w:rPr>
                <w:sz w:val="22"/>
                <w:szCs w:val="22"/>
              </w:rPr>
            </w:pPr>
          </w:p>
          <w:p w14:paraId="1257DC52" w14:textId="77777777" w:rsidR="005B02EA" w:rsidRPr="001300A9" w:rsidRDefault="005B02EA" w:rsidP="00357CEC">
            <w:pPr>
              <w:pStyle w:val="Default"/>
              <w:rPr>
                <w:sz w:val="22"/>
                <w:szCs w:val="22"/>
              </w:rPr>
            </w:pPr>
          </w:p>
          <w:p w14:paraId="11E6FE74" w14:textId="77777777" w:rsidR="005B02EA" w:rsidRPr="001300A9" w:rsidRDefault="005B02EA" w:rsidP="00357CEC">
            <w:pPr>
              <w:pStyle w:val="Default"/>
              <w:rPr>
                <w:sz w:val="22"/>
                <w:szCs w:val="22"/>
              </w:rPr>
            </w:pPr>
          </w:p>
          <w:p w14:paraId="096387EC" w14:textId="77777777" w:rsidR="005B02EA" w:rsidRPr="001300A9" w:rsidRDefault="005B02EA" w:rsidP="00357CEC">
            <w:pPr>
              <w:pStyle w:val="Default"/>
              <w:rPr>
                <w:sz w:val="22"/>
                <w:szCs w:val="22"/>
              </w:rPr>
            </w:pPr>
          </w:p>
          <w:p w14:paraId="3298E181" w14:textId="77777777" w:rsidR="005B02EA" w:rsidRPr="001300A9" w:rsidRDefault="005B02EA" w:rsidP="00357CEC">
            <w:pPr>
              <w:pStyle w:val="Default"/>
              <w:rPr>
                <w:sz w:val="22"/>
                <w:szCs w:val="22"/>
              </w:rPr>
            </w:pPr>
          </w:p>
          <w:p w14:paraId="313FE7AE" w14:textId="77777777" w:rsidR="005B02EA" w:rsidRPr="001300A9" w:rsidRDefault="005B02EA" w:rsidP="00357CEC">
            <w:pPr>
              <w:pStyle w:val="Default"/>
              <w:rPr>
                <w:sz w:val="22"/>
                <w:szCs w:val="22"/>
              </w:rPr>
            </w:pPr>
          </w:p>
          <w:p w14:paraId="6EB9B7AE" w14:textId="77777777" w:rsidR="005B02EA" w:rsidRPr="001300A9" w:rsidRDefault="005B02EA" w:rsidP="00357CEC">
            <w:pPr>
              <w:pStyle w:val="Default"/>
              <w:rPr>
                <w:sz w:val="22"/>
                <w:szCs w:val="22"/>
              </w:rPr>
            </w:pPr>
          </w:p>
          <w:p w14:paraId="58126104" w14:textId="77777777" w:rsidR="005B02EA" w:rsidRPr="001300A9" w:rsidRDefault="005B02EA" w:rsidP="00357CEC">
            <w:pPr>
              <w:pStyle w:val="Default"/>
              <w:rPr>
                <w:sz w:val="22"/>
                <w:szCs w:val="22"/>
              </w:rPr>
            </w:pPr>
          </w:p>
          <w:p w14:paraId="058819E1" w14:textId="77777777" w:rsidR="005B02EA" w:rsidRPr="001300A9" w:rsidRDefault="005B02EA" w:rsidP="00357CEC">
            <w:pPr>
              <w:pStyle w:val="Default"/>
              <w:rPr>
                <w:sz w:val="22"/>
                <w:szCs w:val="22"/>
              </w:rPr>
            </w:pPr>
          </w:p>
          <w:p w14:paraId="56FC7CF9" w14:textId="77777777" w:rsidR="005B02EA" w:rsidRPr="001300A9" w:rsidRDefault="005B02EA" w:rsidP="00357CEC">
            <w:pPr>
              <w:pStyle w:val="Default"/>
              <w:rPr>
                <w:sz w:val="22"/>
                <w:szCs w:val="22"/>
              </w:rPr>
            </w:pPr>
          </w:p>
          <w:p w14:paraId="26A46FCB" w14:textId="77777777" w:rsidR="005B02EA" w:rsidRPr="001300A9" w:rsidRDefault="005B02EA" w:rsidP="00357CEC">
            <w:pPr>
              <w:pStyle w:val="Default"/>
              <w:rPr>
                <w:sz w:val="22"/>
                <w:szCs w:val="22"/>
              </w:rPr>
            </w:pPr>
          </w:p>
          <w:p w14:paraId="6EE9208F" w14:textId="77777777" w:rsidR="005B02EA" w:rsidRPr="001300A9" w:rsidRDefault="005B02EA" w:rsidP="00357CEC">
            <w:pPr>
              <w:pStyle w:val="Default"/>
              <w:rPr>
                <w:sz w:val="22"/>
                <w:szCs w:val="22"/>
              </w:rPr>
            </w:pPr>
          </w:p>
          <w:p w14:paraId="1FB617FD" w14:textId="77777777" w:rsidR="005B02EA" w:rsidRPr="001300A9" w:rsidRDefault="005B02EA" w:rsidP="00357CEC">
            <w:pPr>
              <w:pStyle w:val="Default"/>
              <w:rPr>
                <w:sz w:val="22"/>
                <w:szCs w:val="22"/>
              </w:rPr>
            </w:pPr>
          </w:p>
          <w:p w14:paraId="02B931DA" w14:textId="77777777" w:rsidR="005B02EA" w:rsidRPr="001300A9" w:rsidRDefault="005B02EA" w:rsidP="00357CEC">
            <w:pPr>
              <w:pStyle w:val="Default"/>
              <w:rPr>
                <w:sz w:val="22"/>
                <w:szCs w:val="22"/>
              </w:rPr>
            </w:pPr>
          </w:p>
          <w:p w14:paraId="20E9B595" w14:textId="77777777" w:rsidR="005B02EA" w:rsidRPr="001300A9" w:rsidRDefault="005B02EA" w:rsidP="00357CEC">
            <w:pPr>
              <w:pStyle w:val="Default"/>
              <w:rPr>
                <w:sz w:val="22"/>
                <w:szCs w:val="22"/>
              </w:rPr>
            </w:pPr>
          </w:p>
          <w:p w14:paraId="1767FFA7" w14:textId="77777777" w:rsidR="005B02EA" w:rsidRPr="001300A9" w:rsidRDefault="005B02EA" w:rsidP="00357CEC">
            <w:pPr>
              <w:pStyle w:val="Default"/>
              <w:rPr>
                <w:sz w:val="22"/>
                <w:szCs w:val="22"/>
              </w:rPr>
            </w:pPr>
          </w:p>
          <w:p w14:paraId="36CEA7B8" w14:textId="77777777" w:rsidR="005B02EA" w:rsidRPr="001300A9" w:rsidRDefault="005B02EA" w:rsidP="00357CEC">
            <w:pPr>
              <w:pStyle w:val="Default"/>
              <w:rPr>
                <w:sz w:val="22"/>
                <w:szCs w:val="22"/>
              </w:rPr>
            </w:pPr>
          </w:p>
          <w:p w14:paraId="2BC0A25E" w14:textId="77777777" w:rsidR="005B02EA" w:rsidRPr="001300A9" w:rsidRDefault="005B02EA" w:rsidP="00357CEC">
            <w:pPr>
              <w:pStyle w:val="Default"/>
              <w:rPr>
                <w:sz w:val="22"/>
                <w:szCs w:val="22"/>
              </w:rPr>
            </w:pPr>
          </w:p>
          <w:p w14:paraId="61F5D019" w14:textId="77777777" w:rsidR="005B02EA" w:rsidRPr="001300A9" w:rsidRDefault="005B02EA" w:rsidP="00357CEC">
            <w:pPr>
              <w:pStyle w:val="Default"/>
              <w:rPr>
                <w:sz w:val="22"/>
                <w:szCs w:val="22"/>
              </w:rPr>
            </w:pPr>
          </w:p>
          <w:p w14:paraId="00653D37" w14:textId="77777777" w:rsidR="005B02EA" w:rsidRPr="001300A9" w:rsidRDefault="005B02EA" w:rsidP="00357CEC">
            <w:pPr>
              <w:pStyle w:val="Default"/>
              <w:rPr>
                <w:sz w:val="22"/>
                <w:szCs w:val="22"/>
              </w:rPr>
            </w:pPr>
          </w:p>
          <w:p w14:paraId="1C006375" w14:textId="77777777" w:rsidR="005B02EA" w:rsidRPr="001300A9" w:rsidRDefault="005B02EA" w:rsidP="00357CEC">
            <w:pPr>
              <w:pStyle w:val="Default"/>
              <w:rPr>
                <w:sz w:val="22"/>
                <w:szCs w:val="22"/>
              </w:rPr>
            </w:pPr>
          </w:p>
          <w:p w14:paraId="1859AA8F" w14:textId="77777777" w:rsidR="005B02EA" w:rsidRPr="001300A9" w:rsidRDefault="005B02EA" w:rsidP="00357CEC">
            <w:pPr>
              <w:pStyle w:val="Default"/>
              <w:rPr>
                <w:sz w:val="22"/>
                <w:szCs w:val="22"/>
              </w:rPr>
            </w:pPr>
          </w:p>
          <w:p w14:paraId="315F7B18" w14:textId="77777777" w:rsidR="005B02EA" w:rsidRPr="001300A9" w:rsidRDefault="005B02EA" w:rsidP="00357CEC">
            <w:pPr>
              <w:pStyle w:val="Default"/>
              <w:rPr>
                <w:sz w:val="22"/>
                <w:szCs w:val="22"/>
              </w:rPr>
            </w:pPr>
          </w:p>
          <w:p w14:paraId="667B0BE1" w14:textId="77777777" w:rsidR="005B02EA" w:rsidRPr="001300A9" w:rsidRDefault="005B02EA" w:rsidP="00357CEC">
            <w:pPr>
              <w:pStyle w:val="Default"/>
              <w:rPr>
                <w:sz w:val="22"/>
                <w:szCs w:val="22"/>
              </w:rPr>
            </w:pPr>
          </w:p>
          <w:p w14:paraId="6B1FA377" w14:textId="77777777" w:rsidR="005B02EA" w:rsidRPr="001300A9" w:rsidRDefault="005B02EA" w:rsidP="00357CEC">
            <w:pPr>
              <w:pStyle w:val="Default"/>
              <w:rPr>
                <w:sz w:val="22"/>
                <w:szCs w:val="22"/>
              </w:rPr>
            </w:pPr>
          </w:p>
          <w:p w14:paraId="1A093382" w14:textId="77777777" w:rsidR="005B02EA" w:rsidRPr="001300A9" w:rsidRDefault="005B02EA" w:rsidP="00357CEC">
            <w:pPr>
              <w:pStyle w:val="Default"/>
              <w:rPr>
                <w:sz w:val="22"/>
                <w:szCs w:val="22"/>
              </w:rPr>
            </w:pPr>
          </w:p>
          <w:p w14:paraId="0904C41B" w14:textId="77777777" w:rsidR="005B02EA" w:rsidRPr="001300A9" w:rsidRDefault="005B02EA" w:rsidP="00357CEC">
            <w:pPr>
              <w:pStyle w:val="Default"/>
              <w:rPr>
                <w:sz w:val="22"/>
                <w:szCs w:val="22"/>
              </w:rPr>
            </w:pPr>
          </w:p>
          <w:p w14:paraId="40CE16A4" w14:textId="77777777" w:rsidR="005B02EA" w:rsidRPr="001300A9" w:rsidRDefault="005B02EA" w:rsidP="00357CEC">
            <w:pPr>
              <w:pStyle w:val="Default"/>
              <w:rPr>
                <w:sz w:val="22"/>
                <w:szCs w:val="22"/>
              </w:rPr>
            </w:pPr>
          </w:p>
          <w:p w14:paraId="78DC6EEF" w14:textId="77777777" w:rsidR="005B02EA" w:rsidRPr="001300A9" w:rsidRDefault="005B02EA" w:rsidP="00357CEC">
            <w:pPr>
              <w:pStyle w:val="Default"/>
              <w:rPr>
                <w:sz w:val="22"/>
                <w:szCs w:val="22"/>
              </w:rPr>
            </w:pPr>
          </w:p>
          <w:p w14:paraId="70209D64" w14:textId="77777777" w:rsidR="005B02EA" w:rsidRPr="001300A9" w:rsidRDefault="005B02EA" w:rsidP="00357CEC">
            <w:pPr>
              <w:pStyle w:val="Default"/>
              <w:rPr>
                <w:sz w:val="22"/>
                <w:szCs w:val="22"/>
              </w:rPr>
            </w:pPr>
          </w:p>
          <w:p w14:paraId="581ED36E" w14:textId="77777777" w:rsidR="005B02EA" w:rsidRPr="001300A9" w:rsidRDefault="005B02EA" w:rsidP="00357CEC">
            <w:pPr>
              <w:pStyle w:val="Default"/>
              <w:rPr>
                <w:sz w:val="22"/>
                <w:szCs w:val="22"/>
              </w:rPr>
            </w:pPr>
          </w:p>
          <w:p w14:paraId="31A51107" w14:textId="77777777" w:rsidR="005B02EA" w:rsidRPr="001300A9" w:rsidRDefault="005B02EA" w:rsidP="00357CEC">
            <w:pPr>
              <w:pStyle w:val="Default"/>
              <w:rPr>
                <w:sz w:val="22"/>
                <w:szCs w:val="22"/>
              </w:rPr>
            </w:pPr>
          </w:p>
          <w:p w14:paraId="075C3DCD" w14:textId="77777777" w:rsidR="005B02EA" w:rsidRPr="001300A9" w:rsidRDefault="005B02EA" w:rsidP="00357CEC">
            <w:pPr>
              <w:pStyle w:val="Default"/>
              <w:rPr>
                <w:sz w:val="22"/>
                <w:szCs w:val="22"/>
              </w:rPr>
            </w:pPr>
          </w:p>
          <w:p w14:paraId="50F48CF0" w14:textId="77777777" w:rsidR="005B02EA" w:rsidRPr="001300A9" w:rsidRDefault="005B02EA" w:rsidP="00357CEC">
            <w:pPr>
              <w:pStyle w:val="Default"/>
              <w:rPr>
                <w:sz w:val="22"/>
                <w:szCs w:val="22"/>
              </w:rPr>
            </w:pPr>
          </w:p>
          <w:p w14:paraId="4B52EA06" w14:textId="77777777" w:rsidR="005B02EA" w:rsidRPr="001300A9" w:rsidRDefault="005B02EA" w:rsidP="00357CEC">
            <w:pPr>
              <w:pStyle w:val="Default"/>
              <w:rPr>
                <w:sz w:val="22"/>
                <w:szCs w:val="22"/>
              </w:rPr>
            </w:pPr>
          </w:p>
          <w:p w14:paraId="6A96096B" w14:textId="77777777" w:rsidR="005B02EA" w:rsidRPr="001300A9" w:rsidRDefault="005B02EA" w:rsidP="00357CEC">
            <w:pPr>
              <w:pStyle w:val="Default"/>
              <w:rPr>
                <w:sz w:val="22"/>
                <w:szCs w:val="22"/>
              </w:rPr>
            </w:pPr>
          </w:p>
          <w:p w14:paraId="6B30F0F1" w14:textId="77777777" w:rsidR="005B02EA" w:rsidRPr="001300A9" w:rsidRDefault="005B02EA" w:rsidP="00357CEC">
            <w:pPr>
              <w:pStyle w:val="Default"/>
              <w:rPr>
                <w:sz w:val="22"/>
                <w:szCs w:val="22"/>
              </w:rPr>
            </w:pPr>
          </w:p>
          <w:p w14:paraId="1C1D6E37" w14:textId="77777777" w:rsidR="005B02EA" w:rsidRPr="001300A9" w:rsidRDefault="005B02EA" w:rsidP="00357CEC">
            <w:pPr>
              <w:pStyle w:val="Default"/>
              <w:rPr>
                <w:sz w:val="22"/>
                <w:szCs w:val="22"/>
              </w:rPr>
            </w:pPr>
          </w:p>
          <w:p w14:paraId="6DA8DB79" w14:textId="77777777" w:rsidR="005B02EA" w:rsidRPr="001300A9" w:rsidRDefault="005B02EA" w:rsidP="00357CEC">
            <w:pPr>
              <w:pStyle w:val="Default"/>
              <w:rPr>
                <w:sz w:val="22"/>
                <w:szCs w:val="22"/>
              </w:rPr>
            </w:pPr>
          </w:p>
          <w:p w14:paraId="3C4CA818" w14:textId="77777777" w:rsidR="005B02EA" w:rsidRPr="001300A9" w:rsidRDefault="005B02EA" w:rsidP="00357CEC">
            <w:pPr>
              <w:pStyle w:val="Default"/>
              <w:rPr>
                <w:sz w:val="22"/>
                <w:szCs w:val="22"/>
              </w:rPr>
            </w:pPr>
          </w:p>
          <w:p w14:paraId="27CCD94F" w14:textId="77777777" w:rsidR="005B02EA" w:rsidRPr="001300A9" w:rsidRDefault="005B02EA" w:rsidP="00357CEC">
            <w:pPr>
              <w:pStyle w:val="Default"/>
              <w:rPr>
                <w:sz w:val="22"/>
                <w:szCs w:val="22"/>
              </w:rPr>
            </w:pPr>
          </w:p>
          <w:p w14:paraId="7E05EAAB" w14:textId="77777777" w:rsidR="005B02EA" w:rsidRPr="001300A9" w:rsidRDefault="005B02EA" w:rsidP="00357CEC">
            <w:pPr>
              <w:pStyle w:val="Default"/>
              <w:rPr>
                <w:sz w:val="22"/>
                <w:szCs w:val="22"/>
              </w:rPr>
            </w:pPr>
          </w:p>
          <w:p w14:paraId="1745BE90" w14:textId="77777777" w:rsidR="005B02EA" w:rsidRPr="001300A9" w:rsidRDefault="005B02EA" w:rsidP="00357CEC">
            <w:pPr>
              <w:pStyle w:val="Default"/>
              <w:rPr>
                <w:sz w:val="22"/>
                <w:szCs w:val="22"/>
              </w:rPr>
            </w:pPr>
          </w:p>
          <w:p w14:paraId="11F4B2C6" w14:textId="77777777" w:rsidR="005B02EA" w:rsidRPr="001300A9" w:rsidRDefault="005B02EA" w:rsidP="00357CEC">
            <w:pPr>
              <w:pStyle w:val="Default"/>
              <w:rPr>
                <w:sz w:val="22"/>
                <w:szCs w:val="22"/>
              </w:rPr>
            </w:pPr>
          </w:p>
          <w:p w14:paraId="538BFC49" w14:textId="77777777" w:rsidR="005B02EA" w:rsidRPr="001300A9" w:rsidRDefault="005B02EA" w:rsidP="00357CEC">
            <w:pPr>
              <w:pStyle w:val="Default"/>
              <w:rPr>
                <w:sz w:val="22"/>
                <w:szCs w:val="22"/>
              </w:rPr>
            </w:pPr>
          </w:p>
          <w:p w14:paraId="73EBB3D8" w14:textId="77777777" w:rsidR="005B02EA" w:rsidRPr="001300A9" w:rsidRDefault="005B02EA" w:rsidP="00357CEC">
            <w:pPr>
              <w:pStyle w:val="Default"/>
              <w:rPr>
                <w:sz w:val="22"/>
                <w:szCs w:val="22"/>
              </w:rPr>
            </w:pPr>
          </w:p>
          <w:p w14:paraId="4B1705DE" w14:textId="77777777" w:rsidR="005B02EA" w:rsidRPr="001300A9" w:rsidRDefault="005B02EA" w:rsidP="00357CEC">
            <w:pPr>
              <w:pStyle w:val="Default"/>
              <w:rPr>
                <w:sz w:val="22"/>
                <w:szCs w:val="22"/>
              </w:rPr>
            </w:pPr>
          </w:p>
          <w:p w14:paraId="04432720" w14:textId="77777777" w:rsidR="005B02EA" w:rsidRPr="001300A9" w:rsidRDefault="005B02EA" w:rsidP="00357CEC">
            <w:pPr>
              <w:pStyle w:val="Default"/>
              <w:rPr>
                <w:sz w:val="22"/>
                <w:szCs w:val="22"/>
              </w:rPr>
            </w:pPr>
          </w:p>
          <w:p w14:paraId="1043082E" w14:textId="77777777" w:rsidR="005B02EA" w:rsidRPr="001300A9" w:rsidRDefault="005B02EA" w:rsidP="00357CEC">
            <w:pPr>
              <w:pStyle w:val="Default"/>
              <w:rPr>
                <w:sz w:val="22"/>
                <w:szCs w:val="22"/>
              </w:rPr>
            </w:pPr>
          </w:p>
          <w:p w14:paraId="12CFE8AC" w14:textId="77777777" w:rsidR="005B02EA" w:rsidRPr="001300A9" w:rsidRDefault="005B02EA" w:rsidP="00357CEC">
            <w:pPr>
              <w:pStyle w:val="Default"/>
              <w:rPr>
                <w:sz w:val="22"/>
                <w:szCs w:val="22"/>
              </w:rPr>
            </w:pPr>
          </w:p>
          <w:p w14:paraId="0D27A3B1" w14:textId="77777777" w:rsidR="005B02EA" w:rsidRPr="001300A9" w:rsidRDefault="005B02EA" w:rsidP="00357CEC">
            <w:pPr>
              <w:pStyle w:val="Default"/>
              <w:rPr>
                <w:sz w:val="22"/>
                <w:szCs w:val="22"/>
              </w:rPr>
            </w:pPr>
          </w:p>
          <w:p w14:paraId="020DF4AC" w14:textId="77777777" w:rsidR="005B02EA" w:rsidRPr="001300A9" w:rsidRDefault="005B02EA" w:rsidP="00357CEC">
            <w:pPr>
              <w:pStyle w:val="Default"/>
              <w:rPr>
                <w:sz w:val="22"/>
                <w:szCs w:val="22"/>
              </w:rPr>
            </w:pPr>
          </w:p>
          <w:p w14:paraId="242EB890" w14:textId="77777777" w:rsidR="005B02EA" w:rsidRPr="001300A9" w:rsidRDefault="005B02EA" w:rsidP="00357CEC">
            <w:pPr>
              <w:pStyle w:val="Default"/>
              <w:rPr>
                <w:sz w:val="22"/>
                <w:szCs w:val="22"/>
              </w:rPr>
            </w:pPr>
          </w:p>
          <w:p w14:paraId="3BCC18C3" w14:textId="77777777" w:rsidR="005B02EA" w:rsidRPr="001300A9" w:rsidRDefault="005B02EA" w:rsidP="00357CEC">
            <w:pPr>
              <w:pStyle w:val="Default"/>
              <w:rPr>
                <w:sz w:val="22"/>
                <w:szCs w:val="22"/>
              </w:rPr>
            </w:pPr>
          </w:p>
          <w:p w14:paraId="4093CC93" w14:textId="77777777" w:rsidR="005B02EA" w:rsidRPr="001300A9" w:rsidRDefault="005B02EA" w:rsidP="00357CEC">
            <w:pPr>
              <w:pStyle w:val="Default"/>
              <w:rPr>
                <w:sz w:val="22"/>
                <w:szCs w:val="22"/>
              </w:rPr>
            </w:pPr>
          </w:p>
          <w:p w14:paraId="282B5814" w14:textId="77777777" w:rsidR="005B02EA" w:rsidRPr="001300A9" w:rsidRDefault="005B02EA" w:rsidP="00357CEC">
            <w:pPr>
              <w:pStyle w:val="Default"/>
              <w:rPr>
                <w:sz w:val="22"/>
                <w:szCs w:val="22"/>
              </w:rPr>
            </w:pPr>
          </w:p>
          <w:p w14:paraId="7A25EBB5" w14:textId="77777777" w:rsidR="005B02EA" w:rsidRPr="001300A9" w:rsidRDefault="005B02EA" w:rsidP="00357CEC">
            <w:pPr>
              <w:pStyle w:val="Default"/>
              <w:rPr>
                <w:sz w:val="22"/>
                <w:szCs w:val="22"/>
              </w:rPr>
            </w:pPr>
          </w:p>
          <w:p w14:paraId="25494565" w14:textId="77777777" w:rsidR="005B02EA" w:rsidRPr="001300A9" w:rsidRDefault="005B02EA" w:rsidP="00357CEC">
            <w:pPr>
              <w:pStyle w:val="Default"/>
              <w:rPr>
                <w:sz w:val="22"/>
                <w:szCs w:val="22"/>
              </w:rPr>
            </w:pPr>
          </w:p>
          <w:p w14:paraId="714C38B1" w14:textId="77777777" w:rsidR="005B02EA" w:rsidRPr="001300A9" w:rsidRDefault="005B02EA" w:rsidP="00357CEC">
            <w:pPr>
              <w:pStyle w:val="Default"/>
              <w:rPr>
                <w:sz w:val="22"/>
                <w:szCs w:val="22"/>
              </w:rPr>
            </w:pPr>
          </w:p>
          <w:p w14:paraId="58D7A94D" w14:textId="77777777" w:rsidR="005B02EA" w:rsidRPr="001300A9" w:rsidRDefault="005B02EA" w:rsidP="00357CEC">
            <w:pPr>
              <w:pStyle w:val="Default"/>
              <w:rPr>
                <w:sz w:val="22"/>
                <w:szCs w:val="22"/>
              </w:rPr>
            </w:pPr>
          </w:p>
          <w:p w14:paraId="23903131" w14:textId="77777777" w:rsidR="005B02EA" w:rsidRPr="001300A9" w:rsidRDefault="005B02EA" w:rsidP="00357CEC">
            <w:pPr>
              <w:pStyle w:val="Default"/>
              <w:rPr>
                <w:sz w:val="22"/>
                <w:szCs w:val="22"/>
              </w:rPr>
            </w:pPr>
          </w:p>
          <w:p w14:paraId="5C563717" w14:textId="77777777" w:rsidR="005B02EA" w:rsidRPr="001300A9" w:rsidRDefault="005B02EA" w:rsidP="00357CEC">
            <w:pPr>
              <w:pStyle w:val="Default"/>
              <w:rPr>
                <w:sz w:val="22"/>
                <w:szCs w:val="22"/>
              </w:rPr>
            </w:pPr>
          </w:p>
          <w:p w14:paraId="0CE9FFF1" w14:textId="77777777" w:rsidR="005B02EA" w:rsidRPr="001300A9" w:rsidRDefault="005B02EA" w:rsidP="00357CEC">
            <w:pPr>
              <w:pStyle w:val="Default"/>
              <w:rPr>
                <w:sz w:val="22"/>
                <w:szCs w:val="22"/>
              </w:rPr>
            </w:pPr>
          </w:p>
          <w:p w14:paraId="5EC6997E" w14:textId="77777777" w:rsidR="005B02EA" w:rsidRPr="001300A9" w:rsidRDefault="005B02EA" w:rsidP="00357CEC">
            <w:pPr>
              <w:pStyle w:val="Default"/>
              <w:rPr>
                <w:sz w:val="22"/>
                <w:szCs w:val="22"/>
              </w:rPr>
            </w:pPr>
          </w:p>
          <w:p w14:paraId="5D2D933D" w14:textId="77777777" w:rsidR="005B02EA" w:rsidRPr="001300A9" w:rsidRDefault="005B02EA" w:rsidP="00357CEC">
            <w:pPr>
              <w:pStyle w:val="Default"/>
              <w:rPr>
                <w:sz w:val="22"/>
                <w:szCs w:val="22"/>
              </w:rPr>
            </w:pPr>
          </w:p>
          <w:p w14:paraId="02F19C49" w14:textId="3796F715" w:rsidR="5F673433" w:rsidRDefault="5F673433" w:rsidP="5F673433">
            <w:pPr>
              <w:pStyle w:val="Default"/>
              <w:rPr>
                <w:sz w:val="22"/>
                <w:szCs w:val="22"/>
              </w:rPr>
            </w:pPr>
          </w:p>
          <w:p w14:paraId="50DDAF03" w14:textId="6991BFB2" w:rsidR="5F673433" w:rsidRDefault="5F673433" w:rsidP="5F673433">
            <w:pPr>
              <w:pStyle w:val="Default"/>
              <w:rPr>
                <w:sz w:val="22"/>
                <w:szCs w:val="22"/>
              </w:rPr>
            </w:pPr>
          </w:p>
          <w:p w14:paraId="6F7A8446" w14:textId="46647C73" w:rsidR="5F673433" w:rsidRDefault="5F673433" w:rsidP="5F673433">
            <w:pPr>
              <w:pStyle w:val="Default"/>
              <w:rPr>
                <w:sz w:val="22"/>
                <w:szCs w:val="22"/>
              </w:rPr>
            </w:pPr>
          </w:p>
          <w:p w14:paraId="601292CA" w14:textId="5313E03F" w:rsidR="5F673433" w:rsidRDefault="5F673433" w:rsidP="5F673433">
            <w:pPr>
              <w:pStyle w:val="Default"/>
              <w:rPr>
                <w:sz w:val="22"/>
                <w:szCs w:val="22"/>
              </w:rPr>
            </w:pPr>
          </w:p>
          <w:p w14:paraId="4C0F5158" w14:textId="5A683A0D" w:rsidR="005B02EA" w:rsidRPr="001300A9" w:rsidRDefault="371A5BD8" w:rsidP="00357CEC">
            <w:pPr>
              <w:pStyle w:val="Default"/>
              <w:rPr>
                <w:sz w:val="22"/>
                <w:szCs w:val="22"/>
              </w:rPr>
            </w:pPr>
            <w:r w:rsidRPr="5F673433">
              <w:rPr>
                <w:sz w:val="22"/>
                <w:szCs w:val="22"/>
              </w:rPr>
              <w:t>Ž</w:t>
            </w:r>
          </w:p>
        </w:tc>
        <w:tc>
          <w:tcPr>
            <w:tcW w:w="1276" w:type="dxa"/>
          </w:tcPr>
          <w:p w14:paraId="02B083C6" w14:textId="77777777" w:rsidR="00357CEC" w:rsidRPr="001300A9" w:rsidRDefault="00357CEC" w:rsidP="00357CEC">
            <w:pPr>
              <w:pStyle w:val="Default"/>
              <w:rPr>
                <w:sz w:val="22"/>
                <w:szCs w:val="22"/>
              </w:rPr>
            </w:pPr>
          </w:p>
        </w:tc>
        <w:tc>
          <w:tcPr>
            <w:tcW w:w="850" w:type="dxa"/>
          </w:tcPr>
          <w:p w14:paraId="14402C4D" w14:textId="77777777" w:rsidR="00357CEC" w:rsidRPr="001300A9" w:rsidRDefault="00357CEC" w:rsidP="00643C74">
            <w:pPr>
              <w:pStyle w:val="Default"/>
              <w:rPr>
                <w:sz w:val="22"/>
                <w:szCs w:val="22"/>
              </w:rPr>
            </w:pPr>
          </w:p>
          <w:p w14:paraId="278DDA4E" w14:textId="77777777" w:rsidR="00EA0486" w:rsidRPr="001300A9" w:rsidRDefault="00EA0486" w:rsidP="00643C74">
            <w:pPr>
              <w:pStyle w:val="Default"/>
              <w:rPr>
                <w:sz w:val="22"/>
                <w:szCs w:val="22"/>
              </w:rPr>
            </w:pPr>
          </w:p>
          <w:p w14:paraId="0153CF7F" w14:textId="77777777" w:rsidR="00EA0486" w:rsidRPr="001300A9" w:rsidRDefault="00EA0486" w:rsidP="00643C74">
            <w:pPr>
              <w:pStyle w:val="Default"/>
              <w:rPr>
                <w:sz w:val="22"/>
                <w:szCs w:val="22"/>
              </w:rPr>
            </w:pPr>
          </w:p>
          <w:p w14:paraId="05925FC8" w14:textId="77777777" w:rsidR="00EA0486" w:rsidRPr="001300A9" w:rsidRDefault="00EA0486" w:rsidP="00643C74">
            <w:pPr>
              <w:pStyle w:val="Default"/>
              <w:rPr>
                <w:sz w:val="22"/>
                <w:szCs w:val="22"/>
              </w:rPr>
            </w:pPr>
          </w:p>
          <w:p w14:paraId="22DA6E0D" w14:textId="77777777" w:rsidR="00EA0486" w:rsidRPr="001300A9" w:rsidRDefault="00EA0486" w:rsidP="00643C74">
            <w:pPr>
              <w:pStyle w:val="Default"/>
              <w:rPr>
                <w:sz w:val="22"/>
                <w:szCs w:val="22"/>
              </w:rPr>
            </w:pPr>
          </w:p>
          <w:p w14:paraId="531F4FE4" w14:textId="77777777" w:rsidR="00EA0486" w:rsidRPr="001300A9" w:rsidRDefault="00EA0486" w:rsidP="00643C74">
            <w:pPr>
              <w:pStyle w:val="Default"/>
              <w:rPr>
                <w:sz w:val="22"/>
                <w:szCs w:val="22"/>
              </w:rPr>
            </w:pPr>
          </w:p>
          <w:p w14:paraId="48E2FF79" w14:textId="77777777" w:rsidR="00EA0486" w:rsidRPr="001300A9" w:rsidRDefault="00EA0486" w:rsidP="00643C74">
            <w:pPr>
              <w:pStyle w:val="Default"/>
              <w:rPr>
                <w:sz w:val="22"/>
                <w:szCs w:val="22"/>
              </w:rPr>
            </w:pPr>
          </w:p>
          <w:p w14:paraId="1FBE8EB3" w14:textId="77777777" w:rsidR="00EA0486" w:rsidRPr="001300A9" w:rsidRDefault="00EA0486" w:rsidP="00643C74">
            <w:pPr>
              <w:pStyle w:val="Default"/>
              <w:rPr>
                <w:sz w:val="22"/>
                <w:szCs w:val="22"/>
              </w:rPr>
            </w:pPr>
          </w:p>
          <w:p w14:paraId="643ACDE1" w14:textId="77777777" w:rsidR="00EA0486" w:rsidRPr="001300A9" w:rsidRDefault="00EA0486" w:rsidP="00643C74">
            <w:pPr>
              <w:pStyle w:val="Default"/>
              <w:rPr>
                <w:sz w:val="22"/>
                <w:szCs w:val="22"/>
              </w:rPr>
            </w:pPr>
          </w:p>
          <w:p w14:paraId="73CF9928" w14:textId="77777777" w:rsidR="00EA0486" w:rsidRPr="001300A9" w:rsidRDefault="00EA0486" w:rsidP="00643C74">
            <w:pPr>
              <w:pStyle w:val="Default"/>
              <w:rPr>
                <w:sz w:val="22"/>
                <w:szCs w:val="22"/>
              </w:rPr>
            </w:pPr>
          </w:p>
          <w:p w14:paraId="1C5E1D8C" w14:textId="77777777" w:rsidR="00EA0486" w:rsidRPr="001300A9" w:rsidRDefault="00EA0486" w:rsidP="00643C74">
            <w:pPr>
              <w:pStyle w:val="Default"/>
              <w:rPr>
                <w:sz w:val="22"/>
                <w:szCs w:val="22"/>
              </w:rPr>
            </w:pPr>
          </w:p>
          <w:p w14:paraId="5A2173CB" w14:textId="77777777" w:rsidR="00EA0486" w:rsidRPr="001300A9" w:rsidRDefault="00EA0486" w:rsidP="00643C74">
            <w:pPr>
              <w:pStyle w:val="Default"/>
              <w:rPr>
                <w:sz w:val="22"/>
                <w:szCs w:val="22"/>
              </w:rPr>
            </w:pPr>
          </w:p>
          <w:p w14:paraId="2A7A1A33" w14:textId="77777777" w:rsidR="00EA0486" w:rsidRPr="001300A9" w:rsidRDefault="00EA0486" w:rsidP="00643C74">
            <w:pPr>
              <w:pStyle w:val="Default"/>
              <w:rPr>
                <w:sz w:val="22"/>
                <w:szCs w:val="22"/>
              </w:rPr>
            </w:pPr>
          </w:p>
          <w:p w14:paraId="5DCA806D" w14:textId="77777777" w:rsidR="00EA0486" w:rsidRPr="001300A9" w:rsidRDefault="00EA0486" w:rsidP="00643C74">
            <w:pPr>
              <w:pStyle w:val="Default"/>
              <w:rPr>
                <w:sz w:val="22"/>
                <w:szCs w:val="22"/>
              </w:rPr>
            </w:pPr>
          </w:p>
          <w:p w14:paraId="57B982C7" w14:textId="7B8E67EB" w:rsidR="00287825" w:rsidRDefault="00287825" w:rsidP="00643C74">
            <w:pPr>
              <w:pStyle w:val="Default"/>
              <w:rPr>
                <w:sz w:val="22"/>
                <w:szCs w:val="22"/>
              </w:rPr>
            </w:pPr>
          </w:p>
          <w:p w14:paraId="033F8161" w14:textId="24AE8F3B" w:rsidR="00EA0486" w:rsidRPr="001300A9" w:rsidRDefault="00EA0486" w:rsidP="00643C74">
            <w:pPr>
              <w:pStyle w:val="Default"/>
              <w:rPr>
                <w:sz w:val="22"/>
                <w:szCs w:val="22"/>
              </w:rPr>
            </w:pPr>
            <w:r w:rsidRPr="001300A9">
              <w:rPr>
                <w:sz w:val="22"/>
                <w:szCs w:val="22"/>
              </w:rPr>
              <w:t>GP - N</w:t>
            </w:r>
          </w:p>
          <w:p w14:paraId="635524CA" w14:textId="77777777" w:rsidR="00505FD2" w:rsidRPr="001300A9" w:rsidRDefault="00505FD2" w:rsidP="00643C74">
            <w:pPr>
              <w:pStyle w:val="Default"/>
              <w:rPr>
                <w:sz w:val="22"/>
                <w:szCs w:val="22"/>
              </w:rPr>
            </w:pPr>
          </w:p>
          <w:p w14:paraId="1A7E2D11" w14:textId="77777777" w:rsidR="00505FD2" w:rsidRPr="001300A9" w:rsidRDefault="00505FD2" w:rsidP="00643C74">
            <w:pPr>
              <w:pStyle w:val="Default"/>
              <w:rPr>
                <w:sz w:val="22"/>
                <w:szCs w:val="22"/>
              </w:rPr>
            </w:pPr>
          </w:p>
          <w:p w14:paraId="399658E0" w14:textId="77777777" w:rsidR="00505FD2" w:rsidRPr="001300A9" w:rsidRDefault="00505FD2" w:rsidP="00643C74">
            <w:pPr>
              <w:pStyle w:val="Default"/>
              <w:rPr>
                <w:sz w:val="22"/>
                <w:szCs w:val="22"/>
              </w:rPr>
            </w:pPr>
          </w:p>
          <w:p w14:paraId="3D4A017B" w14:textId="77777777" w:rsidR="00505FD2" w:rsidRPr="001300A9" w:rsidRDefault="00505FD2" w:rsidP="00643C74">
            <w:pPr>
              <w:pStyle w:val="Default"/>
              <w:rPr>
                <w:sz w:val="22"/>
                <w:szCs w:val="22"/>
              </w:rPr>
            </w:pPr>
          </w:p>
          <w:p w14:paraId="193FABCA" w14:textId="77777777" w:rsidR="00505FD2" w:rsidRPr="001300A9" w:rsidRDefault="00505FD2" w:rsidP="00643C74">
            <w:pPr>
              <w:pStyle w:val="Default"/>
              <w:rPr>
                <w:sz w:val="22"/>
                <w:szCs w:val="22"/>
              </w:rPr>
            </w:pPr>
          </w:p>
          <w:p w14:paraId="7F5D2432" w14:textId="136F906D" w:rsidR="009D0AA1" w:rsidRDefault="009D0AA1" w:rsidP="00643C74">
            <w:pPr>
              <w:pStyle w:val="Default"/>
              <w:rPr>
                <w:sz w:val="22"/>
                <w:szCs w:val="22"/>
              </w:rPr>
            </w:pPr>
          </w:p>
          <w:p w14:paraId="41E651C6" w14:textId="0B48B53A" w:rsidR="00505FD2" w:rsidRPr="001300A9" w:rsidRDefault="00505FD2" w:rsidP="00643C74">
            <w:pPr>
              <w:pStyle w:val="Default"/>
              <w:rPr>
                <w:sz w:val="22"/>
                <w:szCs w:val="22"/>
              </w:rPr>
            </w:pPr>
            <w:r w:rsidRPr="001300A9">
              <w:rPr>
                <w:sz w:val="22"/>
                <w:szCs w:val="22"/>
              </w:rPr>
              <w:t>GP - N</w:t>
            </w:r>
          </w:p>
          <w:p w14:paraId="7413D137" w14:textId="77777777" w:rsidR="00505FD2" w:rsidRPr="001300A9" w:rsidRDefault="00505FD2" w:rsidP="00643C74">
            <w:pPr>
              <w:pStyle w:val="Default"/>
              <w:rPr>
                <w:sz w:val="22"/>
                <w:szCs w:val="22"/>
              </w:rPr>
            </w:pPr>
          </w:p>
          <w:p w14:paraId="489FCCA7" w14:textId="77777777" w:rsidR="00505FD2" w:rsidRPr="001300A9" w:rsidRDefault="00505FD2" w:rsidP="00643C74">
            <w:pPr>
              <w:pStyle w:val="Default"/>
              <w:rPr>
                <w:sz w:val="22"/>
                <w:szCs w:val="22"/>
              </w:rPr>
            </w:pPr>
          </w:p>
          <w:p w14:paraId="495882DB" w14:textId="77777777" w:rsidR="00505FD2" w:rsidRPr="001300A9" w:rsidRDefault="00505FD2" w:rsidP="00643C74">
            <w:pPr>
              <w:pStyle w:val="Default"/>
              <w:rPr>
                <w:sz w:val="22"/>
                <w:szCs w:val="22"/>
              </w:rPr>
            </w:pPr>
          </w:p>
          <w:p w14:paraId="300B9A87" w14:textId="77777777" w:rsidR="00505FD2" w:rsidRPr="001300A9" w:rsidRDefault="00505FD2" w:rsidP="00643C74">
            <w:pPr>
              <w:pStyle w:val="Default"/>
              <w:rPr>
                <w:sz w:val="22"/>
                <w:szCs w:val="22"/>
              </w:rPr>
            </w:pPr>
          </w:p>
          <w:p w14:paraId="0D411190" w14:textId="77777777" w:rsidR="00505FD2" w:rsidRPr="001300A9" w:rsidRDefault="00505FD2" w:rsidP="00643C74">
            <w:pPr>
              <w:pStyle w:val="Default"/>
              <w:rPr>
                <w:sz w:val="22"/>
                <w:szCs w:val="22"/>
              </w:rPr>
            </w:pPr>
          </w:p>
          <w:p w14:paraId="303BFEFE" w14:textId="77777777" w:rsidR="00505FD2" w:rsidRPr="001300A9" w:rsidRDefault="00505FD2" w:rsidP="00643C74">
            <w:pPr>
              <w:pStyle w:val="Default"/>
              <w:rPr>
                <w:sz w:val="22"/>
                <w:szCs w:val="22"/>
              </w:rPr>
            </w:pPr>
          </w:p>
          <w:p w14:paraId="35124F8C" w14:textId="77777777" w:rsidR="00505FD2" w:rsidRPr="001300A9" w:rsidRDefault="00505FD2" w:rsidP="00643C74">
            <w:pPr>
              <w:pStyle w:val="Default"/>
              <w:rPr>
                <w:sz w:val="22"/>
                <w:szCs w:val="22"/>
              </w:rPr>
            </w:pPr>
          </w:p>
          <w:p w14:paraId="1AF622B6" w14:textId="77777777" w:rsidR="00505FD2" w:rsidRPr="001300A9" w:rsidRDefault="00505FD2" w:rsidP="00643C74">
            <w:pPr>
              <w:pStyle w:val="Default"/>
              <w:rPr>
                <w:sz w:val="22"/>
                <w:szCs w:val="22"/>
              </w:rPr>
            </w:pPr>
          </w:p>
          <w:p w14:paraId="2C74AC4B" w14:textId="77777777" w:rsidR="00505FD2" w:rsidRPr="001300A9" w:rsidRDefault="00505FD2" w:rsidP="00643C74">
            <w:pPr>
              <w:pStyle w:val="Default"/>
              <w:rPr>
                <w:sz w:val="22"/>
                <w:szCs w:val="22"/>
              </w:rPr>
            </w:pPr>
          </w:p>
          <w:p w14:paraId="5FCF7E57" w14:textId="77777777" w:rsidR="00505FD2" w:rsidRPr="001300A9" w:rsidRDefault="00505FD2" w:rsidP="00643C74">
            <w:pPr>
              <w:pStyle w:val="Default"/>
              <w:rPr>
                <w:sz w:val="22"/>
                <w:szCs w:val="22"/>
              </w:rPr>
            </w:pPr>
          </w:p>
          <w:p w14:paraId="3C519099" w14:textId="77777777" w:rsidR="00505FD2" w:rsidRPr="001300A9" w:rsidRDefault="00505FD2" w:rsidP="00643C74">
            <w:pPr>
              <w:pStyle w:val="Default"/>
              <w:rPr>
                <w:sz w:val="22"/>
                <w:szCs w:val="22"/>
              </w:rPr>
            </w:pPr>
          </w:p>
          <w:p w14:paraId="478DB819" w14:textId="77777777" w:rsidR="00505FD2" w:rsidRPr="001300A9" w:rsidRDefault="00505FD2" w:rsidP="00643C74">
            <w:pPr>
              <w:pStyle w:val="Default"/>
              <w:rPr>
                <w:sz w:val="22"/>
                <w:szCs w:val="22"/>
              </w:rPr>
            </w:pPr>
          </w:p>
          <w:p w14:paraId="003AC483" w14:textId="77777777" w:rsidR="00505FD2" w:rsidRPr="001300A9" w:rsidRDefault="00505FD2" w:rsidP="00643C74">
            <w:pPr>
              <w:pStyle w:val="Default"/>
              <w:rPr>
                <w:sz w:val="22"/>
                <w:szCs w:val="22"/>
              </w:rPr>
            </w:pPr>
          </w:p>
          <w:p w14:paraId="0D38FA64" w14:textId="77777777" w:rsidR="00505FD2" w:rsidRPr="001300A9" w:rsidRDefault="00505FD2" w:rsidP="00643C74">
            <w:pPr>
              <w:pStyle w:val="Default"/>
              <w:rPr>
                <w:sz w:val="22"/>
                <w:szCs w:val="22"/>
              </w:rPr>
            </w:pPr>
          </w:p>
          <w:p w14:paraId="08041334" w14:textId="77777777" w:rsidR="00505FD2" w:rsidRPr="001300A9" w:rsidRDefault="00505FD2" w:rsidP="00643C74">
            <w:pPr>
              <w:pStyle w:val="Default"/>
              <w:rPr>
                <w:sz w:val="22"/>
                <w:szCs w:val="22"/>
              </w:rPr>
            </w:pPr>
          </w:p>
          <w:p w14:paraId="74D6EBB3" w14:textId="77777777" w:rsidR="00505FD2" w:rsidRPr="001300A9" w:rsidRDefault="00505FD2" w:rsidP="00643C74">
            <w:pPr>
              <w:pStyle w:val="Default"/>
              <w:rPr>
                <w:sz w:val="22"/>
                <w:szCs w:val="22"/>
              </w:rPr>
            </w:pPr>
          </w:p>
          <w:p w14:paraId="1D39E8E9" w14:textId="77777777" w:rsidR="00505FD2" w:rsidRPr="001300A9" w:rsidRDefault="00505FD2" w:rsidP="00643C74">
            <w:pPr>
              <w:pStyle w:val="Default"/>
              <w:rPr>
                <w:sz w:val="22"/>
                <w:szCs w:val="22"/>
              </w:rPr>
            </w:pPr>
          </w:p>
          <w:p w14:paraId="58D2F673" w14:textId="77777777" w:rsidR="00505FD2" w:rsidRPr="001300A9" w:rsidRDefault="00505FD2" w:rsidP="00643C74">
            <w:pPr>
              <w:pStyle w:val="Default"/>
              <w:rPr>
                <w:sz w:val="22"/>
                <w:szCs w:val="22"/>
              </w:rPr>
            </w:pPr>
          </w:p>
          <w:p w14:paraId="733208EA" w14:textId="77777777" w:rsidR="00505FD2" w:rsidRPr="001300A9" w:rsidRDefault="00505FD2" w:rsidP="00643C74">
            <w:pPr>
              <w:pStyle w:val="Default"/>
              <w:rPr>
                <w:sz w:val="22"/>
                <w:szCs w:val="22"/>
              </w:rPr>
            </w:pPr>
          </w:p>
          <w:p w14:paraId="12AF3CBA" w14:textId="77777777" w:rsidR="00A66FDC" w:rsidRPr="001300A9" w:rsidRDefault="00A66FDC" w:rsidP="00643C74">
            <w:pPr>
              <w:pStyle w:val="Default"/>
              <w:rPr>
                <w:sz w:val="22"/>
                <w:szCs w:val="22"/>
              </w:rPr>
            </w:pPr>
          </w:p>
          <w:p w14:paraId="4DB99E72" w14:textId="77777777" w:rsidR="00A66FDC" w:rsidRPr="001300A9" w:rsidRDefault="00A66FDC" w:rsidP="00643C74">
            <w:pPr>
              <w:pStyle w:val="Default"/>
              <w:rPr>
                <w:sz w:val="22"/>
                <w:szCs w:val="22"/>
              </w:rPr>
            </w:pPr>
          </w:p>
          <w:p w14:paraId="57E7BAE4" w14:textId="77777777" w:rsidR="00A66FDC" w:rsidRPr="001300A9" w:rsidRDefault="00A66FDC" w:rsidP="00643C74">
            <w:pPr>
              <w:pStyle w:val="Default"/>
              <w:rPr>
                <w:sz w:val="22"/>
                <w:szCs w:val="22"/>
              </w:rPr>
            </w:pPr>
          </w:p>
          <w:p w14:paraId="2697A884" w14:textId="31F53DEE" w:rsidR="009D0AA1" w:rsidRDefault="009D0AA1" w:rsidP="00643C74">
            <w:pPr>
              <w:pStyle w:val="Default"/>
              <w:rPr>
                <w:sz w:val="22"/>
                <w:szCs w:val="22"/>
              </w:rPr>
            </w:pPr>
          </w:p>
          <w:p w14:paraId="48BBFE7F" w14:textId="5E20ACF2" w:rsidR="004D41C1" w:rsidRPr="001300A9" w:rsidRDefault="00505FD2" w:rsidP="009D0AA1">
            <w:pPr>
              <w:pStyle w:val="Default"/>
              <w:rPr>
                <w:sz w:val="22"/>
                <w:szCs w:val="22"/>
              </w:rPr>
            </w:pPr>
            <w:r w:rsidRPr="001300A9">
              <w:rPr>
                <w:sz w:val="22"/>
                <w:szCs w:val="22"/>
              </w:rPr>
              <w:t>GP - N</w:t>
            </w:r>
          </w:p>
          <w:p w14:paraId="56E50594" w14:textId="77777777" w:rsidR="00505FD2" w:rsidRPr="001300A9" w:rsidRDefault="00505FD2" w:rsidP="009D0AA1">
            <w:pPr>
              <w:spacing w:after="0" w:line="240" w:lineRule="auto"/>
              <w:rPr>
                <w:rFonts w:ascii="Times New Roman" w:hAnsi="Times New Roman" w:cs="Times New Roman"/>
              </w:rPr>
            </w:pPr>
          </w:p>
          <w:p w14:paraId="35B3E999" w14:textId="77777777" w:rsidR="004D41C1" w:rsidRPr="001300A9" w:rsidRDefault="004D41C1" w:rsidP="009D0AA1">
            <w:pPr>
              <w:spacing w:after="0" w:line="240" w:lineRule="auto"/>
              <w:rPr>
                <w:rFonts w:ascii="Times New Roman" w:hAnsi="Times New Roman" w:cs="Times New Roman"/>
              </w:rPr>
            </w:pPr>
          </w:p>
          <w:p w14:paraId="1B5A77FF" w14:textId="02227635" w:rsidR="004D41C1" w:rsidRPr="001300A9" w:rsidRDefault="004D41C1" w:rsidP="009D0AA1">
            <w:pPr>
              <w:spacing w:after="0" w:line="240" w:lineRule="auto"/>
              <w:rPr>
                <w:rFonts w:ascii="Times New Roman" w:hAnsi="Times New Roman" w:cs="Times New Roman"/>
              </w:rPr>
            </w:pPr>
          </w:p>
          <w:p w14:paraId="7F1D72FE" w14:textId="27D16CC5" w:rsidR="00643C74" w:rsidRPr="001300A9" w:rsidRDefault="00643C74" w:rsidP="009D0AA1">
            <w:pPr>
              <w:spacing w:after="0" w:line="240" w:lineRule="auto"/>
              <w:rPr>
                <w:rFonts w:ascii="Times New Roman" w:hAnsi="Times New Roman" w:cs="Times New Roman"/>
              </w:rPr>
            </w:pPr>
          </w:p>
          <w:p w14:paraId="28467ABD" w14:textId="77777777" w:rsidR="00643C74" w:rsidRPr="001300A9" w:rsidRDefault="00643C74" w:rsidP="009D0AA1">
            <w:pPr>
              <w:spacing w:after="0" w:line="240" w:lineRule="auto"/>
              <w:rPr>
                <w:rFonts w:ascii="Times New Roman" w:hAnsi="Times New Roman" w:cs="Times New Roman"/>
              </w:rPr>
            </w:pPr>
          </w:p>
          <w:p w14:paraId="3CCFE6AE" w14:textId="0BF787C0" w:rsidR="00D82E61" w:rsidRDefault="00D82E61" w:rsidP="009D0AA1">
            <w:pPr>
              <w:pStyle w:val="Default"/>
              <w:rPr>
                <w:sz w:val="22"/>
                <w:szCs w:val="22"/>
              </w:rPr>
            </w:pPr>
          </w:p>
          <w:p w14:paraId="608CB565" w14:textId="77777777" w:rsidR="009D0AA1" w:rsidRDefault="009D0AA1" w:rsidP="009D0AA1">
            <w:pPr>
              <w:pStyle w:val="Default"/>
              <w:rPr>
                <w:sz w:val="22"/>
                <w:szCs w:val="22"/>
              </w:rPr>
            </w:pPr>
          </w:p>
          <w:p w14:paraId="4EFB3E65" w14:textId="14FA4744" w:rsidR="009302CF" w:rsidRPr="001300A9" w:rsidRDefault="009302CF" w:rsidP="009D0AA1">
            <w:pPr>
              <w:pStyle w:val="Default"/>
              <w:rPr>
                <w:sz w:val="22"/>
                <w:szCs w:val="22"/>
              </w:rPr>
            </w:pPr>
            <w:r w:rsidRPr="001300A9">
              <w:rPr>
                <w:sz w:val="22"/>
                <w:szCs w:val="22"/>
              </w:rPr>
              <w:t>GP - N</w:t>
            </w:r>
          </w:p>
          <w:p w14:paraId="4A4EE02F" w14:textId="77777777" w:rsidR="009302CF" w:rsidRPr="001300A9" w:rsidRDefault="009302CF" w:rsidP="009D0AA1">
            <w:pPr>
              <w:spacing w:after="0" w:line="240" w:lineRule="auto"/>
              <w:rPr>
                <w:rFonts w:ascii="Times New Roman" w:hAnsi="Times New Roman" w:cs="Times New Roman"/>
              </w:rPr>
            </w:pPr>
          </w:p>
          <w:p w14:paraId="736C532C" w14:textId="77777777" w:rsidR="004D41C1" w:rsidRPr="001300A9" w:rsidRDefault="004D41C1" w:rsidP="009D0AA1">
            <w:pPr>
              <w:spacing w:after="0" w:line="240" w:lineRule="auto"/>
              <w:rPr>
                <w:rFonts w:ascii="Times New Roman" w:hAnsi="Times New Roman" w:cs="Times New Roman"/>
              </w:rPr>
            </w:pPr>
          </w:p>
          <w:p w14:paraId="5F13B1D2" w14:textId="77777777" w:rsidR="004D41C1" w:rsidRPr="001300A9" w:rsidRDefault="004D41C1" w:rsidP="009D0AA1">
            <w:pPr>
              <w:spacing w:after="0" w:line="240" w:lineRule="auto"/>
              <w:rPr>
                <w:rFonts w:ascii="Times New Roman" w:hAnsi="Times New Roman" w:cs="Times New Roman"/>
              </w:rPr>
            </w:pPr>
          </w:p>
          <w:p w14:paraId="524BAF2E" w14:textId="77777777" w:rsidR="004D41C1" w:rsidRPr="001300A9" w:rsidRDefault="004D41C1" w:rsidP="009D0AA1">
            <w:pPr>
              <w:spacing w:after="0" w:line="240" w:lineRule="auto"/>
              <w:rPr>
                <w:rFonts w:ascii="Times New Roman" w:hAnsi="Times New Roman" w:cs="Times New Roman"/>
              </w:rPr>
            </w:pPr>
          </w:p>
          <w:p w14:paraId="6D94863B" w14:textId="77777777" w:rsidR="004D41C1" w:rsidRPr="001300A9" w:rsidRDefault="004D41C1" w:rsidP="009D0AA1">
            <w:pPr>
              <w:spacing w:after="0" w:line="240" w:lineRule="auto"/>
              <w:rPr>
                <w:rFonts w:ascii="Times New Roman" w:hAnsi="Times New Roman" w:cs="Times New Roman"/>
              </w:rPr>
            </w:pPr>
          </w:p>
          <w:p w14:paraId="563CA16B" w14:textId="77777777" w:rsidR="004D41C1" w:rsidRPr="001300A9" w:rsidRDefault="004D41C1" w:rsidP="009D0AA1">
            <w:pPr>
              <w:spacing w:after="0" w:line="240" w:lineRule="auto"/>
              <w:rPr>
                <w:rFonts w:ascii="Times New Roman" w:hAnsi="Times New Roman" w:cs="Times New Roman"/>
              </w:rPr>
            </w:pPr>
          </w:p>
          <w:p w14:paraId="566D11FE" w14:textId="77777777" w:rsidR="004D41C1" w:rsidRPr="001300A9" w:rsidRDefault="004D41C1" w:rsidP="009D0AA1">
            <w:pPr>
              <w:spacing w:after="0" w:line="240" w:lineRule="auto"/>
              <w:rPr>
                <w:rFonts w:ascii="Times New Roman" w:hAnsi="Times New Roman" w:cs="Times New Roman"/>
              </w:rPr>
            </w:pPr>
          </w:p>
          <w:p w14:paraId="4BE38BED" w14:textId="325CCAB3" w:rsidR="004D41C1" w:rsidRPr="001300A9" w:rsidRDefault="004D41C1" w:rsidP="009D0AA1">
            <w:pPr>
              <w:spacing w:after="0" w:line="240" w:lineRule="auto"/>
              <w:rPr>
                <w:rFonts w:ascii="Times New Roman" w:hAnsi="Times New Roman" w:cs="Times New Roman"/>
              </w:rPr>
            </w:pPr>
          </w:p>
          <w:p w14:paraId="68FD7C44" w14:textId="2FF59F03" w:rsidR="004D41C1" w:rsidRPr="001300A9" w:rsidRDefault="004D41C1" w:rsidP="009D0AA1">
            <w:pPr>
              <w:spacing w:after="0" w:line="240" w:lineRule="auto"/>
              <w:rPr>
                <w:rFonts w:ascii="Times New Roman" w:hAnsi="Times New Roman" w:cs="Times New Roman"/>
              </w:rPr>
            </w:pPr>
          </w:p>
          <w:p w14:paraId="08F9A56D" w14:textId="14F80EDB" w:rsidR="004D41C1" w:rsidRPr="001300A9" w:rsidRDefault="004D41C1" w:rsidP="009D0AA1">
            <w:pPr>
              <w:spacing w:after="0" w:line="240" w:lineRule="auto"/>
              <w:rPr>
                <w:rFonts w:ascii="Times New Roman" w:hAnsi="Times New Roman" w:cs="Times New Roman"/>
              </w:rPr>
            </w:pPr>
          </w:p>
          <w:p w14:paraId="0B5EA993" w14:textId="32DF6ED7" w:rsidR="008913F4" w:rsidRPr="001300A9" w:rsidRDefault="008913F4" w:rsidP="009D0AA1">
            <w:pPr>
              <w:spacing w:after="0" w:line="240" w:lineRule="auto"/>
              <w:rPr>
                <w:rFonts w:ascii="Times New Roman" w:hAnsi="Times New Roman" w:cs="Times New Roman"/>
              </w:rPr>
            </w:pPr>
          </w:p>
          <w:p w14:paraId="40AC0134" w14:textId="21B6EC3A" w:rsidR="00643C74" w:rsidRPr="001300A9" w:rsidRDefault="00643C74" w:rsidP="009D0AA1">
            <w:pPr>
              <w:spacing w:after="0" w:line="240" w:lineRule="auto"/>
              <w:rPr>
                <w:rFonts w:ascii="Times New Roman" w:hAnsi="Times New Roman" w:cs="Times New Roman"/>
              </w:rPr>
            </w:pPr>
          </w:p>
          <w:p w14:paraId="019139BA" w14:textId="3B604114" w:rsidR="00643C74" w:rsidRPr="001300A9" w:rsidRDefault="00643C74" w:rsidP="009D0AA1">
            <w:pPr>
              <w:spacing w:after="0" w:line="240" w:lineRule="auto"/>
              <w:rPr>
                <w:rFonts w:ascii="Times New Roman" w:hAnsi="Times New Roman" w:cs="Times New Roman"/>
              </w:rPr>
            </w:pPr>
          </w:p>
          <w:p w14:paraId="76AD720F" w14:textId="76FD8DED" w:rsidR="00643C74" w:rsidRPr="001300A9" w:rsidRDefault="00643C74" w:rsidP="009D0AA1">
            <w:pPr>
              <w:spacing w:after="0" w:line="240" w:lineRule="auto"/>
              <w:rPr>
                <w:rFonts w:ascii="Times New Roman" w:hAnsi="Times New Roman" w:cs="Times New Roman"/>
              </w:rPr>
            </w:pPr>
          </w:p>
          <w:p w14:paraId="783AAD43" w14:textId="7E15E064" w:rsidR="00643C74" w:rsidRPr="001300A9" w:rsidRDefault="00643C74" w:rsidP="009D0AA1">
            <w:pPr>
              <w:spacing w:after="0" w:line="240" w:lineRule="auto"/>
              <w:rPr>
                <w:rFonts w:ascii="Times New Roman" w:hAnsi="Times New Roman" w:cs="Times New Roman"/>
              </w:rPr>
            </w:pPr>
          </w:p>
          <w:p w14:paraId="284E62AD" w14:textId="622C548C" w:rsidR="00643C74" w:rsidRPr="001300A9" w:rsidRDefault="00643C74" w:rsidP="009D0AA1">
            <w:pPr>
              <w:spacing w:after="0" w:line="240" w:lineRule="auto"/>
              <w:rPr>
                <w:rFonts w:ascii="Times New Roman" w:hAnsi="Times New Roman" w:cs="Times New Roman"/>
              </w:rPr>
            </w:pPr>
          </w:p>
          <w:p w14:paraId="4759DE30" w14:textId="5DADC4C2" w:rsidR="00643C74" w:rsidRPr="001300A9" w:rsidRDefault="00643C74" w:rsidP="009D0AA1">
            <w:pPr>
              <w:spacing w:after="0" w:line="240" w:lineRule="auto"/>
              <w:rPr>
                <w:rFonts w:ascii="Times New Roman" w:hAnsi="Times New Roman" w:cs="Times New Roman"/>
              </w:rPr>
            </w:pPr>
          </w:p>
          <w:p w14:paraId="15E06FE0" w14:textId="718D9C4D" w:rsidR="0082715B" w:rsidRDefault="0082715B" w:rsidP="009D0AA1">
            <w:pPr>
              <w:spacing w:after="0" w:line="240" w:lineRule="auto"/>
              <w:rPr>
                <w:rFonts w:ascii="Times New Roman" w:hAnsi="Times New Roman" w:cs="Times New Roman"/>
              </w:rPr>
            </w:pPr>
          </w:p>
          <w:p w14:paraId="2481DFAF" w14:textId="77777777" w:rsidR="009D0AA1" w:rsidRDefault="009D0AA1" w:rsidP="009D0AA1">
            <w:pPr>
              <w:spacing w:after="0" w:line="240" w:lineRule="auto"/>
              <w:rPr>
                <w:rFonts w:ascii="Times New Roman" w:hAnsi="Times New Roman" w:cs="Times New Roman"/>
              </w:rPr>
            </w:pPr>
          </w:p>
          <w:p w14:paraId="30027608" w14:textId="77777777" w:rsidR="009D0AA1" w:rsidRDefault="009D0AA1" w:rsidP="009D0AA1">
            <w:pPr>
              <w:spacing w:after="0" w:line="240" w:lineRule="auto"/>
              <w:rPr>
                <w:rFonts w:ascii="Times New Roman" w:hAnsi="Times New Roman" w:cs="Times New Roman"/>
              </w:rPr>
            </w:pPr>
          </w:p>
          <w:p w14:paraId="3B280DCA" w14:textId="77777777" w:rsidR="009D0AA1" w:rsidRDefault="009D0AA1" w:rsidP="009D0AA1">
            <w:pPr>
              <w:spacing w:after="0" w:line="240" w:lineRule="auto"/>
              <w:rPr>
                <w:rFonts w:ascii="Times New Roman" w:hAnsi="Times New Roman" w:cs="Times New Roman"/>
              </w:rPr>
            </w:pPr>
          </w:p>
          <w:p w14:paraId="56A90320" w14:textId="4733F6CC" w:rsidR="009D0AA1" w:rsidRDefault="009D0AA1" w:rsidP="5F673433">
            <w:pPr>
              <w:spacing w:after="0" w:line="240" w:lineRule="auto"/>
              <w:rPr>
                <w:rFonts w:ascii="Times New Roman" w:hAnsi="Times New Roman" w:cs="Times New Roman"/>
              </w:rPr>
            </w:pPr>
          </w:p>
          <w:p w14:paraId="2D4C779D" w14:textId="3C16EDAE" w:rsidR="004D41C1" w:rsidRPr="001300A9" w:rsidRDefault="004D41C1" w:rsidP="009D0AA1">
            <w:pPr>
              <w:spacing w:after="0" w:line="240" w:lineRule="auto"/>
              <w:rPr>
                <w:rFonts w:ascii="Times New Roman" w:hAnsi="Times New Roman" w:cs="Times New Roman"/>
              </w:rPr>
            </w:pPr>
            <w:r w:rsidRPr="001300A9">
              <w:rPr>
                <w:rFonts w:ascii="Times New Roman" w:hAnsi="Times New Roman" w:cs="Times New Roman"/>
              </w:rPr>
              <w:t>GP - N</w:t>
            </w:r>
          </w:p>
          <w:p w14:paraId="73271475" w14:textId="77777777" w:rsidR="00443F1D" w:rsidRPr="001300A9" w:rsidRDefault="00443F1D" w:rsidP="009D0AA1">
            <w:pPr>
              <w:spacing w:after="0" w:line="240" w:lineRule="auto"/>
              <w:rPr>
                <w:rFonts w:ascii="Times New Roman" w:hAnsi="Times New Roman" w:cs="Times New Roman"/>
              </w:rPr>
            </w:pPr>
          </w:p>
          <w:p w14:paraId="294FF6A1" w14:textId="6E6220D6" w:rsidR="00443F1D" w:rsidRPr="001300A9" w:rsidRDefault="00443F1D" w:rsidP="009D0AA1">
            <w:pPr>
              <w:spacing w:after="0" w:line="240" w:lineRule="auto"/>
              <w:rPr>
                <w:rFonts w:ascii="Times New Roman" w:hAnsi="Times New Roman" w:cs="Times New Roman"/>
              </w:rPr>
            </w:pPr>
          </w:p>
          <w:p w14:paraId="2AF98F59" w14:textId="42FD0C9E" w:rsidR="0090089A" w:rsidRPr="001300A9" w:rsidRDefault="0090089A" w:rsidP="009D0AA1">
            <w:pPr>
              <w:spacing w:after="0" w:line="240" w:lineRule="auto"/>
              <w:rPr>
                <w:rFonts w:ascii="Times New Roman" w:hAnsi="Times New Roman" w:cs="Times New Roman"/>
              </w:rPr>
            </w:pPr>
          </w:p>
          <w:p w14:paraId="02D0887D" w14:textId="4A235731" w:rsidR="009D0AA1" w:rsidRDefault="009D0AA1" w:rsidP="5F673433">
            <w:pPr>
              <w:spacing w:after="0" w:line="240" w:lineRule="auto"/>
              <w:rPr>
                <w:rFonts w:ascii="Times New Roman" w:hAnsi="Times New Roman" w:cs="Times New Roman"/>
              </w:rPr>
            </w:pPr>
          </w:p>
          <w:p w14:paraId="4FB8F647" w14:textId="4AC85779" w:rsidR="00443F1D" w:rsidRPr="001300A9" w:rsidRDefault="00443F1D" w:rsidP="009D0AA1">
            <w:pPr>
              <w:spacing w:after="0" w:line="240" w:lineRule="auto"/>
              <w:rPr>
                <w:rFonts w:ascii="Times New Roman" w:hAnsi="Times New Roman" w:cs="Times New Roman"/>
              </w:rPr>
            </w:pPr>
            <w:r w:rsidRPr="001300A9">
              <w:rPr>
                <w:rFonts w:ascii="Times New Roman" w:hAnsi="Times New Roman" w:cs="Times New Roman"/>
              </w:rPr>
              <w:t>GP - N</w:t>
            </w:r>
          </w:p>
          <w:p w14:paraId="411F4AAC" w14:textId="77777777" w:rsidR="00115D7B" w:rsidRPr="001300A9" w:rsidRDefault="00115D7B" w:rsidP="009D0AA1">
            <w:pPr>
              <w:spacing w:after="0" w:line="240" w:lineRule="auto"/>
              <w:rPr>
                <w:rFonts w:ascii="Times New Roman" w:hAnsi="Times New Roman" w:cs="Times New Roman"/>
              </w:rPr>
            </w:pPr>
          </w:p>
          <w:p w14:paraId="25BE1432" w14:textId="77777777" w:rsidR="00115D7B" w:rsidRPr="001300A9" w:rsidRDefault="00115D7B" w:rsidP="00643C74">
            <w:pPr>
              <w:spacing w:after="0"/>
              <w:rPr>
                <w:rFonts w:ascii="Times New Roman" w:hAnsi="Times New Roman" w:cs="Times New Roman"/>
              </w:rPr>
            </w:pPr>
          </w:p>
          <w:p w14:paraId="57801B2F" w14:textId="77777777" w:rsidR="00115D7B" w:rsidRPr="001300A9" w:rsidRDefault="00115D7B" w:rsidP="00643C74">
            <w:pPr>
              <w:spacing w:after="0"/>
              <w:rPr>
                <w:rFonts w:ascii="Times New Roman" w:hAnsi="Times New Roman" w:cs="Times New Roman"/>
              </w:rPr>
            </w:pPr>
          </w:p>
          <w:p w14:paraId="5304FB53" w14:textId="77777777" w:rsidR="00115D7B" w:rsidRPr="001300A9" w:rsidRDefault="00115D7B" w:rsidP="00643C74">
            <w:pPr>
              <w:spacing w:after="0"/>
              <w:rPr>
                <w:rFonts w:ascii="Times New Roman" w:hAnsi="Times New Roman" w:cs="Times New Roman"/>
              </w:rPr>
            </w:pPr>
          </w:p>
          <w:p w14:paraId="55CF55AD" w14:textId="77777777" w:rsidR="00115D7B" w:rsidRPr="001300A9" w:rsidRDefault="00115D7B" w:rsidP="00643C74">
            <w:pPr>
              <w:spacing w:after="0"/>
              <w:rPr>
                <w:rFonts w:ascii="Times New Roman" w:hAnsi="Times New Roman" w:cs="Times New Roman"/>
              </w:rPr>
            </w:pPr>
          </w:p>
          <w:p w14:paraId="18B86AB8" w14:textId="77777777" w:rsidR="00115D7B" w:rsidRPr="001300A9" w:rsidRDefault="00115D7B" w:rsidP="00643C74">
            <w:pPr>
              <w:spacing w:after="0"/>
              <w:rPr>
                <w:rFonts w:ascii="Times New Roman" w:hAnsi="Times New Roman" w:cs="Times New Roman"/>
              </w:rPr>
            </w:pPr>
          </w:p>
          <w:p w14:paraId="1A706957" w14:textId="77777777" w:rsidR="00115D7B" w:rsidRPr="001300A9" w:rsidRDefault="00115D7B" w:rsidP="00643C74">
            <w:pPr>
              <w:spacing w:after="0"/>
              <w:rPr>
                <w:rFonts w:ascii="Times New Roman" w:hAnsi="Times New Roman" w:cs="Times New Roman"/>
              </w:rPr>
            </w:pPr>
          </w:p>
          <w:p w14:paraId="5DE87E29" w14:textId="77777777" w:rsidR="00115D7B" w:rsidRPr="001300A9" w:rsidRDefault="00115D7B" w:rsidP="00643C74">
            <w:pPr>
              <w:spacing w:after="0"/>
              <w:rPr>
                <w:rFonts w:ascii="Times New Roman" w:hAnsi="Times New Roman" w:cs="Times New Roman"/>
              </w:rPr>
            </w:pPr>
          </w:p>
          <w:p w14:paraId="25D86C06" w14:textId="77777777" w:rsidR="00115D7B" w:rsidRPr="001300A9" w:rsidRDefault="00115D7B" w:rsidP="00643C74">
            <w:pPr>
              <w:spacing w:after="0"/>
              <w:rPr>
                <w:rFonts w:ascii="Times New Roman" w:hAnsi="Times New Roman" w:cs="Times New Roman"/>
              </w:rPr>
            </w:pPr>
          </w:p>
          <w:p w14:paraId="06BA5C9A" w14:textId="77777777" w:rsidR="00115D7B" w:rsidRPr="001300A9" w:rsidRDefault="00115D7B" w:rsidP="00643C74">
            <w:pPr>
              <w:spacing w:after="0"/>
              <w:rPr>
                <w:rFonts w:ascii="Times New Roman" w:hAnsi="Times New Roman" w:cs="Times New Roman"/>
              </w:rPr>
            </w:pPr>
          </w:p>
          <w:p w14:paraId="4B45EC7D" w14:textId="77777777" w:rsidR="00115D7B" w:rsidRPr="001300A9" w:rsidRDefault="00115D7B" w:rsidP="00643C74">
            <w:pPr>
              <w:spacing w:after="0"/>
              <w:rPr>
                <w:rFonts w:ascii="Times New Roman" w:hAnsi="Times New Roman" w:cs="Times New Roman"/>
              </w:rPr>
            </w:pPr>
          </w:p>
          <w:p w14:paraId="740C07B1" w14:textId="77777777" w:rsidR="00115D7B" w:rsidRPr="001300A9" w:rsidRDefault="00115D7B" w:rsidP="00643C74">
            <w:pPr>
              <w:spacing w:after="0"/>
              <w:rPr>
                <w:rFonts w:ascii="Times New Roman" w:hAnsi="Times New Roman" w:cs="Times New Roman"/>
              </w:rPr>
            </w:pPr>
          </w:p>
          <w:p w14:paraId="0EF9483C" w14:textId="77777777" w:rsidR="00115D7B" w:rsidRPr="001300A9" w:rsidRDefault="00115D7B" w:rsidP="00643C74">
            <w:pPr>
              <w:spacing w:after="0"/>
              <w:rPr>
                <w:rFonts w:ascii="Times New Roman" w:hAnsi="Times New Roman" w:cs="Times New Roman"/>
              </w:rPr>
            </w:pPr>
          </w:p>
          <w:p w14:paraId="2C7F56DB" w14:textId="77777777" w:rsidR="00115D7B" w:rsidRPr="001300A9" w:rsidRDefault="00115D7B" w:rsidP="00643C74">
            <w:pPr>
              <w:spacing w:after="0"/>
              <w:rPr>
                <w:rFonts w:ascii="Times New Roman" w:hAnsi="Times New Roman" w:cs="Times New Roman"/>
              </w:rPr>
            </w:pPr>
          </w:p>
          <w:p w14:paraId="5C0CBC91" w14:textId="77777777" w:rsidR="00115D7B" w:rsidRPr="001300A9" w:rsidRDefault="00115D7B" w:rsidP="00643C74">
            <w:pPr>
              <w:spacing w:after="0"/>
              <w:rPr>
                <w:rFonts w:ascii="Times New Roman" w:hAnsi="Times New Roman" w:cs="Times New Roman"/>
              </w:rPr>
            </w:pPr>
          </w:p>
          <w:p w14:paraId="09209D61" w14:textId="77777777" w:rsidR="00115D7B" w:rsidRPr="001300A9" w:rsidRDefault="00115D7B" w:rsidP="00643C74">
            <w:pPr>
              <w:spacing w:after="0"/>
              <w:rPr>
                <w:rFonts w:ascii="Times New Roman" w:hAnsi="Times New Roman" w:cs="Times New Roman"/>
              </w:rPr>
            </w:pPr>
          </w:p>
          <w:p w14:paraId="6114882B" w14:textId="77777777" w:rsidR="00115D7B" w:rsidRPr="001300A9" w:rsidRDefault="00115D7B" w:rsidP="00643C74">
            <w:pPr>
              <w:spacing w:after="0"/>
              <w:rPr>
                <w:rFonts w:ascii="Times New Roman" w:hAnsi="Times New Roman" w:cs="Times New Roman"/>
              </w:rPr>
            </w:pPr>
          </w:p>
          <w:p w14:paraId="28DD7B20" w14:textId="77777777" w:rsidR="00115D7B" w:rsidRPr="001300A9" w:rsidRDefault="00115D7B" w:rsidP="00643C74">
            <w:pPr>
              <w:spacing w:after="0"/>
              <w:rPr>
                <w:rFonts w:ascii="Times New Roman" w:hAnsi="Times New Roman" w:cs="Times New Roman"/>
              </w:rPr>
            </w:pPr>
          </w:p>
          <w:p w14:paraId="6BE2C01C" w14:textId="77777777" w:rsidR="00115D7B" w:rsidRPr="001300A9" w:rsidRDefault="00115D7B" w:rsidP="00643C74">
            <w:pPr>
              <w:spacing w:after="0"/>
              <w:rPr>
                <w:rFonts w:ascii="Times New Roman" w:hAnsi="Times New Roman" w:cs="Times New Roman"/>
              </w:rPr>
            </w:pPr>
          </w:p>
          <w:p w14:paraId="584A78BF" w14:textId="77777777" w:rsidR="00115D7B" w:rsidRPr="001300A9" w:rsidRDefault="00115D7B" w:rsidP="00643C74">
            <w:pPr>
              <w:spacing w:after="0"/>
              <w:rPr>
                <w:rFonts w:ascii="Times New Roman" w:hAnsi="Times New Roman" w:cs="Times New Roman"/>
              </w:rPr>
            </w:pPr>
          </w:p>
          <w:p w14:paraId="756EF846" w14:textId="77777777" w:rsidR="00115D7B" w:rsidRPr="001300A9" w:rsidRDefault="00115D7B" w:rsidP="00643C74">
            <w:pPr>
              <w:spacing w:after="0"/>
              <w:rPr>
                <w:rFonts w:ascii="Times New Roman" w:hAnsi="Times New Roman" w:cs="Times New Roman"/>
              </w:rPr>
            </w:pPr>
          </w:p>
          <w:p w14:paraId="18E7346E" w14:textId="77777777" w:rsidR="00115D7B" w:rsidRPr="001300A9" w:rsidRDefault="00115D7B" w:rsidP="00643C74">
            <w:pPr>
              <w:spacing w:after="0"/>
              <w:rPr>
                <w:rFonts w:ascii="Times New Roman" w:hAnsi="Times New Roman" w:cs="Times New Roman"/>
              </w:rPr>
            </w:pPr>
          </w:p>
          <w:p w14:paraId="53E2A9C4" w14:textId="77777777" w:rsidR="00115D7B" w:rsidRPr="001300A9" w:rsidRDefault="00115D7B" w:rsidP="00643C74">
            <w:pPr>
              <w:spacing w:after="0"/>
              <w:rPr>
                <w:rFonts w:ascii="Times New Roman" w:hAnsi="Times New Roman" w:cs="Times New Roman"/>
              </w:rPr>
            </w:pPr>
          </w:p>
          <w:p w14:paraId="086E9F7B" w14:textId="77777777" w:rsidR="00115D7B" w:rsidRPr="001300A9" w:rsidRDefault="00115D7B" w:rsidP="00643C74">
            <w:pPr>
              <w:spacing w:after="0"/>
              <w:rPr>
                <w:rFonts w:ascii="Times New Roman" w:hAnsi="Times New Roman" w:cs="Times New Roman"/>
              </w:rPr>
            </w:pPr>
          </w:p>
          <w:p w14:paraId="028086FB" w14:textId="77777777" w:rsidR="00115D7B" w:rsidRPr="001300A9" w:rsidRDefault="00115D7B" w:rsidP="00643C74">
            <w:pPr>
              <w:spacing w:after="0"/>
              <w:rPr>
                <w:rFonts w:ascii="Times New Roman" w:hAnsi="Times New Roman" w:cs="Times New Roman"/>
              </w:rPr>
            </w:pPr>
          </w:p>
          <w:p w14:paraId="47ABB080" w14:textId="77777777" w:rsidR="00115D7B" w:rsidRPr="001300A9" w:rsidRDefault="00115D7B" w:rsidP="00643C74">
            <w:pPr>
              <w:spacing w:after="0"/>
              <w:rPr>
                <w:rFonts w:ascii="Times New Roman" w:hAnsi="Times New Roman" w:cs="Times New Roman"/>
              </w:rPr>
            </w:pPr>
          </w:p>
          <w:p w14:paraId="0E3C8CAF" w14:textId="77777777" w:rsidR="00115D7B" w:rsidRPr="001300A9" w:rsidRDefault="00115D7B" w:rsidP="00643C74">
            <w:pPr>
              <w:spacing w:after="0"/>
              <w:rPr>
                <w:rFonts w:ascii="Times New Roman" w:hAnsi="Times New Roman" w:cs="Times New Roman"/>
              </w:rPr>
            </w:pPr>
          </w:p>
          <w:p w14:paraId="173507A5" w14:textId="77777777" w:rsidR="00115D7B" w:rsidRPr="001300A9" w:rsidRDefault="00115D7B" w:rsidP="00643C74">
            <w:pPr>
              <w:spacing w:after="0"/>
              <w:rPr>
                <w:rFonts w:ascii="Times New Roman" w:hAnsi="Times New Roman" w:cs="Times New Roman"/>
              </w:rPr>
            </w:pPr>
          </w:p>
          <w:p w14:paraId="1D6915C7" w14:textId="77777777" w:rsidR="00115D7B" w:rsidRPr="001300A9" w:rsidRDefault="00115D7B" w:rsidP="00643C74">
            <w:pPr>
              <w:spacing w:after="0"/>
              <w:rPr>
                <w:rFonts w:ascii="Times New Roman" w:hAnsi="Times New Roman" w:cs="Times New Roman"/>
              </w:rPr>
            </w:pPr>
          </w:p>
          <w:p w14:paraId="243CD89F" w14:textId="77777777" w:rsidR="00115D7B" w:rsidRPr="001300A9" w:rsidRDefault="00115D7B" w:rsidP="00643C74">
            <w:pPr>
              <w:spacing w:after="0"/>
              <w:rPr>
                <w:rFonts w:ascii="Times New Roman" w:hAnsi="Times New Roman" w:cs="Times New Roman"/>
              </w:rPr>
            </w:pPr>
          </w:p>
          <w:p w14:paraId="6FF7FB66" w14:textId="77777777" w:rsidR="00115D7B" w:rsidRPr="001300A9" w:rsidRDefault="00115D7B" w:rsidP="00643C74">
            <w:pPr>
              <w:spacing w:after="0"/>
              <w:rPr>
                <w:rFonts w:ascii="Times New Roman" w:hAnsi="Times New Roman" w:cs="Times New Roman"/>
              </w:rPr>
            </w:pPr>
          </w:p>
          <w:p w14:paraId="69FFB01A" w14:textId="77777777" w:rsidR="00115D7B" w:rsidRPr="001300A9" w:rsidRDefault="00115D7B" w:rsidP="00643C74">
            <w:pPr>
              <w:spacing w:after="0"/>
              <w:rPr>
                <w:rFonts w:ascii="Times New Roman" w:hAnsi="Times New Roman" w:cs="Times New Roman"/>
              </w:rPr>
            </w:pPr>
          </w:p>
          <w:p w14:paraId="41233109" w14:textId="77777777" w:rsidR="00115D7B" w:rsidRPr="001300A9" w:rsidRDefault="00115D7B" w:rsidP="00643C74">
            <w:pPr>
              <w:spacing w:after="0"/>
              <w:rPr>
                <w:rFonts w:ascii="Times New Roman" w:hAnsi="Times New Roman" w:cs="Times New Roman"/>
              </w:rPr>
            </w:pPr>
          </w:p>
          <w:p w14:paraId="3BC4CAE2" w14:textId="77777777" w:rsidR="00115D7B" w:rsidRPr="001300A9" w:rsidRDefault="00115D7B" w:rsidP="00643C74">
            <w:pPr>
              <w:spacing w:after="0"/>
              <w:rPr>
                <w:rFonts w:ascii="Times New Roman" w:hAnsi="Times New Roman" w:cs="Times New Roman"/>
              </w:rPr>
            </w:pPr>
          </w:p>
          <w:p w14:paraId="58737327" w14:textId="77777777" w:rsidR="00115D7B" w:rsidRPr="001300A9" w:rsidRDefault="00115D7B" w:rsidP="00643C74">
            <w:pPr>
              <w:spacing w:after="0"/>
              <w:rPr>
                <w:rFonts w:ascii="Times New Roman" w:hAnsi="Times New Roman" w:cs="Times New Roman"/>
              </w:rPr>
            </w:pPr>
          </w:p>
          <w:p w14:paraId="31B66013" w14:textId="77777777" w:rsidR="00115D7B" w:rsidRPr="001300A9" w:rsidRDefault="00115D7B" w:rsidP="00643C74">
            <w:pPr>
              <w:spacing w:after="0"/>
              <w:rPr>
                <w:rFonts w:ascii="Times New Roman" w:hAnsi="Times New Roman" w:cs="Times New Roman"/>
              </w:rPr>
            </w:pPr>
          </w:p>
          <w:p w14:paraId="0E9174C5" w14:textId="77777777" w:rsidR="00115D7B" w:rsidRPr="001300A9" w:rsidRDefault="00115D7B" w:rsidP="00643C74">
            <w:pPr>
              <w:spacing w:after="0"/>
              <w:rPr>
                <w:rFonts w:ascii="Times New Roman" w:hAnsi="Times New Roman" w:cs="Times New Roman"/>
              </w:rPr>
            </w:pPr>
          </w:p>
          <w:p w14:paraId="2050D707" w14:textId="77777777" w:rsidR="00115D7B" w:rsidRPr="001300A9" w:rsidRDefault="00115D7B" w:rsidP="00643C74">
            <w:pPr>
              <w:spacing w:after="0"/>
              <w:rPr>
                <w:rFonts w:ascii="Times New Roman" w:hAnsi="Times New Roman" w:cs="Times New Roman"/>
              </w:rPr>
            </w:pPr>
          </w:p>
          <w:p w14:paraId="730A861A" w14:textId="77777777" w:rsidR="00115D7B" w:rsidRPr="001300A9" w:rsidRDefault="00115D7B" w:rsidP="00643C74">
            <w:pPr>
              <w:spacing w:after="0"/>
              <w:rPr>
                <w:rFonts w:ascii="Times New Roman" w:hAnsi="Times New Roman" w:cs="Times New Roman"/>
              </w:rPr>
            </w:pPr>
          </w:p>
          <w:p w14:paraId="04E55424" w14:textId="77777777" w:rsidR="00115D7B" w:rsidRPr="001300A9" w:rsidRDefault="00115D7B" w:rsidP="00643C74">
            <w:pPr>
              <w:spacing w:after="0"/>
              <w:rPr>
                <w:rFonts w:ascii="Times New Roman" w:hAnsi="Times New Roman" w:cs="Times New Roman"/>
              </w:rPr>
            </w:pPr>
          </w:p>
          <w:p w14:paraId="73DBFF4E" w14:textId="77777777" w:rsidR="00115D7B" w:rsidRPr="001300A9" w:rsidRDefault="00115D7B" w:rsidP="00643C74">
            <w:pPr>
              <w:spacing w:after="0"/>
              <w:rPr>
                <w:rFonts w:ascii="Times New Roman" w:hAnsi="Times New Roman" w:cs="Times New Roman"/>
              </w:rPr>
            </w:pPr>
          </w:p>
          <w:p w14:paraId="417CA3C7" w14:textId="77777777" w:rsidR="00115D7B" w:rsidRPr="001300A9" w:rsidRDefault="00115D7B" w:rsidP="00643C74">
            <w:pPr>
              <w:spacing w:after="0"/>
              <w:rPr>
                <w:rFonts w:ascii="Times New Roman" w:hAnsi="Times New Roman" w:cs="Times New Roman"/>
              </w:rPr>
            </w:pPr>
          </w:p>
          <w:p w14:paraId="58F49C0D" w14:textId="77777777" w:rsidR="00115D7B" w:rsidRPr="001300A9" w:rsidRDefault="00115D7B" w:rsidP="00643C74">
            <w:pPr>
              <w:spacing w:after="0"/>
              <w:rPr>
                <w:rFonts w:ascii="Times New Roman" w:hAnsi="Times New Roman" w:cs="Times New Roman"/>
              </w:rPr>
            </w:pPr>
          </w:p>
          <w:p w14:paraId="778BC0E2" w14:textId="77777777" w:rsidR="00115D7B" w:rsidRPr="001300A9" w:rsidRDefault="00115D7B" w:rsidP="00643C74">
            <w:pPr>
              <w:spacing w:after="0"/>
              <w:rPr>
                <w:rFonts w:ascii="Times New Roman" w:hAnsi="Times New Roman" w:cs="Times New Roman"/>
              </w:rPr>
            </w:pPr>
          </w:p>
          <w:p w14:paraId="38819430" w14:textId="77777777" w:rsidR="00115D7B" w:rsidRPr="001300A9" w:rsidRDefault="00115D7B" w:rsidP="00643C74">
            <w:pPr>
              <w:spacing w:after="0"/>
              <w:rPr>
                <w:rFonts w:ascii="Times New Roman" w:hAnsi="Times New Roman" w:cs="Times New Roman"/>
              </w:rPr>
            </w:pPr>
          </w:p>
          <w:p w14:paraId="5B39F40C" w14:textId="77777777" w:rsidR="00115D7B" w:rsidRPr="001300A9" w:rsidRDefault="00115D7B" w:rsidP="00643C74">
            <w:pPr>
              <w:spacing w:after="0"/>
              <w:rPr>
                <w:rFonts w:ascii="Times New Roman" w:hAnsi="Times New Roman" w:cs="Times New Roman"/>
              </w:rPr>
            </w:pPr>
          </w:p>
          <w:p w14:paraId="12C62BA8" w14:textId="77777777" w:rsidR="00115D7B" w:rsidRPr="001300A9" w:rsidRDefault="00115D7B" w:rsidP="00643C74">
            <w:pPr>
              <w:spacing w:after="0"/>
              <w:rPr>
                <w:rFonts w:ascii="Times New Roman" w:hAnsi="Times New Roman" w:cs="Times New Roman"/>
              </w:rPr>
            </w:pPr>
          </w:p>
          <w:p w14:paraId="3ABDEA44" w14:textId="77777777" w:rsidR="00115D7B" w:rsidRPr="001300A9" w:rsidRDefault="00115D7B" w:rsidP="00643C74">
            <w:pPr>
              <w:spacing w:after="0"/>
              <w:rPr>
                <w:rFonts w:ascii="Times New Roman" w:hAnsi="Times New Roman" w:cs="Times New Roman"/>
              </w:rPr>
            </w:pPr>
          </w:p>
          <w:p w14:paraId="474B7425" w14:textId="77777777" w:rsidR="00115D7B" w:rsidRPr="001300A9" w:rsidRDefault="00115D7B" w:rsidP="00643C74">
            <w:pPr>
              <w:spacing w:after="0"/>
              <w:rPr>
                <w:rFonts w:ascii="Times New Roman" w:hAnsi="Times New Roman" w:cs="Times New Roman"/>
              </w:rPr>
            </w:pPr>
          </w:p>
          <w:p w14:paraId="66308621" w14:textId="77777777" w:rsidR="00115D7B" w:rsidRPr="001300A9" w:rsidRDefault="00115D7B" w:rsidP="00643C74">
            <w:pPr>
              <w:spacing w:after="0"/>
              <w:rPr>
                <w:rFonts w:ascii="Times New Roman" w:hAnsi="Times New Roman" w:cs="Times New Roman"/>
              </w:rPr>
            </w:pPr>
          </w:p>
          <w:p w14:paraId="200E51B2" w14:textId="77777777" w:rsidR="00115D7B" w:rsidRPr="001300A9" w:rsidRDefault="00115D7B" w:rsidP="00643C74">
            <w:pPr>
              <w:spacing w:after="0"/>
              <w:rPr>
                <w:rFonts w:ascii="Times New Roman" w:hAnsi="Times New Roman" w:cs="Times New Roman"/>
              </w:rPr>
            </w:pPr>
          </w:p>
          <w:p w14:paraId="7EF5155D" w14:textId="77777777" w:rsidR="00115D7B" w:rsidRPr="001300A9" w:rsidRDefault="00115D7B" w:rsidP="00643C74">
            <w:pPr>
              <w:spacing w:after="0"/>
              <w:rPr>
                <w:rFonts w:ascii="Times New Roman" w:hAnsi="Times New Roman" w:cs="Times New Roman"/>
              </w:rPr>
            </w:pPr>
          </w:p>
          <w:p w14:paraId="3DD146BE" w14:textId="77777777" w:rsidR="00115D7B" w:rsidRPr="001300A9" w:rsidRDefault="00115D7B" w:rsidP="00643C74">
            <w:pPr>
              <w:spacing w:after="0"/>
              <w:rPr>
                <w:rFonts w:ascii="Times New Roman" w:hAnsi="Times New Roman" w:cs="Times New Roman"/>
              </w:rPr>
            </w:pPr>
          </w:p>
          <w:p w14:paraId="5FDC0A23" w14:textId="77777777" w:rsidR="00115D7B" w:rsidRPr="001300A9" w:rsidRDefault="00115D7B" w:rsidP="00643C74">
            <w:pPr>
              <w:spacing w:after="0"/>
              <w:rPr>
                <w:rFonts w:ascii="Times New Roman" w:hAnsi="Times New Roman" w:cs="Times New Roman"/>
              </w:rPr>
            </w:pPr>
          </w:p>
          <w:p w14:paraId="4E4DC10A" w14:textId="77777777" w:rsidR="00115D7B" w:rsidRPr="001300A9" w:rsidRDefault="00115D7B" w:rsidP="00643C74">
            <w:pPr>
              <w:spacing w:after="0"/>
              <w:rPr>
                <w:rFonts w:ascii="Times New Roman" w:hAnsi="Times New Roman" w:cs="Times New Roman"/>
              </w:rPr>
            </w:pPr>
          </w:p>
          <w:p w14:paraId="74F79064" w14:textId="77777777" w:rsidR="00115D7B" w:rsidRPr="001300A9" w:rsidRDefault="00115D7B" w:rsidP="00643C74">
            <w:pPr>
              <w:spacing w:after="0"/>
              <w:rPr>
                <w:rFonts w:ascii="Times New Roman" w:hAnsi="Times New Roman" w:cs="Times New Roman"/>
              </w:rPr>
            </w:pPr>
          </w:p>
          <w:p w14:paraId="23D4983A" w14:textId="77777777" w:rsidR="00115D7B" w:rsidRPr="001300A9" w:rsidRDefault="00115D7B" w:rsidP="00643C74">
            <w:pPr>
              <w:spacing w:after="0"/>
              <w:rPr>
                <w:rFonts w:ascii="Times New Roman" w:hAnsi="Times New Roman" w:cs="Times New Roman"/>
              </w:rPr>
            </w:pPr>
          </w:p>
          <w:p w14:paraId="1F357DC3" w14:textId="77777777" w:rsidR="00115D7B" w:rsidRPr="001300A9" w:rsidRDefault="00115D7B" w:rsidP="00643C74">
            <w:pPr>
              <w:spacing w:after="0"/>
              <w:rPr>
                <w:rFonts w:ascii="Times New Roman" w:hAnsi="Times New Roman" w:cs="Times New Roman"/>
              </w:rPr>
            </w:pPr>
          </w:p>
          <w:p w14:paraId="77F6844E" w14:textId="77777777" w:rsidR="00115D7B" w:rsidRPr="001300A9" w:rsidRDefault="00115D7B" w:rsidP="00643C74">
            <w:pPr>
              <w:spacing w:after="0"/>
              <w:rPr>
                <w:rFonts w:ascii="Times New Roman" w:hAnsi="Times New Roman" w:cs="Times New Roman"/>
              </w:rPr>
            </w:pPr>
          </w:p>
          <w:p w14:paraId="471BCC66" w14:textId="77777777" w:rsidR="00115D7B" w:rsidRPr="001300A9" w:rsidRDefault="00115D7B" w:rsidP="00643C74">
            <w:pPr>
              <w:spacing w:after="0"/>
              <w:rPr>
                <w:rFonts w:ascii="Times New Roman" w:hAnsi="Times New Roman" w:cs="Times New Roman"/>
              </w:rPr>
            </w:pPr>
          </w:p>
          <w:p w14:paraId="2DE5DFC1" w14:textId="77777777" w:rsidR="00115D7B" w:rsidRPr="001300A9" w:rsidRDefault="00115D7B" w:rsidP="00643C74">
            <w:pPr>
              <w:spacing w:after="0"/>
              <w:rPr>
                <w:rFonts w:ascii="Times New Roman" w:hAnsi="Times New Roman" w:cs="Times New Roman"/>
              </w:rPr>
            </w:pPr>
          </w:p>
          <w:p w14:paraId="4CBDEA2F" w14:textId="77777777" w:rsidR="00115D7B" w:rsidRPr="001300A9" w:rsidRDefault="00115D7B" w:rsidP="00643C74">
            <w:pPr>
              <w:spacing w:after="0"/>
              <w:rPr>
                <w:rFonts w:ascii="Times New Roman" w:hAnsi="Times New Roman" w:cs="Times New Roman"/>
              </w:rPr>
            </w:pPr>
          </w:p>
          <w:p w14:paraId="71711891" w14:textId="77777777" w:rsidR="00115D7B" w:rsidRPr="001300A9" w:rsidRDefault="00115D7B" w:rsidP="00643C74">
            <w:pPr>
              <w:spacing w:after="0"/>
              <w:rPr>
                <w:rFonts w:ascii="Times New Roman" w:hAnsi="Times New Roman" w:cs="Times New Roman"/>
              </w:rPr>
            </w:pPr>
          </w:p>
          <w:p w14:paraId="144871CE" w14:textId="77777777" w:rsidR="00115D7B" w:rsidRPr="001300A9" w:rsidRDefault="00115D7B" w:rsidP="00643C74">
            <w:pPr>
              <w:spacing w:after="0"/>
              <w:rPr>
                <w:rFonts w:ascii="Times New Roman" w:hAnsi="Times New Roman" w:cs="Times New Roman"/>
              </w:rPr>
            </w:pPr>
          </w:p>
          <w:p w14:paraId="2A3CA259" w14:textId="77777777" w:rsidR="00115D7B" w:rsidRPr="001300A9" w:rsidRDefault="00115D7B" w:rsidP="00643C74">
            <w:pPr>
              <w:spacing w:after="0"/>
              <w:rPr>
                <w:rFonts w:ascii="Times New Roman" w:hAnsi="Times New Roman" w:cs="Times New Roman"/>
              </w:rPr>
            </w:pPr>
          </w:p>
          <w:p w14:paraId="1D5A204B" w14:textId="77777777" w:rsidR="00115D7B" w:rsidRPr="001300A9" w:rsidRDefault="00115D7B" w:rsidP="00643C74">
            <w:pPr>
              <w:spacing w:after="0"/>
              <w:rPr>
                <w:rFonts w:ascii="Times New Roman" w:hAnsi="Times New Roman" w:cs="Times New Roman"/>
              </w:rPr>
            </w:pPr>
          </w:p>
          <w:p w14:paraId="79F42BCD" w14:textId="77777777" w:rsidR="00115D7B" w:rsidRPr="001300A9" w:rsidRDefault="00115D7B" w:rsidP="00643C74">
            <w:pPr>
              <w:spacing w:after="0"/>
              <w:rPr>
                <w:rFonts w:ascii="Times New Roman" w:hAnsi="Times New Roman" w:cs="Times New Roman"/>
              </w:rPr>
            </w:pPr>
          </w:p>
          <w:p w14:paraId="1026A119" w14:textId="77777777" w:rsidR="00115D7B" w:rsidRPr="001300A9" w:rsidRDefault="00115D7B" w:rsidP="00643C74">
            <w:pPr>
              <w:spacing w:after="0"/>
              <w:rPr>
                <w:rFonts w:ascii="Times New Roman" w:hAnsi="Times New Roman" w:cs="Times New Roman"/>
              </w:rPr>
            </w:pPr>
          </w:p>
          <w:p w14:paraId="3586581C" w14:textId="77777777" w:rsidR="00115D7B" w:rsidRPr="001300A9" w:rsidRDefault="00115D7B" w:rsidP="00643C74">
            <w:pPr>
              <w:spacing w:after="0"/>
              <w:rPr>
                <w:rFonts w:ascii="Times New Roman" w:hAnsi="Times New Roman" w:cs="Times New Roman"/>
              </w:rPr>
            </w:pPr>
          </w:p>
          <w:p w14:paraId="5548DAF6" w14:textId="77777777" w:rsidR="00115D7B" w:rsidRPr="001300A9" w:rsidRDefault="00115D7B" w:rsidP="00643C74">
            <w:pPr>
              <w:spacing w:after="0"/>
              <w:rPr>
                <w:rFonts w:ascii="Times New Roman" w:hAnsi="Times New Roman" w:cs="Times New Roman"/>
              </w:rPr>
            </w:pPr>
          </w:p>
          <w:p w14:paraId="41653415" w14:textId="77777777" w:rsidR="00115D7B" w:rsidRPr="001300A9" w:rsidRDefault="00115D7B" w:rsidP="00643C74">
            <w:pPr>
              <w:spacing w:after="0"/>
              <w:rPr>
                <w:rFonts w:ascii="Times New Roman" w:hAnsi="Times New Roman" w:cs="Times New Roman"/>
              </w:rPr>
            </w:pPr>
          </w:p>
          <w:p w14:paraId="2C20BE94" w14:textId="77777777" w:rsidR="00115D7B" w:rsidRPr="001300A9" w:rsidRDefault="00115D7B" w:rsidP="00643C74">
            <w:pPr>
              <w:spacing w:after="0"/>
              <w:rPr>
                <w:rFonts w:ascii="Times New Roman" w:hAnsi="Times New Roman" w:cs="Times New Roman"/>
              </w:rPr>
            </w:pPr>
          </w:p>
          <w:p w14:paraId="39A435DE" w14:textId="77777777" w:rsidR="00115D7B" w:rsidRPr="001300A9" w:rsidRDefault="00115D7B" w:rsidP="00643C74">
            <w:pPr>
              <w:spacing w:after="0"/>
              <w:rPr>
                <w:rFonts w:ascii="Times New Roman" w:hAnsi="Times New Roman" w:cs="Times New Roman"/>
              </w:rPr>
            </w:pPr>
          </w:p>
          <w:p w14:paraId="590D2AFB" w14:textId="77777777" w:rsidR="00115D7B" w:rsidRPr="001300A9" w:rsidRDefault="00115D7B" w:rsidP="00643C74">
            <w:pPr>
              <w:spacing w:after="0"/>
              <w:rPr>
                <w:rFonts w:ascii="Times New Roman" w:hAnsi="Times New Roman" w:cs="Times New Roman"/>
              </w:rPr>
            </w:pPr>
          </w:p>
          <w:p w14:paraId="7553569B" w14:textId="77777777" w:rsidR="00115D7B" w:rsidRPr="001300A9" w:rsidRDefault="00115D7B" w:rsidP="00643C74">
            <w:pPr>
              <w:spacing w:after="0"/>
              <w:rPr>
                <w:rFonts w:ascii="Times New Roman" w:hAnsi="Times New Roman" w:cs="Times New Roman"/>
              </w:rPr>
            </w:pPr>
          </w:p>
          <w:p w14:paraId="24036BAC" w14:textId="77777777" w:rsidR="00115D7B" w:rsidRPr="001300A9" w:rsidRDefault="00115D7B" w:rsidP="00643C74">
            <w:pPr>
              <w:spacing w:after="0"/>
              <w:rPr>
                <w:rFonts w:ascii="Times New Roman" w:hAnsi="Times New Roman" w:cs="Times New Roman"/>
              </w:rPr>
            </w:pPr>
          </w:p>
          <w:p w14:paraId="4FF5055B" w14:textId="77777777" w:rsidR="00115D7B" w:rsidRPr="001300A9" w:rsidRDefault="00115D7B" w:rsidP="00643C74">
            <w:pPr>
              <w:spacing w:after="0"/>
              <w:rPr>
                <w:rFonts w:ascii="Times New Roman" w:hAnsi="Times New Roman" w:cs="Times New Roman"/>
              </w:rPr>
            </w:pPr>
          </w:p>
          <w:p w14:paraId="4CAF3B0A" w14:textId="77777777" w:rsidR="00115D7B" w:rsidRPr="001300A9" w:rsidRDefault="00115D7B" w:rsidP="00643C74">
            <w:pPr>
              <w:spacing w:after="0"/>
              <w:rPr>
                <w:rFonts w:ascii="Times New Roman" w:hAnsi="Times New Roman" w:cs="Times New Roman"/>
              </w:rPr>
            </w:pPr>
          </w:p>
          <w:p w14:paraId="2C365E88" w14:textId="77777777" w:rsidR="00115D7B" w:rsidRPr="001300A9" w:rsidRDefault="00115D7B" w:rsidP="00643C74">
            <w:pPr>
              <w:spacing w:after="0"/>
              <w:rPr>
                <w:rFonts w:ascii="Times New Roman" w:hAnsi="Times New Roman" w:cs="Times New Roman"/>
              </w:rPr>
            </w:pPr>
          </w:p>
          <w:p w14:paraId="5FF80B74" w14:textId="77777777" w:rsidR="00115D7B" w:rsidRPr="001300A9" w:rsidRDefault="00115D7B" w:rsidP="00643C74">
            <w:pPr>
              <w:spacing w:after="0"/>
              <w:rPr>
                <w:rFonts w:ascii="Times New Roman" w:hAnsi="Times New Roman" w:cs="Times New Roman"/>
              </w:rPr>
            </w:pPr>
          </w:p>
          <w:p w14:paraId="25D1872E" w14:textId="77777777" w:rsidR="00115D7B" w:rsidRPr="001300A9" w:rsidRDefault="00115D7B" w:rsidP="00643C74">
            <w:pPr>
              <w:spacing w:after="0"/>
              <w:rPr>
                <w:rFonts w:ascii="Times New Roman" w:hAnsi="Times New Roman" w:cs="Times New Roman"/>
              </w:rPr>
            </w:pPr>
          </w:p>
          <w:p w14:paraId="756334EF" w14:textId="77777777" w:rsidR="00115D7B" w:rsidRPr="001300A9" w:rsidRDefault="00115D7B" w:rsidP="00643C74">
            <w:pPr>
              <w:spacing w:after="0"/>
              <w:rPr>
                <w:rFonts w:ascii="Times New Roman" w:hAnsi="Times New Roman" w:cs="Times New Roman"/>
              </w:rPr>
            </w:pPr>
          </w:p>
          <w:p w14:paraId="6D573376" w14:textId="77777777" w:rsidR="00115D7B" w:rsidRPr="001300A9" w:rsidRDefault="00115D7B" w:rsidP="00643C74">
            <w:pPr>
              <w:spacing w:after="0"/>
              <w:rPr>
                <w:rFonts w:ascii="Times New Roman" w:hAnsi="Times New Roman" w:cs="Times New Roman"/>
              </w:rPr>
            </w:pPr>
          </w:p>
          <w:p w14:paraId="49E5A6F1" w14:textId="77777777" w:rsidR="00115D7B" w:rsidRPr="001300A9" w:rsidRDefault="00115D7B" w:rsidP="00643C74">
            <w:pPr>
              <w:spacing w:after="0"/>
              <w:rPr>
                <w:rFonts w:ascii="Times New Roman" w:hAnsi="Times New Roman" w:cs="Times New Roman"/>
              </w:rPr>
            </w:pPr>
          </w:p>
          <w:p w14:paraId="2BA37C8B" w14:textId="77777777" w:rsidR="00115D7B" w:rsidRPr="001300A9" w:rsidRDefault="00115D7B" w:rsidP="00643C74">
            <w:pPr>
              <w:spacing w:after="0"/>
              <w:rPr>
                <w:rFonts w:ascii="Times New Roman" w:hAnsi="Times New Roman" w:cs="Times New Roman"/>
              </w:rPr>
            </w:pPr>
          </w:p>
          <w:p w14:paraId="6FC4AA67" w14:textId="77777777" w:rsidR="00115D7B" w:rsidRPr="001300A9" w:rsidRDefault="00115D7B" w:rsidP="00643C74">
            <w:pPr>
              <w:spacing w:after="0"/>
              <w:rPr>
                <w:rFonts w:ascii="Times New Roman" w:hAnsi="Times New Roman" w:cs="Times New Roman"/>
              </w:rPr>
            </w:pPr>
          </w:p>
          <w:p w14:paraId="753A99F4" w14:textId="77777777" w:rsidR="00115D7B" w:rsidRPr="001300A9" w:rsidRDefault="00115D7B" w:rsidP="00643C74">
            <w:pPr>
              <w:spacing w:after="0"/>
              <w:rPr>
                <w:rFonts w:ascii="Times New Roman" w:hAnsi="Times New Roman" w:cs="Times New Roman"/>
              </w:rPr>
            </w:pPr>
          </w:p>
          <w:p w14:paraId="49806414" w14:textId="77777777" w:rsidR="00115D7B" w:rsidRPr="001300A9" w:rsidRDefault="00115D7B" w:rsidP="00643C74">
            <w:pPr>
              <w:spacing w:after="0"/>
              <w:rPr>
                <w:rFonts w:ascii="Times New Roman" w:hAnsi="Times New Roman" w:cs="Times New Roman"/>
              </w:rPr>
            </w:pPr>
          </w:p>
          <w:p w14:paraId="6718460E" w14:textId="77777777" w:rsidR="00115D7B" w:rsidRPr="001300A9" w:rsidRDefault="00115D7B" w:rsidP="00643C74">
            <w:pPr>
              <w:spacing w:after="0"/>
              <w:rPr>
                <w:rFonts w:ascii="Times New Roman" w:hAnsi="Times New Roman" w:cs="Times New Roman"/>
              </w:rPr>
            </w:pPr>
          </w:p>
          <w:p w14:paraId="4143FEE1" w14:textId="77777777" w:rsidR="00115D7B" w:rsidRPr="001300A9" w:rsidRDefault="00115D7B" w:rsidP="00643C74">
            <w:pPr>
              <w:spacing w:after="0"/>
              <w:rPr>
                <w:rFonts w:ascii="Times New Roman" w:hAnsi="Times New Roman" w:cs="Times New Roman"/>
              </w:rPr>
            </w:pPr>
          </w:p>
          <w:p w14:paraId="5756BC1E" w14:textId="77777777" w:rsidR="00115D7B" w:rsidRPr="001300A9" w:rsidRDefault="00115D7B" w:rsidP="00643C74">
            <w:pPr>
              <w:spacing w:after="0"/>
              <w:rPr>
                <w:rFonts w:ascii="Times New Roman" w:hAnsi="Times New Roman" w:cs="Times New Roman"/>
              </w:rPr>
            </w:pPr>
          </w:p>
          <w:p w14:paraId="65A1FEDA" w14:textId="77777777" w:rsidR="00115D7B" w:rsidRPr="001300A9" w:rsidRDefault="00115D7B" w:rsidP="00643C74">
            <w:pPr>
              <w:spacing w:after="0"/>
              <w:rPr>
                <w:rFonts w:ascii="Times New Roman" w:hAnsi="Times New Roman" w:cs="Times New Roman"/>
              </w:rPr>
            </w:pPr>
          </w:p>
          <w:p w14:paraId="27CBD33D" w14:textId="77777777" w:rsidR="00115D7B" w:rsidRPr="001300A9" w:rsidRDefault="00115D7B" w:rsidP="00643C74">
            <w:pPr>
              <w:spacing w:after="0"/>
              <w:rPr>
                <w:rFonts w:ascii="Times New Roman" w:hAnsi="Times New Roman" w:cs="Times New Roman"/>
              </w:rPr>
            </w:pPr>
          </w:p>
          <w:p w14:paraId="59F5C08B" w14:textId="77777777" w:rsidR="00115D7B" w:rsidRPr="001300A9" w:rsidRDefault="00115D7B" w:rsidP="00643C74">
            <w:pPr>
              <w:spacing w:after="0"/>
              <w:rPr>
                <w:rFonts w:ascii="Times New Roman" w:hAnsi="Times New Roman" w:cs="Times New Roman"/>
              </w:rPr>
            </w:pPr>
          </w:p>
          <w:p w14:paraId="4B7B15C3" w14:textId="77777777" w:rsidR="00115D7B" w:rsidRPr="001300A9" w:rsidRDefault="00115D7B" w:rsidP="00643C74">
            <w:pPr>
              <w:spacing w:after="0"/>
              <w:rPr>
                <w:rFonts w:ascii="Times New Roman" w:hAnsi="Times New Roman" w:cs="Times New Roman"/>
              </w:rPr>
            </w:pPr>
          </w:p>
          <w:p w14:paraId="0451569F" w14:textId="77777777" w:rsidR="00115D7B" w:rsidRPr="001300A9" w:rsidRDefault="00115D7B" w:rsidP="00643C74">
            <w:pPr>
              <w:spacing w:after="0"/>
              <w:rPr>
                <w:rFonts w:ascii="Times New Roman" w:hAnsi="Times New Roman" w:cs="Times New Roman"/>
              </w:rPr>
            </w:pPr>
          </w:p>
          <w:p w14:paraId="7D32AD2A" w14:textId="77777777" w:rsidR="00115D7B" w:rsidRPr="001300A9" w:rsidRDefault="00115D7B" w:rsidP="00643C74">
            <w:pPr>
              <w:spacing w:after="0"/>
              <w:rPr>
                <w:rFonts w:ascii="Times New Roman" w:hAnsi="Times New Roman" w:cs="Times New Roman"/>
              </w:rPr>
            </w:pPr>
          </w:p>
          <w:p w14:paraId="193863DC" w14:textId="77777777" w:rsidR="00115D7B" w:rsidRPr="001300A9" w:rsidRDefault="00115D7B" w:rsidP="00643C74">
            <w:pPr>
              <w:spacing w:after="0"/>
              <w:rPr>
                <w:rFonts w:ascii="Times New Roman" w:hAnsi="Times New Roman" w:cs="Times New Roman"/>
              </w:rPr>
            </w:pPr>
          </w:p>
          <w:p w14:paraId="0E328C11" w14:textId="77777777" w:rsidR="00115D7B" w:rsidRPr="001300A9" w:rsidRDefault="00115D7B" w:rsidP="00643C74">
            <w:pPr>
              <w:spacing w:after="0"/>
              <w:rPr>
                <w:rFonts w:ascii="Times New Roman" w:hAnsi="Times New Roman" w:cs="Times New Roman"/>
              </w:rPr>
            </w:pPr>
          </w:p>
          <w:p w14:paraId="1CE2152E" w14:textId="77777777" w:rsidR="00115D7B" w:rsidRPr="001300A9" w:rsidRDefault="00115D7B" w:rsidP="00643C74">
            <w:pPr>
              <w:spacing w:after="0"/>
              <w:rPr>
                <w:rFonts w:ascii="Times New Roman" w:hAnsi="Times New Roman" w:cs="Times New Roman"/>
              </w:rPr>
            </w:pPr>
          </w:p>
          <w:p w14:paraId="1E8BB82B" w14:textId="77777777" w:rsidR="00115D7B" w:rsidRPr="001300A9" w:rsidRDefault="00115D7B" w:rsidP="00643C74">
            <w:pPr>
              <w:spacing w:after="0"/>
              <w:rPr>
                <w:rFonts w:ascii="Times New Roman" w:hAnsi="Times New Roman" w:cs="Times New Roman"/>
              </w:rPr>
            </w:pPr>
          </w:p>
          <w:p w14:paraId="35AC3B9F" w14:textId="77777777" w:rsidR="00115D7B" w:rsidRPr="001300A9" w:rsidRDefault="00115D7B" w:rsidP="00643C74">
            <w:pPr>
              <w:spacing w:after="0"/>
              <w:rPr>
                <w:rFonts w:ascii="Times New Roman" w:hAnsi="Times New Roman" w:cs="Times New Roman"/>
              </w:rPr>
            </w:pPr>
          </w:p>
          <w:p w14:paraId="39B49434" w14:textId="77777777" w:rsidR="00115D7B" w:rsidRPr="001300A9" w:rsidRDefault="00115D7B" w:rsidP="00643C74">
            <w:pPr>
              <w:spacing w:after="0"/>
              <w:rPr>
                <w:rFonts w:ascii="Times New Roman" w:hAnsi="Times New Roman" w:cs="Times New Roman"/>
              </w:rPr>
            </w:pPr>
          </w:p>
          <w:p w14:paraId="0ED5D68E" w14:textId="77777777" w:rsidR="00115D7B" w:rsidRPr="001300A9" w:rsidRDefault="00115D7B" w:rsidP="00643C74">
            <w:pPr>
              <w:spacing w:after="0"/>
              <w:rPr>
                <w:rFonts w:ascii="Times New Roman" w:hAnsi="Times New Roman" w:cs="Times New Roman"/>
              </w:rPr>
            </w:pPr>
          </w:p>
          <w:p w14:paraId="333E4D72" w14:textId="77777777" w:rsidR="00115D7B" w:rsidRPr="001300A9" w:rsidRDefault="00115D7B" w:rsidP="00643C74">
            <w:pPr>
              <w:spacing w:after="0"/>
              <w:rPr>
                <w:rFonts w:ascii="Times New Roman" w:hAnsi="Times New Roman" w:cs="Times New Roman"/>
              </w:rPr>
            </w:pPr>
          </w:p>
          <w:p w14:paraId="15648994" w14:textId="77777777" w:rsidR="00115D7B" w:rsidRPr="001300A9" w:rsidRDefault="00115D7B" w:rsidP="00643C74">
            <w:pPr>
              <w:spacing w:after="0"/>
              <w:rPr>
                <w:rFonts w:ascii="Times New Roman" w:hAnsi="Times New Roman" w:cs="Times New Roman"/>
              </w:rPr>
            </w:pPr>
          </w:p>
          <w:p w14:paraId="63B1C25C" w14:textId="77777777" w:rsidR="00115D7B" w:rsidRPr="001300A9" w:rsidRDefault="00115D7B" w:rsidP="00643C74">
            <w:pPr>
              <w:spacing w:after="0"/>
              <w:rPr>
                <w:rFonts w:ascii="Times New Roman" w:hAnsi="Times New Roman" w:cs="Times New Roman"/>
              </w:rPr>
            </w:pPr>
          </w:p>
          <w:p w14:paraId="2DF16944" w14:textId="77777777" w:rsidR="00115D7B" w:rsidRPr="001300A9" w:rsidRDefault="00115D7B" w:rsidP="00643C74">
            <w:pPr>
              <w:spacing w:after="0"/>
              <w:rPr>
                <w:rFonts w:ascii="Times New Roman" w:hAnsi="Times New Roman" w:cs="Times New Roman"/>
              </w:rPr>
            </w:pPr>
          </w:p>
          <w:p w14:paraId="7E5DE395" w14:textId="77777777" w:rsidR="00115D7B" w:rsidRPr="001300A9" w:rsidRDefault="00115D7B" w:rsidP="00643C74">
            <w:pPr>
              <w:spacing w:after="0"/>
              <w:rPr>
                <w:rFonts w:ascii="Times New Roman" w:hAnsi="Times New Roman" w:cs="Times New Roman"/>
              </w:rPr>
            </w:pPr>
          </w:p>
          <w:p w14:paraId="1BFCFEE3" w14:textId="77777777" w:rsidR="00115D7B" w:rsidRPr="001300A9" w:rsidRDefault="00115D7B" w:rsidP="00643C74">
            <w:pPr>
              <w:spacing w:after="0"/>
              <w:rPr>
                <w:rFonts w:ascii="Times New Roman" w:hAnsi="Times New Roman" w:cs="Times New Roman"/>
              </w:rPr>
            </w:pPr>
          </w:p>
          <w:p w14:paraId="2D0F9D23" w14:textId="77777777" w:rsidR="00115D7B" w:rsidRPr="001300A9" w:rsidRDefault="00115D7B" w:rsidP="00643C74">
            <w:pPr>
              <w:spacing w:after="0"/>
              <w:rPr>
                <w:rFonts w:ascii="Times New Roman" w:hAnsi="Times New Roman" w:cs="Times New Roman"/>
              </w:rPr>
            </w:pPr>
          </w:p>
          <w:p w14:paraId="2BD7919B" w14:textId="77777777" w:rsidR="00115D7B" w:rsidRPr="001300A9" w:rsidRDefault="00115D7B" w:rsidP="00643C74">
            <w:pPr>
              <w:spacing w:after="0"/>
              <w:rPr>
                <w:rFonts w:ascii="Times New Roman" w:hAnsi="Times New Roman" w:cs="Times New Roman"/>
              </w:rPr>
            </w:pPr>
          </w:p>
          <w:p w14:paraId="0E661AAD" w14:textId="77777777" w:rsidR="00115D7B" w:rsidRPr="001300A9" w:rsidRDefault="00115D7B" w:rsidP="00643C74">
            <w:pPr>
              <w:spacing w:after="0"/>
              <w:rPr>
                <w:rFonts w:ascii="Times New Roman" w:hAnsi="Times New Roman" w:cs="Times New Roman"/>
              </w:rPr>
            </w:pPr>
          </w:p>
          <w:p w14:paraId="4B20B619" w14:textId="77777777" w:rsidR="00115D7B" w:rsidRPr="001300A9" w:rsidRDefault="00115D7B" w:rsidP="00643C74">
            <w:pPr>
              <w:spacing w:after="0"/>
              <w:rPr>
                <w:rFonts w:ascii="Times New Roman" w:hAnsi="Times New Roman" w:cs="Times New Roman"/>
              </w:rPr>
            </w:pPr>
          </w:p>
          <w:p w14:paraId="5383D107" w14:textId="77777777" w:rsidR="00115D7B" w:rsidRPr="001300A9" w:rsidRDefault="00115D7B" w:rsidP="00643C74">
            <w:pPr>
              <w:spacing w:after="0"/>
              <w:rPr>
                <w:rFonts w:ascii="Times New Roman" w:hAnsi="Times New Roman" w:cs="Times New Roman"/>
              </w:rPr>
            </w:pPr>
          </w:p>
          <w:p w14:paraId="52126888" w14:textId="77777777" w:rsidR="00115D7B" w:rsidRPr="001300A9" w:rsidRDefault="00115D7B" w:rsidP="00643C74">
            <w:pPr>
              <w:spacing w:after="0"/>
              <w:rPr>
                <w:rFonts w:ascii="Times New Roman" w:hAnsi="Times New Roman" w:cs="Times New Roman"/>
              </w:rPr>
            </w:pPr>
          </w:p>
          <w:p w14:paraId="0551631E" w14:textId="77777777" w:rsidR="00115D7B" w:rsidRPr="001300A9" w:rsidRDefault="00115D7B" w:rsidP="00643C74">
            <w:pPr>
              <w:spacing w:after="0"/>
              <w:rPr>
                <w:rFonts w:ascii="Times New Roman" w:hAnsi="Times New Roman" w:cs="Times New Roman"/>
              </w:rPr>
            </w:pPr>
          </w:p>
          <w:p w14:paraId="1B5A155B" w14:textId="77777777" w:rsidR="00115D7B" w:rsidRPr="001300A9" w:rsidRDefault="00115D7B" w:rsidP="00643C74">
            <w:pPr>
              <w:spacing w:after="0"/>
              <w:rPr>
                <w:rFonts w:ascii="Times New Roman" w:hAnsi="Times New Roman" w:cs="Times New Roman"/>
              </w:rPr>
            </w:pPr>
          </w:p>
          <w:p w14:paraId="032DAEE2" w14:textId="77777777" w:rsidR="00115D7B" w:rsidRPr="001300A9" w:rsidRDefault="00115D7B" w:rsidP="00643C74">
            <w:pPr>
              <w:spacing w:after="0"/>
              <w:rPr>
                <w:rFonts w:ascii="Times New Roman" w:hAnsi="Times New Roman" w:cs="Times New Roman"/>
              </w:rPr>
            </w:pPr>
          </w:p>
          <w:p w14:paraId="710691FF" w14:textId="77777777" w:rsidR="00115D7B" w:rsidRPr="001300A9" w:rsidRDefault="00115D7B" w:rsidP="00643C74">
            <w:pPr>
              <w:spacing w:after="0"/>
              <w:rPr>
                <w:rFonts w:ascii="Times New Roman" w:hAnsi="Times New Roman" w:cs="Times New Roman"/>
              </w:rPr>
            </w:pPr>
          </w:p>
          <w:p w14:paraId="58E4142C" w14:textId="77777777" w:rsidR="00115D7B" w:rsidRPr="001300A9" w:rsidRDefault="00115D7B" w:rsidP="00643C74">
            <w:pPr>
              <w:spacing w:after="0"/>
              <w:rPr>
                <w:rFonts w:ascii="Times New Roman" w:hAnsi="Times New Roman" w:cs="Times New Roman"/>
              </w:rPr>
            </w:pPr>
          </w:p>
          <w:p w14:paraId="705574BE" w14:textId="77777777" w:rsidR="00115D7B" w:rsidRPr="001300A9" w:rsidRDefault="00115D7B" w:rsidP="00643C74">
            <w:pPr>
              <w:spacing w:after="0"/>
              <w:rPr>
                <w:rFonts w:ascii="Times New Roman" w:hAnsi="Times New Roman" w:cs="Times New Roman"/>
              </w:rPr>
            </w:pPr>
          </w:p>
          <w:p w14:paraId="7285DDAE" w14:textId="77777777" w:rsidR="00115D7B" w:rsidRPr="001300A9" w:rsidRDefault="00115D7B" w:rsidP="00643C74">
            <w:pPr>
              <w:spacing w:after="0"/>
              <w:rPr>
                <w:rFonts w:ascii="Times New Roman" w:hAnsi="Times New Roman" w:cs="Times New Roman"/>
              </w:rPr>
            </w:pPr>
          </w:p>
          <w:p w14:paraId="65B7D399" w14:textId="77777777" w:rsidR="00115D7B" w:rsidRPr="001300A9" w:rsidRDefault="00115D7B" w:rsidP="00643C74">
            <w:pPr>
              <w:spacing w:after="0"/>
              <w:rPr>
                <w:rFonts w:ascii="Times New Roman" w:hAnsi="Times New Roman" w:cs="Times New Roman"/>
              </w:rPr>
            </w:pPr>
          </w:p>
          <w:p w14:paraId="49CFFF3D" w14:textId="77777777" w:rsidR="00115D7B" w:rsidRPr="001300A9" w:rsidRDefault="00115D7B" w:rsidP="00643C74">
            <w:pPr>
              <w:spacing w:after="0"/>
              <w:rPr>
                <w:rFonts w:ascii="Times New Roman" w:hAnsi="Times New Roman" w:cs="Times New Roman"/>
              </w:rPr>
            </w:pPr>
          </w:p>
          <w:p w14:paraId="7C3618D0" w14:textId="77777777" w:rsidR="00115D7B" w:rsidRPr="001300A9" w:rsidRDefault="00115D7B" w:rsidP="00643C74">
            <w:pPr>
              <w:spacing w:after="0"/>
              <w:rPr>
                <w:rFonts w:ascii="Times New Roman" w:hAnsi="Times New Roman" w:cs="Times New Roman"/>
              </w:rPr>
            </w:pPr>
          </w:p>
          <w:p w14:paraId="65D45304" w14:textId="77777777" w:rsidR="00115D7B" w:rsidRPr="001300A9" w:rsidRDefault="00115D7B" w:rsidP="00643C74">
            <w:pPr>
              <w:spacing w:after="0"/>
              <w:rPr>
                <w:rFonts w:ascii="Times New Roman" w:hAnsi="Times New Roman" w:cs="Times New Roman"/>
              </w:rPr>
            </w:pPr>
          </w:p>
          <w:p w14:paraId="12CF00FA" w14:textId="77777777" w:rsidR="00115D7B" w:rsidRPr="001300A9" w:rsidRDefault="00115D7B" w:rsidP="00643C74">
            <w:pPr>
              <w:spacing w:after="0"/>
              <w:rPr>
                <w:rFonts w:ascii="Times New Roman" w:hAnsi="Times New Roman" w:cs="Times New Roman"/>
              </w:rPr>
            </w:pPr>
          </w:p>
          <w:p w14:paraId="08B23927" w14:textId="77777777" w:rsidR="00115D7B" w:rsidRPr="001300A9" w:rsidRDefault="00115D7B" w:rsidP="00643C74">
            <w:pPr>
              <w:spacing w:after="0"/>
              <w:rPr>
                <w:rFonts w:ascii="Times New Roman" w:hAnsi="Times New Roman" w:cs="Times New Roman"/>
              </w:rPr>
            </w:pPr>
          </w:p>
          <w:p w14:paraId="204B6E55" w14:textId="77777777" w:rsidR="00115D7B" w:rsidRPr="001300A9" w:rsidRDefault="00115D7B" w:rsidP="00643C74">
            <w:pPr>
              <w:spacing w:after="0"/>
              <w:rPr>
                <w:rFonts w:ascii="Times New Roman" w:hAnsi="Times New Roman" w:cs="Times New Roman"/>
              </w:rPr>
            </w:pPr>
          </w:p>
          <w:p w14:paraId="58CED290" w14:textId="77777777" w:rsidR="00115D7B" w:rsidRPr="001300A9" w:rsidRDefault="00115D7B" w:rsidP="00643C74">
            <w:pPr>
              <w:spacing w:after="0"/>
              <w:rPr>
                <w:rFonts w:ascii="Times New Roman" w:hAnsi="Times New Roman" w:cs="Times New Roman"/>
              </w:rPr>
            </w:pPr>
          </w:p>
          <w:p w14:paraId="2F8E7CBA" w14:textId="77777777" w:rsidR="00115D7B" w:rsidRPr="001300A9" w:rsidRDefault="00115D7B" w:rsidP="00643C74">
            <w:pPr>
              <w:spacing w:after="0"/>
              <w:rPr>
                <w:rFonts w:ascii="Times New Roman" w:hAnsi="Times New Roman" w:cs="Times New Roman"/>
              </w:rPr>
            </w:pPr>
          </w:p>
          <w:p w14:paraId="0BF2368F" w14:textId="77777777" w:rsidR="00115D7B" w:rsidRPr="001300A9" w:rsidRDefault="00115D7B" w:rsidP="00643C74">
            <w:pPr>
              <w:spacing w:after="0"/>
              <w:rPr>
                <w:rFonts w:ascii="Times New Roman" w:hAnsi="Times New Roman" w:cs="Times New Roman"/>
              </w:rPr>
            </w:pPr>
          </w:p>
          <w:p w14:paraId="061A1743" w14:textId="77777777" w:rsidR="00115D7B" w:rsidRPr="001300A9" w:rsidRDefault="00115D7B" w:rsidP="00643C74">
            <w:pPr>
              <w:spacing w:after="0"/>
              <w:rPr>
                <w:rFonts w:ascii="Times New Roman" w:hAnsi="Times New Roman" w:cs="Times New Roman"/>
              </w:rPr>
            </w:pPr>
          </w:p>
          <w:p w14:paraId="0A162E8A" w14:textId="77777777" w:rsidR="00115D7B" w:rsidRPr="001300A9" w:rsidRDefault="00115D7B" w:rsidP="00643C74">
            <w:pPr>
              <w:spacing w:after="0"/>
              <w:rPr>
                <w:rFonts w:ascii="Times New Roman" w:hAnsi="Times New Roman" w:cs="Times New Roman"/>
              </w:rPr>
            </w:pPr>
          </w:p>
          <w:p w14:paraId="08D6A42A" w14:textId="77777777" w:rsidR="00115D7B" w:rsidRPr="001300A9" w:rsidRDefault="00115D7B" w:rsidP="00643C74">
            <w:pPr>
              <w:spacing w:after="0"/>
              <w:rPr>
                <w:rFonts w:ascii="Times New Roman" w:hAnsi="Times New Roman" w:cs="Times New Roman"/>
              </w:rPr>
            </w:pPr>
          </w:p>
          <w:p w14:paraId="0871D00C" w14:textId="77777777" w:rsidR="00115D7B" w:rsidRPr="001300A9" w:rsidRDefault="00115D7B" w:rsidP="00643C74">
            <w:pPr>
              <w:spacing w:after="0"/>
              <w:rPr>
                <w:rFonts w:ascii="Times New Roman" w:hAnsi="Times New Roman" w:cs="Times New Roman"/>
              </w:rPr>
            </w:pPr>
          </w:p>
          <w:p w14:paraId="6EE0EEC8" w14:textId="77777777" w:rsidR="00115D7B" w:rsidRPr="001300A9" w:rsidRDefault="00115D7B" w:rsidP="00643C74">
            <w:pPr>
              <w:spacing w:after="0"/>
              <w:rPr>
                <w:rFonts w:ascii="Times New Roman" w:hAnsi="Times New Roman" w:cs="Times New Roman"/>
              </w:rPr>
            </w:pPr>
          </w:p>
          <w:p w14:paraId="08E836BF" w14:textId="77777777" w:rsidR="00115D7B" w:rsidRPr="001300A9" w:rsidRDefault="00115D7B" w:rsidP="00643C74">
            <w:pPr>
              <w:spacing w:after="0"/>
              <w:rPr>
                <w:rFonts w:ascii="Times New Roman" w:hAnsi="Times New Roman" w:cs="Times New Roman"/>
              </w:rPr>
            </w:pPr>
          </w:p>
          <w:p w14:paraId="54CC319A" w14:textId="77777777" w:rsidR="00115D7B" w:rsidRPr="001300A9" w:rsidRDefault="00115D7B" w:rsidP="00643C74">
            <w:pPr>
              <w:spacing w:after="0"/>
              <w:rPr>
                <w:rFonts w:ascii="Times New Roman" w:hAnsi="Times New Roman" w:cs="Times New Roman"/>
              </w:rPr>
            </w:pPr>
          </w:p>
          <w:p w14:paraId="30445E6D" w14:textId="77777777" w:rsidR="00115D7B" w:rsidRPr="001300A9" w:rsidRDefault="00115D7B" w:rsidP="00643C74">
            <w:pPr>
              <w:spacing w:after="0"/>
              <w:rPr>
                <w:rFonts w:ascii="Times New Roman" w:hAnsi="Times New Roman" w:cs="Times New Roman"/>
              </w:rPr>
            </w:pPr>
          </w:p>
          <w:p w14:paraId="47924038" w14:textId="77777777" w:rsidR="00115D7B" w:rsidRPr="001300A9" w:rsidRDefault="00115D7B" w:rsidP="00643C74">
            <w:pPr>
              <w:spacing w:after="0"/>
              <w:rPr>
                <w:rFonts w:ascii="Times New Roman" w:hAnsi="Times New Roman" w:cs="Times New Roman"/>
              </w:rPr>
            </w:pPr>
          </w:p>
          <w:p w14:paraId="01CC1D01" w14:textId="77777777" w:rsidR="00115D7B" w:rsidRPr="001300A9" w:rsidRDefault="00115D7B" w:rsidP="00643C74">
            <w:pPr>
              <w:spacing w:after="0"/>
              <w:rPr>
                <w:rFonts w:ascii="Times New Roman" w:hAnsi="Times New Roman" w:cs="Times New Roman"/>
              </w:rPr>
            </w:pPr>
          </w:p>
          <w:p w14:paraId="138BD15D" w14:textId="77777777" w:rsidR="00115D7B" w:rsidRPr="001300A9" w:rsidRDefault="00115D7B" w:rsidP="00643C74">
            <w:pPr>
              <w:spacing w:after="0"/>
              <w:rPr>
                <w:rFonts w:ascii="Times New Roman" w:hAnsi="Times New Roman" w:cs="Times New Roman"/>
              </w:rPr>
            </w:pPr>
          </w:p>
          <w:p w14:paraId="6846B4CE" w14:textId="77777777" w:rsidR="00115D7B" w:rsidRPr="001300A9" w:rsidRDefault="00115D7B" w:rsidP="00643C74">
            <w:pPr>
              <w:spacing w:after="0"/>
              <w:rPr>
                <w:rFonts w:ascii="Times New Roman" w:hAnsi="Times New Roman" w:cs="Times New Roman"/>
              </w:rPr>
            </w:pPr>
          </w:p>
          <w:p w14:paraId="5774D6DC" w14:textId="77777777" w:rsidR="00115D7B" w:rsidRPr="001300A9" w:rsidRDefault="00115D7B" w:rsidP="00643C74">
            <w:pPr>
              <w:spacing w:after="0"/>
              <w:rPr>
                <w:rFonts w:ascii="Times New Roman" w:hAnsi="Times New Roman" w:cs="Times New Roman"/>
              </w:rPr>
            </w:pPr>
          </w:p>
          <w:p w14:paraId="6260518A" w14:textId="77777777" w:rsidR="00115D7B" w:rsidRPr="001300A9" w:rsidRDefault="00115D7B" w:rsidP="00643C74">
            <w:pPr>
              <w:spacing w:after="0"/>
              <w:rPr>
                <w:rFonts w:ascii="Times New Roman" w:hAnsi="Times New Roman" w:cs="Times New Roman"/>
              </w:rPr>
            </w:pPr>
          </w:p>
          <w:p w14:paraId="3B82E75A" w14:textId="77777777" w:rsidR="00115D7B" w:rsidRPr="001300A9" w:rsidRDefault="00115D7B" w:rsidP="00643C74">
            <w:pPr>
              <w:spacing w:after="0"/>
              <w:rPr>
                <w:rFonts w:ascii="Times New Roman" w:hAnsi="Times New Roman" w:cs="Times New Roman"/>
              </w:rPr>
            </w:pPr>
          </w:p>
          <w:p w14:paraId="10761CBA" w14:textId="77777777" w:rsidR="00115D7B" w:rsidRPr="001300A9" w:rsidRDefault="00115D7B" w:rsidP="00643C74">
            <w:pPr>
              <w:spacing w:after="0"/>
              <w:rPr>
                <w:rFonts w:ascii="Times New Roman" w:hAnsi="Times New Roman" w:cs="Times New Roman"/>
              </w:rPr>
            </w:pPr>
          </w:p>
          <w:p w14:paraId="00C9CF43" w14:textId="77777777" w:rsidR="00115D7B" w:rsidRPr="001300A9" w:rsidRDefault="00115D7B" w:rsidP="00643C74">
            <w:pPr>
              <w:spacing w:after="0"/>
              <w:rPr>
                <w:rFonts w:ascii="Times New Roman" w:hAnsi="Times New Roman" w:cs="Times New Roman"/>
              </w:rPr>
            </w:pPr>
          </w:p>
          <w:p w14:paraId="5EA3E088" w14:textId="77777777" w:rsidR="00115D7B" w:rsidRPr="001300A9" w:rsidRDefault="00115D7B" w:rsidP="00643C74">
            <w:pPr>
              <w:spacing w:after="0"/>
              <w:rPr>
                <w:rFonts w:ascii="Times New Roman" w:hAnsi="Times New Roman" w:cs="Times New Roman"/>
              </w:rPr>
            </w:pPr>
          </w:p>
          <w:p w14:paraId="5020AF9E" w14:textId="77777777" w:rsidR="00115D7B" w:rsidRPr="001300A9" w:rsidRDefault="00115D7B" w:rsidP="00643C74">
            <w:pPr>
              <w:spacing w:after="0"/>
              <w:rPr>
                <w:rFonts w:ascii="Times New Roman" w:hAnsi="Times New Roman" w:cs="Times New Roman"/>
              </w:rPr>
            </w:pPr>
          </w:p>
          <w:p w14:paraId="016C2EE0" w14:textId="77777777" w:rsidR="00115D7B" w:rsidRPr="001300A9" w:rsidRDefault="00115D7B" w:rsidP="00643C74">
            <w:pPr>
              <w:spacing w:after="0"/>
              <w:rPr>
                <w:rFonts w:ascii="Times New Roman" w:hAnsi="Times New Roman" w:cs="Times New Roman"/>
              </w:rPr>
            </w:pPr>
          </w:p>
          <w:p w14:paraId="2872DDEE" w14:textId="77777777" w:rsidR="00115D7B" w:rsidRPr="001300A9" w:rsidRDefault="00115D7B" w:rsidP="00643C74">
            <w:pPr>
              <w:spacing w:after="0"/>
              <w:rPr>
                <w:rFonts w:ascii="Times New Roman" w:hAnsi="Times New Roman" w:cs="Times New Roman"/>
              </w:rPr>
            </w:pPr>
          </w:p>
          <w:p w14:paraId="1D26B892" w14:textId="77777777" w:rsidR="00115D7B" w:rsidRPr="001300A9" w:rsidRDefault="00115D7B" w:rsidP="00643C74">
            <w:pPr>
              <w:spacing w:after="0"/>
              <w:rPr>
                <w:rFonts w:ascii="Times New Roman" w:hAnsi="Times New Roman" w:cs="Times New Roman"/>
              </w:rPr>
            </w:pPr>
          </w:p>
          <w:p w14:paraId="5D760CA1" w14:textId="77777777" w:rsidR="00115D7B" w:rsidRPr="001300A9" w:rsidRDefault="00115D7B" w:rsidP="00643C74">
            <w:pPr>
              <w:spacing w:after="0"/>
              <w:rPr>
                <w:rFonts w:ascii="Times New Roman" w:hAnsi="Times New Roman" w:cs="Times New Roman"/>
              </w:rPr>
            </w:pPr>
          </w:p>
          <w:p w14:paraId="70D3AA53" w14:textId="77777777" w:rsidR="00115D7B" w:rsidRPr="001300A9" w:rsidRDefault="00115D7B" w:rsidP="00643C74">
            <w:pPr>
              <w:spacing w:after="0"/>
              <w:rPr>
                <w:rFonts w:ascii="Times New Roman" w:hAnsi="Times New Roman" w:cs="Times New Roman"/>
              </w:rPr>
            </w:pPr>
          </w:p>
          <w:p w14:paraId="675D84D3" w14:textId="77777777" w:rsidR="00115D7B" w:rsidRPr="001300A9" w:rsidRDefault="00115D7B" w:rsidP="00643C74">
            <w:pPr>
              <w:spacing w:after="0"/>
              <w:rPr>
                <w:rFonts w:ascii="Times New Roman" w:hAnsi="Times New Roman" w:cs="Times New Roman"/>
              </w:rPr>
            </w:pPr>
          </w:p>
          <w:p w14:paraId="474AB4A8" w14:textId="77777777" w:rsidR="00115D7B" w:rsidRPr="001300A9" w:rsidRDefault="00115D7B" w:rsidP="00643C74">
            <w:pPr>
              <w:spacing w:after="0"/>
              <w:rPr>
                <w:rFonts w:ascii="Times New Roman" w:hAnsi="Times New Roman" w:cs="Times New Roman"/>
              </w:rPr>
            </w:pPr>
          </w:p>
          <w:p w14:paraId="0BB26490" w14:textId="77777777" w:rsidR="00115D7B" w:rsidRPr="001300A9" w:rsidRDefault="00115D7B" w:rsidP="00643C74">
            <w:pPr>
              <w:spacing w:after="0"/>
              <w:rPr>
                <w:rFonts w:ascii="Times New Roman" w:hAnsi="Times New Roman" w:cs="Times New Roman"/>
              </w:rPr>
            </w:pPr>
          </w:p>
          <w:p w14:paraId="0DB6D2EB" w14:textId="77777777" w:rsidR="00115D7B" w:rsidRPr="001300A9" w:rsidRDefault="00115D7B" w:rsidP="00643C74">
            <w:pPr>
              <w:spacing w:after="0"/>
              <w:rPr>
                <w:rFonts w:ascii="Times New Roman" w:hAnsi="Times New Roman" w:cs="Times New Roman"/>
              </w:rPr>
            </w:pPr>
          </w:p>
          <w:p w14:paraId="046A748F" w14:textId="77777777" w:rsidR="00115D7B" w:rsidRPr="001300A9" w:rsidRDefault="00115D7B" w:rsidP="00643C74">
            <w:pPr>
              <w:spacing w:after="0"/>
              <w:rPr>
                <w:rFonts w:ascii="Times New Roman" w:hAnsi="Times New Roman" w:cs="Times New Roman"/>
              </w:rPr>
            </w:pPr>
          </w:p>
          <w:p w14:paraId="22E7352B" w14:textId="77777777" w:rsidR="00115D7B" w:rsidRPr="001300A9" w:rsidRDefault="00115D7B" w:rsidP="00643C74">
            <w:pPr>
              <w:spacing w:after="0"/>
              <w:rPr>
                <w:rFonts w:ascii="Times New Roman" w:hAnsi="Times New Roman" w:cs="Times New Roman"/>
              </w:rPr>
            </w:pPr>
          </w:p>
          <w:p w14:paraId="6F885A99" w14:textId="77777777" w:rsidR="00115D7B" w:rsidRPr="001300A9" w:rsidRDefault="00115D7B" w:rsidP="00643C74">
            <w:pPr>
              <w:spacing w:after="0"/>
              <w:rPr>
                <w:rFonts w:ascii="Times New Roman" w:hAnsi="Times New Roman" w:cs="Times New Roman"/>
              </w:rPr>
            </w:pPr>
          </w:p>
          <w:p w14:paraId="2A438941" w14:textId="77777777" w:rsidR="00115D7B" w:rsidRPr="001300A9" w:rsidRDefault="00115D7B" w:rsidP="00643C74">
            <w:pPr>
              <w:spacing w:after="0"/>
              <w:rPr>
                <w:rFonts w:ascii="Times New Roman" w:hAnsi="Times New Roman" w:cs="Times New Roman"/>
              </w:rPr>
            </w:pPr>
          </w:p>
          <w:p w14:paraId="0D47D291" w14:textId="77777777" w:rsidR="00115D7B" w:rsidRPr="001300A9" w:rsidRDefault="00115D7B" w:rsidP="00643C74">
            <w:pPr>
              <w:spacing w:after="0"/>
              <w:rPr>
                <w:rFonts w:ascii="Times New Roman" w:hAnsi="Times New Roman" w:cs="Times New Roman"/>
              </w:rPr>
            </w:pPr>
          </w:p>
          <w:p w14:paraId="37981C56" w14:textId="77777777" w:rsidR="00115D7B" w:rsidRPr="001300A9" w:rsidRDefault="00115D7B" w:rsidP="00643C74">
            <w:pPr>
              <w:spacing w:after="0"/>
              <w:rPr>
                <w:rFonts w:ascii="Times New Roman" w:hAnsi="Times New Roman" w:cs="Times New Roman"/>
              </w:rPr>
            </w:pPr>
          </w:p>
          <w:p w14:paraId="1BA0272B" w14:textId="77777777" w:rsidR="00115D7B" w:rsidRPr="001300A9" w:rsidRDefault="00115D7B" w:rsidP="00643C74">
            <w:pPr>
              <w:spacing w:after="0"/>
              <w:rPr>
                <w:rFonts w:ascii="Times New Roman" w:hAnsi="Times New Roman" w:cs="Times New Roman"/>
              </w:rPr>
            </w:pPr>
          </w:p>
          <w:p w14:paraId="4F1DDFFA" w14:textId="77777777" w:rsidR="00115D7B" w:rsidRPr="001300A9" w:rsidRDefault="00115D7B" w:rsidP="00643C74">
            <w:pPr>
              <w:spacing w:after="0"/>
              <w:rPr>
                <w:rFonts w:ascii="Times New Roman" w:hAnsi="Times New Roman" w:cs="Times New Roman"/>
              </w:rPr>
            </w:pPr>
          </w:p>
          <w:p w14:paraId="035E354F" w14:textId="77777777" w:rsidR="00115D7B" w:rsidRPr="001300A9" w:rsidRDefault="00115D7B" w:rsidP="00643C74">
            <w:pPr>
              <w:spacing w:after="0"/>
              <w:rPr>
                <w:rFonts w:ascii="Times New Roman" w:hAnsi="Times New Roman" w:cs="Times New Roman"/>
              </w:rPr>
            </w:pPr>
          </w:p>
          <w:p w14:paraId="550B0996" w14:textId="77777777" w:rsidR="00115D7B" w:rsidRPr="001300A9" w:rsidRDefault="00115D7B" w:rsidP="00643C74">
            <w:pPr>
              <w:spacing w:after="0"/>
              <w:rPr>
                <w:rFonts w:ascii="Times New Roman" w:hAnsi="Times New Roman" w:cs="Times New Roman"/>
              </w:rPr>
            </w:pPr>
          </w:p>
          <w:p w14:paraId="5A7383FE" w14:textId="77777777" w:rsidR="00115D7B" w:rsidRPr="001300A9" w:rsidRDefault="00115D7B" w:rsidP="00643C74">
            <w:pPr>
              <w:spacing w:after="0"/>
              <w:rPr>
                <w:rFonts w:ascii="Times New Roman" w:hAnsi="Times New Roman" w:cs="Times New Roman"/>
              </w:rPr>
            </w:pPr>
          </w:p>
          <w:p w14:paraId="192D13BD" w14:textId="77777777" w:rsidR="00115D7B" w:rsidRPr="001300A9" w:rsidRDefault="00115D7B" w:rsidP="00643C74">
            <w:pPr>
              <w:spacing w:after="0"/>
              <w:rPr>
                <w:rFonts w:ascii="Times New Roman" w:hAnsi="Times New Roman" w:cs="Times New Roman"/>
              </w:rPr>
            </w:pPr>
          </w:p>
          <w:p w14:paraId="49A119DE" w14:textId="77777777" w:rsidR="00115D7B" w:rsidRPr="001300A9" w:rsidRDefault="00115D7B" w:rsidP="00643C74">
            <w:pPr>
              <w:spacing w:after="0"/>
              <w:rPr>
                <w:rFonts w:ascii="Times New Roman" w:hAnsi="Times New Roman" w:cs="Times New Roman"/>
              </w:rPr>
            </w:pPr>
          </w:p>
          <w:p w14:paraId="39DB8D5C" w14:textId="77777777" w:rsidR="00115D7B" w:rsidRPr="001300A9" w:rsidRDefault="00115D7B" w:rsidP="00643C74">
            <w:pPr>
              <w:spacing w:after="0"/>
              <w:rPr>
                <w:rFonts w:ascii="Times New Roman" w:hAnsi="Times New Roman" w:cs="Times New Roman"/>
              </w:rPr>
            </w:pPr>
          </w:p>
          <w:p w14:paraId="1C012F97" w14:textId="77777777" w:rsidR="00115D7B" w:rsidRPr="001300A9" w:rsidRDefault="00115D7B" w:rsidP="00643C74">
            <w:pPr>
              <w:spacing w:after="0"/>
              <w:rPr>
                <w:rFonts w:ascii="Times New Roman" w:hAnsi="Times New Roman" w:cs="Times New Roman"/>
              </w:rPr>
            </w:pPr>
          </w:p>
          <w:p w14:paraId="223902DD" w14:textId="77777777" w:rsidR="00115D7B" w:rsidRPr="001300A9" w:rsidRDefault="00115D7B" w:rsidP="00643C74">
            <w:pPr>
              <w:spacing w:after="0"/>
              <w:rPr>
                <w:rFonts w:ascii="Times New Roman" w:hAnsi="Times New Roman" w:cs="Times New Roman"/>
              </w:rPr>
            </w:pPr>
          </w:p>
          <w:p w14:paraId="3F3ED967" w14:textId="77777777" w:rsidR="00115D7B" w:rsidRPr="001300A9" w:rsidRDefault="00115D7B" w:rsidP="00643C74">
            <w:pPr>
              <w:spacing w:after="0"/>
              <w:rPr>
                <w:rFonts w:ascii="Times New Roman" w:hAnsi="Times New Roman" w:cs="Times New Roman"/>
              </w:rPr>
            </w:pPr>
          </w:p>
          <w:p w14:paraId="1CE8E83A" w14:textId="77777777" w:rsidR="00115D7B" w:rsidRPr="001300A9" w:rsidRDefault="00115D7B" w:rsidP="00643C74">
            <w:pPr>
              <w:spacing w:after="0"/>
              <w:rPr>
                <w:rFonts w:ascii="Times New Roman" w:hAnsi="Times New Roman" w:cs="Times New Roman"/>
              </w:rPr>
            </w:pPr>
          </w:p>
          <w:p w14:paraId="5EF630BC" w14:textId="77777777" w:rsidR="00115D7B" w:rsidRPr="001300A9" w:rsidRDefault="00115D7B" w:rsidP="00643C74">
            <w:pPr>
              <w:spacing w:after="0"/>
              <w:rPr>
                <w:rFonts w:ascii="Times New Roman" w:hAnsi="Times New Roman" w:cs="Times New Roman"/>
              </w:rPr>
            </w:pPr>
          </w:p>
          <w:p w14:paraId="31E09FA5" w14:textId="77777777" w:rsidR="00115D7B" w:rsidRPr="001300A9" w:rsidRDefault="00115D7B" w:rsidP="00643C74">
            <w:pPr>
              <w:spacing w:after="0"/>
              <w:rPr>
                <w:rFonts w:ascii="Times New Roman" w:hAnsi="Times New Roman" w:cs="Times New Roman"/>
              </w:rPr>
            </w:pPr>
          </w:p>
          <w:p w14:paraId="29E79967" w14:textId="77777777" w:rsidR="00115D7B" w:rsidRPr="001300A9" w:rsidRDefault="00115D7B" w:rsidP="00643C74">
            <w:pPr>
              <w:spacing w:after="0"/>
              <w:rPr>
                <w:rFonts w:ascii="Times New Roman" w:hAnsi="Times New Roman" w:cs="Times New Roman"/>
              </w:rPr>
            </w:pPr>
          </w:p>
          <w:p w14:paraId="2C36D2BE" w14:textId="77777777" w:rsidR="00115D7B" w:rsidRPr="001300A9" w:rsidRDefault="00115D7B" w:rsidP="00643C74">
            <w:pPr>
              <w:spacing w:after="0"/>
              <w:rPr>
                <w:rFonts w:ascii="Times New Roman" w:hAnsi="Times New Roman" w:cs="Times New Roman"/>
              </w:rPr>
            </w:pPr>
          </w:p>
          <w:p w14:paraId="7801AC82" w14:textId="77777777" w:rsidR="00115D7B" w:rsidRPr="001300A9" w:rsidRDefault="00115D7B" w:rsidP="00643C74">
            <w:pPr>
              <w:spacing w:after="0"/>
              <w:rPr>
                <w:rFonts w:ascii="Times New Roman" w:hAnsi="Times New Roman" w:cs="Times New Roman"/>
              </w:rPr>
            </w:pPr>
          </w:p>
          <w:p w14:paraId="0FF6DA0A" w14:textId="77777777" w:rsidR="00115D7B" w:rsidRPr="001300A9" w:rsidRDefault="00115D7B" w:rsidP="00643C74">
            <w:pPr>
              <w:spacing w:after="0"/>
              <w:rPr>
                <w:rFonts w:ascii="Times New Roman" w:hAnsi="Times New Roman" w:cs="Times New Roman"/>
              </w:rPr>
            </w:pPr>
          </w:p>
          <w:p w14:paraId="7BD04F56" w14:textId="77777777" w:rsidR="00115D7B" w:rsidRPr="001300A9" w:rsidRDefault="00115D7B" w:rsidP="00643C74">
            <w:pPr>
              <w:spacing w:after="0"/>
              <w:rPr>
                <w:rFonts w:ascii="Times New Roman" w:hAnsi="Times New Roman" w:cs="Times New Roman"/>
              </w:rPr>
            </w:pPr>
          </w:p>
          <w:p w14:paraId="3C26F006" w14:textId="77777777" w:rsidR="00115D7B" w:rsidRPr="001300A9" w:rsidRDefault="00115D7B" w:rsidP="00643C74">
            <w:pPr>
              <w:spacing w:after="0"/>
              <w:rPr>
                <w:rFonts w:ascii="Times New Roman" w:hAnsi="Times New Roman" w:cs="Times New Roman"/>
              </w:rPr>
            </w:pPr>
          </w:p>
          <w:p w14:paraId="046B6027" w14:textId="77777777" w:rsidR="00115D7B" w:rsidRPr="001300A9" w:rsidRDefault="00115D7B" w:rsidP="00643C74">
            <w:pPr>
              <w:spacing w:after="0"/>
              <w:rPr>
                <w:rFonts w:ascii="Times New Roman" w:hAnsi="Times New Roman" w:cs="Times New Roman"/>
              </w:rPr>
            </w:pPr>
          </w:p>
          <w:p w14:paraId="1087210C" w14:textId="77777777" w:rsidR="00115D7B" w:rsidRPr="001300A9" w:rsidRDefault="00115D7B" w:rsidP="00643C74">
            <w:pPr>
              <w:spacing w:after="0"/>
              <w:rPr>
                <w:rFonts w:ascii="Times New Roman" w:hAnsi="Times New Roman" w:cs="Times New Roman"/>
              </w:rPr>
            </w:pPr>
          </w:p>
          <w:p w14:paraId="72FA6CD3" w14:textId="77777777" w:rsidR="00115D7B" w:rsidRPr="001300A9" w:rsidRDefault="00115D7B" w:rsidP="00643C74">
            <w:pPr>
              <w:spacing w:after="0"/>
              <w:rPr>
                <w:rFonts w:ascii="Times New Roman" w:hAnsi="Times New Roman" w:cs="Times New Roman"/>
              </w:rPr>
            </w:pPr>
          </w:p>
          <w:p w14:paraId="55461FE9" w14:textId="77777777" w:rsidR="00115D7B" w:rsidRPr="001300A9" w:rsidRDefault="00115D7B" w:rsidP="00643C74">
            <w:pPr>
              <w:spacing w:after="0"/>
              <w:rPr>
                <w:rFonts w:ascii="Times New Roman" w:hAnsi="Times New Roman" w:cs="Times New Roman"/>
              </w:rPr>
            </w:pPr>
          </w:p>
          <w:p w14:paraId="6C635324" w14:textId="77777777" w:rsidR="00115D7B" w:rsidRPr="001300A9" w:rsidRDefault="00115D7B" w:rsidP="00643C74">
            <w:pPr>
              <w:spacing w:after="0"/>
              <w:rPr>
                <w:rFonts w:ascii="Times New Roman" w:hAnsi="Times New Roman" w:cs="Times New Roman"/>
              </w:rPr>
            </w:pPr>
          </w:p>
          <w:p w14:paraId="0244AEBE" w14:textId="77777777" w:rsidR="00115D7B" w:rsidRPr="001300A9" w:rsidRDefault="00115D7B" w:rsidP="00643C74">
            <w:pPr>
              <w:spacing w:after="0"/>
              <w:rPr>
                <w:rFonts w:ascii="Times New Roman" w:hAnsi="Times New Roman" w:cs="Times New Roman"/>
              </w:rPr>
            </w:pPr>
          </w:p>
          <w:p w14:paraId="625ECCED" w14:textId="77777777" w:rsidR="00115D7B" w:rsidRPr="001300A9" w:rsidRDefault="00115D7B" w:rsidP="00643C74">
            <w:pPr>
              <w:spacing w:after="0"/>
              <w:rPr>
                <w:rFonts w:ascii="Times New Roman" w:hAnsi="Times New Roman" w:cs="Times New Roman"/>
              </w:rPr>
            </w:pPr>
          </w:p>
          <w:p w14:paraId="178C3300" w14:textId="77777777" w:rsidR="00115D7B" w:rsidRPr="001300A9" w:rsidRDefault="00115D7B" w:rsidP="00643C74">
            <w:pPr>
              <w:spacing w:after="0"/>
              <w:rPr>
                <w:rFonts w:ascii="Times New Roman" w:hAnsi="Times New Roman" w:cs="Times New Roman"/>
              </w:rPr>
            </w:pPr>
          </w:p>
          <w:p w14:paraId="5CD56E52" w14:textId="77777777" w:rsidR="00115D7B" w:rsidRPr="001300A9" w:rsidRDefault="00115D7B" w:rsidP="00643C74">
            <w:pPr>
              <w:spacing w:after="0"/>
              <w:rPr>
                <w:rFonts w:ascii="Times New Roman" w:hAnsi="Times New Roman" w:cs="Times New Roman"/>
              </w:rPr>
            </w:pPr>
          </w:p>
          <w:p w14:paraId="35CF0C56" w14:textId="77777777" w:rsidR="00115D7B" w:rsidRPr="001300A9" w:rsidRDefault="00115D7B" w:rsidP="00643C74">
            <w:pPr>
              <w:spacing w:after="0"/>
              <w:rPr>
                <w:rFonts w:ascii="Times New Roman" w:hAnsi="Times New Roman" w:cs="Times New Roman"/>
              </w:rPr>
            </w:pPr>
          </w:p>
          <w:p w14:paraId="50C812A3" w14:textId="77777777" w:rsidR="00115D7B" w:rsidRPr="001300A9" w:rsidRDefault="00115D7B" w:rsidP="00643C74">
            <w:pPr>
              <w:spacing w:after="0"/>
              <w:rPr>
                <w:rFonts w:ascii="Times New Roman" w:hAnsi="Times New Roman" w:cs="Times New Roman"/>
              </w:rPr>
            </w:pPr>
          </w:p>
          <w:p w14:paraId="10E8733C" w14:textId="77777777" w:rsidR="00115D7B" w:rsidRPr="001300A9" w:rsidRDefault="00115D7B" w:rsidP="00643C74">
            <w:pPr>
              <w:spacing w:after="0"/>
              <w:rPr>
                <w:rFonts w:ascii="Times New Roman" w:hAnsi="Times New Roman" w:cs="Times New Roman"/>
              </w:rPr>
            </w:pPr>
          </w:p>
          <w:p w14:paraId="5BF837F8" w14:textId="77777777" w:rsidR="00115D7B" w:rsidRPr="001300A9" w:rsidRDefault="00115D7B" w:rsidP="00643C74">
            <w:pPr>
              <w:spacing w:after="0"/>
              <w:rPr>
                <w:rFonts w:ascii="Times New Roman" w:hAnsi="Times New Roman" w:cs="Times New Roman"/>
              </w:rPr>
            </w:pPr>
          </w:p>
          <w:p w14:paraId="6AB5ECB0" w14:textId="77777777" w:rsidR="00115D7B" w:rsidRPr="001300A9" w:rsidRDefault="00115D7B" w:rsidP="00643C74">
            <w:pPr>
              <w:spacing w:after="0"/>
              <w:rPr>
                <w:rFonts w:ascii="Times New Roman" w:hAnsi="Times New Roman" w:cs="Times New Roman"/>
              </w:rPr>
            </w:pPr>
          </w:p>
          <w:p w14:paraId="7C1449DC" w14:textId="77777777" w:rsidR="00115D7B" w:rsidRPr="001300A9" w:rsidRDefault="00115D7B" w:rsidP="00643C74">
            <w:pPr>
              <w:spacing w:after="0"/>
              <w:rPr>
                <w:rFonts w:ascii="Times New Roman" w:hAnsi="Times New Roman" w:cs="Times New Roman"/>
              </w:rPr>
            </w:pPr>
          </w:p>
          <w:p w14:paraId="29CEAD4D" w14:textId="77777777" w:rsidR="00115D7B" w:rsidRPr="001300A9" w:rsidRDefault="00115D7B" w:rsidP="00643C74">
            <w:pPr>
              <w:spacing w:after="0"/>
              <w:rPr>
                <w:rFonts w:ascii="Times New Roman" w:hAnsi="Times New Roman" w:cs="Times New Roman"/>
              </w:rPr>
            </w:pPr>
          </w:p>
          <w:p w14:paraId="0DFAE643" w14:textId="77777777" w:rsidR="00115D7B" w:rsidRPr="001300A9" w:rsidRDefault="00115D7B" w:rsidP="00643C74">
            <w:pPr>
              <w:spacing w:after="0"/>
              <w:rPr>
                <w:rFonts w:ascii="Times New Roman" w:hAnsi="Times New Roman" w:cs="Times New Roman"/>
              </w:rPr>
            </w:pPr>
          </w:p>
          <w:p w14:paraId="25460033" w14:textId="77777777" w:rsidR="00115D7B" w:rsidRPr="001300A9" w:rsidRDefault="00115D7B" w:rsidP="00643C74">
            <w:pPr>
              <w:spacing w:after="0"/>
              <w:rPr>
                <w:rFonts w:ascii="Times New Roman" w:hAnsi="Times New Roman" w:cs="Times New Roman"/>
              </w:rPr>
            </w:pPr>
          </w:p>
          <w:p w14:paraId="6AD8549E" w14:textId="77777777" w:rsidR="00115D7B" w:rsidRPr="001300A9" w:rsidRDefault="00115D7B" w:rsidP="00643C74">
            <w:pPr>
              <w:spacing w:after="0"/>
              <w:rPr>
                <w:rFonts w:ascii="Times New Roman" w:hAnsi="Times New Roman" w:cs="Times New Roman"/>
              </w:rPr>
            </w:pPr>
          </w:p>
          <w:p w14:paraId="2A7F26AF" w14:textId="77777777" w:rsidR="00115D7B" w:rsidRPr="001300A9" w:rsidRDefault="00115D7B" w:rsidP="00643C74">
            <w:pPr>
              <w:spacing w:after="0"/>
              <w:rPr>
                <w:rFonts w:ascii="Times New Roman" w:hAnsi="Times New Roman" w:cs="Times New Roman"/>
              </w:rPr>
            </w:pPr>
          </w:p>
          <w:p w14:paraId="584BFBFC" w14:textId="77777777" w:rsidR="00115D7B" w:rsidRPr="001300A9" w:rsidRDefault="00115D7B" w:rsidP="00643C74">
            <w:pPr>
              <w:spacing w:after="0"/>
              <w:rPr>
                <w:rFonts w:ascii="Times New Roman" w:hAnsi="Times New Roman" w:cs="Times New Roman"/>
              </w:rPr>
            </w:pPr>
          </w:p>
          <w:p w14:paraId="33E89F6D" w14:textId="77777777" w:rsidR="00115D7B" w:rsidRPr="001300A9" w:rsidRDefault="00115D7B" w:rsidP="00643C74">
            <w:pPr>
              <w:spacing w:after="0"/>
              <w:rPr>
                <w:rFonts w:ascii="Times New Roman" w:hAnsi="Times New Roman" w:cs="Times New Roman"/>
              </w:rPr>
            </w:pPr>
          </w:p>
          <w:p w14:paraId="693B0A0C" w14:textId="77777777" w:rsidR="00115D7B" w:rsidRPr="001300A9" w:rsidRDefault="00115D7B" w:rsidP="00643C74">
            <w:pPr>
              <w:spacing w:after="0"/>
              <w:rPr>
                <w:rFonts w:ascii="Times New Roman" w:hAnsi="Times New Roman" w:cs="Times New Roman"/>
              </w:rPr>
            </w:pPr>
          </w:p>
          <w:p w14:paraId="4BE96E9B" w14:textId="77777777" w:rsidR="00115D7B" w:rsidRPr="001300A9" w:rsidRDefault="00115D7B" w:rsidP="00643C74">
            <w:pPr>
              <w:spacing w:after="0"/>
              <w:rPr>
                <w:rFonts w:ascii="Times New Roman" w:hAnsi="Times New Roman" w:cs="Times New Roman"/>
              </w:rPr>
            </w:pPr>
          </w:p>
          <w:p w14:paraId="5743C737" w14:textId="77777777" w:rsidR="00115D7B" w:rsidRPr="001300A9" w:rsidRDefault="00115D7B" w:rsidP="00643C74">
            <w:pPr>
              <w:spacing w:after="0"/>
              <w:rPr>
                <w:rFonts w:ascii="Times New Roman" w:hAnsi="Times New Roman" w:cs="Times New Roman"/>
              </w:rPr>
            </w:pPr>
          </w:p>
          <w:p w14:paraId="19876DCB" w14:textId="77777777" w:rsidR="00115D7B" w:rsidRPr="001300A9" w:rsidRDefault="00115D7B" w:rsidP="00643C74">
            <w:pPr>
              <w:spacing w:after="0"/>
              <w:rPr>
                <w:rFonts w:ascii="Times New Roman" w:hAnsi="Times New Roman" w:cs="Times New Roman"/>
              </w:rPr>
            </w:pPr>
          </w:p>
          <w:p w14:paraId="3B076A4B" w14:textId="77777777" w:rsidR="00115D7B" w:rsidRPr="001300A9" w:rsidRDefault="00115D7B" w:rsidP="00115D7B">
            <w:pPr>
              <w:spacing w:after="0"/>
              <w:rPr>
                <w:rFonts w:ascii="Times New Roman" w:hAnsi="Times New Roman" w:cs="Times New Roman"/>
              </w:rPr>
            </w:pPr>
          </w:p>
          <w:p w14:paraId="6C0FCC87" w14:textId="77777777" w:rsidR="00115D7B" w:rsidRPr="001300A9" w:rsidRDefault="00115D7B" w:rsidP="00115D7B">
            <w:pPr>
              <w:spacing w:after="0"/>
              <w:rPr>
                <w:rFonts w:ascii="Times New Roman" w:hAnsi="Times New Roman" w:cs="Times New Roman"/>
              </w:rPr>
            </w:pPr>
          </w:p>
          <w:p w14:paraId="17E5C08E" w14:textId="77777777" w:rsidR="00115D7B" w:rsidRPr="001300A9" w:rsidRDefault="00115D7B" w:rsidP="00115D7B">
            <w:pPr>
              <w:spacing w:after="0"/>
              <w:rPr>
                <w:rFonts w:ascii="Times New Roman" w:hAnsi="Times New Roman" w:cs="Times New Roman"/>
              </w:rPr>
            </w:pPr>
          </w:p>
          <w:p w14:paraId="24CCFAFA" w14:textId="77777777" w:rsidR="00115D7B" w:rsidRPr="001300A9" w:rsidRDefault="00115D7B" w:rsidP="00115D7B">
            <w:pPr>
              <w:spacing w:after="0"/>
              <w:rPr>
                <w:rFonts w:ascii="Times New Roman" w:hAnsi="Times New Roman" w:cs="Times New Roman"/>
              </w:rPr>
            </w:pPr>
          </w:p>
          <w:p w14:paraId="308544F6" w14:textId="77777777" w:rsidR="00115D7B" w:rsidRPr="001300A9" w:rsidRDefault="00115D7B" w:rsidP="00115D7B">
            <w:pPr>
              <w:spacing w:after="0"/>
              <w:rPr>
                <w:rFonts w:ascii="Times New Roman" w:hAnsi="Times New Roman" w:cs="Times New Roman"/>
              </w:rPr>
            </w:pPr>
          </w:p>
          <w:p w14:paraId="120E257E" w14:textId="77777777" w:rsidR="00115D7B" w:rsidRPr="001300A9" w:rsidRDefault="00115D7B" w:rsidP="00115D7B">
            <w:pPr>
              <w:spacing w:after="0"/>
              <w:rPr>
                <w:rFonts w:ascii="Times New Roman" w:hAnsi="Times New Roman" w:cs="Times New Roman"/>
              </w:rPr>
            </w:pPr>
          </w:p>
          <w:p w14:paraId="622493DF" w14:textId="77777777" w:rsidR="00115D7B" w:rsidRPr="001300A9" w:rsidRDefault="00115D7B" w:rsidP="00115D7B">
            <w:pPr>
              <w:spacing w:after="0"/>
              <w:rPr>
                <w:rFonts w:ascii="Times New Roman" w:hAnsi="Times New Roman" w:cs="Times New Roman"/>
              </w:rPr>
            </w:pPr>
          </w:p>
          <w:p w14:paraId="1A5D41CD" w14:textId="77777777" w:rsidR="00115D7B" w:rsidRPr="001300A9" w:rsidRDefault="00115D7B" w:rsidP="00115D7B">
            <w:pPr>
              <w:spacing w:after="0"/>
              <w:rPr>
                <w:rFonts w:ascii="Times New Roman" w:hAnsi="Times New Roman" w:cs="Times New Roman"/>
              </w:rPr>
            </w:pPr>
          </w:p>
          <w:p w14:paraId="7B6691E6" w14:textId="77777777" w:rsidR="00115D7B" w:rsidRPr="001300A9" w:rsidRDefault="00115D7B" w:rsidP="00115D7B">
            <w:pPr>
              <w:spacing w:after="0"/>
              <w:rPr>
                <w:rFonts w:ascii="Times New Roman" w:hAnsi="Times New Roman" w:cs="Times New Roman"/>
              </w:rPr>
            </w:pPr>
          </w:p>
          <w:p w14:paraId="4F4B7ED1" w14:textId="77777777" w:rsidR="00115D7B" w:rsidRPr="001300A9" w:rsidRDefault="00115D7B" w:rsidP="00115D7B">
            <w:pPr>
              <w:spacing w:after="0"/>
              <w:rPr>
                <w:rFonts w:ascii="Times New Roman" w:hAnsi="Times New Roman" w:cs="Times New Roman"/>
              </w:rPr>
            </w:pPr>
          </w:p>
          <w:p w14:paraId="0981D6C4" w14:textId="77777777" w:rsidR="00115D7B" w:rsidRPr="001300A9" w:rsidRDefault="00115D7B" w:rsidP="00115D7B">
            <w:pPr>
              <w:spacing w:after="0"/>
              <w:rPr>
                <w:rFonts w:ascii="Times New Roman" w:hAnsi="Times New Roman" w:cs="Times New Roman"/>
              </w:rPr>
            </w:pPr>
          </w:p>
          <w:p w14:paraId="639E6416" w14:textId="05F2D1B8" w:rsidR="00730219" w:rsidRPr="001300A9" w:rsidRDefault="00730219" w:rsidP="5F673433">
            <w:pPr>
              <w:spacing w:after="0"/>
              <w:rPr>
                <w:rFonts w:ascii="Times New Roman" w:hAnsi="Times New Roman" w:cs="Times New Roman"/>
              </w:rPr>
            </w:pPr>
          </w:p>
          <w:p w14:paraId="11541751" w14:textId="60FA8C7E" w:rsidR="00115D7B" w:rsidRPr="001300A9" w:rsidRDefault="00417173" w:rsidP="00115D7B">
            <w:pPr>
              <w:spacing w:after="0"/>
              <w:rPr>
                <w:rFonts w:ascii="Times New Roman" w:hAnsi="Times New Roman" w:cs="Times New Roman"/>
              </w:rPr>
            </w:pPr>
            <w:r w:rsidRPr="001300A9">
              <w:rPr>
                <w:rFonts w:ascii="Times New Roman" w:hAnsi="Times New Roman" w:cs="Times New Roman"/>
              </w:rPr>
              <w:t>GP - N</w:t>
            </w:r>
          </w:p>
          <w:p w14:paraId="7B39A540" w14:textId="77777777" w:rsidR="00115D7B" w:rsidRPr="001300A9" w:rsidRDefault="00115D7B" w:rsidP="00115D7B">
            <w:pPr>
              <w:spacing w:after="0"/>
              <w:rPr>
                <w:rFonts w:ascii="Times New Roman" w:hAnsi="Times New Roman" w:cs="Times New Roman"/>
              </w:rPr>
            </w:pPr>
          </w:p>
          <w:p w14:paraId="37E1AFAD" w14:textId="77777777" w:rsidR="00115D7B" w:rsidRPr="001300A9" w:rsidRDefault="00115D7B" w:rsidP="00115D7B">
            <w:pPr>
              <w:spacing w:after="0"/>
              <w:rPr>
                <w:rFonts w:ascii="Times New Roman" w:hAnsi="Times New Roman" w:cs="Times New Roman"/>
              </w:rPr>
            </w:pPr>
          </w:p>
          <w:p w14:paraId="49E0FCC8" w14:textId="77777777" w:rsidR="00115D7B" w:rsidRPr="001300A9" w:rsidRDefault="00115D7B" w:rsidP="00115D7B">
            <w:pPr>
              <w:spacing w:after="0"/>
              <w:rPr>
                <w:rFonts w:ascii="Times New Roman" w:hAnsi="Times New Roman" w:cs="Times New Roman"/>
              </w:rPr>
            </w:pPr>
          </w:p>
          <w:p w14:paraId="73894B72" w14:textId="77777777" w:rsidR="00115D7B" w:rsidRPr="001300A9" w:rsidRDefault="00115D7B" w:rsidP="00115D7B">
            <w:pPr>
              <w:spacing w:after="0"/>
              <w:rPr>
                <w:rFonts w:ascii="Times New Roman" w:hAnsi="Times New Roman" w:cs="Times New Roman"/>
              </w:rPr>
            </w:pPr>
          </w:p>
          <w:p w14:paraId="726119E7" w14:textId="77777777" w:rsidR="00115D7B" w:rsidRPr="001300A9" w:rsidRDefault="00115D7B" w:rsidP="00115D7B">
            <w:pPr>
              <w:spacing w:after="0"/>
              <w:rPr>
                <w:rFonts w:ascii="Times New Roman" w:hAnsi="Times New Roman" w:cs="Times New Roman"/>
              </w:rPr>
            </w:pPr>
          </w:p>
          <w:p w14:paraId="31F678D6" w14:textId="77777777" w:rsidR="00115D7B" w:rsidRPr="001300A9" w:rsidRDefault="00115D7B" w:rsidP="00115D7B">
            <w:pPr>
              <w:spacing w:after="0"/>
              <w:rPr>
                <w:rFonts w:ascii="Times New Roman" w:hAnsi="Times New Roman" w:cs="Times New Roman"/>
              </w:rPr>
            </w:pPr>
          </w:p>
          <w:p w14:paraId="5DB7E535" w14:textId="77777777" w:rsidR="00115D7B" w:rsidRPr="001300A9" w:rsidRDefault="00115D7B" w:rsidP="00115D7B">
            <w:pPr>
              <w:spacing w:after="0"/>
              <w:rPr>
                <w:rFonts w:ascii="Times New Roman" w:hAnsi="Times New Roman" w:cs="Times New Roman"/>
              </w:rPr>
            </w:pPr>
          </w:p>
          <w:p w14:paraId="3C08D855" w14:textId="77777777" w:rsidR="00115D7B" w:rsidRPr="001300A9" w:rsidRDefault="00115D7B" w:rsidP="00115D7B">
            <w:pPr>
              <w:spacing w:after="0"/>
              <w:rPr>
                <w:rFonts w:ascii="Times New Roman" w:hAnsi="Times New Roman" w:cs="Times New Roman"/>
              </w:rPr>
            </w:pPr>
          </w:p>
          <w:p w14:paraId="0FD714E7" w14:textId="77777777" w:rsidR="00115D7B" w:rsidRPr="001300A9" w:rsidRDefault="00115D7B" w:rsidP="00115D7B">
            <w:pPr>
              <w:spacing w:after="0"/>
              <w:rPr>
                <w:rFonts w:ascii="Times New Roman" w:hAnsi="Times New Roman" w:cs="Times New Roman"/>
              </w:rPr>
            </w:pPr>
          </w:p>
          <w:p w14:paraId="26655BD5" w14:textId="77777777" w:rsidR="00115D7B" w:rsidRPr="001300A9" w:rsidRDefault="00115D7B" w:rsidP="00115D7B">
            <w:pPr>
              <w:spacing w:after="0"/>
              <w:rPr>
                <w:rFonts w:ascii="Times New Roman" w:hAnsi="Times New Roman" w:cs="Times New Roman"/>
              </w:rPr>
            </w:pPr>
          </w:p>
          <w:p w14:paraId="7AAB646E" w14:textId="77777777" w:rsidR="00115D7B" w:rsidRPr="001300A9" w:rsidRDefault="00115D7B" w:rsidP="00115D7B">
            <w:pPr>
              <w:spacing w:after="0"/>
              <w:rPr>
                <w:rFonts w:ascii="Times New Roman" w:hAnsi="Times New Roman" w:cs="Times New Roman"/>
              </w:rPr>
            </w:pPr>
          </w:p>
          <w:p w14:paraId="5B466F9B" w14:textId="77777777" w:rsidR="001560DE" w:rsidRPr="001300A9" w:rsidRDefault="001560DE" w:rsidP="00115D7B">
            <w:pPr>
              <w:spacing w:after="0"/>
              <w:rPr>
                <w:rFonts w:ascii="Times New Roman" w:hAnsi="Times New Roman" w:cs="Times New Roman"/>
              </w:rPr>
            </w:pPr>
          </w:p>
          <w:p w14:paraId="33F406B3" w14:textId="77777777" w:rsidR="00287825" w:rsidRDefault="00287825" w:rsidP="00115D7B">
            <w:pPr>
              <w:spacing w:after="0"/>
              <w:rPr>
                <w:rFonts w:ascii="Times New Roman" w:hAnsi="Times New Roman" w:cs="Times New Roman"/>
              </w:rPr>
            </w:pPr>
          </w:p>
          <w:p w14:paraId="34B81C91" w14:textId="550E63D2" w:rsidR="009D0AA1" w:rsidRDefault="009D0AA1" w:rsidP="5F673433">
            <w:pPr>
              <w:spacing w:after="0"/>
              <w:rPr>
                <w:rFonts w:ascii="Times New Roman" w:hAnsi="Times New Roman" w:cs="Times New Roman"/>
              </w:rPr>
            </w:pPr>
          </w:p>
          <w:p w14:paraId="52255ADA" w14:textId="1267D737" w:rsidR="00115D7B" w:rsidRPr="001300A9" w:rsidRDefault="00115D7B" w:rsidP="009D0AA1">
            <w:pPr>
              <w:spacing w:after="0" w:line="240" w:lineRule="auto"/>
              <w:rPr>
                <w:rFonts w:ascii="Times New Roman" w:hAnsi="Times New Roman" w:cs="Times New Roman"/>
              </w:rPr>
            </w:pPr>
            <w:r w:rsidRPr="001300A9">
              <w:rPr>
                <w:rFonts w:ascii="Times New Roman" w:hAnsi="Times New Roman" w:cs="Times New Roman"/>
              </w:rPr>
              <w:t>GP - N</w:t>
            </w:r>
          </w:p>
          <w:p w14:paraId="604A2465" w14:textId="77777777" w:rsidR="004A282B" w:rsidRPr="001300A9" w:rsidRDefault="004A282B" w:rsidP="009D0AA1">
            <w:pPr>
              <w:spacing w:after="0" w:line="240" w:lineRule="auto"/>
              <w:rPr>
                <w:rFonts w:ascii="Times New Roman" w:hAnsi="Times New Roman" w:cs="Times New Roman"/>
              </w:rPr>
            </w:pPr>
          </w:p>
          <w:p w14:paraId="5288D485" w14:textId="77777777" w:rsidR="004A282B" w:rsidRPr="001300A9" w:rsidRDefault="004A282B" w:rsidP="009D0AA1">
            <w:pPr>
              <w:spacing w:after="0" w:line="240" w:lineRule="auto"/>
              <w:rPr>
                <w:rFonts w:ascii="Times New Roman" w:hAnsi="Times New Roman" w:cs="Times New Roman"/>
              </w:rPr>
            </w:pPr>
          </w:p>
          <w:p w14:paraId="536F9740" w14:textId="77777777" w:rsidR="004A282B" w:rsidRPr="001300A9" w:rsidRDefault="004A282B" w:rsidP="009D0AA1">
            <w:pPr>
              <w:spacing w:after="0" w:line="240" w:lineRule="auto"/>
              <w:rPr>
                <w:rFonts w:ascii="Times New Roman" w:hAnsi="Times New Roman" w:cs="Times New Roman"/>
              </w:rPr>
            </w:pPr>
          </w:p>
          <w:p w14:paraId="5874393A" w14:textId="77777777" w:rsidR="004A282B" w:rsidRPr="001300A9" w:rsidRDefault="004A282B" w:rsidP="009D0AA1">
            <w:pPr>
              <w:spacing w:after="0" w:line="240" w:lineRule="auto"/>
              <w:rPr>
                <w:rFonts w:ascii="Times New Roman" w:hAnsi="Times New Roman" w:cs="Times New Roman"/>
              </w:rPr>
            </w:pPr>
          </w:p>
          <w:p w14:paraId="713B6C9E" w14:textId="77777777" w:rsidR="004A282B" w:rsidRPr="001300A9" w:rsidRDefault="004A282B" w:rsidP="009D0AA1">
            <w:pPr>
              <w:spacing w:after="0" w:line="240" w:lineRule="auto"/>
              <w:rPr>
                <w:rFonts w:ascii="Times New Roman" w:hAnsi="Times New Roman" w:cs="Times New Roman"/>
              </w:rPr>
            </w:pPr>
          </w:p>
          <w:p w14:paraId="42DC1274" w14:textId="77777777" w:rsidR="004A282B" w:rsidRPr="001300A9" w:rsidRDefault="004A282B" w:rsidP="009D0AA1">
            <w:pPr>
              <w:spacing w:after="0" w:line="240" w:lineRule="auto"/>
              <w:rPr>
                <w:rFonts w:ascii="Times New Roman" w:hAnsi="Times New Roman" w:cs="Times New Roman"/>
              </w:rPr>
            </w:pPr>
          </w:p>
          <w:p w14:paraId="55CDB955" w14:textId="77777777" w:rsidR="004A282B" w:rsidRPr="001300A9" w:rsidRDefault="004A282B" w:rsidP="009D0AA1">
            <w:pPr>
              <w:spacing w:after="0" w:line="240" w:lineRule="auto"/>
              <w:rPr>
                <w:rFonts w:ascii="Times New Roman" w:hAnsi="Times New Roman" w:cs="Times New Roman"/>
              </w:rPr>
            </w:pPr>
          </w:p>
          <w:p w14:paraId="07B07990" w14:textId="77777777" w:rsidR="004A282B" w:rsidRPr="001300A9" w:rsidRDefault="004A282B" w:rsidP="009D0AA1">
            <w:pPr>
              <w:spacing w:after="0" w:line="240" w:lineRule="auto"/>
              <w:rPr>
                <w:rFonts w:ascii="Times New Roman" w:hAnsi="Times New Roman" w:cs="Times New Roman"/>
              </w:rPr>
            </w:pPr>
          </w:p>
          <w:p w14:paraId="256C15CF" w14:textId="77777777" w:rsidR="004A282B" w:rsidRPr="001300A9" w:rsidRDefault="004A282B" w:rsidP="009D0AA1">
            <w:pPr>
              <w:spacing w:after="0" w:line="240" w:lineRule="auto"/>
              <w:rPr>
                <w:rFonts w:ascii="Times New Roman" w:hAnsi="Times New Roman" w:cs="Times New Roman"/>
              </w:rPr>
            </w:pPr>
          </w:p>
          <w:p w14:paraId="52F4CE25" w14:textId="77777777" w:rsidR="004A282B" w:rsidRPr="001300A9" w:rsidRDefault="004A282B" w:rsidP="009D0AA1">
            <w:pPr>
              <w:spacing w:after="0" w:line="240" w:lineRule="auto"/>
              <w:rPr>
                <w:rFonts w:ascii="Times New Roman" w:hAnsi="Times New Roman" w:cs="Times New Roman"/>
              </w:rPr>
            </w:pPr>
          </w:p>
          <w:p w14:paraId="3BBCAE94" w14:textId="77777777" w:rsidR="004A282B" w:rsidRPr="001300A9" w:rsidRDefault="004A282B" w:rsidP="009D0AA1">
            <w:pPr>
              <w:spacing w:after="0" w:line="240" w:lineRule="auto"/>
              <w:rPr>
                <w:rFonts w:ascii="Times New Roman" w:hAnsi="Times New Roman" w:cs="Times New Roman"/>
              </w:rPr>
            </w:pPr>
          </w:p>
          <w:p w14:paraId="301A8E21" w14:textId="77777777" w:rsidR="004A282B" w:rsidRPr="001300A9" w:rsidRDefault="004A282B" w:rsidP="009D0AA1">
            <w:pPr>
              <w:spacing w:after="0" w:line="240" w:lineRule="auto"/>
              <w:rPr>
                <w:rFonts w:ascii="Times New Roman" w:hAnsi="Times New Roman" w:cs="Times New Roman"/>
              </w:rPr>
            </w:pPr>
          </w:p>
          <w:p w14:paraId="6267225F" w14:textId="77777777" w:rsidR="004A282B" w:rsidRPr="001300A9" w:rsidRDefault="004A282B" w:rsidP="009D0AA1">
            <w:pPr>
              <w:spacing w:after="0" w:line="240" w:lineRule="auto"/>
              <w:rPr>
                <w:rFonts w:ascii="Times New Roman" w:hAnsi="Times New Roman" w:cs="Times New Roman"/>
              </w:rPr>
            </w:pPr>
          </w:p>
          <w:p w14:paraId="42B2AB8B" w14:textId="77777777" w:rsidR="004A282B" w:rsidRPr="001300A9" w:rsidRDefault="004A282B" w:rsidP="009D0AA1">
            <w:pPr>
              <w:spacing w:after="0" w:line="240" w:lineRule="auto"/>
              <w:rPr>
                <w:rFonts w:ascii="Times New Roman" w:hAnsi="Times New Roman" w:cs="Times New Roman"/>
              </w:rPr>
            </w:pPr>
          </w:p>
          <w:p w14:paraId="5060DD0B" w14:textId="77777777" w:rsidR="004A282B" w:rsidRPr="001300A9" w:rsidRDefault="004A282B" w:rsidP="009D0AA1">
            <w:pPr>
              <w:spacing w:after="0" w:line="240" w:lineRule="auto"/>
              <w:rPr>
                <w:rFonts w:ascii="Times New Roman" w:hAnsi="Times New Roman" w:cs="Times New Roman"/>
              </w:rPr>
            </w:pPr>
          </w:p>
          <w:p w14:paraId="1BB4C68F" w14:textId="77777777" w:rsidR="004A282B" w:rsidRPr="001300A9" w:rsidRDefault="004A282B" w:rsidP="009D0AA1">
            <w:pPr>
              <w:spacing w:after="0" w:line="240" w:lineRule="auto"/>
              <w:rPr>
                <w:rFonts w:ascii="Times New Roman" w:hAnsi="Times New Roman" w:cs="Times New Roman"/>
              </w:rPr>
            </w:pPr>
          </w:p>
          <w:p w14:paraId="7AABA191" w14:textId="77777777" w:rsidR="004A282B" w:rsidRPr="001300A9" w:rsidRDefault="004A282B" w:rsidP="009D0AA1">
            <w:pPr>
              <w:spacing w:after="0" w:line="240" w:lineRule="auto"/>
              <w:rPr>
                <w:rFonts w:ascii="Times New Roman" w:hAnsi="Times New Roman" w:cs="Times New Roman"/>
              </w:rPr>
            </w:pPr>
          </w:p>
          <w:p w14:paraId="40FB92FF" w14:textId="77777777" w:rsidR="004A282B" w:rsidRPr="001300A9" w:rsidRDefault="004A282B" w:rsidP="009D0AA1">
            <w:pPr>
              <w:spacing w:after="0" w:line="240" w:lineRule="auto"/>
              <w:rPr>
                <w:rFonts w:ascii="Times New Roman" w:hAnsi="Times New Roman" w:cs="Times New Roman"/>
              </w:rPr>
            </w:pPr>
          </w:p>
          <w:p w14:paraId="3FC5E735" w14:textId="77777777" w:rsidR="004A282B" w:rsidRPr="001300A9" w:rsidRDefault="004A282B" w:rsidP="009D0AA1">
            <w:pPr>
              <w:spacing w:after="0" w:line="240" w:lineRule="auto"/>
              <w:rPr>
                <w:rFonts w:ascii="Times New Roman" w:hAnsi="Times New Roman" w:cs="Times New Roman"/>
              </w:rPr>
            </w:pPr>
          </w:p>
          <w:p w14:paraId="0EC1A77D" w14:textId="77777777" w:rsidR="004A282B" w:rsidRPr="001300A9" w:rsidRDefault="004A282B" w:rsidP="009D0AA1">
            <w:pPr>
              <w:spacing w:after="0" w:line="240" w:lineRule="auto"/>
              <w:rPr>
                <w:rFonts w:ascii="Times New Roman" w:hAnsi="Times New Roman" w:cs="Times New Roman"/>
              </w:rPr>
            </w:pPr>
          </w:p>
          <w:p w14:paraId="48A0BB7D" w14:textId="77777777" w:rsidR="004A282B" w:rsidRPr="001300A9" w:rsidRDefault="004A282B" w:rsidP="009D0AA1">
            <w:pPr>
              <w:spacing w:after="0" w:line="240" w:lineRule="auto"/>
              <w:rPr>
                <w:rFonts w:ascii="Times New Roman" w:hAnsi="Times New Roman" w:cs="Times New Roman"/>
              </w:rPr>
            </w:pPr>
          </w:p>
          <w:p w14:paraId="5AE0FD91" w14:textId="77777777" w:rsidR="004A282B" w:rsidRPr="001300A9" w:rsidRDefault="004A282B" w:rsidP="009D0AA1">
            <w:pPr>
              <w:spacing w:after="0" w:line="240" w:lineRule="auto"/>
              <w:rPr>
                <w:rFonts w:ascii="Times New Roman" w:hAnsi="Times New Roman" w:cs="Times New Roman"/>
              </w:rPr>
            </w:pPr>
          </w:p>
          <w:p w14:paraId="541D3FD6" w14:textId="77777777" w:rsidR="004A282B" w:rsidRPr="001300A9" w:rsidRDefault="004A282B" w:rsidP="009D0AA1">
            <w:pPr>
              <w:spacing w:after="0" w:line="240" w:lineRule="auto"/>
              <w:rPr>
                <w:rFonts w:ascii="Times New Roman" w:hAnsi="Times New Roman" w:cs="Times New Roman"/>
              </w:rPr>
            </w:pPr>
          </w:p>
          <w:p w14:paraId="495715B9" w14:textId="77777777" w:rsidR="004A282B" w:rsidRPr="001300A9" w:rsidRDefault="004A282B" w:rsidP="009D0AA1">
            <w:pPr>
              <w:spacing w:after="0" w:line="240" w:lineRule="auto"/>
              <w:rPr>
                <w:rFonts w:ascii="Times New Roman" w:hAnsi="Times New Roman" w:cs="Times New Roman"/>
              </w:rPr>
            </w:pPr>
          </w:p>
          <w:p w14:paraId="09257182" w14:textId="77777777" w:rsidR="004A282B" w:rsidRPr="001300A9" w:rsidRDefault="004A282B" w:rsidP="009D0AA1">
            <w:pPr>
              <w:spacing w:after="0" w:line="240" w:lineRule="auto"/>
              <w:rPr>
                <w:rFonts w:ascii="Times New Roman" w:hAnsi="Times New Roman" w:cs="Times New Roman"/>
              </w:rPr>
            </w:pPr>
          </w:p>
          <w:p w14:paraId="5F2032D2" w14:textId="77777777" w:rsidR="004A282B" w:rsidRPr="001300A9" w:rsidRDefault="004A282B" w:rsidP="009D0AA1">
            <w:pPr>
              <w:spacing w:after="0" w:line="240" w:lineRule="auto"/>
              <w:rPr>
                <w:rFonts w:ascii="Times New Roman" w:hAnsi="Times New Roman" w:cs="Times New Roman"/>
              </w:rPr>
            </w:pPr>
          </w:p>
          <w:p w14:paraId="51665136" w14:textId="77777777" w:rsidR="004A282B" w:rsidRPr="001300A9" w:rsidRDefault="004A282B" w:rsidP="009D0AA1">
            <w:pPr>
              <w:spacing w:after="0" w:line="240" w:lineRule="auto"/>
              <w:rPr>
                <w:rFonts w:ascii="Times New Roman" w:hAnsi="Times New Roman" w:cs="Times New Roman"/>
              </w:rPr>
            </w:pPr>
          </w:p>
          <w:p w14:paraId="71406D8D" w14:textId="77777777" w:rsidR="004A282B" w:rsidRPr="001300A9" w:rsidRDefault="004A282B" w:rsidP="009D0AA1">
            <w:pPr>
              <w:spacing w:after="0" w:line="240" w:lineRule="auto"/>
              <w:rPr>
                <w:rFonts w:ascii="Times New Roman" w:hAnsi="Times New Roman" w:cs="Times New Roman"/>
              </w:rPr>
            </w:pPr>
          </w:p>
          <w:p w14:paraId="53B49928" w14:textId="77777777" w:rsidR="004A282B" w:rsidRPr="001300A9" w:rsidRDefault="004A282B" w:rsidP="009D0AA1">
            <w:pPr>
              <w:spacing w:after="0" w:line="240" w:lineRule="auto"/>
              <w:rPr>
                <w:rFonts w:ascii="Times New Roman" w:hAnsi="Times New Roman" w:cs="Times New Roman"/>
              </w:rPr>
            </w:pPr>
          </w:p>
          <w:p w14:paraId="75315FBC" w14:textId="77777777" w:rsidR="004A282B" w:rsidRPr="001300A9" w:rsidRDefault="004A282B" w:rsidP="009D0AA1">
            <w:pPr>
              <w:spacing w:after="0" w:line="240" w:lineRule="auto"/>
              <w:rPr>
                <w:rFonts w:ascii="Times New Roman" w:hAnsi="Times New Roman" w:cs="Times New Roman"/>
              </w:rPr>
            </w:pPr>
          </w:p>
          <w:p w14:paraId="6ECE2472" w14:textId="77777777" w:rsidR="004A282B" w:rsidRPr="001300A9" w:rsidRDefault="004A282B" w:rsidP="009D0AA1">
            <w:pPr>
              <w:spacing w:after="0" w:line="240" w:lineRule="auto"/>
              <w:rPr>
                <w:rFonts w:ascii="Times New Roman" w:hAnsi="Times New Roman" w:cs="Times New Roman"/>
              </w:rPr>
            </w:pPr>
          </w:p>
          <w:p w14:paraId="789B9B46" w14:textId="77777777" w:rsidR="004A282B" w:rsidRPr="001300A9" w:rsidRDefault="004A282B" w:rsidP="009D0AA1">
            <w:pPr>
              <w:spacing w:after="0" w:line="240" w:lineRule="auto"/>
              <w:rPr>
                <w:rFonts w:ascii="Times New Roman" w:hAnsi="Times New Roman" w:cs="Times New Roman"/>
              </w:rPr>
            </w:pPr>
          </w:p>
          <w:p w14:paraId="281671C1" w14:textId="77777777" w:rsidR="004A282B" w:rsidRPr="001300A9" w:rsidRDefault="004A282B" w:rsidP="009D0AA1">
            <w:pPr>
              <w:spacing w:after="0" w:line="240" w:lineRule="auto"/>
              <w:rPr>
                <w:rFonts w:ascii="Times New Roman" w:hAnsi="Times New Roman" w:cs="Times New Roman"/>
              </w:rPr>
            </w:pPr>
          </w:p>
          <w:p w14:paraId="058B191F" w14:textId="77777777" w:rsidR="004A282B" w:rsidRPr="001300A9" w:rsidRDefault="004A282B" w:rsidP="009D0AA1">
            <w:pPr>
              <w:spacing w:after="0" w:line="240" w:lineRule="auto"/>
              <w:rPr>
                <w:rFonts w:ascii="Times New Roman" w:hAnsi="Times New Roman" w:cs="Times New Roman"/>
              </w:rPr>
            </w:pPr>
          </w:p>
          <w:p w14:paraId="340703F3" w14:textId="77777777" w:rsidR="004A282B" w:rsidRPr="001300A9" w:rsidRDefault="004A282B" w:rsidP="009D0AA1">
            <w:pPr>
              <w:spacing w:after="0" w:line="240" w:lineRule="auto"/>
              <w:rPr>
                <w:rFonts w:ascii="Times New Roman" w:hAnsi="Times New Roman" w:cs="Times New Roman"/>
              </w:rPr>
            </w:pPr>
          </w:p>
          <w:p w14:paraId="0D54BBC4" w14:textId="77777777" w:rsidR="004A282B" w:rsidRPr="001300A9" w:rsidRDefault="004A282B" w:rsidP="009D0AA1">
            <w:pPr>
              <w:spacing w:after="0" w:line="240" w:lineRule="auto"/>
              <w:rPr>
                <w:rFonts w:ascii="Times New Roman" w:hAnsi="Times New Roman" w:cs="Times New Roman"/>
              </w:rPr>
            </w:pPr>
          </w:p>
          <w:p w14:paraId="450726FC" w14:textId="77777777" w:rsidR="004A282B" w:rsidRPr="001300A9" w:rsidRDefault="004A282B" w:rsidP="009D0AA1">
            <w:pPr>
              <w:spacing w:after="0" w:line="240" w:lineRule="auto"/>
              <w:rPr>
                <w:rFonts w:ascii="Times New Roman" w:hAnsi="Times New Roman" w:cs="Times New Roman"/>
              </w:rPr>
            </w:pPr>
          </w:p>
          <w:p w14:paraId="516C5E2C" w14:textId="77777777" w:rsidR="004A282B" w:rsidRPr="001300A9" w:rsidRDefault="004A282B" w:rsidP="009D0AA1">
            <w:pPr>
              <w:spacing w:after="0" w:line="240" w:lineRule="auto"/>
              <w:rPr>
                <w:rFonts w:ascii="Times New Roman" w:hAnsi="Times New Roman" w:cs="Times New Roman"/>
              </w:rPr>
            </w:pPr>
          </w:p>
          <w:p w14:paraId="6897A7A1" w14:textId="77777777" w:rsidR="004A282B" w:rsidRPr="001300A9" w:rsidRDefault="004A282B" w:rsidP="009D0AA1">
            <w:pPr>
              <w:spacing w:after="0" w:line="240" w:lineRule="auto"/>
              <w:rPr>
                <w:rFonts w:ascii="Times New Roman" w:hAnsi="Times New Roman" w:cs="Times New Roman"/>
              </w:rPr>
            </w:pPr>
          </w:p>
          <w:p w14:paraId="24F582B0" w14:textId="77777777" w:rsidR="004A282B" w:rsidRPr="001300A9" w:rsidRDefault="004A282B" w:rsidP="009D0AA1">
            <w:pPr>
              <w:spacing w:after="0" w:line="240" w:lineRule="auto"/>
              <w:rPr>
                <w:rFonts w:ascii="Times New Roman" w:hAnsi="Times New Roman" w:cs="Times New Roman"/>
              </w:rPr>
            </w:pPr>
          </w:p>
          <w:p w14:paraId="0A929987" w14:textId="77777777" w:rsidR="004A282B" w:rsidRPr="001300A9" w:rsidRDefault="004A282B" w:rsidP="009D0AA1">
            <w:pPr>
              <w:spacing w:after="0" w:line="240" w:lineRule="auto"/>
              <w:rPr>
                <w:rFonts w:ascii="Times New Roman" w:hAnsi="Times New Roman" w:cs="Times New Roman"/>
              </w:rPr>
            </w:pPr>
          </w:p>
          <w:p w14:paraId="068BED3C" w14:textId="77777777" w:rsidR="004A282B" w:rsidRPr="001300A9" w:rsidRDefault="004A282B" w:rsidP="009D0AA1">
            <w:pPr>
              <w:spacing w:after="0" w:line="240" w:lineRule="auto"/>
              <w:rPr>
                <w:rFonts w:ascii="Times New Roman" w:hAnsi="Times New Roman" w:cs="Times New Roman"/>
              </w:rPr>
            </w:pPr>
          </w:p>
          <w:p w14:paraId="71C0D252" w14:textId="77777777" w:rsidR="004A282B" w:rsidRPr="001300A9" w:rsidRDefault="004A282B" w:rsidP="009D0AA1">
            <w:pPr>
              <w:spacing w:after="0" w:line="240" w:lineRule="auto"/>
              <w:rPr>
                <w:rFonts w:ascii="Times New Roman" w:hAnsi="Times New Roman" w:cs="Times New Roman"/>
              </w:rPr>
            </w:pPr>
          </w:p>
          <w:p w14:paraId="0A546F4E" w14:textId="77777777" w:rsidR="004A282B" w:rsidRPr="001300A9" w:rsidRDefault="004A282B" w:rsidP="009D0AA1">
            <w:pPr>
              <w:spacing w:after="0" w:line="240" w:lineRule="auto"/>
              <w:rPr>
                <w:rFonts w:ascii="Times New Roman" w:hAnsi="Times New Roman" w:cs="Times New Roman"/>
              </w:rPr>
            </w:pPr>
          </w:p>
          <w:p w14:paraId="54C73D6F" w14:textId="77777777" w:rsidR="004A282B" w:rsidRPr="001300A9" w:rsidRDefault="004A282B" w:rsidP="009D0AA1">
            <w:pPr>
              <w:spacing w:after="0" w:line="240" w:lineRule="auto"/>
              <w:rPr>
                <w:rFonts w:ascii="Times New Roman" w:hAnsi="Times New Roman" w:cs="Times New Roman"/>
              </w:rPr>
            </w:pPr>
          </w:p>
          <w:p w14:paraId="7F97FA36" w14:textId="77777777" w:rsidR="004A282B" w:rsidRPr="001300A9" w:rsidRDefault="004A282B" w:rsidP="009D0AA1">
            <w:pPr>
              <w:spacing w:after="0" w:line="240" w:lineRule="auto"/>
              <w:rPr>
                <w:rFonts w:ascii="Times New Roman" w:hAnsi="Times New Roman" w:cs="Times New Roman"/>
              </w:rPr>
            </w:pPr>
          </w:p>
          <w:p w14:paraId="7C44621A" w14:textId="77777777" w:rsidR="004A282B" w:rsidRPr="001300A9" w:rsidRDefault="004A282B" w:rsidP="009D0AA1">
            <w:pPr>
              <w:spacing w:after="0" w:line="240" w:lineRule="auto"/>
              <w:rPr>
                <w:rFonts w:ascii="Times New Roman" w:hAnsi="Times New Roman" w:cs="Times New Roman"/>
              </w:rPr>
            </w:pPr>
          </w:p>
          <w:p w14:paraId="1B079B05" w14:textId="77777777" w:rsidR="004A282B" w:rsidRPr="001300A9" w:rsidRDefault="004A282B" w:rsidP="009D0AA1">
            <w:pPr>
              <w:spacing w:after="0" w:line="240" w:lineRule="auto"/>
              <w:rPr>
                <w:rFonts w:ascii="Times New Roman" w:hAnsi="Times New Roman" w:cs="Times New Roman"/>
              </w:rPr>
            </w:pPr>
          </w:p>
          <w:p w14:paraId="6E347236" w14:textId="77777777" w:rsidR="004A282B" w:rsidRPr="001300A9" w:rsidRDefault="004A282B" w:rsidP="009D0AA1">
            <w:pPr>
              <w:spacing w:after="0" w:line="240" w:lineRule="auto"/>
              <w:rPr>
                <w:rFonts w:ascii="Times New Roman" w:hAnsi="Times New Roman" w:cs="Times New Roman"/>
              </w:rPr>
            </w:pPr>
          </w:p>
          <w:p w14:paraId="5DFF24D5" w14:textId="77777777" w:rsidR="004A282B" w:rsidRPr="001300A9" w:rsidRDefault="004A282B" w:rsidP="009D0AA1">
            <w:pPr>
              <w:spacing w:after="0" w:line="240" w:lineRule="auto"/>
              <w:rPr>
                <w:rFonts w:ascii="Times New Roman" w:hAnsi="Times New Roman" w:cs="Times New Roman"/>
              </w:rPr>
            </w:pPr>
          </w:p>
          <w:p w14:paraId="2B1E55BC" w14:textId="77777777" w:rsidR="004A282B" w:rsidRPr="001300A9" w:rsidRDefault="004A282B" w:rsidP="009D0AA1">
            <w:pPr>
              <w:spacing w:after="0" w:line="240" w:lineRule="auto"/>
              <w:rPr>
                <w:rFonts w:ascii="Times New Roman" w:hAnsi="Times New Roman" w:cs="Times New Roman"/>
              </w:rPr>
            </w:pPr>
          </w:p>
          <w:p w14:paraId="38E24D3C" w14:textId="77777777" w:rsidR="004A282B" w:rsidRPr="001300A9" w:rsidRDefault="004A282B" w:rsidP="009D0AA1">
            <w:pPr>
              <w:spacing w:after="0" w:line="240" w:lineRule="auto"/>
              <w:rPr>
                <w:rFonts w:ascii="Times New Roman" w:hAnsi="Times New Roman" w:cs="Times New Roman"/>
              </w:rPr>
            </w:pPr>
          </w:p>
          <w:p w14:paraId="5E71DB4D" w14:textId="77777777" w:rsidR="004A282B" w:rsidRPr="001300A9" w:rsidRDefault="004A282B" w:rsidP="009D0AA1">
            <w:pPr>
              <w:spacing w:after="0" w:line="240" w:lineRule="auto"/>
              <w:rPr>
                <w:rFonts w:ascii="Times New Roman" w:hAnsi="Times New Roman" w:cs="Times New Roman"/>
              </w:rPr>
            </w:pPr>
          </w:p>
          <w:p w14:paraId="2E889352" w14:textId="77777777" w:rsidR="004A282B" w:rsidRPr="001300A9" w:rsidRDefault="004A282B" w:rsidP="009D0AA1">
            <w:pPr>
              <w:spacing w:after="0" w:line="240" w:lineRule="auto"/>
              <w:rPr>
                <w:rFonts w:ascii="Times New Roman" w:hAnsi="Times New Roman" w:cs="Times New Roman"/>
              </w:rPr>
            </w:pPr>
          </w:p>
          <w:p w14:paraId="360AB8E4" w14:textId="77777777" w:rsidR="004A282B" w:rsidRPr="001300A9" w:rsidRDefault="004A282B" w:rsidP="009D0AA1">
            <w:pPr>
              <w:spacing w:after="0" w:line="240" w:lineRule="auto"/>
              <w:rPr>
                <w:rFonts w:ascii="Times New Roman" w:hAnsi="Times New Roman" w:cs="Times New Roman"/>
              </w:rPr>
            </w:pPr>
          </w:p>
          <w:p w14:paraId="132FBF29" w14:textId="77777777" w:rsidR="004A282B" w:rsidRPr="001300A9" w:rsidRDefault="004A282B" w:rsidP="009D0AA1">
            <w:pPr>
              <w:spacing w:after="0" w:line="240" w:lineRule="auto"/>
              <w:rPr>
                <w:rFonts w:ascii="Times New Roman" w:hAnsi="Times New Roman" w:cs="Times New Roman"/>
              </w:rPr>
            </w:pPr>
          </w:p>
          <w:p w14:paraId="128E4EA1" w14:textId="77777777" w:rsidR="004A282B" w:rsidRPr="001300A9" w:rsidRDefault="004A282B" w:rsidP="009D0AA1">
            <w:pPr>
              <w:spacing w:after="0" w:line="240" w:lineRule="auto"/>
              <w:rPr>
                <w:rFonts w:ascii="Times New Roman" w:hAnsi="Times New Roman" w:cs="Times New Roman"/>
              </w:rPr>
            </w:pPr>
          </w:p>
          <w:p w14:paraId="44076574" w14:textId="77777777" w:rsidR="004A282B" w:rsidRPr="001300A9" w:rsidRDefault="004A282B" w:rsidP="009D0AA1">
            <w:pPr>
              <w:spacing w:after="0" w:line="240" w:lineRule="auto"/>
              <w:rPr>
                <w:rFonts w:ascii="Times New Roman" w:hAnsi="Times New Roman" w:cs="Times New Roman"/>
              </w:rPr>
            </w:pPr>
          </w:p>
          <w:p w14:paraId="29EDC646" w14:textId="77777777" w:rsidR="004A282B" w:rsidRPr="001300A9" w:rsidRDefault="004A282B" w:rsidP="009D0AA1">
            <w:pPr>
              <w:spacing w:after="0" w:line="240" w:lineRule="auto"/>
              <w:rPr>
                <w:rFonts w:ascii="Times New Roman" w:hAnsi="Times New Roman" w:cs="Times New Roman"/>
              </w:rPr>
            </w:pPr>
          </w:p>
          <w:p w14:paraId="19014943" w14:textId="77777777" w:rsidR="004A282B" w:rsidRPr="001300A9" w:rsidRDefault="004A282B" w:rsidP="009D0AA1">
            <w:pPr>
              <w:spacing w:after="0" w:line="240" w:lineRule="auto"/>
              <w:rPr>
                <w:rFonts w:ascii="Times New Roman" w:hAnsi="Times New Roman" w:cs="Times New Roman"/>
              </w:rPr>
            </w:pPr>
          </w:p>
          <w:p w14:paraId="5DB1E59D" w14:textId="77777777" w:rsidR="004A282B" w:rsidRPr="001300A9" w:rsidRDefault="004A282B" w:rsidP="009D0AA1">
            <w:pPr>
              <w:spacing w:after="0" w:line="240" w:lineRule="auto"/>
              <w:rPr>
                <w:rFonts w:ascii="Times New Roman" w:hAnsi="Times New Roman" w:cs="Times New Roman"/>
              </w:rPr>
            </w:pPr>
          </w:p>
          <w:p w14:paraId="231D651D" w14:textId="77777777" w:rsidR="004A282B" w:rsidRPr="001300A9" w:rsidRDefault="004A282B" w:rsidP="009D0AA1">
            <w:pPr>
              <w:spacing w:after="0" w:line="240" w:lineRule="auto"/>
              <w:rPr>
                <w:rFonts w:ascii="Times New Roman" w:hAnsi="Times New Roman" w:cs="Times New Roman"/>
              </w:rPr>
            </w:pPr>
          </w:p>
          <w:p w14:paraId="1A89184C" w14:textId="77777777" w:rsidR="004A282B" w:rsidRPr="001300A9" w:rsidRDefault="004A282B" w:rsidP="009D0AA1">
            <w:pPr>
              <w:spacing w:after="0" w:line="240" w:lineRule="auto"/>
              <w:rPr>
                <w:rFonts w:ascii="Times New Roman" w:hAnsi="Times New Roman" w:cs="Times New Roman"/>
              </w:rPr>
            </w:pPr>
          </w:p>
          <w:p w14:paraId="7B7C4651" w14:textId="77777777" w:rsidR="004A282B" w:rsidRPr="001300A9" w:rsidRDefault="004A282B" w:rsidP="009D0AA1">
            <w:pPr>
              <w:spacing w:after="0" w:line="240" w:lineRule="auto"/>
              <w:rPr>
                <w:rFonts w:ascii="Times New Roman" w:hAnsi="Times New Roman" w:cs="Times New Roman"/>
              </w:rPr>
            </w:pPr>
          </w:p>
          <w:p w14:paraId="193E8754" w14:textId="77777777" w:rsidR="004A282B" w:rsidRPr="001300A9" w:rsidRDefault="004A282B" w:rsidP="009D0AA1">
            <w:pPr>
              <w:spacing w:after="0" w:line="240" w:lineRule="auto"/>
              <w:rPr>
                <w:rFonts w:ascii="Times New Roman" w:hAnsi="Times New Roman" w:cs="Times New Roman"/>
              </w:rPr>
            </w:pPr>
          </w:p>
          <w:p w14:paraId="6BB026C7" w14:textId="77777777" w:rsidR="004A282B" w:rsidRPr="001300A9" w:rsidRDefault="004A282B" w:rsidP="009D0AA1">
            <w:pPr>
              <w:spacing w:after="0" w:line="240" w:lineRule="auto"/>
              <w:rPr>
                <w:rFonts w:ascii="Times New Roman" w:hAnsi="Times New Roman" w:cs="Times New Roman"/>
              </w:rPr>
            </w:pPr>
          </w:p>
          <w:p w14:paraId="4308D594" w14:textId="77777777" w:rsidR="004A282B" w:rsidRPr="001300A9" w:rsidRDefault="004A282B" w:rsidP="009D0AA1">
            <w:pPr>
              <w:spacing w:after="0" w:line="240" w:lineRule="auto"/>
              <w:rPr>
                <w:rFonts w:ascii="Times New Roman" w:hAnsi="Times New Roman" w:cs="Times New Roman"/>
              </w:rPr>
            </w:pPr>
          </w:p>
          <w:p w14:paraId="3B5CFC63" w14:textId="77777777" w:rsidR="004A282B" w:rsidRPr="001300A9" w:rsidRDefault="004A282B" w:rsidP="009D0AA1">
            <w:pPr>
              <w:spacing w:after="0" w:line="240" w:lineRule="auto"/>
              <w:rPr>
                <w:rFonts w:ascii="Times New Roman" w:hAnsi="Times New Roman" w:cs="Times New Roman"/>
              </w:rPr>
            </w:pPr>
          </w:p>
          <w:p w14:paraId="56170172" w14:textId="77777777" w:rsidR="004A282B" w:rsidRPr="001300A9" w:rsidRDefault="004A282B" w:rsidP="009D0AA1">
            <w:pPr>
              <w:spacing w:after="0" w:line="240" w:lineRule="auto"/>
              <w:rPr>
                <w:rFonts w:ascii="Times New Roman" w:hAnsi="Times New Roman" w:cs="Times New Roman"/>
              </w:rPr>
            </w:pPr>
          </w:p>
          <w:p w14:paraId="3CB28374" w14:textId="77777777" w:rsidR="004A282B" w:rsidRPr="001300A9" w:rsidRDefault="004A282B" w:rsidP="009D0AA1">
            <w:pPr>
              <w:spacing w:after="0" w:line="240" w:lineRule="auto"/>
              <w:rPr>
                <w:rFonts w:ascii="Times New Roman" w:hAnsi="Times New Roman" w:cs="Times New Roman"/>
              </w:rPr>
            </w:pPr>
          </w:p>
          <w:p w14:paraId="213FFF53" w14:textId="77777777" w:rsidR="004A282B" w:rsidRPr="001300A9" w:rsidRDefault="004A282B" w:rsidP="009D0AA1">
            <w:pPr>
              <w:spacing w:after="0" w:line="240" w:lineRule="auto"/>
              <w:rPr>
                <w:rFonts w:ascii="Times New Roman" w:hAnsi="Times New Roman" w:cs="Times New Roman"/>
              </w:rPr>
            </w:pPr>
          </w:p>
          <w:p w14:paraId="4C0BC85D" w14:textId="77777777" w:rsidR="004A282B" w:rsidRPr="001300A9" w:rsidRDefault="004A282B" w:rsidP="009D0AA1">
            <w:pPr>
              <w:spacing w:after="0" w:line="240" w:lineRule="auto"/>
              <w:rPr>
                <w:rFonts w:ascii="Times New Roman" w:hAnsi="Times New Roman" w:cs="Times New Roman"/>
              </w:rPr>
            </w:pPr>
          </w:p>
          <w:p w14:paraId="0EE58A0F" w14:textId="77777777" w:rsidR="004A282B" w:rsidRPr="001300A9" w:rsidRDefault="004A282B" w:rsidP="009D0AA1">
            <w:pPr>
              <w:spacing w:after="0" w:line="240" w:lineRule="auto"/>
              <w:rPr>
                <w:rFonts w:ascii="Times New Roman" w:hAnsi="Times New Roman" w:cs="Times New Roman"/>
              </w:rPr>
            </w:pPr>
          </w:p>
          <w:p w14:paraId="452A2AD7" w14:textId="77777777" w:rsidR="004A282B" w:rsidRPr="001300A9" w:rsidRDefault="004A282B" w:rsidP="009D0AA1">
            <w:pPr>
              <w:spacing w:after="0" w:line="240" w:lineRule="auto"/>
              <w:rPr>
                <w:rFonts w:ascii="Times New Roman" w:hAnsi="Times New Roman" w:cs="Times New Roman"/>
              </w:rPr>
            </w:pPr>
          </w:p>
          <w:p w14:paraId="712A7176" w14:textId="77777777" w:rsidR="004A282B" w:rsidRPr="001300A9" w:rsidRDefault="004A282B" w:rsidP="009D0AA1">
            <w:pPr>
              <w:spacing w:after="0" w:line="240" w:lineRule="auto"/>
              <w:rPr>
                <w:rFonts w:ascii="Times New Roman" w:hAnsi="Times New Roman" w:cs="Times New Roman"/>
              </w:rPr>
            </w:pPr>
          </w:p>
          <w:p w14:paraId="007EE0D8" w14:textId="77777777" w:rsidR="004A282B" w:rsidRPr="001300A9" w:rsidRDefault="004A282B" w:rsidP="009D0AA1">
            <w:pPr>
              <w:spacing w:after="0" w:line="240" w:lineRule="auto"/>
              <w:rPr>
                <w:rFonts w:ascii="Times New Roman" w:hAnsi="Times New Roman" w:cs="Times New Roman"/>
              </w:rPr>
            </w:pPr>
          </w:p>
          <w:p w14:paraId="599E47E3" w14:textId="77777777" w:rsidR="004A282B" w:rsidRPr="001300A9" w:rsidRDefault="004A282B" w:rsidP="009D0AA1">
            <w:pPr>
              <w:spacing w:after="0" w:line="240" w:lineRule="auto"/>
              <w:rPr>
                <w:rFonts w:ascii="Times New Roman" w:hAnsi="Times New Roman" w:cs="Times New Roman"/>
              </w:rPr>
            </w:pPr>
          </w:p>
          <w:p w14:paraId="24BEE920" w14:textId="77777777" w:rsidR="004A282B" w:rsidRPr="001300A9" w:rsidRDefault="004A282B" w:rsidP="009D0AA1">
            <w:pPr>
              <w:spacing w:after="0" w:line="240" w:lineRule="auto"/>
              <w:rPr>
                <w:rFonts w:ascii="Times New Roman" w:hAnsi="Times New Roman" w:cs="Times New Roman"/>
              </w:rPr>
            </w:pPr>
          </w:p>
          <w:p w14:paraId="30E1550F" w14:textId="77777777" w:rsidR="004A282B" w:rsidRPr="001300A9" w:rsidRDefault="004A282B" w:rsidP="009D0AA1">
            <w:pPr>
              <w:spacing w:after="0" w:line="240" w:lineRule="auto"/>
              <w:rPr>
                <w:rFonts w:ascii="Times New Roman" w:hAnsi="Times New Roman" w:cs="Times New Roman"/>
              </w:rPr>
            </w:pPr>
          </w:p>
          <w:p w14:paraId="557534DD" w14:textId="77777777" w:rsidR="004A282B" w:rsidRPr="001300A9" w:rsidRDefault="004A282B" w:rsidP="009D0AA1">
            <w:pPr>
              <w:spacing w:after="0" w:line="240" w:lineRule="auto"/>
              <w:rPr>
                <w:rFonts w:ascii="Times New Roman" w:hAnsi="Times New Roman" w:cs="Times New Roman"/>
              </w:rPr>
            </w:pPr>
          </w:p>
          <w:p w14:paraId="3B7FB7F8" w14:textId="77777777" w:rsidR="004A282B" w:rsidRPr="001300A9" w:rsidRDefault="004A282B" w:rsidP="009D0AA1">
            <w:pPr>
              <w:spacing w:after="0" w:line="240" w:lineRule="auto"/>
              <w:rPr>
                <w:rFonts w:ascii="Times New Roman" w:hAnsi="Times New Roman" w:cs="Times New Roman"/>
              </w:rPr>
            </w:pPr>
          </w:p>
          <w:p w14:paraId="70D98365" w14:textId="77777777" w:rsidR="004A282B" w:rsidRPr="001300A9" w:rsidRDefault="004A282B" w:rsidP="009D0AA1">
            <w:pPr>
              <w:spacing w:after="0" w:line="240" w:lineRule="auto"/>
              <w:rPr>
                <w:rFonts w:ascii="Times New Roman" w:hAnsi="Times New Roman" w:cs="Times New Roman"/>
              </w:rPr>
            </w:pPr>
          </w:p>
          <w:p w14:paraId="0B1B442C" w14:textId="77777777" w:rsidR="004A282B" w:rsidRPr="001300A9" w:rsidRDefault="004A282B" w:rsidP="009D0AA1">
            <w:pPr>
              <w:spacing w:after="0" w:line="240" w:lineRule="auto"/>
              <w:rPr>
                <w:rFonts w:ascii="Times New Roman" w:hAnsi="Times New Roman" w:cs="Times New Roman"/>
              </w:rPr>
            </w:pPr>
          </w:p>
          <w:p w14:paraId="6358099E" w14:textId="77777777" w:rsidR="004A282B" w:rsidRPr="001300A9" w:rsidRDefault="004A282B" w:rsidP="009D0AA1">
            <w:pPr>
              <w:spacing w:after="0" w:line="240" w:lineRule="auto"/>
              <w:rPr>
                <w:rFonts w:ascii="Times New Roman" w:hAnsi="Times New Roman" w:cs="Times New Roman"/>
              </w:rPr>
            </w:pPr>
          </w:p>
          <w:p w14:paraId="195FAF61" w14:textId="77777777" w:rsidR="004A282B" w:rsidRPr="001300A9" w:rsidRDefault="004A282B" w:rsidP="009D0AA1">
            <w:pPr>
              <w:spacing w:after="0" w:line="240" w:lineRule="auto"/>
              <w:rPr>
                <w:rFonts w:ascii="Times New Roman" w:hAnsi="Times New Roman" w:cs="Times New Roman"/>
              </w:rPr>
            </w:pPr>
          </w:p>
          <w:p w14:paraId="1FFAD4A5" w14:textId="77777777" w:rsidR="004A282B" w:rsidRPr="001300A9" w:rsidRDefault="004A282B" w:rsidP="009D0AA1">
            <w:pPr>
              <w:spacing w:after="0" w:line="240" w:lineRule="auto"/>
              <w:rPr>
                <w:rFonts w:ascii="Times New Roman" w:hAnsi="Times New Roman" w:cs="Times New Roman"/>
              </w:rPr>
            </w:pPr>
          </w:p>
          <w:p w14:paraId="0173CCB4" w14:textId="77777777" w:rsidR="004A282B" w:rsidRPr="001300A9" w:rsidRDefault="004A282B" w:rsidP="009D0AA1">
            <w:pPr>
              <w:spacing w:after="0" w:line="240" w:lineRule="auto"/>
              <w:rPr>
                <w:rFonts w:ascii="Times New Roman" w:hAnsi="Times New Roman" w:cs="Times New Roman"/>
              </w:rPr>
            </w:pPr>
          </w:p>
          <w:p w14:paraId="23BFA0B9" w14:textId="77777777" w:rsidR="0082715B" w:rsidRDefault="0082715B" w:rsidP="009D0AA1">
            <w:pPr>
              <w:spacing w:after="0" w:line="240" w:lineRule="auto"/>
              <w:rPr>
                <w:rFonts w:ascii="Times New Roman" w:hAnsi="Times New Roman" w:cs="Times New Roman"/>
              </w:rPr>
            </w:pPr>
          </w:p>
          <w:p w14:paraId="070AB3B6" w14:textId="77777777" w:rsidR="009D0AA1" w:rsidRDefault="009D0AA1" w:rsidP="009D0AA1">
            <w:pPr>
              <w:spacing w:after="0" w:line="240" w:lineRule="auto"/>
              <w:rPr>
                <w:rFonts w:ascii="Times New Roman" w:hAnsi="Times New Roman" w:cs="Times New Roman"/>
              </w:rPr>
            </w:pPr>
          </w:p>
          <w:p w14:paraId="60E7C781" w14:textId="77777777" w:rsidR="009D0AA1" w:rsidRDefault="009D0AA1" w:rsidP="009D0AA1">
            <w:pPr>
              <w:spacing w:after="0" w:line="240" w:lineRule="auto"/>
              <w:rPr>
                <w:rFonts w:ascii="Times New Roman" w:hAnsi="Times New Roman" w:cs="Times New Roman"/>
              </w:rPr>
            </w:pPr>
          </w:p>
          <w:p w14:paraId="6A4D97A7" w14:textId="77777777" w:rsidR="009D0AA1" w:rsidRDefault="009D0AA1" w:rsidP="009D0AA1">
            <w:pPr>
              <w:spacing w:after="0" w:line="240" w:lineRule="auto"/>
              <w:rPr>
                <w:rFonts w:ascii="Times New Roman" w:hAnsi="Times New Roman" w:cs="Times New Roman"/>
              </w:rPr>
            </w:pPr>
          </w:p>
          <w:p w14:paraId="0551994D" w14:textId="77777777" w:rsidR="009D0AA1" w:rsidRDefault="009D0AA1" w:rsidP="009D0AA1">
            <w:pPr>
              <w:spacing w:after="0" w:line="240" w:lineRule="auto"/>
              <w:rPr>
                <w:rFonts w:ascii="Times New Roman" w:hAnsi="Times New Roman" w:cs="Times New Roman"/>
              </w:rPr>
            </w:pPr>
          </w:p>
          <w:p w14:paraId="1C14CD91" w14:textId="77777777" w:rsidR="009D0AA1" w:rsidRDefault="009D0AA1" w:rsidP="009D0AA1">
            <w:pPr>
              <w:spacing w:after="0" w:line="240" w:lineRule="auto"/>
              <w:rPr>
                <w:rFonts w:ascii="Times New Roman" w:hAnsi="Times New Roman" w:cs="Times New Roman"/>
              </w:rPr>
            </w:pPr>
          </w:p>
          <w:p w14:paraId="09276816" w14:textId="77777777" w:rsidR="009D0AA1" w:rsidRDefault="009D0AA1" w:rsidP="009D0AA1">
            <w:pPr>
              <w:spacing w:after="0" w:line="240" w:lineRule="auto"/>
              <w:rPr>
                <w:rFonts w:ascii="Times New Roman" w:hAnsi="Times New Roman" w:cs="Times New Roman"/>
              </w:rPr>
            </w:pPr>
          </w:p>
          <w:p w14:paraId="31CE5DC1" w14:textId="77777777" w:rsidR="009D0AA1" w:rsidRDefault="009D0AA1" w:rsidP="009D0AA1">
            <w:pPr>
              <w:spacing w:after="0" w:line="240" w:lineRule="auto"/>
              <w:rPr>
                <w:rFonts w:ascii="Times New Roman" w:hAnsi="Times New Roman" w:cs="Times New Roman"/>
              </w:rPr>
            </w:pPr>
          </w:p>
          <w:p w14:paraId="051B1A84" w14:textId="77777777" w:rsidR="009D0AA1" w:rsidRDefault="009D0AA1" w:rsidP="009D0AA1">
            <w:pPr>
              <w:spacing w:after="0" w:line="240" w:lineRule="auto"/>
              <w:rPr>
                <w:rFonts w:ascii="Times New Roman" w:hAnsi="Times New Roman" w:cs="Times New Roman"/>
              </w:rPr>
            </w:pPr>
          </w:p>
          <w:p w14:paraId="319452EC" w14:textId="77777777" w:rsidR="009D0AA1" w:rsidRDefault="009D0AA1" w:rsidP="009D0AA1">
            <w:pPr>
              <w:spacing w:after="0" w:line="240" w:lineRule="auto"/>
              <w:rPr>
                <w:rFonts w:ascii="Times New Roman" w:hAnsi="Times New Roman" w:cs="Times New Roman"/>
              </w:rPr>
            </w:pPr>
          </w:p>
          <w:p w14:paraId="3B2EEB5B" w14:textId="77777777" w:rsidR="009D0AA1" w:rsidRDefault="009D0AA1" w:rsidP="009D0AA1">
            <w:pPr>
              <w:spacing w:after="0" w:line="240" w:lineRule="auto"/>
              <w:rPr>
                <w:rFonts w:ascii="Times New Roman" w:hAnsi="Times New Roman" w:cs="Times New Roman"/>
              </w:rPr>
            </w:pPr>
          </w:p>
          <w:p w14:paraId="53F607EE" w14:textId="77777777" w:rsidR="009D0AA1" w:rsidRDefault="009D0AA1" w:rsidP="009D0AA1">
            <w:pPr>
              <w:spacing w:after="0" w:line="240" w:lineRule="auto"/>
              <w:rPr>
                <w:rFonts w:ascii="Times New Roman" w:hAnsi="Times New Roman" w:cs="Times New Roman"/>
              </w:rPr>
            </w:pPr>
          </w:p>
          <w:p w14:paraId="7A41B0A3" w14:textId="77777777" w:rsidR="009D0AA1" w:rsidRDefault="009D0AA1" w:rsidP="009D0AA1">
            <w:pPr>
              <w:spacing w:after="0" w:line="240" w:lineRule="auto"/>
              <w:rPr>
                <w:rFonts w:ascii="Times New Roman" w:hAnsi="Times New Roman" w:cs="Times New Roman"/>
              </w:rPr>
            </w:pPr>
          </w:p>
          <w:p w14:paraId="52C85F38" w14:textId="77777777" w:rsidR="009D0AA1" w:rsidRDefault="009D0AA1" w:rsidP="009D0AA1">
            <w:pPr>
              <w:spacing w:after="0" w:line="240" w:lineRule="auto"/>
              <w:rPr>
                <w:rFonts w:ascii="Times New Roman" w:hAnsi="Times New Roman" w:cs="Times New Roman"/>
              </w:rPr>
            </w:pPr>
          </w:p>
          <w:p w14:paraId="6A6EB779" w14:textId="77777777" w:rsidR="009D0AA1" w:rsidRDefault="009D0AA1" w:rsidP="009D0AA1">
            <w:pPr>
              <w:spacing w:after="0" w:line="240" w:lineRule="auto"/>
              <w:rPr>
                <w:rFonts w:ascii="Times New Roman" w:hAnsi="Times New Roman" w:cs="Times New Roman"/>
              </w:rPr>
            </w:pPr>
          </w:p>
          <w:p w14:paraId="68B99F1F" w14:textId="77777777" w:rsidR="009D0AA1" w:rsidRDefault="009D0AA1" w:rsidP="009D0AA1">
            <w:pPr>
              <w:spacing w:after="0" w:line="240" w:lineRule="auto"/>
              <w:rPr>
                <w:rFonts w:ascii="Times New Roman" w:hAnsi="Times New Roman" w:cs="Times New Roman"/>
              </w:rPr>
            </w:pPr>
          </w:p>
          <w:p w14:paraId="6F8BE3EC" w14:textId="77777777" w:rsidR="009D0AA1" w:rsidRDefault="009D0AA1" w:rsidP="009D0AA1">
            <w:pPr>
              <w:spacing w:after="0" w:line="240" w:lineRule="auto"/>
              <w:rPr>
                <w:rFonts w:ascii="Times New Roman" w:hAnsi="Times New Roman" w:cs="Times New Roman"/>
              </w:rPr>
            </w:pPr>
          </w:p>
          <w:p w14:paraId="622ACADD" w14:textId="77777777" w:rsidR="009D0AA1" w:rsidRDefault="009D0AA1" w:rsidP="009D0AA1">
            <w:pPr>
              <w:spacing w:after="0" w:line="240" w:lineRule="auto"/>
              <w:rPr>
                <w:rFonts w:ascii="Times New Roman" w:hAnsi="Times New Roman" w:cs="Times New Roman"/>
              </w:rPr>
            </w:pPr>
          </w:p>
          <w:p w14:paraId="30E7516C" w14:textId="77777777" w:rsidR="009D0AA1" w:rsidRDefault="009D0AA1" w:rsidP="009D0AA1">
            <w:pPr>
              <w:spacing w:after="0" w:line="240" w:lineRule="auto"/>
              <w:rPr>
                <w:rFonts w:ascii="Times New Roman" w:hAnsi="Times New Roman" w:cs="Times New Roman"/>
              </w:rPr>
            </w:pPr>
          </w:p>
          <w:p w14:paraId="605D5D10" w14:textId="77777777" w:rsidR="009D0AA1" w:rsidRDefault="009D0AA1" w:rsidP="009D0AA1">
            <w:pPr>
              <w:spacing w:after="0" w:line="240" w:lineRule="auto"/>
              <w:rPr>
                <w:rFonts w:ascii="Times New Roman" w:hAnsi="Times New Roman" w:cs="Times New Roman"/>
              </w:rPr>
            </w:pPr>
          </w:p>
          <w:p w14:paraId="2F764405" w14:textId="77777777" w:rsidR="009D0AA1" w:rsidRDefault="009D0AA1" w:rsidP="009D0AA1">
            <w:pPr>
              <w:spacing w:after="0" w:line="240" w:lineRule="auto"/>
              <w:rPr>
                <w:rFonts w:ascii="Times New Roman" w:hAnsi="Times New Roman" w:cs="Times New Roman"/>
              </w:rPr>
            </w:pPr>
          </w:p>
          <w:p w14:paraId="40C85B23" w14:textId="77777777" w:rsidR="009D0AA1" w:rsidRDefault="009D0AA1" w:rsidP="009D0AA1">
            <w:pPr>
              <w:spacing w:after="0" w:line="240" w:lineRule="auto"/>
              <w:rPr>
                <w:rFonts w:ascii="Times New Roman" w:hAnsi="Times New Roman" w:cs="Times New Roman"/>
              </w:rPr>
            </w:pPr>
          </w:p>
          <w:p w14:paraId="3AA1324F" w14:textId="7F3F35E1" w:rsidR="5F673433" w:rsidRDefault="5F673433" w:rsidP="5F673433">
            <w:pPr>
              <w:spacing w:after="0" w:line="240" w:lineRule="auto"/>
              <w:rPr>
                <w:rFonts w:ascii="Times New Roman" w:hAnsi="Times New Roman" w:cs="Times New Roman"/>
              </w:rPr>
            </w:pPr>
          </w:p>
          <w:p w14:paraId="38D95133" w14:textId="61811AAE" w:rsidR="5F673433" w:rsidRDefault="5F673433" w:rsidP="5F673433">
            <w:pPr>
              <w:spacing w:after="0" w:line="240" w:lineRule="auto"/>
              <w:rPr>
                <w:rFonts w:ascii="Times New Roman" w:hAnsi="Times New Roman" w:cs="Times New Roman"/>
              </w:rPr>
            </w:pPr>
          </w:p>
          <w:p w14:paraId="048C13B4" w14:textId="671C391F" w:rsidR="004A282B" w:rsidRPr="001300A9" w:rsidRDefault="004A282B" w:rsidP="009D0AA1">
            <w:pPr>
              <w:spacing w:after="0" w:line="240" w:lineRule="auto"/>
              <w:rPr>
                <w:rFonts w:ascii="Times New Roman" w:hAnsi="Times New Roman" w:cs="Times New Roman"/>
              </w:rPr>
            </w:pPr>
            <w:r w:rsidRPr="001300A9">
              <w:rPr>
                <w:rFonts w:ascii="Times New Roman" w:hAnsi="Times New Roman" w:cs="Times New Roman"/>
              </w:rPr>
              <w:t>GP - N</w:t>
            </w:r>
          </w:p>
          <w:p w14:paraId="243202D3" w14:textId="77777777" w:rsidR="00A95A69" w:rsidRPr="001300A9" w:rsidRDefault="00A95A69" w:rsidP="009D0AA1">
            <w:pPr>
              <w:spacing w:after="0" w:line="240" w:lineRule="auto"/>
              <w:rPr>
                <w:rFonts w:ascii="Times New Roman" w:hAnsi="Times New Roman" w:cs="Times New Roman"/>
              </w:rPr>
            </w:pPr>
          </w:p>
          <w:p w14:paraId="65906314" w14:textId="77777777" w:rsidR="00A95A69" w:rsidRPr="001300A9" w:rsidRDefault="00A95A69" w:rsidP="009D0AA1">
            <w:pPr>
              <w:spacing w:after="0" w:line="240" w:lineRule="auto"/>
              <w:rPr>
                <w:rFonts w:ascii="Times New Roman" w:hAnsi="Times New Roman" w:cs="Times New Roman"/>
              </w:rPr>
            </w:pPr>
          </w:p>
          <w:p w14:paraId="7FEA7D0D" w14:textId="77777777" w:rsidR="00A95A69" w:rsidRPr="001300A9" w:rsidRDefault="00A95A69" w:rsidP="009D0AA1">
            <w:pPr>
              <w:spacing w:after="0" w:line="240" w:lineRule="auto"/>
              <w:rPr>
                <w:rFonts w:ascii="Times New Roman" w:hAnsi="Times New Roman" w:cs="Times New Roman"/>
              </w:rPr>
            </w:pPr>
          </w:p>
          <w:p w14:paraId="79EF0DD2" w14:textId="77777777" w:rsidR="00A95A69" w:rsidRPr="001300A9" w:rsidRDefault="00A95A69" w:rsidP="009D0AA1">
            <w:pPr>
              <w:spacing w:after="0" w:line="240" w:lineRule="auto"/>
              <w:rPr>
                <w:rFonts w:ascii="Times New Roman" w:hAnsi="Times New Roman" w:cs="Times New Roman"/>
              </w:rPr>
            </w:pPr>
          </w:p>
          <w:p w14:paraId="00A95D37" w14:textId="77777777" w:rsidR="00A95A69" w:rsidRPr="001300A9" w:rsidRDefault="00A95A69" w:rsidP="009D0AA1">
            <w:pPr>
              <w:spacing w:after="0" w:line="240" w:lineRule="auto"/>
              <w:rPr>
                <w:rFonts w:ascii="Times New Roman" w:hAnsi="Times New Roman" w:cs="Times New Roman"/>
              </w:rPr>
            </w:pPr>
          </w:p>
          <w:p w14:paraId="00E07823" w14:textId="77777777" w:rsidR="00A95A69" w:rsidRPr="001300A9" w:rsidRDefault="00A95A69" w:rsidP="009D0AA1">
            <w:pPr>
              <w:spacing w:after="0" w:line="240" w:lineRule="auto"/>
              <w:rPr>
                <w:rFonts w:ascii="Times New Roman" w:hAnsi="Times New Roman" w:cs="Times New Roman"/>
              </w:rPr>
            </w:pPr>
          </w:p>
          <w:p w14:paraId="094A6346" w14:textId="77777777" w:rsidR="00A95A69" w:rsidRPr="001300A9" w:rsidRDefault="00A95A69" w:rsidP="009D0AA1">
            <w:pPr>
              <w:spacing w:after="0" w:line="240" w:lineRule="auto"/>
              <w:rPr>
                <w:rFonts w:ascii="Times New Roman" w:hAnsi="Times New Roman" w:cs="Times New Roman"/>
              </w:rPr>
            </w:pPr>
          </w:p>
          <w:p w14:paraId="77885D75" w14:textId="77777777" w:rsidR="00A95A69" w:rsidRPr="001300A9" w:rsidRDefault="00A95A69" w:rsidP="009D0AA1">
            <w:pPr>
              <w:spacing w:after="0" w:line="240" w:lineRule="auto"/>
              <w:rPr>
                <w:rFonts w:ascii="Times New Roman" w:hAnsi="Times New Roman" w:cs="Times New Roman"/>
              </w:rPr>
            </w:pPr>
          </w:p>
          <w:p w14:paraId="67AAB89B" w14:textId="77777777" w:rsidR="00A95A69" w:rsidRPr="001300A9" w:rsidRDefault="00A95A69" w:rsidP="009D0AA1">
            <w:pPr>
              <w:spacing w:after="0" w:line="240" w:lineRule="auto"/>
              <w:rPr>
                <w:rFonts w:ascii="Times New Roman" w:hAnsi="Times New Roman" w:cs="Times New Roman"/>
              </w:rPr>
            </w:pPr>
          </w:p>
          <w:p w14:paraId="09EB5543" w14:textId="77777777" w:rsidR="00A95A69" w:rsidRPr="001300A9" w:rsidRDefault="00A95A69" w:rsidP="009D0AA1">
            <w:pPr>
              <w:spacing w:after="0" w:line="240" w:lineRule="auto"/>
              <w:rPr>
                <w:rFonts w:ascii="Times New Roman" w:hAnsi="Times New Roman" w:cs="Times New Roman"/>
              </w:rPr>
            </w:pPr>
          </w:p>
          <w:p w14:paraId="47E6485C" w14:textId="77777777" w:rsidR="00A95A69" w:rsidRPr="001300A9" w:rsidRDefault="00A95A69" w:rsidP="009D0AA1">
            <w:pPr>
              <w:spacing w:after="0" w:line="240" w:lineRule="auto"/>
              <w:rPr>
                <w:rFonts w:ascii="Times New Roman" w:hAnsi="Times New Roman" w:cs="Times New Roman"/>
              </w:rPr>
            </w:pPr>
          </w:p>
          <w:p w14:paraId="191D21CC" w14:textId="77777777" w:rsidR="00A95A69" w:rsidRPr="001300A9" w:rsidRDefault="00A95A69" w:rsidP="009D0AA1">
            <w:pPr>
              <w:spacing w:after="0" w:line="240" w:lineRule="auto"/>
              <w:rPr>
                <w:rFonts w:ascii="Times New Roman" w:hAnsi="Times New Roman" w:cs="Times New Roman"/>
              </w:rPr>
            </w:pPr>
          </w:p>
          <w:p w14:paraId="3E91A373" w14:textId="77777777" w:rsidR="00A95A69" w:rsidRPr="001300A9" w:rsidRDefault="00A95A69" w:rsidP="009D0AA1">
            <w:pPr>
              <w:spacing w:after="0" w:line="240" w:lineRule="auto"/>
              <w:rPr>
                <w:rFonts w:ascii="Times New Roman" w:hAnsi="Times New Roman" w:cs="Times New Roman"/>
              </w:rPr>
            </w:pPr>
          </w:p>
          <w:p w14:paraId="2D564CCA" w14:textId="77777777" w:rsidR="00A95A69" w:rsidRPr="001300A9" w:rsidRDefault="00A95A69" w:rsidP="009D0AA1">
            <w:pPr>
              <w:spacing w:after="0" w:line="240" w:lineRule="auto"/>
              <w:rPr>
                <w:rFonts w:ascii="Times New Roman" w:hAnsi="Times New Roman" w:cs="Times New Roman"/>
              </w:rPr>
            </w:pPr>
          </w:p>
          <w:p w14:paraId="405F0001" w14:textId="669F6651" w:rsidR="0006236A" w:rsidRDefault="0006236A" w:rsidP="009D0AA1">
            <w:pPr>
              <w:spacing w:after="0" w:line="240" w:lineRule="auto"/>
              <w:rPr>
                <w:rFonts w:ascii="Times New Roman" w:hAnsi="Times New Roman" w:cs="Times New Roman"/>
              </w:rPr>
            </w:pPr>
          </w:p>
          <w:p w14:paraId="50302853" w14:textId="77777777" w:rsidR="009D0AA1" w:rsidRDefault="009D0AA1" w:rsidP="009D0AA1">
            <w:pPr>
              <w:spacing w:after="0" w:line="240" w:lineRule="auto"/>
              <w:rPr>
                <w:rFonts w:ascii="Times New Roman" w:hAnsi="Times New Roman" w:cs="Times New Roman"/>
              </w:rPr>
            </w:pPr>
          </w:p>
          <w:p w14:paraId="0E539D2D" w14:textId="77777777" w:rsidR="009D0AA1" w:rsidRDefault="009D0AA1" w:rsidP="009D0AA1">
            <w:pPr>
              <w:spacing w:after="0" w:line="240" w:lineRule="auto"/>
              <w:rPr>
                <w:rFonts w:ascii="Times New Roman" w:hAnsi="Times New Roman" w:cs="Times New Roman"/>
              </w:rPr>
            </w:pPr>
          </w:p>
          <w:p w14:paraId="70724F41" w14:textId="77777777" w:rsidR="009D0AA1" w:rsidRDefault="009D0AA1" w:rsidP="009D0AA1">
            <w:pPr>
              <w:spacing w:after="0" w:line="240" w:lineRule="auto"/>
              <w:rPr>
                <w:rFonts w:ascii="Times New Roman" w:hAnsi="Times New Roman" w:cs="Times New Roman"/>
              </w:rPr>
            </w:pPr>
          </w:p>
          <w:p w14:paraId="70032584" w14:textId="77777777" w:rsidR="009D0AA1" w:rsidRDefault="009D0AA1" w:rsidP="009D0AA1">
            <w:pPr>
              <w:spacing w:after="0" w:line="240" w:lineRule="auto"/>
              <w:rPr>
                <w:rFonts w:ascii="Times New Roman" w:hAnsi="Times New Roman" w:cs="Times New Roman"/>
              </w:rPr>
            </w:pPr>
          </w:p>
          <w:p w14:paraId="336EC58A" w14:textId="77777777" w:rsidR="009D0AA1" w:rsidRDefault="009D0AA1" w:rsidP="009D0AA1">
            <w:pPr>
              <w:spacing w:after="0" w:line="240" w:lineRule="auto"/>
              <w:rPr>
                <w:rFonts w:ascii="Times New Roman" w:hAnsi="Times New Roman" w:cs="Times New Roman"/>
              </w:rPr>
            </w:pPr>
          </w:p>
          <w:p w14:paraId="114A62DF" w14:textId="77777777" w:rsidR="009D0AA1" w:rsidRDefault="009D0AA1" w:rsidP="009D0AA1">
            <w:pPr>
              <w:spacing w:after="0" w:line="240" w:lineRule="auto"/>
              <w:rPr>
                <w:rFonts w:ascii="Times New Roman" w:hAnsi="Times New Roman" w:cs="Times New Roman"/>
              </w:rPr>
            </w:pPr>
          </w:p>
          <w:p w14:paraId="088F7BF2" w14:textId="77777777" w:rsidR="009D0AA1" w:rsidRDefault="009D0AA1" w:rsidP="009D0AA1">
            <w:pPr>
              <w:spacing w:after="0" w:line="240" w:lineRule="auto"/>
              <w:rPr>
                <w:rFonts w:ascii="Times New Roman" w:hAnsi="Times New Roman" w:cs="Times New Roman"/>
              </w:rPr>
            </w:pPr>
          </w:p>
          <w:p w14:paraId="43B56D4C" w14:textId="4C58DFD3" w:rsidR="00A95A69" w:rsidRPr="001300A9" w:rsidRDefault="004A64C9" w:rsidP="009D0AA1">
            <w:pPr>
              <w:spacing w:after="0" w:line="240" w:lineRule="auto"/>
              <w:rPr>
                <w:rFonts w:ascii="Times New Roman" w:hAnsi="Times New Roman" w:cs="Times New Roman"/>
              </w:rPr>
            </w:pPr>
            <w:r w:rsidRPr="001300A9">
              <w:rPr>
                <w:rFonts w:ascii="Times New Roman" w:hAnsi="Times New Roman" w:cs="Times New Roman"/>
              </w:rPr>
              <w:t>GP - N</w:t>
            </w:r>
          </w:p>
          <w:p w14:paraId="7C35F0CE" w14:textId="77777777" w:rsidR="00A95A69" w:rsidRPr="001300A9" w:rsidRDefault="00A95A69" w:rsidP="009D0AA1">
            <w:pPr>
              <w:spacing w:after="0" w:line="240" w:lineRule="auto"/>
              <w:rPr>
                <w:rFonts w:ascii="Times New Roman" w:hAnsi="Times New Roman" w:cs="Times New Roman"/>
              </w:rPr>
            </w:pPr>
          </w:p>
          <w:p w14:paraId="64D2CDB0" w14:textId="77777777" w:rsidR="00A95A69" w:rsidRPr="001300A9" w:rsidRDefault="00A95A69" w:rsidP="009D0AA1">
            <w:pPr>
              <w:spacing w:after="0" w:line="240" w:lineRule="auto"/>
              <w:rPr>
                <w:rFonts w:ascii="Times New Roman" w:hAnsi="Times New Roman" w:cs="Times New Roman"/>
              </w:rPr>
            </w:pPr>
          </w:p>
          <w:p w14:paraId="0DEF3217" w14:textId="77777777" w:rsidR="00A95A69" w:rsidRPr="001300A9" w:rsidRDefault="00A95A69" w:rsidP="009D0AA1">
            <w:pPr>
              <w:spacing w:after="0" w:line="240" w:lineRule="auto"/>
              <w:rPr>
                <w:rFonts w:ascii="Times New Roman" w:hAnsi="Times New Roman" w:cs="Times New Roman"/>
              </w:rPr>
            </w:pPr>
          </w:p>
          <w:p w14:paraId="2DB33F5F" w14:textId="77777777" w:rsidR="00A95A69" w:rsidRPr="001300A9" w:rsidRDefault="00A95A69" w:rsidP="009D0AA1">
            <w:pPr>
              <w:spacing w:after="0" w:line="240" w:lineRule="auto"/>
              <w:rPr>
                <w:rFonts w:ascii="Times New Roman" w:hAnsi="Times New Roman" w:cs="Times New Roman"/>
              </w:rPr>
            </w:pPr>
          </w:p>
          <w:p w14:paraId="2C759CEB" w14:textId="77777777" w:rsidR="00A95A69" w:rsidRPr="001300A9" w:rsidRDefault="00A95A69" w:rsidP="009D0AA1">
            <w:pPr>
              <w:spacing w:after="0" w:line="240" w:lineRule="auto"/>
              <w:rPr>
                <w:rFonts w:ascii="Times New Roman" w:hAnsi="Times New Roman" w:cs="Times New Roman"/>
              </w:rPr>
            </w:pPr>
          </w:p>
          <w:p w14:paraId="27FE3426" w14:textId="38FCAB80" w:rsidR="00D92A1E" w:rsidRPr="001300A9" w:rsidRDefault="00D92A1E" w:rsidP="009D0AA1">
            <w:pPr>
              <w:spacing w:after="0" w:line="240" w:lineRule="auto"/>
              <w:rPr>
                <w:rFonts w:ascii="Times New Roman" w:hAnsi="Times New Roman" w:cs="Times New Roman"/>
              </w:rPr>
            </w:pPr>
          </w:p>
          <w:p w14:paraId="6DB1D101" w14:textId="77777777" w:rsidR="00A95A69" w:rsidRPr="001300A9" w:rsidRDefault="00A95A69" w:rsidP="009D0AA1">
            <w:pPr>
              <w:spacing w:after="0" w:line="240" w:lineRule="auto"/>
              <w:rPr>
                <w:rFonts w:ascii="Times New Roman" w:hAnsi="Times New Roman" w:cs="Times New Roman"/>
              </w:rPr>
            </w:pPr>
          </w:p>
          <w:p w14:paraId="1D404DAD" w14:textId="2714716B" w:rsidR="009D0AA1" w:rsidRDefault="009D0AA1" w:rsidP="5F673433">
            <w:pPr>
              <w:spacing w:after="0" w:line="240" w:lineRule="auto"/>
              <w:rPr>
                <w:rFonts w:ascii="Times New Roman" w:hAnsi="Times New Roman" w:cs="Times New Roman"/>
              </w:rPr>
            </w:pPr>
          </w:p>
          <w:p w14:paraId="779BF7D8" w14:textId="1E78D998" w:rsidR="00A95A69" w:rsidRPr="001300A9" w:rsidRDefault="00A95A69" w:rsidP="009D0AA1">
            <w:pPr>
              <w:spacing w:after="0" w:line="240" w:lineRule="auto"/>
              <w:rPr>
                <w:rFonts w:ascii="Times New Roman" w:hAnsi="Times New Roman" w:cs="Times New Roman"/>
              </w:rPr>
            </w:pPr>
            <w:r w:rsidRPr="001300A9">
              <w:rPr>
                <w:rFonts w:ascii="Times New Roman" w:hAnsi="Times New Roman" w:cs="Times New Roman"/>
              </w:rPr>
              <w:t>GP - N</w:t>
            </w:r>
          </w:p>
          <w:p w14:paraId="77E3BF77" w14:textId="77777777" w:rsidR="0033300B" w:rsidRPr="001300A9" w:rsidRDefault="0033300B" w:rsidP="009D0AA1">
            <w:pPr>
              <w:spacing w:after="0" w:line="240" w:lineRule="auto"/>
              <w:rPr>
                <w:rFonts w:ascii="Times New Roman" w:hAnsi="Times New Roman" w:cs="Times New Roman"/>
              </w:rPr>
            </w:pPr>
          </w:p>
          <w:p w14:paraId="4CFFABE2" w14:textId="77777777" w:rsidR="000331E4" w:rsidRPr="001300A9" w:rsidRDefault="000331E4" w:rsidP="009D0AA1">
            <w:pPr>
              <w:spacing w:after="0" w:line="240" w:lineRule="auto"/>
              <w:rPr>
                <w:rFonts w:ascii="Times New Roman" w:hAnsi="Times New Roman" w:cs="Times New Roman"/>
              </w:rPr>
            </w:pPr>
          </w:p>
          <w:p w14:paraId="38BF45A6" w14:textId="77777777" w:rsidR="000331E4" w:rsidRPr="001300A9" w:rsidRDefault="000331E4" w:rsidP="009D0AA1">
            <w:pPr>
              <w:spacing w:after="0" w:line="240" w:lineRule="auto"/>
              <w:rPr>
                <w:rFonts w:ascii="Times New Roman" w:hAnsi="Times New Roman" w:cs="Times New Roman"/>
              </w:rPr>
            </w:pPr>
          </w:p>
          <w:p w14:paraId="512D945A" w14:textId="77777777" w:rsidR="000331E4" w:rsidRPr="001300A9" w:rsidRDefault="000331E4" w:rsidP="009D0AA1">
            <w:pPr>
              <w:spacing w:after="0" w:line="240" w:lineRule="auto"/>
              <w:rPr>
                <w:rFonts w:ascii="Times New Roman" w:hAnsi="Times New Roman" w:cs="Times New Roman"/>
              </w:rPr>
            </w:pPr>
          </w:p>
          <w:p w14:paraId="2EA2E77D" w14:textId="77777777" w:rsidR="000331E4" w:rsidRPr="001300A9" w:rsidRDefault="000331E4" w:rsidP="009D0AA1">
            <w:pPr>
              <w:spacing w:after="0" w:line="240" w:lineRule="auto"/>
              <w:rPr>
                <w:rFonts w:ascii="Times New Roman" w:hAnsi="Times New Roman" w:cs="Times New Roman"/>
              </w:rPr>
            </w:pPr>
          </w:p>
          <w:p w14:paraId="61D7E0A5" w14:textId="77777777" w:rsidR="000331E4" w:rsidRPr="001300A9" w:rsidRDefault="000331E4" w:rsidP="009D0AA1">
            <w:pPr>
              <w:spacing w:after="0" w:line="240" w:lineRule="auto"/>
              <w:rPr>
                <w:rFonts w:ascii="Times New Roman" w:hAnsi="Times New Roman" w:cs="Times New Roman"/>
              </w:rPr>
            </w:pPr>
          </w:p>
          <w:p w14:paraId="5F28C9D3" w14:textId="77777777" w:rsidR="000331E4" w:rsidRPr="001300A9" w:rsidRDefault="000331E4" w:rsidP="009D0AA1">
            <w:pPr>
              <w:spacing w:after="0" w:line="240" w:lineRule="auto"/>
              <w:rPr>
                <w:rFonts w:ascii="Times New Roman" w:hAnsi="Times New Roman" w:cs="Times New Roman"/>
              </w:rPr>
            </w:pPr>
          </w:p>
          <w:p w14:paraId="62DD6A44" w14:textId="77777777" w:rsidR="000331E4" w:rsidRPr="001300A9" w:rsidRDefault="000331E4" w:rsidP="009D0AA1">
            <w:pPr>
              <w:spacing w:after="0" w:line="240" w:lineRule="auto"/>
              <w:rPr>
                <w:rFonts w:ascii="Times New Roman" w:hAnsi="Times New Roman" w:cs="Times New Roman"/>
              </w:rPr>
            </w:pPr>
          </w:p>
          <w:p w14:paraId="0CDCADBD" w14:textId="77777777" w:rsidR="000331E4" w:rsidRPr="001300A9" w:rsidRDefault="000331E4" w:rsidP="009D0AA1">
            <w:pPr>
              <w:spacing w:after="0" w:line="240" w:lineRule="auto"/>
              <w:rPr>
                <w:rFonts w:ascii="Times New Roman" w:hAnsi="Times New Roman" w:cs="Times New Roman"/>
              </w:rPr>
            </w:pPr>
          </w:p>
          <w:p w14:paraId="27F1125B" w14:textId="77777777" w:rsidR="000331E4" w:rsidRPr="001300A9" w:rsidRDefault="000331E4" w:rsidP="009D0AA1">
            <w:pPr>
              <w:spacing w:after="0" w:line="240" w:lineRule="auto"/>
              <w:rPr>
                <w:rFonts w:ascii="Times New Roman" w:hAnsi="Times New Roman" w:cs="Times New Roman"/>
              </w:rPr>
            </w:pPr>
          </w:p>
          <w:p w14:paraId="21C570E8" w14:textId="5538E9CB" w:rsidR="000331E4" w:rsidRPr="001300A9" w:rsidRDefault="000331E4" w:rsidP="009D0AA1">
            <w:pPr>
              <w:spacing w:after="0" w:line="240" w:lineRule="auto"/>
              <w:rPr>
                <w:rFonts w:ascii="Times New Roman" w:hAnsi="Times New Roman" w:cs="Times New Roman"/>
              </w:rPr>
            </w:pPr>
          </w:p>
          <w:p w14:paraId="036DF1B5" w14:textId="77777777" w:rsidR="002E5CD0" w:rsidRPr="001300A9" w:rsidRDefault="002E5CD0" w:rsidP="009D0AA1">
            <w:pPr>
              <w:spacing w:after="0" w:line="240" w:lineRule="auto"/>
              <w:rPr>
                <w:rFonts w:ascii="Times New Roman" w:hAnsi="Times New Roman" w:cs="Times New Roman"/>
              </w:rPr>
            </w:pPr>
          </w:p>
          <w:p w14:paraId="7481D515" w14:textId="049D7D30" w:rsidR="00926F66" w:rsidRDefault="00926F66" w:rsidP="009D0AA1">
            <w:pPr>
              <w:spacing w:after="0" w:line="240" w:lineRule="auto"/>
              <w:rPr>
                <w:rFonts w:ascii="Times New Roman" w:hAnsi="Times New Roman" w:cs="Times New Roman"/>
              </w:rPr>
            </w:pPr>
          </w:p>
          <w:p w14:paraId="28D8405A" w14:textId="77777777" w:rsidR="00730219" w:rsidRPr="001300A9" w:rsidRDefault="00730219" w:rsidP="009D0AA1">
            <w:pPr>
              <w:spacing w:after="0" w:line="240" w:lineRule="auto"/>
              <w:rPr>
                <w:rFonts w:ascii="Times New Roman" w:hAnsi="Times New Roman" w:cs="Times New Roman"/>
              </w:rPr>
            </w:pPr>
          </w:p>
          <w:p w14:paraId="26F6CDF1" w14:textId="6090483F" w:rsidR="009D0AA1" w:rsidRDefault="009D0AA1" w:rsidP="5F673433">
            <w:pPr>
              <w:spacing w:after="0" w:line="240" w:lineRule="auto"/>
              <w:rPr>
                <w:rFonts w:ascii="Times New Roman" w:hAnsi="Times New Roman" w:cs="Times New Roman"/>
              </w:rPr>
            </w:pPr>
          </w:p>
          <w:p w14:paraId="23CA0D57" w14:textId="723CF102" w:rsidR="000331E4" w:rsidRPr="001300A9" w:rsidRDefault="000331E4" w:rsidP="004D7FA3">
            <w:pPr>
              <w:spacing w:after="0" w:line="240" w:lineRule="auto"/>
              <w:rPr>
                <w:rFonts w:ascii="Times New Roman" w:hAnsi="Times New Roman" w:cs="Times New Roman"/>
              </w:rPr>
            </w:pPr>
            <w:r w:rsidRPr="001300A9">
              <w:rPr>
                <w:rFonts w:ascii="Times New Roman" w:hAnsi="Times New Roman" w:cs="Times New Roman"/>
              </w:rPr>
              <w:t>GP - N</w:t>
            </w:r>
          </w:p>
          <w:p w14:paraId="1499CC7A" w14:textId="77777777" w:rsidR="000331E4" w:rsidRPr="001300A9" w:rsidRDefault="000331E4" w:rsidP="004D7FA3">
            <w:pPr>
              <w:spacing w:after="0" w:line="240" w:lineRule="auto"/>
              <w:rPr>
                <w:rFonts w:ascii="Times New Roman" w:hAnsi="Times New Roman" w:cs="Times New Roman"/>
              </w:rPr>
            </w:pPr>
          </w:p>
          <w:p w14:paraId="7C05D387" w14:textId="77777777" w:rsidR="00926F66" w:rsidRPr="001300A9" w:rsidRDefault="00926F66" w:rsidP="004D7FA3">
            <w:pPr>
              <w:spacing w:after="0" w:line="240" w:lineRule="auto"/>
              <w:rPr>
                <w:rFonts w:ascii="Times New Roman" w:hAnsi="Times New Roman" w:cs="Times New Roman"/>
              </w:rPr>
            </w:pPr>
          </w:p>
          <w:p w14:paraId="7D39342B" w14:textId="77777777" w:rsidR="00926F66" w:rsidRPr="001300A9" w:rsidRDefault="00926F66" w:rsidP="004D7FA3">
            <w:pPr>
              <w:spacing w:after="0" w:line="240" w:lineRule="auto"/>
              <w:rPr>
                <w:rFonts w:ascii="Times New Roman" w:hAnsi="Times New Roman" w:cs="Times New Roman"/>
              </w:rPr>
            </w:pPr>
          </w:p>
          <w:p w14:paraId="2BB543D2" w14:textId="77777777" w:rsidR="00926F66" w:rsidRPr="001300A9" w:rsidRDefault="00926F66" w:rsidP="004D7FA3">
            <w:pPr>
              <w:spacing w:after="0" w:line="240" w:lineRule="auto"/>
              <w:rPr>
                <w:rFonts w:ascii="Times New Roman" w:hAnsi="Times New Roman" w:cs="Times New Roman"/>
              </w:rPr>
            </w:pPr>
          </w:p>
          <w:p w14:paraId="2B62F3BA" w14:textId="77777777" w:rsidR="00926F66" w:rsidRPr="001300A9" w:rsidRDefault="00926F66" w:rsidP="004D7FA3">
            <w:pPr>
              <w:spacing w:after="0" w:line="240" w:lineRule="auto"/>
              <w:rPr>
                <w:rFonts w:ascii="Times New Roman" w:hAnsi="Times New Roman" w:cs="Times New Roman"/>
              </w:rPr>
            </w:pPr>
          </w:p>
          <w:p w14:paraId="6E13FDB9" w14:textId="77777777" w:rsidR="00926F66" w:rsidRPr="001300A9" w:rsidRDefault="00926F66" w:rsidP="004D7FA3">
            <w:pPr>
              <w:spacing w:after="0" w:line="240" w:lineRule="auto"/>
              <w:rPr>
                <w:rFonts w:ascii="Times New Roman" w:hAnsi="Times New Roman" w:cs="Times New Roman"/>
              </w:rPr>
            </w:pPr>
          </w:p>
          <w:p w14:paraId="7240BCDC" w14:textId="77777777" w:rsidR="00926F66" w:rsidRPr="001300A9" w:rsidRDefault="00926F66" w:rsidP="004D7FA3">
            <w:pPr>
              <w:spacing w:after="0" w:line="240" w:lineRule="auto"/>
              <w:rPr>
                <w:rFonts w:ascii="Times New Roman" w:hAnsi="Times New Roman" w:cs="Times New Roman"/>
              </w:rPr>
            </w:pPr>
          </w:p>
          <w:p w14:paraId="0D1B20A7" w14:textId="77777777" w:rsidR="00926F66" w:rsidRPr="001300A9" w:rsidRDefault="00926F66" w:rsidP="004D7FA3">
            <w:pPr>
              <w:spacing w:after="0" w:line="240" w:lineRule="auto"/>
              <w:rPr>
                <w:rFonts w:ascii="Times New Roman" w:hAnsi="Times New Roman" w:cs="Times New Roman"/>
              </w:rPr>
            </w:pPr>
          </w:p>
          <w:p w14:paraId="458809FF" w14:textId="77777777" w:rsidR="00926F66" w:rsidRPr="001300A9" w:rsidRDefault="00926F66" w:rsidP="004D7FA3">
            <w:pPr>
              <w:spacing w:after="0" w:line="240" w:lineRule="auto"/>
              <w:rPr>
                <w:rFonts w:ascii="Times New Roman" w:hAnsi="Times New Roman" w:cs="Times New Roman"/>
              </w:rPr>
            </w:pPr>
          </w:p>
          <w:p w14:paraId="4F68D084" w14:textId="77777777" w:rsidR="00926F66" w:rsidRPr="001300A9" w:rsidRDefault="00926F66" w:rsidP="004D7FA3">
            <w:pPr>
              <w:spacing w:after="0" w:line="240" w:lineRule="auto"/>
              <w:rPr>
                <w:rFonts w:ascii="Times New Roman" w:hAnsi="Times New Roman" w:cs="Times New Roman"/>
              </w:rPr>
            </w:pPr>
          </w:p>
          <w:p w14:paraId="3A6D9768" w14:textId="77777777" w:rsidR="00926F66" w:rsidRPr="001300A9" w:rsidRDefault="00926F66" w:rsidP="004D7FA3">
            <w:pPr>
              <w:spacing w:after="0" w:line="240" w:lineRule="auto"/>
              <w:rPr>
                <w:rFonts w:ascii="Times New Roman" w:hAnsi="Times New Roman" w:cs="Times New Roman"/>
              </w:rPr>
            </w:pPr>
          </w:p>
          <w:p w14:paraId="1F9BF160" w14:textId="77777777" w:rsidR="00926F66" w:rsidRPr="001300A9" w:rsidRDefault="00926F66" w:rsidP="004D7FA3">
            <w:pPr>
              <w:spacing w:after="0" w:line="240" w:lineRule="auto"/>
              <w:rPr>
                <w:rFonts w:ascii="Times New Roman" w:hAnsi="Times New Roman" w:cs="Times New Roman"/>
              </w:rPr>
            </w:pPr>
          </w:p>
          <w:p w14:paraId="3FC2899E" w14:textId="77777777" w:rsidR="00926F66" w:rsidRPr="001300A9" w:rsidRDefault="00926F66" w:rsidP="004D7FA3">
            <w:pPr>
              <w:spacing w:after="0" w:line="240" w:lineRule="auto"/>
              <w:rPr>
                <w:rFonts w:ascii="Times New Roman" w:hAnsi="Times New Roman" w:cs="Times New Roman"/>
              </w:rPr>
            </w:pPr>
          </w:p>
          <w:p w14:paraId="4B587A09" w14:textId="77777777" w:rsidR="00926F66" w:rsidRPr="001300A9" w:rsidRDefault="00926F66" w:rsidP="004D7FA3">
            <w:pPr>
              <w:spacing w:after="0" w:line="240" w:lineRule="auto"/>
              <w:rPr>
                <w:rFonts w:ascii="Times New Roman" w:hAnsi="Times New Roman" w:cs="Times New Roman"/>
              </w:rPr>
            </w:pPr>
          </w:p>
          <w:p w14:paraId="0C9D061B" w14:textId="77777777" w:rsidR="00926F66" w:rsidRPr="001300A9" w:rsidRDefault="00926F66" w:rsidP="004D7FA3">
            <w:pPr>
              <w:spacing w:after="0" w:line="240" w:lineRule="auto"/>
              <w:rPr>
                <w:rFonts w:ascii="Times New Roman" w:hAnsi="Times New Roman" w:cs="Times New Roman"/>
              </w:rPr>
            </w:pPr>
          </w:p>
          <w:p w14:paraId="39C36C43" w14:textId="77777777" w:rsidR="00926F66" w:rsidRPr="001300A9" w:rsidRDefault="00926F66" w:rsidP="004D7FA3">
            <w:pPr>
              <w:spacing w:after="0" w:line="240" w:lineRule="auto"/>
              <w:rPr>
                <w:rFonts w:ascii="Times New Roman" w:hAnsi="Times New Roman" w:cs="Times New Roman"/>
              </w:rPr>
            </w:pPr>
          </w:p>
          <w:p w14:paraId="0E654B01" w14:textId="77777777" w:rsidR="00926F66" w:rsidRPr="001300A9" w:rsidRDefault="00926F66" w:rsidP="004D7FA3">
            <w:pPr>
              <w:spacing w:after="0" w:line="240" w:lineRule="auto"/>
              <w:rPr>
                <w:rFonts w:ascii="Times New Roman" w:hAnsi="Times New Roman" w:cs="Times New Roman"/>
              </w:rPr>
            </w:pPr>
          </w:p>
          <w:p w14:paraId="65085E57" w14:textId="77777777" w:rsidR="00926F66" w:rsidRPr="001300A9" w:rsidRDefault="00926F66" w:rsidP="004D7FA3">
            <w:pPr>
              <w:spacing w:after="0" w:line="240" w:lineRule="auto"/>
              <w:rPr>
                <w:rFonts w:ascii="Times New Roman" w:hAnsi="Times New Roman" w:cs="Times New Roman"/>
              </w:rPr>
            </w:pPr>
          </w:p>
          <w:p w14:paraId="715F875B" w14:textId="77777777" w:rsidR="00926F66" w:rsidRPr="001300A9" w:rsidRDefault="00926F66" w:rsidP="004D7FA3">
            <w:pPr>
              <w:spacing w:after="0" w:line="240" w:lineRule="auto"/>
              <w:rPr>
                <w:rFonts w:ascii="Times New Roman" w:hAnsi="Times New Roman" w:cs="Times New Roman"/>
              </w:rPr>
            </w:pPr>
          </w:p>
          <w:p w14:paraId="28A5747D" w14:textId="77777777" w:rsidR="00926F66" w:rsidRPr="001300A9" w:rsidRDefault="00926F66" w:rsidP="004D7FA3">
            <w:pPr>
              <w:spacing w:after="0" w:line="240" w:lineRule="auto"/>
              <w:rPr>
                <w:rFonts w:ascii="Times New Roman" w:hAnsi="Times New Roman" w:cs="Times New Roman"/>
              </w:rPr>
            </w:pPr>
          </w:p>
          <w:p w14:paraId="40C3EEBC" w14:textId="77777777" w:rsidR="00926F66" w:rsidRPr="001300A9" w:rsidRDefault="00926F66" w:rsidP="004D7FA3">
            <w:pPr>
              <w:spacing w:after="0" w:line="240" w:lineRule="auto"/>
              <w:rPr>
                <w:rFonts w:ascii="Times New Roman" w:hAnsi="Times New Roman" w:cs="Times New Roman"/>
              </w:rPr>
            </w:pPr>
          </w:p>
          <w:p w14:paraId="22241F7E" w14:textId="77777777" w:rsidR="00926F66" w:rsidRPr="001300A9" w:rsidRDefault="00926F66" w:rsidP="004D7FA3">
            <w:pPr>
              <w:spacing w:after="0" w:line="240" w:lineRule="auto"/>
              <w:rPr>
                <w:rFonts w:ascii="Times New Roman" w:hAnsi="Times New Roman" w:cs="Times New Roman"/>
              </w:rPr>
            </w:pPr>
          </w:p>
          <w:p w14:paraId="432E7B6B" w14:textId="77777777" w:rsidR="00926F66" w:rsidRPr="001300A9" w:rsidRDefault="00926F66" w:rsidP="004D7FA3">
            <w:pPr>
              <w:spacing w:after="0" w:line="240" w:lineRule="auto"/>
              <w:rPr>
                <w:rFonts w:ascii="Times New Roman" w:hAnsi="Times New Roman" w:cs="Times New Roman"/>
              </w:rPr>
            </w:pPr>
          </w:p>
          <w:p w14:paraId="128E4FA8" w14:textId="77777777" w:rsidR="00926F66" w:rsidRPr="001300A9" w:rsidRDefault="00926F66" w:rsidP="004D7FA3">
            <w:pPr>
              <w:spacing w:after="0" w:line="240" w:lineRule="auto"/>
              <w:rPr>
                <w:rFonts w:ascii="Times New Roman" w:hAnsi="Times New Roman" w:cs="Times New Roman"/>
              </w:rPr>
            </w:pPr>
          </w:p>
          <w:p w14:paraId="2A42F320" w14:textId="77777777" w:rsidR="00926F66" w:rsidRPr="001300A9" w:rsidRDefault="00926F66" w:rsidP="004D7FA3">
            <w:pPr>
              <w:spacing w:after="0" w:line="240" w:lineRule="auto"/>
              <w:rPr>
                <w:rFonts w:ascii="Times New Roman" w:hAnsi="Times New Roman" w:cs="Times New Roman"/>
              </w:rPr>
            </w:pPr>
          </w:p>
          <w:p w14:paraId="74378E5A" w14:textId="77777777" w:rsidR="00926F66" w:rsidRPr="001300A9" w:rsidRDefault="00926F66" w:rsidP="004D7FA3">
            <w:pPr>
              <w:spacing w:after="0" w:line="240" w:lineRule="auto"/>
              <w:rPr>
                <w:rFonts w:ascii="Times New Roman" w:hAnsi="Times New Roman" w:cs="Times New Roman"/>
              </w:rPr>
            </w:pPr>
          </w:p>
          <w:p w14:paraId="18238DDF" w14:textId="77777777" w:rsidR="00926F66" w:rsidRPr="001300A9" w:rsidRDefault="00926F66" w:rsidP="004D7FA3">
            <w:pPr>
              <w:spacing w:after="0" w:line="240" w:lineRule="auto"/>
              <w:rPr>
                <w:rFonts w:ascii="Times New Roman" w:hAnsi="Times New Roman" w:cs="Times New Roman"/>
              </w:rPr>
            </w:pPr>
          </w:p>
          <w:p w14:paraId="3D1FDC80" w14:textId="77777777" w:rsidR="00926F66" w:rsidRPr="001300A9" w:rsidRDefault="00926F66" w:rsidP="004D7FA3">
            <w:pPr>
              <w:spacing w:after="0" w:line="240" w:lineRule="auto"/>
              <w:rPr>
                <w:rFonts w:ascii="Times New Roman" w:hAnsi="Times New Roman" w:cs="Times New Roman"/>
              </w:rPr>
            </w:pPr>
          </w:p>
          <w:p w14:paraId="5D232D5F" w14:textId="77777777" w:rsidR="00926F66" w:rsidRPr="001300A9" w:rsidRDefault="00926F66" w:rsidP="004D7FA3">
            <w:pPr>
              <w:spacing w:after="0" w:line="240" w:lineRule="auto"/>
              <w:rPr>
                <w:rFonts w:ascii="Times New Roman" w:hAnsi="Times New Roman" w:cs="Times New Roman"/>
              </w:rPr>
            </w:pPr>
          </w:p>
          <w:p w14:paraId="290ED333" w14:textId="77777777" w:rsidR="00926F66" w:rsidRPr="001300A9" w:rsidRDefault="00926F66" w:rsidP="004D7FA3">
            <w:pPr>
              <w:spacing w:after="0" w:line="240" w:lineRule="auto"/>
              <w:rPr>
                <w:rFonts w:ascii="Times New Roman" w:hAnsi="Times New Roman" w:cs="Times New Roman"/>
              </w:rPr>
            </w:pPr>
          </w:p>
          <w:p w14:paraId="159790C0" w14:textId="77777777" w:rsidR="00926F66" w:rsidRPr="001300A9" w:rsidRDefault="00926F66" w:rsidP="004D7FA3">
            <w:pPr>
              <w:spacing w:after="0" w:line="240" w:lineRule="auto"/>
              <w:rPr>
                <w:rFonts w:ascii="Times New Roman" w:hAnsi="Times New Roman" w:cs="Times New Roman"/>
              </w:rPr>
            </w:pPr>
          </w:p>
          <w:p w14:paraId="69A070EC" w14:textId="77777777" w:rsidR="00926F66" w:rsidRPr="001300A9" w:rsidRDefault="00926F66" w:rsidP="004D7FA3">
            <w:pPr>
              <w:spacing w:after="0" w:line="240" w:lineRule="auto"/>
              <w:rPr>
                <w:rFonts w:ascii="Times New Roman" w:hAnsi="Times New Roman" w:cs="Times New Roman"/>
              </w:rPr>
            </w:pPr>
          </w:p>
          <w:p w14:paraId="19051B36" w14:textId="77777777" w:rsidR="00926F66" w:rsidRPr="001300A9" w:rsidRDefault="00926F66" w:rsidP="004D7FA3">
            <w:pPr>
              <w:spacing w:after="0" w:line="240" w:lineRule="auto"/>
              <w:rPr>
                <w:rFonts w:ascii="Times New Roman" w:hAnsi="Times New Roman" w:cs="Times New Roman"/>
              </w:rPr>
            </w:pPr>
          </w:p>
          <w:p w14:paraId="16F0998C" w14:textId="77777777" w:rsidR="00926F66" w:rsidRPr="001300A9" w:rsidRDefault="00926F66" w:rsidP="004D7FA3">
            <w:pPr>
              <w:spacing w:after="0" w:line="240" w:lineRule="auto"/>
              <w:rPr>
                <w:rFonts w:ascii="Times New Roman" w:hAnsi="Times New Roman" w:cs="Times New Roman"/>
              </w:rPr>
            </w:pPr>
          </w:p>
          <w:p w14:paraId="449EE288" w14:textId="77777777" w:rsidR="00926F66" w:rsidRPr="001300A9" w:rsidRDefault="00926F66" w:rsidP="004D7FA3">
            <w:pPr>
              <w:spacing w:after="0" w:line="240" w:lineRule="auto"/>
              <w:rPr>
                <w:rFonts w:ascii="Times New Roman" w:hAnsi="Times New Roman" w:cs="Times New Roman"/>
              </w:rPr>
            </w:pPr>
          </w:p>
          <w:p w14:paraId="2E4AFD2B" w14:textId="77777777" w:rsidR="00926F66" w:rsidRPr="001300A9" w:rsidRDefault="00926F66" w:rsidP="004D7FA3">
            <w:pPr>
              <w:spacing w:after="0" w:line="240" w:lineRule="auto"/>
              <w:rPr>
                <w:rFonts w:ascii="Times New Roman" w:hAnsi="Times New Roman" w:cs="Times New Roman"/>
              </w:rPr>
            </w:pPr>
          </w:p>
          <w:p w14:paraId="42A815AF" w14:textId="77777777" w:rsidR="00926F66" w:rsidRPr="001300A9" w:rsidRDefault="00926F66" w:rsidP="004D7FA3">
            <w:pPr>
              <w:spacing w:after="0" w:line="240" w:lineRule="auto"/>
              <w:rPr>
                <w:rFonts w:ascii="Times New Roman" w:hAnsi="Times New Roman" w:cs="Times New Roman"/>
              </w:rPr>
            </w:pPr>
          </w:p>
          <w:p w14:paraId="5C8064DA" w14:textId="77777777" w:rsidR="00926F66" w:rsidRPr="001300A9" w:rsidRDefault="00926F66" w:rsidP="004D7FA3">
            <w:pPr>
              <w:spacing w:after="0" w:line="240" w:lineRule="auto"/>
              <w:rPr>
                <w:rFonts w:ascii="Times New Roman" w:hAnsi="Times New Roman" w:cs="Times New Roman"/>
              </w:rPr>
            </w:pPr>
          </w:p>
          <w:p w14:paraId="45EEDDCD" w14:textId="77777777" w:rsidR="00926F66" w:rsidRPr="001300A9" w:rsidRDefault="00926F66" w:rsidP="004D7FA3">
            <w:pPr>
              <w:spacing w:after="0" w:line="240" w:lineRule="auto"/>
              <w:rPr>
                <w:rFonts w:ascii="Times New Roman" w:hAnsi="Times New Roman" w:cs="Times New Roman"/>
              </w:rPr>
            </w:pPr>
          </w:p>
          <w:p w14:paraId="142B364F" w14:textId="77777777" w:rsidR="00926F66" w:rsidRPr="001300A9" w:rsidRDefault="00926F66" w:rsidP="004D7FA3">
            <w:pPr>
              <w:spacing w:after="0" w:line="240" w:lineRule="auto"/>
              <w:rPr>
                <w:rFonts w:ascii="Times New Roman" w:hAnsi="Times New Roman" w:cs="Times New Roman"/>
              </w:rPr>
            </w:pPr>
          </w:p>
          <w:p w14:paraId="208F7DA4" w14:textId="6E43D8F5" w:rsidR="00926F66" w:rsidRDefault="00926F66" w:rsidP="004D7FA3">
            <w:pPr>
              <w:spacing w:after="0" w:line="240" w:lineRule="auto"/>
              <w:rPr>
                <w:rFonts w:ascii="Times New Roman" w:hAnsi="Times New Roman" w:cs="Times New Roman"/>
              </w:rPr>
            </w:pPr>
          </w:p>
          <w:p w14:paraId="3BE72D8F" w14:textId="77777777" w:rsidR="00730219" w:rsidRPr="001300A9" w:rsidRDefault="00730219" w:rsidP="004D7FA3">
            <w:pPr>
              <w:spacing w:after="0" w:line="240" w:lineRule="auto"/>
              <w:rPr>
                <w:rFonts w:ascii="Times New Roman" w:hAnsi="Times New Roman" w:cs="Times New Roman"/>
              </w:rPr>
            </w:pPr>
          </w:p>
          <w:p w14:paraId="5469F852" w14:textId="77777777" w:rsidR="004D7FA3" w:rsidRDefault="004D7FA3" w:rsidP="004D7FA3">
            <w:pPr>
              <w:spacing w:after="0" w:line="240" w:lineRule="auto"/>
              <w:rPr>
                <w:rFonts w:ascii="Times New Roman" w:hAnsi="Times New Roman" w:cs="Times New Roman"/>
              </w:rPr>
            </w:pPr>
          </w:p>
          <w:p w14:paraId="046B1103" w14:textId="77777777" w:rsidR="004D7FA3" w:rsidRDefault="004D7FA3" w:rsidP="004D7FA3">
            <w:pPr>
              <w:spacing w:after="0" w:line="240" w:lineRule="auto"/>
              <w:rPr>
                <w:rFonts w:ascii="Times New Roman" w:hAnsi="Times New Roman" w:cs="Times New Roman"/>
              </w:rPr>
            </w:pPr>
          </w:p>
          <w:p w14:paraId="17AE9662" w14:textId="77777777" w:rsidR="004D7FA3" w:rsidRDefault="004D7FA3" w:rsidP="004D7FA3">
            <w:pPr>
              <w:spacing w:after="0" w:line="240" w:lineRule="auto"/>
              <w:rPr>
                <w:rFonts w:ascii="Times New Roman" w:hAnsi="Times New Roman" w:cs="Times New Roman"/>
              </w:rPr>
            </w:pPr>
          </w:p>
          <w:p w14:paraId="6B1952D9" w14:textId="77777777" w:rsidR="004D7FA3" w:rsidRDefault="004D7FA3" w:rsidP="004D7FA3">
            <w:pPr>
              <w:spacing w:after="0" w:line="240" w:lineRule="auto"/>
              <w:rPr>
                <w:rFonts w:ascii="Times New Roman" w:hAnsi="Times New Roman" w:cs="Times New Roman"/>
              </w:rPr>
            </w:pPr>
          </w:p>
          <w:p w14:paraId="3328595D" w14:textId="77777777" w:rsidR="004D7FA3" w:rsidRDefault="004D7FA3" w:rsidP="004D7FA3">
            <w:pPr>
              <w:spacing w:after="0" w:line="240" w:lineRule="auto"/>
              <w:rPr>
                <w:rFonts w:ascii="Times New Roman" w:hAnsi="Times New Roman" w:cs="Times New Roman"/>
              </w:rPr>
            </w:pPr>
          </w:p>
          <w:p w14:paraId="006BFC57" w14:textId="6AE9121A" w:rsidR="004D7FA3" w:rsidRDefault="004D7FA3" w:rsidP="004D7FA3">
            <w:pPr>
              <w:spacing w:after="0" w:line="240" w:lineRule="auto"/>
              <w:rPr>
                <w:rFonts w:ascii="Times New Roman" w:hAnsi="Times New Roman" w:cs="Times New Roman"/>
              </w:rPr>
            </w:pPr>
          </w:p>
          <w:p w14:paraId="3E4AA835" w14:textId="0B380D89" w:rsidR="00926F66" w:rsidRPr="001300A9" w:rsidRDefault="00926F66" w:rsidP="004D7FA3">
            <w:pPr>
              <w:spacing w:after="0" w:line="240" w:lineRule="auto"/>
              <w:rPr>
                <w:rFonts w:ascii="Times New Roman" w:hAnsi="Times New Roman" w:cs="Times New Roman"/>
              </w:rPr>
            </w:pPr>
            <w:r w:rsidRPr="001300A9">
              <w:rPr>
                <w:rFonts w:ascii="Times New Roman" w:hAnsi="Times New Roman" w:cs="Times New Roman"/>
              </w:rPr>
              <w:t>GP - N</w:t>
            </w:r>
          </w:p>
          <w:p w14:paraId="1F044AB2" w14:textId="77777777" w:rsidR="005B02EA" w:rsidRPr="001300A9" w:rsidRDefault="005B02EA" w:rsidP="00115D7B">
            <w:pPr>
              <w:spacing w:after="0"/>
              <w:rPr>
                <w:rFonts w:ascii="Times New Roman" w:hAnsi="Times New Roman" w:cs="Times New Roman"/>
              </w:rPr>
            </w:pPr>
          </w:p>
          <w:p w14:paraId="1093D7B8" w14:textId="77777777" w:rsidR="005B02EA" w:rsidRPr="001300A9" w:rsidRDefault="005B02EA" w:rsidP="00115D7B">
            <w:pPr>
              <w:spacing w:after="0"/>
              <w:rPr>
                <w:rFonts w:ascii="Times New Roman" w:hAnsi="Times New Roman" w:cs="Times New Roman"/>
              </w:rPr>
            </w:pPr>
          </w:p>
          <w:p w14:paraId="0976E6BB" w14:textId="77777777" w:rsidR="005B02EA" w:rsidRPr="001300A9" w:rsidRDefault="005B02EA" w:rsidP="00115D7B">
            <w:pPr>
              <w:spacing w:after="0"/>
              <w:rPr>
                <w:rFonts w:ascii="Times New Roman" w:hAnsi="Times New Roman" w:cs="Times New Roman"/>
              </w:rPr>
            </w:pPr>
          </w:p>
          <w:p w14:paraId="5407DE81" w14:textId="77777777" w:rsidR="005B02EA" w:rsidRPr="001300A9" w:rsidRDefault="005B02EA" w:rsidP="00115D7B">
            <w:pPr>
              <w:spacing w:after="0"/>
              <w:rPr>
                <w:rFonts w:ascii="Times New Roman" w:hAnsi="Times New Roman" w:cs="Times New Roman"/>
              </w:rPr>
            </w:pPr>
          </w:p>
          <w:p w14:paraId="2BDBDFBB" w14:textId="77777777" w:rsidR="005B02EA" w:rsidRPr="001300A9" w:rsidRDefault="005B02EA" w:rsidP="00115D7B">
            <w:pPr>
              <w:spacing w:after="0"/>
              <w:rPr>
                <w:rFonts w:ascii="Times New Roman" w:hAnsi="Times New Roman" w:cs="Times New Roman"/>
              </w:rPr>
            </w:pPr>
          </w:p>
          <w:p w14:paraId="2C7FAD54" w14:textId="77777777" w:rsidR="005B02EA" w:rsidRPr="001300A9" w:rsidRDefault="005B02EA" w:rsidP="00115D7B">
            <w:pPr>
              <w:spacing w:after="0"/>
              <w:rPr>
                <w:rFonts w:ascii="Times New Roman" w:hAnsi="Times New Roman" w:cs="Times New Roman"/>
              </w:rPr>
            </w:pPr>
          </w:p>
          <w:p w14:paraId="0023B768" w14:textId="77777777" w:rsidR="005B02EA" w:rsidRPr="001300A9" w:rsidRDefault="005B02EA" w:rsidP="00115D7B">
            <w:pPr>
              <w:spacing w:after="0"/>
              <w:rPr>
                <w:rFonts w:ascii="Times New Roman" w:hAnsi="Times New Roman" w:cs="Times New Roman"/>
              </w:rPr>
            </w:pPr>
          </w:p>
          <w:p w14:paraId="2AA96608" w14:textId="77777777" w:rsidR="005B02EA" w:rsidRPr="001300A9" w:rsidRDefault="005B02EA" w:rsidP="00115D7B">
            <w:pPr>
              <w:spacing w:after="0"/>
              <w:rPr>
                <w:rFonts w:ascii="Times New Roman" w:hAnsi="Times New Roman" w:cs="Times New Roman"/>
              </w:rPr>
            </w:pPr>
          </w:p>
          <w:p w14:paraId="2AA64DBD" w14:textId="77777777" w:rsidR="005B02EA" w:rsidRPr="001300A9" w:rsidRDefault="005B02EA" w:rsidP="00115D7B">
            <w:pPr>
              <w:spacing w:after="0"/>
              <w:rPr>
                <w:rFonts w:ascii="Times New Roman" w:hAnsi="Times New Roman" w:cs="Times New Roman"/>
              </w:rPr>
            </w:pPr>
          </w:p>
          <w:p w14:paraId="48CC966B" w14:textId="77777777" w:rsidR="005B02EA" w:rsidRPr="001300A9" w:rsidRDefault="005B02EA" w:rsidP="00115D7B">
            <w:pPr>
              <w:spacing w:after="0"/>
              <w:rPr>
                <w:rFonts w:ascii="Times New Roman" w:hAnsi="Times New Roman" w:cs="Times New Roman"/>
              </w:rPr>
            </w:pPr>
          </w:p>
          <w:p w14:paraId="5B24BCB4" w14:textId="77777777" w:rsidR="005B02EA" w:rsidRPr="001300A9" w:rsidRDefault="005B02EA" w:rsidP="00115D7B">
            <w:pPr>
              <w:spacing w:after="0"/>
              <w:rPr>
                <w:rFonts w:ascii="Times New Roman" w:hAnsi="Times New Roman" w:cs="Times New Roman"/>
              </w:rPr>
            </w:pPr>
          </w:p>
          <w:p w14:paraId="54EA6773" w14:textId="77777777" w:rsidR="005B02EA" w:rsidRPr="001300A9" w:rsidRDefault="005B02EA" w:rsidP="00115D7B">
            <w:pPr>
              <w:spacing w:after="0"/>
              <w:rPr>
                <w:rFonts w:ascii="Times New Roman" w:hAnsi="Times New Roman" w:cs="Times New Roman"/>
              </w:rPr>
            </w:pPr>
          </w:p>
          <w:p w14:paraId="7FF8370C" w14:textId="77777777" w:rsidR="005B02EA" w:rsidRPr="001300A9" w:rsidRDefault="005B02EA" w:rsidP="00115D7B">
            <w:pPr>
              <w:spacing w:after="0"/>
              <w:rPr>
                <w:rFonts w:ascii="Times New Roman" w:hAnsi="Times New Roman" w:cs="Times New Roman"/>
              </w:rPr>
            </w:pPr>
          </w:p>
          <w:p w14:paraId="672B9B55" w14:textId="77777777" w:rsidR="005B02EA" w:rsidRPr="001300A9" w:rsidRDefault="005B02EA" w:rsidP="00115D7B">
            <w:pPr>
              <w:spacing w:after="0"/>
              <w:rPr>
                <w:rFonts w:ascii="Times New Roman" w:hAnsi="Times New Roman" w:cs="Times New Roman"/>
              </w:rPr>
            </w:pPr>
          </w:p>
          <w:p w14:paraId="181B8D3E" w14:textId="77777777" w:rsidR="005B02EA" w:rsidRPr="001300A9" w:rsidRDefault="005B02EA" w:rsidP="00115D7B">
            <w:pPr>
              <w:spacing w:after="0"/>
              <w:rPr>
                <w:rFonts w:ascii="Times New Roman" w:hAnsi="Times New Roman" w:cs="Times New Roman"/>
              </w:rPr>
            </w:pPr>
          </w:p>
          <w:p w14:paraId="2E1F852C" w14:textId="77777777" w:rsidR="005B02EA" w:rsidRPr="001300A9" w:rsidRDefault="005B02EA" w:rsidP="00115D7B">
            <w:pPr>
              <w:spacing w:after="0"/>
              <w:rPr>
                <w:rFonts w:ascii="Times New Roman" w:hAnsi="Times New Roman" w:cs="Times New Roman"/>
              </w:rPr>
            </w:pPr>
          </w:p>
          <w:p w14:paraId="098E7A5D" w14:textId="77777777" w:rsidR="005B02EA" w:rsidRPr="001300A9" w:rsidRDefault="005B02EA" w:rsidP="00115D7B">
            <w:pPr>
              <w:spacing w:after="0"/>
              <w:rPr>
                <w:rFonts w:ascii="Times New Roman" w:hAnsi="Times New Roman" w:cs="Times New Roman"/>
              </w:rPr>
            </w:pPr>
          </w:p>
          <w:p w14:paraId="20AC0895" w14:textId="77777777" w:rsidR="005B02EA" w:rsidRPr="001300A9" w:rsidRDefault="005B02EA" w:rsidP="00115D7B">
            <w:pPr>
              <w:spacing w:after="0"/>
              <w:rPr>
                <w:rFonts w:ascii="Times New Roman" w:hAnsi="Times New Roman" w:cs="Times New Roman"/>
              </w:rPr>
            </w:pPr>
          </w:p>
          <w:p w14:paraId="4AF8DDF2" w14:textId="77777777" w:rsidR="005B02EA" w:rsidRPr="001300A9" w:rsidRDefault="005B02EA" w:rsidP="00115D7B">
            <w:pPr>
              <w:spacing w:after="0"/>
              <w:rPr>
                <w:rFonts w:ascii="Times New Roman" w:hAnsi="Times New Roman" w:cs="Times New Roman"/>
              </w:rPr>
            </w:pPr>
          </w:p>
          <w:p w14:paraId="429B9A41" w14:textId="77777777" w:rsidR="005B02EA" w:rsidRPr="001300A9" w:rsidRDefault="005B02EA" w:rsidP="00115D7B">
            <w:pPr>
              <w:spacing w:after="0"/>
              <w:rPr>
                <w:rFonts w:ascii="Times New Roman" w:hAnsi="Times New Roman" w:cs="Times New Roman"/>
              </w:rPr>
            </w:pPr>
          </w:p>
          <w:p w14:paraId="5DA9AF2F" w14:textId="77777777" w:rsidR="005B02EA" w:rsidRPr="001300A9" w:rsidRDefault="005B02EA" w:rsidP="00115D7B">
            <w:pPr>
              <w:spacing w:after="0"/>
              <w:rPr>
                <w:rFonts w:ascii="Times New Roman" w:hAnsi="Times New Roman" w:cs="Times New Roman"/>
              </w:rPr>
            </w:pPr>
          </w:p>
          <w:p w14:paraId="49F957C9" w14:textId="77777777" w:rsidR="005B02EA" w:rsidRPr="001300A9" w:rsidRDefault="005B02EA" w:rsidP="00115D7B">
            <w:pPr>
              <w:spacing w:after="0"/>
              <w:rPr>
                <w:rFonts w:ascii="Times New Roman" w:hAnsi="Times New Roman" w:cs="Times New Roman"/>
              </w:rPr>
            </w:pPr>
          </w:p>
          <w:p w14:paraId="708E2E94" w14:textId="77777777" w:rsidR="005B02EA" w:rsidRPr="001300A9" w:rsidRDefault="005B02EA" w:rsidP="00115D7B">
            <w:pPr>
              <w:spacing w:after="0"/>
              <w:rPr>
                <w:rFonts w:ascii="Times New Roman" w:hAnsi="Times New Roman" w:cs="Times New Roman"/>
              </w:rPr>
            </w:pPr>
          </w:p>
          <w:p w14:paraId="57BE442B" w14:textId="77777777" w:rsidR="005B02EA" w:rsidRPr="001300A9" w:rsidRDefault="005B02EA" w:rsidP="00115D7B">
            <w:pPr>
              <w:spacing w:after="0"/>
              <w:rPr>
                <w:rFonts w:ascii="Times New Roman" w:hAnsi="Times New Roman" w:cs="Times New Roman"/>
              </w:rPr>
            </w:pPr>
          </w:p>
          <w:p w14:paraId="6A18DE29" w14:textId="77777777" w:rsidR="005B02EA" w:rsidRPr="001300A9" w:rsidRDefault="005B02EA" w:rsidP="00115D7B">
            <w:pPr>
              <w:spacing w:after="0"/>
              <w:rPr>
                <w:rFonts w:ascii="Times New Roman" w:hAnsi="Times New Roman" w:cs="Times New Roman"/>
              </w:rPr>
            </w:pPr>
          </w:p>
          <w:p w14:paraId="139BF382" w14:textId="77777777" w:rsidR="005B02EA" w:rsidRPr="001300A9" w:rsidRDefault="005B02EA" w:rsidP="00115D7B">
            <w:pPr>
              <w:spacing w:after="0"/>
              <w:rPr>
                <w:rFonts w:ascii="Times New Roman" w:hAnsi="Times New Roman" w:cs="Times New Roman"/>
              </w:rPr>
            </w:pPr>
          </w:p>
          <w:p w14:paraId="121DA536" w14:textId="77777777" w:rsidR="005B02EA" w:rsidRPr="001300A9" w:rsidRDefault="005B02EA" w:rsidP="00115D7B">
            <w:pPr>
              <w:spacing w:after="0"/>
              <w:rPr>
                <w:rFonts w:ascii="Times New Roman" w:hAnsi="Times New Roman" w:cs="Times New Roman"/>
              </w:rPr>
            </w:pPr>
          </w:p>
          <w:p w14:paraId="4089C2DD" w14:textId="77777777" w:rsidR="005B02EA" w:rsidRPr="001300A9" w:rsidRDefault="005B02EA" w:rsidP="00115D7B">
            <w:pPr>
              <w:spacing w:after="0"/>
              <w:rPr>
                <w:rFonts w:ascii="Times New Roman" w:hAnsi="Times New Roman" w:cs="Times New Roman"/>
              </w:rPr>
            </w:pPr>
          </w:p>
          <w:p w14:paraId="6AA1F6AF" w14:textId="77777777" w:rsidR="005B02EA" w:rsidRPr="001300A9" w:rsidRDefault="005B02EA" w:rsidP="00115D7B">
            <w:pPr>
              <w:spacing w:after="0"/>
              <w:rPr>
                <w:rFonts w:ascii="Times New Roman" w:hAnsi="Times New Roman" w:cs="Times New Roman"/>
              </w:rPr>
            </w:pPr>
          </w:p>
          <w:p w14:paraId="1F583BF6" w14:textId="77777777" w:rsidR="005B02EA" w:rsidRPr="001300A9" w:rsidRDefault="005B02EA" w:rsidP="00115D7B">
            <w:pPr>
              <w:spacing w:after="0"/>
              <w:rPr>
                <w:rFonts w:ascii="Times New Roman" w:hAnsi="Times New Roman" w:cs="Times New Roman"/>
              </w:rPr>
            </w:pPr>
          </w:p>
          <w:p w14:paraId="1D4F888A" w14:textId="77777777" w:rsidR="005B02EA" w:rsidRPr="001300A9" w:rsidRDefault="005B02EA" w:rsidP="00115D7B">
            <w:pPr>
              <w:spacing w:after="0"/>
              <w:rPr>
                <w:rFonts w:ascii="Times New Roman" w:hAnsi="Times New Roman" w:cs="Times New Roman"/>
              </w:rPr>
            </w:pPr>
          </w:p>
          <w:p w14:paraId="1E8CAB73" w14:textId="77777777" w:rsidR="005B02EA" w:rsidRPr="001300A9" w:rsidRDefault="005B02EA" w:rsidP="00115D7B">
            <w:pPr>
              <w:spacing w:after="0"/>
              <w:rPr>
                <w:rFonts w:ascii="Times New Roman" w:hAnsi="Times New Roman" w:cs="Times New Roman"/>
              </w:rPr>
            </w:pPr>
          </w:p>
          <w:p w14:paraId="52BCDE4D" w14:textId="77777777" w:rsidR="005B02EA" w:rsidRPr="001300A9" w:rsidRDefault="005B02EA" w:rsidP="00115D7B">
            <w:pPr>
              <w:spacing w:after="0"/>
              <w:rPr>
                <w:rFonts w:ascii="Times New Roman" w:hAnsi="Times New Roman" w:cs="Times New Roman"/>
              </w:rPr>
            </w:pPr>
          </w:p>
          <w:p w14:paraId="1AFE35D2" w14:textId="77777777" w:rsidR="005B02EA" w:rsidRPr="001300A9" w:rsidRDefault="005B02EA" w:rsidP="00115D7B">
            <w:pPr>
              <w:spacing w:after="0"/>
              <w:rPr>
                <w:rFonts w:ascii="Times New Roman" w:hAnsi="Times New Roman" w:cs="Times New Roman"/>
              </w:rPr>
            </w:pPr>
          </w:p>
          <w:p w14:paraId="76330020" w14:textId="77777777" w:rsidR="005B02EA" w:rsidRPr="001300A9" w:rsidRDefault="005B02EA" w:rsidP="00115D7B">
            <w:pPr>
              <w:spacing w:after="0"/>
              <w:rPr>
                <w:rFonts w:ascii="Times New Roman" w:hAnsi="Times New Roman" w:cs="Times New Roman"/>
              </w:rPr>
            </w:pPr>
          </w:p>
          <w:p w14:paraId="08C7E1AA" w14:textId="77777777" w:rsidR="005B02EA" w:rsidRPr="001300A9" w:rsidRDefault="005B02EA" w:rsidP="00115D7B">
            <w:pPr>
              <w:spacing w:after="0"/>
              <w:rPr>
                <w:rFonts w:ascii="Times New Roman" w:hAnsi="Times New Roman" w:cs="Times New Roman"/>
              </w:rPr>
            </w:pPr>
          </w:p>
          <w:p w14:paraId="77FC6DF9" w14:textId="77777777" w:rsidR="005B02EA" w:rsidRPr="001300A9" w:rsidRDefault="005B02EA" w:rsidP="00115D7B">
            <w:pPr>
              <w:spacing w:after="0"/>
              <w:rPr>
                <w:rFonts w:ascii="Times New Roman" w:hAnsi="Times New Roman" w:cs="Times New Roman"/>
              </w:rPr>
            </w:pPr>
          </w:p>
          <w:p w14:paraId="597C0431" w14:textId="77777777" w:rsidR="005B02EA" w:rsidRPr="001300A9" w:rsidRDefault="005B02EA" w:rsidP="00115D7B">
            <w:pPr>
              <w:spacing w:after="0"/>
              <w:rPr>
                <w:rFonts w:ascii="Times New Roman" w:hAnsi="Times New Roman" w:cs="Times New Roman"/>
              </w:rPr>
            </w:pPr>
          </w:p>
          <w:p w14:paraId="3F64A71F" w14:textId="77777777" w:rsidR="005B02EA" w:rsidRPr="001300A9" w:rsidRDefault="005B02EA" w:rsidP="00115D7B">
            <w:pPr>
              <w:spacing w:after="0"/>
              <w:rPr>
                <w:rFonts w:ascii="Times New Roman" w:hAnsi="Times New Roman" w:cs="Times New Roman"/>
              </w:rPr>
            </w:pPr>
          </w:p>
          <w:p w14:paraId="34423F87" w14:textId="77777777" w:rsidR="005B02EA" w:rsidRPr="001300A9" w:rsidRDefault="005B02EA" w:rsidP="00115D7B">
            <w:pPr>
              <w:spacing w:after="0"/>
              <w:rPr>
                <w:rFonts w:ascii="Times New Roman" w:hAnsi="Times New Roman" w:cs="Times New Roman"/>
              </w:rPr>
            </w:pPr>
          </w:p>
          <w:p w14:paraId="501351E3" w14:textId="77777777" w:rsidR="005B02EA" w:rsidRPr="001300A9" w:rsidRDefault="005B02EA" w:rsidP="00115D7B">
            <w:pPr>
              <w:spacing w:after="0"/>
              <w:rPr>
                <w:rFonts w:ascii="Times New Roman" w:hAnsi="Times New Roman" w:cs="Times New Roman"/>
              </w:rPr>
            </w:pPr>
          </w:p>
          <w:p w14:paraId="007547BD" w14:textId="77777777" w:rsidR="005B02EA" w:rsidRPr="001300A9" w:rsidRDefault="005B02EA" w:rsidP="00115D7B">
            <w:pPr>
              <w:spacing w:after="0"/>
              <w:rPr>
                <w:rFonts w:ascii="Times New Roman" w:hAnsi="Times New Roman" w:cs="Times New Roman"/>
              </w:rPr>
            </w:pPr>
          </w:p>
          <w:p w14:paraId="77EA5994" w14:textId="77777777" w:rsidR="005B02EA" w:rsidRPr="001300A9" w:rsidRDefault="005B02EA" w:rsidP="00115D7B">
            <w:pPr>
              <w:spacing w:after="0"/>
              <w:rPr>
                <w:rFonts w:ascii="Times New Roman" w:hAnsi="Times New Roman" w:cs="Times New Roman"/>
              </w:rPr>
            </w:pPr>
          </w:p>
          <w:p w14:paraId="3FAB9958" w14:textId="77777777" w:rsidR="005B02EA" w:rsidRPr="001300A9" w:rsidRDefault="005B02EA" w:rsidP="00115D7B">
            <w:pPr>
              <w:spacing w:after="0"/>
              <w:rPr>
                <w:rFonts w:ascii="Times New Roman" w:hAnsi="Times New Roman" w:cs="Times New Roman"/>
              </w:rPr>
            </w:pPr>
          </w:p>
          <w:p w14:paraId="225FE2A3" w14:textId="77777777" w:rsidR="005B02EA" w:rsidRPr="001300A9" w:rsidRDefault="005B02EA" w:rsidP="00115D7B">
            <w:pPr>
              <w:spacing w:after="0"/>
              <w:rPr>
                <w:rFonts w:ascii="Times New Roman" w:hAnsi="Times New Roman" w:cs="Times New Roman"/>
              </w:rPr>
            </w:pPr>
          </w:p>
          <w:p w14:paraId="6191926F" w14:textId="77777777" w:rsidR="005B02EA" w:rsidRPr="001300A9" w:rsidRDefault="005B02EA" w:rsidP="00115D7B">
            <w:pPr>
              <w:spacing w:after="0"/>
              <w:rPr>
                <w:rFonts w:ascii="Times New Roman" w:hAnsi="Times New Roman" w:cs="Times New Roman"/>
              </w:rPr>
            </w:pPr>
          </w:p>
          <w:p w14:paraId="59CAADF6" w14:textId="77777777" w:rsidR="005B02EA" w:rsidRPr="001300A9" w:rsidRDefault="005B02EA" w:rsidP="00115D7B">
            <w:pPr>
              <w:spacing w:after="0"/>
              <w:rPr>
                <w:rFonts w:ascii="Times New Roman" w:hAnsi="Times New Roman" w:cs="Times New Roman"/>
              </w:rPr>
            </w:pPr>
          </w:p>
          <w:p w14:paraId="11BBD7D8" w14:textId="77777777" w:rsidR="005B02EA" w:rsidRPr="001300A9" w:rsidRDefault="005B02EA" w:rsidP="00115D7B">
            <w:pPr>
              <w:spacing w:after="0"/>
              <w:rPr>
                <w:rFonts w:ascii="Times New Roman" w:hAnsi="Times New Roman" w:cs="Times New Roman"/>
              </w:rPr>
            </w:pPr>
          </w:p>
          <w:p w14:paraId="2EB48CEE" w14:textId="77777777" w:rsidR="005B02EA" w:rsidRPr="001300A9" w:rsidRDefault="005B02EA" w:rsidP="00115D7B">
            <w:pPr>
              <w:spacing w:after="0"/>
              <w:rPr>
                <w:rFonts w:ascii="Times New Roman" w:hAnsi="Times New Roman" w:cs="Times New Roman"/>
              </w:rPr>
            </w:pPr>
          </w:p>
          <w:p w14:paraId="1B26335F" w14:textId="77777777" w:rsidR="005B02EA" w:rsidRPr="001300A9" w:rsidRDefault="005B02EA" w:rsidP="00115D7B">
            <w:pPr>
              <w:spacing w:after="0"/>
              <w:rPr>
                <w:rFonts w:ascii="Times New Roman" w:hAnsi="Times New Roman" w:cs="Times New Roman"/>
              </w:rPr>
            </w:pPr>
          </w:p>
          <w:p w14:paraId="05C15216" w14:textId="77777777" w:rsidR="005B02EA" w:rsidRPr="001300A9" w:rsidRDefault="005B02EA" w:rsidP="00115D7B">
            <w:pPr>
              <w:spacing w:after="0"/>
              <w:rPr>
                <w:rFonts w:ascii="Times New Roman" w:hAnsi="Times New Roman" w:cs="Times New Roman"/>
              </w:rPr>
            </w:pPr>
          </w:p>
          <w:p w14:paraId="3AB7624D" w14:textId="77777777" w:rsidR="005B02EA" w:rsidRPr="001300A9" w:rsidRDefault="005B02EA" w:rsidP="00115D7B">
            <w:pPr>
              <w:spacing w:after="0"/>
              <w:rPr>
                <w:rFonts w:ascii="Times New Roman" w:hAnsi="Times New Roman" w:cs="Times New Roman"/>
              </w:rPr>
            </w:pPr>
          </w:p>
          <w:p w14:paraId="2ED611CD" w14:textId="77777777" w:rsidR="005B02EA" w:rsidRPr="001300A9" w:rsidRDefault="005B02EA" w:rsidP="00115D7B">
            <w:pPr>
              <w:spacing w:after="0"/>
              <w:rPr>
                <w:rFonts w:ascii="Times New Roman" w:hAnsi="Times New Roman" w:cs="Times New Roman"/>
              </w:rPr>
            </w:pPr>
          </w:p>
          <w:p w14:paraId="715030B2" w14:textId="77777777" w:rsidR="005B02EA" w:rsidRPr="001300A9" w:rsidRDefault="005B02EA" w:rsidP="00115D7B">
            <w:pPr>
              <w:spacing w:after="0"/>
              <w:rPr>
                <w:rFonts w:ascii="Times New Roman" w:hAnsi="Times New Roman" w:cs="Times New Roman"/>
              </w:rPr>
            </w:pPr>
          </w:p>
          <w:p w14:paraId="5842F9DC" w14:textId="77777777" w:rsidR="005B02EA" w:rsidRPr="001300A9" w:rsidRDefault="005B02EA" w:rsidP="00115D7B">
            <w:pPr>
              <w:spacing w:after="0"/>
              <w:rPr>
                <w:rFonts w:ascii="Times New Roman" w:hAnsi="Times New Roman" w:cs="Times New Roman"/>
              </w:rPr>
            </w:pPr>
          </w:p>
          <w:p w14:paraId="4DB55335" w14:textId="77777777" w:rsidR="005B02EA" w:rsidRPr="001300A9" w:rsidRDefault="005B02EA" w:rsidP="00115D7B">
            <w:pPr>
              <w:spacing w:after="0"/>
              <w:rPr>
                <w:rFonts w:ascii="Times New Roman" w:hAnsi="Times New Roman" w:cs="Times New Roman"/>
              </w:rPr>
            </w:pPr>
          </w:p>
          <w:p w14:paraId="59C0CDB9" w14:textId="77777777" w:rsidR="005B02EA" w:rsidRPr="001300A9" w:rsidRDefault="005B02EA" w:rsidP="00115D7B">
            <w:pPr>
              <w:spacing w:after="0"/>
              <w:rPr>
                <w:rFonts w:ascii="Times New Roman" w:hAnsi="Times New Roman" w:cs="Times New Roman"/>
              </w:rPr>
            </w:pPr>
          </w:p>
          <w:p w14:paraId="409762B2" w14:textId="77777777" w:rsidR="005B02EA" w:rsidRPr="001300A9" w:rsidRDefault="005B02EA" w:rsidP="00115D7B">
            <w:pPr>
              <w:spacing w:after="0"/>
              <w:rPr>
                <w:rFonts w:ascii="Times New Roman" w:hAnsi="Times New Roman" w:cs="Times New Roman"/>
              </w:rPr>
            </w:pPr>
          </w:p>
          <w:p w14:paraId="6FA6DA3F" w14:textId="77777777" w:rsidR="005B02EA" w:rsidRPr="001300A9" w:rsidRDefault="005B02EA" w:rsidP="00115D7B">
            <w:pPr>
              <w:spacing w:after="0"/>
              <w:rPr>
                <w:rFonts w:ascii="Times New Roman" w:hAnsi="Times New Roman" w:cs="Times New Roman"/>
              </w:rPr>
            </w:pPr>
          </w:p>
          <w:p w14:paraId="44B16962" w14:textId="77777777" w:rsidR="005B02EA" w:rsidRPr="001300A9" w:rsidRDefault="005B02EA" w:rsidP="00115D7B">
            <w:pPr>
              <w:spacing w:after="0"/>
              <w:rPr>
                <w:rFonts w:ascii="Times New Roman" w:hAnsi="Times New Roman" w:cs="Times New Roman"/>
              </w:rPr>
            </w:pPr>
          </w:p>
          <w:p w14:paraId="4AC67C6A" w14:textId="77777777" w:rsidR="005B02EA" w:rsidRPr="001300A9" w:rsidRDefault="005B02EA" w:rsidP="00115D7B">
            <w:pPr>
              <w:spacing w:after="0"/>
              <w:rPr>
                <w:rFonts w:ascii="Times New Roman" w:hAnsi="Times New Roman" w:cs="Times New Roman"/>
              </w:rPr>
            </w:pPr>
          </w:p>
          <w:p w14:paraId="7A3222E2" w14:textId="77777777" w:rsidR="005B02EA" w:rsidRPr="001300A9" w:rsidRDefault="005B02EA" w:rsidP="00115D7B">
            <w:pPr>
              <w:spacing w:after="0"/>
              <w:rPr>
                <w:rFonts w:ascii="Times New Roman" w:hAnsi="Times New Roman" w:cs="Times New Roman"/>
              </w:rPr>
            </w:pPr>
          </w:p>
          <w:p w14:paraId="40A6EFCF" w14:textId="77777777" w:rsidR="005B02EA" w:rsidRPr="001300A9" w:rsidRDefault="005B02EA" w:rsidP="00115D7B">
            <w:pPr>
              <w:spacing w:after="0"/>
              <w:rPr>
                <w:rFonts w:ascii="Times New Roman" w:hAnsi="Times New Roman" w:cs="Times New Roman"/>
              </w:rPr>
            </w:pPr>
          </w:p>
          <w:p w14:paraId="50DEECD2" w14:textId="77777777" w:rsidR="005B02EA" w:rsidRPr="001300A9" w:rsidRDefault="005B02EA" w:rsidP="00115D7B">
            <w:pPr>
              <w:spacing w:after="0"/>
              <w:rPr>
                <w:rFonts w:ascii="Times New Roman" w:hAnsi="Times New Roman" w:cs="Times New Roman"/>
              </w:rPr>
            </w:pPr>
          </w:p>
          <w:p w14:paraId="355B9C82" w14:textId="77777777" w:rsidR="005B02EA" w:rsidRPr="001300A9" w:rsidRDefault="005B02EA" w:rsidP="00115D7B">
            <w:pPr>
              <w:spacing w:after="0"/>
              <w:rPr>
                <w:rFonts w:ascii="Times New Roman" w:hAnsi="Times New Roman" w:cs="Times New Roman"/>
              </w:rPr>
            </w:pPr>
          </w:p>
          <w:p w14:paraId="29CB65C9" w14:textId="77777777" w:rsidR="005B02EA" w:rsidRPr="001300A9" w:rsidRDefault="005B02EA" w:rsidP="00115D7B">
            <w:pPr>
              <w:spacing w:after="0"/>
              <w:rPr>
                <w:rFonts w:ascii="Times New Roman" w:hAnsi="Times New Roman" w:cs="Times New Roman"/>
              </w:rPr>
            </w:pPr>
          </w:p>
          <w:p w14:paraId="2DDD859D" w14:textId="77777777" w:rsidR="005B02EA" w:rsidRPr="001300A9" w:rsidRDefault="005B02EA" w:rsidP="00115D7B">
            <w:pPr>
              <w:spacing w:after="0"/>
              <w:rPr>
                <w:rFonts w:ascii="Times New Roman" w:hAnsi="Times New Roman" w:cs="Times New Roman"/>
              </w:rPr>
            </w:pPr>
          </w:p>
          <w:p w14:paraId="2764A8CE" w14:textId="77777777" w:rsidR="005B02EA" w:rsidRPr="001300A9" w:rsidRDefault="005B02EA" w:rsidP="00115D7B">
            <w:pPr>
              <w:spacing w:after="0"/>
              <w:rPr>
                <w:rFonts w:ascii="Times New Roman" w:hAnsi="Times New Roman" w:cs="Times New Roman"/>
              </w:rPr>
            </w:pPr>
          </w:p>
          <w:p w14:paraId="0D404055" w14:textId="77777777" w:rsidR="005B02EA" w:rsidRPr="001300A9" w:rsidRDefault="005B02EA" w:rsidP="00115D7B">
            <w:pPr>
              <w:spacing w:after="0"/>
              <w:rPr>
                <w:rFonts w:ascii="Times New Roman" w:hAnsi="Times New Roman" w:cs="Times New Roman"/>
              </w:rPr>
            </w:pPr>
          </w:p>
          <w:p w14:paraId="537EC424" w14:textId="77777777" w:rsidR="005B02EA" w:rsidRPr="001300A9" w:rsidRDefault="005B02EA" w:rsidP="00115D7B">
            <w:pPr>
              <w:spacing w:after="0"/>
              <w:rPr>
                <w:rFonts w:ascii="Times New Roman" w:hAnsi="Times New Roman" w:cs="Times New Roman"/>
              </w:rPr>
            </w:pPr>
          </w:p>
          <w:p w14:paraId="06CD7838" w14:textId="77777777" w:rsidR="005B02EA" w:rsidRPr="001300A9" w:rsidRDefault="005B02EA" w:rsidP="00115D7B">
            <w:pPr>
              <w:spacing w:after="0"/>
              <w:rPr>
                <w:rFonts w:ascii="Times New Roman" w:hAnsi="Times New Roman" w:cs="Times New Roman"/>
              </w:rPr>
            </w:pPr>
          </w:p>
          <w:p w14:paraId="25CE8A15" w14:textId="77777777" w:rsidR="005B02EA" w:rsidRPr="001300A9" w:rsidRDefault="005B02EA" w:rsidP="00115D7B">
            <w:pPr>
              <w:spacing w:after="0"/>
              <w:rPr>
                <w:rFonts w:ascii="Times New Roman" w:hAnsi="Times New Roman" w:cs="Times New Roman"/>
              </w:rPr>
            </w:pPr>
          </w:p>
          <w:p w14:paraId="6CD5784E" w14:textId="77777777" w:rsidR="005B02EA" w:rsidRPr="001300A9" w:rsidRDefault="005B02EA" w:rsidP="00115D7B">
            <w:pPr>
              <w:spacing w:after="0"/>
              <w:rPr>
                <w:rFonts w:ascii="Times New Roman" w:hAnsi="Times New Roman" w:cs="Times New Roman"/>
              </w:rPr>
            </w:pPr>
          </w:p>
          <w:p w14:paraId="2E05DA94" w14:textId="77777777" w:rsidR="005B02EA" w:rsidRPr="001300A9" w:rsidRDefault="005B02EA" w:rsidP="00115D7B">
            <w:pPr>
              <w:spacing w:after="0"/>
              <w:rPr>
                <w:rFonts w:ascii="Times New Roman" w:hAnsi="Times New Roman" w:cs="Times New Roman"/>
              </w:rPr>
            </w:pPr>
          </w:p>
          <w:p w14:paraId="404D10B4" w14:textId="77777777" w:rsidR="005B02EA" w:rsidRPr="001300A9" w:rsidRDefault="005B02EA" w:rsidP="00115D7B">
            <w:pPr>
              <w:spacing w:after="0"/>
              <w:rPr>
                <w:rFonts w:ascii="Times New Roman" w:hAnsi="Times New Roman" w:cs="Times New Roman"/>
              </w:rPr>
            </w:pPr>
          </w:p>
          <w:p w14:paraId="310BD8CF" w14:textId="77777777" w:rsidR="005B02EA" w:rsidRPr="001300A9" w:rsidRDefault="005B02EA" w:rsidP="00115D7B">
            <w:pPr>
              <w:spacing w:after="0"/>
              <w:rPr>
                <w:rFonts w:ascii="Times New Roman" w:hAnsi="Times New Roman" w:cs="Times New Roman"/>
              </w:rPr>
            </w:pPr>
          </w:p>
          <w:p w14:paraId="6305AD06" w14:textId="77777777" w:rsidR="005B02EA" w:rsidRPr="001300A9" w:rsidRDefault="005B02EA" w:rsidP="00115D7B">
            <w:pPr>
              <w:spacing w:after="0"/>
              <w:rPr>
                <w:rFonts w:ascii="Times New Roman" w:hAnsi="Times New Roman" w:cs="Times New Roman"/>
              </w:rPr>
            </w:pPr>
          </w:p>
          <w:p w14:paraId="7DAE7B7E" w14:textId="77777777" w:rsidR="005B02EA" w:rsidRPr="001300A9" w:rsidRDefault="005B02EA" w:rsidP="00115D7B">
            <w:pPr>
              <w:spacing w:after="0"/>
              <w:rPr>
                <w:rFonts w:ascii="Times New Roman" w:hAnsi="Times New Roman" w:cs="Times New Roman"/>
              </w:rPr>
            </w:pPr>
          </w:p>
          <w:p w14:paraId="742BA1E0" w14:textId="77777777" w:rsidR="005B02EA" w:rsidRPr="001300A9" w:rsidRDefault="005B02EA" w:rsidP="00115D7B">
            <w:pPr>
              <w:spacing w:after="0"/>
              <w:rPr>
                <w:rFonts w:ascii="Times New Roman" w:hAnsi="Times New Roman" w:cs="Times New Roman"/>
              </w:rPr>
            </w:pPr>
          </w:p>
          <w:p w14:paraId="6F253BEC" w14:textId="77777777" w:rsidR="005B02EA" w:rsidRPr="001300A9" w:rsidRDefault="005B02EA" w:rsidP="00115D7B">
            <w:pPr>
              <w:spacing w:after="0"/>
              <w:rPr>
                <w:rFonts w:ascii="Times New Roman" w:hAnsi="Times New Roman" w:cs="Times New Roman"/>
              </w:rPr>
            </w:pPr>
          </w:p>
          <w:p w14:paraId="6D249E7C" w14:textId="77777777" w:rsidR="005B02EA" w:rsidRPr="001300A9" w:rsidRDefault="005B02EA" w:rsidP="00115D7B">
            <w:pPr>
              <w:spacing w:after="0"/>
              <w:rPr>
                <w:rFonts w:ascii="Times New Roman" w:hAnsi="Times New Roman" w:cs="Times New Roman"/>
              </w:rPr>
            </w:pPr>
          </w:p>
          <w:p w14:paraId="3F47EF34" w14:textId="77777777" w:rsidR="005B02EA" w:rsidRPr="001300A9" w:rsidRDefault="005B02EA" w:rsidP="00115D7B">
            <w:pPr>
              <w:spacing w:after="0"/>
              <w:rPr>
                <w:rFonts w:ascii="Times New Roman" w:hAnsi="Times New Roman" w:cs="Times New Roman"/>
              </w:rPr>
            </w:pPr>
          </w:p>
          <w:p w14:paraId="1C1987B0" w14:textId="77777777" w:rsidR="005B02EA" w:rsidRPr="001300A9" w:rsidRDefault="005B02EA" w:rsidP="00115D7B">
            <w:pPr>
              <w:spacing w:after="0"/>
              <w:rPr>
                <w:rFonts w:ascii="Times New Roman" w:hAnsi="Times New Roman" w:cs="Times New Roman"/>
              </w:rPr>
            </w:pPr>
          </w:p>
          <w:p w14:paraId="69B39933" w14:textId="77777777" w:rsidR="005B02EA" w:rsidRPr="001300A9" w:rsidRDefault="005B02EA" w:rsidP="00115D7B">
            <w:pPr>
              <w:spacing w:after="0"/>
              <w:rPr>
                <w:rFonts w:ascii="Times New Roman" w:hAnsi="Times New Roman" w:cs="Times New Roman"/>
              </w:rPr>
            </w:pPr>
          </w:p>
          <w:p w14:paraId="3CA58760" w14:textId="77777777" w:rsidR="005B02EA" w:rsidRPr="001300A9" w:rsidRDefault="005B02EA" w:rsidP="00115D7B">
            <w:pPr>
              <w:spacing w:after="0"/>
              <w:rPr>
                <w:rFonts w:ascii="Times New Roman" w:hAnsi="Times New Roman" w:cs="Times New Roman"/>
              </w:rPr>
            </w:pPr>
          </w:p>
          <w:p w14:paraId="0BE19A49" w14:textId="77777777" w:rsidR="005B02EA" w:rsidRPr="001300A9" w:rsidRDefault="005B02EA" w:rsidP="00115D7B">
            <w:pPr>
              <w:spacing w:after="0"/>
              <w:rPr>
                <w:rFonts w:ascii="Times New Roman" w:hAnsi="Times New Roman" w:cs="Times New Roman"/>
              </w:rPr>
            </w:pPr>
          </w:p>
          <w:p w14:paraId="3BB5A17E" w14:textId="77777777" w:rsidR="005B02EA" w:rsidRPr="001300A9" w:rsidRDefault="005B02EA" w:rsidP="00115D7B">
            <w:pPr>
              <w:spacing w:after="0"/>
              <w:rPr>
                <w:rFonts w:ascii="Times New Roman" w:hAnsi="Times New Roman" w:cs="Times New Roman"/>
              </w:rPr>
            </w:pPr>
          </w:p>
          <w:p w14:paraId="4455CBAA" w14:textId="77777777" w:rsidR="005B02EA" w:rsidRPr="001300A9" w:rsidRDefault="005B02EA" w:rsidP="00115D7B">
            <w:pPr>
              <w:spacing w:after="0"/>
              <w:rPr>
                <w:rFonts w:ascii="Times New Roman" w:hAnsi="Times New Roman" w:cs="Times New Roman"/>
              </w:rPr>
            </w:pPr>
          </w:p>
          <w:p w14:paraId="1A753694" w14:textId="77777777" w:rsidR="005B02EA" w:rsidRPr="001300A9" w:rsidRDefault="005B02EA" w:rsidP="00115D7B">
            <w:pPr>
              <w:spacing w:after="0"/>
              <w:rPr>
                <w:rFonts w:ascii="Times New Roman" w:hAnsi="Times New Roman" w:cs="Times New Roman"/>
              </w:rPr>
            </w:pPr>
          </w:p>
          <w:p w14:paraId="3D5ADBB4" w14:textId="77777777" w:rsidR="005B02EA" w:rsidRPr="001300A9" w:rsidRDefault="005B02EA" w:rsidP="00115D7B">
            <w:pPr>
              <w:spacing w:after="0"/>
              <w:rPr>
                <w:rFonts w:ascii="Times New Roman" w:hAnsi="Times New Roman" w:cs="Times New Roman"/>
              </w:rPr>
            </w:pPr>
          </w:p>
          <w:p w14:paraId="07659D4A" w14:textId="77777777" w:rsidR="005B02EA" w:rsidRPr="001300A9" w:rsidRDefault="005B02EA" w:rsidP="00115D7B">
            <w:pPr>
              <w:spacing w:after="0"/>
              <w:rPr>
                <w:rFonts w:ascii="Times New Roman" w:hAnsi="Times New Roman" w:cs="Times New Roman"/>
              </w:rPr>
            </w:pPr>
          </w:p>
          <w:p w14:paraId="724F57E0" w14:textId="77777777" w:rsidR="005B02EA" w:rsidRPr="001300A9" w:rsidRDefault="005B02EA" w:rsidP="00115D7B">
            <w:pPr>
              <w:spacing w:after="0"/>
              <w:rPr>
                <w:rFonts w:ascii="Times New Roman" w:hAnsi="Times New Roman" w:cs="Times New Roman"/>
              </w:rPr>
            </w:pPr>
          </w:p>
          <w:p w14:paraId="1E3CFC6B" w14:textId="77777777" w:rsidR="005B02EA" w:rsidRPr="001300A9" w:rsidRDefault="005B02EA" w:rsidP="00115D7B">
            <w:pPr>
              <w:spacing w:after="0"/>
              <w:rPr>
                <w:rFonts w:ascii="Times New Roman" w:hAnsi="Times New Roman" w:cs="Times New Roman"/>
              </w:rPr>
            </w:pPr>
          </w:p>
          <w:p w14:paraId="0290D6CA" w14:textId="77777777" w:rsidR="005B02EA" w:rsidRPr="001300A9" w:rsidRDefault="005B02EA" w:rsidP="00115D7B">
            <w:pPr>
              <w:spacing w:after="0"/>
              <w:rPr>
                <w:rFonts w:ascii="Times New Roman" w:hAnsi="Times New Roman" w:cs="Times New Roman"/>
              </w:rPr>
            </w:pPr>
          </w:p>
          <w:p w14:paraId="768C44E1" w14:textId="77777777" w:rsidR="005B02EA" w:rsidRPr="001300A9" w:rsidRDefault="005B02EA" w:rsidP="00115D7B">
            <w:pPr>
              <w:spacing w:after="0"/>
              <w:rPr>
                <w:rFonts w:ascii="Times New Roman" w:hAnsi="Times New Roman" w:cs="Times New Roman"/>
              </w:rPr>
            </w:pPr>
          </w:p>
          <w:p w14:paraId="44D15E84" w14:textId="77777777" w:rsidR="005B02EA" w:rsidRPr="001300A9" w:rsidRDefault="005B02EA" w:rsidP="00115D7B">
            <w:pPr>
              <w:spacing w:after="0"/>
              <w:rPr>
                <w:rFonts w:ascii="Times New Roman" w:hAnsi="Times New Roman" w:cs="Times New Roman"/>
              </w:rPr>
            </w:pPr>
          </w:p>
          <w:p w14:paraId="09DFD1FE" w14:textId="77777777" w:rsidR="005B02EA" w:rsidRPr="001300A9" w:rsidRDefault="005B02EA" w:rsidP="00115D7B">
            <w:pPr>
              <w:spacing w:after="0"/>
              <w:rPr>
                <w:rFonts w:ascii="Times New Roman" w:hAnsi="Times New Roman" w:cs="Times New Roman"/>
              </w:rPr>
            </w:pPr>
          </w:p>
          <w:p w14:paraId="72388B8F" w14:textId="77777777" w:rsidR="005B02EA" w:rsidRPr="001300A9" w:rsidRDefault="005B02EA" w:rsidP="00115D7B">
            <w:pPr>
              <w:spacing w:after="0"/>
              <w:rPr>
                <w:rFonts w:ascii="Times New Roman" w:hAnsi="Times New Roman" w:cs="Times New Roman"/>
              </w:rPr>
            </w:pPr>
          </w:p>
          <w:p w14:paraId="319FA8F0" w14:textId="77777777" w:rsidR="005B02EA" w:rsidRPr="001300A9" w:rsidRDefault="005B02EA" w:rsidP="00115D7B">
            <w:pPr>
              <w:spacing w:after="0"/>
              <w:rPr>
                <w:rFonts w:ascii="Times New Roman" w:hAnsi="Times New Roman" w:cs="Times New Roman"/>
              </w:rPr>
            </w:pPr>
          </w:p>
          <w:p w14:paraId="66C88382" w14:textId="77777777" w:rsidR="005B02EA" w:rsidRPr="001300A9" w:rsidRDefault="005B02EA" w:rsidP="00115D7B">
            <w:pPr>
              <w:spacing w:after="0"/>
              <w:rPr>
                <w:rFonts w:ascii="Times New Roman" w:hAnsi="Times New Roman" w:cs="Times New Roman"/>
              </w:rPr>
            </w:pPr>
          </w:p>
          <w:p w14:paraId="3E947730" w14:textId="77777777" w:rsidR="005B02EA" w:rsidRPr="001300A9" w:rsidRDefault="005B02EA" w:rsidP="00115D7B">
            <w:pPr>
              <w:spacing w:after="0"/>
              <w:rPr>
                <w:rFonts w:ascii="Times New Roman" w:hAnsi="Times New Roman" w:cs="Times New Roman"/>
              </w:rPr>
            </w:pPr>
          </w:p>
          <w:p w14:paraId="73931645" w14:textId="77777777" w:rsidR="005B02EA" w:rsidRPr="001300A9" w:rsidRDefault="005B02EA" w:rsidP="00115D7B">
            <w:pPr>
              <w:spacing w:after="0"/>
              <w:rPr>
                <w:rFonts w:ascii="Times New Roman" w:hAnsi="Times New Roman" w:cs="Times New Roman"/>
              </w:rPr>
            </w:pPr>
          </w:p>
          <w:p w14:paraId="296407BF" w14:textId="77777777" w:rsidR="005B02EA" w:rsidRPr="001300A9" w:rsidRDefault="005B02EA" w:rsidP="00115D7B">
            <w:pPr>
              <w:spacing w:after="0"/>
              <w:rPr>
                <w:rFonts w:ascii="Times New Roman" w:hAnsi="Times New Roman" w:cs="Times New Roman"/>
              </w:rPr>
            </w:pPr>
          </w:p>
          <w:p w14:paraId="2FAC1AF4" w14:textId="77777777" w:rsidR="005B02EA" w:rsidRPr="001300A9" w:rsidRDefault="005B02EA" w:rsidP="00115D7B">
            <w:pPr>
              <w:spacing w:after="0"/>
              <w:rPr>
                <w:rFonts w:ascii="Times New Roman" w:hAnsi="Times New Roman" w:cs="Times New Roman"/>
              </w:rPr>
            </w:pPr>
          </w:p>
          <w:p w14:paraId="3588A7B3" w14:textId="77777777" w:rsidR="005B02EA" w:rsidRPr="001300A9" w:rsidRDefault="005B02EA" w:rsidP="00115D7B">
            <w:pPr>
              <w:spacing w:after="0"/>
              <w:rPr>
                <w:rFonts w:ascii="Times New Roman" w:hAnsi="Times New Roman" w:cs="Times New Roman"/>
              </w:rPr>
            </w:pPr>
          </w:p>
          <w:p w14:paraId="616DA90B" w14:textId="77777777" w:rsidR="005B02EA" w:rsidRPr="001300A9" w:rsidRDefault="005B02EA" w:rsidP="00115D7B">
            <w:pPr>
              <w:spacing w:after="0"/>
              <w:rPr>
                <w:rFonts w:ascii="Times New Roman" w:hAnsi="Times New Roman" w:cs="Times New Roman"/>
              </w:rPr>
            </w:pPr>
          </w:p>
          <w:p w14:paraId="22D06FEA" w14:textId="77777777" w:rsidR="005B02EA" w:rsidRPr="001300A9" w:rsidRDefault="005B02EA" w:rsidP="00115D7B">
            <w:pPr>
              <w:spacing w:after="0"/>
              <w:rPr>
                <w:rFonts w:ascii="Times New Roman" w:hAnsi="Times New Roman" w:cs="Times New Roman"/>
              </w:rPr>
            </w:pPr>
          </w:p>
          <w:p w14:paraId="1F870F8B" w14:textId="77777777" w:rsidR="005B02EA" w:rsidRPr="001300A9" w:rsidRDefault="005B02EA" w:rsidP="00115D7B">
            <w:pPr>
              <w:spacing w:after="0"/>
              <w:rPr>
                <w:rFonts w:ascii="Times New Roman" w:hAnsi="Times New Roman" w:cs="Times New Roman"/>
              </w:rPr>
            </w:pPr>
          </w:p>
          <w:p w14:paraId="1A4E1FB3" w14:textId="77777777" w:rsidR="005B02EA" w:rsidRPr="001300A9" w:rsidRDefault="005B02EA" w:rsidP="00115D7B">
            <w:pPr>
              <w:spacing w:after="0"/>
              <w:rPr>
                <w:rFonts w:ascii="Times New Roman" w:hAnsi="Times New Roman" w:cs="Times New Roman"/>
              </w:rPr>
            </w:pPr>
          </w:p>
          <w:p w14:paraId="4BB02A80" w14:textId="77777777" w:rsidR="005B02EA" w:rsidRPr="001300A9" w:rsidRDefault="005B02EA" w:rsidP="00115D7B">
            <w:pPr>
              <w:spacing w:after="0"/>
              <w:rPr>
                <w:rFonts w:ascii="Times New Roman" w:hAnsi="Times New Roman" w:cs="Times New Roman"/>
              </w:rPr>
            </w:pPr>
          </w:p>
          <w:p w14:paraId="09FD74BF" w14:textId="77777777" w:rsidR="005B02EA" w:rsidRPr="001300A9" w:rsidRDefault="005B02EA" w:rsidP="00115D7B">
            <w:pPr>
              <w:spacing w:after="0"/>
              <w:rPr>
                <w:rFonts w:ascii="Times New Roman" w:hAnsi="Times New Roman" w:cs="Times New Roman"/>
              </w:rPr>
            </w:pPr>
          </w:p>
          <w:p w14:paraId="1D6B54AF" w14:textId="77777777" w:rsidR="005B02EA" w:rsidRPr="001300A9" w:rsidRDefault="005B02EA" w:rsidP="00115D7B">
            <w:pPr>
              <w:spacing w:after="0"/>
              <w:rPr>
                <w:rFonts w:ascii="Times New Roman" w:hAnsi="Times New Roman" w:cs="Times New Roman"/>
              </w:rPr>
            </w:pPr>
          </w:p>
          <w:p w14:paraId="44F6EB5F" w14:textId="77777777" w:rsidR="005B02EA" w:rsidRPr="001300A9" w:rsidRDefault="005B02EA" w:rsidP="00115D7B">
            <w:pPr>
              <w:spacing w:after="0"/>
              <w:rPr>
                <w:rFonts w:ascii="Times New Roman" w:hAnsi="Times New Roman" w:cs="Times New Roman"/>
              </w:rPr>
            </w:pPr>
          </w:p>
          <w:p w14:paraId="41E8B478" w14:textId="77777777" w:rsidR="005B02EA" w:rsidRPr="001300A9" w:rsidRDefault="005B02EA" w:rsidP="00115D7B">
            <w:pPr>
              <w:spacing w:after="0"/>
              <w:rPr>
                <w:rFonts w:ascii="Times New Roman" w:hAnsi="Times New Roman" w:cs="Times New Roman"/>
              </w:rPr>
            </w:pPr>
          </w:p>
          <w:p w14:paraId="5F7D0088" w14:textId="77777777" w:rsidR="005B02EA" w:rsidRPr="001300A9" w:rsidRDefault="005B02EA" w:rsidP="00115D7B">
            <w:pPr>
              <w:spacing w:after="0"/>
              <w:rPr>
                <w:rFonts w:ascii="Times New Roman" w:hAnsi="Times New Roman" w:cs="Times New Roman"/>
              </w:rPr>
            </w:pPr>
          </w:p>
          <w:p w14:paraId="2A290DDE" w14:textId="77777777" w:rsidR="005B02EA" w:rsidRPr="001300A9" w:rsidRDefault="005B02EA" w:rsidP="00115D7B">
            <w:pPr>
              <w:spacing w:after="0"/>
              <w:rPr>
                <w:rFonts w:ascii="Times New Roman" w:hAnsi="Times New Roman" w:cs="Times New Roman"/>
              </w:rPr>
            </w:pPr>
          </w:p>
          <w:p w14:paraId="6B5D13CB" w14:textId="77777777" w:rsidR="005B02EA" w:rsidRPr="001300A9" w:rsidRDefault="005B02EA" w:rsidP="00115D7B">
            <w:pPr>
              <w:spacing w:after="0"/>
              <w:rPr>
                <w:rFonts w:ascii="Times New Roman" w:hAnsi="Times New Roman" w:cs="Times New Roman"/>
              </w:rPr>
            </w:pPr>
          </w:p>
          <w:p w14:paraId="17E93496" w14:textId="77777777" w:rsidR="005B02EA" w:rsidRPr="001300A9" w:rsidRDefault="005B02EA" w:rsidP="00115D7B">
            <w:pPr>
              <w:spacing w:after="0"/>
              <w:rPr>
                <w:rFonts w:ascii="Times New Roman" w:hAnsi="Times New Roman" w:cs="Times New Roman"/>
              </w:rPr>
            </w:pPr>
          </w:p>
          <w:p w14:paraId="6C3F331C" w14:textId="77777777" w:rsidR="005B02EA" w:rsidRPr="001300A9" w:rsidRDefault="005B02EA" w:rsidP="00115D7B">
            <w:pPr>
              <w:spacing w:after="0"/>
              <w:rPr>
                <w:rFonts w:ascii="Times New Roman" w:hAnsi="Times New Roman" w:cs="Times New Roman"/>
              </w:rPr>
            </w:pPr>
          </w:p>
          <w:p w14:paraId="2EA5454D" w14:textId="77777777" w:rsidR="005B02EA" w:rsidRPr="001300A9" w:rsidRDefault="005B02EA" w:rsidP="00115D7B">
            <w:pPr>
              <w:spacing w:after="0"/>
              <w:rPr>
                <w:rFonts w:ascii="Times New Roman" w:hAnsi="Times New Roman" w:cs="Times New Roman"/>
              </w:rPr>
            </w:pPr>
          </w:p>
          <w:p w14:paraId="2B9738FA" w14:textId="77777777" w:rsidR="005B02EA" w:rsidRPr="001300A9" w:rsidRDefault="005B02EA" w:rsidP="00115D7B">
            <w:pPr>
              <w:spacing w:after="0"/>
              <w:rPr>
                <w:rFonts w:ascii="Times New Roman" w:hAnsi="Times New Roman" w:cs="Times New Roman"/>
              </w:rPr>
            </w:pPr>
          </w:p>
          <w:p w14:paraId="1646FC46" w14:textId="77777777" w:rsidR="005B02EA" w:rsidRPr="001300A9" w:rsidRDefault="005B02EA" w:rsidP="00115D7B">
            <w:pPr>
              <w:spacing w:after="0"/>
              <w:rPr>
                <w:rFonts w:ascii="Times New Roman" w:hAnsi="Times New Roman" w:cs="Times New Roman"/>
              </w:rPr>
            </w:pPr>
          </w:p>
          <w:p w14:paraId="4EA634E4" w14:textId="77777777" w:rsidR="005B02EA" w:rsidRPr="001300A9" w:rsidRDefault="005B02EA" w:rsidP="00115D7B">
            <w:pPr>
              <w:spacing w:after="0"/>
              <w:rPr>
                <w:rFonts w:ascii="Times New Roman" w:hAnsi="Times New Roman" w:cs="Times New Roman"/>
              </w:rPr>
            </w:pPr>
          </w:p>
          <w:p w14:paraId="3781D09D" w14:textId="77777777" w:rsidR="005B02EA" w:rsidRPr="001300A9" w:rsidRDefault="005B02EA" w:rsidP="00115D7B">
            <w:pPr>
              <w:spacing w:after="0"/>
              <w:rPr>
                <w:rFonts w:ascii="Times New Roman" w:hAnsi="Times New Roman" w:cs="Times New Roman"/>
              </w:rPr>
            </w:pPr>
          </w:p>
          <w:p w14:paraId="75759D55" w14:textId="77777777" w:rsidR="005B02EA" w:rsidRPr="001300A9" w:rsidRDefault="005B02EA" w:rsidP="00115D7B">
            <w:pPr>
              <w:spacing w:after="0"/>
              <w:rPr>
                <w:rFonts w:ascii="Times New Roman" w:hAnsi="Times New Roman" w:cs="Times New Roman"/>
              </w:rPr>
            </w:pPr>
          </w:p>
          <w:p w14:paraId="77627DD1" w14:textId="77777777" w:rsidR="005B02EA" w:rsidRPr="001300A9" w:rsidRDefault="005B02EA" w:rsidP="00115D7B">
            <w:pPr>
              <w:spacing w:after="0"/>
              <w:rPr>
                <w:rFonts w:ascii="Times New Roman" w:hAnsi="Times New Roman" w:cs="Times New Roman"/>
              </w:rPr>
            </w:pPr>
          </w:p>
          <w:p w14:paraId="4408D1E8" w14:textId="77777777" w:rsidR="005B02EA" w:rsidRPr="001300A9" w:rsidRDefault="005B02EA" w:rsidP="00115D7B">
            <w:pPr>
              <w:spacing w:after="0"/>
              <w:rPr>
                <w:rFonts w:ascii="Times New Roman" w:hAnsi="Times New Roman" w:cs="Times New Roman"/>
              </w:rPr>
            </w:pPr>
          </w:p>
          <w:p w14:paraId="66BDB071" w14:textId="77777777" w:rsidR="005B02EA" w:rsidRPr="001300A9" w:rsidRDefault="005B02EA" w:rsidP="00115D7B">
            <w:pPr>
              <w:spacing w:after="0"/>
              <w:rPr>
                <w:rFonts w:ascii="Times New Roman" w:hAnsi="Times New Roman" w:cs="Times New Roman"/>
              </w:rPr>
            </w:pPr>
          </w:p>
          <w:p w14:paraId="6C5DF1A3" w14:textId="77777777" w:rsidR="005B02EA" w:rsidRPr="001300A9" w:rsidRDefault="005B02EA" w:rsidP="00115D7B">
            <w:pPr>
              <w:spacing w:after="0"/>
              <w:rPr>
                <w:rFonts w:ascii="Times New Roman" w:hAnsi="Times New Roman" w:cs="Times New Roman"/>
              </w:rPr>
            </w:pPr>
          </w:p>
          <w:p w14:paraId="426AF109" w14:textId="77777777" w:rsidR="005B02EA" w:rsidRPr="001300A9" w:rsidRDefault="005B02EA" w:rsidP="00115D7B">
            <w:pPr>
              <w:spacing w:after="0"/>
              <w:rPr>
                <w:rFonts w:ascii="Times New Roman" w:hAnsi="Times New Roman" w:cs="Times New Roman"/>
              </w:rPr>
            </w:pPr>
          </w:p>
          <w:p w14:paraId="7109625D" w14:textId="77777777" w:rsidR="005B02EA" w:rsidRPr="001300A9" w:rsidRDefault="005B02EA" w:rsidP="00115D7B">
            <w:pPr>
              <w:spacing w:after="0"/>
              <w:rPr>
                <w:rFonts w:ascii="Times New Roman" w:hAnsi="Times New Roman" w:cs="Times New Roman"/>
              </w:rPr>
            </w:pPr>
          </w:p>
          <w:p w14:paraId="3B61EC5F" w14:textId="77777777" w:rsidR="005B02EA" w:rsidRPr="001300A9" w:rsidRDefault="005B02EA" w:rsidP="00115D7B">
            <w:pPr>
              <w:spacing w:after="0"/>
              <w:rPr>
                <w:rFonts w:ascii="Times New Roman" w:hAnsi="Times New Roman" w:cs="Times New Roman"/>
              </w:rPr>
            </w:pPr>
          </w:p>
          <w:p w14:paraId="75541AE5" w14:textId="77777777" w:rsidR="005B02EA" w:rsidRPr="001300A9" w:rsidRDefault="005B02EA" w:rsidP="00115D7B">
            <w:pPr>
              <w:spacing w:after="0"/>
              <w:rPr>
                <w:rFonts w:ascii="Times New Roman" w:hAnsi="Times New Roman" w:cs="Times New Roman"/>
              </w:rPr>
            </w:pPr>
          </w:p>
          <w:p w14:paraId="1BA7015F" w14:textId="77777777" w:rsidR="005B02EA" w:rsidRPr="001300A9" w:rsidRDefault="005B02EA" w:rsidP="00115D7B">
            <w:pPr>
              <w:spacing w:after="0"/>
              <w:rPr>
                <w:rFonts w:ascii="Times New Roman" w:hAnsi="Times New Roman" w:cs="Times New Roman"/>
              </w:rPr>
            </w:pPr>
          </w:p>
          <w:p w14:paraId="373AD616" w14:textId="77777777" w:rsidR="005B02EA" w:rsidRPr="001300A9" w:rsidRDefault="005B02EA" w:rsidP="00115D7B">
            <w:pPr>
              <w:spacing w:after="0"/>
              <w:rPr>
                <w:rFonts w:ascii="Times New Roman" w:hAnsi="Times New Roman" w:cs="Times New Roman"/>
              </w:rPr>
            </w:pPr>
          </w:p>
          <w:p w14:paraId="4DAF68EE" w14:textId="77777777" w:rsidR="005B02EA" w:rsidRPr="001300A9" w:rsidRDefault="005B02EA" w:rsidP="00115D7B">
            <w:pPr>
              <w:spacing w:after="0"/>
              <w:rPr>
                <w:rFonts w:ascii="Times New Roman" w:hAnsi="Times New Roman" w:cs="Times New Roman"/>
              </w:rPr>
            </w:pPr>
          </w:p>
          <w:p w14:paraId="44610833" w14:textId="77777777" w:rsidR="005B02EA" w:rsidRPr="001300A9" w:rsidRDefault="005B02EA" w:rsidP="00115D7B">
            <w:pPr>
              <w:spacing w:after="0"/>
              <w:rPr>
                <w:rFonts w:ascii="Times New Roman" w:hAnsi="Times New Roman" w:cs="Times New Roman"/>
              </w:rPr>
            </w:pPr>
          </w:p>
          <w:p w14:paraId="45D6C726" w14:textId="77777777" w:rsidR="005B02EA" w:rsidRPr="001300A9" w:rsidRDefault="005B02EA" w:rsidP="00115D7B">
            <w:pPr>
              <w:spacing w:after="0"/>
              <w:rPr>
                <w:rFonts w:ascii="Times New Roman" w:hAnsi="Times New Roman" w:cs="Times New Roman"/>
              </w:rPr>
            </w:pPr>
          </w:p>
          <w:p w14:paraId="1344B045" w14:textId="77777777" w:rsidR="005B02EA" w:rsidRPr="001300A9" w:rsidRDefault="005B02EA" w:rsidP="00115D7B">
            <w:pPr>
              <w:spacing w:after="0"/>
              <w:rPr>
                <w:rFonts w:ascii="Times New Roman" w:hAnsi="Times New Roman" w:cs="Times New Roman"/>
              </w:rPr>
            </w:pPr>
          </w:p>
          <w:p w14:paraId="0478BC92" w14:textId="77777777" w:rsidR="005B02EA" w:rsidRPr="001300A9" w:rsidRDefault="005B02EA" w:rsidP="00115D7B">
            <w:pPr>
              <w:spacing w:after="0"/>
              <w:rPr>
                <w:rFonts w:ascii="Times New Roman" w:hAnsi="Times New Roman" w:cs="Times New Roman"/>
              </w:rPr>
            </w:pPr>
          </w:p>
          <w:p w14:paraId="002F116D" w14:textId="77777777" w:rsidR="005B02EA" w:rsidRPr="001300A9" w:rsidRDefault="005B02EA" w:rsidP="00115D7B">
            <w:pPr>
              <w:spacing w:after="0"/>
              <w:rPr>
                <w:rFonts w:ascii="Times New Roman" w:hAnsi="Times New Roman" w:cs="Times New Roman"/>
              </w:rPr>
            </w:pPr>
          </w:p>
          <w:p w14:paraId="560918DF" w14:textId="77777777" w:rsidR="005B02EA" w:rsidRPr="001300A9" w:rsidRDefault="005B02EA" w:rsidP="00115D7B">
            <w:pPr>
              <w:spacing w:after="0"/>
              <w:rPr>
                <w:rFonts w:ascii="Times New Roman" w:hAnsi="Times New Roman" w:cs="Times New Roman"/>
              </w:rPr>
            </w:pPr>
          </w:p>
          <w:p w14:paraId="045A8F99" w14:textId="77777777" w:rsidR="005B02EA" w:rsidRPr="001300A9" w:rsidRDefault="005B02EA" w:rsidP="00115D7B">
            <w:pPr>
              <w:spacing w:after="0"/>
              <w:rPr>
                <w:rFonts w:ascii="Times New Roman" w:hAnsi="Times New Roman" w:cs="Times New Roman"/>
              </w:rPr>
            </w:pPr>
          </w:p>
          <w:p w14:paraId="36213151" w14:textId="77777777" w:rsidR="005B02EA" w:rsidRPr="001300A9" w:rsidRDefault="005B02EA" w:rsidP="00115D7B">
            <w:pPr>
              <w:spacing w:after="0"/>
              <w:rPr>
                <w:rFonts w:ascii="Times New Roman" w:hAnsi="Times New Roman" w:cs="Times New Roman"/>
              </w:rPr>
            </w:pPr>
          </w:p>
          <w:p w14:paraId="358B8BB1" w14:textId="77777777" w:rsidR="005B02EA" w:rsidRPr="001300A9" w:rsidRDefault="005B02EA" w:rsidP="00115D7B">
            <w:pPr>
              <w:spacing w:after="0"/>
              <w:rPr>
                <w:rFonts w:ascii="Times New Roman" w:hAnsi="Times New Roman" w:cs="Times New Roman"/>
              </w:rPr>
            </w:pPr>
          </w:p>
          <w:p w14:paraId="13C4114A" w14:textId="77777777" w:rsidR="005B02EA" w:rsidRPr="001300A9" w:rsidRDefault="005B02EA" w:rsidP="00115D7B">
            <w:pPr>
              <w:spacing w:after="0"/>
              <w:rPr>
                <w:rFonts w:ascii="Times New Roman" w:hAnsi="Times New Roman" w:cs="Times New Roman"/>
              </w:rPr>
            </w:pPr>
          </w:p>
          <w:p w14:paraId="7252B266" w14:textId="77777777" w:rsidR="005B02EA" w:rsidRPr="001300A9" w:rsidRDefault="005B02EA" w:rsidP="00115D7B">
            <w:pPr>
              <w:spacing w:after="0"/>
              <w:rPr>
                <w:rFonts w:ascii="Times New Roman" w:hAnsi="Times New Roman" w:cs="Times New Roman"/>
              </w:rPr>
            </w:pPr>
          </w:p>
          <w:p w14:paraId="41BF6870" w14:textId="77777777" w:rsidR="005B02EA" w:rsidRPr="001300A9" w:rsidRDefault="005B02EA" w:rsidP="00115D7B">
            <w:pPr>
              <w:spacing w:after="0"/>
              <w:rPr>
                <w:rFonts w:ascii="Times New Roman" w:hAnsi="Times New Roman" w:cs="Times New Roman"/>
              </w:rPr>
            </w:pPr>
          </w:p>
          <w:p w14:paraId="5F02113E" w14:textId="77777777" w:rsidR="005B02EA" w:rsidRPr="001300A9" w:rsidRDefault="005B02EA" w:rsidP="00115D7B">
            <w:pPr>
              <w:spacing w:after="0"/>
              <w:rPr>
                <w:rFonts w:ascii="Times New Roman" w:hAnsi="Times New Roman" w:cs="Times New Roman"/>
              </w:rPr>
            </w:pPr>
          </w:p>
          <w:p w14:paraId="0D84221A" w14:textId="77777777" w:rsidR="005B02EA" w:rsidRPr="001300A9" w:rsidRDefault="005B02EA" w:rsidP="00115D7B">
            <w:pPr>
              <w:spacing w:after="0"/>
              <w:rPr>
                <w:rFonts w:ascii="Times New Roman" w:hAnsi="Times New Roman" w:cs="Times New Roman"/>
              </w:rPr>
            </w:pPr>
          </w:p>
          <w:p w14:paraId="6F74CFD5" w14:textId="77777777" w:rsidR="005B02EA" w:rsidRPr="001300A9" w:rsidRDefault="005B02EA" w:rsidP="00115D7B">
            <w:pPr>
              <w:spacing w:after="0"/>
              <w:rPr>
                <w:rFonts w:ascii="Times New Roman" w:hAnsi="Times New Roman" w:cs="Times New Roman"/>
              </w:rPr>
            </w:pPr>
          </w:p>
          <w:p w14:paraId="5619894A" w14:textId="77777777" w:rsidR="005B02EA" w:rsidRPr="001300A9" w:rsidRDefault="005B02EA" w:rsidP="00115D7B">
            <w:pPr>
              <w:spacing w:after="0"/>
              <w:rPr>
                <w:rFonts w:ascii="Times New Roman" w:hAnsi="Times New Roman" w:cs="Times New Roman"/>
              </w:rPr>
            </w:pPr>
          </w:p>
          <w:p w14:paraId="2BCECA54" w14:textId="77777777" w:rsidR="005B02EA" w:rsidRPr="001300A9" w:rsidRDefault="005B02EA" w:rsidP="00115D7B">
            <w:pPr>
              <w:spacing w:after="0"/>
              <w:rPr>
                <w:rFonts w:ascii="Times New Roman" w:hAnsi="Times New Roman" w:cs="Times New Roman"/>
              </w:rPr>
            </w:pPr>
          </w:p>
          <w:p w14:paraId="7EBC12A5" w14:textId="77777777" w:rsidR="005B02EA" w:rsidRPr="001300A9" w:rsidRDefault="005B02EA" w:rsidP="00115D7B">
            <w:pPr>
              <w:spacing w:after="0"/>
              <w:rPr>
                <w:rFonts w:ascii="Times New Roman" w:hAnsi="Times New Roman" w:cs="Times New Roman"/>
              </w:rPr>
            </w:pPr>
          </w:p>
          <w:p w14:paraId="57A5303A" w14:textId="77777777" w:rsidR="005B02EA" w:rsidRPr="001300A9" w:rsidRDefault="005B02EA" w:rsidP="00115D7B">
            <w:pPr>
              <w:spacing w:after="0"/>
              <w:rPr>
                <w:rFonts w:ascii="Times New Roman" w:hAnsi="Times New Roman" w:cs="Times New Roman"/>
              </w:rPr>
            </w:pPr>
          </w:p>
          <w:p w14:paraId="3959B18D" w14:textId="77777777" w:rsidR="005B02EA" w:rsidRPr="001300A9" w:rsidRDefault="005B02EA" w:rsidP="00115D7B">
            <w:pPr>
              <w:spacing w:after="0"/>
              <w:rPr>
                <w:rFonts w:ascii="Times New Roman" w:hAnsi="Times New Roman" w:cs="Times New Roman"/>
              </w:rPr>
            </w:pPr>
          </w:p>
          <w:p w14:paraId="4DE534F4" w14:textId="77777777" w:rsidR="005B02EA" w:rsidRPr="001300A9" w:rsidRDefault="005B02EA" w:rsidP="00115D7B">
            <w:pPr>
              <w:spacing w:after="0"/>
              <w:rPr>
                <w:rFonts w:ascii="Times New Roman" w:hAnsi="Times New Roman" w:cs="Times New Roman"/>
              </w:rPr>
            </w:pPr>
          </w:p>
          <w:p w14:paraId="7D202240" w14:textId="77777777" w:rsidR="005B02EA" w:rsidRPr="001300A9" w:rsidRDefault="005B02EA" w:rsidP="00115D7B">
            <w:pPr>
              <w:spacing w:after="0"/>
              <w:rPr>
                <w:rFonts w:ascii="Times New Roman" w:hAnsi="Times New Roman" w:cs="Times New Roman"/>
              </w:rPr>
            </w:pPr>
          </w:p>
          <w:p w14:paraId="2159C92B" w14:textId="77777777" w:rsidR="005B02EA" w:rsidRPr="001300A9" w:rsidRDefault="005B02EA" w:rsidP="00115D7B">
            <w:pPr>
              <w:spacing w:after="0"/>
              <w:rPr>
                <w:rFonts w:ascii="Times New Roman" w:hAnsi="Times New Roman" w:cs="Times New Roman"/>
              </w:rPr>
            </w:pPr>
          </w:p>
          <w:p w14:paraId="38A8EFC8" w14:textId="77777777" w:rsidR="005B02EA" w:rsidRPr="001300A9" w:rsidRDefault="005B02EA" w:rsidP="00115D7B">
            <w:pPr>
              <w:spacing w:after="0"/>
              <w:rPr>
                <w:rFonts w:ascii="Times New Roman" w:hAnsi="Times New Roman" w:cs="Times New Roman"/>
              </w:rPr>
            </w:pPr>
          </w:p>
          <w:p w14:paraId="582ACAC0" w14:textId="77777777" w:rsidR="005B02EA" w:rsidRPr="001300A9" w:rsidRDefault="005B02EA" w:rsidP="00115D7B">
            <w:pPr>
              <w:spacing w:after="0"/>
              <w:rPr>
                <w:rFonts w:ascii="Times New Roman" w:hAnsi="Times New Roman" w:cs="Times New Roman"/>
              </w:rPr>
            </w:pPr>
          </w:p>
          <w:p w14:paraId="30964D00" w14:textId="77777777" w:rsidR="005B02EA" w:rsidRPr="001300A9" w:rsidRDefault="005B02EA" w:rsidP="00115D7B">
            <w:pPr>
              <w:spacing w:after="0"/>
              <w:rPr>
                <w:rFonts w:ascii="Times New Roman" w:hAnsi="Times New Roman" w:cs="Times New Roman"/>
              </w:rPr>
            </w:pPr>
          </w:p>
          <w:p w14:paraId="62EFC18F" w14:textId="77777777" w:rsidR="005B02EA" w:rsidRPr="001300A9" w:rsidRDefault="005B02EA" w:rsidP="00115D7B">
            <w:pPr>
              <w:spacing w:after="0"/>
              <w:rPr>
                <w:rFonts w:ascii="Times New Roman" w:hAnsi="Times New Roman" w:cs="Times New Roman"/>
              </w:rPr>
            </w:pPr>
          </w:p>
          <w:p w14:paraId="3BFB6A05" w14:textId="77777777" w:rsidR="005B02EA" w:rsidRPr="001300A9" w:rsidRDefault="005B02EA" w:rsidP="00115D7B">
            <w:pPr>
              <w:spacing w:after="0"/>
              <w:rPr>
                <w:rFonts w:ascii="Times New Roman" w:hAnsi="Times New Roman" w:cs="Times New Roman"/>
              </w:rPr>
            </w:pPr>
          </w:p>
          <w:p w14:paraId="4032852B" w14:textId="77777777" w:rsidR="005B02EA" w:rsidRPr="001300A9" w:rsidRDefault="005B02EA" w:rsidP="00115D7B">
            <w:pPr>
              <w:spacing w:after="0"/>
              <w:rPr>
                <w:rFonts w:ascii="Times New Roman" w:hAnsi="Times New Roman" w:cs="Times New Roman"/>
              </w:rPr>
            </w:pPr>
          </w:p>
          <w:p w14:paraId="3C88B344" w14:textId="77777777" w:rsidR="005B02EA" w:rsidRPr="001300A9" w:rsidRDefault="005B02EA" w:rsidP="00115D7B">
            <w:pPr>
              <w:spacing w:after="0"/>
              <w:rPr>
                <w:rFonts w:ascii="Times New Roman" w:hAnsi="Times New Roman" w:cs="Times New Roman"/>
              </w:rPr>
            </w:pPr>
          </w:p>
          <w:p w14:paraId="5C0AEF1A" w14:textId="77777777" w:rsidR="005B02EA" w:rsidRPr="001300A9" w:rsidRDefault="005B02EA" w:rsidP="00115D7B">
            <w:pPr>
              <w:spacing w:after="0"/>
              <w:rPr>
                <w:rFonts w:ascii="Times New Roman" w:hAnsi="Times New Roman" w:cs="Times New Roman"/>
              </w:rPr>
            </w:pPr>
          </w:p>
          <w:p w14:paraId="15A97F85" w14:textId="77777777" w:rsidR="005B02EA" w:rsidRPr="001300A9" w:rsidRDefault="005B02EA" w:rsidP="00115D7B">
            <w:pPr>
              <w:spacing w:after="0"/>
              <w:rPr>
                <w:rFonts w:ascii="Times New Roman" w:hAnsi="Times New Roman" w:cs="Times New Roman"/>
              </w:rPr>
            </w:pPr>
          </w:p>
          <w:p w14:paraId="3669D2E6" w14:textId="77777777" w:rsidR="005B02EA" w:rsidRPr="001300A9" w:rsidRDefault="005B02EA" w:rsidP="00115D7B">
            <w:pPr>
              <w:spacing w:after="0"/>
              <w:rPr>
                <w:rFonts w:ascii="Times New Roman" w:hAnsi="Times New Roman" w:cs="Times New Roman"/>
              </w:rPr>
            </w:pPr>
          </w:p>
          <w:p w14:paraId="065B9B6C" w14:textId="77777777" w:rsidR="005B02EA" w:rsidRPr="001300A9" w:rsidRDefault="005B02EA" w:rsidP="00115D7B">
            <w:pPr>
              <w:spacing w:after="0"/>
              <w:rPr>
                <w:rFonts w:ascii="Times New Roman" w:hAnsi="Times New Roman" w:cs="Times New Roman"/>
              </w:rPr>
            </w:pPr>
          </w:p>
          <w:p w14:paraId="025FE6DD" w14:textId="77777777" w:rsidR="005B02EA" w:rsidRPr="001300A9" w:rsidRDefault="005B02EA" w:rsidP="00115D7B">
            <w:pPr>
              <w:spacing w:after="0"/>
              <w:rPr>
                <w:rFonts w:ascii="Times New Roman" w:hAnsi="Times New Roman" w:cs="Times New Roman"/>
              </w:rPr>
            </w:pPr>
          </w:p>
          <w:p w14:paraId="0A3F60EB" w14:textId="77777777" w:rsidR="005B02EA" w:rsidRPr="001300A9" w:rsidRDefault="005B02EA" w:rsidP="00115D7B">
            <w:pPr>
              <w:spacing w:after="0"/>
              <w:rPr>
                <w:rFonts w:ascii="Times New Roman" w:hAnsi="Times New Roman" w:cs="Times New Roman"/>
              </w:rPr>
            </w:pPr>
          </w:p>
          <w:p w14:paraId="0C3BEC4B" w14:textId="77777777" w:rsidR="005B02EA" w:rsidRPr="001300A9" w:rsidRDefault="005B02EA" w:rsidP="00115D7B">
            <w:pPr>
              <w:spacing w:after="0"/>
              <w:rPr>
                <w:rFonts w:ascii="Times New Roman" w:hAnsi="Times New Roman" w:cs="Times New Roman"/>
              </w:rPr>
            </w:pPr>
          </w:p>
          <w:p w14:paraId="6F32CAD0" w14:textId="77777777" w:rsidR="005B02EA" w:rsidRPr="001300A9" w:rsidRDefault="005B02EA" w:rsidP="00115D7B">
            <w:pPr>
              <w:spacing w:after="0"/>
              <w:rPr>
                <w:rFonts w:ascii="Times New Roman" w:hAnsi="Times New Roman" w:cs="Times New Roman"/>
              </w:rPr>
            </w:pPr>
          </w:p>
          <w:p w14:paraId="0AC2FF2A" w14:textId="77777777" w:rsidR="005B02EA" w:rsidRPr="001300A9" w:rsidRDefault="005B02EA" w:rsidP="00115D7B">
            <w:pPr>
              <w:spacing w:after="0"/>
              <w:rPr>
                <w:rFonts w:ascii="Times New Roman" w:hAnsi="Times New Roman" w:cs="Times New Roman"/>
              </w:rPr>
            </w:pPr>
          </w:p>
          <w:p w14:paraId="6BE72910" w14:textId="77777777" w:rsidR="005B02EA" w:rsidRPr="001300A9" w:rsidRDefault="005B02EA" w:rsidP="00115D7B">
            <w:pPr>
              <w:spacing w:after="0"/>
              <w:rPr>
                <w:rFonts w:ascii="Times New Roman" w:hAnsi="Times New Roman" w:cs="Times New Roman"/>
              </w:rPr>
            </w:pPr>
          </w:p>
          <w:p w14:paraId="2FD2FE1E" w14:textId="77777777" w:rsidR="005B02EA" w:rsidRPr="001300A9" w:rsidRDefault="005B02EA" w:rsidP="00115D7B">
            <w:pPr>
              <w:spacing w:after="0"/>
              <w:rPr>
                <w:rFonts w:ascii="Times New Roman" w:hAnsi="Times New Roman" w:cs="Times New Roman"/>
              </w:rPr>
            </w:pPr>
          </w:p>
          <w:p w14:paraId="560EFD58" w14:textId="77777777" w:rsidR="005B02EA" w:rsidRPr="001300A9" w:rsidRDefault="005B02EA" w:rsidP="00115D7B">
            <w:pPr>
              <w:spacing w:after="0"/>
              <w:rPr>
                <w:rFonts w:ascii="Times New Roman" w:hAnsi="Times New Roman" w:cs="Times New Roman"/>
              </w:rPr>
            </w:pPr>
          </w:p>
          <w:p w14:paraId="353FEF7C" w14:textId="77777777" w:rsidR="005B02EA" w:rsidRPr="001300A9" w:rsidRDefault="005B02EA" w:rsidP="00115D7B">
            <w:pPr>
              <w:spacing w:after="0"/>
              <w:rPr>
                <w:rFonts w:ascii="Times New Roman" w:hAnsi="Times New Roman" w:cs="Times New Roman"/>
              </w:rPr>
            </w:pPr>
          </w:p>
          <w:p w14:paraId="744E4ABA" w14:textId="77777777" w:rsidR="005B02EA" w:rsidRPr="001300A9" w:rsidRDefault="005B02EA" w:rsidP="00115D7B">
            <w:pPr>
              <w:spacing w:after="0"/>
              <w:rPr>
                <w:rFonts w:ascii="Times New Roman" w:hAnsi="Times New Roman" w:cs="Times New Roman"/>
              </w:rPr>
            </w:pPr>
          </w:p>
          <w:p w14:paraId="5E431A28" w14:textId="77777777" w:rsidR="005B02EA" w:rsidRPr="001300A9" w:rsidRDefault="005B02EA" w:rsidP="00115D7B">
            <w:pPr>
              <w:spacing w:after="0"/>
              <w:rPr>
                <w:rFonts w:ascii="Times New Roman" w:hAnsi="Times New Roman" w:cs="Times New Roman"/>
              </w:rPr>
            </w:pPr>
          </w:p>
          <w:p w14:paraId="34293F0A" w14:textId="77777777" w:rsidR="005B02EA" w:rsidRPr="001300A9" w:rsidRDefault="005B02EA" w:rsidP="00115D7B">
            <w:pPr>
              <w:spacing w:after="0"/>
              <w:rPr>
                <w:rFonts w:ascii="Times New Roman" w:hAnsi="Times New Roman" w:cs="Times New Roman"/>
              </w:rPr>
            </w:pPr>
          </w:p>
          <w:p w14:paraId="798ED06C" w14:textId="3679FFAA" w:rsidR="005B02EA" w:rsidRPr="001300A9" w:rsidRDefault="6F249CAD" w:rsidP="5F673433">
            <w:pPr>
              <w:spacing w:after="0"/>
              <w:rPr>
                <w:rFonts w:ascii="Times New Roman" w:hAnsi="Times New Roman" w:cs="Times New Roman"/>
              </w:rPr>
            </w:pPr>
            <w:r w:rsidRPr="5F673433">
              <w:rPr>
                <w:rFonts w:ascii="Times New Roman" w:hAnsi="Times New Roman" w:cs="Times New Roman"/>
              </w:rPr>
              <w:t>GP - N</w:t>
            </w:r>
          </w:p>
        </w:tc>
        <w:tc>
          <w:tcPr>
            <w:tcW w:w="815" w:type="dxa"/>
          </w:tcPr>
          <w:p w14:paraId="6F1F377C" w14:textId="77777777" w:rsidR="00357CEC" w:rsidRPr="001300A9" w:rsidRDefault="00357CEC" w:rsidP="00357CEC">
            <w:pPr>
              <w:pStyle w:val="Default"/>
              <w:rPr>
                <w:sz w:val="22"/>
                <w:szCs w:val="22"/>
              </w:rPr>
            </w:pPr>
          </w:p>
        </w:tc>
      </w:tr>
      <w:tr w:rsidR="00DD6EDC" w:rsidRPr="001300A9" w14:paraId="1E6A9E40" w14:textId="77777777" w:rsidTr="360410BC">
        <w:tc>
          <w:tcPr>
            <w:tcW w:w="562" w:type="dxa"/>
          </w:tcPr>
          <w:p w14:paraId="79B699D3" w14:textId="77777777" w:rsidR="00357CEC" w:rsidRPr="001300A9" w:rsidRDefault="00357CEC" w:rsidP="00357CEC">
            <w:pPr>
              <w:pStyle w:val="Default"/>
              <w:rPr>
                <w:sz w:val="22"/>
                <w:szCs w:val="22"/>
              </w:rPr>
            </w:pPr>
            <w:r w:rsidRPr="001300A9">
              <w:rPr>
                <w:sz w:val="22"/>
                <w:szCs w:val="22"/>
              </w:rPr>
              <w:t>Č: 1</w:t>
            </w:r>
          </w:p>
          <w:p w14:paraId="6D3829E3" w14:textId="77777777" w:rsidR="00357CEC" w:rsidRPr="001300A9" w:rsidRDefault="00357CEC" w:rsidP="00357CEC">
            <w:pPr>
              <w:pStyle w:val="Default"/>
              <w:rPr>
                <w:sz w:val="22"/>
                <w:szCs w:val="22"/>
              </w:rPr>
            </w:pPr>
            <w:r w:rsidRPr="001300A9">
              <w:rPr>
                <w:sz w:val="22"/>
                <w:szCs w:val="22"/>
              </w:rPr>
              <w:t>O: 30</w:t>
            </w:r>
          </w:p>
        </w:tc>
        <w:tc>
          <w:tcPr>
            <w:tcW w:w="4820" w:type="dxa"/>
          </w:tcPr>
          <w:p w14:paraId="1EABDB95" w14:textId="77777777" w:rsidR="00357CEC" w:rsidRPr="001300A9" w:rsidRDefault="00357CEC" w:rsidP="00357CEC">
            <w:pPr>
              <w:pStyle w:val="Default"/>
              <w:rPr>
                <w:sz w:val="22"/>
                <w:szCs w:val="22"/>
              </w:rPr>
            </w:pPr>
            <w:r w:rsidRPr="001300A9">
              <w:rPr>
                <w:sz w:val="22"/>
                <w:szCs w:val="22"/>
              </w:rPr>
              <w:t>Vkladá sa táto kapitola:</w:t>
            </w:r>
          </w:p>
          <w:p w14:paraId="4213AF2E" w14:textId="77777777" w:rsidR="00357CEC" w:rsidRPr="001300A9" w:rsidRDefault="00357CEC" w:rsidP="00357CEC">
            <w:pPr>
              <w:pStyle w:val="Default"/>
              <w:rPr>
                <w:sz w:val="22"/>
                <w:szCs w:val="22"/>
              </w:rPr>
            </w:pPr>
            <w:r w:rsidRPr="001300A9">
              <w:rPr>
                <w:sz w:val="22"/>
                <w:szCs w:val="22"/>
              </w:rPr>
              <w:t xml:space="preserve">Kapitola </w:t>
            </w:r>
            <w:proofErr w:type="spellStart"/>
            <w:r w:rsidRPr="001300A9">
              <w:rPr>
                <w:sz w:val="22"/>
                <w:szCs w:val="22"/>
              </w:rPr>
              <w:t>IVb</w:t>
            </w:r>
            <w:proofErr w:type="spellEnd"/>
          </w:p>
          <w:p w14:paraId="08345F91" w14:textId="77777777" w:rsidR="00357CEC" w:rsidRPr="001300A9" w:rsidRDefault="00357CEC" w:rsidP="00357CEC">
            <w:pPr>
              <w:pStyle w:val="Default"/>
              <w:rPr>
                <w:sz w:val="22"/>
                <w:szCs w:val="22"/>
              </w:rPr>
            </w:pPr>
            <w:r w:rsidRPr="001300A9">
              <w:rPr>
                <w:sz w:val="22"/>
                <w:szCs w:val="22"/>
              </w:rPr>
              <w:t>Vedecké poradenstvo a viditeľnosť financovania</w:t>
            </w:r>
          </w:p>
          <w:p w14:paraId="5C42E7B6" w14:textId="77777777" w:rsidR="00357CEC" w:rsidRPr="001300A9" w:rsidRDefault="00357CEC" w:rsidP="00357CEC">
            <w:pPr>
              <w:pStyle w:val="Default"/>
              <w:rPr>
                <w:sz w:val="22"/>
                <w:szCs w:val="22"/>
              </w:rPr>
            </w:pPr>
          </w:p>
          <w:p w14:paraId="0DC00723" w14:textId="77777777" w:rsidR="00357CEC" w:rsidRPr="001300A9" w:rsidRDefault="00357CEC" w:rsidP="00357CEC">
            <w:pPr>
              <w:pStyle w:val="Default"/>
              <w:rPr>
                <w:i/>
                <w:sz w:val="22"/>
                <w:szCs w:val="22"/>
              </w:rPr>
            </w:pPr>
            <w:r w:rsidRPr="001300A9">
              <w:rPr>
                <w:i/>
                <w:sz w:val="22"/>
                <w:szCs w:val="22"/>
              </w:rPr>
              <w:t>Článok 30l</w:t>
            </w:r>
          </w:p>
          <w:p w14:paraId="1ADE9146" w14:textId="77777777" w:rsidR="00357CEC" w:rsidRPr="001300A9" w:rsidRDefault="00357CEC" w:rsidP="00357CEC">
            <w:pPr>
              <w:pStyle w:val="Default"/>
              <w:rPr>
                <w:i/>
                <w:sz w:val="22"/>
                <w:szCs w:val="22"/>
              </w:rPr>
            </w:pPr>
            <w:r w:rsidRPr="001300A9">
              <w:rPr>
                <w:i/>
                <w:sz w:val="22"/>
                <w:szCs w:val="22"/>
              </w:rPr>
              <w:t>Vedecké poradenstvo</w:t>
            </w:r>
          </w:p>
          <w:p w14:paraId="6777EFD0" w14:textId="77777777" w:rsidR="00357CEC" w:rsidRPr="001300A9" w:rsidRDefault="00357CEC" w:rsidP="00357CEC">
            <w:pPr>
              <w:pStyle w:val="Default"/>
              <w:rPr>
                <w:sz w:val="22"/>
                <w:szCs w:val="22"/>
              </w:rPr>
            </w:pPr>
            <w:r w:rsidRPr="001300A9">
              <w:rPr>
                <w:sz w:val="22"/>
                <w:szCs w:val="22"/>
              </w:rPr>
              <w:t>Európska vedecká poradná rada pre zmenu klímy (ďalej len „poradná rada“) zriadená podľa článku 10a nariadenia Európskeho parlamentu a Rady (ES) č. 401/2009* môže z vlastnej iniciatívy poskytovať vedecké poradenstvo a vydávať správy týkajúce sa tejto smernice. Komisia zohľadní príslušné poradenstvo a správy poradného výboru, najmä pokiaľ ide o:</w:t>
            </w:r>
          </w:p>
          <w:p w14:paraId="7F37E00A" w14:textId="77777777" w:rsidR="00357CEC" w:rsidRPr="001300A9" w:rsidRDefault="00357CEC" w:rsidP="00357CEC">
            <w:pPr>
              <w:pStyle w:val="Default"/>
              <w:rPr>
                <w:sz w:val="22"/>
                <w:szCs w:val="22"/>
              </w:rPr>
            </w:pPr>
            <w:r w:rsidRPr="001300A9">
              <w:rPr>
                <w:sz w:val="22"/>
                <w:szCs w:val="22"/>
              </w:rPr>
              <w:t>a) potrebu ďalších politík a opatrení Únie na zabezpečenie súladu s cieľmi uvedenými v článku 30 ods. 3 tejto smernice;</w:t>
            </w:r>
          </w:p>
          <w:p w14:paraId="1D9AEBE7" w14:textId="77777777" w:rsidR="00357CEC" w:rsidRPr="001300A9" w:rsidRDefault="00357CEC" w:rsidP="00357CEC">
            <w:pPr>
              <w:pStyle w:val="Default"/>
              <w:rPr>
                <w:sz w:val="22"/>
                <w:szCs w:val="22"/>
              </w:rPr>
            </w:pPr>
            <w:r w:rsidRPr="001300A9">
              <w:rPr>
                <w:sz w:val="22"/>
                <w:szCs w:val="22"/>
              </w:rPr>
              <w:t>b) potrebu dodatočných politík a opatrení Únie vzhľadom na dohody o globálnych opatreniach v rámci ICAO na zníženie vplyvu leteckej dopravy na klímu a ambície a environmentálnu integritu globálneho trhového opatrenia IMO uvedeného v článku 3gg tejto smernice.</w:t>
            </w:r>
          </w:p>
          <w:p w14:paraId="5B58B197" w14:textId="77777777" w:rsidR="00357CEC" w:rsidRPr="001300A9" w:rsidRDefault="00357CEC" w:rsidP="00357CEC">
            <w:pPr>
              <w:pStyle w:val="Default"/>
              <w:rPr>
                <w:sz w:val="22"/>
                <w:szCs w:val="22"/>
              </w:rPr>
            </w:pPr>
          </w:p>
          <w:p w14:paraId="74A1E24B" w14:textId="77777777" w:rsidR="00357CEC" w:rsidRPr="001300A9" w:rsidRDefault="00357CEC" w:rsidP="00357CEC">
            <w:pPr>
              <w:pStyle w:val="Default"/>
              <w:rPr>
                <w:i/>
                <w:sz w:val="22"/>
                <w:szCs w:val="22"/>
              </w:rPr>
            </w:pPr>
            <w:r w:rsidRPr="001300A9">
              <w:rPr>
                <w:i/>
                <w:sz w:val="22"/>
                <w:szCs w:val="22"/>
              </w:rPr>
              <w:t>Článok 30m</w:t>
            </w:r>
          </w:p>
          <w:p w14:paraId="01733B6E" w14:textId="77777777" w:rsidR="00357CEC" w:rsidRPr="001300A9" w:rsidRDefault="00357CEC" w:rsidP="00357CEC">
            <w:pPr>
              <w:pStyle w:val="Default"/>
              <w:rPr>
                <w:i/>
                <w:sz w:val="22"/>
                <w:szCs w:val="22"/>
              </w:rPr>
            </w:pPr>
            <w:r w:rsidRPr="001300A9">
              <w:rPr>
                <w:i/>
                <w:sz w:val="22"/>
                <w:szCs w:val="22"/>
              </w:rPr>
              <w:t>Informácie, komunikácia a publicita</w:t>
            </w:r>
          </w:p>
          <w:p w14:paraId="3CBB98E4" w14:textId="77777777" w:rsidR="00357CEC" w:rsidRPr="001300A9" w:rsidRDefault="00357CEC" w:rsidP="00357CEC">
            <w:pPr>
              <w:pStyle w:val="Default"/>
              <w:rPr>
                <w:sz w:val="22"/>
                <w:szCs w:val="22"/>
              </w:rPr>
            </w:pPr>
            <w:r w:rsidRPr="001300A9">
              <w:rPr>
                <w:sz w:val="22"/>
                <w:szCs w:val="22"/>
              </w:rPr>
              <w:t>1. Komisia zabezpečí viditeľnosť financovania z príjmov z aukcií v rámci systému EU ETS uvedených v článku 10a ods. 8 tým, že:</w:t>
            </w:r>
          </w:p>
          <w:p w14:paraId="03E549EF" w14:textId="77777777" w:rsidR="00357CEC" w:rsidRPr="001300A9" w:rsidRDefault="00357CEC" w:rsidP="00357CEC">
            <w:pPr>
              <w:pStyle w:val="Default"/>
              <w:rPr>
                <w:sz w:val="22"/>
                <w:szCs w:val="22"/>
              </w:rPr>
            </w:pPr>
            <w:r w:rsidRPr="001300A9">
              <w:rPr>
                <w:sz w:val="22"/>
                <w:szCs w:val="22"/>
              </w:rPr>
              <w:t>a) zabezpečí, aby príjemcovia takýchto finančných prostriedkov uznali pôvod týchto finančných prostriedkov a zabezpečili viditeľnosť finančných prostriedkov Únie, najmä pri propagácii projektov a ich výsledkov a to tým, že poskytnú ucelené, účinné a primerané cielené informácie rôznym cieľovým skupinám vrátane médií a verejnosti; a</w:t>
            </w:r>
          </w:p>
          <w:p w14:paraId="0E52125F" w14:textId="77777777" w:rsidR="00357CEC" w:rsidRPr="001300A9" w:rsidRDefault="00357CEC" w:rsidP="00357CEC">
            <w:pPr>
              <w:pStyle w:val="Default"/>
              <w:rPr>
                <w:sz w:val="22"/>
                <w:szCs w:val="22"/>
              </w:rPr>
            </w:pPr>
            <w:r w:rsidRPr="001300A9">
              <w:rPr>
                <w:sz w:val="22"/>
                <w:szCs w:val="22"/>
              </w:rPr>
              <w:t>b) zabezpečí, aby príjemcovia takýchto finančných prostriedkov používali toto vhodné označenie „(spolu)financované zo systému EÚ na obchodovanie s emisiami (Inovačný fond)“, ako aj znak Únie a výšku financovania; ak použitie uvedeného označenia nie je možné, inovačný fond sa uvedie pri všetkých komunikačných činnostiach, a to aj na informačných tabuliach na strategických miestach, ktoré sú viditeľné pre verejnosť.</w:t>
            </w:r>
          </w:p>
          <w:p w14:paraId="7D9770FE" w14:textId="77777777" w:rsidR="00357CEC" w:rsidRPr="001300A9" w:rsidRDefault="00357CEC" w:rsidP="00357CEC">
            <w:pPr>
              <w:pStyle w:val="Default"/>
              <w:rPr>
                <w:sz w:val="22"/>
                <w:szCs w:val="22"/>
              </w:rPr>
            </w:pPr>
          </w:p>
          <w:p w14:paraId="35D6C01A" w14:textId="77777777" w:rsidR="00357CEC" w:rsidRPr="001300A9" w:rsidRDefault="00357CEC" w:rsidP="00357CEC">
            <w:pPr>
              <w:pStyle w:val="Default"/>
              <w:rPr>
                <w:sz w:val="22"/>
                <w:szCs w:val="22"/>
              </w:rPr>
            </w:pPr>
            <w:r w:rsidRPr="001300A9">
              <w:rPr>
                <w:sz w:val="22"/>
                <w:szCs w:val="22"/>
              </w:rPr>
              <w:t>Komisia v delegovanom akte uvedenom v článku 10a ods. 8 stanoví potrebné požiadavky na zabezpečenie viditeľnosti financovania z inovačného fondu vrátane požiadavky uviesť názov uvedeného fondu.</w:t>
            </w:r>
          </w:p>
          <w:p w14:paraId="0A947ACB" w14:textId="77777777" w:rsidR="00357CEC" w:rsidRPr="001300A9" w:rsidRDefault="00357CEC" w:rsidP="00357CEC">
            <w:pPr>
              <w:pStyle w:val="Default"/>
              <w:rPr>
                <w:sz w:val="22"/>
                <w:szCs w:val="22"/>
              </w:rPr>
            </w:pPr>
          </w:p>
          <w:p w14:paraId="7D376CF3" w14:textId="77777777" w:rsidR="00357CEC" w:rsidRPr="001300A9" w:rsidRDefault="00357CEC" w:rsidP="00357CEC">
            <w:pPr>
              <w:pStyle w:val="Default"/>
              <w:rPr>
                <w:sz w:val="22"/>
                <w:szCs w:val="22"/>
              </w:rPr>
            </w:pPr>
            <w:r w:rsidRPr="001300A9">
              <w:rPr>
                <w:sz w:val="22"/>
                <w:szCs w:val="22"/>
              </w:rPr>
              <w:t>2. Členské štáty zabezpečia viditeľnosť financovania z príjmov z aukcií systému EU ETS uvedených v článku 10d v súlade s tým, čo je uvedené v odseku 1 písm. a) a b) tohto článku, a to aj stanovením požiadavky uviesť názov modernizačného fondu.</w:t>
            </w:r>
          </w:p>
          <w:p w14:paraId="525B90C0" w14:textId="19D9AAFA" w:rsidR="00357CEC" w:rsidRDefault="00357CEC" w:rsidP="00357CEC">
            <w:pPr>
              <w:pStyle w:val="Default"/>
              <w:rPr>
                <w:sz w:val="22"/>
                <w:szCs w:val="22"/>
              </w:rPr>
            </w:pPr>
          </w:p>
          <w:p w14:paraId="658CC81C" w14:textId="4CADBE89" w:rsidR="00021D96" w:rsidRPr="001300A9" w:rsidRDefault="00021D96" w:rsidP="00357CEC">
            <w:pPr>
              <w:pStyle w:val="Default"/>
              <w:rPr>
                <w:sz w:val="22"/>
                <w:szCs w:val="22"/>
              </w:rPr>
            </w:pPr>
          </w:p>
          <w:p w14:paraId="1DCCF3F0" w14:textId="77777777" w:rsidR="00357CEC" w:rsidRPr="001300A9" w:rsidRDefault="00357CEC" w:rsidP="00357CEC">
            <w:pPr>
              <w:pStyle w:val="Default"/>
              <w:rPr>
                <w:sz w:val="22"/>
                <w:szCs w:val="22"/>
              </w:rPr>
            </w:pPr>
            <w:r w:rsidRPr="001300A9">
              <w:rPr>
                <w:sz w:val="22"/>
                <w:szCs w:val="22"/>
              </w:rPr>
              <w:t>3. S prihliadnutím na vnútroštátne okolnosti sa členské štáty usilujú zabezpečiť viditeľnosť zdroja financovania činností alebo projektov financovaných z príjmov z aukcií v rámci systému EU ETS, pri ktorých určia použitie v súlade s článkom 3d ods. 4, článkom 10 ods. 3 a článkom 30d ods. 6.</w:t>
            </w:r>
          </w:p>
          <w:p w14:paraId="5AB6FE06" w14:textId="77777777" w:rsidR="00357CEC" w:rsidRPr="001300A9" w:rsidRDefault="00357CEC" w:rsidP="00357CEC">
            <w:pPr>
              <w:pStyle w:val="Default"/>
              <w:rPr>
                <w:sz w:val="22"/>
                <w:szCs w:val="22"/>
              </w:rPr>
            </w:pPr>
          </w:p>
          <w:p w14:paraId="393C2317" w14:textId="77777777" w:rsidR="00357CEC" w:rsidRPr="001300A9" w:rsidRDefault="00357CEC" w:rsidP="00357CEC">
            <w:pPr>
              <w:pStyle w:val="Default"/>
              <w:rPr>
                <w:sz w:val="22"/>
                <w:szCs w:val="22"/>
              </w:rPr>
            </w:pPr>
            <w:r w:rsidRPr="001300A9">
              <w:rPr>
                <w:sz w:val="22"/>
                <w:szCs w:val="22"/>
              </w:rPr>
              <w:t>* Nariadenie Európskeho parlamentu a Rady (ES) č. 401/2009 z 23. apríla 2009 o Európskej environmentálnej agentúre a Európskej environmentálnej informačnej a monitorovacej sieti (Ú. v. EÚ L 126, 21.5.2009, s. 13).</w:t>
            </w:r>
          </w:p>
        </w:tc>
        <w:tc>
          <w:tcPr>
            <w:tcW w:w="567" w:type="dxa"/>
          </w:tcPr>
          <w:p w14:paraId="531B0D4F" w14:textId="77777777" w:rsidR="00357CEC" w:rsidRPr="001300A9" w:rsidRDefault="00357CEC" w:rsidP="00357CEC">
            <w:pPr>
              <w:pStyle w:val="Default"/>
              <w:rPr>
                <w:sz w:val="22"/>
                <w:szCs w:val="22"/>
              </w:rPr>
            </w:pPr>
            <w:proofErr w:type="spellStart"/>
            <w:r w:rsidRPr="001300A9">
              <w:rPr>
                <w:sz w:val="22"/>
                <w:szCs w:val="22"/>
              </w:rPr>
              <w:t>n.a</w:t>
            </w:r>
            <w:proofErr w:type="spellEnd"/>
            <w:r w:rsidRPr="001300A9">
              <w:rPr>
                <w:sz w:val="22"/>
                <w:szCs w:val="22"/>
              </w:rPr>
              <w:t>.</w:t>
            </w:r>
          </w:p>
          <w:p w14:paraId="4FDA7560" w14:textId="77777777" w:rsidR="00357CEC" w:rsidRPr="001300A9" w:rsidRDefault="00357CEC" w:rsidP="00357CEC">
            <w:pPr>
              <w:pStyle w:val="Default"/>
              <w:rPr>
                <w:sz w:val="22"/>
                <w:szCs w:val="22"/>
              </w:rPr>
            </w:pPr>
          </w:p>
          <w:p w14:paraId="0AD5D060" w14:textId="77777777" w:rsidR="00357CEC" w:rsidRPr="001300A9" w:rsidRDefault="00357CEC" w:rsidP="00357CEC">
            <w:pPr>
              <w:pStyle w:val="Default"/>
              <w:rPr>
                <w:sz w:val="22"/>
                <w:szCs w:val="22"/>
              </w:rPr>
            </w:pPr>
          </w:p>
          <w:p w14:paraId="47A7A6F3" w14:textId="77777777" w:rsidR="00357CEC" w:rsidRPr="001300A9" w:rsidRDefault="00357CEC" w:rsidP="00357CEC">
            <w:pPr>
              <w:pStyle w:val="Default"/>
              <w:rPr>
                <w:sz w:val="22"/>
                <w:szCs w:val="22"/>
              </w:rPr>
            </w:pPr>
          </w:p>
          <w:p w14:paraId="05BC9B56" w14:textId="77777777" w:rsidR="00357CEC" w:rsidRPr="001300A9" w:rsidRDefault="00357CEC" w:rsidP="00357CEC">
            <w:pPr>
              <w:pStyle w:val="Default"/>
              <w:rPr>
                <w:sz w:val="22"/>
                <w:szCs w:val="22"/>
              </w:rPr>
            </w:pPr>
            <w:proofErr w:type="spellStart"/>
            <w:r w:rsidRPr="001300A9">
              <w:rPr>
                <w:sz w:val="22"/>
                <w:szCs w:val="22"/>
              </w:rPr>
              <w:t>n.a</w:t>
            </w:r>
            <w:proofErr w:type="spellEnd"/>
            <w:r w:rsidRPr="001300A9">
              <w:rPr>
                <w:sz w:val="22"/>
                <w:szCs w:val="22"/>
              </w:rPr>
              <w:t>.</w:t>
            </w:r>
          </w:p>
          <w:p w14:paraId="2F9FEAAA" w14:textId="77777777" w:rsidR="00357CEC" w:rsidRPr="001300A9" w:rsidRDefault="00357CEC" w:rsidP="00357CEC">
            <w:pPr>
              <w:pStyle w:val="Default"/>
              <w:rPr>
                <w:sz w:val="22"/>
                <w:szCs w:val="22"/>
              </w:rPr>
            </w:pPr>
          </w:p>
          <w:p w14:paraId="24FA4CFB" w14:textId="77777777" w:rsidR="00357CEC" w:rsidRPr="001300A9" w:rsidRDefault="00357CEC" w:rsidP="00357CEC">
            <w:pPr>
              <w:pStyle w:val="Default"/>
              <w:rPr>
                <w:sz w:val="22"/>
                <w:szCs w:val="22"/>
              </w:rPr>
            </w:pPr>
          </w:p>
          <w:p w14:paraId="31680F21" w14:textId="77777777" w:rsidR="00357CEC" w:rsidRPr="001300A9" w:rsidRDefault="00357CEC" w:rsidP="00357CEC">
            <w:pPr>
              <w:pStyle w:val="Default"/>
              <w:rPr>
                <w:sz w:val="22"/>
                <w:szCs w:val="22"/>
              </w:rPr>
            </w:pPr>
          </w:p>
          <w:p w14:paraId="00192595" w14:textId="77777777" w:rsidR="00357CEC" w:rsidRPr="001300A9" w:rsidRDefault="00357CEC" w:rsidP="00357CEC">
            <w:pPr>
              <w:pStyle w:val="Default"/>
              <w:rPr>
                <w:sz w:val="22"/>
                <w:szCs w:val="22"/>
              </w:rPr>
            </w:pPr>
          </w:p>
          <w:p w14:paraId="5FC36845" w14:textId="77777777" w:rsidR="00357CEC" w:rsidRPr="001300A9" w:rsidRDefault="00357CEC" w:rsidP="00357CEC">
            <w:pPr>
              <w:pStyle w:val="Default"/>
              <w:rPr>
                <w:sz w:val="22"/>
                <w:szCs w:val="22"/>
              </w:rPr>
            </w:pPr>
          </w:p>
          <w:p w14:paraId="6684002C" w14:textId="77777777" w:rsidR="00357CEC" w:rsidRPr="001300A9" w:rsidRDefault="00357CEC" w:rsidP="00357CEC">
            <w:pPr>
              <w:pStyle w:val="Default"/>
              <w:rPr>
                <w:sz w:val="22"/>
                <w:szCs w:val="22"/>
              </w:rPr>
            </w:pPr>
          </w:p>
          <w:p w14:paraId="71078F0B" w14:textId="77777777" w:rsidR="00357CEC" w:rsidRPr="001300A9" w:rsidRDefault="00357CEC" w:rsidP="00357CEC">
            <w:pPr>
              <w:pStyle w:val="Default"/>
              <w:rPr>
                <w:sz w:val="22"/>
                <w:szCs w:val="22"/>
              </w:rPr>
            </w:pPr>
          </w:p>
          <w:p w14:paraId="4A078AE3" w14:textId="77777777" w:rsidR="00357CEC" w:rsidRPr="001300A9" w:rsidRDefault="00357CEC" w:rsidP="00357CEC">
            <w:pPr>
              <w:pStyle w:val="Default"/>
              <w:rPr>
                <w:sz w:val="22"/>
                <w:szCs w:val="22"/>
              </w:rPr>
            </w:pPr>
          </w:p>
          <w:p w14:paraId="1E6803E7" w14:textId="77777777" w:rsidR="00357CEC" w:rsidRPr="001300A9" w:rsidRDefault="00357CEC" w:rsidP="00357CEC">
            <w:pPr>
              <w:pStyle w:val="Default"/>
              <w:rPr>
                <w:sz w:val="22"/>
                <w:szCs w:val="22"/>
              </w:rPr>
            </w:pPr>
          </w:p>
          <w:p w14:paraId="176A7BCE" w14:textId="77777777" w:rsidR="00357CEC" w:rsidRPr="001300A9" w:rsidRDefault="00357CEC" w:rsidP="00357CEC">
            <w:pPr>
              <w:pStyle w:val="Default"/>
              <w:rPr>
                <w:sz w:val="22"/>
                <w:szCs w:val="22"/>
              </w:rPr>
            </w:pPr>
          </w:p>
          <w:p w14:paraId="7E8ECAAD" w14:textId="77777777" w:rsidR="00056FC2" w:rsidRPr="001300A9" w:rsidRDefault="00056FC2" w:rsidP="00357CEC">
            <w:pPr>
              <w:pStyle w:val="Default"/>
              <w:rPr>
                <w:sz w:val="22"/>
                <w:szCs w:val="22"/>
              </w:rPr>
            </w:pPr>
          </w:p>
          <w:p w14:paraId="3F714DF4" w14:textId="77777777" w:rsidR="00056FC2" w:rsidRPr="001300A9" w:rsidRDefault="00056FC2" w:rsidP="00357CEC">
            <w:pPr>
              <w:pStyle w:val="Default"/>
              <w:rPr>
                <w:sz w:val="22"/>
                <w:szCs w:val="22"/>
              </w:rPr>
            </w:pPr>
          </w:p>
          <w:p w14:paraId="3B74CDA8" w14:textId="77777777" w:rsidR="00056FC2" w:rsidRPr="001300A9" w:rsidRDefault="00056FC2" w:rsidP="00357CEC">
            <w:pPr>
              <w:pStyle w:val="Default"/>
              <w:rPr>
                <w:sz w:val="22"/>
                <w:szCs w:val="22"/>
              </w:rPr>
            </w:pPr>
          </w:p>
          <w:p w14:paraId="798EA414" w14:textId="77777777" w:rsidR="00056FC2" w:rsidRPr="001300A9" w:rsidRDefault="00056FC2" w:rsidP="00357CEC">
            <w:pPr>
              <w:pStyle w:val="Default"/>
              <w:rPr>
                <w:sz w:val="22"/>
                <w:szCs w:val="22"/>
              </w:rPr>
            </w:pPr>
          </w:p>
          <w:p w14:paraId="69CA4C22" w14:textId="77777777" w:rsidR="00056FC2" w:rsidRPr="001300A9" w:rsidRDefault="00056FC2" w:rsidP="00357CEC">
            <w:pPr>
              <w:pStyle w:val="Default"/>
              <w:rPr>
                <w:sz w:val="22"/>
                <w:szCs w:val="22"/>
              </w:rPr>
            </w:pPr>
          </w:p>
          <w:p w14:paraId="3DDA8166" w14:textId="77777777" w:rsidR="00056FC2" w:rsidRPr="001300A9" w:rsidRDefault="00056FC2" w:rsidP="00357CEC">
            <w:pPr>
              <w:pStyle w:val="Default"/>
              <w:rPr>
                <w:sz w:val="22"/>
                <w:szCs w:val="22"/>
              </w:rPr>
            </w:pPr>
          </w:p>
          <w:p w14:paraId="3EF2ABE3" w14:textId="77777777" w:rsidR="00056FC2" w:rsidRPr="001300A9" w:rsidRDefault="00056FC2" w:rsidP="00357CEC">
            <w:pPr>
              <w:pStyle w:val="Default"/>
              <w:rPr>
                <w:sz w:val="22"/>
                <w:szCs w:val="22"/>
              </w:rPr>
            </w:pPr>
          </w:p>
          <w:p w14:paraId="6B1C3ADE" w14:textId="6CED93F2" w:rsidR="00357CEC" w:rsidRPr="001300A9" w:rsidRDefault="37F522C6" w:rsidP="00357CEC">
            <w:pPr>
              <w:pStyle w:val="Default"/>
              <w:rPr>
                <w:sz w:val="22"/>
                <w:szCs w:val="22"/>
              </w:rPr>
            </w:pPr>
            <w:proofErr w:type="spellStart"/>
            <w:r w:rsidRPr="5F673433">
              <w:rPr>
                <w:sz w:val="22"/>
                <w:szCs w:val="22"/>
              </w:rPr>
              <w:t>n.a</w:t>
            </w:r>
            <w:proofErr w:type="spellEnd"/>
            <w:r w:rsidRPr="5F673433">
              <w:rPr>
                <w:sz w:val="22"/>
                <w:szCs w:val="22"/>
              </w:rPr>
              <w:t>.</w:t>
            </w:r>
          </w:p>
          <w:p w14:paraId="350B36DB" w14:textId="77777777" w:rsidR="00357CEC" w:rsidRPr="001300A9" w:rsidRDefault="00357CEC" w:rsidP="00357CEC">
            <w:pPr>
              <w:pStyle w:val="Default"/>
              <w:rPr>
                <w:sz w:val="22"/>
                <w:szCs w:val="22"/>
              </w:rPr>
            </w:pPr>
          </w:p>
          <w:p w14:paraId="0A445218" w14:textId="77777777" w:rsidR="00357CEC" w:rsidRPr="001300A9" w:rsidRDefault="00357CEC" w:rsidP="00357CEC">
            <w:pPr>
              <w:pStyle w:val="Default"/>
              <w:rPr>
                <w:sz w:val="22"/>
                <w:szCs w:val="22"/>
              </w:rPr>
            </w:pPr>
          </w:p>
          <w:p w14:paraId="7A0E10B9" w14:textId="77777777" w:rsidR="00357CEC" w:rsidRPr="001300A9" w:rsidRDefault="00357CEC" w:rsidP="00357CEC">
            <w:pPr>
              <w:pStyle w:val="Default"/>
              <w:rPr>
                <w:sz w:val="22"/>
                <w:szCs w:val="22"/>
              </w:rPr>
            </w:pPr>
          </w:p>
          <w:p w14:paraId="08A47748" w14:textId="77777777" w:rsidR="00357CEC" w:rsidRPr="001300A9" w:rsidRDefault="00357CEC" w:rsidP="00357CEC">
            <w:pPr>
              <w:pStyle w:val="Default"/>
              <w:rPr>
                <w:sz w:val="22"/>
                <w:szCs w:val="22"/>
              </w:rPr>
            </w:pPr>
          </w:p>
          <w:p w14:paraId="2880B231" w14:textId="77777777" w:rsidR="00357CEC" w:rsidRPr="001300A9" w:rsidRDefault="00357CEC" w:rsidP="00357CEC">
            <w:pPr>
              <w:pStyle w:val="Default"/>
              <w:rPr>
                <w:sz w:val="22"/>
                <w:szCs w:val="22"/>
              </w:rPr>
            </w:pPr>
          </w:p>
          <w:p w14:paraId="6C40BBA5" w14:textId="77777777" w:rsidR="00357CEC" w:rsidRPr="001300A9" w:rsidRDefault="00357CEC" w:rsidP="00357CEC">
            <w:pPr>
              <w:pStyle w:val="Default"/>
              <w:rPr>
                <w:sz w:val="22"/>
                <w:szCs w:val="22"/>
              </w:rPr>
            </w:pPr>
          </w:p>
          <w:p w14:paraId="0A6B8B7A" w14:textId="77777777" w:rsidR="00357CEC" w:rsidRPr="001300A9" w:rsidRDefault="00357CEC" w:rsidP="00357CEC">
            <w:pPr>
              <w:pStyle w:val="Default"/>
              <w:rPr>
                <w:sz w:val="22"/>
                <w:szCs w:val="22"/>
              </w:rPr>
            </w:pPr>
          </w:p>
          <w:p w14:paraId="5AD27566" w14:textId="77777777" w:rsidR="00357CEC" w:rsidRPr="001300A9" w:rsidRDefault="00357CEC" w:rsidP="00357CEC">
            <w:pPr>
              <w:pStyle w:val="Default"/>
              <w:rPr>
                <w:sz w:val="22"/>
                <w:szCs w:val="22"/>
              </w:rPr>
            </w:pPr>
          </w:p>
          <w:p w14:paraId="56EEBF17" w14:textId="77777777" w:rsidR="00357CEC" w:rsidRPr="001300A9" w:rsidRDefault="00357CEC" w:rsidP="00357CEC">
            <w:pPr>
              <w:pStyle w:val="Default"/>
              <w:rPr>
                <w:sz w:val="22"/>
                <w:szCs w:val="22"/>
              </w:rPr>
            </w:pPr>
          </w:p>
          <w:p w14:paraId="2025CAEC" w14:textId="77777777" w:rsidR="00357CEC" w:rsidRPr="001300A9" w:rsidRDefault="00357CEC" w:rsidP="00357CEC">
            <w:pPr>
              <w:pStyle w:val="Default"/>
              <w:rPr>
                <w:sz w:val="22"/>
                <w:szCs w:val="22"/>
              </w:rPr>
            </w:pPr>
          </w:p>
          <w:p w14:paraId="64E672FC" w14:textId="77777777" w:rsidR="00357CEC" w:rsidRPr="001300A9" w:rsidRDefault="00357CEC" w:rsidP="00357CEC">
            <w:pPr>
              <w:pStyle w:val="Default"/>
              <w:rPr>
                <w:sz w:val="22"/>
                <w:szCs w:val="22"/>
              </w:rPr>
            </w:pPr>
          </w:p>
          <w:p w14:paraId="77D610AD" w14:textId="3BA4594B" w:rsidR="00357CEC" w:rsidRPr="001300A9" w:rsidRDefault="00357CEC" w:rsidP="00357CEC">
            <w:pPr>
              <w:pStyle w:val="Default"/>
              <w:rPr>
                <w:sz w:val="22"/>
                <w:szCs w:val="22"/>
              </w:rPr>
            </w:pPr>
          </w:p>
          <w:p w14:paraId="6A4AA299" w14:textId="77777777" w:rsidR="00357CEC" w:rsidRPr="001300A9" w:rsidRDefault="00357CEC" w:rsidP="00357CEC">
            <w:pPr>
              <w:pStyle w:val="Default"/>
              <w:rPr>
                <w:sz w:val="22"/>
                <w:szCs w:val="22"/>
              </w:rPr>
            </w:pPr>
          </w:p>
          <w:p w14:paraId="4C4CBB32" w14:textId="77777777" w:rsidR="00357CEC" w:rsidRPr="001300A9" w:rsidRDefault="00357CEC" w:rsidP="00357CEC">
            <w:pPr>
              <w:pStyle w:val="Default"/>
              <w:rPr>
                <w:sz w:val="22"/>
                <w:szCs w:val="22"/>
              </w:rPr>
            </w:pPr>
          </w:p>
          <w:p w14:paraId="1CD44E32" w14:textId="77777777" w:rsidR="00056FC2" w:rsidRPr="001300A9" w:rsidRDefault="00056FC2" w:rsidP="00357CEC">
            <w:pPr>
              <w:pStyle w:val="Default"/>
              <w:rPr>
                <w:sz w:val="22"/>
                <w:szCs w:val="22"/>
              </w:rPr>
            </w:pPr>
          </w:p>
          <w:p w14:paraId="04250373" w14:textId="77777777" w:rsidR="00056FC2" w:rsidRPr="001300A9" w:rsidRDefault="00056FC2" w:rsidP="00357CEC">
            <w:pPr>
              <w:pStyle w:val="Default"/>
              <w:rPr>
                <w:sz w:val="22"/>
                <w:szCs w:val="22"/>
              </w:rPr>
            </w:pPr>
          </w:p>
          <w:p w14:paraId="39BF05E1" w14:textId="77777777" w:rsidR="00056FC2" w:rsidRPr="001300A9" w:rsidRDefault="00056FC2" w:rsidP="00357CEC">
            <w:pPr>
              <w:pStyle w:val="Default"/>
              <w:rPr>
                <w:sz w:val="22"/>
                <w:szCs w:val="22"/>
              </w:rPr>
            </w:pPr>
          </w:p>
          <w:p w14:paraId="7AA1D791" w14:textId="77777777" w:rsidR="00056FC2" w:rsidRPr="001300A9" w:rsidRDefault="00056FC2" w:rsidP="00357CEC">
            <w:pPr>
              <w:pStyle w:val="Default"/>
              <w:rPr>
                <w:sz w:val="22"/>
                <w:szCs w:val="22"/>
              </w:rPr>
            </w:pPr>
          </w:p>
          <w:p w14:paraId="4C51A931" w14:textId="77777777" w:rsidR="00056FC2" w:rsidRPr="001300A9" w:rsidRDefault="00056FC2" w:rsidP="00357CEC">
            <w:pPr>
              <w:pStyle w:val="Default"/>
              <w:rPr>
                <w:sz w:val="22"/>
                <w:szCs w:val="22"/>
              </w:rPr>
            </w:pPr>
          </w:p>
          <w:p w14:paraId="3E30BCEA" w14:textId="77777777" w:rsidR="00056FC2" w:rsidRPr="001300A9" w:rsidRDefault="00056FC2" w:rsidP="00357CEC">
            <w:pPr>
              <w:pStyle w:val="Default"/>
              <w:rPr>
                <w:sz w:val="22"/>
                <w:szCs w:val="22"/>
              </w:rPr>
            </w:pPr>
          </w:p>
          <w:p w14:paraId="29CE869C" w14:textId="77777777" w:rsidR="00056FC2" w:rsidRPr="001300A9" w:rsidRDefault="00056FC2" w:rsidP="00357CEC">
            <w:pPr>
              <w:pStyle w:val="Default"/>
              <w:rPr>
                <w:sz w:val="22"/>
                <w:szCs w:val="22"/>
              </w:rPr>
            </w:pPr>
          </w:p>
          <w:p w14:paraId="1E28B932" w14:textId="77777777" w:rsidR="00056FC2" w:rsidRPr="001300A9" w:rsidRDefault="00056FC2" w:rsidP="00357CEC">
            <w:pPr>
              <w:pStyle w:val="Default"/>
              <w:rPr>
                <w:sz w:val="22"/>
                <w:szCs w:val="22"/>
              </w:rPr>
            </w:pPr>
          </w:p>
          <w:p w14:paraId="37E1E125" w14:textId="77777777" w:rsidR="00056FC2" w:rsidRPr="001300A9" w:rsidRDefault="00056FC2" w:rsidP="00357CEC">
            <w:pPr>
              <w:pStyle w:val="Default"/>
              <w:rPr>
                <w:sz w:val="22"/>
                <w:szCs w:val="22"/>
              </w:rPr>
            </w:pPr>
          </w:p>
          <w:p w14:paraId="623101BC" w14:textId="73462BBB" w:rsidR="00056FC2" w:rsidRPr="001300A9" w:rsidRDefault="00056FC2" w:rsidP="00357CEC">
            <w:pPr>
              <w:pStyle w:val="Default"/>
              <w:rPr>
                <w:sz w:val="22"/>
                <w:szCs w:val="22"/>
              </w:rPr>
            </w:pPr>
          </w:p>
          <w:p w14:paraId="5B54179A" w14:textId="139938A4" w:rsidR="5F673433" w:rsidRDefault="5F673433" w:rsidP="5F673433">
            <w:pPr>
              <w:pStyle w:val="Default"/>
              <w:rPr>
                <w:sz w:val="22"/>
                <w:szCs w:val="22"/>
              </w:rPr>
            </w:pPr>
          </w:p>
          <w:p w14:paraId="673A4CF4" w14:textId="34715D40" w:rsidR="5F673433" w:rsidRDefault="5F673433" w:rsidP="5F673433">
            <w:pPr>
              <w:pStyle w:val="Default"/>
              <w:rPr>
                <w:sz w:val="22"/>
                <w:szCs w:val="22"/>
              </w:rPr>
            </w:pPr>
          </w:p>
          <w:p w14:paraId="51652412" w14:textId="493DF011" w:rsidR="5F673433" w:rsidRDefault="5F673433" w:rsidP="5F673433">
            <w:pPr>
              <w:pStyle w:val="Default"/>
              <w:rPr>
                <w:sz w:val="22"/>
                <w:szCs w:val="22"/>
              </w:rPr>
            </w:pPr>
          </w:p>
          <w:p w14:paraId="153685D6" w14:textId="218FDD4B" w:rsidR="00056FC2" w:rsidRPr="001300A9" w:rsidRDefault="1259B550" w:rsidP="00357CEC">
            <w:pPr>
              <w:pStyle w:val="Default"/>
              <w:rPr>
                <w:sz w:val="22"/>
                <w:szCs w:val="22"/>
              </w:rPr>
            </w:pPr>
            <w:r w:rsidRPr="5F673433">
              <w:rPr>
                <w:sz w:val="22"/>
                <w:szCs w:val="22"/>
              </w:rPr>
              <w:t>N</w:t>
            </w:r>
          </w:p>
          <w:p w14:paraId="469B45B8" w14:textId="77777777" w:rsidR="00056FC2" w:rsidRPr="001300A9" w:rsidRDefault="00056FC2" w:rsidP="00357CEC">
            <w:pPr>
              <w:pStyle w:val="Default"/>
              <w:rPr>
                <w:sz w:val="22"/>
                <w:szCs w:val="22"/>
              </w:rPr>
            </w:pPr>
          </w:p>
          <w:p w14:paraId="0306934A" w14:textId="77777777" w:rsidR="00056FC2" w:rsidRPr="001300A9" w:rsidRDefault="00056FC2" w:rsidP="00357CEC">
            <w:pPr>
              <w:pStyle w:val="Default"/>
              <w:rPr>
                <w:sz w:val="22"/>
                <w:szCs w:val="22"/>
              </w:rPr>
            </w:pPr>
          </w:p>
          <w:p w14:paraId="6118375B" w14:textId="77777777" w:rsidR="00056FC2" w:rsidRPr="001300A9" w:rsidRDefault="00056FC2" w:rsidP="00357CEC">
            <w:pPr>
              <w:pStyle w:val="Default"/>
              <w:rPr>
                <w:sz w:val="22"/>
                <w:szCs w:val="22"/>
              </w:rPr>
            </w:pPr>
          </w:p>
          <w:p w14:paraId="095892C5" w14:textId="77777777" w:rsidR="00056FC2" w:rsidRPr="001300A9" w:rsidRDefault="00056FC2" w:rsidP="00357CEC">
            <w:pPr>
              <w:pStyle w:val="Default"/>
              <w:rPr>
                <w:sz w:val="22"/>
                <w:szCs w:val="22"/>
              </w:rPr>
            </w:pPr>
          </w:p>
          <w:p w14:paraId="4BB21C73" w14:textId="6BFD1978" w:rsidR="00056FC2" w:rsidRDefault="00056FC2" w:rsidP="00357CEC">
            <w:pPr>
              <w:pStyle w:val="Default"/>
              <w:rPr>
                <w:sz w:val="22"/>
                <w:szCs w:val="22"/>
              </w:rPr>
            </w:pPr>
          </w:p>
          <w:p w14:paraId="4599DEFF" w14:textId="25232A4A" w:rsidR="00021D96" w:rsidRPr="001300A9" w:rsidRDefault="00021D96" w:rsidP="00357CEC">
            <w:pPr>
              <w:pStyle w:val="Default"/>
              <w:rPr>
                <w:sz w:val="22"/>
                <w:szCs w:val="22"/>
              </w:rPr>
            </w:pPr>
          </w:p>
          <w:p w14:paraId="4EE02F53" w14:textId="5C1227FE" w:rsidR="5F673433" w:rsidRDefault="5F673433" w:rsidP="5F673433">
            <w:pPr>
              <w:pStyle w:val="Default"/>
              <w:rPr>
                <w:sz w:val="22"/>
                <w:szCs w:val="22"/>
              </w:rPr>
            </w:pPr>
          </w:p>
          <w:p w14:paraId="36B6516B" w14:textId="56EEDBE3" w:rsidR="00357CEC" w:rsidRPr="001300A9" w:rsidRDefault="00357CEC" w:rsidP="00357CEC">
            <w:pPr>
              <w:pStyle w:val="Default"/>
              <w:rPr>
                <w:sz w:val="22"/>
                <w:szCs w:val="22"/>
              </w:rPr>
            </w:pPr>
            <w:r w:rsidRPr="001300A9">
              <w:rPr>
                <w:sz w:val="22"/>
                <w:szCs w:val="22"/>
              </w:rPr>
              <w:t>N</w:t>
            </w:r>
          </w:p>
          <w:p w14:paraId="0B5E5110" w14:textId="6E99B783" w:rsidR="00357CEC" w:rsidRPr="001300A9" w:rsidRDefault="00357CEC" w:rsidP="00357CEC">
            <w:pPr>
              <w:pStyle w:val="Default"/>
              <w:rPr>
                <w:sz w:val="22"/>
                <w:szCs w:val="22"/>
              </w:rPr>
            </w:pPr>
          </w:p>
        </w:tc>
        <w:tc>
          <w:tcPr>
            <w:tcW w:w="283" w:type="dxa"/>
          </w:tcPr>
          <w:p w14:paraId="269C6199" w14:textId="77777777" w:rsidR="00021D96" w:rsidRDefault="00021D96" w:rsidP="00357CEC">
            <w:pPr>
              <w:pStyle w:val="Default"/>
              <w:rPr>
                <w:sz w:val="22"/>
                <w:szCs w:val="22"/>
              </w:rPr>
            </w:pPr>
          </w:p>
          <w:p w14:paraId="66A47C17" w14:textId="77777777" w:rsidR="00021D96" w:rsidRDefault="00021D96" w:rsidP="00357CEC">
            <w:pPr>
              <w:pStyle w:val="Default"/>
              <w:rPr>
                <w:sz w:val="22"/>
                <w:szCs w:val="22"/>
              </w:rPr>
            </w:pPr>
          </w:p>
          <w:p w14:paraId="690FC445" w14:textId="77777777" w:rsidR="00021D96" w:rsidRDefault="00021D96" w:rsidP="00357CEC">
            <w:pPr>
              <w:pStyle w:val="Default"/>
              <w:rPr>
                <w:sz w:val="22"/>
                <w:szCs w:val="22"/>
              </w:rPr>
            </w:pPr>
          </w:p>
          <w:p w14:paraId="43632C56" w14:textId="77777777" w:rsidR="00021D96" w:rsidRDefault="00021D96" w:rsidP="00357CEC">
            <w:pPr>
              <w:pStyle w:val="Default"/>
              <w:rPr>
                <w:sz w:val="22"/>
                <w:szCs w:val="22"/>
              </w:rPr>
            </w:pPr>
          </w:p>
          <w:p w14:paraId="3C0D3291" w14:textId="77777777" w:rsidR="00021D96" w:rsidRDefault="00021D96" w:rsidP="00357CEC">
            <w:pPr>
              <w:pStyle w:val="Default"/>
              <w:rPr>
                <w:sz w:val="22"/>
                <w:szCs w:val="22"/>
              </w:rPr>
            </w:pPr>
          </w:p>
          <w:p w14:paraId="48B2995C" w14:textId="77777777" w:rsidR="00021D96" w:rsidRDefault="00021D96" w:rsidP="00357CEC">
            <w:pPr>
              <w:pStyle w:val="Default"/>
              <w:rPr>
                <w:sz w:val="22"/>
                <w:szCs w:val="22"/>
              </w:rPr>
            </w:pPr>
          </w:p>
          <w:p w14:paraId="003EBBD5" w14:textId="77777777" w:rsidR="00021D96" w:rsidRDefault="00021D96" w:rsidP="00357CEC">
            <w:pPr>
              <w:pStyle w:val="Default"/>
              <w:rPr>
                <w:sz w:val="22"/>
                <w:szCs w:val="22"/>
              </w:rPr>
            </w:pPr>
          </w:p>
          <w:p w14:paraId="1F9442D4" w14:textId="77777777" w:rsidR="00021D96" w:rsidRDefault="00021D96" w:rsidP="00357CEC">
            <w:pPr>
              <w:pStyle w:val="Default"/>
              <w:rPr>
                <w:sz w:val="22"/>
                <w:szCs w:val="22"/>
              </w:rPr>
            </w:pPr>
          </w:p>
          <w:p w14:paraId="170F92BB" w14:textId="77777777" w:rsidR="00021D96" w:rsidRDefault="00021D96" w:rsidP="00357CEC">
            <w:pPr>
              <w:pStyle w:val="Default"/>
              <w:rPr>
                <w:sz w:val="22"/>
                <w:szCs w:val="22"/>
              </w:rPr>
            </w:pPr>
          </w:p>
          <w:p w14:paraId="0F09363C" w14:textId="77777777" w:rsidR="00021D96" w:rsidRDefault="00021D96" w:rsidP="00357CEC">
            <w:pPr>
              <w:pStyle w:val="Default"/>
              <w:rPr>
                <w:sz w:val="22"/>
                <w:szCs w:val="22"/>
              </w:rPr>
            </w:pPr>
          </w:p>
          <w:p w14:paraId="0FD39C8B" w14:textId="77777777" w:rsidR="00021D96" w:rsidRDefault="00021D96" w:rsidP="00357CEC">
            <w:pPr>
              <w:pStyle w:val="Default"/>
              <w:rPr>
                <w:sz w:val="22"/>
                <w:szCs w:val="22"/>
              </w:rPr>
            </w:pPr>
          </w:p>
          <w:p w14:paraId="7DDDD08E" w14:textId="77777777" w:rsidR="00021D96" w:rsidRDefault="00021D96" w:rsidP="00357CEC">
            <w:pPr>
              <w:pStyle w:val="Default"/>
              <w:rPr>
                <w:sz w:val="22"/>
                <w:szCs w:val="22"/>
              </w:rPr>
            </w:pPr>
          </w:p>
          <w:p w14:paraId="50744E10" w14:textId="77777777" w:rsidR="00021D96" w:rsidRDefault="00021D96" w:rsidP="00357CEC">
            <w:pPr>
              <w:pStyle w:val="Default"/>
              <w:rPr>
                <w:sz w:val="22"/>
                <w:szCs w:val="22"/>
              </w:rPr>
            </w:pPr>
          </w:p>
          <w:p w14:paraId="701600A3" w14:textId="77777777" w:rsidR="00021D96" w:rsidRDefault="00021D96" w:rsidP="00357CEC">
            <w:pPr>
              <w:pStyle w:val="Default"/>
              <w:rPr>
                <w:sz w:val="22"/>
                <w:szCs w:val="22"/>
              </w:rPr>
            </w:pPr>
          </w:p>
          <w:p w14:paraId="421E7697" w14:textId="77777777" w:rsidR="00021D96" w:rsidRDefault="00021D96" w:rsidP="00357CEC">
            <w:pPr>
              <w:pStyle w:val="Default"/>
              <w:rPr>
                <w:sz w:val="22"/>
                <w:szCs w:val="22"/>
              </w:rPr>
            </w:pPr>
          </w:p>
          <w:p w14:paraId="2CC20FBE" w14:textId="77777777" w:rsidR="00021D96" w:rsidRDefault="00021D96" w:rsidP="00357CEC">
            <w:pPr>
              <w:pStyle w:val="Default"/>
              <w:rPr>
                <w:sz w:val="22"/>
                <w:szCs w:val="22"/>
              </w:rPr>
            </w:pPr>
          </w:p>
          <w:p w14:paraId="32FC016B" w14:textId="77777777" w:rsidR="00021D96" w:rsidRDefault="00021D96" w:rsidP="00357CEC">
            <w:pPr>
              <w:pStyle w:val="Default"/>
              <w:rPr>
                <w:sz w:val="22"/>
                <w:szCs w:val="22"/>
              </w:rPr>
            </w:pPr>
          </w:p>
          <w:p w14:paraId="11841E06" w14:textId="77777777" w:rsidR="00021D96" w:rsidRDefault="00021D96" w:rsidP="00357CEC">
            <w:pPr>
              <w:pStyle w:val="Default"/>
              <w:rPr>
                <w:sz w:val="22"/>
                <w:szCs w:val="22"/>
              </w:rPr>
            </w:pPr>
          </w:p>
          <w:p w14:paraId="248DD516" w14:textId="77777777" w:rsidR="00021D96" w:rsidRDefault="00021D96" w:rsidP="00357CEC">
            <w:pPr>
              <w:pStyle w:val="Default"/>
              <w:rPr>
                <w:sz w:val="22"/>
                <w:szCs w:val="22"/>
              </w:rPr>
            </w:pPr>
          </w:p>
          <w:p w14:paraId="29BB0FD6" w14:textId="77777777" w:rsidR="00021D96" w:rsidRDefault="00021D96" w:rsidP="00357CEC">
            <w:pPr>
              <w:pStyle w:val="Default"/>
              <w:rPr>
                <w:sz w:val="22"/>
                <w:szCs w:val="22"/>
              </w:rPr>
            </w:pPr>
          </w:p>
          <w:p w14:paraId="34148E21" w14:textId="77777777" w:rsidR="00021D96" w:rsidRDefault="00021D96" w:rsidP="00357CEC">
            <w:pPr>
              <w:pStyle w:val="Default"/>
              <w:rPr>
                <w:sz w:val="22"/>
                <w:szCs w:val="22"/>
              </w:rPr>
            </w:pPr>
          </w:p>
          <w:p w14:paraId="174BD8DD" w14:textId="77777777" w:rsidR="00021D96" w:rsidRDefault="00021D96" w:rsidP="00357CEC">
            <w:pPr>
              <w:pStyle w:val="Default"/>
              <w:rPr>
                <w:sz w:val="22"/>
                <w:szCs w:val="22"/>
              </w:rPr>
            </w:pPr>
          </w:p>
          <w:p w14:paraId="3A7D3CA1" w14:textId="77777777" w:rsidR="00021D96" w:rsidRDefault="00021D96" w:rsidP="00357CEC">
            <w:pPr>
              <w:pStyle w:val="Default"/>
              <w:rPr>
                <w:sz w:val="22"/>
                <w:szCs w:val="22"/>
              </w:rPr>
            </w:pPr>
          </w:p>
          <w:p w14:paraId="1C04C204" w14:textId="77777777" w:rsidR="00021D96" w:rsidRDefault="00021D96" w:rsidP="00357CEC">
            <w:pPr>
              <w:pStyle w:val="Default"/>
              <w:rPr>
                <w:sz w:val="22"/>
                <w:szCs w:val="22"/>
              </w:rPr>
            </w:pPr>
          </w:p>
          <w:p w14:paraId="2A9C5A9E" w14:textId="77777777" w:rsidR="00021D96" w:rsidRDefault="00021D96" w:rsidP="00357CEC">
            <w:pPr>
              <w:pStyle w:val="Default"/>
              <w:rPr>
                <w:sz w:val="22"/>
                <w:szCs w:val="22"/>
              </w:rPr>
            </w:pPr>
          </w:p>
          <w:p w14:paraId="676F6652" w14:textId="77777777" w:rsidR="00021D96" w:rsidRDefault="00021D96" w:rsidP="00357CEC">
            <w:pPr>
              <w:pStyle w:val="Default"/>
              <w:rPr>
                <w:sz w:val="22"/>
                <w:szCs w:val="22"/>
              </w:rPr>
            </w:pPr>
          </w:p>
          <w:p w14:paraId="3F8DE485" w14:textId="77777777" w:rsidR="00021D96" w:rsidRDefault="00021D96" w:rsidP="00357CEC">
            <w:pPr>
              <w:pStyle w:val="Default"/>
              <w:rPr>
                <w:sz w:val="22"/>
                <w:szCs w:val="22"/>
              </w:rPr>
            </w:pPr>
          </w:p>
          <w:p w14:paraId="16988584" w14:textId="77777777" w:rsidR="00021D96" w:rsidRDefault="00021D96" w:rsidP="00357CEC">
            <w:pPr>
              <w:pStyle w:val="Default"/>
              <w:rPr>
                <w:sz w:val="22"/>
                <w:szCs w:val="22"/>
              </w:rPr>
            </w:pPr>
          </w:p>
          <w:p w14:paraId="5F44F9C8" w14:textId="77777777" w:rsidR="00021D96" w:rsidRDefault="00021D96" w:rsidP="00357CEC">
            <w:pPr>
              <w:pStyle w:val="Default"/>
              <w:rPr>
                <w:sz w:val="22"/>
                <w:szCs w:val="22"/>
              </w:rPr>
            </w:pPr>
          </w:p>
          <w:p w14:paraId="563B14C5" w14:textId="77777777" w:rsidR="00021D96" w:rsidRDefault="00021D96" w:rsidP="00357CEC">
            <w:pPr>
              <w:pStyle w:val="Default"/>
              <w:rPr>
                <w:sz w:val="22"/>
                <w:szCs w:val="22"/>
              </w:rPr>
            </w:pPr>
          </w:p>
          <w:p w14:paraId="059E71F8" w14:textId="77777777" w:rsidR="00021D96" w:rsidRDefault="00021D96" w:rsidP="00357CEC">
            <w:pPr>
              <w:pStyle w:val="Default"/>
              <w:rPr>
                <w:sz w:val="22"/>
                <w:szCs w:val="22"/>
              </w:rPr>
            </w:pPr>
          </w:p>
          <w:p w14:paraId="15157263" w14:textId="77777777" w:rsidR="00021D96" w:rsidRDefault="00021D96" w:rsidP="00357CEC">
            <w:pPr>
              <w:pStyle w:val="Default"/>
              <w:rPr>
                <w:sz w:val="22"/>
                <w:szCs w:val="22"/>
              </w:rPr>
            </w:pPr>
          </w:p>
          <w:p w14:paraId="7BC58419" w14:textId="77777777" w:rsidR="00021D96" w:rsidRDefault="00021D96" w:rsidP="00357CEC">
            <w:pPr>
              <w:pStyle w:val="Default"/>
              <w:rPr>
                <w:sz w:val="22"/>
                <w:szCs w:val="22"/>
              </w:rPr>
            </w:pPr>
          </w:p>
          <w:p w14:paraId="68F8CA4C" w14:textId="77777777" w:rsidR="00021D96" w:rsidRDefault="00021D96" w:rsidP="00357CEC">
            <w:pPr>
              <w:pStyle w:val="Default"/>
              <w:rPr>
                <w:sz w:val="22"/>
                <w:szCs w:val="22"/>
              </w:rPr>
            </w:pPr>
          </w:p>
          <w:p w14:paraId="605DAC4B" w14:textId="77777777" w:rsidR="00021D96" w:rsidRDefault="00021D96" w:rsidP="00357CEC">
            <w:pPr>
              <w:pStyle w:val="Default"/>
              <w:rPr>
                <w:sz w:val="22"/>
                <w:szCs w:val="22"/>
              </w:rPr>
            </w:pPr>
          </w:p>
          <w:p w14:paraId="2DED4BB5" w14:textId="77777777" w:rsidR="00021D96" w:rsidRDefault="00021D96" w:rsidP="00357CEC">
            <w:pPr>
              <w:pStyle w:val="Default"/>
              <w:rPr>
                <w:sz w:val="22"/>
                <w:szCs w:val="22"/>
              </w:rPr>
            </w:pPr>
          </w:p>
          <w:p w14:paraId="1806C22B" w14:textId="77777777" w:rsidR="00021D96" w:rsidRDefault="00021D96" w:rsidP="00357CEC">
            <w:pPr>
              <w:pStyle w:val="Default"/>
              <w:rPr>
                <w:sz w:val="22"/>
                <w:szCs w:val="22"/>
              </w:rPr>
            </w:pPr>
          </w:p>
          <w:p w14:paraId="608FB950" w14:textId="77777777" w:rsidR="00021D96" w:rsidRDefault="00021D96" w:rsidP="00357CEC">
            <w:pPr>
              <w:pStyle w:val="Default"/>
              <w:rPr>
                <w:sz w:val="22"/>
                <w:szCs w:val="22"/>
              </w:rPr>
            </w:pPr>
          </w:p>
          <w:p w14:paraId="19E4665F" w14:textId="77777777" w:rsidR="00021D96" w:rsidRDefault="00021D96" w:rsidP="00357CEC">
            <w:pPr>
              <w:pStyle w:val="Default"/>
              <w:rPr>
                <w:sz w:val="22"/>
                <w:szCs w:val="22"/>
              </w:rPr>
            </w:pPr>
          </w:p>
          <w:p w14:paraId="046D5E2D" w14:textId="77777777" w:rsidR="00021D96" w:rsidRDefault="00021D96" w:rsidP="00357CEC">
            <w:pPr>
              <w:pStyle w:val="Default"/>
              <w:rPr>
                <w:sz w:val="22"/>
                <w:szCs w:val="22"/>
              </w:rPr>
            </w:pPr>
          </w:p>
          <w:p w14:paraId="2EC2E5C4" w14:textId="77777777" w:rsidR="00021D96" w:rsidRDefault="00021D96" w:rsidP="00357CEC">
            <w:pPr>
              <w:pStyle w:val="Default"/>
              <w:rPr>
                <w:sz w:val="22"/>
                <w:szCs w:val="22"/>
              </w:rPr>
            </w:pPr>
          </w:p>
          <w:p w14:paraId="2F546350" w14:textId="77777777" w:rsidR="00021D96" w:rsidRDefault="00021D96" w:rsidP="00357CEC">
            <w:pPr>
              <w:pStyle w:val="Default"/>
              <w:rPr>
                <w:sz w:val="22"/>
                <w:szCs w:val="22"/>
              </w:rPr>
            </w:pPr>
          </w:p>
          <w:p w14:paraId="73E50485" w14:textId="77777777" w:rsidR="00021D96" w:rsidRDefault="00021D96" w:rsidP="00357CEC">
            <w:pPr>
              <w:pStyle w:val="Default"/>
              <w:rPr>
                <w:sz w:val="22"/>
                <w:szCs w:val="22"/>
              </w:rPr>
            </w:pPr>
          </w:p>
          <w:p w14:paraId="69490D63" w14:textId="77777777" w:rsidR="00021D96" w:rsidRDefault="00021D96" w:rsidP="00357CEC">
            <w:pPr>
              <w:pStyle w:val="Default"/>
              <w:rPr>
                <w:sz w:val="22"/>
                <w:szCs w:val="22"/>
              </w:rPr>
            </w:pPr>
          </w:p>
          <w:p w14:paraId="5FDA2DF5" w14:textId="77777777" w:rsidR="00021D96" w:rsidRDefault="00021D96" w:rsidP="00357CEC">
            <w:pPr>
              <w:pStyle w:val="Default"/>
              <w:rPr>
                <w:sz w:val="22"/>
                <w:szCs w:val="22"/>
              </w:rPr>
            </w:pPr>
          </w:p>
          <w:p w14:paraId="43CC4A55" w14:textId="77777777" w:rsidR="00021D96" w:rsidRDefault="00021D96" w:rsidP="00357CEC">
            <w:pPr>
              <w:pStyle w:val="Default"/>
              <w:rPr>
                <w:sz w:val="22"/>
                <w:szCs w:val="22"/>
              </w:rPr>
            </w:pPr>
          </w:p>
          <w:p w14:paraId="063B3FF0" w14:textId="77777777" w:rsidR="00021D96" w:rsidRDefault="00021D96" w:rsidP="00357CEC">
            <w:pPr>
              <w:pStyle w:val="Default"/>
              <w:rPr>
                <w:sz w:val="22"/>
                <w:szCs w:val="22"/>
              </w:rPr>
            </w:pPr>
          </w:p>
          <w:p w14:paraId="59849401" w14:textId="77777777" w:rsidR="00021D96" w:rsidRDefault="00021D96" w:rsidP="00357CEC">
            <w:pPr>
              <w:pStyle w:val="Default"/>
              <w:rPr>
                <w:sz w:val="22"/>
                <w:szCs w:val="22"/>
              </w:rPr>
            </w:pPr>
          </w:p>
          <w:p w14:paraId="752699AB" w14:textId="77777777" w:rsidR="00021D96" w:rsidRDefault="00021D96" w:rsidP="00357CEC">
            <w:pPr>
              <w:pStyle w:val="Default"/>
              <w:rPr>
                <w:sz w:val="22"/>
                <w:szCs w:val="22"/>
              </w:rPr>
            </w:pPr>
          </w:p>
          <w:p w14:paraId="54FF24A8" w14:textId="77777777" w:rsidR="00021D96" w:rsidRDefault="00021D96" w:rsidP="00357CEC">
            <w:pPr>
              <w:pStyle w:val="Default"/>
              <w:rPr>
                <w:sz w:val="22"/>
                <w:szCs w:val="22"/>
              </w:rPr>
            </w:pPr>
          </w:p>
          <w:p w14:paraId="1156DF5F" w14:textId="77777777" w:rsidR="00021D96" w:rsidRDefault="00021D96" w:rsidP="00357CEC">
            <w:pPr>
              <w:pStyle w:val="Default"/>
              <w:rPr>
                <w:sz w:val="22"/>
                <w:szCs w:val="22"/>
              </w:rPr>
            </w:pPr>
          </w:p>
          <w:p w14:paraId="253CAC8B" w14:textId="77777777" w:rsidR="004D7FA3" w:rsidRDefault="004D7FA3" w:rsidP="00357CEC">
            <w:pPr>
              <w:pStyle w:val="Default"/>
              <w:rPr>
                <w:sz w:val="22"/>
                <w:szCs w:val="22"/>
              </w:rPr>
            </w:pPr>
          </w:p>
          <w:p w14:paraId="155A1176" w14:textId="42E7970B" w:rsidR="5F673433" w:rsidRDefault="5F673433" w:rsidP="5F673433">
            <w:pPr>
              <w:pStyle w:val="Default"/>
              <w:rPr>
                <w:sz w:val="22"/>
                <w:szCs w:val="22"/>
              </w:rPr>
            </w:pPr>
          </w:p>
          <w:p w14:paraId="136A8FCD" w14:textId="7A33832F" w:rsidR="00357CEC" w:rsidRDefault="00021D96" w:rsidP="00357CEC">
            <w:pPr>
              <w:pStyle w:val="Default"/>
              <w:rPr>
                <w:sz w:val="22"/>
                <w:szCs w:val="22"/>
              </w:rPr>
            </w:pPr>
            <w:r>
              <w:rPr>
                <w:sz w:val="22"/>
                <w:szCs w:val="22"/>
              </w:rPr>
              <w:t>NZ</w:t>
            </w:r>
          </w:p>
          <w:p w14:paraId="2D8F042D" w14:textId="77777777" w:rsidR="00021D96" w:rsidRDefault="00021D96" w:rsidP="00357CEC">
            <w:pPr>
              <w:pStyle w:val="Default"/>
              <w:rPr>
                <w:sz w:val="22"/>
                <w:szCs w:val="22"/>
              </w:rPr>
            </w:pPr>
          </w:p>
          <w:p w14:paraId="2CB370A5" w14:textId="77777777" w:rsidR="00021D96" w:rsidRDefault="00021D96" w:rsidP="00357CEC">
            <w:pPr>
              <w:pStyle w:val="Default"/>
              <w:rPr>
                <w:sz w:val="22"/>
                <w:szCs w:val="22"/>
              </w:rPr>
            </w:pPr>
          </w:p>
          <w:p w14:paraId="2936FAE1" w14:textId="77777777" w:rsidR="00021D96" w:rsidRDefault="00021D96" w:rsidP="00357CEC">
            <w:pPr>
              <w:pStyle w:val="Default"/>
              <w:rPr>
                <w:sz w:val="22"/>
                <w:szCs w:val="22"/>
              </w:rPr>
            </w:pPr>
          </w:p>
          <w:p w14:paraId="5C1F4425" w14:textId="77777777" w:rsidR="00021D96" w:rsidRDefault="00021D96" w:rsidP="00357CEC">
            <w:pPr>
              <w:pStyle w:val="Default"/>
              <w:rPr>
                <w:sz w:val="22"/>
                <w:szCs w:val="22"/>
              </w:rPr>
            </w:pPr>
          </w:p>
          <w:p w14:paraId="61B5E9CF" w14:textId="10F60A1B" w:rsidR="00021D96" w:rsidRDefault="00021D96" w:rsidP="00357CEC">
            <w:pPr>
              <w:pStyle w:val="Default"/>
              <w:rPr>
                <w:sz w:val="22"/>
                <w:szCs w:val="22"/>
              </w:rPr>
            </w:pPr>
          </w:p>
          <w:p w14:paraId="3C588876" w14:textId="1F4FF96A" w:rsidR="00021D96" w:rsidRPr="001300A9" w:rsidRDefault="00021D96" w:rsidP="00357CEC">
            <w:pPr>
              <w:pStyle w:val="Default"/>
              <w:rPr>
                <w:sz w:val="22"/>
                <w:szCs w:val="22"/>
              </w:rPr>
            </w:pPr>
            <w:r>
              <w:rPr>
                <w:sz w:val="22"/>
                <w:szCs w:val="22"/>
              </w:rPr>
              <w:t>NZ</w:t>
            </w:r>
          </w:p>
        </w:tc>
        <w:tc>
          <w:tcPr>
            <w:tcW w:w="567" w:type="dxa"/>
          </w:tcPr>
          <w:p w14:paraId="087E18B9" w14:textId="77777777" w:rsidR="00056FC2" w:rsidRPr="001300A9" w:rsidRDefault="00056FC2" w:rsidP="00357CEC">
            <w:pPr>
              <w:pStyle w:val="Default"/>
              <w:rPr>
                <w:sz w:val="22"/>
                <w:szCs w:val="22"/>
              </w:rPr>
            </w:pPr>
          </w:p>
          <w:p w14:paraId="2662DF0C" w14:textId="77777777" w:rsidR="00056FC2" w:rsidRPr="001300A9" w:rsidRDefault="00056FC2" w:rsidP="00357CEC">
            <w:pPr>
              <w:pStyle w:val="Default"/>
              <w:rPr>
                <w:sz w:val="22"/>
                <w:szCs w:val="22"/>
              </w:rPr>
            </w:pPr>
          </w:p>
          <w:p w14:paraId="1AF0AD82" w14:textId="77777777" w:rsidR="00056FC2" w:rsidRPr="001300A9" w:rsidRDefault="00056FC2" w:rsidP="00357CEC">
            <w:pPr>
              <w:pStyle w:val="Default"/>
              <w:rPr>
                <w:sz w:val="22"/>
                <w:szCs w:val="22"/>
              </w:rPr>
            </w:pPr>
          </w:p>
          <w:p w14:paraId="2AD282B9" w14:textId="77777777" w:rsidR="00056FC2" w:rsidRPr="001300A9" w:rsidRDefault="00056FC2" w:rsidP="00357CEC">
            <w:pPr>
              <w:pStyle w:val="Default"/>
              <w:rPr>
                <w:sz w:val="22"/>
                <w:szCs w:val="22"/>
              </w:rPr>
            </w:pPr>
          </w:p>
          <w:p w14:paraId="0217629E" w14:textId="77777777" w:rsidR="00056FC2" w:rsidRPr="001300A9" w:rsidRDefault="00056FC2" w:rsidP="00357CEC">
            <w:pPr>
              <w:pStyle w:val="Default"/>
              <w:rPr>
                <w:sz w:val="22"/>
                <w:szCs w:val="22"/>
              </w:rPr>
            </w:pPr>
          </w:p>
          <w:p w14:paraId="64720881" w14:textId="77777777" w:rsidR="00056FC2" w:rsidRPr="001300A9" w:rsidRDefault="00056FC2" w:rsidP="00357CEC">
            <w:pPr>
              <w:pStyle w:val="Default"/>
              <w:rPr>
                <w:sz w:val="22"/>
                <w:szCs w:val="22"/>
              </w:rPr>
            </w:pPr>
          </w:p>
          <w:p w14:paraId="4313FDF1" w14:textId="77777777" w:rsidR="00056FC2" w:rsidRPr="001300A9" w:rsidRDefault="00056FC2" w:rsidP="00357CEC">
            <w:pPr>
              <w:pStyle w:val="Default"/>
              <w:rPr>
                <w:sz w:val="22"/>
                <w:szCs w:val="22"/>
              </w:rPr>
            </w:pPr>
          </w:p>
          <w:p w14:paraId="6E9A3E8D" w14:textId="77777777" w:rsidR="00056FC2" w:rsidRPr="001300A9" w:rsidRDefault="00056FC2" w:rsidP="00357CEC">
            <w:pPr>
              <w:pStyle w:val="Default"/>
              <w:rPr>
                <w:sz w:val="22"/>
                <w:szCs w:val="22"/>
              </w:rPr>
            </w:pPr>
          </w:p>
          <w:p w14:paraId="7ECE6369" w14:textId="77777777" w:rsidR="00056FC2" w:rsidRPr="001300A9" w:rsidRDefault="00056FC2" w:rsidP="00357CEC">
            <w:pPr>
              <w:pStyle w:val="Default"/>
              <w:rPr>
                <w:sz w:val="22"/>
                <w:szCs w:val="22"/>
              </w:rPr>
            </w:pPr>
          </w:p>
          <w:p w14:paraId="0697B802" w14:textId="77777777" w:rsidR="00056FC2" w:rsidRPr="001300A9" w:rsidRDefault="00056FC2" w:rsidP="00357CEC">
            <w:pPr>
              <w:pStyle w:val="Default"/>
              <w:rPr>
                <w:sz w:val="22"/>
                <w:szCs w:val="22"/>
              </w:rPr>
            </w:pPr>
          </w:p>
          <w:p w14:paraId="557A2C6A" w14:textId="77777777" w:rsidR="00056FC2" w:rsidRPr="001300A9" w:rsidRDefault="00056FC2" w:rsidP="00357CEC">
            <w:pPr>
              <w:pStyle w:val="Default"/>
              <w:rPr>
                <w:sz w:val="22"/>
                <w:szCs w:val="22"/>
              </w:rPr>
            </w:pPr>
          </w:p>
          <w:p w14:paraId="5D1FD163" w14:textId="77777777" w:rsidR="00056FC2" w:rsidRPr="001300A9" w:rsidRDefault="00056FC2" w:rsidP="00357CEC">
            <w:pPr>
              <w:pStyle w:val="Default"/>
              <w:rPr>
                <w:sz w:val="22"/>
                <w:szCs w:val="22"/>
              </w:rPr>
            </w:pPr>
          </w:p>
          <w:p w14:paraId="1F5EC441" w14:textId="77777777" w:rsidR="00056FC2" w:rsidRPr="001300A9" w:rsidRDefault="00056FC2" w:rsidP="00357CEC">
            <w:pPr>
              <w:pStyle w:val="Default"/>
              <w:rPr>
                <w:sz w:val="22"/>
                <w:szCs w:val="22"/>
              </w:rPr>
            </w:pPr>
          </w:p>
          <w:p w14:paraId="1C9783D4" w14:textId="77777777" w:rsidR="00056FC2" w:rsidRPr="001300A9" w:rsidRDefault="00056FC2" w:rsidP="00357CEC">
            <w:pPr>
              <w:pStyle w:val="Default"/>
              <w:rPr>
                <w:sz w:val="22"/>
                <w:szCs w:val="22"/>
              </w:rPr>
            </w:pPr>
          </w:p>
          <w:p w14:paraId="23CC1805" w14:textId="77777777" w:rsidR="00056FC2" w:rsidRPr="001300A9" w:rsidRDefault="00056FC2" w:rsidP="00357CEC">
            <w:pPr>
              <w:pStyle w:val="Default"/>
              <w:rPr>
                <w:sz w:val="22"/>
                <w:szCs w:val="22"/>
              </w:rPr>
            </w:pPr>
          </w:p>
          <w:p w14:paraId="217651BA" w14:textId="77777777" w:rsidR="00056FC2" w:rsidRPr="001300A9" w:rsidRDefault="00056FC2" w:rsidP="00357CEC">
            <w:pPr>
              <w:pStyle w:val="Default"/>
              <w:rPr>
                <w:sz w:val="22"/>
                <w:szCs w:val="22"/>
              </w:rPr>
            </w:pPr>
          </w:p>
          <w:p w14:paraId="1097F845" w14:textId="77777777" w:rsidR="00056FC2" w:rsidRPr="001300A9" w:rsidRDefault="00056FC2" w:rsidP="00357CEC">
            <w:pPr>
              <w:pStyle w:val="Default"/>
              <w:rPr>
                <w:sz w:val="22"/>
                <w:szCs w:val="22"/>
              </w:rPr>
            </w:pPr>
          </w:p>
          <w:p w14:paraId="22F8170B" w14:textId="77777777" w:rsidR="00056FC2" w:rsidRPr="001300A9" w:rsidRDefault="00056FC2" w:rsidP="00357CEC">
            <w:pPr>
              <w:pStyle w:val="Default"/>
              <w:rPr>
                <w:sz w:val="22"/>
                <w:szCs w:val="22"/>
              </w:rPr>
            </w:pPr>
          </w:p>
          <w:p w14:paraId="5C1320CB" w14:textId="77777777" w:rsidR="00056FC2" w:rsidRPr="001300A9" w:rsidRDefault="00056FC2" w:rsidP="00357CEC">
            <w:pPr>
              <w:pStyle w:val="Default"/>
              <w:rPr>
                <w:sz w:val="22"/>
                <w:szCs w:val="22"/>
              </w:rPr>
            </w:pPr>
          </w:p>
          <w:p w14:paraId="32471FF0" w14:textId="77777777" w:rsidR="00056FC2" w:rsidRPr="001300A9" w:rsidRDefault="00056FC2" w:rsidP="00357CEC">
            <w:pPr>
              <w:pStyle w:val="Default"/>
              <w:rPr>
                <w:sz w:val="22"/>
                <w:szCs w:val="22"/>
              </w:rPr>
            </w:pPr>
          </w:p>
          <w:p w14:paraId="55E0B55B" w14:textId="77777777" w:rsidR="00056FC2" w:rsidRPr="001300A9" w:rsidRDefault="00056FC2" w:rsidP="00357CEC">
            <w:pPr>
              <w:pStyle w:val="Default"/>
              <w:rPr>
                <w:sz w:val="22"/>
                <w:szCs w:val="22"/>
              </w:rPr>
            </w:pPr>
          </w:p>
          <w:p w14:paraId="3FA47978" w14:textId="77777777" w:rsidR="00056FC2" w:rsidRPr="001300A9" w:rsidRDefault="00056FC2" w:rsidP="00357CEC">
            <w:pPr>
              <w:pStyle w:val="Default"/>
              <w:rPr>
                <w:sz w:val="22"/>
                <w:szCs w:val="22"/>
              </w:rPr>
            </w:pPr>
          </w:p>
          <w:p w14:paraId="356C95BD" w14:textId="77777777" w:rsidR="00056FC2" w:rsidRPr="001300A9" w:rsidRDefault="00056FC2" w:rsidP="00357CEC">
            <w:pPr>
              <w:pStyle w:val="Default"/>
              <w:rPr>
                <w:sz w:val="22"/>
                <w:szCs w:val="22"/>
              </w:rPr>
            </w:pPr>
          </w:p>
          <w:p w14:paraId="5B91882C" w14:textId="77777777" w:rsidR="00056FC2" w:rsidRPr="001300A9" w:rsidRDefault="00056FC2" w:rsidP="00357CEC">
            <w:pPr>
              <w:pStyle w:val="Default"/>
              <w:rPr>
                <w:sz w:val="22"/>
                <w:szCs w:val="22"/>
              </w:rPr>
            </w:pPr>
          </w:p>
          <w:p w14:paraId="25436795" w14:textId="77777777" w:rsidR="00056FC2" w:rsidRPr="001300A9" w:rsidRDefault="00056FC2" w:rsidP="00357CEC">
            <w:pPr>
              <w:pStyle w:val="Default"/>
              <w:rPr>
                <w:sz w:val="22"/>
                <w:szCs w:val="22"/>
              </w:rPr>
            </w:pPr>
          </w:p>
          <w:p w14:paraId="097C635C" w14:textId="77777777" w:rsidR="00056FC2" w:rsidRPr="001300A9" w:rsidRDefault="00056FC2" w:rsidP="00357CEC">
            <w:pPr>
              <w:pStyle w:val="Default"/>
              <w:rPr>
                <w:sz w:val="22"/>
                <w:szCs w:val="22"/>
              </w:rPr>
            </w:pPr>
          </w:p>
          <w:p w14:paraId="09F3ADD4" w14:textId="77777777" w:rsidR="00056FC2" w:rsidRPr="001300A9" w:rsidRDefault="00056FC2" w:rsidP="00357CEC">
            <w:pPr>
              <w:pStyle w:val="Default"/>
              <w:rPr>
                <w:sz w:val="22"/>
                <w:szCs w:val="22"/>
              </w:rPr>
            </w:pPr>
          </w:p>
          <w:p w14:paraId="60848507" w14:textId="77777777" w:rsidR="00056FC2" w:rsidRPr="001300A9" w:rsidRDefault="00056FC2" w:rsidP="00357CEC">
            <w:pPr>
              <w:pStyle w:val="Default"/>
              <w:rPr>
                <w:sz w:val="22"/>
                <w:szCs w:val="22"/>
              </w:rPr>
            </w:pPr>
          </w:p>
          <w:p w14:paraId="59C5AE0C" w14:textId="77777777" w:rsidR="00056FC2" w:rsidRPr="001300A9" w:rsidRDefault="00056FC2" w:rsidP="00357CEC">
            <w:pPr>
              <w:pStyle w:val="Default"/>
              <w:rPr>
                <w:sz w:val="22"/>
                <w:szCs w:val="22"/>
              </w:rPr>
            </w:pPr>
          </w:p>
          <w:p w14:paraId="5CB356D1" w14:textId="77777777" w:rsidR="00056FC2" w:rsidRPr="001300A9" w:rsidRDefault="00056FC2" w:rsidP="00357CEC">
            <w:pPr>
              <w:pStyle w:val="Default"/>
              <w:rPr>
                <w:sz w:val="22"/>
                <w:szCs w:val="22"/>
              </w:rPr>
            </w:pPr>
          </w:p>
          <w:p w14:paraId="64F7F270" w14:textId="77777777" w:rsidR="00056FC2" w:rsidRPr="001300A9" w:rsidRDefault="00056FC2" w:rsidP="00357CEC">
            <w:pPr>
              <w:pStyle w:val="Default"/>
              <w:rPr>
                <w:sz w:val="22"/>
                <w:szCs w:val="22"/>
              </w:rPr>
            </w:pPr>
          </w:p>
          <w:p w14:paraId="407843FD" w14:textId="77777777" w:rsidR="00056FC2" w:rsidRPr="001300A9" w:rsidRDefault="00056FC2" w:rsidP="00357CEC">
            <w:pPr>
              <w:pStyle w:val="Default"/>
              <w:rPr>
                <w:sz w:val="22"/>
                <w:szCs w:val="22"/>
              </w:rPr>
            </w:pPr>
          </w:p>
          <w:p w14:paraId="67736BD2" w14:textId="77777777" w:rsidR="00056FC2" w:rsidRPr="001300A9" w:rsidRDefault="00056FC2" w:rsidP="00357CEC">
            <w:pPr>
              <w:pStyle w:val="Default"/>
              <w:rPr>
                <w:sz w:val="22"/>
                <w:szCs w:val="22"/>
              </w:rPr>
            </w:pPr>
          </w:p>
          <w:p w14:paraId="56316B6A" w14:textId="77777777" w:rsidR="00056FC2" w:rsidRPr="001300A9" w:rsidRDefault="00056FC2" w:rsidP="00357CEC">
            <w:pPr>
              <w:pStyle w:val="Default"/>
              <w:rPr>
                <w:sz w:val="22"/>
                <w:szCs w:val="22"/>
              </w:rPr>
            </w:pPr>
          </w:p>
          <w:p w14:paraId="368933A4" w14:textId="77777777" w:rsidR="00056FC2" w:rsidRPr="001300A9" w:rsidRDefault="00056FC2" w:rsidP="00357CEC">
            <w:pPr>
              <w:pStyle w:val="Default"/>
              <w:rPr>
                <w:sz w:val="22"/>
                <w:szCs w:val="22"/>
              </w:rPr>
            </w:pPr>
          </w:p>
          <w:p w14:paraId="3062F19D" w14:textId="77777777" w:rsidR="00056FC2" w:rsidRPr="001300A9" w:rsidRDefault="00056FC2" w:rsidP="00357CEC">
            <w:pPr>
              <w:pStyle w:val="Default"/>
              <w:rPr>
                <w:sz w:val="22"/>
                <w:szCs w:val="22"/>
              </w:rPr>
            </w:pPr>
          </w:p>
          <w:p w14:paraId="31EBEDF8" w14:textId="77777777" w:rsidR="00056FC2" w:rsidRPr="001300A9" w:rsidRDefault="00056FC2" w:rsidP="00357CEC">
            <w:pPr>
              <w:pStyle w:val="Default"/>
              <w:rPr>
                <w:sz w:val="22"/>
                <w:szCs w:val="22"/>
              </w:rPr>
            </w:pPr>
          </w:p>
          <w:p w14:paraId="18DEF2B6" w14:textId="77777777" w:rsidR="00056FC2" w:rsidRPr="001300A9" w:rsidRDefault="00056FC2" w:rsidP="00357CEC">
            <w:pPr>
              <w:pStyle w:val="Default"/>
              <w:rPr>
                <w:sz w:val="22"/>
                <w:szCs w:val="22"/>
              </w:rPr>
            </w:pPr>
          </w:p>
          <w:p w14:paraId="15B6CB7F" w14:textId="77777777" w:rsidR="00056FC2" w:rsidRPr="001300A9" w:rsidRDefault="00056FC2" w:rsidP="00357CEC">
            <w:pPr>
              <w:pStyle w:val="Default"/>
              <w:rPr>
                <w:sz w:val="22"/>
                <w:szCs w:val="22"/>
              </w:rPr>
            </w:pPr>
          </w:p>
          <w:p w14:paraId="22C01477" w14:textId="77777777" w:rsidR="00056FC2" w:rsidRPr="001300A9" w:rsidRDefault="00056FC2" w:rsidP="00357CEC">
            <w:pPr>
              <w:pStyle w:val="Default"/>
              <w:rPr>
                <w:sz w:val="22"/>
                <w:szCs w:val="22"/>
              </w:rPr>
            </w:pPr>
          </w:p>
          <w:p w14:paraId="03F42B8C" w14:textId="77777777" w:rsidR="00056FC2" w:rsidRPr="001300A9" w:rsidRDefault="00056FC2" w:rsidP="00357CEC">
            <w:pPr>
              <w:pStyle w:val="Default"/>
              <w:rPr>
                <w:sz w:val="22"/>
                <w:szCs w:val="22"/>
              </w:rPr>
            </w:pPr>
          </w:p>
          <w:p w14:paraId="68B8B842" w14:textId="77777777" w:rsidR="00056FC2" w:rsidRPr="001300A9" w:rsidRDefault="00056FC2" w:rsidP="00357CEC">
            <w:pPr>
              <w:pStyle w:val="Default"/>
              <w:rPr>
                <w:sz w:val="22"/>
                <w:szCs w:val="22"/>
              </w:rPr>
            </w:pPr>
          </w:p>
          <w:p w14:paraId="36B5DE0F" w14:textId="77777777" w:rsidR="00056FC2" w:rsidRPr="001300A9" w:rsidRDefault="00056FC2" w:rsidP="00357CEC">
            <w:pPr>
              <w:pStyle w:val="Default"/>
              <w:rPr>
                <w:sz w:val="22"/>
                <w:szCs w:val="22"/>
              </w:rPr>
            </w:pPr>
          </w:p>
          <w:p w14:paraId="08D8CD1C" w14:textId="77777777" w:rsidR="00056FC2" w:rsidRPr="001300A9" w:rsidRDefault="00056FC2" w:rsidP="00357CEC">
            <w:pPr>
              <w:pStyle w:val="Default"/>
              <w:rPr>
                <w:sz w:val="22"/>
                <w:szCs w:val="22"/>
              </w:rPr>
            </w:pPr>
          </w:p>
          <w:p w14:paraId="6876C55A" w14:textId="77777777" w:rsidR="00056FC2" w:rsidRPr="001300A9" w:rsidRDefault="00056FC2" w:rsidP="00357CEC">
            <w:pPr>
              <w:pStyle w:val="Default"/>
              <w:rPr>
                <w:sz w:val="22"/>
                <w:szCs w:val="22"/>
              </w:rPr>
            </w:pPr>
          </w:p>
          <w:p w14:paraId="0F24F06E" w14:textId="77777777" w:rsidR="00056FC2" w:rsidRPr="001300A9" w:rsidRDefault="00056FC2" w:rsidP="00357CEC">
            <w:pPr>
              <w:pStyle w:val="Default"/>
              <w:rPr>
                <w:sz w:val="22"/>
                <w:szCs w:val="22"/>
              </w:rPr>
            </w:pPr>
          </w:p>
          <w:p w14:paraId="048B8A39" w14:textId="77777777" w:rsidR="00056FC2" w:rsidRPr="001300A9" w:rsidRDefault="00056FC2" w:rsidP="00357CEC">
            <w:pPr>
              <w:pStyle w:val="Default"/>
              <w:rPr>
                <w:sz w:val="22"/>
                <w:szCs w:val="22"/>
              </w:rPr>
            </w:pPr>
          </w:p>
          <w:p w14:paraId="25F4F6CD" w14:textId="77777777" w:rsidR="00056FC2" w:rsidRPr="001300A9" w:rsidRDefault="00056FC2" w:rsidP="00357CEC">
            <w:pPr>
              <w:pStyle w:val="Default"/>
              <w:rPr>
                <w:sz w:val="22"/>
                <w:szCs w:val="22"/>
              </w:rPr>
            </w:pPr>
          </w:p>
          <w:p w14:paraId="1D113DD9" w14:textId="77777777" w:rsidR="00056FC2" w:rsidRPr="001300A9" w:rsidRDefault="00056FC2" w:rsidP="00357CEC">
            <w:pPr>
              <w:pStyle w:val="Default"/>
              <w:rPr>
                <w:sz w:val="22"/>
                <w:szCs w:val="22"/>
              </w:rPr>
            </w:pPr>
          </w:p>
          <w:p w14:paraId="42C38A36" w14:textId="77777777" w:rsidR="00056FC2" w:rsidRPr="001300A9" w:rsidRDefault="00056FC2" w:rsidP="00357CEC">
            <w:pPr>
              <w:pStyle w:val="Default"/>
              <w:rPr>
                <w:sz w:val="22"/>
                <w:szCs w:val="22"/>
              </w:rPr>
            </w:pPr>
          </w:p>
          <w:p w14:paraId="7D66F17E" w14:textId="2598BFE0" w:rsidR="00056FC2" w:rsidRPr="001300A9" w:rsidRDefault="00056FC2" w:rsidP="00357CEC">
            <w:pPr>
              <w:pStyle w:val="Default"/>
              <w:rPr>
                <w:sz w:val="22"/>
                <w:szCs w:val="22"/>
              </w:rPr>
            </w:pPr>
          </w:p>
          <w:p w14:paraId="61742570" w14:textId="5E1FE8B6" w:rsidR="5F673433" w:rsidRDefault="5F673433" w:rsidP="5F673433">
            <w:pPr>
              <w:pStyle w:val="Default"/>
              <w:rPr>
                <w:sz w:val="22"/>
                <w:szCs w:val="22"/>
              </w:rPr>
            </w:pPr>
          </w:p>
          <w:p w14:paraId="10F649D5" w14:textId="0904C3BD" w:rsidR="5F673433" w:rsidRDefault="5F673433" w:rsidP="5F673433">
            <w:pPr>
              <w:pStyle w:val="Default"/>
              <w:rPr>
                <w:sz w:val="22"/>
                <w:szCs w:val="22"/>
              </w:rPr>
            </w:pPr>
          </w:p>
          <w:p w14:paraId="79F14B90" w14:textId="77777777" w:rsidR="00021D96" w:rsidRPr="00223C49" w:rsidRDefault="00021D96" w:rsidP="00357CEC">
            <w:pPr>
              <w:pStyle w:val="Default"/>
              <w:rPr>
                <w:sz w:val="22"/>
                <w:szCs w:val="22"/>
              </w:rPr>
            </w:pPr>
            <w:r w:rsidRPr="00223C49">
              <w:rPr>
                <w:sz w:val="22"/>
                <w:szCs w:val="22"/>
              </w:rPr>
              <w:t>Č:I</w:t>
            </w:r>
            <w:r w:rsidR="00F041B3" w:rsidRPr="00223C49">
              <w:rPr>
                <w:sz w:val="22"/>
                <w:szCs w:val="22"/>
              </w:rPr>
              <w:t>§</w:t>
            </w:r>
            <w:r w:rsidRPr="00223C49">
              <w:rPr>
                <w:sz w:val="22"/>
                <w:szCs w:val="22"/>
              </w:rPr>
              <w:t>:</w:t>
            </w:r>
            <w:r w:rsidR="00F041B3" w:rsidRPr="00223C49">
              <w:rPr>
                <w:sz w:val="22"/>
                <w:szCs w:val="22"/>
              </w:rPr>
              <w:t>29</w:t>
            </w:r>
          </w:p>
          <w:p w14:paraId="0E9BFDE9" w14:textId="6D6614E5" w:rsidR="00056FC2" w:rsidRPr="00223C49" w:rsidRDefault="00021D96" w:rsidP="00357CEC">
            <w:pPr>
              <w:pStyle w:val="Default"/>
              <w:rPr>
                <w:sz w:val="22"/>
                <w:szCs w:val="22"/>
              </w:rPr>
            </w:pPr>
            <w:r w:rsidRPr="00223C49">
              <w:rPr>
                <w:sz w:val="22"/>
                <w:szCs w:val="22"/>
              </w:rPr>
              <w:t>O:</w:t>
            </w:r>
            <w:r w:rsidR="00F041B3" w:rsidRPr="00223C49">
              <w:rPr>
                <w:sz w:val="22"/>
                <w:szCs w:val="22"/>
              </w:rPr>
              <w:t xml:space="preserve">1 </w:t>
            </w:r>
            <w:r w:rsidRPr="00223C49">
              <w:rPr>
                <w:sz w:val="22"/>
                <w:szCs w:val="22"/>
              </w:rPr>
              <w:t>P:</w:t>
            </w:r>
            <w:r w:rsidR="00F041B3" w:rsidRPr="00223C49">
              <w:rPr>
                <w:sz w:val="22"/>
                <w:szCs w:val="22"/>
              </w:rPr>
              <w:t>b</w:t>
            </w:r>
          </w:p>
          <w:p w14:paraId="64AE9D69" w14:textId="77777777" w:rsidR="00F041B3" w:rsidRPr="00223C49" w:rsidRDefault="00F041B3" w:rsidP="00357CEC">
            <w:pPr>
              <w:pStyle w:val="Default"/>
              <w:rPr>
                <w:sz w:val="22"/>
                <w:szCs w:val="22"/>
              </w:rPr>
            </w:pPr>
          </w:p>
          <w:p w14:paraId="7D390F27" w14:textId="4A827285" w:rsidR="00FD0B5E" w:rsidRPr="00223C49" w:rsidRDefault="00FD0B5E" w:rsidP="00357CEC">
            <w:pPr>
              <w:pStyle w:val="Default"/>
              <w:rPr>
                <w:sz w:val="22"/>
                <w:szCs w:val="22"/>
              </w:rPr>
            </w:pPr>
          </w:p>
          <w:p w14:paraId="06463849" w14:textId="60C83F81" w:rsidR="00021D96" w:rsidRPr="00223C49" w:rsidRDefault="00021D96" w:rsidP="00357CEC">
            <w:pPr>
              <w:pStyle w:val="Default"/>
              <w:rPr>
                <w:sz w:val="22"/>
                <w:szCs w:val="22"/>
              </w:rPr>
            </w:pPr>
            <w:r w:rsidRPr="00223C49">
              <w:rPr>
                <w:sz w:val="22"/>
                <w:szCs w:val="22"/>
              </w:rPr>
              <w:t>Č:I§:29</w:t>
            </w:r>
          </w:p>
          <w:p w14:paraId="2B77F2CE" w14:textId="39DEE37F" w:rsidR="00357CEC" w:rsidRPr="001300A9" w:rsidRDefault="00021D96" w:rsidP="00357CEC">
            <w:pPr>
              <w:pStyle w:val="Default"/>
              <w:rPr>
                <w:sz w:val="22"/>
                <w:szCs w:val="22"/>
              </w:rPr>
            </w:pPr>
            <w:r w:rsidRPr="00223C49">
              <w:rPr>
                <w:sz w:val="22"/>
                <w:szCs w:val="22"/>
              </w:rPr>
              <w:t>O:1 P:b</w:t>
            </w:r>
          </w:p>
        </w:tc>
        <w:tc>
          <w:tcPr>
            <w:tcW w:w="4253" w:type="dxa"/>
          </w:tcPr>
          <w:p w14:paraId="721D218B" w14:textId="77777777" w:rsidR="00056FC2" w:rsidRPr="001300A9" w:rsidRDefault="00056FC2" w:rsidP="00357CEC">
            <w:pPr>
              <w:pStyle w:val="Default"/>
              <w:rPr>
                <w:sz w:val="22"/>
                <w:szCs w:val="22"/>
              </w:rPr>
            </w:pPr>
          </w:p>
          <w:p w14:paraId="333A07D1" w14:textId="77777777" w:rsidR="00056FC2" w:rsidRPr="001300A9" w:rsidRDefault="00056FC2" w:rsidP="00357CEC">
            <w:pPr>
              <w:pStyle w:val="Default"/>
              <w:rPr>
                <w:sz w:val="22"/>
                <w:szCs w:val="22"/>
              </w:rPr>
            </w:pPr>
          </w:p>
          <w:p w14:paraId="4DA0996C" w14:textId="77777777" w:rsidR="00056FC2" w:rsidRPr="001300A9" w:rsidRDefault="00056FC2" w:rsidP="00357CEC">
            <w:pPr>
              <w:pStyle w:val="Default"/>
              <w:rPr>
                <w:sz w:val="22"/>
                <w:szCs w:val="22"/>
              </w:rPr>
            </w:pPr>
          </w:p>
          <w:p w14:paraId="70E4DAB7" w14:textId="77777777" w:rsidR="00056FC2" w:rsidRPr="001300A9" w:rsidRDefault="00056FC2" w:rsidP="00357CEC">
            <w:pPr>
              <w:pStyle w:val="Default"/>
              <w:rPr>
                <w:sz w:val="22"/>
                <w:szCs w:val="22"/>
              </w:rPr>
            </w:pPr>
          </w:p>
          <w:p w14:paraId="368B1C64" w14:textId="77777777" w:rsidR="00056FC2" w:rsidRPr="001300A9" w:rsidRDefault="00056FC2" w:rsidP="00357CEC">
            <w:pPr>
              <w:pStyle w:val="Default"/>
              <w:rPr>
                <w:sz w:val="22"/>
                <w:szCs w:val="22"/>
              </w:rPr>
            </w:pPr>
          </w:p>
          <w:p w14:paraId="7DDF3F90" w14:textId="77777777" w:rsidR="00056FC2" w:rsidRPr="001300A9" w:rsidRDefault="00056FC2" w:rsidP="00357CEC">
            <w:pPr>
              <w:pStyle w:val="Default"/>
              <w:rPr>
                <w:sz w:val="22"/>
                <w:szCs w:val="22"/>
              </w:rPr>
            </w:pPr>
          </w:p>
          <w:p w14:paraId="3C51D8B5" w14:textId="77777777" w:rsidR="00056FC2" w:rsidRPr="001300A9" w:rsidRDefault="00056FC2" w:rsidP="00357CEC">
            <w:pPr>
              <w:pStyle w:val="Default"/>
              <w:rPr>
                <w:sz w:val="22"/>
                <w:szCs w:val="22"/>
              </w:rPr>
            </w:pPr>
          </w:p>
          <w:p w14:paraId="5820287A" w14:textId="77777777" w:rsidR="00056FC2" w:rsidRPr="001300A9" w:rsidRDefault="00056FC2" w:rsidP="00357CEC">
            <w:pPr>
              <w:pStyle w:val="Default"/>
              <w:rPr>
                <w:sz w:val="22"/>
                <w:szCs w:val="22"/>
              </w:rPr>
            </w:pPr>
          </w:p>
          <w:p w14:paraId="5BFEEF83" w14:textId="77777777" w:rsidR="00056FC2" w:rsidRPr="001300A9" w:rsidRDefault="00056FC2" w:rsidP="00357CEC">
            <w:pPr>
              <w:pStyle w:val="Default"/>
              <w:rPr>
                <w:sz w:val="22"/>
                <w:szCs w:val="22"/>
              </w:rPr>
            </w:pPr>
          </w:p>
          <w:p w14:paraId="0D7A8499" w14:textId="77777777" w:rsidR="00056FC2" w:rsidRPr="001300A9" w:rsidRDefault="00056FC2" w:rsidP="00357CEC">
            <w:pPr>
              <w:pStyle w:val="Default"/>
              <w:rPr>
                <w:sz w:val="22"/>
                <w:szCs w:val="22"/>
              </w:rPr>
            </w:pPr>
          </w:p>
          <w:p w14:paraId="46BCE46A" w14:textId="77777777" w:rsidR="00056FC2" w:rsidRPr="001300A9" w:rsidRDefault="00056FC2" w:rsidP="00357CEC">
            <w:pPr>
              <w:pStyle w:val="Default"/>
              <w:rPr>
                <w:sz w:val="22"/>
                <w:szCs w:val="22"/>
              </w:rPr>
            </w:pPr>
          </w:p>
          <w:p w14:paraId="50CB1263" w14:textId="77777777" w:rsidR="00056FC2" w:rsidRPr="001300A9" w:rsidRDefault="00056FC2" w:rsidP="00357CEC">
            <w:pPr>
              <w:pStyle w:val="Default"/>
              <w:rPr>
                <w:sz w:val="22"/>
                <w:szCs w:val="22"/>
              </w:rPr>
            </w:pPr>
          </w:p>
          <w:p w14:paraId="595FABF9" w14:textId="77777777" w:rsidR="00056FC2" w:rsidRPr="001300A9" w:rsidRDefault="00056FC2" w:rsidP="00357CEC">
            <w:pPr>
              <w:pStyle w:val="Default"/>
              <w:rPr>
                <w:sz w:val="22"/>
                <w:szCs w:val="22"/>
              </w:rPr>
            </w:pPr>
          </w:p>
          <w:p w14:paraId="52FAA27C" w14:textId="77777777" w:rsidR="00056FC2" w:rsidRPr="001300A9" w:rsidRDefault="00056FC2" w:rsidP="00357CEC">
            <w:pPr>
              <w:pStyle w:val="Default"/>
              <w:rPr>
                <w:sz w:val="22"/>
                <w:szCs w:val="22"/>
              </w:rPr>
            </w:pPr>
          </w:p>
          <w:p w14:paraId="2F98AF65" w14:textId="77777777" w:rsidR="00056FC2" w:rsidRPr="001300A9" w:rsidRDefault="00056FC2" w:rsidP="00357CEC">
            <w:pPr>
              <w:pStyle w:val="Default"/>
              <w:rPr>
                <w:sz w:val="22"/>
                <w:szCs w:val="22"/>
              </w:rPr>
            </w:pPr>
          </w:p>
          <w:p w14:paraId="434CB726" w14:textId="77777777" w:rsidR="00056FC2" w:rsidRPr="001300A9" w:rsidRDefault="00056FC2" w:rsidP="00357CEC">
            <w:pPr>
              <w:pStyle w:val="Default"/>
              <w:rPr>
                <w:sz w:val="22"/>
                <w:szCs w:val="22"/>
              </w:rPr>
            </w:pPr>
          </w:p>
          <w:p w14:paraId="35D1EE7E" w14:textId="77777777" w:rsidR="00056FC2" w:rsidRPr="001300A9" w:rsidRDefault="00056FC2" w:rsidP="00357CEC">
            <w:pPr>
              <w:pStyle w:val="Default"/>
              <w:rPr>
                <w:sz w:val="22"/>
                <w:szCs w:val="22"/>
              </w:rPr>
            </w:pPr>
          </w:p>
          <w:p w14:paraId="7A873642" w14:textId="77777777" w:rsidR="00056FC2" w:rsidRPr="001300A9" w:rsidRDefault="00056FC2" w:rsidP="00357CEC">
            <w:pPr>
              <w:pStyle w:val="Default"/>
              <w:rPr>
                <w:sz w:val="22"/>
                <w:szCs w:val="22"/>
              </w:rPr>
            </w:pPr>
          </w:p>
          <w:p w14:paraId="27C2C1CA" w14:textId="77777777" w:rsidR="00056FC2" w:rsidRPr="001300A9" w:rsidRDefault="00056FC2" w:rsidP="00357CEC">
            <w:pPr>
              <w:pStyle w:val="Default"/>
              <w:rPr>
                <w:sz w:val="22"/>
                <w:szCs w:val="22"/>
              </w:rPr>
            </w:pPr>
          </w:p>
          <w:p w14:paraId="5D3F2538" w14:textId="77777777" w:rsidR="00056FC2" w:rsidRPr="001300A9" w:rsidRDefault="00056FC2" w:rsidP="00357CEC">
            <w:pPr>
              <w:pStyle w:val="Default"/>
              <w:rPr>
                <w:sz w:val="22"/>
                <w:szCs w:val="22"/>
              </w:rPr>
            </w:pPr>
          </w:p>
          <w:p w14:paraId="0893F35F" w14:textId="77777777" w:rsidR="00056FC2" w:rsidRPr="001300A9" w:rsidRDefault="00056FC2" w:rsidP="00357CEC">
            <w:pPr>
              <w:pStyle w:val="Default"/>
              <w:rPr>
                <w:sz w:val="22"/>
                <w:szCs w:val="22"/>
              </w:rPr>
            </w:pPr>
          </w:p>
          <w:p w14:paraId="370099D7" w14:textId="77777777" w:rsidR="00056FC2" w:rsidRPr="001300A9" w:rsidRDefault="00056FC2" w:rsidP="00357CEC">
            <w:pPr>
              <w:pStyle w:val="Default"/>
              <w:rPr>
                <w:sz w:val="22"/>
                <w:szCs w:val="22"/>
              </w:rPr>
            </w:pPr>
          </w:p>
          <w:p w14:paraId="73AE5622" w14:textId="77777777" w:rsidR="00056FC2" w:rsidRPr="001300A9" w:rsidRDefault="00056FC2" w:rsidP="00357CEC">
            <w:pPr>
              <w:pStyle w:val="Default"/>
              <w:rPr>
                <w:sz w:val="22"/>
                <w:szCs w:val="22"/>
              </w:rPr>
            </w:pPr>
          </w:p>
          <w:p w14:paraId="5296237D" w14:textId="77777777" w:rsidR="00056FC2" w:rsidRPr="001300A9" w:rsidRDefault="00056FC2" w:rsidP="00357CEC">
            <w:pPr>
              <w:pStyle w:val="Default"/>
              <w:rPr>
                <w:sz w:val="22"/>
                <w:szCs w:val="22"/>
              </w:rPr>
            </w:pPr>
          </w:p>
          <w:p w14:paraId="73EFEA34" w14:textId="77777777" w:rsidR="00056FC2" w:rsidRPr="001300A9" w:rsidRDefault="00056FC2" w:rsidP="00357CEC">
            <w:pPr>
              <w:pStyle w:val="Default"/>
              <w:rPr>
                <w:sz w:val="22"/>
                <w:szCs w:val="22"/>
              </w:rPr>
            </w:pPr>
          </w:p>
          <w:p w14:paraId="4514A123" w14:textId="77777777" w:rsidR="00056FC2" w:rsidRPr="001300A9" w:rsidRDefault="00056FC2" w:rsidP="00357CEC">
            <w:pPr>
              <w:pStyle w:val="Default"/>
              <w:rPr>
                <w:sz w:val="22"/>
                <w:szCs w:val="22"/>
              </w:rPr>
            </w:pPr>
          </w:p>
          <w:p w14:paraId="38B00A9C" w14:textId="77777777" w:rsidR="00056FC2" w:rsidRPr="001300A9" w:rsidRDefault="00056FC2" w:rsidP="00357CEC">
            <w:pPr>
              <w:pStyle w:val="Default"/>
              <w:rPr>
                <w:sz w:val="22"/>
                <w:szCs w:val="22"/>
              </w:rPr>
            </w:pPr>
          </w:p>
          <w:p w14:paraId="4770FFE8" w14:textId="77777777" w:rsidR="00056FC2" w:rsidRPr="001300A9" w:rsidRDefault="00056FC2" w:rsidP="00357CEC">
            <w:pPr>
              <w:pStyle w:val="Default"/>
              <w:rPr>
                <w:sz w:val="22"/>
                <w:szCs w:val="22"/>
              </w:rPr>
            </w:pPr>
          </w:p>
          <w:p w14:paraId="54D25125" w14:textId="77777777" w:rsidR="00056FC2" w:rsidRPr="001300A9" w:rsidRDefault="00056FC2" w:rsidP="00357CEC">
            <w:pPr>
              <w:pStyle w:val="Default"/>
              <w:rPr>
                <w:sz w:val="22"/>
                <w:szCs w:val="22"/>
              </w:rPr>
            </w:pPr>
          </w:p>
          <w:p w14:paraId="7A39FFBF" w14:textId="77777777" w:rsidR="00056FC2" w:rsidRPr="001300A9" w:rsidRDefault="00056FC2" w:rsidP="00357CEC">
            <w:pPr>
              <w:pStyle w:val="Default"/>
              <w:rPr>
                <w:sz w:val="22"/>
                <w:szCs w:val="22"/>
              </w:rPr>
            </w:pPr>
          </w:p>
          <w:p w14:paraId="304F508A" w14:textId="77777777" w:rsidR="00056FC2" w:rsidRPr="001300A9" w:rsidRDefault="00056FC2" w:rsidP="00357CEC">
            <w:pPr>
              <w:pStyle w:val="Default"/>
              <w:rPr>
                <w:sz w:val="22"/>
                <w:szCs w:val="22"/>
              </w:rPr>
            </w:pPr>
          </w:p>
          <w:p w14:paraId="18D4CA44" w14:textId="77777777" w:rsidR="00056FC2" w:rsidRPr="001300A9" w:rsidRDefault="00056FC2" w:rsidP="00357CEC">
            <w:pPr>
              <w:pStyle w:val="Default"/>
              <w:rPr>
                <w:sz w:val="22"/>
                <w:szCs w:val="22"/>
              </w:rPr>
            </w:pPr>
          </w:p>
          <w:p w14:paraId="29344492" w14:textId="77777777" w:rsidR="00056FC2" w:rsidRPr="001300A9" w:rsidRDefault="00056FC2" w:rsidP="00357CEC">
            <w:pPr>
              <w:pStyle w:val="Default"/>
              <w:rPr>
                <w:sz w:val="22"/>
                <w:szCs w:val="22"/>
              </w:rPr>
            </w:pPr>
          </w:p>
          <w:p w14:paraId="48219C61" w14:textId="77777777" w:rsidR="00056FC2" w:rsidRPr="001300A9" w:rsidRDefault="00056FC2" w:rsidP="00357CEC">
            <w:pPr>
              <w:pStyle w:val="Default"/>
              <w:rPr>
                <w:sz w:val="22"/>
                <w:szCs w:val="22"/>
              </w:rPr>
            </w:pPr>
          </w:p>
          <w:p w14:paraId="5B8F0093" w14:textId="77777777" w:rsidR="00056FC2" w:rsidRPr="001300A9" w:rsidRDefault="00056FC2" w:rsidP="00357CEC">
            <w:pPr>
              <w:pStyle w:val="Default"/>
              <w:rPr>
                <w:sz w:val="22"/>
                <w:szCs w:val="22"/>
              </w:rPr>
            </w:pPr>
          </w:p>
          <w:p w14:paraId="1B8E4C44" w14:textId="77777777" w:rsidR="00056FC2" w:rsidRPr="001300A9" w:rsidRDefault="00056FC2" w:rsidP="00357CEC">
            <w:pPr>
              <w:pStyle w:val="Default"/>
              <w:rPr>
                <w:sz w:val="22"/>
                <w:szCs w:val="22"/>
              </w:rPr>
            </w:pPr>
          </w:p>
          <w:p w14:paraId="3E7C6617" w14:textId="77777777" w:rsidR="00056FC2" w:rsidRPr="001300A9" w:rsidRDefault="00056FC2" w:rsidP="00357CEC">
            <w:pPr>
              <w:pStyle w:val="Default"/>
              <w:rPr>
                <w:sz w:val="22"/>
                <w:szCs w:val="22"/>
              </w:rPr>
            </w:pPr>
          </w:p>
          <w:p w14:paraId="591D260C" w14:textId="77777777" w:rsidR="00056FC2" w:rsidRPr="001300A9" w:rsidRDefault="00056FC2" w:rsidP="00357CEC">
            <w:pPr>
              <w:pStyle w:val="Default"/>
              <w:rPr>
                <w:sz w:val="22"/>
                <w:szCs w:val="22"/>
              </w:rPr>
            </w:pPr>
          </w:p>
          <w:p w14:paraId="735D55CD" w14:textId="77777777" w:rsidR="00056FC2" w:rsidRPr="001300A9" w:rsidRDefault="00056FC2" w:rsidP="00357CEC">
            <w:pPr>
              <w:pStyle w:val="Default"/>
              <w:rPr>
                <w:sz w:val="22"/>
                <w:szCs w:val="22"/>
              </w:rPr>
            </w:pPr>
          </w:p>
          <w:p w14:paraId="5A8FFF90" w14:textId="77777777" w:rsidR="00056FC2" w:rsidRPr="001300A9" w:rsidRDefault="00056FC2" w:rsidP="00357CEC">
            <w:pPr>
              <w:pStyle w:val="Default"/>
              <w:rPr>
                <w:sz w:val="22"/>
                <w:szCs w:val="22"/>
              </w:rPr>
            </w:pPr>
          </w:p>
          <w:p w14:paraId="423748EE" w14:textId="77777777" w:rsidR="00056FC2" w:rsidRPr="001300A9" w:rsidRDefault="00056FC2" w:rsidP="00357CEC">
            <w:pPr>
              <w:pStyle w:val="Default"/>
              <w:rPr>
                <w:sz w:val="22"/>
                <w:szCs w:val="22"/>
              </w:rPr>
            </w:pPr>
          </w:p>
          <w:p w14:paraId="34084158" w14:textId="77777777" w:rsidR="00056FC2" w:rsidRPr="001300A9" w:rsidRDefault="00056FC2" w:rsidP="00357CEC">
            <w:pPr>
              <w:pStyle w:val="Default"/>
              <w:rPr>
                <w:sz w:val="22"/>
                <w:szCs w:val="22"/>
              </w:rPr>
            </w:pPr>
          </w:p>
          <w:p w14:paraId="42B141E6" w14:textId="77777777" w:rsidR="00056FC2" w:rsidRPr="001300A9" w:rsidRDefault="00056FC2" w:rsidP="00357CEC">
            <w:pPr>
              <w:pStyle w:val="Default"/>
              <w:rPr>
                <w:sz w:val="22"/>
                <w:szCs w:val="22"/>
              </w:rPr>
            </w:pPr>
          </w:p>
          <w:p w14:paraId="37B56A4F" w14:textId="77777777" w:rsidR="00056FC2" w:rsidRPr="001300A9" w:rsidRDefault="00056FC2" w:rsidP="00357CEC">
            <w:pPr>
              <w:pStyle w:val="Default"/>
              <w:rPr>
                <w:sz w:val="22"/>
                <w:szCs w:val="22"/>
              </w:rPr>
            </w:pPr>
          </w:p>
          <w:p w14:paraId="5D2B697D" w14:textId="77777777" w:rsidR="00056FC2" w:rsidRPr="001300A9" w:rsidRDefault="00056FC2" w:rsidP="00357CEC">
            <w:pPr>
              <w:pStyle w:val="Default"/>
              <w:rPr>
                <w:sz w:val="22"/>
                <w:szCs w:val="22"/>
              </w:rPr>
            </w:pPr>
          </w:p>
          <w:p w14:paraId="320B469E" w14:textId="77777777" w:rsidR="00056FC2" w:rsidRPr="001300A9" w:rsidRDefault="00056FC2" w:rsidP="00357CEC">
            <w:pPr>
              <w:pStyle w:val="Default"/>
              <w:rPr>
                <w:sz w:val="22"/>
                <w:szCs w:val="22"/>
              </w:rPr>
            </w:pPr>
          </w:p>
          <w:p w14:paraId="3BA20EAF" w14:textId="77777777" w:rsidR="00056FC2" w:rsidRPr="001300A9" w:rsidRDefault="00056FC2" w:rsidP="00357CEC">
            <w:pPr>
              <w:pStyle w:val="Default"/>
              <w:rPr>
                <w:sz w:val="22"/>
                <w:szCs w:val="22"/>
              </w:rPr>
            </w:pPr>
          </w:p>
          <w:p w14:paraId="2EFB4A70" w14:textId="77777777" w:rsidR="00056FC2" w:rsidRPr="001300A9" w:rsidRDefault="00056FC2" w:rsidP="00357CEC">
            <w:pPr>
              <w:pStyle w:val="Default"/>
              <w:rPr>
                <w:sz w:val="22"/>
                <w:szCs w:val="22"/>
              </w:rPr>
            </w:pPr>
          </w:p>
          <w:p w14:paraId="786491C8" w14:textId="77777777" w:rsidR="00056FC2" w:rsidRPr="001300A9" w:rsidRDefault="00056FC2" w:rsidP="00357CEC">
            <w:pPr>
              <w:pStyle w:val="Default"/>
              <w:rPr>
                <w:sz w:val="22"/>
                <w:szCs w:val="22"/>
              </w:rPr>
            </w:pPr>
          </w:p>
          <w:p w14:paraId="5099AF4A" w14:textId="77777777" w:rsidR="00056FC2" w:rsidRPr="001300A9" w:rsidRDefault="00056FC2" w:rsidP="00357CEC">
            <w:pPr>
              <w:pStyle w:val="Default"/>
              <w:rPr>
                <w:sz w:val="22"/>
                <w:szCs w:val="22"/>
              </w:rPr>
            </w:pPr>
          </w:p>
          <w:p w14:paraId="371A8C96" w14:textId="7005C42C" w:rsidR="00F041B3" w:rsidRDefault="00F041B3" w:rsidP="00F041B3">
            <w:pPr>
              <w:pStyle w:val="Default"/>
              <w:rPr>
                <w:sz w:val="22"/>
                <w:szCs w:val="22"/>
              </w:rPr>
            </w:pPr>
          </w:p>
          <w:p w14:paraId="4213A491" w14:textId="332DA521" w:rsidR="5F673433" w:rsidRDefault="5F673433" w:rsidP="5F673433">
            <w:pPr>
              <w:pStyle w:val="Default"/>
              <w:rPr>
                <w:sz w:val="22"/>
                <w:szCs w:val="22"/>
              </w:rPr>
            </w:pPr>
          </w:p>
          <w:p w14:paraId="4FE60CA4" w14:textId="77777777" w:rsidR="004D7FA3" w:rsidRDefault="004D7FA3" w:rsidP="00F041B3">
            <w:pPr>
              <w:pStyle w:val="Default"/>
              <w:rPr>
                <w:sz w:val="22"/>
                <w:szCs w:val="22"/>
              </w:rPr>
            </w:pPr>
          </w:p>
          <w:p w14:paraId="4AD7E8D0" w14:textId="477FCAC4" w:rsidR="00056FC2" w:rsidRPr="001300A9" w:rsidRDefault="004D7FA3" w:rsidP="00357CEC">
            <w:pPr>
              <w:pStyle w:val="Default"/>
              <w:rPr>
                <w:sz w:val="22"/>
                <w:szCs w:val="22"/>
              </w:rPr>
            </w:pPr>
            <w:r>
              <w:rPr>
                <w:sz w:val="22"/>
                <w:szCs w:val="22"/>
              </w:rPr>
              <w:t xml:space="preserve"> </w:t>
            </w:r>
            <w:r w:rsidR="00F041B3">
              <w:rPr>
                <w:sz w:val="22"/>
                <w:szCs w:val="22"/>
              </w:rPr>
              <w:t xml:space="preserve">(1) </w:t>
            </w:r>
            <w:r w:rsidR="00F041B3" w:rsidRPr="00F041B3">
              <w:rPr>
                <w:sz w:val="22"/>
                <w:szCs w:val="22"/>
              </w:rPr>
              <w:t>Ministerstvo na svojom webovom sídle zverejňuje</w:t>
            </w:r>
          </w:p>
          <w:p w14:paraId="38CBCA29" w14:textId="33292B9E" w:rsidR="00F041B3" w:rsidRDefault="00F041B3" w:rsidP="009D1FB2">
            <w:pPr>
              <w:pStyle w:val="Default"/>
              <w:rPr>
                <w:sz w:val="22"/>
                <w:szCs w:val="22"/>
              </w:rPr>
            </w:pPr>
            <w:r w:rsidRPr="001300A9">
              <w:rPr>
                <w:sz w:val="22"/>
                <w:szCs w:val="22"/>
              </w:rPr>
              <w:t>b) viditeľnosť financovania a informácie o použití výnosu získaného z dražieb kvót podľa § 18 odsekov 1 až 3 a prostriedky podľa § 18 odseku 1</w:t>
            </w:r>
            <w:r>
              <w:rPr>
                <w:sz w:val="22"/>
                <w:szCs w:val="22"/>
              </w:rPr>
              <w:t>4</w:t>
            </w:r>
            <w:r w:rsidRPr="001300A9">
              <w:rPr>
                <w:sz w:val="22"/>
                <w:szCs w:val="22"/>
              </w:rPr>
              <w:t>,</w:t>
            </w:r>
          </w:p>
          <w:p w14:paraId="5DA746EB" w14:textId="18351C4C" w:rsidR="00FD0B5E" w:rsidRDefault="00FD0B5E" w:rsidP="009D1FB2">
            <w:pPr>
              <w:pStyle w:val="Default"/>
              <w:rPr>
                <w:sz w:val="22"/>
                <w:szCs w:val="22"/>
              </w:rPr>
            </w:pPr>
          </w:p>
          <w:p w14:paraId="674236CD" w14:textId="25777946" w:rsidR="5F673433" w:rsidRDefault="5F673433" w:rsidP="5F673433">
            <w:pPr>
              <w:pStyle w:val="Default"/>
              <w:rPr>
                <w:sz w:val="22"/>
                <w:szCs w:val="22"/>
              </w:rPr>
            </w:pPr>
          </w:p>
          <w:p w14:paraId="33AA9DCE" w14:textId="11073C76" w:rsidR="00357CEC" w:rsidRPr="001300A9" w:rsidRDefault="00056FC2" w:rsidP="009D1FB2">
            <w:pPr>
              <w:pStyle w:val="Default"/>
              <w:rPr>
                <w:sz w:val="22"/>
                <w:szCs w:val="22"/>
              </w:rPr>
            </w:pPr>
            <w:r w:rsidRPr="001300A9">
              <w:rPr>
                <w:sz w:val="22"/>
                <w:szCs w:val="22"/>
              </w:rPr>
              <w:t>b) viditeľnosť financovania a informácie o použití výnosu získaného z dražieb kvót podľa § 18 odsekov 1 až 3 a prostriedky podľa § 18 odseku 1</w:t>
            </w:r>
            <w:r w:rsidR="00730219">
              <w:rPr>
                <w:sz w:val="22"/>
                <w:szCs w:val="22"/>
              </w:rPr>
              <w:t>4</w:t>
            </w:r>
            <w:r w:rsidRPr="001300A9">
              <w:rPr>
                <w:sz w:val="22"/>
                <w:szCs w:val="22"/>
              </w:rPr>
              <w:t>,</w:t>
            </w:r>
          </w:p>
        </w:tc>
        <w:tc>
          <w:tcPr>
            <w:tcW w:w="567" w:type="dxa"/>
          </w:tcPr>
          <w:p w14:paraId="088D5B4F" w14:textId="77777777" w:rsidR="00056FC2" w:rsidRPr="00223C49" w:rsidRDefault="00056FC2" w:rsidP="00357CEC">
            <w:pPr>
              <w:pStyle w:val="Default"/>
              <w:rPr>
                <w:sz w:val="22"/>
                <w:szCs w:val="22"/>
              </w:rPr>
            </w:pPr>
          </w:p>
          <w:p w14:paraId="0E3AF551" w14:textId="77777777" w:rsidR="00056FC2" w:rsidRPr="00223C49" w:rsidRDefault="00056FC2" w:rsidP="00357CEC">
            <w:pPr>
              <w:pStyle w:val="Default"/>
              <w:rPr>
                <w:sz w:val="22"/>
                <w:szCs w:val="22"/>
              </w:rPr>
            </w:pPr>
          </w:p>
          <w:p w14:paraId="2426E7EF" w14:textId="77777777" w:rsidR="00056FC2" w:rsidRPr="00223C49" w:rsidRDefault="00056FC2" w:rsidP="00357CEC">
            <w:pPr>
              <w:pStyle w:val="Default"/>
              <w:rPr>
                <w:sz w:val="22"/>
                <w:szCs w:val="22"/>
              </w:rPr>
            </w:pPr>
          </w:p>
          <w:p w14:paraId="248BE175" w14:textId="77777777" w:rsidR="00056FC2" w:rsidRPr="00223C49" w:rsidRDefault="00056FC2" w:rsidP="00357CEC">
            <w:pPr>
              <w:pStyle w:val="Default"/>
              <w:rPr>
                <w:sz w:val="22"/>
                <w:szCs w:val="22"/>
              </w:rPr>
            </w:pPr>
          </w:p>
          <w:p w14:paraId="480E84C9" w14:textId="77777777" w:rsidR="00056FC2" w:rsidRPr="00223C49" w:rsidRDefault="00056FC2" w:rsidP="00357CEC">
            <w:pPr>
              <w:pStyle w:val="Default"/>
              <w:rPr>
                <w:sz w:val="22"/>
                <w:szCs w:val="22"/>
              </w:rPr>
            </w:pPr>
          </w:p>
          <w:p w14:paraId="230033C0" w14:textId="77777777" w:rsidR="00056FC2" w:rsidRPr="00223C49" w:rsidRDefault="00056FC2" w:rsidP="00357CEC">
            <w:pPr>
              <w:pStyle w:val="Default"/>
              <w:rPr>
                <w:sz w:val="22"/>
                <w:szCs w:val="22"/>
              </w:rPr>
            </w:pPr>
          </w:p>
          <w:p w14:paraId="4FDCF7E1" w14:textId="77777777" w:rsidR="00056FC2" w:rsidRPr="00223C49" w:rsidRDefault="00056FC2" w:rsidP="00357CEC">
            <w:pPr>
              <w:pStyle w:val="Default"/>
              <w:rPr>
                <w:sz w:val="22"/>
                <w:szCs w:val="22"/>
              </w:rPr>
            </w:pPr>
          </w:p>
          <w:p w14:paraId="0438DDC5" w14:textId="77777777" w:rsidR="00056FC2" w:rsidRPr="00223C49" w:rsidRDefault="00056FC2" w:rsidP="00357CEC">
            <w:pPr>
              <w:pStyle w:val="Default"/>
              <w:rPr>
                <w:sz w:val="22"/>
                <w:szCs w:val="22"/>
              </w:rPr>
            </w:pPr>
          </w:p>
          <w:p w14:paraId="6C36B6D7" w14:textId="77777777" w:rsidR="00056FC2" w:rsidRPr="00223C49" w:rsidRDefault="00056FC2" w:rsidP="00357CEC">
            <w:pPr>
              <w:pStyle w:val="Default"/>
              <w:rPr>
                <w:sz w:val="22"/>
                <w:szCs w:val="22"/>
              </w:rPr>
            </w:pPr>
          </w:p>
          <w:p w14:paraId="520CD5C7" w14:textId="77777777" w:rsidR="00056FC2" w:rsidRPr="00223C49" w:rsidRDefault="00056FC2" w:rsidP="00357CEC">
            <w:pPr>
              <w:pStyle w:val="Default"/>
              <w:rPr>
                <w:sz w:val="22"/>
                <w:szCs w:val="22"/>
              </w:rPr>
            </w:pPr>
          </w:p>
          <w:p w14:paraId="223A62D3" w14:textId="77777777" w:rsidR="00056FC2" w:rsidRPr="00223C49" w:rsidRDefault="00056FC2" w:rsidP="00357CEC">
            <w:pPr>
              <w:pStyle w:val="Default"/>
              <w:rPr>
                <w:sz w:val="22"/>
                <w:szCs w:val="22"/>
              </w:rPr>
            </w:pPr>
          </w:p>
          <w:p w14:paraId="27EA0FC1" w14:textId="77777777" w:rsidR="00056FC2" w:rsidRPr="00223C49" w:rsidRDefault="00056FC2" w:rsidP="00357CEC">
            <w:pPr>
              <w:pStyle w:val="Default"/>
              <w:rPr>
                <w:sz w:val="22"/>
                <w:szCs w:val="22"/>
              </w:rPr>
            </w:pPr>
          </w:p>
          <w:p w14:paraId="002A2930" w14:textId="77777777" w:rsidR="00056FC2" w:rsidRPr="00223C49" w:rsidRDefault="00056FC2" w:rsidP="00357CEC">
            <w:pPr>
              <w:pStyle w:val="Default"/>
              <w:rPr>
                <w:sz w:val="22"/>
                <w:szCs w:val="22"/>
              </w:rPr>
            </w:pPr>
          </w:p>
          <w:p w14:paraId="3F97F10D" w14:textId="77777777" w:rsidR="00056FC2" w:rsidRPr="00223C49" w:rsidRDefault="00056FC2" w:rsidP="00357CEC">
            <w:pPr>
              <w:pStyle w:val="Default"/>
              <w:rPr>
                <w:sz w:val="22"/>
                <w:szCs w:val="22"/>
              </w:rPr>
            </w:pPr>
          </w:p>
          <w:p w14:paraId="098597B3" w14:textId="77777777" w:rsidR="00056FC2" w:rsidRPr="00223C49" w:rsidRDefault="00056FC2" w:rsidP="00357CEC">
            <w:pPr>
              <w:pStyle w:val="Default"/>
              <w:rPr>
                <w:sz w:val="22"/>
                <w:szCs w:val="22"/>
              </w:rPr>
            </w:pPr>
          </w:p>
          <w:p w14:paraId="18CCEE67" w14:textId="77777777" w:rsidR="00056FC2" w:rsidRPr="00223C49" w:rsidRDefault="00056FC2" w:rsidP="00357CEC">
            <w:pPr>
              <w:pStyle w:val="Default"/>
              <w:rPr>
                <w:sz w:val="22"/>
                <w:szCs w:val="22"/>
              </w:rPr>
            </w:pPr>
          </w:p>
          <w:p w14:paraId="78219A16" w14:textId="77777777" w:rsidR="00056FC2" w:rsidRPr="00223C49" w:rsidRDefault="00056FC2" w:rsidP="00357CEC">
            <w:pPr>
              <w:pStyle w:val="Default"/>
              <w:rPr>
                <w:sz w:val="22"/>
                <w:szCs w:val="22"/>
              </w:rPr>
            </w:pPr>
          </w:p>
          <w:p w14:paraId="5E96015D" w14:textId="77777777" w:rsidR="00056FC2" w:rsidRPr="00223C49" w:rsidRDefault="00056FC2" w:rsidP="00357CEC">
            <w:pPr>
              <w:pStyle w:val="Default"/>
              <w:rPr>
                <w:sz w:val="22"/>
                <w:szCs w:val="22"/>
              </w:rPr>
            </w:pPr>
          </w:p>
          <w:p w14:paraId="30BDA857" w14:textId="77777777" w:rsidR="00056FC2" w:rsidRPr="00223C49" w:rsidRDefault="00056FC2" w:rsidP="00357CEC">
            <w:pPr>
              <w:pStyle w:val="Default"/>
              <w:rPr>
                <w:sz w:val="22"/>
                <w:szCs w:val="22"/>
              </w:rPr>
            </w:pPr>
          </w:p>
          <w:p w14:paraId="6A344819" w14:textId="77777777" w:rsidR="00056FC2" w:rsidRPr="00223C49" w:rsidRDefault="00056FC2" w:rsidP="00357CEC">
            <w:pPr>
              <w:pStyle w:val="Default"/>
              <w:rPr>
                <w:sz w:val="22"/>
                <w:szCs w:val="22"/>
              </w:rPr>
            </w:pPr>
          </w:p>
          <w:p w14:paraId="1C605F5F" w14:textId="77777777" w:rsidR="00056FC2" w:rsidRPr="00223C49" w:rsidRDefault="00056FC2" w:rsidP="00357CEC">
            <w:pPr>
              <w:pStyle w:val="Default"/>
              <w:rPr>
                <w:sz w:val="22"/>
                <w:szCs w:val="22"/>
              </w:rPr>
            </w:pPr>
          </w:p>
          <w:p w14:paraId="461FF918" w14:textId="77777777" w:rsidR="00056FC2" w:rsidRPr="00223C49" w:rsidRDefault="00056FC2" w:rsidP="00357CEC">
            <w:pPr>
              <w:pStyle w:val="Default"/>
              <w:rPr>
                <w:sz w:val="22"/>
                <w:szCs w:val="22"/>
              </w:rPr>
            </w:pPr>
          </w:p>
          <w:p w14:paraId="522AE84B" w14:textId="77777777" w:rsidR="00056FC2" w:rsidRPr="00223C49" w:rsidRDefault="00056FC2" w:rsidP="00357CEC">
            <w:pPr>
              <w:pStyle w:val="Default"/>
              <w:rPr>
                <w:sz w:val="22"/>
                <w:szCs w:val="22"/>
              </w:rPr>
            </w:pPr>
          </w:p>
          <w:p w14:paraId="4F831D0B" w14:textId="77777777" w:rsidR="00056FC2" w:rsidRPr="00223C49" w:rsidRDefault="00056FC2" w:rsidP="00357CEC">
            <w:pPr>
              <w:pStyle w:val="Default"/>
              <w:rPr>
                <w:sz w:val="22"/>
                <w:szCs w:val="22"/>
              </w:rPr>
            </w:pPr>
          </w:p>
          <w:p w14:paraId="73890CB4" w14:textId="77777777" w:rsidR="00056FC2" w:rsidRPr="00223C49" w:rsidRDefault="00056FC2" w:rsidP="00357CEC">
            <w:pPr>
              <w:pStyle w:val="Default"/>
              <w:rPr>
                <w:sz w:val="22"/>
                <w:szCs w:val="22"/>
              </w:rPr>
            </w:pPr>
          </w:p>
          <w:p w14:paraId="407175D4" w14:textId="77777777" w:rsidR="00056FC2" w:rsidRPr="00223C49" w:rsidRDefault="00056FC2" w:rsidP="00357CEC">
            <w:pPr>
              <w:pStyle w:val="Default"/>
              <w:rPr>
                <w:sz w:val="22"/>
                <w:szCs w:val="22"/>
              </w:rPr>
            </w:pPr>
          </w:p>
          <w:p w14:paraId="3FC5F7D2" w14:textId="77777777" w:rsidR="00056FC2" w:rsidRPr="00223C49" w:rsidRDefault="00056FC2" w:rsidP="00357CEC">
            <w:pPr>
              <w:pStyle w:val="Default"/>
              <w:rPr>
                <w:sz w:val="22"/>
                <w:szCs w:val="22"/>
              </w:rPr>
            </w:pPr>
          </w:p>
          <w:p w14:paraId="0ED1574E" w14:textId="77777777" w:rsidR="00056FC2" w:rsidRPr="00223C49" w:rsidRDefault="00056FC2" w:rsidP="00357CEC">
            <w:pPr>
              <w:pStyle w:val="Default"/>
              <w:rPr>
                <w:sz w:val="22"/>
                <w:szCs w:val="22"/>
              </w:rPr>
            </w:pPr>
          </w:p>
          <w:p w14:paraId="2AFEBB7A" w14:textId="77777777" w:rsidR="00056FC2" w:rsidRPr="00223C49" w:rsidRDefault="00056FC2" w:rsidP="00357CEC">
            <w:pPr>
              <w:pStyle w:val="Default"/>
              <w:rPr>
                <w:sz w:val="22"/>
                <w:szCs w:val="22"/>
              </w:rPr>
            </w:pPr>
          </w:p>
          <w:p w14:paraId="68DD81D4" w14:textId="77777777" w:rsidR="00056FC2" w:rsidRPr="00223C49" w:rsidRDefault="00056FC2" w:rsidP="00357CEC">
            <w:pPr>
              <w:pStyle w:val="Default"/>
              <w:rPr>
                <w:sz w:val="22"/>
                <w:szCs w:val="22"/>
              </w:rPr>
            </w:pPr>
          </w:p>
          <w:p w14:paraId="37B649F4" w14:textId="77777777" w:rsidR="00056FC2" w:rsidRPr="00223C49" w:rsidRDefault="00056FC2" w:rsidP="00357CEC">
            <w:pPr>
              <w:pStyle w:val="Default"/>
              <w:rPr>
                <w:sz w:val="22"/>
                <w:szCs w:val="22"/>
              </w:rPr>
            </w:pPr>
          </w:p>
          <w:p w14:paraId="1B79CBDB" w14:textId="77777777" w:rsidR="00056FC2" w:rsidRPr="00223C49" w:rsidRDefault="00056FC2" w:rsidP="00357CEC">
            <w:pPr>
              <w:pStyle w:val="Default"/>
              <w:rPr>
                <w:sz w:val="22"/>
                <w:szCs w:val="22"/>
              </w:rPr>
            </w:pPr>
          </w:p>
          <w:p w14:paraId="33302CC4" w14:textId="77777777" w:rsidR="00056FC2" w:rsidRPr="00223C49" w:rsidRDefault="00056FC2" w:rsidP="00357CEC">
            <w:pPr>
              <w:pStyle w:val="Default"/>
              <w:rPr>
                <w:sz w:val="22"/>
                <w:szCs w:val="22"/>
              </w:rPr>
            </w:pPr>
          </w:p>
          <w:p w14:paraId="4F302673" w14:textId="77777777" w:rsidR="00056FC2" w:rsidRPr="00223C49" w:rsidRDefault="00056FC2" w:rsidP="00357CEC">
            <w:pPr>
              <w:pStyle w:val="Default"/>
              <w:rPr>
                <w:sz w:val="22"/>
                <w:szCs w:val="22"/>
              </w:rPr>
            </w:pPr>
          </w:p>
          <w:p w14:paraId="7F22F508" w14:textId="77777777" w:rsidR="00056FC2" w:rsidRPr="00223C49" w:rsidRDefault="00056FC2" w:rsidP="00357CEC">
            <w:pPr>
              <w:pStyle w:val="Default"/>
              <w:rPr>
                <w:sz w:val="22"/>
                <w:szCs w:val="22"/>
              </w:rPr>
            </w:pPr>
          </w:p>
          <w:p w14:paraId="77DC9F61" w14:textId="77777777" w:rsidR="00056FC2" w:rsidRPr="00223C49" w:rsidRDefault="00056FC2" w:rsidP="00357CEC">
            <w:pPr>
              <w:pStyle w:val="Default"/>
              <w:rPr>
                <w:sz w:val="22"/>
                <w:szCs w:val="22"/>
              </w:rPr>
            </w:pPr>
          </w:p>
          <w:p w14:paraId="2989175E" w14:textId="77777777" w:rsidR="00056FC2" w:rsidRPr="00223C49" w:rsidRDefault="00056FC2" w:rsidP="00357CEC">
            <w:pPr>
              <w:pStyle w:val="Default"/>
              <w:rPr>
                <w:sz w:val="22"/>
                <w:szCs w:val="22"/>
              </w:rPr>
            </w:pPr>
          </w:p>
          <w:p w14:paraId="6D1C9436" w14:textId="77777777" w:rsidR="00056FC2" w:rsidRPr="00223C49" w:rsidRDefault="00056FC2" w:rsidP="00357CEC">
            <w:pPr>
              <w:pStyle w:val="Default"/>
              <w:rPr>
                <w:sz w:val="22"/>
                <w:szCs w:val="22"/>
              </w:rPr>
            </w:pPr>
          </w:p>
          <w:p w14:paraId="42BA8735" w14:textId="77777777" w:rsidR="00056FC2" w:rsidRPr="00223C49" w:rsidRDefault="00056FC2" w:rsidP="00357CEC">
            <w:pPr>
              <w:pStyle w:val="Default"/>
              <w:rPr>
                <w:sz w:val="22"/>
                <w:szCs w:val="22"/>
              </w:rPr>
            </w:pPr>
          </w:p>
          <w:p w14:paraId="5B3B2440" w14:textId="77777777" w:rsidR="00056FC2" w:rsidRPr="00223C49" w:rsidRDefault="00056FC2" w:rsidP="00357CEC">
            <w:pPr>
              <w:pStyle w:val="Default"/>
              <w:rPr>
                <w:sz w:val="22"/>
                <w:szCs w:val="22"/>
              </w:rPr>
            </w:pPr>
          </w:p>
          <w:p w14:paraId="712B308E" w14:textId="77777777" w:rsidR="00056FC2" w:rsidRPr="00223C49" w:rsidRDefault="00056FC2" w:rsidP="00357CEC">
            <w:pPr>
              <w:pStyle w:val="Default"/>
              <w:rPr>
                <w:sz w:val="22"/>
                <w:szCs w:val="22"/>
              </w:rPr>
            </w:pPr>
          </w:p>
          <w:p w14:paraId="18C1264F" w14:textId="77777777" w:rsidR="00056FC2" w:rsidRPr="00223C49" w:rsidRDefault="00056FC2" w:rsidP="00357CEC">
            <w:pPr>
              <w:pStyle w:val="Default"/>
              <w:rPr>
                <w:sz w:val="22"/>
                <w:szCs w:val="22"/>
              </w:rPr>
            </w:pPr>
          </w:p>
          <w:p w14:paraId="79C42CCD" w14:textId="77777777" w:rsidR="00056FC2" w:rsidRPr="00223C49" w:rsidRDefault="00056FC2" w:rsidP="00357CEC">
            <w:pPr>
              <w:pStyle w:val="Default"/>
              <w:rPr>
                <w:sz w:val="22"/>
                <w:szCs w:val="22"/>
              </w:rPr>
            </w:pPr>
          </w:p>
          <w:p w14:paraId="3AA484FA" w14:textId="77777777" w:rsidR="00056FC2" w:rsidRPr="00223C49" w:rsidRDefault="00056FC2" w:rsidP="00357CEC">
            <w:pPr>
              <w:pStyle w:val="Default"/>
              <w:rPr>
                <w:sz w:val="22"/>
                <w:szCs w:val="22"/>
              </w:rPr>
            </w:pPr>
          </w:p>
          <w:p w14:paraId="711AD6FF" w14:textId="77777777" w:rsidR="00056FC2" w:rsidRPr="00223C49" w:rsidRDefault="00056FC2" w:rsidP="00357CEC">
            <w:pPr>
              <w:pStyle w:val="Default"/>
              <w:rPr>
                <w:sz w:val="22"/>
                <w:szCs w:val="22"/>
              </w:rPr>
            </w:pPr>
          </w:p>
          <w:p w14:paraId="5AA89E38" w14:textId="77777777" w:rsidR="00056FC2" w:rsidRPr="00223C49" w:rsidRDefault="00056FC2" w:rsidP="00357CEC">
            <w:pPr>
              <w:pStyle w:val="Default"/>
              <w:rPr>
                <w:sz w:val="22"/>
                <w:szCs w:val="22"/>
              </w:rPr>
            </w:pPr>
          </w:p>
          <w:p w14:paraId="280639DB" w14:textId="77777777" w:rsidR="00056FC2" w:rsidRPr="00223C49" w:rsidRDefault="00056FC2" w:rsidP="00357CEC">
            <w:pPr>
              <w:pStyle w:val="Default"/>
              <w:rPr>
                <w:sz w:val="22"/>
                <w:szCs w:val="22"/>
              </w:rPr>
            </w:pPr>
          </w:p>
          <w:p w14:paraId="4DE79C68" w14:textId="77777777" w:rsidR="00056FC2" w:rsidRPr="00223C49" w:rsidRDefault="00056FC2" w:rsidP="00357CEC">
            <w:pPr>
              <w:pStyle w:val="Default"/>
              <w:rPr>
                <w:sz w:val="22"/>
                <w:szCs w:val="22"/>
              </w:rPr>
            </w:pPr>
          </w:p>
          <w:p w14:paraId="3C2EBAF5" w14:textId="77777777" w:rsidR="00056FC2" w:rsidRPr="00223C49" w:rsidRDefault="00056FC2" w:rsidP="00357CEC">
            <w:pPr>
              <w:pStyle w:val="Default"/>
              <w:rPr>
                <w:sz w:val="22"/>
                <w:szCs w:val="22"/>
              </w:rPr>
            </w:pPr>
          </w:p>
          <w:p w14:paraId="5C90B5A6" w14:textId="77777777" w:rsidR="00056FC2" w:rsidRPr="00223C49" w:rsidRDefault="00056FC2" w:rsidP="00357CEC">
            <w:pPr>
              <w:pStyle w:val="Default"/>
              <w:rPr>
                <w:sz w:val="22"/>
                <w:szCs w:val="22"/>
              </w:rPr>
            </w:pPr>
          </w:p>
          <w:p w14:paraId="0990944E" w14:textId="2843B6FC" w:rsidR="00056FC2" w:rsidRPr="00223C49" w:rsidRDefault="00056FC2" w:rsidP="00357CEC">
            <w:pPr>
              <w:pStyle w:val="Default"/>
              <w:rPr>
                <w:sz w:val="22"/>
                <w:szCs w:val="22"/>
              </w:rPr>
            </w:pPr>
          </w:p>
          <w:p w14:paraId="6FA622EA" w14:textId="77777777" w:rsidR="004D7FA3" w:rsidRPr="00223C49" w:rsidRDefault="004D7FA3" w:rsidP="00357CEC">
            <w:pPr>
              <w:pStyle w:val="Default"/>
              <w:rPr>
                <w:sz w:val="22"/>
                <w:szCs w:val="22"/>
              </w:rPr>
            </w:pPr>
          </w:p>
          <w:p w14:paraId="4BE0F0D8" w14:textId="77777777" w:rsidR="004D7FA3" w:rsidRPr="00223C49" w:rsidRDefault="004D7FA3" w:rsidP="00357CEC">
            <w:pPr>
              <w:pStyle w:val="Default"/>
              <w:rPr>
                <w:sz w:val="22"/>
                <w:szCs w:val="22"/>
              </w:rPr>
            </w:pPr>
          </w:p>
          <w:p w14:paraId="3C9392F8" w14:textId="38EC07D6" w:rsidR="00056FC2" w:rsidRPr="00223C49" w:rsidRDefault="001478A0" w:rsidP="00357CEC">
            <w:pPr>
              <w:pStyle w:val="Default"/>
              <w:rPr>
                <w:sz w:val="22"/>
                <w:szCs w:val="22"/>
              </w:rPr>
            </w:pPr>
            <w:r w:rsidRPr="00223C49">
              <w:rPr>
                <w:sz w:val="22"/>
                <w:szCs w:val="22"/>
              </w:rPr>
              <w:t>Č</w:t>
            </w:r>
          </w:p>
          <w:p w14:paraId="58E881D5" w14:textId="77777777" w:rsidR="00056FC2" w:rsidRPr="00223C49" w:rsidRDefault="00056FC2" w:rsidP="00357CEC">
            <w:pPr>
              <w:pStyle w:val="Default"/>
              <w:rPr>
                <w:sz w:val="22"/>
                <w:szCs w:val="22"/>
              </w:rPr>
            </w:pPr>
          </w:p>
          <w:p w14:paraId="55D3DF55" w14:textId="77777777" w:rsidR="00056FC2" w:rsidRPr="00223C49" w:rsidRDefault="00056FC2" w:rsidP="00357CEC">
            <w:pPr>
              <w:pStyle w:val="Default"/>
              <w:rPr>
                <w:sz w:val="22"/>
                <w:szCs w:val="22"/>
              </w:rPr>
            </w:pPr>
          </w:p>
          <w:p w14:paraId="707870B8" w14:textId="77777777" w:rsidR="00056FC2" w:rsidRPr="00223C49" w:rsidRDefault="00056FC2" w:rsidP="00357CEC">
            <w:pPr>
              <w:pStyle w:val="Default"/>
              <w:rPr>
                <w:sz w:val="22"/>
                <w:szCs w:val="22"/>
              </w:rPr>
            </w:pPr>
          </w:p>
          <w:p w14:paraId="2D9987C9" w14:textId="3FF0AA0E" w:rsidR="00056FC2" w:rsidRPr="00223C49" w:rsidRDefault="00056FC2" w:rsidP="00357CEC">
            <w:pPr>
              <w:pStyle w:val="Default"/>
              <w:rPr>
                <w:sz w:val="22"/>
                <w:szCs w:val="22"/>
              </w:rPr>
            </w:pPr>
          </w:p>
          <w:p w14:paraId="36FE610E" w14:textId="77777777" w:rsidR="00056FC2" w:rsidRPr="00223C49" w:rsidRDefault="00056FC2" w:rsidP="00357CEC">
            <w:pPr>
              <w:pStyle w:val="Default"/>
              <w:rPr>
                <w:sz w:val="22"/>
                <w:szCs w:val="22"/>
              </w:rPr>
            </w:pPr>
          </w:p>
          <w:p w14:paraId="3F16FE86" w14:textId="64ABE3B4" w:rsidR="5F673433" w:rsidRPr="00223C49" w:rsidRDefault="5F673433" w:rsidP="5F673433">
            <w:pPr>
              <w:pStyle w:val="Default"/>
              <w:rPr>
                <w:sz w:val="22"/>
                <w:szCs w:val="22"/>
              </w:rPr>
            </w:pPr>
          </w:p>
          <w:p w14:paraId="612E941A" w14:textId="5C05046A" w:rsidR="00FD0B5E" w:rsidRPr="00223C49" w:rsidRDefault="00FD0B5E" w:rsidP="00357CEC">
            <w:pPr>
              <w:pStyle w:val="Default"/>
              <w:rPr>
                <w:sz w:val="22"/>
                <w:szCs w:val="22"/>
              </w:rPr>
            </w:pPr>
          </w:p>
          <w:p w14:paraId="3374C0ED" w14:textId="6968574D" w:rsidR="00357CEC" w:rsidRPr="00223C49" w:rsidRDefault="001478A0" w:rsidP="00357CEC">
            <w:pPr>
              <w:pStyle w:val="Default"/>
              <w:rPr>
                <w:sz w:val="22"/>
                <w:szCs w:val="22"/>
              </w:rPr>
            </w:pPr>
            <w:r w:rsidRPr="00223C49">
              <w:rPr>
                <w:sz w:val="22"/>
                <w:szCs w:val="22"/>
              </w:rPr>
              <w:t>Č</w:t>
            </w:r>
          </w:p>
        </w:tc>
        <w:tc>
          <w:tcPr>
            <w:tcW w:w="1276" w:type="dxa"/>
          </w:tcPr>
          <w:p w14:paraId="211A1CD1" w14:textId="77777777" w:rsidR="00357CEC" w:rsidRPr="001300A9" w:rsidRDefault="00357CEC" w:rsidP="00357CEC">
            <w:pPr>
              <w:pStyle w:val="Default"/>
              <w:rPr>
                <w:sz w:val="22"/>
                <w:szCs w:val="22"/>
              </w:rPr>
            </w:pPr>
          </w:p>
        </w:tc>
        <w:tc>
          <w:tcPr>
            <w:tcW w:w="850" w:type="dxa"/>
          </w:tcPr>
          <w:p w14:paraId="019C6BE1" w14:textId="77777777" w:rsidR="00056FC2" w:rsidRPr="001300A9" w:rsidRDefault="00056FC2" w:rsidP="00357CEC">
            <w:pPr>
              <w:pStyle w:val="Default"/>
              <w:rPr>
                <w:sz w:val="22"/>
                <w:szCs w:val="22"/>
              </w:rPr>
            </w:pPr>
          </w:p>
          <w:p w14:paraId="7024CE5C" w14:textId="77777777" w:rsidR="00056FC2" w:rsidRPr="001300A9" w:rsidRDefault="00056FC2" w:rsidP="00357CEC">
            <w:pPr>
              <w:pStyle w:val="Default"/>
              <w:rPr>
                <w:sz w:val="22"/>
                <w:szCs w:val="22"/>
              </w:rPr>
            </w:pPr>
          </w:p>
          <w:p w14:paraId="5977E5DF" w14:textId="77777777" w:rsidR="00056FC2" w:rsidRPr="001300A9" w:rsidRDefault="00056FC2" w:rsidP="00357CEC">
            <w:pPr>
              <w:pStyle w:val="Default"/>
              <w:rPr>
                <w:sz w:val="22"/>
                <w:szCs w:val="22"/>
              </w:rPr>
            </w:pPr>
          </w:p>
          <w:p w14:paraId="7A97F7B6" w14:textId="77777777" w:rsidR="00056FC2" w:rsidRPr="001300A9" w:rsidRDefault="00056FC2" w:rsidP="00357CEC">
            <w:pPr>
              <w:pStyle w:val="Default"/>
              <w:rPr>
                <w:sz w:val="22"/>
                <w:szCs w:val="22"/>
              </w:rPr>
            </w:pPr>
          </w:p>
          <w:p w14:paraId="308244AD" w14:textId="77777777" w:rsidR="00056FC2" w:rsidRPr="001300A9" w:rsidRDefault="00056FC2" w:rsidP="00357CEC">
            <w:pPr>
              <w:pStyle w:val="Default"/>
              <w:rPr>
                <w:sz w:val="22"/>
                <w:szCs w:val="22"/>
              </w:rPr>
            </w:pPr>
          </w:p>
          <w:p w14:paraId="358A413A" w14:textId="77777777" w:rsidR="00056FC2" w:rsidRPr="001300A9" w:rsidRDefault="00056FC2" w:rsidP="00357CEC">
            <w:pPr>
              <w:pStyle w:val="Default"/>
              <w:rPr>
                <w:sz w:val="22"/>
                <w:szCs w:val="22"/>
              </w:rPr>
            </w:pPr>
          </w:p>
          <w:p w14:paraId="3CAA629B" w14:textId="77777777" w:rsidR="00056FC2" w:rsidRPr="001300A9" w:rsidRDefault="00056FC2" w:rsidP="00357CEC">
            <w:pPr>
              <w:pStyle w:val="Default"/>
              <w:rPr>
                <w:sz w:val="22"/>
                <w:szCs w:val="22"/>
              </w:rPr>
            </w:pPr>
          </w:p>
          <w:p w14:paraId="5A49F05E" w14:textId="77777777" w:rsidR="00056FC2" w:rsidRPr="001300A9" w:rsidRDefault="00056FC2" w:rsidP="00357CEC">
            <w:pPr>
              <w:pStyle w:val="Default"/>
              <w:rPr>
                <w:sz w:val="22"/>
                <w:szCs w:val="22"/>
              </w:rPr>
            </w:pPr>
          </w:p>
          <w:p w14:paraId="7DB8BE52" w14:textId="77777777" w:rsidR="00056FC2" w:rsidRPr="001300A9" w:rsidRDefault="00056FC2" w:rsidP="00357CEC">
            <w:pPr>
              <w:pStyle w:val="Default"/>
              <w:rPr>
                <w:sz w:val="22"/>
                <w:szCs w:val="22"/>
              </w:rPr>
            </w:pPr>
          </w:p>
          <w:p w14:paraId="0F3E2406" w14:textId="77777777" w:rsidR="00056FC2" w:rsidRPr="001300A9" w:rsidRDefault="00056FC2" w:rsidP="00357CEC">
            <w:pPr>
              <w:pStyle w:val="Default"/>
              <w:rPr>
                <w:sz w:val="22"/>
                <w:szCs w:val="22"/>
              </w:rPr>
            </w:pPr>
          </w:p>
          <w:p w14:paraId="2BCB4DEF" w14:textId="77777777" w:rsidR="00056FC2" w:rsidRPr="001300A9" w:rsidRDefault="00056FC2" w:rsidP="00357CEC">
            <w:pPr>
              <w:pStyle w:val="Default"/>
              <w:rPr>
                <w:sz w:val="22"/>
                <w:szCs w:val="22"/>
              </w:rPr>
            </w:pPr>
          </w:p>
          <w:p w14:paraId="1E751161" w14:textId="77777777" w:rsidR="00056FC2" w:rsidRPr="001300A9" w:rsidRDefault="00056FC2" w:rsidP="00357CEC">
            <w:pPr>
              <w:pStyle w:val="Default"/>
              <w:rPr>
                <w:sz w:val="22"/>
                <w:szCs w:val="22"/>
              </w:rPr>
            </w:pPr>
          </w:p>
          <w:p w14:paraId="05528452" w14:textId="77777777" w:rsidR="00056FC2" w:rsidRPr="001300A9" w:rsidRDefault="00056FC2" w:rsidP="00357CEC">
            <w:pPr>
              <w:pStyle w:val="Default"/>
              <w:rPr>
                <w:sz w:val="22"/>
                <w:szCs w:val="22"/>
              </w:rPr>
            </w:pPr>
          </w:p>
          <w:p w14:paraId="3DB4725A" w14:textId="77777777" w:rsidR="00056FC2" w:rsidRPr="001300A9" w:rsidRDefault="00056FC2" w:rsidP="00357CEC">
            <w:pPr>
              <w:pStyle w:val="Default"/>
              <w:rPr>
                <w:sz w:val="22"/>
                <w:szCs w:val="22"/>
              </w:rPr>
            </w:pPr>
          </w:p>
          <w:p w14:paraId="1231DD45" w14:textId="77777777" w:rsidR="00056FC2" w:rsidRPr="001300A9" w:rsidRDefault="00056FC2" w:rsidP="00357CEC">
            <w:pPr>
              <w:pStyle w:val="Default"/>
              <w:rPr>
                <w:sz w:val="22"/>
                <w:szCs w:val="22"/>
              </w:rPr>
            </w:pPr>
          </w:p>
          <w:p w14:paraId="58D33E1C" w14:textId="77777777" w:rsidR="00056FC2" w:rsidRPr="001300A9" w:rsidRDefault="00056FC2" w:rsidP="00357CEC">
            <w:pPr>
              <w:pStyle w:val="Default"/>
              <w:rPr>
                <w:sz w:val="22"/>
                <w:szCs w:val="22"/>
              </w:rPr>
            </w:pPr>
          </w:p>
          <w:p w14:paraId="6D016AC0" w14:textId="77777777" w:rsidR="00056FC2" w:rsidRPr="001300A9" w:rsidRDefault="00056FC2" w:rsidP="00357CEC">
            <w:pPr>
              <w:pStyle w:val="Default"/>
              <w:rPr>
                <w:sz w:val="22"/>
                <w:szCs w:val="22"/>
              </w:rPr>
            </w:pPr>
          </w:p>
          <w:p w14:paraId="620323F1" w14:textId="77777777" w:rsidR="00056FC2" w:rsidRPr="001300A9" w:rsidRDefault="00056FC2" w:rsidP="00357CEC">
            <w:pPr>
              <w:pStyle w:val="Default"/>
              <w:rPr>
                <w:sz w:val="22"/>
                <w:szCs w:val="22"/>
              </w:rPr>
            </w:pPr>
          </w:p>
          <w:p w14:paraId="27636FE2" w14:textId="77777777" w:rsidR="00056FC2" w:rsidRPr="001300A9" w:rsidRDefault="00056FC2" w:rsidP="00357CEC">
            <w:pPr>
              <w:pStyle w:val="Default"/>
              <w:rPr>
                <w:sz w:val="22"/>
                <w:szCs w:val="22"/>
              </w:rPr>
            </w:pPr>
          </w:p>
          <w:p w14:paraId="0F9B0545" w14:textId="77777777" w:rsidR="00056FC2" w:rsidRPr="001300A9" w:rsidRDefault="00056FC2" w:rsidP="00357CEC">
            <w:pPr>
              <w:pStyle w:val="Default"/>
              <w:rPr>
                <w:sz w:val="22"/>
                <w:szCs w:val="22"/>
              </w:rPr>
            </w:pPr>
          </w:p>
          <w:p w14:paraId="50102AE1" w14:textId="77777777" w:rsidR="00056FC2" w:rsidRPr="001300A9" w:rsidRDefault="00056FC2" w:rsidP="00357CEC">
            <w:pPr>
              <w:pStyle w:val="Default"/>
              <w:rPr>
                <w:sz w:val="22"/>
                <w:szCs w:val="22"/>
              </w:rPr>
            </w:pPr>
          </w:p>
          <w:p w14:paraId="057A8FA0" w14:textId="77777777" w:rsidR="00056FC2" w:rsidRPr="001300A9" w:rsidRDefault="00056FC2" w:rsidP="00357CEC">
            <w:pPr>
              <w:pStyle w:val="Default"/>
              <w:rPr>
                <w:sz w:val="22"/>
                <w:szCs w:val="22"/>
              </w:rPr>
            </w:pPr>
          </w:p>
          <w:p w14:paraId="60BBBF18" w14:textId="77777777" w:rsidR="00056FC2" w:rsidRPr="001300A9" w:rsidRDefault="00056FC2" w:rsidP="00357CEC">
            <w:pPr>
              <w:pStyle w:val="Default"/>
              <w:rPr>
                <w:sz w:val="22"/>
                <w:szCs w:val="22"/>
              </w:rPr>
            </w:pPr>
          </w:p>
          <w:p w14:paraId="7250F6A9" w14:textId="77777777" w:rsidR="00056FC2" w:rsidRPr="001300A9" w:rsidRDefault="00056FC2" w:rsidP="00357CEC">
            <w:pPr>
              <w:pStyle w:val="Default"/>
              <w:rPr>
                <w:sz w:val="22"/>
                <w:szCs w:val="22"/>
              </w:rPr>
            </w:pPr>
          </w:p>
          <w:p w14:paraId="37F03F28" w14:textId="77777777" w:rsidR="00056FC2" w:rsidRPr="001300A9" w:rsidRDefault="00056FC2" w:rsidP="00357CEC">
            <w:pPr>
              <w:pStyle w:val="Default"/>
              <w:rPr>
                <w:sz w:val="22"/>
                <w:szCs w:val="22"/>
              </w:rPr>
            </w:pPr>
          </w:p>
          <w:p w14:paraId="07BDA1F9" w14:textId="77777777" w:rsidR="00056FC2" w:rsidRPr="001300A9" w:rsidRDefault="00056FC2" w:rsidP="00357CEC">
            <w:pPr>
              <w:pStyle w:val="Default"/>
              <w:rPr>
                <w:sz w:val="22"/>
                <w:szCs w:val="22"/>
              </w:rPr>
            </w:pPr>
          </w:p>
          <w:p w14:paraId="1B5784F5" w14:textId="77777777" w:rsidR="00056FC2" w:rsidRPr="001300A9" w:rsidRDefault="00056FC2" w:rsidP="00357CEC">
            <w:pPr>
              <w:pStyle w:val="Default"/>
              <w:rPr>
                <w:sz w:val="22"/>
                <w:szCs w:val="22"/>
              </w:rPr>
            </w:pPr>
          </w:p>
          <w:p w14:paraId="6224846A" w14:textId="77777777" w:rsidR="00056FC2" w:rsidRPr="001300A9" w:rsidRDefault="00056FC2" w:rsidP="00357CEC">
            <w:pPr>
              <w:pStyle w:val="Default"/>
              <w:rPr>
                <w:sz w:val="22"/>
                <w:szCs w:val="22"/>
              </w:rPr>
            </w:pPr>
          </w:p>
          <w:p w14:paraId="3ABCDF0B" w14:textId="77777777" w:rsidR="00056FC2" w:rsidRPr="001300A9" w:rsidRDefault="00056FC2" w:rsidP="00357CEC">
            <w:pPr>
              <w:pStyle w:val="Default"/>
              <w:rPr>
                <w:sz w:val="22"/>
                <w:szCs w:val="22"/>
              </w:rPr>
            </w:pPr>
          </w:p>
          <w:p w14:paraId="07B1AC7A" w14:textId="77777777" w:rsidR="00056FC2" w:rsidRPr="001300A9" w:rsidRDefault="00056FC2" w:rsidP="00357CEC">
            <w:pPr>
              <w:pStyle w:val="Default"/>
              <w:rPr>
                <w:sz w:val="22"/>
                <w:szCs w:val="22"/>
              </w:rPr>
            </w:pPr>
          </w:p>
          <w:p w14:paraId="18B1E437" w14:textId="77777777" w:rsidR="00056FC2" w:rsidRPr="001300A9" w:rsidRDefault="00056FC2" w:rsidP="00357CEC">
            <w:pPr>
              <w:pStyle w:val="Default"/>
              <w:rPr>
                <w:sz w:val="22"/>
                <w:szCs w:val="22"/>
              </w:rPr>
            </w:pPr>
          </w:p>
          <w:p w14:paraId="655FCA11" w14:textId="77777777" w:rsidR="00056FC2" w:rsidRPr="001300A9" w:rsidRDefault="00056FC2" w:rsidP="00357CEC">
            <w:pPr>
              <w:pStyle w:val="Default"/>
              <w:rPr>
                <w:sz w:val="22"/>
                <w:szCs w:val="22"/>
              </w:rPr>
            </w:pPr>
          </w:p>
          <w:p w14:paraId="41F57289" w14:textId="77777777" w:rsidR="00056FC2" w:rsidRPr="001300A9" w:rsidRDefault="00056FC2" w:rsidP="00357CEC">
            <w:pPr>
              <w:pStyle w:val="Default"/>
              <w:rPr>
                <w:sz w:val="22"/>
                <w:szCs w:val="22"/>
              </w:rPr>
            </w:pPr>
          </w:p>
          <w:p w14:paraId="771236C6" w14:textId="77777777" w:rsidR="00056FC2" w:rsidRPr="001300A9" w:rsidRDefault="00056FC2" w:rsidP="00357CEC">
            <w:pPr>
              <w:pStyle w:val="Default"/>
              <w:rPr>
                <w:sz w:val="22"/>
                <w:szCs w:val="22"/>
              </w:rPr>
            </w:pPr>
          </w:p>
          <w:p w14:paraId="0564FB99" w14:textId="77777777" w:rsidR="00056FC2" w:rsidRPr="001300A9" w:rsidRDefault="00056FC2" w:rsidP="00357CEC">
            <w:pPr>
              <w:pStyle w:val="Default"/>
              <w:rPr>
                <w:sz w:val="22"/>
                <w:szCs w:val="22"/>
              </w:rPr>
            </w:pPr>
          </w:p>
          <w:p w14:paraId="4CE0DF41" w14:textId="77777777" w:rsidR="00056FC2" w:rsidRPr="001300A9" w:rsidRDefault="00056FC2" w:rsidP="00357CEC">
            <w:pPr>
              <w:pStyle w:val="Default"/>
              <w:rPr>
                <w:sz w:val="22"/>
                <w:szCs w:val="22"/>
              </w:rPr>
            </w:pPr>
          </w:p>
          <w:p w14:paraId="0F0904A7" w14:textId="77777777" w:rsidR="00056FC2" w:rsidRPr="001300A9" w:rsidRDefault="00056FC2" w:rsidP="00357CEC">
            <w:pPr>
              <w:pStyle w:val="Default"/>
              <w:rPr>
                <w:sz w:val="22"/>
                <w:szCs w:val="22"/>
              </w:rPr>
            </w:pPr>
          </w:p>
          <w:p w14:paraId="038AB1B2" w14:textId="77777777" w:rsidR="00056FC2" w:rsidRPr="001300A9" w:rsidRDefault="00056FC2" w:rsidP="00357CEC">
            <w:pPr>
              <w:pStyle w:val="Default"/>
              <w:rPr>
                <w:sz w:val="22"/>
                <w:szCs w:val="22"/>
              </w:rPr>
            </w:pPr>
          </w:p>
          <w:p w14:paraId="0B157C8F" w14:textId="77777777" w:rsidR="00056FC2" w:rsidRPr="001300A9" w:rsidRDefault="00056FC2" w:rsidP="00357CEC">
            <w:pPr>
              <w:pStyle w:val="Default"/>
              <w:rPr>
                <w:sz w:val="22"/>
                <w:szCs w:val="22"/>
              </w:rPr>
            </w:pPr>
          </w:p>
          <w:p w14:paraId="19AB991A" w14:textId="77777777" w:rsidR="00056FC2" w:rsidRPr="001300A9" w:rsidRDefault="00056FC2" w:rsidP="00357CEC">
            <w:pPr>
              <w:pStyle w:val="Default"/>
              <w:rPr>
                <w:sz w:val="22"/>
                <w:szCs w:val="22"/>
              </w:rPr>
            </w:pPr>
          </w:p>
          <w:p w14:paraId="68FE1FCC" w14:textId="77777777" w:rsidR="00056FC2" w:rsidRPr="001300A9" w:rsidRDefault="00056FC2" w:rsidP="00357CEC">
            <w:pPr>
              <w:pStyle w:val="Default"/>
              <w:rPr>
                <w:sz w:val="22"/>
                <w:szCs w:val="22"/>
              </w:rPr>
            </w:pPr>
          </w:p>
          <w:p w14:paraId="1ABDE0E1" w14:textId="77777777" w:rsidR="00056FC2" w:rsidRPr="001300A9" w:rsidRDefault="00056FC2" w:rsidP="00357CEC">
            <w:pPr>
              <w:pStyle w:val="Default"/>
              <w:rPr>
                <w:sz w:val="22"/>
                <w:szCs w:val="22"/>
              </w:rPr>
            </w:pPr>
          </w:p>
          <w:p w14:paraId="30F498DB" w14:textId="77777777" w:rsidR="00056FC2" w:rsidRPr="001300A9" w:rsidRDefault="00056FC2" w:rsidP="00357CEC">
            <w:pPr>
              <w:pStyle w:val="Default"/>
              <w:rPr>
                <w:sz w:val="22"/>
                <w:szCs w:val="22"/>
              </w:rPr>
            </w:pPr>
          </w:p>
          <w:p w14:paraId="2A538B87" w14:textId="77777777" w:rsidR="00056FC2" w:rsidRPr="001300A9" w:rsidRDefault="00056FC2" w:rsidP="00357CEC">
            <w:pPr>
              <w:pStyle w:val="Default"/>
              <w:rPr>
                <w:sz w:val="22"/>
                <w:szCs w:val="22"/>
              </w:rPr>
            </w:pPr>
          </w:p>
          <w:p w14:paraId="7C63B237" w14:textId="77777777" w:rsidR="00056FC2" w:rsidRPr="001300A9" w:rsidRDefault="00056FC2" w:rsidP="00357CEC">
            <w:pPr>
              <w:pStyle w:val="Default"/>
              <w:rPr>
                <w:sz w:val="22"/>
                <w:szCs w:val="22"/>
              </w:rPr>
            </w:pPr>
          </w:p>
          <w:p w14:paraId="2BA78523" w14:textId="77777777" w:rsidR="00056FC2" w:rsidRPr="001300A9" w:rsidRDefault="00056FC2" w:rsidP="00357CEC">
            <w:pPr>
              <w:pStyle w:val="Default"/>
              <w:rPr>
                <w:sz w:val="22"/>
                <w:szCs w:val="22"/>
              </w:rPr>
            </w:pPr>
          </w:p>
          <w:p w14:paraId="4B068BE9" w14:textId="77777777" w:rsidR="00056FC2" w:rsidRPr="001300A9" w:rsidRDefault="00056FC2" w:rsidP="00357CEC">
            <w:pPr>
              <w:pStyle w:val="Default"/>
              <w:rPr>
                <w:sz w:val="22"/>
                <w:szCs w:val="22"/>
              </w:rPr>
            </w:pPr>
          </w:p>
          <w:p w14:paraId="03CCA3CD" w14:textId="77777777" w:rsidR="00056FC2" w:rsidRPr="001300A9" w:rsidRDefault="00056FC2" w:rsidP="00357CEC">
            <w:pPr>
              <w:pStyle w:val="Default"/>
              <w:rPr>
                <w:sz w:val="22"/>
                <w:szCs w:val="22"/>
              </w:rPr>
            </w:pPr>
          </w:p>
          <w:p w14:paraId="1912B37F" w14:textId="77777777" w:rsidR="00056FC2" w:rsidRPr="001300A9" w:rsidRDefault="00056FC2" w:rsidP="00357CEC">
            <w:pPr>
              <w:pStyle w:val="Default"/>
              <w:rPr>
                <w:sz w:val="22"/>
                <w:szCs w:val="22"/>
              </w:rPr>
            </w:pPr>
          </w:p>
          <w:p w14:paraId="35F53633" w14:textId="77777777" w:rsidR="00056FC2" w:rsidRPr="001300A9" w:rsidRDefault="00056FC2" w:rsidP="00357CEC">
            <w:pPr>
              <w:pStyle w:val="Default"/>
              <w:rPr>
                <w:sz w:val="22"/>
                <w:szCs w:val="22"/>
              </w:rPr>
            </w:pPr>
          </w:p>
          <w:p w14:paraId="2D00AE15" w14:textId="48CFA3B5" w:rsidR="00056FC2" w:rsidRPr="001300A9" w:rsidRDefault="00056FC2" w:rsidP="00357CEC">
            <w:pPr>
              <w:pStyle w:val="Default"/>
              <w:rPr>
                <w:sz w:val="22"/>
                <w:szCs w:val="22"/>
              </w:rPr>
            </w:pPr>
          </w:p>
          <w:p w14:paraId="678DFA41" w14:textId="77777777" w:rsidR="004D7FA3" w:rsidRDefault="004D7FA3" w:rsidP="00357CEC">
            <w:pPr>
              <w:pStyle w:val="Default"/>
              <w:rPr>
                <w:sz w:val="22"/>
                <w:szCs w:val="22"/>
              </w:rPr>
            </w:pPr>
          </w:p>
          <w:p w14:paraId="76578FD0" w14:textId="77777777" w:rsidR="004D7FA3" w:rsidRDefault="004D7FA3" w:rsidP="00357CEC">
            <w:pPr>
              <w:pStyle w:val="Default"/>
              <w:rPr>
                <w:sz w:val="22"/>
                <w:szCs w:val="22"/>
              </w:rPr>
            </w:pPr>
          </w:p>
          <w:p w14:paraId="76799D44" w14:textId="4CC68134" w:rsidR="00056FC2" w:rsidRPr="001300A9" w:rsidRDefault="00F041B3" w:rsidP="00357CEC">
            <w:pPr>
              <w:pStyle w:val="Default"/>
              <w:rPr>
                <w:sz w:val="22"/>
                <w:szCs w:val="22"/>
              </w:rPr>
            </w:pPr>
            <w:r w:rsidRPr="001300A9">
              <w:rPr>
                <w:sz w:val="22"/>
                <w:szCs w:val="22"/>
              </w:rPr>
              <w:t>GP - N</w:t>
            </w:r>
          </w:p>
          <w:p w14:paraId="51F6AF7F" w14:textId="77777777" w:rsidR="00056FC2" w:rsidRPr="001300A9" w:rsidRDefault="00056FC2" w:rsidP="00357CEC">
            <w:pPr>
              <w:pStyle w:val="Default"/>
              <w:rPr>
                <w:sz w:val="22"/>
                <w:szCs w:val="22"/>
              </w:rPr>
            </w:pPr>
          </w:p>
          <w:p w14:paraId="3EB8ADD8" w14:textId="77777777" w:rsidR="00056FC2" w:rsidRPr="001300A9" w:rsidRDefault="00056FC2" w:rsidP="00357CEC">
            <w:pPr>
              <w:pStyle w:val="Default"/>
              <w:rPr>
                <w:sz w:val="22"/>
                <w:szCs w:val="22"/>
              </w:rPr>
            </w:pPr>
          </w:p>
          <w:p w14:paraId="57DCF468" w14:textId="77777777" w:rsidR="00056FC2" w:rsidRPr="001300A9" w:rsidRDefault="00056FC2" w:rsidP="00357CEC">
            <w:pPr>
              <w:pStyle w:val="Default"/>
              <w:rPr>
                <w:sz w:val="22"/>
                <w:szCs w:val="22"/>
              </w:rPr>
            </w:pPr>
          </w:p>
          <w:p w14:paraId="59FF197A" w14:textId="77777777" w:rsidR="00056FC2" w:rsidRPr="001300A9" w:rsidRDefault="00056FC2" w:rsidP="00357CEC">
            <w:pPr>
              <w:pStyle w:val="Default"/>
              <w:rPr>
                <w:sz w:val="22"/>
                <w:szCs w:val="22"/>
              </w:rPr>
            </w:pPr>
          </w:p>
          <w:p w14:paraId="0CE6C45E" w14:textId="5A0F7356" w:rsidR="00056FC2" w:rsidRPr="001300A9" w:rsidRDefault="00056FC2" w:rsidP="00357CEC">
            <w:pPr>
              <w:pStyle w:val="Default"/>
              <w:rPr>
                <w:sz w:val="22"/>
                <w:szCs w:val="22"/>
              </w:rPr>
            </w:pPr>
          </w:p>
          <w:p w14:paraId="0E8D5D72" w14:textId="4B916509" w:rsidR="00FD0B5E" w:rsidRDefault="00FD0B5E" w:rsidP="00357CEC">
            <w:pPr>
              <w:pStyle w:val="Default"/>
              <w:rPr>
                <w:sz w:val="22"/>
                <w:szCs w:val="22"/>
              </w:rPr>
            </w:pPr>
          </w:p>
          <w:p w14:paraId="01D033CE" w14:textId="7A9E40D3" w:rsidR="00357CEC" w:rsidRPr="001300A9" w:rsidRDefault="00056FC2" w:rsidP="00357CEC">
            <w:pPr>
              <w:pStyle w:val="Default"/>
              <w:rPr>
                <w:sz w:val="22"/>
                <w:szCs w:val="22"/>
              </w:rPr>
            </w:pPr>
            <w:r w:rsidRPr="001300A9">
              <w:rPr>
                <w:sz w:val="22"/>
                <w:szCs w:val="22"/>
              </w:rPr>
              <w:t>GP - N</w:t>
            </w:r>
          </w:p>
        </w:tc>
        <w:tc>
          <w:tcPr>
            <w:tcW w:w="815" w:type="dxa"/>
          </w:tcPr>
          <w:p w14:paraId="2B6009F4" w14:textId="77777777" w:rsidR="00357CEC" w:rsidRPr="001300A9" w:rsidRDefault="00357CEC" w:rsidP="00357CEC">
            <w:pPr>
              <w:pStyle w:val="Default"/>
              <w:rPr>
                <w:sz w:val="22"/>
                <w:szCs w:val="22"/>
              </w:rPr>
            </w:pPr>
          </w:p>
        </w:tc>
      </w:tr>
      <w:tr w:rsidR="00DD6EDC" w:rsidRPr="001300A9" w14:paraId="2AD959C3" w14:textId="77777777" w:rsidTr="360410BC">
        <w:tc>
          <w:tcPr>
            <w:tcW w:w="562" w:type="dxa"/>
          </w:tcPr>
          <w:p w14:paraId="7B45C81A" w14:textId="77777777" w:rsidR="00357CEC" w:rsidRPr="001300A9" w:rsidRDefault="00357CEC" w:rsidP="00357CEC">
            <w:pPr>
              <w:pStyle w:val="Default"/>
              <w:rPr>
                <w:sz w:val="22"/>
                <w:szCs w:val="22"/>
              </w:rPr>
            </w:pPr>
            <w:r w:rsidRPr="001300A9">
              <w:rPr>
                <w:sz w:val="22"/>
                <w:szCs w:val="22"/>
              </w:rPr>
              <w:t>Č: 1</w:t>
            </w:r>
          </w:p>
          <w:p w14:paraId="3F1A78E5" w14:textId="77777777" w:rsidR="00357CEC" w:rsidRPr="001300A9" w:rsidRDefault="00357CEC" w:rsidP="00357CEC">
            <w:pPr>
              <w:pStyle w:val="Default"/>
              <w:rPr>
                <w:sz w:val="22"/>
                <w:szCs w:val="22"/>
              </w:rPr>
            </w:pPr>
            <w:r w:rsidRPr="001300A9">
              <w:rPr>
                <w:sz w:val="22"/>
                <w:szCs w:val="22"/>
              </w:rPr>
              <w:t>O: 31</w:t>
            </w:r>
          </w:p>
        </w:tc>
        <w:tc>
          <w:tcPr>
            <w:tcW w:w="4820" w:type="dxa"/>
          </w:tcPr>
          <w:p w14:paraId="759CAEF2" w14:textId="77777777" w:rsidR="00357CEC" w:rsidRPr="001300A9" w:rsidRDefault="00357CEC" w:rsidP="00357CEC">
            <w:pPr>
              <w:pStyle w:val="Default"/>
              <w:rPr>
                <w:sz w:val="22"/>
                <w:szCs w:val="22"/>
              </w:rPr>
            </w:pPr>
            <w:r w:rsidRPr="001300A9">
              <w:rPr>
                <w:sz w:val="22"/>
                <w:szCs w:val="22"/>
              </w:rPr>
              <w:t xml:space="preserve">Prílohy I, </w:t>
            </w:r>
            <w:proofErr w:type="spellStart"/>
            <w:r w:rsidRPr="001300A9">
              <w:rPr>
                <w:sz w:val="22"/>
                <w:szCs w:val="22"/>
              </w:rPr>
              <w:t>IIb</w:t>
            </w:r>
            <w:proofErr w:type="spellEnd"/>
            <w:r w:rsidRPr="001300A9">
              <w:rPr>
                <w:sz w:val="22"/>
                <w:szCs w:val="22"/>
              </w:rPr>
              <w:t xml:space="preserve">, IV a V k smernici 2003/87/ES sa menia v súlade s prílohou I k tejto smernici a prílohy III a </w:t>
            </w:r>
            <w:proofErr w:type="spellStart"/>
            <w:r w:rsidRPr="001300A9">
              <w:rPr>
                <w:sz w:val="22"/>
                <w:szCs w:val="22"/>
              </w:rPr>
              <w:t>IIIa</w:t>
            </w:r>
            <w:proofErr w:type="spellEnd"/>
            <w:r w:rsidRPr="001300A9">
              <w:rPr>
                <w:sz w:val="22"/>
                <w:szCs w:val="22"/>
              </w:rPr>
              <w:t xml:space="preserve"> sa vkladajú do smernice 2003/87/ES tak, ako sa stanovuje v prílohe I k tejto smernici.</w:t>
            </w:r>
          </w:p>
        </w:tc>
        <w:tc>
          <w:tcPr>
            <w:tcW w:w="567" w:type="dxa"/>
          </w:tcPr>
          <w:p w14:paraId="16F07E3E" w14:textId="77777777" w:rsidR="00357CEC" w:rsidRPr="001300A9" w:rsidRDefault="00357CEC" w:rsidP="00357CEC">
            <w:pPr>
              <w:pStyle w:val="Default"/>
              <w:rPr>
                <w:sz w:val="22"/>
                <w:szCs w:val="22"/>
              </w:rPr>
            </w:pPr>
            <w:proofErr w:type="spellStart"/>
            <w:r w:rsidRPr="001300A9">
              <w:rPr>
                <w:sz w:val="22"/>
                <w:szCs w:val="22"/>
              </w:rPr>
              <w:t>n.a</w:t>
            </w:r>
            <w:proofErr w:type="spellEnd"/>
            <w:r w:rsidRPr="001300A9">
              <w:rPr>
                <w:sz w:val="22"/>
                <w:szCs w:val="22"/>
              </w:rPr>
              <w:t>.</w:t>
            </w:r>
          </w:p>
        </w:tc>
        <w:tc>
          <w:tcPr>
            <w:tcW w:w="283" w:type="dxa"/>
          </w:tcPr>
          <w:p w14:paraId="2327BB9C" w14:textId="77777777" w:rsidR="00357CEC" w:rsidRPr="001300A9" w:rsidRDefault="00357CEC" w:rsidP="00357CEC">
            <w:pPr>
              <w:pStyle w:val="Default"/>
              <w:rPr>
                <w:sz w:val="22"/>
                <w:szCs w:val="22"/>
              </w:rPr>
            </w:pPr>
          </w:p>
        </w:tc>
        <w:tc>
          <w:tcPr>
            <w:tcW w:w="567" w:type="dxa"/>
          </w:tcPr>
          <w:p w14:paraId="46551428" w14:textId="77777777" w:rsidR="00357CEC" w:rsidRPr="001300A9" w:rsidRDefault="00357CEC" w:rsidP="00357CEC">
            <w:pPr>
              <w:pStyle w:val="Default"/>
              <w:rPr>
                <w:sz w:val="22"/>
                <w:szCs w:val="22"/>
              </w:rPr>
            </w:pPr>
          </w:p>
        </w:tc>
        <w:tc>
          <w:tcPr>
            <w:tcW w:w="4253" w:type="dxa"/>
          </w:tcPr>
          <w:p w14:paraId="48F31D1F" w14:textId="77777777" w:rsidR="00357CEC" w:rsidRPr="001300A9" w:rsidRDefault="00357CEC" w:rsidP="00357CEC">
            <w:pPr>
              <w:pStyle w:val="Default"/>
              <w:rPr>
                <w:sz w:val="22"/>
                <w:szCs w:val="22"/>
              </w:rPr>
            </w:pPr>
          </w:p>
        </w:tc>
        <w:tc>
          <w:tcPr>
            <w:tcW w:w="567" w:type="dxa"/>
          </w:tcPr>
          <w:p w14:paraId="31B0F8E4" w14:textId="77777777" w:rsidR="00357CEC" w:rsidRPr="001300A9" w:rsidRDefault="00357CEC" w:rsidP="00357CEC">
            <w:pPr>
              <w:pStyle w:val="Default"/>
              <w:rPr>
                <w:sz w:val="22"/>
                <w:szCs w:val="22"/>
              </w:rPr>
            </w:pPr>
          </w:p>
        </w:tc>
        <w:tc>
          <w:tcPr>
            <w:tcW w:w="1276" w:type="dxa"/>
          </w:tcPr>
          <w:p w14:paraId="6D49195E" w14:textId="77777777" w:rsidR="00357CEC" w:rsidRPr="001300A9" w:rsidRDefault="00357CEC" w:rsidP="00357CEC">
            <w:pPr>
              <w:pStyle w:val="Default"/>
              <w:rPr>
                <w:sz w:val="22"/>
                <w:szCs w:val="22"/>
              </w:rPr>
            </w:pPr>
          </w:p>
        </w:tc>
        <w:tc>
          <w:tcPr>
            <w:tcW w:w="850" w:type="dxa"/>
          </w:tcPr>
          <w:p w14:paraId="285F237C" w14:textId="77777777" w:rsidR="00357CEC" w:rsidRPr="001300A9" w:rsidRDefault="00357CEC" w:rsidP="00357CEC">
            <w:pPr>
              <w:pStyle w:val="Default"/>
              <w:rPr>
                <w:sz w:val="22"/>
                <w:szCs w:val="22"/>
              </w:rPr>
            </w:pPr>
          </w:p>
        </w:tc>
        <w:tc>
          <w:tcPr>
            <w:tcW w:w="815" w:type="dxa"/>
          </w:tcPr>
          <w:p w14:paraId="64E11B18" w14:textId="77777777" w:rsidR="00357CEC" w:rsidRPr="001300A9" w:rsidRDefault="00357CEC" w:rsidP="00357CEC">
            <w:pPr>
              <w:pStyle w:val="Default"/>
              <w:rPr>
                <w:sz w:val="22"/>
                <w:szCs w:val="22"/>
              </w:rPr>
            </w:pPr>
          </w:p>
        </w:tc>
      </w:tr>
      <w:tr w:rsidR="00DD6EDC" w:rsidRPr="001300A9" w14:paraId="64404CA2" w14:textId="77777777" w:rsidTr="360410BC">
        <w:tc>
          <w:tcPr>
            <w:tcW w:w="562" w:type="dxa"/>
          </w:tcPr>
          <w:p w14:paraId="6F5552D9" w14:textId="77777777" w:rsidR="00357CEC" w:rsidRPr="001300A9" w:rsidRDefault="00357CEC" w:rsidP="00357CEC">
            <w:pPr>
              <w:pStyle w:val="Default"/>
              <w:rPr>
                <w:sz w:val="22"/>
                <w:szCs w:val="22"/>
              </w:rPr>
            </w:pPr>
            <w:r w:rsidRPr="001300A9">
              <w:rPr>
                <w:sz w:val="22"/>
                <w:szCs w:val="22"/>
              </w:rPr>
              <w:t>Č: 2</w:t>
            </w:r>
          </w:p>
          <w:p w14:paraId="375833D6" w14:textId="77777777" w:rsidR="00357CEC" w:rsidRPr="001300A9" w:rsidRDefault="00357CEC" w:rsidP="00357CEC">
            <w:pPr>
              <w:pStyle w:val="Default"/>
              <w:rPr>
                <w:sz w:val="22"/>
                <w:szCs w:val="22"/>
              </w:rPr>
            </w:pPr>
            <w:r w:rsidRPr="001300A9">
              <w:rPr>
                <w:sz w:val="22"/>
                <w:szCs w:val="22"/>
              </w:rPr>
              <w:t>O: 1</w:t>
            </w:r>
          </w:p>
          <w:p w14:paraId="4DC96CE3" w14:textId="77777777" w:rsidR="00357CEC" w:rsidRPr="001300A9" w:rsidRDefault="00357CEC" w:rsidP="00357CEC">
            <w:pPr>
              <w:pStyle w:val="Default"/>
              <w:rPr>
                <w:sz w:val="22"/>
                <w:szCs w:val="22"/>
              </w:rPr>
            </w:pPr>
            <w:r w:rsidRPr="001300A9">
              <w:rPr>
                <w:sz w:val="22"/>
                <w:szCs w:val="22"/>
              </w:rPr>
              <w:t>P: a)</w:t>
            </w:r>
          </w:p>
        </w:tc>
        <w:tc>
          <w:tcPr>
            <w:tcW w:w="4820" w:type="dxa"/>
          </w:tcPr>
          <w:p w14:paraId="436319A1" w14:textId="77777777" w:rsidR="00357CEC" w:rsidRPr="001300A9" w:rsidRDefault="00357CEC" w:rsidP="00357CEC">
            <w:pPr>
              <w:pStyle w:val="Default"/>
              <w:rPr>
                <w:sz w:val="22"/>
                <w:szCs w:val="22"/>
              </w:rPr>
            </w:pPr>
            <w:r w:rsidRPr="001300A9">
              <w:rPr>
                <w:sz w:val="22"/>
                <w:szCs w:val="22"/>
              </w:rPr>
              <w:t>4. Komisia zverejní celkové množstvo kvót v obehu každoročne do 1. júna nasledujúceho roku. Celkové množstvo kvót v obehu v danom roku je kumulatívne množstvo kvót, ktoré sa v období od 1. januára 2008 vydali v súvislosti so zariadeniami a lodnými spoločnosťami a neumiestnili do rezervy, a to vrátane množstva kvót vydaných podľa článku 13 ods. 2 smernice 2003/87/ES, v znení účinnom 18. marca 2018, v danom období a vrátane nárokov na používanie medzinárodných kreditov uplatnených zariadeniami v rámci systému EU ETS do 31. decembra daného roku, po odpočítaní kumulatívnych ton overených emisií zo zariadení a lodných spoločností v rámci systému EU ETS od 1. januára 2008 do 31. decembra toho istého roku a všetkých kvót zrušených v súlade s článkom 12 ods. 4 smernice 2003/87/ES. Nezohľadňujú sa emisie počas trojročného obdobia, ktoré sa začína v roku 2005 a končí v roku 2007, ani kvóty vydané v súvislosti s týmito emisiami. Prvé zverejnenie sa uskutoční do 15. mája 2017.</w:t>
            </w:r>
          </w:p>
        </w:tc>
        <w:tc>
          <w:tcPr>
            <w:tcW w:w="567" w:type="dxa"/>
          </w:tcPr>
          <w:p w14:paraId="4BDB152C" w14:textId="77777777" w:rsidR="00357CEC" w:rsidRPr="001300A9" w:rsidRDefault="00357CEC" w:rsidP="00357CEC">
            <w:pPr>
              <w:pStyle w:val="Default"/>
              <w:rPr>
                <w:sz w:val="22"/>
                <w:szCs w:val="22"/>
              </w:rPr>
            </w:pPr>
            <w:proofErr w:type="spellStart"/>
            <w:r w:rsidRPr="001300A9">
              <w:rPr>
                <w:sz w:val="22"/>
                <w:szCs w:val="22"/>
              </w:rPr>
              <w:t>n.a</w:t>
            </w:r>
            <w:proofErr w:type="spellEnd"/>
            <w:r w:rsidRPr="001300A9">
              <w:rPr>
                <w:sz w:val="22"/>
                <w:szCs w:val="22"/>
              </w:rPr>
              <w:t>.</w:t>
            </w:r>
          </w:p>
        </w:tc>
        <w:tc>
          <w:tcPr>
            <w:tcW w:w="283" w:type="dxa"/>
          </w:tcPr>
          <w:p w14:paraId="2EC8111A" w14:textId="77777777" w:rsidR="00357CEC" w:rsidRPr="001300A9" w:rsidRDefault="00357CEC" w:rsidP="00357CEC">
            <w:pPr>
              <w:pStyle w:val="Default"/>
              <w:rPr>
                <w:sz w:val="22"/>
                <w:szCs w:val="22"/>
              </w:rPr>
            </w:pPr>
          </w:p>
        </w:tc>
        <w:tc>
          <w:tcPr>
            <w:tcW w:w="567" w:type="dxa"/>
          </w:tcPr>
          <w:p w14:paraId="4C44DD4C" w14:textId="77777777" w:rsidR="00357CEC" w:rsidRPr="001300A9" w:rsidRDefault="00357CEC" w:rsidP="00357CEC">
            <w:pPr>
              <w:pStyle w:val="Default"/>
              <w:rPr>
                <w:sz w:val="22"/>
                <w:szCs w:val="22"/>
              </w:rPr>
            </w:pPr>
          </w:p>
        </w:tc>
        <w:tc>
          <w:tcPr>
            <w:tcW w:w="4253" w:type="dxa"/>
          </w:tcPr>
          <w:p w14:paraId="08EA980F" w14:textId="77777777" w:rsidR="00357CEC" w:rsidRPr="001300A9" w:rsidRDefault="00357CEC" w:rsidP="00357CEC">
            <w:pPr>
              <w:pStyle w:val="Default"/>
              <w:rPr>
                <w:sz w:val="22"/>
                <w:szCs w:val="22"/>
              </w:rPr>
            </w:pPr>
          </w:p>
        </w:tc>
        <w:tc>
          <w:tcPr>
            <w:tcW w:w="567" w:type="dxa"/>
          </w:tcPr>
          <w:p w14:paraId="2AD83D0F" w14:textId="77777777" w:rsidR="00357CEC" w:rsidRPr="001300A9" w:rsidRDefault="00357CEC" w:rsidP="00357CEC">
            <w:pPr>
              <w:pStyle w:val="Default"/>
              <w:rPr>
                <w:sz w:val="22"/>
                <w:szCs w:val="22"/>
              </w:rPr>
            </w:pPr>
          </w:p>
        </w:tc>
        <w:tc>
          <w:tcPr>
            <w:tcW w:w="1276" w:type="dxa"/>
          </w:tcPr>
          <w:p w14:paraId="44AB3879" w14:textId="77777777" w:rsidR="00357CEC" w:rsidRPr="001300A9" w:rsidRDefault="00357CEC" w:rsidP="00357CEC">
            <w:pPr>
              <w:pStyle w:val="Default"/>
              <w:rPr>
                <w:sz w:val="22"/>
                <w:szCs w:val="22"/>
              </w:rPr>
            </w:pPr>
          </w:p>
        </w:tc>
        <w:tc>
          <w:tcPr>
            <w:tcW w:w="850" w:type="dxa"/>
          </w:tcPr>
          <w:p w14:paraId="77A2537E" w14:textId="77777777" w:rsidR="00357CEC" w:rsidRPr="001300A9" w:rsidRDefault="00357CEC" w:rsidP="00357CEC">
            <w:pPr>
              <w:pStyle w:val="Default"/>
              <w:rPr>
                <w:sz w:val="22"/>
                <w:szCs w:val="22"/>
              </w:rPr>
            </w:pPr>
          </w:p>
        </w:tc>
        <w:tc>
          <w:tcPr>
            <w:tcW w:w="815" w:type="dxa"/>
          </w:tcPr>
          <w:p w14:paraId="296A0B4D" w14:textId="77777777" w:rsidR="00357CEC" w:rsidRPr="001300A9" w:rsidRDefault="00357CEC" w:rsidP="00357CEC">
            <w:pPr>
              <w:pStyle w:val="Default"/>
              <w:rPr>
                <w:sz w:val="22"/>
                <w:szCs w:val="22"/>
              </w:rPr>
            </w:pPr>
          </w:p>
        </w:tc>
      </w:tr>
      <w:tr w:rsidR="00DD6EDC" w:rsidRPr="001300A9" w14:paraId="0E57C250" w14:textId="77777777" w:rsidTr="360410BC">
        <w:tc>
          <w:tcPr>
            <w:tcW w:w="562" w:type="dxa"/>
          </w:tcPr>
          <w:p w14:paraId="11C8BD85" w14:textId="77777777" w:rsidR="00357CEC" w:rsidRPr="001300A9" w:rsidRDefault="00357CEC" w:rsidP="00357CEC">
            <w:pPr>
              <w:pStyle w:val="Default"/>
              <w:rPr>
                <w:sz w:val="22"/>
                <w:szCs w:val="22"/>
              </w:rPr>
            </w:pPr>
            <w:r w:rsidRPr="001300A9">
              <w:rPr>
                <w:sz w:val="22"/>
                <w:szCs w:val="22"/>
              </w:rPr>
              <w:t>Č: 2</w:t>
            </w:r>
          </w:p>
          <w:p w14:paraId="5D1B428C" w14:textId="77777777" w:rsidR="00357CEC" w:rsidRPr="001300A9" w:rsidRDefault="00357CEC" w:rsidP="00357CEC">
            <w:pPr>
              <w:pStyle w:val="Default"/>
              <w:rPr>
                <w:sz w:val="22"/>
                <w:szCs w:val="22"/>
              </w:rPr>
            </w:pPr>
            <w:r w:rsidRPr="001300A9">
              <w:rPr>
                <w:sz w:val="22"/>
                <w:szCs w:val="22"/>
              </w:rPr>
              <w:t>O: 1</w:t>
            </w:r>
          </w:p>
          <w:p w14:paraId="79D4EDA4" w14:textId="77777777" w:rsidR="00357CEC" w:rsidRPr="001300A9" w:rsidRDefault="00357CEC" w:rsidP="00357CEC">
            <w:pPr>
              <w:pStyle w:val="Default"/>
              <w:rPr>
                <w:sz w:val="22"/>
                <w:szCs w:val="22"/>
              </w:rPr>
            </w:pPr>
            <w:r w:rsidRPr="001300A9">
              <w:rPr>
                <w:sz w:val="22"/>
                <w:szCs w:val="22"/>
              </w:rPr>
              <w:t>P: b)</w:t>
            </w:r>
          </w:p>
        </w:tc>
        <w:tc>
          <w:tcPr>
            <w:tcW w:w="4820" w:type="dxa"/>
          </w:tcPr>
          <w:p w14:paraId="78ADA549" w14:textId="77777777" w:rsidR="00357CEC" w:rsidRPr="001300A9" w:rsidRDefault="00357CEC" w:rsidP="00357CEC">
            <w:pPr>
              <w:pStyle w:val="Default"/>
              <w:rPr>
                <w:sz w:val="22"/>
                <w:szCs w:val="22"/>
              </w:rPr>
            </w:pPr>
            <w:r w:rsidRPr="001300A9">
              <w:rPr>
                <w:sz w:val="22"/>
                <w:szCs w:val="22"/>
              </w:rPr>
              <w:t>4a. Od roku ... [rok nasledujúci po nadobudnutí účinnosti tejto pozmeňujúcej smernice] sa do výpočtu celkového množstva kvót v obehu v ktoromkoľvek danom roku zahŕňa kumulatívne množstvo kvót vydaných v súvislosti s leteckou dopravou a kumulatívne tony overených emisií z leteckej dopravy v rámci systému EU ETS, pričom sa vylučujú emisie z letov na trasách, na ktoré sa vzťahuje kompenzácia vypočítaná podľa článku 12 ods. 6 smernice 2003/87/ES, a to od 1. januára ... [rok nasledujúci po nadobudnutí účinnosti tejto smernice] do 1. decembra toho istého daného roku.</w:t>
            </w:r>
          </w:p>
          <w:p w14:paraId="38AAD356" w14:textId="77777777" w:rsidR="00357CEC" w:rsidRPr="001300A9" w:rsidRDefault="00357CEC" w:rsidP="00357CEC">
            <w:pPr>
              <w:pStyle w:val="Default"/>
              <w:rPr>
                <w:sz w:val="22"/>
                <w:szCs w:val="22"/>
              </w:rPr>
            </w:pPr>
            <w:r w:rsidRPr="001300A9">
              <w:rPr>
                <w:sz w:val="22"/>
                <w:szCs w:val="22"/>
              </w:rPr>
              <w:t>Kvóty zrušené podľa článku 3gb smernice 2003/87/ES sa považujú za vydané na účely výpočtu celkového množstva kvót v obehu.</w:t>
            </w:r>
          </w:p>
        </w:tc>
        <w:tc>
          <w:tcPr>
            <w:tcW w:w="567" w:type="dxa"/>
          </w:tcPr>
          <w:p w14:paraId="0C7A60CA" w14:textId="77777777" w:rsidR="00357CEC" w:rsidRPr="001300A9" w:rsidRDefault="00357CEC" w:rsidP="00357CEC">
            <w:pPr>
              <w:pStyle w:val="Default"/>
              <w:rPr>
                <w:sz w:val="22"/>
                <w:szCs w:val="22"/>
              </w:rPr>
            </w:pPr>
            <w:proofErr w:type="spellStart"/>
            <w:r w:rsidRPr="001300A9">
              <w:rPr>
                <w:sz w:val="22"/>
                <w:szCs w:val="22"/>
              </w:rPr>
              <w:t>n.a</w:t>
            </w:r>
            <w:proofErr w:type="spellEnd"/>
            <w:r w:rsidRPr="001300A9">
              <w:rPr>
                <w:sz w:val="22"/>
                <w:szCs w:val="22"/>
              </w:rPr>
              <w:t>.</w:t>
            </w:r>
          </w:p>
        </w:tc>
        <w:tc>
          <w:tcPr>
            <w:tcW w:w="283" w:type="dxa"/>
          </w:tcPr>
          <w:p w14:paraId="4DDFD0FE" w14:textId="77777777" w:rsidR="00357CEC" w:rsidRPr="001300A9" w:rsidRDefault="00357CEC" w:rsidP="00357CEC">
            <w:pPr>
              <w:pStyle w:val="Default"/>
              <w:rPr>
                <w:sz w:val="22"/>
                <w:szCs w:val="22"/>
              </w:rPr>
            </w:pPr>
          </w:p>
        </w:tc>
        <w:tc>
          <w:tcPr>
            <w:tcW w:w="567" w:type="dxa"/>
          </w:tcPr>
          <w:p w14:paraId="1E616F2D" w14:textId="77777777" w:rsidR="00357CEC" w:rsidRPr="001300A9" w:rsidRDefault="00357CEC" w:rsidP="00357CEC">
            <w:pPr>
              <w:pStyle w:val="Default"/>
              <w:rPr>
                <w:sz w:val="22"/>
                <w:szCs w:val="22"/>
              </w:rPr>
            </w:pPr>
          </w:p>
        </w:tc>
        <w:tc>
          <w:tcPr>
            <w:tcW w:w="4253" w:type="dxa"/>
          </w:tcPr>
          <w:p w14:paraId="1AF2CF17" w14:textId="77777777" w:rsidR="00357CEC" w:rsidRPr="001300A9" w:rsidRDefault="00357CEC" w:rsidP="00357CEC">
            <w:pPr>
              <w:pStyle w:val="Default"/>
              <w:rPr>
                <w:sz w:val="22"/>
                <w:szCs w:val="22"/>
              </w:rPr>
            </w:pPr>
          </w:p>
        </w:tc>
        <w:tc>
          <w:tcPr>
            <w:tcW w:w="567" w:type="dxa"/>
          </w:tcPr>
          <w:p w14:paraId="6FFF729B" w14:textId="77777777" w:rsidR="00357CEC" w:rsidRPr="001300A9" w:rsidRDefault="00357CEC" w:rsidP="00357CEC">
            <w:pPr>
              <w:pStyle w:val="Default"/>
              <w:rPr>
                <w:sz w:val="22"/>
                <w:szCs w:val="22"/>
              </w:rPr>
            </w:pPr>
          </w:p>
        </w:tc>
        <w:tc>
          <w:tcPr>
            <w:tcW w:w="1276" w:type="dxa"/>
          </w:tcPr>
          <w:p w14:paraId="35DC8890" w14:textId="77777777" w:rsidR="00357CEC" w:rsidRPr="001300A9" w:rsidRDefault="00357CEC" w:rsidP="00357CEC">
            <w:pPr>
              <w:pStyle w:val="Default"/>
              <w:rPr>
                <w:sz w:val="22"/>
                <w:szCs w:val="22"/>
              </w:rPr>
            </w:pPr>
          </w:p>
        </w:tc>
        <w:tc>
          <w:tcPr>
            <w:tcW w:w="850" w:type="dxa"/>
          </w:tcPr>
          <w:p w14:paraId="686FD7A6" w14:textId="77777777" w:rsidR="00357CEC" w:rsidRPr="001300A9" w:rsidRDefault="00357CEC" w:rsidP="00357CEC">
            <w:pPr>
              <w:pStyle w:val="Default"/>
              <w:rPr>
                <w:sz w:val="22"/>
                <w:szCs w:val="22"/>
              </w:rPr>
            </w:pPr>
          </w:p>
        </w:tc>
        <w:tc>
          <w:tcPr>
            <w:tcW w:w="815" w:type="dxa"/>
          </w:tcPr>
          <w:p w14:paraId="25B0E541" w14:textId="77777777" w:rsidR="00357CEC" w:rsidRPr="001300A9" w:rsidRDefault="00357CEC" w:rsidP="00357CEC">
            <w:pPr>
              <w:pStyle w:val="Default"/>
              <w:rPr>
                <w:sz w:val="22"/>
                <w:szCs w:val="22"/>
              </w:rPr>
            </w:pPr>
          </w:p>
        </w:tc>
      </w:tr>
      <w:tr w:rsidR="00DD6EDC" w:rsidRPr="001300A9" w14:paraId="24DCDE4D" w14:textId="77777777" w:rsidTr="360410BC">
        <w:tc>
          <w:tcPr>
            <w:tcW w:w="562" w:type="dxa"/>
          </w:tcPr>
          <w:p w14:paraId="57C6266B" w14:textId="77777777" w:rsidR="00357CEC" w:rsidRPr="001300A9" w:rsidRDefault="00357CEC" w:rsidP="00357CEC">
            <w:pPr>
              <w:pStyle w:val="Default"/>
              <w:rPr>
                <w:sz w:val="22"/>
                <w:szCs w:val="22"/>
              </w:rPr>
            </w:pPr>
            <w:r w:rsidRPr="001300A9">
              <w:rPr>
                <w:sz w:val="22"/>
                <w:szCs w:val="22"/>
              </w:rPr>
              <w:t>Č: 2</w:t>
            </w:r>
          </w:p>
          <w:p w14:paraId="67BCA8EA" w14:textId="77777777" w:rsidR="00357CEC" w:rsidRPr="001300A9" w:rsidRDefault="00357CEC" w:rsidP="00357CEC">
            <w:pPr>
              <w:pStyle w:val="Default"/>
              <w:rPr>
                <w:sz w:val="22"/>
                <w:szCs w:val="22"/>
              </w:rPr>
            </w:pPr>
            <w:r w:rsidRPr="001300A9">
              <w:rPr>
                <w:sz w:val="22"/>
                <w:szCs w:val="22"/>
              </w:rPr>
              <w:t>O: 1</w:t>
            </w:r>
          </w:p>
          <w:p w14:paraId="4BA9153D" w14:textId="77777777" w:rsidR="00357CEC" w:rsidRPr="001300A9" w:rsidRDefault="00357CEC" w:rsidP="00357CEC">
            <w:pPr>
              <w:pStyle w:val="Default"/>
              <w:rPr>
                <w:sz w:val="22"/>
                <w:szCs w:val="22"/>
              </w:rPr>
            </w:pPr>
            <w:r w:rsidRPr="001300A9">
              <w:rPr>
                <w:sz w:val="22"/>
                <w:szCs w:val="22"/>
              </w:rPr>
              <w:t>P: c)</w:t>
            </w:r>
          </w:p>
        </w:tc>
        <w:tc>
          <w:tcPr>
            <w:tcW w:w="4820" w:type="dxa"/>
          </w:tcPr>
          <w:p w14:paraId="30A0A525" w14:textId="77777777" w:rsidR="00357CEC" w:rsidRPr="001300A9" w:rsidRDefault="00357CEC" w:rsidP="00357CEC">
            <w:pPr>
              <w:pStyle w:val="Default"/>
              <w:rPr>
                <w:sz w:val="22"/>
                <w:szCs w:val="22"/>
              </w:rPr>
            </w:pPr>
            <w:r w:rsidRPr="001300A9">
              <w:rPr>
                <w:sz w:val="22"/>
                <w:szCs w:val="22"/>
              </w:rPr>
              <w:t xml:space="preserve">5. Ak v ktoromkoľvek danom roku celkové množstvo kvót v obehu predstavuje 833 až 1 096 miliónov kvót, od objemu kvót, s ktorými majú obchodovať členské štáty formou aukcie podľa článku 10 ods. 2 smernice 2003/87/ES, sa odpočíta množstvo kvót, ktoré sa rovná rozdielu medzi celkovým množstvom kvót v obehu stanoveným v najnovšom zverejnení podľa odseku 4 tohto článku a množstvom predstavujúcim 833 miliónov kvót, pričom sa toto množstvo umiestni do rezervy na obdobie 12 mesiacov, ktoré sa začína 1. septembra daného roka. Ak je celkové množstvo kvót v obehu vyššie ako 1 096 miliónov kvót, množstvo kvót, ktoré sa má odpočítať od objemu kvót, s ktorými majú členské štáty obchodovať formou aukcie podľa článku 10 ods. 2 smernice 2003/87/ES a ktoré sa má umiestniť do rezervy na obdobie 12 mesiacov, ktoré sa začína 1. septembra daného roka, sa rovná 12 % celkového množstva kvót v obehu. Odchylne od druhej vety tohto </w:t>
            </w:r>
            <w:proofErr w:type="spellStart"/>
            <w:r w:rsidRPr="001300A9">
              <w:rPr>
                <w:sz w:val="22"/>
                <w:szCs w:val="22"/>
              </w:rPr>
              <w:t>pododseku</w:t>
            </w:r>
            <w:proofErr w:type="spellEnd"/>
            <w:r w:rsidRPr="001300A9">
              <w:rPr>
                <w:sz w:val="22"/>
                <w:szCs w:val="22"/>
              </w:rPr>
              <w:t xml:space="preserve"> sa daný percentuálny podiel uvedený v danej vete do 31. decembra 2030 zdvojnásobí.</w:t>
            </w:r>
          </w:p>
          <w:p w14:paraId="1DEC4A12" w14:textId="77777777" w:rsidR="00357CEC" w:rsidRPr="001300A9" w:rsidRDefault="00357CEC" w:rsidP="00357CEC">
            <w:pPr>
              <w:pStyle w:val="Default"/>
              <w:rPr>
                <w:sz w:val="22"/>
                <w:szCs w:val="22"/>
              </w:rPr>
            </w:pPr>
          </w:p>
          <w:p w14:paraId="0CE24EE9" w14:textId="77777777" w:rsidR="00357CEC" w:rsidRPr="001300A9" w:rsidRDefault="00357CEC" w:rsidP="00357CEC">
            <w:pPr>
              <w:pStyle w:val="Default"/>
              <w:rPr>
                <w:sz w:val="22"/>
                <w:szCs w:val="22"/>
              </w:rPr>
            </w:pPr>
            <w:r w:rsidRPr="001300A9">
              <w:rPr>
                <w:sz w:val="22"/>
                <w:szCs w:val="22"/>
              </w:rPr>
              <w:t xml:space="preserve">Bez toho, aby bolo dotknuté celkové množstvo kvót, ktoré sa má odpočítať podľa tohto odseku, pri určovaní podielov členských štátov na tomto celkovom množstve sa kvóty uvedené v článku 10 ods. 2 prvom </w:t>
            </w:r>
            <w:proofErr w:type="spellStart"/>
            <w:r w:rsidRPr="001300A9">
              <w:rPr>
                <w:sz w:val="22"/>
                <w:szCs w:val="22"/>
              </w:rPr>
              <w:t>pododseku</w:t>
            </w:r>
            <w:proofErr w:type="spellEnd"/>
            <w:r w:rsidRPr="001300A9">
              <w:rPr>
                <w:sz w:val="22"/>
                <w:szCs w:val="22"/>
              </w:rPr>
              <w:t xml:space="preserve"> písm. b) smernice 2003/87/ES do 31. decembra 2030 nezohľadňujú.</w:t>
            </w:r>
          </w:p>
          <w:p w14:paraId="60FA073A" w14:textId="77777777" w:rsidR="00357CEC" w:rsidRPr="001300A9" w:rsidRDefault="00357CEC" w:rsidP="00357CEC">
            <w:pPr>
              <w:pStyle w:val="Default"/>
              <w:rPr>
                <w:sz w:val="22"/>
                <w:szCs w:val="22"/>
              </w:rPr>
            </w:pPr>
          </w:p>
          <w:p w14:paraId="72F419F4" w14:textId="77777777" w:rsidR="00357CEC" w:rsidRPr="001300A9" w:rsidRDefault="00357CEC" w:rsidP="00357CEC">
            <w:pPr>
              <w:pStyle w:val="Default"/>
              <w:rPr>
                <w:sz w:val="22"/>
                <w:szCs w:val="22"/>
              </w:rPr>
            </w:pPr>
            <w:r w:rsidRPr="001300A9">
              <w:rPr>
                <w:sz w:val="22"/>
                <w:szCs w:val="22"/>
              </w:rPr>
              <w:t>5a. Pokiaľ sa nerozhodne inak v rámci prvého preskúmania vykonaného v súlade s článkom 3, kvóty držané v rezerve, ktoré presahujú 400 miliónov kvót, už od roku 2023 nebudú platné.</w:t>
            </w:r>
          </w:p>
        </w:tc>
        <w:tc>
          <w:tcPr>
            <w:tcW w:w="567" w:type="dxa"/>
          </w:tcPr>
          <w:p w14:paraId="19949656" w14:textId="77777777" w:rsidR="00357CEC" w:rsidRPr="001300A9" w:rsidRDefault="00357CEC" w:rsidP="00357CEC">
            <w:pPr>
              <w:pStyle w:val="Default"/>
              <w:rPr>
                <w:sz w:val="22"/>
                <w:szCs w:val="22"/>
              </w:rPr>
            </w:pPr>
            <w:proofErr w:type="spellStart"/>
            <w:r w:rsidRPr="001300A9">
              <w:rPr>
                <w:sz w:val="22"/>
                <w:szCs w:val="22"/>
              </w:rPr>
              <w:t>n.a</w:t>
            </w:r>
            <w:proofErr w:type="spellEnd"/>
            <w:r w:rsidRPr="001300A9">
              <w:rPr>
                <w:sz w:val="22"/>
                <w:szCs w:val="22"/>
              </w:rPr>
              <w:t>.</w:t>
            </w:r>
          </w:p>
        </w:tc>
        <w:tc>
          <w:tcPr>
            <w:tcW w:w="283" w:type="dxa"/>
          </w:tcPr>
          <w:p w14:paraId="74581BE8" w14:textId="77777777" w:rsidR="00357CEC" w:rsidRPr="001300A9" w:rsidRDefault="00357CEC" w:rsidP="00357CEC">
            <w:pPr>
              <w:pStyle w:val="Default"/>
              <w:rPr>
                <w:sz w:val="22"/>
                <w:szCs w:val="22"/>
              </w:rPr>
            </w:pPr>
          </w:p>
        </w:tc>
        <w:tc>
          <w:tcPr>
            <w:tcW w:w="567" w:type="dxa"/>
          </w:tcPr>
          <w:p w14:paraId="73339C19" w14:textId="77777777" w:rsidR="00357CEC" w:rsidRPr="001300A9" w:rsidRDefault="00357CEC" w:rsidP="00357CEC">
            <w:pPr>
              <w:pStyle w:val="Default"/>
              <w:rPr>
                <w:sz w:val="22"/>
                <w:szCs w:val="22"/>
              </w:rPr>
            </w:pPr>
          </w:p>
        </w:tc>
        <w:tc>
          <w:tcPr>
            <w:tcW w:w="4253" w:type="dxa"/>
          </w:tcPr>
          <w:p w14:paraId="1DF85F00" w14:textId="77777777" w:rsidR="00357CEC" w:rsidRPr="001300A9" w:rsidRDefault="00357CEC" w:rsidP="00357CEC">
            <w:pPr>
              <w:pStyle w:val="Default"/>
              <w:rPr>
                <w:sz w:val="22"/>
                <w:szCs w:val="22"/>
              </w:rPr>
            </w:pPr>
          </w:p>
        </w:tc>
        <w:tc>
          <w:tcPr>
            <w:tcW w:w="567" w:type="dxa"/>
          </w:tcPr>
          <w:p w14:paraId="5C613679" w14:textId="77777777" w:rsidR="00357CEC" w:rsidRPr="001300A9" w:rsidRDefault="00357CEC" w:rsidP="00357CEC">
            <w:pPr>
              <w:pStyle w:val="Default"/>
              <w:rPr>
                <w:sz w:val="22"/>
                <w:szCs w:val="22"/>
              </w:rPr>
            </w:pPr>
          </w:p>
        </w:tc>
        <w:tc>
          <w:tcPr>
            <w:tcW w:w="1276" w:type="dxa"/>
          </w:tcPr>
          <w:p w14:paraId="1873B7FF" w14:textId="77777777" w:rsidR="00357CEC" w:rsidRPr="001300A9" w:rsidRDefault="00357CEC" w:rsidP="00357CEC">
            <w:pPr>
              <w:pStyle w:val="Default"/>
              <w:rPr>
                <w:sz w:val="22"/>
                <w:szCs w:val="22"/>
              </w:rPr>
            </w:pPr>
          </w:p>
        </w:tc>
        <w:tc>
          <w:tcPr>
            <w:tcW w:w="850" w:type="dxa"/>
          </w:tcPr>
          <w:p w14:paraId="2A6664AA" w14:textId="77777777" w:rsidR="00357CEC" w:rsidRPr="001300A9" w:rsidRDefault="00357CEC" w:rsidP="00357CEC">
            <w:pPr>
              <w:pStyle w:val="Default"/>
              <w:rPr>
                <w:sz w:val="22"/>
                <w:szCs w:val="22"/>
              </w:rPr>
            </w:pPr>
          </w:p>
        </w:tc>
        <w:tc>
          <w:tcPr>
            <w:tcW w:w="815" w:type="dxa"/>
          </w:tcPr>
          <w:p w14:paraId="35309BFC" w14:textId="77777777" w:rsidR="00357CEC" w:rsidRPr="001300A9" w:rsidRDefault="00357CEC" w:rsidP="00357CEC">
            <w:pPr>
              <w:pStyle w:val="Default"/>
              <w:rPr>
                <w:sz w:val="22"/>
                <w:szCs w:val="22"/>
              </w:rPr>
            </w:pPr>
          </w:p>
        </w:tc>
      </w:tr>
      <w:tr w:rsidR="00DD6EDC" w:rsidRPr="001300A9" w14:paraId="62BD203D" w14:textId="77777777" w:rsidTr="360410BC">
        <w:tc>
          <w:tcPr>
            <w:tcW w:w="562" w:type="dxa"/>
          </w:tcPr>
          <w:p w14:paraId="4848FBF3" w14:textId="77777777" w:rsidR="00357CEC" w:rsidRPr="001300A9" w:rsidRDefault="00357CEC" w:rsidP="00357CEC">
            <w:pPr>
              <w:pStyle w:val="Default"/>
              <w:rPr>
                <w:sz w:val="22"/>
                <w:szCs w:val="22"/>
              </w:rPr>
            </w:pPr>
            <w:r w:rsidRPr="001300A9">
              <w:rPr>
                <w:sz w:val="22"/>
                <w:szCs w:val="22"/>
              </w:rPr>
              <w:t>Č: 2</w:t>
            </w:r>
          </w:p>
          <w:p w14:paraId="32F67A29" w14:textId="77777777" w:rsidR="00357CEC" w:rsidRPr="001300A9" w:rsidRDefault="00357CEC" w:rsidP="00357CEC">
            <w:pPr>
              <w:pStyle w:val="Default"/>
              <w:rPr>
                <w:sz w:val="22"/>
                <w:szCs w:val="22"/>
              </w:rPr>
            </w:pPr>
            <w:r w:rsidRPr="001300A9">
              <w:rPr>
                <w:sz w:val="22"/>
                <w:szCs w:val="22"/>
              </w:rPr>
              <w:t>O: 1</w:t>
            </w:r>
          </w:p>
          <w:p w14:paraId="34B94B6A" w14:textId="77777777" w:rsidR="00357CEC" w:rsidRPr="001300A9" w:rsidRDefault="00357CEC" w:rsidP="00357CEC">
            <w:pPr>
              <w:pStyle w:val="Default"/>
              <w:rPr>
                <w:sz w:val="22"/>
                <w:szCs w:val="22"/>
              </w:rPr>
            </w:pPr>
            <w:r w:rsidRPr="001300A9">
              <w:rPr>
                <w:sz w:val="22"/>
                <w:szCs w:val="22"/>
              </w:rPr>
              <w:t>P: d)</w:t>
            </w:r>
          </w:p>
        </w:tc>
        <w:tc>
          <w:tcPr>
            <w:tcW w:w="4820" w:type="dxa"/>
          </w:tcPr>
          <w:p w14:paraId="438EF727" w14:textId="77777777" w:rsidR="00357CEC" w:rsidRPr="001300A9" w:rsidRDefault="00357CEC" w:rsidP="00357CEC">
            <w:pPr>
              <w:pStyle w:val="Default"/>
              <w:rPr>
                <w:sz w:val="22"/>
                <w:szCs w:val="22"/>
              </w:rPr>
            </w:pPr>
            <w:r w:rsidRPr="001300A9">
              <w:rPr>
                <w:sz w:val="22"/>
                <w:szCs w:val="22"/>
              </w:rPr>
              <w:t xml:space="preserve">7. Ak sa v ktoromkoľvek danom roku neuplatňuje odsek 6 tohto článku a bola splnená podmienka uvedená v článku 29a ods. 1 smernice 2003/87/ES, z rezervy sa uvoľní 75 miliónov kvót a pripočítajú sa k objemu kvót, s ktorými majú členské štáty obchodovať formou aukcie podľa článku 10 ods. 2 uvedenej smernice. V prípade, že sa v rezerve nachádza menej ako 75 miliónov kvót, všetky kvóty držané v rezerve sa z nej uvoľnia podľa tohto odseku. Ak je splnená podmienka uvedená v článku 29a ods. 1 uvedenej smernice, objemy, ktoré sa majú uvoľniť z rezervy v súlade s uvedeným článkom, sa rovnomerne rozdelia počas obdobia troch mesiacov so začiatkom najneskôr dva mesiace od dátumu, keď bola splnená podmienka uvedená v článku 29a ods. 1 uvedenej smernice, ktorý oznámila Komisia v súlade so štvrtým </w:t>
            </w:r>
            <w:proofErr w:type="spellStart"/>
            <w:r w:rsidRPr="001300A9">
              <w:rPr>
                <w:sz w:val="22"/>
                <w:szCs w:val="22"/>
              </w:rPr>
              <w:t>pododsekom</w:t>
            </w:r>
            <w:proofErr w:type="spellEnd"/>
            <w:r w:rsidRPr="001300A9">
              <w:rPr>
                <w:sz w:val="22"/>
                <w:szCs w:val="22"/>
              </w:rPr>
              <w:t xml:space="preserve"> uvedeného odseku.</w:t>
            </w:r>
          </w:p>
        </w:tc>
        <w:tc>
          <w:tcPr>
            <w:tcW w:w="567" w:type="dxa"/>
          </w:tcPr>
          <w:p w14:paraId="5EAC5E3F" w14:textId="77777777" w:rsidR="00357CEC" w:rsidRPr="001300A9" w:rsidRDefault="00357CEC" w:rsidP="00357CEC">
            <w:pPr>
              <w:pStyle w:val="Default"/>
              <w:rPr>
                <w:sz w:val="22"/>
                <w:szCs w:val="22"/>
              </w:rPr>
            </w:pPr>
            <w:proofErr w:type="spellStart"/>
            <w:r w:rsidRPr="001300A9">
              <w:rPr>
                <w:sz w:val="22"/>
                <w:szCs w:val="22"/>
              </w:rPr>
              <w:t>n.a</w:t>
            </w:r>
            <w:proofErr w:type="spellEnd"/>
            <w:r w:rsidRPr="001300A9">
              <w:rPr>
                <w:sz w:val="22"/>
                <w:szCs w:val="22"/>
              </w:rPr>
              <w:t>.</w:t>
            </w:r>
          </w:p>
        </w:tc>
        <w:tc>
          <w:tcPr>
            <w:tcW w:w="283" w:type="dxa"/>
          </w:tcPr>
          <w:p w14:paraId="15A870E1" w14:textId="77777777" w:rsidR="00357CEC" w:rsidRPr="001300A9" w:rsidRDefault="00357CEC" w:rsidP="00357CEC">
            <w:pPr>
              <w:pStyle w:val="Default"/>
              <w:rPr>
                <w:sz w:val="22"/>
                <w:szCs w:val="22"/>
              </w:rPr>
            </w:pPr>
          </w:p>
        </w:tc>
        <w:tc>
          <w:tcPr>
            <w:tcW w:w="567" w:type="dxa"/>
          </w:tcPr>
          <w:p w14:paraId="79FF20FB" w14:textId="77777777" w:rsidR="00357CEC" w:rsidRPr="001300A9" w:rsidRDefault="00357CEC" w:rsidP="00357CEC">
            <w:pPr>
              <w:pStyle w:val="Default"/>
              <w:rPr>
                <w:sz w:val="22"/>
                <w:szCs w:val="22"/>
              </w:rPr>
            </w:pPr>
          </w:p>
        </w:tc>
        <w:tc>
          <w:tcPr>
            <w:tcW w:w="4253" w:type="dxa"/>
          </w:tcPr>
          <w:p w14:paraId="4BA134B2" w14:textId="77777777" w:rsidR="00357CEC" w:rsidRPr="001300A9" w:rsidRDefault="00357CEC" w:rsidP="00357CEC">
            <w:pPr>
              <w:pStyle w:val="Default"/>
              <w:rPr>
                <w:sz w:val="22"/>
                <w:szCs w:val="22"/>
              </w:rPr>
            </w:pPr>
          </w:p>
        </w:tc>
        <w:tc>
          <w:tcPr>
            <w:tcW w:w="567" w:type="dxa"/>
          </w:tcPr>
          <w:p w14:paraId="026F5FB8" w14:textId="77777777" w:rsidR="00357CEC" w:rsidRPr="001300A9" w:rsidRDefault="00357CEC" w:rsidP="00357CEC">
            <w:pPr>
              <w:pStyle w:val="Default"/>
              <w:rPr>
                <w:sz w:val="22"/>
                <w:szCs w:val="22"/>
              </w:rPr>
            </w:pPr>
          </w:p>
        </w:tc>
        <w:tc>
          <w:tcPr>
            <w:tcW w:w="1276" w:type="dxa"/>
          </w:tcPr>
          <w:p w14:paraId="05B7BB29" w14:textId="77777777" w:rsidR="00357CEC" w:rsidRPr="001300A9" w:rsidRDefault="00357CEC" w:rsidP="00357CEC">
            <w:pPr>
              <w:pStyle w:val="Default"/>
              <w:rPr>
                <w:sz w:val="22"/>
                <w:szCs w:val="22"/>
              </w:rPr>
            </w:pPr>
          </w:p>
        </w:tc>
        <w:tc>
          <w:tcPr>
            <w:tcW w:w="850" w:type="dxa"/>
          </w:tcPr>
          <w:p w14:paraId="7493D8E7" w14:textId="77777777" w:rsidR="00357CEC" w:rsidRPr="001300A9" w:rsidRDefault="00357CEC" w:rsidP="00357CEC">
            <w:pPr>
              <w:pStyle w:val="Default"/>
              <w:rPr>
                <w:sz w:val="22"/>
                <w:szCs w:val="22"/>
              </w:rPr>
            </w:pPr>
          </w:p>
        </w:tc>
        <w:tc>
          <w:tcPr>
            <w:tcW w:w="815" w:type="dxa"/>
          </w:tcPr>
          <w:p w14:paraId="66F511EA" w14:textId="77777777" w:rsidR="00357CEC" w:rsidRPr="001300A9" w:rsidRDefault="00357CEC" w:rsidP="00357CEC">
            <w:pPr>
              <w:pStyle w:val="Default"/>
              <w:rPr>
                <w:sz w:val="22"/>
                <w:szCs w:val="22"/>
              </w:rPr>
            </w:pPr>
          </w:p>
        </w:tc>
      </w:tr>
      <w:tr w:rsidR="00DD6EDC" w:rsidRPr="001300A9" w14:paraId="1B40EFE3" w14:textId="77777777" w:rsidTr="360410BC">
        <w:tc>
          <w:tcPr>
            <w:tcW w:w="562" w:type="dxa"/>
          </w:tcPr>
          <w:p w14:paraId="0C8AA306" w14:textId="77777777" w:rsidR="00357CEC" w:rsidRPr="001300A9" w:rsidRDefault="00357CEC" w:rsidP="00357CEC">
            <w:pPr>
              <w:pStyle w:val="Default"/>
              <w:rPr>
                <w:sz w:val="22"/>
                <w:szCs w:val="22"/>
              </w:rPr>
            </w:pPr>
            <w:r w:rsidRPr="001300A9">
              <w:rPr>
                <w:sz w:val="22"/>
                <w:szCs w:val="22"/>
              </w:rPr>
              <w:t>Č: 2</w:t>
            </w:r>
          </w:p>
          <w:p w14:paraId="3D9CCF02" w14:textId="77777777" w:rsidR="00357CEC" w:rsidRPr="001300A9" w:rsidRDefault="00357CEC" w:rsidP="00357CEC">
            <w:pPr>
              <w:pStyle w:val="Default"/>
              <w:rPr>
                <w:sz w:val="22"/>
                <w:szCs w:val="22"/>
              </w:rPr>
            </w:pPr>
            <w:r w:rsidRPr="001300A9">
              <w:rPr>
                <w:sz w:val="22"/>
                <w:szCs w:val="22"/>
              </w:rPr>
              <w:t>O: 2</w:t>
            </w:r>
          </w:p>
        </w:tc>
        <w:tc>
          <w:tcPr>
            <w:tcW w:w="4820" w:type="dxa"/>
          </w:tcPr>
          <w:p w14:paraId="43BE518C" w14:textId="77777777" w:rsidR="00357CEC" w:rsidRPr="001300A9" w:rsidRDefault="00357CEC" w:rsidP="00357CEC">
            <w:pPr>
              <w:pStyle w:val="Default"/>
              <w:rPr>
                <w:i/>
                <w:sz w:val="22"/>
                <w:szCs w:val="22"/>
              </w:rPr>
            </w:pPr>
            <w:r w:rsidRPr="001300A9">
              <w:rPr>
                <w:i/>
                <w:sz w:val="22"/>
                <w:szCs w:val="22"/>
              </w:rPr>
              <w:t>Článok 1a</w:t>
            </w:r>
          </w:p>
          <w:p w14:paraId="774B4F2F" w14:textId="77777777" w:rsidR="00357CEC" w:rsidRPr="001300A9" w:rsidRDefault="00357CEC" w:rsidP="00357CEC">
            <w:pPr>
              <w:pStyle w:val="Default"/>
              <w:rPr>
                <w:i/>
                <w:sz w:val="22"/>
                <w:szCs w:val="22"/>
              </w:rPr>
            </w:pPr>
            <w:r w:rsidRPr="001300A9">
              <w:rPr>
                <w:i/>
                <w:sz w:val="22"/>
                <w:szCs w:val="22"/>
              </w:rPr>
              <w:t>Fungovanie trhovej stabilizačnej rezervy v prípade odvetvia budov, odvetvia cestnej dopravy a ďalších odvetví</w:t>
            </w:r>
          </w:p>
          <w:p w14:paraId="1F29AA6C" w14:textId="77777777" w:rsidR="00357CEC" w:rsidRPr="001300A9" w:rsidRDefault="00357CEC" w:rsidP="00357CEC">
            <w:pPr>
              <w:pStyle w:val="Default"/>
              <w:rPr>
                <w:sz w:val="22"/>
                <w:szCs w:val="22"/>
              </w:rPr>
            </w:pPr>
            <w:r w:rsidRPr="001300A9">
              <w:rPr>
                <w:sz w:val="22"/>
                <w:szCs w:val="22"/>
              </w:rPr>
              <w:t xml:space="preserve">1. Kvóty, na ktoré sa vzťahuje kapitola </w:t>
            </w:r>
            <w:proofErr w:type="spellStart"/>
            <w:r w:rsidRPr="001300A9">
              <w:rPr>
                <w:sz w:val="22"/>
                <w:szCs w:val="22"/>
              </w:rPr>
              <w:t>IVa</w:t>
            </w:r>
            <w:proofErr w:type="spellEnd"/>
            <w:r w:rsidRPr="001300A9">
              <w:rPr>
                <w:sz w:val="22"/>
                <w:szCs w:val="22"/>
              </w:rPr>
              <w:t xml:space="preserve"> smernice 2003/87/ES, sa umiestňujú do samostatnej časti rezervy zriadenej podľa článku 1 tohto rozhodnutia a uvoľňujú sa z nej, v súlade s pravidlami stanovenými v tomto článku.</w:t>
            </w:r>
          </w:p>
          <w:p w14:paraId="1C7BBDE3" w14:textId="77777777" w:rsidR="00357CEC" w:rsidRPr="001300A9" w:rsidRDefault="00357CEC" w:rsidP="00357CEC">
            <w:pPr>
              <w:pStyle w:val="Default"/>
              <w:rPr>
                <w:sz w:val="22"/>
                <w:szCs w:val="22"/>
              </w:rPr>
            </w:pPr>
          </w:p>
          <w:p w14:paraId="52308056" w14:textId="77777777" w:rsidR="00357CEC" w:rsidRPr="001300A9" w:rsidRDefault="00357CEC" w:rsidP="00357CEC">
            <w:pPr>
              <w:pStyle w:val="Default"/>
              <w:rPr>
                <w:sz w:val="22"/>
                <w:szCs w:val="22"/>
              </w:rPr>
            </w:pPr>
            <w:r w:rsidRPr="001300A9">
              <w:rPr>
                <w:sz w:val="22"/>
                <w:szCs w:val="22"/>
              </w:rPr>
              <w:t xml:space="preserve">2. Umiestňovanie kvót do rezervy podľa tohto článku sa realizuje od 1. septembra 2028. Kvóty, na ktoré sa vzťahuje kapitola </w:t>
            </w:r>
            <w:proofErr w:type="spellStart"/>
            <w:r w:rsidRPr="001300A9">
              <w:rPr>
                <w:sz w:val="22"/>
                <w:szCs w:val="22"/>
              </w:rPr>
              <w:t>IVa</w:t>
            </w:r>
            <w:proofErr w:type="spellEnd"/>
            <w:r w:rsidRPr="001300A9">
              <w:rPr>
                <w:sz w:val="22"/>
                <w:szCs w:val="22"/>
              </w:rPr>
              <w:t xml:space="preserve"> smernice 2003/87/ES, sa umiestňujú do rezervy, držia sa v nej a uvoľňujú sa z nej oddelene od kvót, na ktoré sa vzťahuje článok 1 tohto rozhodnutia.</w:t>
            </w:r>
          </w:p>
          <w:p w14:paraId="29B83909" w14:textId="77777777" w:rsidR="00357CEC" w:rsidRPr="001300A9" w:rsidRDefault="00357CEC" w:rsidP="00357CEC">
            <w:pPr>
              <w:pStyle w:val="Default"/>
              <w:rPr>
                <w:sz w:val="22"/>
                <w:szCs w:val="22"/>
              </w:rPr>
            </w:pPr>
          </w:p>
          <w:p w14:paraId="1B70E749" w14:textId="77777777" w:rsidR="00357CEC" w:rsidRPr="001300A9" w:rsidRDefault="00357CEC" w:rsidP="00357CEC">
            <w:pPr>
              <w:pStyle w:val="Default"/>
              <w:rPr>
                <w:sz w:val="22"/>
                <w:szCs w:val="22"/>
              </w:rPr>
            </w:pPr>
            <w:r w:rsidRPr="001300A9">
              <w:rPr>
                <w:sz w:val="22"/>
                <w:szCs w:val="22"/>
              </w:rPr>
              <w:t xml:space="preserve">3. V roku 2027 sa v súlade s článkom 30d ods. 2 druhým </w:t>
            </w:r>
            <w:proofErr w:type="spellStart"/>
            <w:r w:rsidRPr="001300A9">
              <w:rPr>
                <w:sz w:val="22"/>
                <w:szCs w:val="22"/>
              </w:rPr>
              <w:t>pododsekom</w:t>
            </w:r>
            <w:proofErr w:type="spellEnd"/>
            <w:r w:rsidRPr="001300A9">
              <w:rPr>
                <w:sz w:val="22"/>
                <w:szCs w:val="22"/>
              </w:rPr>
              <w:t xml:space="preserve"> smernice 2003/87/ES vytvorí časť rezervy uvedená v odseku 1 tohto článku. Od 1. januára 2031 už kvóty uvedené v uvedenom </w:t>
            </w:r>
            <w:proofErr w:type="spellStart"/>
            <w:r w:rsidRPr="001300A9">
              <w:rPr>
                <w:sz w:val="22"/>
                <w:szCs w:val="22"/>
              </w:rPr>
              <w:t>pododseku</w:t>
            </w:r>
            <w:proofErr w:type="spellEnd"/>
            <w:r w:rsidRPr="001300A9">
              <w:rPr>
                <w:sz w:val="22"/>
                <w:szCs w:val="22"/>
              </w:rPr>
              <w:t>, ktoré sa neuvoľnia z rezervy, nebudú platné.</w:t>
            </w:r>
          </w:p>
          <w:p w14:paraId="5565AD44" w14:textId="77777777" w:rsidR="00357CEC" w:rsidRPr="001300A9" w:rsidRDefault="00357CEC" w:rsidP="00357CEC">
            <w:pPr>
              <w:pStyle w:val="Default"/>
              <w:rPr>
                <w:sz w:val="22"/>
                <w:szCs w:val="22"/>
              </w:rPr>
            </w:pPr>
          </w:p>
          <w:p w14:paraId="38B4EA10" w14:textId="77777777" w:rsidR="00357CEC" w:rsidRPr="001300A9" w:rsidRDefault="00357CEC" w:rsidP="00357CEC">
            <w:pPr>
              <w:pStyle w:val="Default"/>
              <w:rPr>
                <w:sz w:val="22"/>
                <w:szCs w:val="22"/>
              </w:rPr>
            </w:pPr>
            <w:r w:rsidRPr="001300A9">
              <w:rPr>
                <w:sz w:val="22"/>
                <w:szCs w:val="22"/>
              </w:rPr>
              <w:t xml:space="preserve">4. Komisia zverejní celkové množstvo kvót v obehu, na ktoré sa vzťahuje kapitola </w:t>
            </w:r>
            <w:proofErr w:type="spellStart"/>
            <w:r w:rsidRPr="001300A9">
              <w:rPr>
                <w:sz w:val="22"/>
                <w:szCs w:val="22"/>
              </w:rPr>
              <w:t>IVa</w:t>
            </w:r>
            <w:proofErr w:type="spellEnd"/>
            <w:r w:rsidRPr="001300A9">
              <w:rPr>
                <w:sz w:val="22"/>
                <w:szCs w:val="22"/>
              </w:rPr>
              <w:t xml:space="preserve"> smernice 2003/87/ES, a to každoročne do 1. júna nasledujúceho roka, oddelene od množstva kvót v obehu podľa článku 1 ods. 4 tohto rozhodnutia. Celkové množstvo kvót v obehu podľa tohto článku v danom roku je kumulatívne množstvo kvót, na ktoré sa vzťahuje uvedená kapitola, vydaných v období od 1. januára 2027 po odpočítaní kumulatívnych ton overených emisií, na ktoré sa vzťahuje uvedená kapitola, za obdobie od 1. januára 2027 do 31. decembra toho istého daného roka, a všetkých kvót, na ktoré sa vzťahuje uvedená kapitola, zrušených v súlade s článkom 12 ods. 4 smernice 2003/87/ES. Prvé zverejnenie sa uskutoční do 1. júna 2028.</w:t>
            </w:r>
          </w:p>
          <w:p w14:paraId="0F8431EB" w14:textId="77777777" w:rsidR="00357CEC" w:rsidRPr="001300A9" w:rsidRDefault="00357CEC" w:rsidP="00357CEC">
            <w:pPr>
              <w:pStyle w:val="Default"/>
              <w:rPr>
                <w:sz w:val="22"/>
                <w:szCs w:val="22"/>
              </w:rPr>
            </w:pPr>
          </w:p>
          <w:p w14:paraId="5D7BD07F" w14:textId="77777777" w:rsidR="00357CEC" w:rsidRPr="001300A9" w:rsidRDefault="00357CEC" w:rsidP="00357CEC">
            <w:pPr>
              <w:pStyle w:val="Default"/>
              <w:rPr>
                <w:sz w:val="22"/>
                <w:szCs w:val="22"/>
              </w:rPr>
            </w:pPr>
            <w:r w:rsidRPr="001300A9">
              <w:rPr>
                <w:sz w:val="22"/>
                <w:szCs w:val="22"/>
              </w:rPr>
              <w:t xml:space="preserve">5. Ak je v ktoromkoľvek danom roku celkové množstvo kvót v obehu stanovené v najnovšom zverejnení podľa odseku 4 tohto článku vyššie ako 440 miliónov kvót, od množstva kvót, na ktoré sa vzťahuje kapitola </w:t>
            </w:r>
            <w:proofErr w:type="spellStart"/>
            <w:r w:rsidRPr="001300A9">
              <w:rPr>
                <w:sz w:val="22"/>
                <w:szCs w:val="22"/>
              </w:rPr>
              <w:t>IVa</w:t>
            </w:r>
            <w:proofErr w:type="spellEnd"/>
            <w:r w:rsidRPr="001300A9">
              <w:rPr>
                <w:sz w:val="22"/>
                <w:szCs w:val="22"/>
              </w:rPr>
              <w:t xml:space="preserve"> smernice 2003/87/ES, s ktorými majú obchodovať členské štáty formou aukcie podľa článku 30d uvedenej smernice, sa odpočíta 100 miliónov kvót, a umiestnia sa do rezervy na obdobie 12 mesiacov, ktoré sa začína 1. septembra daného roka.</w:t>
            </w:r>
          </w:p>
          <w:p w14:paraId="71FA86F4" w14:textId="77777777" w:rsidR="00357CEC" w:rsidRPr="001300A9" w:rsidRDefault="00357CEC" w:rsidP="00357CEC">
            <w:pPr>
              <w:pStyle w:val="Default"/>
              <w:rPr>
                <w:sz w:val="22"/>
                <w:szCs w:val="22"/>
              </w:rPr>
            </w:pPr>
          </w:p>
          <w:p w14:paraId="33183148" w14:textId="77777777" w:rsidR="00357CEC" w:rsidRPr="001300A9" w:rsidRDefault="00357CEC" w:rsidP="00357CEC">
            <w:pPr>
              <w:pStyle w:val="Default"/>
              <w:rPr>
                <w:sz w:val="22"/>
                <w:szCs w:val="22"/>
              </w:rPr>
            </w:pPr>
            <w:r w:rsidRPr="001300A9">
              <w:rPr>
                <w:sz w:val="22"/>
                <w:szCs w:val="22"/>
              </w:rPr>
              <w:t xml:space="preserve">6. Ak je v ktoromkoľvek danom roku celkové množstvo kvót v obehu nižšie ako 210 miliónov, z rezervy sa uvoľní 100 miliónov kvót, na ktoré sa vzťahuje kapitola </w:t>
            </w:r>
            <w:proofErr w:type="spellStart"/>
            <w:r w:rsidRPr="001300A9">
              <w:rPr>
                <w:sz w:val="22"/>
                <w:szCs w:val="22"/>
              </w:rPr>
              <w:t>IVa</w:t>
            </w:r>
            <w:proofErr w:type="spellEnd"/>
            <w:r w:rsidRPr="001300A9">
              <w:rPr>
                <w:sz w:val="22"/>
                <w:szCs w:val="22"/>
              </w:rPr>
              <w:t xml:space="preserve"> smernice 2003/87/ES, a pripočítajú sa k množstvu kvót, na ktoré sa vzťahuje uvedená kapitola, s ktorými majú členské štáty obchodovať formou aukcie podľa článku 30d uvedenej smernice. V prípade, že sa v rezerve nachádza menej ako 100 miliónov kvót, všetky kvóty držané v rezerve sa z nej uvoľnia podľa tohto odseku.</w:t>
            </w:r>
          </w:p>
          <w:p w14:paraId="42276DB3" w14:textId="77777777" w:rsidR="00357CEC" w:rsidRPr="001300A9" w:rsidRDefault="00357CEC" w:rsidP="00357CEC">
            <w:pPr>
              <w:pStyle w:val="Default"/>
              <w:rPr>
                <w:sz w:val="22"/>
                <w:szCs w:val="22"/>
              </w:rPr>
            </w:pPr>
          </w:p>
          <w:p w14:paraId="7DA83DFF" w14:textId="77777777" w:rsidR="00357CEC" w:rsidRPr="001300A9" w:rsidRDefault="00357CEC" w:rsidP="00357CEC">
            <w:pPr>
              <w:pStyle w:val="Default"/>
              <w:rPr>
                <w:sz w:val="22"/>
                <w:szCs w:val="22"/>
              </w:rPr>
            </w:pPr>
            <w:r w:rsidRPr="001300A9">
              <w:rPr>
                <w:sz w:val="22"/>
                <w:szCs w:val="22"/>
              </w:rPr>
              <w:t xml:space="preserve">7. Množstvá, ktoré sa majú uvoľniť z rezervy v súlade s článkom 30h smernice 2003/87/ES, sa pripočítajú k množstvu kvót, na ktoré sa vzťahuje kapitola </w:t>
            </w:r>
            <w:proofErr w:type="spellStart"/>
            <w:r w:rsidRPr="001300A9">
              <w:rPr>
                <w:sz w:val="22"/>
                <w:szCs w:val="22"/>
              </w:rPr>
              <w:t>IVa</w:t>
            </w:r>
            <w:proofErr w:type="spellEnd"/>
            <w:r w:rsidRPr="001300A9">
              <w:rPr>
                <w:sz w:val="22"/>
                <w:szCs w:val="22"/>
              </w:rPr>
              <w:t xml:space="preserve"> uvedenej smernice, s ktorými majú členské štáty obchodovať formou aukcie podľa článku 30d uvedenej smernice. Množstvá, ktoré sa majú uvoľniť z rezervy, sa rovnomerne rozdelia počas obdobia troch mesiacov, ktoré sa začne najneskôr dva mesiace odo dňa, keď boli splnené podmienky podľa ich uverejnenia v tejto súvislosti v Úradnom vestníku Európskej únie podľa článku 30h ods. 8 smernice 2003/87/ES.</w:t>
            </w:r>
          </w:p>
          <w:p w14:paraId="3A5F54E6" w14:textId="77777777" w:rsidR="00357CEC" w:rsidRPr="001300A9" w:rsidRDefault="00357CEC" w:rsidP="00357CEC">
            <w:pPr>
              <w:pStyle w:val="Default"/>
              <w:rPr>
                <w:sz w:val="22"/>
                <w:szCs w:val="22"/>
              </w:rPr>
            </w:pPr>
          </w:p>
          <w:p w14:paraId="7648DFBB" w14:textId="77777777" w:rsidR="00357CEC" w:rsidRPr="001300A9" w:rsidRDefault="00357CEC" w:rsidP="00357CEC">
            <w:pPr>
              <w:pStyle w:val="Default"/>
              <w:rPr>
                <w:sz w:val="22"/>
                <w:szCs w:val="22"/>
              </w:rPr>
            </w:pPr>
            <w:r w:rsidRPr="001300A9">
              <w:rPr>
                <w:sz w:val="22"/>
                <w:szCs w:val="22"/>
              </w:rPr>
              <w:t xml:space="preserve">8. Na kvóty, na ktoré sa vzťahuje kapitola </w:t>
            </w:r>
            <w:proofErr w:type="spellStart"/>
            <w:r w:rsidRPr="001300A9">
              <w:rPr>
                <w:sz w:val="22"/>
                <w:szCs w:val="22"/>
              </w:rPr>
              <w:t>IVa</w:t>
            </w:r>
            <w:proofErr w:type="spellEnd"/>
            <w:r w:rsidRPr="001300A9">
              <w:rPr>
                <w:sz w:val="22"/>
                <w:szCs w:val="22"/>
              </w:rPr>
              <w:t xml:space="preserve"> smernice 2003/87/ES, sa uplatňuje článok 1 ods. 8 a článok 3 tohto rozhodnutia.</w:t>
            </w:r>
          </w:p>
          <w:p w14:paraId="64BC0384" w14:textId="77777777" w:rsidR="00357CEC" w:rsidRPr="001300A9" w:rsidRDefault="00357CEC" w:rsidP="00357CEC">
            <w:pPr>
              <w:pStyle w:val="Default"/>
              <w:rPr>
                <w:sz w:val="22"/>
                <w:szCs w:val="22"/>
              </w:rPr>
            </w:pPr>
          </w:p>
          <w:p w14:paraId="1BDFBF17" w14:textId="77777777" w:rsidR="00357CEC" w:rsidRPr="001300A9" w:rsidRDefault="00357CEC" w:rsidP="00357CEC">
            <w:pPr>
              <w:pStyle w:val="Default"/>
              <w:rPr>
                <w:sz w:val="22"/>
                <w:szCs w:val="22"/>
              </w:rPr>
            </w:pPr>
            <w:r w:rsidRPr="001300A9">
              <w:rPr>
                <w:sz w:val="22"/>
                <w:szCs w:val="22"/>
              </w:rPr>
              <w:t>9. Odchylne od odsekov 2, 3 a 4 tohto článku, ak je splnená jedna alebo obidve podmienky uvedené v článku 30k ods. 1 smernice 2003/87/ES, umiestňovanie kvót do rezervy uvedenej v odseku 2 tohto článku sa uskutoční od 1. septembra 2029 a dátumy uvedené v odsekoch 3 a 4 tohto článku sa odložia o jeden rok.“</w:t>
            </w:r>
          </w:p>
        </w:tc>
        <w:tc>
          <w:tcPr>
            <w:tcW w:w="567" w:type="dxa"/>
          </w:tcPr>
          <w:p w14:paraId="71B28A8D" w14:textId="77777777" w:rsidR="00357CEC" w:rsidRPr="001300A9" w:rsidRDefault="00357CEC" w:rsidP="00357CEC">
            <w:pPr>
              <w:pStyle w:val="Default"/>
              <w:rPr>
                <w:sz w:val="22"/>
                <w:szCs w:val="22"/>
              </w:rPr>
            </w:pPr>
            <w:proofErr w:type="spellStart"/>
            <w:r w:rsidRPr="001300A9">
              <w:rPr>
                <w:sz w:val="22"/>
                <w:szCs w:val="22"/>
              </w:rPr>
              <w:t>n.a</w:t>
            </w:r>
            <w:proofErr w:type="spellEnd"/>
            <w:r w:rsidRPr="001300A9">
              <w:rPr>
                <w:sz w:val="22"/>
                <w:szCs w:val="22"/>
              </w:rPr>
              <w:t>.</w:t>
            </w:r>
          </w:p>
        </w:tc>
        <w:tc>
          <w:tcPr>
            <w:tcW w:w="283" w:type="dxa"/>
          </w:tcPr>
          <w:p w14:paraId="697A4213" w14:textId="77777777" w:rsidR="00357CEC" w:rsidRPr="001300A9" w:rsidRDefault="00357CEC" w:rsidP="00357CEC">
            <w:pPr>
              <w:pStyle w:val="Default"/>
              <w:rPr>
                <w:sz w:val="22"/>
                <w:szCs w:val="22"/>
              </w:rPr>
            </w:pPr>
          </w:p>
        </w:tc>
        <w:tc>
          <w:tcPr>
            <w:tcW w:w="567" w:type="dxa"/>
          </w:tcPr>
          <w:p w14:paraId="1245C0AD" w14:textId="77777777" w:rsidR="00357CEC" w:rsidRPr="001300A9" w:rsidRDefault="00357CEC" w:rsidP="00357CEC">
            <w:pPr>
              <w:pStyle w:val="Default"/>
              <w:rPr>
                <w:sz w:val="22"/>
                <w:szCs w:val="22"/>
              </w:rPr>
            </w:pPr>
          </w:p>
        </w:tc>
        <w:tc>
          <w:tcPr>
            <w:tcW w:w="4253" w:type="dxa"/>
          </w:tcPr>
          <w:p w14:paraId="18FD644C" w14:textId="77777777" w:rsidR="00357CEC" w:rsidRPr="001300A9" w:rsidRDefault="00357CEC" w:rsidP="00357CEC">
            <w:pPr>
              <w:pStyle w:val="Default"/>
              <w:rPr>
                <w:sz w:val="22"/>
                <w:szCs w:val="22"/>
              </w:rPr>
            </w:pPr>
          </w:p>
        </w:tc>
        <w:tc>
          <w:tcPr>
            <w:tcW w:w="567" w:type="dxa"/>
          </w:tcPr>
          <w:p w14:paraId="4BFD7AF8" w14:textId="77777777" w:rsidR="00357CEC" w:rsidRPr="001300A9" w:rsidRDefault="00357CEC" w:rsidP="00357CEC">
            <w:pPr>
              <w:pStyle w:val="Default"/>
              <w:rPr>
                <w:sz w:val="22"/>
                <w:szCs w:val="22"/>
              </w:rPr>
            </w:pPr>
          </w:p>
        </w:tc>
        <w:tc>
          <w:tcPr>
            <w:tcW w:w="1276" w:type="dxa"/>
          </w:tcPr>
          <w:p w14:paraId="5663613F" w14:textId="77777777" w:rsidR="00357CEC" w:rsidRPr="001300A9" w:rsidRDefault="00357CEC" w:rsidP="00357CEC">
            <w:pPr>
              <w:pStyle w:val="Default"/>
              <w:rPr>
                <w:sz w:val="22"/>
                <w:szCs w:val="22"/>
              </w:rPr>
            </w:pPr>
          </w:p>
        </w:tc>
        <w:tc>
          <w:tcPr>
            <w:tcW w:w="850" w:type="dxa"/>
          </w:tcPr>
          <w:p w14:paraId="3D968FF8" w14:textId="77777777" w:rsidR="00357CEC" w:rsidRPr="001300A9" w:rsidRDefault="00357CEC" w:rsidP="00357CEC">
            <w:pPr>
              <w:pStyle w:val="Default"/>
              <w:rPr>
                <w:sz w:val="22"/>
                <w:szCs w:val="22"/>
              </w:rPr>
            </w:pPr>
          </w:p>
        </w:tc>
        <w:tc>
          <w:tcPr>
            <w:tcW w:w="815" w:type="dxa"/>
          </w:tcPr>
          <w:p w14:paraId="541DEE04" w14:textId="77777777" w:rsidR="00357CEC" w:rsidRPr="001300A9" w:rsidRDefault="00357CEC" w:rsidP="00357CEC">
            <w:pPr>
              <w:pStyle w:val="Default"/>
              <w:rPr>
                <w:sz w:val="22"/>
                <w:szCs w:val="22"/>
              </w:rPr>
            </w:pPr>
          </w:p>
        </w:tc>
      </w:tr>
      <w:tr w:rsidR="00DD6EDC" w:rsidRPr="001300A9" w14:paraId="025D6F4D" w14:textId="77777777" w:rsidTr="360410BC">
        <w:tc>
          <w:tcPr>
            <w:tcW w:w="562" w:type="dxa"/>
          </w:tcPr>
          <w:p w14:paraId="253FA88A" w14:textId="77777777" w:rsidR="00357CEC" w:rsidRPr="001300A9" w:rsidRDefault="00357CEC" w:rsidP="00357CEC">
            <w:pPr>
              <w:pStyle w:val="Default"/>
              <w:rPr>
                <w:sz w:val="22"/>
                <w:szCs w:val="22"/>
              </w:rPr>
            </w:pPr>
            <w:r w:rsidRPr="001300A9">
              <w:rPr>
                <w:sz w:val="22"/>
                <w:szCs w:val="22"/>
              </w:rPr>
              <w:t>Č: 2</w:t>
            </w:r>
          </w:p>
          <w:p w14:paraId="16317E24" w14:textId="77777777" w:rsidR="00357CEC" w:rsidRPr="001300A9" w:rsidRDefault="00357CEC" w:rsidP="00357CEC">
            <w:pPr>
              <w:pStyle w:val="Default"/>
              <w:rPr>
                <w:sz w:val="22"/>
                <w:szCs w:val="22"/>
              </w:rPr>
            </w:pPr>
            <w:r w:rsidRPr="001300A9">
              <w:rPr>
                <w:sz w:val="22"/>
                <w:szCs w:val="22"/>
              </w:rPr>
              <w:t>O: 3</w:t>
            </w:r>
          </w:p>
        </w:tc>
        <w:tc>
          <w:tcPr>
            <w:tcW w:w="4820" w:type="dxa"/>
          </w:tcPr>
          <w:p w14:paraId="03C0F3EA" w14:textId="77777777" w:rsidR="00357CEC" w:rsidRPr="001300A9" w:rsidRDefault="00357CEC" w:rsidP="00357CEC">
            <w:pPr>
              <w:pStyle w:val="Default"/>
              <w:rPr>
                <w:i/>
                <w:sz w:val="22"/>
                <w:szCs w:val="22"/>
              </w:rPr>
            </w:pPr>
            <w:r w:rsidRPr="001300A9">
              <w:rPr>
                <w:i/>
                <w:sz w:val="22"/>
                <w:szCs w:val="22"/>
              </w:rPr>
              <w:t>Článok 3</w:t>
            </w:r>
          </w:p>
          <w:p w14:paraId="1C59FA67" w14:textId="77777777" w:rsidR="00357CEC" w:rsidRPr="001300A9" w:rsidRDefault="00357CEC" w:rsidP="00357CEC">
            <w:pPr>
              <w:pStyle w:val="Default"/>
              <w:rPr>
                <w:i/>
                <w:sz w:val="22"/>
                <w:szCs w:val="22"/>
              </w:rPr>
            </w:pPr>
            <w:r w:rsidRPr="001300A9">
              <w:rPr>
                <w:i/>
                <w:sz w:val="22"/>
                <w:szCs w:val="22"/>
              </w:rPr>
              <w:t>Preskúmanie</w:t>
            </w:r>
          </w:p>
          <w:p w14:paraId="42E80335" w14:textId="77777777" w:rsidR="00357CEC" w:rsidRPr="001300A9" w:rsidRDefault="00357CEC" w:rsidP="00357CEC">
            <w:pPr>
              <w:pStyle w:val="Default"/>
              <w:rPr>
                <w:sz w:val="22"/>
                <w:szCs w:val="22"/>
              </w:rPr>
            </w:pPr>
            <w:r w:rsidRPr="001300A9">
              <w:rPr>
                <w:sz w:val="22"/>
                <w:szCs w:val="22"/>
              </w:rPr>
              <w:t>Komisia monitoruje fungovanie rezervy prostredníctvom správy uvedenej v článku 10 ods. 5 smernice 2003/87/ES. V uvedenej správe by sa mali zvážiť príslušné dôsledky pre konkurencieschopnosť, najmä v priemyselnom odvetví, vrátane ukazovateľov HDP, zamestnanosti a investícií. Do troch rokov od dátumu začatia prevádzky rezervy a následne každých päť rokov Komisia na základe analýzy správneho fungovania európskeho trhu s uhlíkom preskúma rezervu a v prípade potreby predloží legislatívny návrh Európskemu parlamentu a Rade. Pri každom preskúmaní sa osobitná pozornosť musí venovať percentuálnemu údaju na určenie množstva kvót, ktoré sa majú umiestniť do rezervy podľa článku 1 ods. 5 tohto rozhodnutia, číselnej hraničnej hodnote pre celkové množstvo kvót v obehu, a to aj v záujme prípadnej úpravy uvedenej hraničnej hodnoty v súlade s lineárnym koeficientom uvedeným v článku 9 smernice 2003/87/ES, ako aj množstvu kvót, ktoré sa má uvoľniť z rezervy podľa článku 1 ods. 6 alebo 7 tohto rozhodnutia. V rámci preskúmania Komisia tiež posúdi dosah rezervy na rast, zamestnanosť a priemyselnú konkurencieschopnosť Únie a riziko úniku uhlíka.</w:t>
            </w:r>
          </w:p>
        </w:tc>
        <w:tc>
          <w:tcPr>
            <w:tcW w:w="567" w:type="dxa"/>
          </w:tcPr>
          <w:p w14:paraId="59CFCE29" w14:textId="77777777" w:rsidR="00357CEC" w:rsidRPr="001300A9" w:rsidRDefault="00357CEC" w:rsidP="00357CEC">
            <w:pPr>
              <w:pStyle w:val="Default"/>
              <w:rPr>
                <w:sz w:val="22"/>
                <w:szCs w:val="22"/>
              </w:rPr>
            </w:pPr>
            <w:proofErr w:type="spellStart"/>
            <w:r w:rsidRPr="001300A9">
              <w:rPr>
                <w:sz w:val="22"/>
                <w:szCs w:val="22"/>
              </w:rPr>
              <w:t>n.a</w:t>
            </w:r>
            <w:proofErr w:type="spellEnd"/>
            <w:r w:rsidRPr="001300A9">
              <w:rPr>
                <w:sz w:val="22"/>
                <w:szCs w:val="22"/>
              </w:rPr>
              <w:t>.</w:t>
            </w:r>
          </w:p>
        </w:tc>
        <w:tc>
          <w:tcPr>
            <w:tcW w:w="283" w:type="dxa"/>
          </w:tcPr>
          <w:p w14:paraId="1424E6CB" w14:textId="77777777" w:rsidR="00357CEC" w:rsidRPr="001300A9" w:rsidRDefault="00357CEC" w:rsidP="00357CEC">
            <w:pPr>
              <w:pStyle w:val="Default"/>
              <w:rPr>
                <w:sz w:val="22"/>
                <w:szCs w:val="22"/>
              </w:rPr>
            </w:pPr>
          </w:p>
        </w:tc>
        <w:tc>
          <w:tcPr>
            <w:tcW w:w="567" w:type="dxa"/>
          </w:tcPr>
          <w:p w14:paraId="66B6C2CD" w14:textId="77777777" w:rsidR="00357CEC" w:rsidRPr="001300A9" w:rsidRDefault="00357CEC" w:rsidP="00357CEC">
            <w:pPr>
              <w:pStyle w:val="Default"/>
              <w:rPr>
                <w:sz w:val="22"/>
                <w:szCs w:val="22"/>
              </w:rPr>
            </w:pPr>
          </w:p>
        </w:tc>
        <w:tc>
          <w:tcPr>
            <w:tcW w:w="4253" w:type="dxa"/>
          </w:tcPr>
          <w:p w14:paraId="0C5C1023" w14:textId="77777777" w:rsidR="00357CEC" w:rsidRPr="001300A9" w:rsidRDefault="00357CEC" w:rsidP="00357CEC">
            <w:pPr>
              <w:pStyle w:val="Default"/>
              <w:rPr>
                <w:sz w:val="22"/>
                <w:szCs w:val="22"/>
              </w:rPr>
            </w:pPr>
          </w:p>
        </w:tc>
        <w:tc>
          <w:tcPr>
            <w:tcW w:w="567" w:type="dxa"/>
          </w:tcPr>
          <w:p w14:paraId="42E3C424" w14:textId="77777777" w:rsidR="00357CEC" w:rsidRPr="001300A9" w:rsidRDefault="00357CEC" w:rsidP="00357CEC">
            <w:pPr>
              <w:pStyle w:val="Default"/>
              <w:rPr>
                <w:sz w:val="22"/>
                <w:szCs w:val="22"/>
              </w:rPr>
            </w:pPr>
          </w:p>
        </w:tc>
        <w:tc>
          <w:tcPr>
            <w:tcW w:w="1276" w:type="dxa"/>
          </w:tcPr>
          <w:p w14:paraId="36E8601C" w14:textId="77777777" w:rsidR="00357CEC" w:rsidRPr="001300A9" w:rsidRDefault="00357CEC" w:rsidP="00357CEC">
            <w:pPr>
              <w:pStyle w:val="Default"/>
              <w:rPr>
                <w:sz w:val="22"/>
                <w:szCs w:val="22"/>
              </w:rPr>
            </w:pPr>
          </w:p>
        </w:tc>
        <w:tc>
          <w:tcPr>
            <w:tcW w:w="850" w:type="dxa"/>
          </w:tcPr>
          <w:p w14:paraId="0BBBF382" w14:textId="77777777" w:rsidR="00357CEC" w:rsidRPr="001300A9" w:rsidRDefault="00357CEC" w:rsidP="00357CEC">
            <w:pPr>
              <w:pStyle w:val="Default"/>
              <w:rPr>
                <w:sz w:val="22"/>
                <w:szCs w:val="22"/>
              </w:rPr>
            </w:pPr>
          </w:p>
        </w:tc>
        <w:tc>
          <w:tcPr>
            <w:tcW w:w="815" w:type="dxa"/>
          </w:tcPr>
          <w:p w14:paraId="447973D4" w14:textId="77777777" w:rsidR="00357CEC" w:rsidRPr="001300A9" w:rsidRDefault="00357CEC" w:rsidP="00357CEC">
            <w:pPr>
              <w:pStyle w:val="Default"/>
              <w:rPr>
                <w:sz w:val="22"/>
                <w:szCs w:val="22"/>
              </w:rPr>
            </w:pPr>
          </w:p>
        </w:tc>
      </w:tr>
      <w:tr w:rsidR="00DD6EDC" w:rsidRPr="001300A9" w14:paraId="6444EB15" w14:textId="77777777" w:rsidTr="360410BC">
        <w:tc>
          <w:tcPr>
            <w:tcW w:w="562" w:type="dxa"/>
          </w:tcPr>
          <w:p w14:paraId="558383EF" w14:textId="77777777" w:rsidR="00357CEC" w:rsidRPr="001300A9" w:rsidRDefault="00357CEC" w:rsidP="00357CEC">
            <w:pPr>
              <w:pStyle w:val="Default"/>
              <w:rPr>
                <w:sz w:val="22"/>
                <w:szCs w:val="22"/>
              </w:rPr>
            </w:pPr>
            <w:r w:rsidRPr="001300A9">
              <w:rPr>
                <w:sz w:val="22"/>
                <w:szCs w:val="22"/>
              </w:rPr>
              <w:t>Č: 3</w:t>
            </w:r>
          </w:p>
        </w:tc>
        <w:tc>
          <w:tcPr>
            <w:tcW w:w="4820" w:type="dxa"/>
          </w:tcPr>
          <w:p w14:paraId="3169530D" w14:textId="77777777" w:rsidR="00357CEC" w:rsidRPr="001300A9" w:rsidRDefault="00357CEC" w:rsidP="00357CEC">
            <w:pPr>
              <w:pStyle w:val="Default"/>
              <w:rPr>
                <w:i/>
                <w:sz w:val="22"/>
                <w:szCs w:val="22"/>
              </w:rPr>
            </w:pPr>
            <w:r w:rsidRPr="001300A9">
              <w:rPr>
                <w:i/>
                <w:sz w:val="22"/>
                <w:szCs w:val="22"/>
              </w:rPr>
              <w:t>Článok 3</w:t>
            </w:r>
          </w:p>
          <w:p w14:paraId="30A3E16E" w14:textId="77777777" w:rsidR="00357CEC" w:rsidRPr="001300A9" w:rsidRDefault="00357CEC" w:rsidP="00357CEC">
            <w:pPr>
              <w:pStyle w:val="Default"/>
              <w:rPr>
                <w:i/>
                <w:sz w:val="22"/>
                <w:szCs w:val="22"/>
              </w:rPr>
            </w:pPr>
            <w:r w:rsidRPr="001300A9">
              <w:rPr>
                <w:i/>
                <w:sz w:val="22"/>
                <w:szCs w:val="22"/>
              </w:rPr>
              <w:t>Transpozícia</w:t>
            </w:r>
          </w:p>
          <w:p w14:paraId="1A0C0C49" w14:textId="77777777" w:rsidR="00357CEC" w:rsidRPr="001300A9" w:rsidRDefault="00357CEC" w:rsidP="00357CEC">
            <w:pPr>
              <w:pStyle w:val="Default"/>
              <w:rPr>
                <w:sz w:val="22"/>
                <w:szCs w:val="22"/>
              </w:rPr>
            </w:pPr>
            <w:r w:rsidRPr="001300A9">
              <w:rPr>
                <w:sz w:val="22"/>
                <w:szCs w:val="22"/>
              </w:rPr>
              <w:t>1. Členské štáty uvedú do účinnosti zákony, iné právne predpisy a správne opatrenia potrebné na dosiahnutie súladu s článkom 1 tejto smernice do 31. decembra 2023. Tieto opatrenia uplatňujú od 1. januára 2024.</w:t>
            </w:r>
          </w:p>
          <w:p w14:paraId="5B3FFF65" w14:textId="77777777" w:rsidR="00357CEC" w:rsidRPr="001300A9" w:rsidRDefault="00357CEC" w:rsidP="00357CEC">
            <w:pPr>
              <w:pStyle w:val="Default"/>
              <w:rPr>
                <w:sz w:val="22"/>
                <w:szCs w:val="22"/>
              </w:rPr>
            </w:pPr>
          </w:p>
          <w:p w14:paraId="4135AC58" w14:textId="77777777" w:rsidR="00357CEC" w:rsidRPr="001300A9" w:rsidRDefault="00357CEC" w:rsidP="00357CEC">
            <w:pPr>
              <w:pStyle w:val="Default"/>
              <w:rPr>
                <w:sz w:val="22"/>
                <w:szCs w:val="22"/>
              </w:rPr>
            </w:pPr>
            <w:r w:rsidRPr="001300A9">
              <w:rPr>
                <w:sz w:val="22"/>
                <w:szCs w:val="22"/>
              </w:rPr>
              <w:t>Členské štáty však do 30. júna 2024 uvedú do účinnosti zákony, iné právne predpisy a správne opatrenia potrebné na dosiahnutie súladu s týmito článkami:</w:t>
            </w:r>
          </w:p>
          <w:p w14:paraId="43217FF7" w14:textId="77777777" w:rsidR="00357CEC" w:rsidRPr="001300A9" w:rsidRDefault="00357CEC" w:rsidP="00357CEC">
            <w:pPr>
              <w:pStyle w:val="Default"/>
              <w:rPr>
                <w:sz w:val="22"/>
                <w:szCs w:val="22"/>
              </w:rPr>
            </w:pPr>
            <w:r w:rsidRPr="001300A9">
              <w:rPr>
                <w:sz w:val="22"/>
                <w:szCs w:val="22"/>
              </w:rPr>
              <w:t xml:space="preserve">a) článok 1 bod 3 písm. </w:t>
            </w:r>
            <w:proofErr w:type="spellStart"/>
            <w:r w:rsidRPr="001300A9">
              <w:rPr>
                <w:sz w:val="22"/>
                <w:szCs w:val="22"/>
              </w:rPr>
              <w:t>ae</w:t>
            </w:r>
            <w:proofErr w:type="spellEnd"/>
            <w:r w:rsidRPr="001300A9">
              <w:rPr>
                <w:sz w:val="22"/>
                <w:szCs w:val="22"/>
              </w:rPr>
              <w:t xml:space="preserve">) až </w:t>
            </w:r>
            <w:proofErr w:type="spellStart"/>
            <w:r w:rsidRPr="001300A9">
              <w:rPr>
                <w:sz w:val="22"/>
                <w:szCs w:val="22"/>
              </w:rPr>
              <w:t>ai</w:t>
            </w:r>
            <w:proofErr w:type="spellEnd"/>
            <w:r w:rsidRPr="001300A9">
              <w:rPr>
                <w:sz w:val="22"/>
                <w:szCs w:val="22"/>
              </w:rPr>
              <w:t>) tejto smernice;</w:t>
            </w:r>
          </w:p>
          <w:p w14:paraId="7736F1F5" w14:textId="77777777" w:rsidR="00357CEC" w:rsidRPr="001300A9" w:rsidRDefault="00357CEC" w:rsidP="00357CEC">
            <w:pPr>
              <w:pStyle w:val="Default"/>
              <w:rPr>
                <w:sz w:val="22"/>
                <w:szCs w:val="22"/>
              </w:rPr>
            </w:pPr>
            <w:r w:rsidRPr="001300A9">
              <w:rPr>
                <w:sz w:val="22"/>
                <w:szCs w:val="22"/>
              </w:rPr>
              <w:t>b) článok 1 bod 29 tejto smernice, s výnimkou článku 30f ods. 4 smernice 2003/87/ES, ktorý bol vložený uvedeným bodom; a</w:t>
            </w:r>
          </w:p>
          <w:p w14:paraId="11ED2BEF" w14:textId="77777777" w:rsidR="00357CEC" w:rsidRPr="001300A9" w:rsidRDefault="00357CEC" w:rsidP="00357CEC">
            <w:pPr>
              <w:pStyle w:val="Default"/>
              <w:rPr>
                <w:sz w:val="22"/>
                <w:szCs w:val="22"/>
              </w:rPr>
            </w:pPr>
            <w:r w:rsidRPr="001300A9">
              <w:rPr>
                <w:sz w:val="22"/>
                <w:szCs w:val="22"/>
              </w:rPr>
              <w:t xml:space="preserve">c) článok 1 bod 31 tejto smernice, pokiaľ ide o prílohy III a </w:t>
            </w:r>
            <w:proofErr w:type="spellStart"/>
            <w:r w:rsidRPr="001300A9">
              <w:rPr>
                <w:sz w:val="22"/>
                <w:szCs w:val="22"/>
              </w:rPr>
              <w:t>IIIa</w:t>
            </w:r>
            <w:proofErr w:type="spellEnd"/>
            <w:r w:rsidRPr="001300A9">
              <w:rPr>
                <w:sz w:val="22"/>
                <w:szCs w:val="22"/>
              </w:rPr>
              <w:t xml:space="preserve"> k smernici 2003/87/ES, ktoré boli vložené uvedeným bodom.</w:t>
            </w:r>
          </w:p>
          <w:p w14:paraId="52BB20E7" w14:textId="77777777" w:rsidR="00357CEC" w:rsidRPr="001300A9" w:rsidRDefault="00357CEC" w:rsidP="00357CEC">
            <w:pPr>
              <w:pStyle w:val="Default"/>
              <w:rPr>
                <w:sz w:val="22"/>
                <w:szCs w:val="22"/>
              </w:rPr>
            </w:pPr>
          </w:p>
          <w:p w14:paraId="6FEA16C8" w14:textId="77777777" w:rsidR="00357CEC" w:rsidRPr="001300A9" w:rsidRDefault="00357CEC" w:rsidP="00357CEC">
            <w:pPr>
              <w:pStyle w:val="Default"/>
              <w:rPr>
                <w:sz w:val="22"/>
                <w:szCs w:val="22"/>
              </w:rPr>
            </w:pPr>
            <w:r w:rsidRPr="001300A9">
              <w:rPr>
                <w:sz w:val="22"/>
                <w:szCs w:val="22"/>
              </w:rPr>
              <w:t xml:space="preserve">Bezodkladne informujú Komisiu o opatreniach prijatých podľa prvého a druhého </w:t>
            </w:r>
            <w:proofErr w:type="spellStart"/>
            <w:r w:rsidRPr="001300A9">
              <w:rPr>
                <w:sz w:val="22"/>
                <w:szCs w:val="22"/>
              </w:rPr>
              <w:t>pododseku</w:t>
            </w:r>
            <w:proofErr w:type="spellEnd"/>
            <w:r w:rsidRPr="001300A9">
              <w:rPr>
                <w:sz w:val="22"/>
                <w:szCs w:val="22"/>
              </w:rPr>
              <w:t>.</w:t>
            </w:r>
          </w:p>
          <w:p w14:paraId="0278E0D5" w14:textId="77777777" w:rsidR="00357CEC" w:rsidRPr="001300A9" w:rsidRDefault="00357CEC" w:rsidP="00357CEC">
            <w:pPr>
              <w:pStyle w:val="Default"/>
              <w:rPr>
                <w:sz w:val="22"/>
                <w:szCs w:val="22"/>
              </w:rPr>
            </w:pPr>
          </w:p>
          <w:p w14:paraId="72560DB0" w14:textId="77777777" w:rsidR="00357CEC" w:rsidRPr="001300A9" w:rsidRDefault="00357CEC" w:rsidP="00357CEC">
            <w:pPr>
              <w:pStyle w:val="Default"/>
              <w:rPr>
                <w:sz w:val="22"/>
                <w:szCs w:val="22"/>
              </w:rPr>
            </w:pPr>
            <w:r w:rsidRPr="001300A9">
              <w:rPr>
                <w:sz w:val="22"/>
                <w:szCs w:val="22"/>
              </w:rPr>
              <w:t>Členské štáty uvedú priamo v prijatých opatreniach alebo pri ich úradnom uverejnení odkaz na túto smernicu. Podrobnosti o odkaze upravia členské štáty.</w:t>
            </w:r>
          </w:p>
          <w:p w14:paraId="6A580FA0" w14:textId="77777777" w:rsidR="00357CEC" w:rsidRPr="001300A9" w:rsidRDefault="00357CEC" w:rsidP="00357CEC">
            <w:pPr>
              <w:pStyle w:val="Default"/>
              <w:rPr>
                <w:sz w:val="22"/>
                <w:szCs w:val="22"/>
              </w:rPr>
            </w:pPr>
          </w:p>
          <w:p w14:paraId="4F5C5340" w14:textId="77777777" w:rsidR="00357CEC" w:rsidRPr="001300A9" w:rsidRDefault="00357CEC" w:rsidP="00357CEC">
            <w:pPr>
              <w:pStyle w:val="Default"/>
              <w:rPr>
                <w:sz w:val="22"/>
                <w:szCs w:val="22"/>
              </w:rPr>
            </w:pPr>
            <w:r w:rsidRPr="001300A9">
              <w:rPr>
                <w:sz w:val="22"/>
                <w:szCs w:val="22"/>
              </w:rPr>
              <w:t>2. Členské štáty oznámia Komisii znenie hlavných opatrení vnútroštátneho práva, ktoré prijmú v oblasti pôsobnosti tejto smernice.</w:t>
            </w:r>
          </w:p>
        </w:tc>
        <w:tc>
          <w:tcPr>
            <w:tcW w:w="567" w:type="dxa"/>
          </w:tcPr>
          <w:p w14:paraId="23F2AE32" w14:textId="77777777" w:rsidR="00357CEC" w:rsidRPr="001300A9" w:rsidRDefault="00357CEC" w:rsidP="00357CEC">
            <w:pPr>
              <w:pStyle w:val="Default"/>
              <w:rPr>
                <w:sz w:val="22"/>
                <w:szCs w:val="22"/>
              </w:rPr>
            </w:pPr>
            <w:r w:rsidRPr="001300A9">
              <w:rPr>
                <w:sz w:val="22"/>
                <w:szCs w:val="22"/>
              </w:rPr>
              <w:t>N</w:t>
            </w:r>
          </w:p>
        </w:tc>
        <w:tc>
          <w:tcPr>
            <w:tcW w:w="283" w:type="dxa"/>
          </w:tcPr>
          <w:p w14:paraId="301175E1" w14:textId="4FB801BE" w:rsidR="00357CEC" w:rsidRPr="001300A9" w:rsidRDefault="00436704" w:rsidP="00357CEC">
            <w:pPr>
              <w:pStyle w:val="Default"/>
              <w:rPr>
                <w:sz w:val="22"/>
                <w:szCs w:val="22"/>
              </w:rPr>
            </w:pPr>
            <w:r>
              <w:rPr>
                <w:sz w:val="22"/>
                <w:szCs w:val="22"/>
              </w:rPr>
              <w:t>NZ</w:t>
            </w:r>
          </w:p>
        </w:tc>
        <w:tc>
          <w:tcPr>
            <w:tcW w:w="567" w:type="dxa"/>
          </w:tcPr>
          <w:p w14:paraId="28E3F7AE" w14:textId="157C4115" w:rsidR="00357CEC" w:rsidRPr="001300A9" w:rsidRDefault="143FE912" w:rsidP="5F673433">
            <w:pPr>
              <w:pStyle w:val="Default"/>
              <w:rPr>
                <w:color w:val="auto"/>
                <w:sz w:val="22"/>
                <w:szCs w:val="22"/>
              </w:rPr>
            </w:pPr>
            <w:r w:rsidRPr="360410BC">
              <w:rPr>
                <w:color w:val="auto"/>
                <w:sz w:val="22"/>
                <w:szCs w:val="22"/>
              </w:rPr>
              <w:t xml:space="preserve">Čl. </w:t>
            </w:r>
            <w:r w:rsidR="3245EB9A" w:rsidRPr="360410BC">
              <w:rPr>
                <w:color w:val="auto"/>
                <w:sz w:val="22"/>
                <w:szCs w:val="22"/>
              </w:rPr>
              <w:t>X</w:t>
            </w:r>
          </w:p>
        </w:tc>
        <w:tc>
          <w:tcPr>
            <w:tcW w:w="4253" w:type="dxa"/>
          </w:tcPr>
          <w:p w14:paraId="4CA197DD" w14:textId="25C405ED" w:rsidR="00730219" w:rsidRPr="001300A9" w:rsidRDefault="6C400CED" w:rsidP="00357CEC">
            <w:pPr>
              <w:pStyle w:val="Default"/>
              <w:rPr>
                <w:sz w:val="22"/>
                <w:szCs w:val="22"/>
              </w:rPr>
            </w:pPr>
            <w:r w:rsidRPr="5F673433">
              <w:rPr>
                <w:sz w:val="22"/>
                <w:szCs w:val="22"/>
              </w:rPr>
              <w:t xml:space="preserve">Tento zákon nadobúda účinnosť dňom vyhlásenia okrem čl. I bodov </w:t>
            </w:r>
            <w:r w:rsidR="5F20C0ED" w:rsidRPr="5F673433">
              <w:rPr>
                <w:rFonts w:eastAsia="Times New Roman"/>
              </w:rPr>
              <w:t>44, 50, 65, 67, 70, 79, 81 a 105</w:t>
            </w:r>
            <w:r w:rsidRPr="5F673433">
              <w:rPr>
                <w:sz w:val="22"/>
                <w:szCs w:val="22"/>
              </w:rPr>
              <w:t xml:space="preserve">, ktoré nadobúdajú účinnosť 1. októbra 2025, a čl. I bodov </w:t>
            </w:r>
            <w:r w:rsidR="6096F092" w:rsidRPr="5F673433">
              <w:rPr>
                <w:rFonts w:eastAsia="Times New Roman"/>
              </w:rPr>
              <w:t>10, 12, 61, 72, 84, 85 a 89</w:t>
            </w:r>
            <w:r w:rsidRPr="5F673433">
              <w:rPr>
                <w:sz w:val="22"/>
                <w:szCs w:val="22"/>
              </w:rPr>
              <w:t>, ktoré nadobúdajú účinnosť 1. januára 2026.</w:t>
            </w:r>
            <w:r w:rsidR="353E7B35" w:rsidRPr="5F673433">
              <w:rPr>
                <w:sz w:val="22"/>
                <w:szCs w:val="22"/>
              </w:rPr>
              <w:t xml:space="preserve"> </w:t>
            </w:r>
          </w:p>
        </w:tc>
        <w:tc>
          <w:tcPr>
            <w:tcW w:w="567" w:type="dxa"/>
          </w:tcPr>
          <w:p w14:paraId="6E4BE854" w14:textId="62D5FE8A" w:rsidR="00357CEC" w:rsidRPr="001300A9" w:rsidRDefault="00383D96" w:rsidP="00357CEC">
            <w:pPr>
              <w:pStyle w:val="Default"/>
              <w:rPr>
                <w:sz w:val="22"/>
                <w:szCs w:val="22"/>
              </w:rPr>
            </w:pPr>
            <w:r w:rsidRPr="001300A9">
              <w:rPr>
                <w:sz w:val="22"/>
                <w:szCs w:val="22"/>
              </w:rPr>
              <w:t>Ú</w:t>
            </w:r>
          </w:p>
        </w:tc>
        <w:tc>
          <w:tcPr>
            <w:tcW w:w="1276" w:type="dxa"/>
          </w:tcPr>
          <w:p w14:paraId="711CBFB2" w14:textId="77777777" w:rsidR="00357CEC" w:rsidRPr="001300A9" w:rsidRDefault="00357CEC" w:rsidP="00357CEC">
            <w:pPr>
              <w:pStyle w:val="Default"/>
              <w:rPr>
                <w:sz w:val="22"/>
                <w:szCs w:val="22"/>
              </w:rPr>
            </w:pPr>
          </w:p>
        </w:tc>
        <w:tc>
          <w:tcPr>
            <w:tcW w:w="850" w:type="dxa"/>
          </w:tcPr>
          <w:p w14:paraId="76F30021" w14:textId="3D1C92C8" w:rsidR="00357CEC" w:rsidRPr="001300A9" w:rsidRDefault="00383D96" w:rsidP="00357CEC">
            <w:pPr>
              <w:pStyle w:val="Default"/>
              <w:rPr>
                <w:sz w:val="22"/>
                <w:szCs w:val="22"/>
              </w:rPr>
            </w:pPr>
            <w:r w:rsidRPr="001300A9">
              <w:rPr>
                <w:sz w:val="22"/>
                <w:szCs w:val="22"/>
              </w:rPr>
              <w:t>GP -N</w:t>
            </w:r>
          </w:p>
        </w:tc>
        <w:tc>
          <w:tcPr>
            <w:tcW w:w="815" w:type="dxa"/>
          </w:tcPr>
          <w:p w14:paraId="6358E48D" w14:textId="77777777" w:rsidR="00357CEC" w:rsidRPr="001300A9" w:rsidRDefault="00357CEC" w:rsidP="00357CEC">
            <w:pPr>
              <w:pStyle w:val="Default"/>
              <w:rPr>
                <w:sz w:val="22"/>
                <w:szCs w:val="22"/>
              </w:rPr>
            </w:pPr>
          </w:p>
        </w:tc>
      </w:tr>
      <w:tr w:rsidR="00DD6EDC" w:rsidRPr="001300A9" w14:paraId="26745F5D" w14:textId="77777777" w:rsidTr="360410BC">
        <w:tc>
          <w:tcPr>
            <w:tcW w:w="562" w:type="dxa"/>
          </w:tcPr>
          <w:p w14:paraId="42FB7A1E" w14:textId="77777777" w:rsidR="00357CEC" w:rsidRPr="001300A9" w:rsidRDefault="00357CEC" w:rsidP="00357CEC">
            <w:pPr>
              <w:pStyle w:val="Default"/>
              <w:rPr>
                <w:sz w:val="22"/>
                <w:szCs w:val="22"/>
              </w:rPr>
            </w:pPr>
            <w:r w:rsidRPr="001300A9">
              <w:rPr>
                <w:sz w:val="22"/>
                <w:szCs w:val="22"/>
              </w:rPr>
              <w:t>Č: 4</w:t>
            </w:r>
          </w:p>
        </w:tc>
        <w:tc>
          <w:tcPr>
            <w:tcW w:w="4820" w:type="dxa"/>
          </w:tcPr>
          <w:p w14:paraId="4488A38B" w14:textId="77777777" w:rsidR="00357CEC" w:rsidRPr="001300A9" w:rsidRDefault="00357CEC" w:rsidP="00357CEC">
            <w:pPr>
              <w:pStyle w:val="Default"/>
              <w:rPr>
                <w:i/>
                <w:sz w:val="22"/>
                <w:szCs w:val="22"/>
              </w:rPr>
            </w:pPr>
            <w:r w:rsidRPr="001300A9">
              <w:rPr>
                <w:i/>
                <w:sz w:val="22"/>
                <w:szCs w:val="22"/>
              </w:rPr>
              <w:t>Článok 4</w:t>
            </w:r>
          </w:p>
          <w:p w14:paraId="48F6F2BF" w14:textId="77777777" w:rsidR="00357CEC" w:rsidRPr="001300A9" w:rsidRDefault="00357CEC" w:rsidP="00357CEC">
            <w:pPr>
              <w:pStyle w:val="Default"/>
              <w:rPr>
                <w:i/>
                <w:sz w:val="22"/>
                <w:szCs w:val="22"/>
              </w:rPr>
            </w:pPr>
            <w:r w:rsidRPr="001300A9">
              <w:rPr>
                <w:i/>
                <w:sz w:val="22"/>
                <w:szCs w:val="22"/>
              </w:rPr>
              <w:t>Prechodné ustanovenia</w:t>
            </w:r>
          </w:p>
          <w:p w14:paraId="44CB6EC4" w14:textId="77777777" w:rsidR="00357CEC" w:rsidRPr="001300A9" w:rsidRDefault="00357CEC" w:rsidP="00357CEC">
            <w:pPr>
              <w:pStyle w:val="Default"/>
              <w:rPr>
                <w:sz w:val="22"/>
                <w:szCs w:val="22"/>
              </w:rPr>
            </w:pPr>
            <w:r w:rsidRPr="001300A9">
              <w:rPr>
                <w:sz w:val="22"/>
                <w:szCs w:val="22"/>
              </w:rPr>
              <w:t xml:space="preserve">Členské štáty pri plnení svojej povinnosti stanovenej v článku 3 ods. 1 tejto smernice zabezpečia, aby sa ich vnútroštátne právne predpisy, ktorými sa transponuje článok 3 bod u), článok 10a ods. 3 a 4, článok 10c ods. 7 a body 1 a 3 prílohy I k smernici 2003/87/ES v znení uplatniteľnom k ... [deň pred dňom nadobudnutia účinnosti tejto smernice] naďalej uplatňovali až do 31. decembra 2025. Odchylne od článku 3 ods. 1 prvého </w:t>
            </w:r>
            <w:proofErr w:type="spellStart"/>
            <w:r w:rsidRPr="001300A9">
              <w:rPr>
                <w:sz w:val="22"/>
                <w:szCs w:val="22"/>
              </w:rPr>
              <w:t>pododseku</w:t>
            </w:r>
            <w:proofErr w:type="spellEnd"/>
            <w:r w:rsidRPr="001300A9">
              <w:rPr>
                <w:sz w:val="22"/>
                <w:szCs w:val="22"/>
              </w:rPr>
              <w:t xml:space="preserve"> poslednej vety uplatňujú svoje vnútroštátne opatrenia, ktorými transponujú zmeny uvedených ustanovení, od 1. januára 2026.</w:t>
            </w:r>
          </w:p>
        </w:tc>
        <w:tc>
          <w:tcPr>
            <w:tcW w:w="567" w:type="dxa"/>
          </w:tcPr>
          <w:p w14:paraId="4B6525D3" w14:textId="77777777" w:rsidR="00357CEC" w:rsidRPr="001300A9" w:rsidRDefault="00357CEC" w:rsidP="00357CEC">
            <w:pPr>
              <w:pStyle w:val="Default"/>
              <w:rPr>
                <w:sz w:val="22"/>
                <w:szCs w:val="22"/>
              </w:rPr>
            </w:pPr>
            <w:r w:rsidRPr="001300A9">
              <w:rPr>
                <w:sz w:val="22"/>
                <w:szCs w:val="22"/>
              </w:rPr>
              <w:t>N</w:t>
            </w:r>
          </w:p>
        </w:tc>
        <w:tc>
          <w:tcPr>
            <w:tcW w:w="283" w:type="dxa"/>
          </w:tcPr>
          <w:p w14:paraId="0268FA94" w14:textId="4D8680F2" w:rsidR="00357CEC" w:rsidRPr="001300A9" w:rsidRDefault="00436704" w:rsidP="00357CEC">
            <w:pPr>
              <w:pStyle w:val="Default"/>
              <w:rPr>
                <w:sz w:val="22"/>
                <w:szCs w:val="22"/>
              </w:rPr>
            </w:pPr>
            <w:r>
              <w:rPr>
                <w:sz w:val="22"/>
                <w:szCs w:val="22"/>
              </w:rPr>
              <w:t>NZ</w:t>
            </w:r>
          </w:p>
        </w:tc>
        <w:tc>
          <w:tcPr>
            <w:tcW w:w="567" w:type="dxa"/>
          </w:tcPr>
          <w:p w14:paraId="1061BAF6" w14:textId="43CA497A" w:rsidR="00357CEC" w:rsidRPr="001300A9" w:rsidRDefault="143FE912" w:rsidP="00357CEC">
            <w:pPr>
              <w:pStyle w:val="Default"/>
              <w:rPr>
                <w:sz w:val="22"/>
                <w:szCs w:val="22"/>
              </w:rPr>
            </w:pPr>
            <w:r w:rsidRPr="360410BC">
              <w:rPr>
                <w:sz w:val="22"/>
                <w:szCs w:val="22"/>
              </w:rPr>
              <w:t xml:space="preserve">Čl. </w:t>
            </w:r>
            <w:r w:rsidR="0C4095AC" w:rsidRPr="360410BC">
              <w:rPr>
                <w:sz w:val="22"/>
                <w:szCs w:val="22"/>
              </w:rPr>
              <w:t>X</w:t>
            </w:r>
          </w:p>
        </w:tc>
        <w:tc>
          <w:tcPr>
            <w:tcW w:w="4253" w:type="dxa"/>
          </w:tcPr>
          <w:p w14:paraId="7CACDAB9" w14:textId="26D09C44" w:rsidR="73603E75" w:rsidRDefault="73603E75" w:rsidP="5F673433">
            <w:pPr>
              <w:pStyle w:val="Default"/>
              <w:rPr>
                <w:sz w:val="22"/>
                <w:szCs w:val="22"/>
              </w:rPr>
            </w:pPr>
            <w:r w:rsidRPr="5F673433">
              <w:rPr>
                <w:sz w:val="22"/>
                <w:szCs w:val="22"/>
              </w:rPr>
              <w:t xml:space="preserve">Tento zákon nadobúda účinnosť dňom vyhlásenia okrem čl. I bodov </w:t>
            </w:r>
            <w:r w:rsidRPr="5F673433">
              <w:rPr>
                <w:rFonts w:eastAsia="Times New Roman"/>
              </w:rPr>
              <w:t>44, 50, 65, 67, 70, 79, 81 a 105</w:t>
            </w:r>
            <w:r w:rsidRPr="5F673433">
              <w:rPr>
                <w:sz w:val="22"/>
                <w:szCs w:val="22"/>
              </w:rPr>
              <w:t xml:space="preserve">, ktoré nadobúdajú účinnosť 1. októbra 2025, a čl. I bodov </w:t>
            </w:r>
            <w:r w:rsidRPr="5F673433">
              <w:rPr>
                <w:rFonts w:eastAsia="Times New Roman"/>
              </w:rPr>
              <w:t>10, 12, 61, 72, 84, 85 a 89</w:t>
            </w:r>
            <w:r w:rsidRPr="5F673433">
              <w:rPr>
                <w:sz w:val="22"/>
                <w:szCs w:val="22"/>
              </w:rPr>
              <w:t>, ktoré nadobúdajú účinnosť 1. januára 2026.</w:t>
            </w:r>
          </w:p>
          <w:p w14:paraId="7AD4F37F" w14:textId="3CE4D52E" w:rsidR="5F673433" w:rsidRDefault="5F673433" w:rsidP="5F673433">
            <w:pPr>
              <w:spacing w:after="0" w:line="240" w:lineRule="auto"/>
              <w:jc w:val="both"/>
              <w:rPr>
                <w:rFonts w:ascii="Times New Roman" w:hAnsi="Times New Roman" w:cs="Times New Roman"/>
                <w:sz w:val="24"/>
                <w:szCs w:val="24"/>
              </w:rPr>
            </w:pPr>
          </w:p>
          <w:p w14:paraId="104E35E1" w14:textId="0780030C" w:rsidR="00357CEC" w:rsidRPr="001300A9" w:rsidRDefault="00357CEC" w:rsidP="00357CEC">
            <w:pPr>
              <w:pStyle w:val="Default"/>
              <w:rPr>
                <w:sz w:val="22"/>
                <w:szCs w:val="22"/>
              </w:rPr>
            </w:pPr>
          </w:p>
        </w:tc>
        <w:tc>
          <w:tcPr>
            <w:tcW w:w="567" w:type="dxa"/>
          </w:tcPr>
          <w:p w14:paraId="2375C04C" w14:textId="72482976" w:rsidR="00357CEC" w:rsidRPr="001300A9" w:rsidRDefault="00383D96" w:rsidP="00357CEC">
            <w:pPr>
              <w:pStyle w:val="Default"/>
              <w:rPr>
                <w:sz w:val="22"/>
                <w:szCs w:val="22"/>
              </w:rPr>
            </w:pPr>
            <w:r w:rsidRPr="001300A9">
              <w:rPr>
                <w:sz w:val="22"/>
                <w:szCs w:val="22"/>
              </w:rPr>
              <w:t>Ú</w:t>
            </w:r>
          </w:p>
        </w:tc>
        <w:tc>
          <w:tcPr>
            <w:tcW w:w="1276" w:type="dxa"/>
          </w:tcPr>
          <w:p w14:paraId="775EE8FD" w14:textId="77777777" w:rsidR="00357CEC" w:rsidRPr="001300A9" w:rsidRDefault="00357CEC" w:rsidP="00357CEC">
            <w:pPr>
              <w:pStyle w:val="Default"/>
              <w:rPr>
                <w:sz w:val="22"/>
                <w:szCs w:val="22"/>
              </w:rPr>
            </w:pPr>
          </w:p>
        </w:tc>
        <w:tc>
          <w:tcPr>
            <w:tcW w:w="850" w:type="dxa"/>
          </w:tcPr>
          <w:p w14:paraId="0F1D39C2" w14:textId="639AAD88" w:rsidR="00357CEC" w:rsidRPr="001300A9" w:rsidRDefault="00383D96" w:rsidP="00357CEC">
            <w:pPr>
              <w:pStyle w:val="Default"/>
              <w:rPr>
                <w:sz w:val="22"/>
                <w:szCs w:val="22"/>
              </w:rPr>
            </w:pPr>
            <w:r w:rsidRPr="001300A9">
              <w:rPr>
                <w:sz w:val="22"/>
                <w:szCs w:val="22"/>
              </w:rPr>
              <w:t>GP - N</w:t>
            </w:r>
          </w:p>
        </w:tc>
        <w:tc>
          <w:tcPr>
            <w:tcW w:w="815" w:type="dxa"/>
          </w:tcPr>
          <w:p w14:paraId="6F3D8717" w14:textId="77777777" w:rsidR="00357CEC" w:rsidRPr="001300A9" w:rsidRDefault="00357CEC" w:rsidP="00357CEC">
            <w:pPr>
              <w:pStyle w:val="Default"/>
              <w:rPr>
                <w:sz w:val="22"/>
                <w:szCs w:val="22"/>
              </w:rPr>
            </w:pPr>
          </w:p>
        </w:tc>
      </w:tr>
      <w:tr w:rsidR="00DD6EDC" w:rsidRPr="001300A9" w14:paraId="28D6F90C" w14:textId="77777777" w:rsidTr="360410BC">
        <w:tc>
          <w:tcPr>
            <w:tcW w:w="562" w:type="dxa"/>
          </w:tcPr>
          <w:p w14:paraId="597B3CBD" w14:textId="77777777" w:rsidR="00357CEC" w:rsidRPr="001300A9" w:rsidRDefault="00357CEC" w:rsidP="00357CEC">
            <w:pPr>
              <w:pStyle w:val="Default"/>
              <w:rPr>
                <w:sz w:val="22"/>
                <w:szCs w:val="22"/>
              </w:rPr>
            </w:pPr>
            <w:r w:rsidRPr="001300A9">
              <w:rPr>
                <w:sz w:val="22"/>
                <w:szCs w:val="22"/>
              </w:rPr>
              <w:t xml:space="preserve">Č: 5 </w:t>
            </w:r>
          </w:p>
        </w:tc>
        <w:tc>
          <w:tcPr>
            <w:tcW w:w="4820" w:type="dxa"/>
          </w:tcPr>
          <w:p w14:paraId="67D60336" w14:textId="77777777" w:rsidR="00357CEC" w:rsidRPr="001300A9" w:rsidRDefault="00357CEC" w:rsidP="00357CEC">
            <w:pPr>
              <w:pStyle w:val="Default"/>
              <w:rPr>
                <w:i/>
                <w:sz w:val="22"/>
                <w:szCs w:val="22"/>
              </w:rPr>
            </w:pPr>
            <w:r w:rsidRPr="001300A9">
              <w:rPr>
                <w:i/>
                <w:sz w:val="22"/>
                <w:szCs w:val="22"/>
              </w:rPr>
              <w:t>Článok 5</w:t>
            </w:r>
          </w:p>
          <w:p w14:paraId="184625AE" w14:textId="77777777" w:rsidR="00357CEC" w:rsidRPr="001300A9" w:rsidRDefault="00357CEC" w:rsidP="00357CEC">
            <w:pPr>
              <w:pStyle w:val="Default"/>
              <w:rPr>
                <w:i/>
                <w:sz w:val="22"/>
                <w:szCs w:val="22"/>
              </w:rPr>
            </w:pPr>
            <w:r w:rsidRPr="001300A9">
              <w:rPr>
                <w:i/>
                <w:sz w:val="22"/>
                <w:szCs w:val="22"/>
              </w:rPr>
              <w:t>Nadobudnutie účinnosti a uplatňovanie</w:t>
            </w:r>
          </w:p>
          <w:p w14:paraId="56204FBD" w14:textId="77777777" w:rsidR="00357CEC" w:rsidRPr="001300A9" w:rsidRDefault="00357CEC" w:rsidP="00357CEC">
            <w:pPr>
              <w:pStyle w:val="Default"/>
              <w:rPr>
                <w:sz w:val="22"/>
                <w:szCs w:val="22"/>
              </w:rPr>
            </w:pPr>
            <w:r w:rsidRPr="001300A9">
              <w:rPr>
                <w:sz w:val="22"/>
                <w:szCs w:val="22"/>
              </w:rPr>
              <w:t>Táto smernica nadobúda účinnosť dvadsiatym dňom po jej uverejnení v Úradnom vestníku Európskej únie. Článok 2 sa uplatňuje od 1. januára 2024.</w:t>
            </w:r>
          </w:p>
        </w:tc>
        <w:tc>
          <w:tcPr>
            <w:tcW w:w="567" w:type="dxa"/>
          </w:tcPr>
          <w:p w14:paraId="309FE319" w14:textId="77777777" w:rsidR="00357CEC" w:rsidRPr="001300A9" w:rsidRDefault="00357CEC" w:rsidP="00357CEC">
            <w:pPr>
              <w:pStyle w:val="Default"/>
              <w:rPr>
                <w:sz w:val="22"/>
                <w:szCs w:val="22"/>
              </w:rPr>
            </w:pPr>
            <w:proofErr w:type="spellStart"/>
            <w:r w:rsidRPr="001300A9">
              <w:rPr>
                <w:sz w:val="22"/>
                <w:szCs w:val="22"/>
              </w:rPr>
              <w:t>n.a</w:t>
            </w:r>
            <w:proofErr w:type="spellEnd"/>
            <w:r w:rsidRPr="001300A9">
              <w:rPr>
                <w:sz w:val="22"/>
                <w:szCs w:val="22"/>
              </w:rPr>
              <w:t>.</w:t>
            </w:r>
          </w:p>
        </w:tc>
        <w:tc>
          <w:tcPr>
            <w:tcW w:w="283" w:type="dxa"/>
          </w:tcPr>
          <w:p w14:paraId="00D7FCF8" w14:textId="77777777" w:rsidR="00357CEC" w:rsidRPr="001300A9" w:rsidRDefault="00357CEC" w:rsidP="00357CEC">
            <w:pPr>
              <w:pStyle w:val="Default"/>
              <w:rPr>
                <w:sz w:val="22"/>
                <w:szCs w:val="22"/>
              </w:rPr>
            </w:pPr>
          </w:p>
        </w:tc>
        <w:tc>
          <w:tcPr>
            <w:tcW w:w="567" w:type="dxa"/>
          </w:tcPr>
          <w:p w14:paraId="7910631F" w14:textId="77777777" w:rsidR="00357CEC" w:rsidRPr="001300A9" w:rsidRDefault="00357CEC" w:rsidP="00357CEC">
            <w:pPr>
              <w:pStyle w:val="Default"/>
              <w:rPr>
                <w:sz w:val="22"/>
                <w:szCs w:val="22"/>
              </w:rPr>
            </w:pPr>
          </w:p>
        </w:tc>
        <w:tc>
          <w:tcPr>
            <w:tcW w:w="4253" w:type="dxa"/>
          </w:tcPr>
          <w:p w14:paraId="04B7A2D7" w14:textId="77777777" w:rsidR="00357CEC" w:rsidRPr="001300A9" w:rsidRDefault="00357CEC" w:rsidP="00357CEC">
            <w:pPr>
              <w:pStyle w:val="Default"/>
              <w:rPr>
                <w:sz w:val="22"/>
                <w:szCs w:val="22"/>
              </w:rPr>
            </w:pPr>
          </w:p>
        </w:tc>
        <w:tc>
          <w:tcPr>
            <w:tcW w:w="567" w:type="dxa"/>
          </w:tcPr>
          <w:p w14:paraId="13EEB374" w14:textId="77777777" w:rsidR="00357CEC" w:rsidRPr="001300A9" w:rsidRDefault="00357CEC" w:rsidP="00357CEC">
            <w:pPr>
              <w:pStyle w:val="Default"/>
              <w:rPr>
                <w:sz w:val="22"/>
                <w:szCs w:val="22"/>
              </w:rPr>
            </w:pPr>
          </w:p>
        </w:tc>
        <w:tc>
          <w:tcPr>
            <w:tcW w:w="1276" w:type="dxa"/>
          </w:tcPr>
          <w:p w14:paraId="47671619" w14:textId="77777777" w:rsidR="00357CEC" w:rsidRPr="001300A9" w:rsidRDefault="00357CEC" w:rsidP="00357CEC">
            <w:pPr>
              <w:pStyle w:val="Default"/>
              <w:rPr>
                <w:sz w:val="22"/>
                <w:szCs w:val="22"/>
              </w:rPr>
            </w:pPr>
          </w:p>
        </w:tc>
        <w:tc>
          <w:tcPr>
            <w:tcW w:w="850" w:type="dxa"/>
          </w:tcPr>
          <w:p w14:paraId="58C79652" w14:textId="77777777" w:rsidR="00357CEC" w:rsidRPr="001300A9" w:rsidRDefault="00357CEC" w:rsidP="00357CEC">
            <w:pPr>
              <w:pStyle w:val="Default"/>
              <w:rPr>
                <w:sz w:val="22"/>
                <w:szCs w:val="22"/>
              </w:rPr>
            </w:pPr>
          </w:p>
        </w:tc>
        <w:tc>
          <w:tcPr>
            <w:tcW w:w="815" w:type="dxa"/>
          </w:tcPr>
          <w:p w14:paraId="7BDEAE70" w14:textId="77777777" w:rsidR="00357CEC" w:rsidRPr="001300A9" w:rsidRDefault="00357CEC" w:rsidP="00357CEC">
            <w:pPr>
              <w:pStyle w:val="Default"/>
              <w:rPr>
                <w:sz w:val="22"/>
                <w:szCs w:val="22"/>
              </w:rPr>
            </w:pPr>
          </w:p>
        </w:tc>
      </w:tr>
      <w:tr w:rsidR="00DD6EDC" w:rsidRPr="001300A9" w14:paraId="69DDDF2C" w14:textId="77777777" w:rsidTr="360410BC">
        <w:tc>
          <w:tcPr>
            <w:tcW w:w="562" w:type="dxa"/>
          </w:tcPr>
          <w:p w14:paraId="5A1D0CA9" w14:textId="77777777" w:rsidR="00357CEC" w:rsidRPr="001300A9" w:rsidRDefault="00357CEC" w:rsidP="00357CEC">
            <w:pPr>
              <w:pStyle w:val="Default"/>
              <w:rPr>
                <w:sz w:val="22"/>
                <w:szCs w:val="22"/>
              </w:rPr>
            </w:pPr>
            <w:r w:rsidRPr="001300A9">
              <w:rPr>
                <w:sz w:val="22"/>
                <w:szCs w:val="22"/>
              </w:rPr>
              <w:t>Č: 6</w:t>
            </w:r>
          </w:p>
        </w:tc>
        <w:tc>
          <w:tcPr>
            <w:tcW w:w="4820" w:type="dxa"/>
          </w:tcPr>
          <w:p w14:paraId="277B9E4A" w14:textId="77777777" w:rsidR="00357CEC" w:rsidRPr="001300A9" w:rsidRDefault="00357CEC" w:rsidP="00357CEC">
            <w:pPr>
              <w:pStyle w:val="Default"/>
              <w:rPr>
                <w:i/>
                <w:sz w:val="22"/>
                <w:szCs w:val="22"/>
              </w:rPr>
            </w:pPr>
            <w:r w:rsidRPr="001300A9">
              <w:rPr>
                <w:i/>
                <w:sz w:val="22"/>
                <w:szCs w:val="22"/>
              </w:rPr>
              <w:t>Článok 6</w:t>
            </w:r>
          </w:p>
          <w:p w14:paraId="4C745021" w14:textId="77777777" w:rsidR="00357CEC" w:rsidRPr="001300A9" w:rsidRDefault="00357CEC" w:rsidP="00357CEC">
            <w:pPr>
              <w:pStyle w:val="Default"/>
              <w:rPr>
                <w:i/>
                <w:sz w:val="22"/>
                <w:szCs w:val="22"/>
              </w:rPr>
            </w:pPr>
            <w:r w:rsidRPr="001300A9">
              <w:rPr>
                <w:i/>
                <w:sz w:val="22"/>
                <w:szCs w:val="22"/>
              </w:rPr>
              <w:t>Adresáti</w:t>
            </w:r>
          </w:p>
          <w:p w14:paraId="2532D443" w14:textId="77777777" w:rsidR="00357CEC" w:rsidRPr="001300A9" w:rsidRDefault="00357CEC" w:rsidP="00357CEC">
            <w:pPr>
              <w:pStyle w:val="Default"/>
              <w:rPr>
                <w:sz w:val="22"/>
                <w:szCs w:val="22"/>
              </w:rPr>
            </w:pPr>
            <w:r w:rsidRPr="001300A9">
              <w:rPr>
                <w:sz w:val="22"/>
                <w:szCs w:val="22"/>
              </w:rPr>
              <w:t>Táto smernica je určená členským štátom.</w:t>
            </w:r>
          </w:p>
        </w:tc>
        <w:tc>
          <w:tcPr>
            <w:tcW w:w="567" w:type="dxa"/>
          </w:tcPr>
          <w:p w14:paraId="2A05D2C0" w14:textId="77777777" w:rsidR="00357CEC" w:rsidRPr="001300A9" w:rsidRDefault="00357CEC" w:rsidP="00357CEC">
            <w:pPr>
              <w:pStyle w:val="Default"/>
              <w:rPr>
                <w:sz w:val="22"/>
                <w:szCs w:val="22"/>
              </w:rPr>
            </w:pPr>
            <w:proofErr w:type="spellStart"/>
            <w:r w:rsidRPr="001300A9">
              <w:rPr>
                <w:sz w:val="22"/>
                <w:szCs w:val="22"/>
              </w:rPr>
              <w:t>n.a</w:t>
            </w:r>
            <w:proofErr w:type="spellEnd"/>
            <w:r w:rsidRPr="001300A9">
              <w:rPr>
                <w:sz w:val="22"/>
                <w:szCs w:val="22"/>
              </w:rPr>
              <w:t>.</w:t>
            </w:r>
          </w:p>
        </w:tc>
        <w:tc>
          <w:tcPr>
            <w:tcW w:w="283" w:type="dxa"/>
          </w:tcPr>
          <w:p w14:paraId="3C72E35F" w14:textId="77777777" w:rsidR="00357CEC" w:rsidRPr="001300A9" w:rsidRDefault="00357CEC" w:rsidP="00357CEC">
            <w:pPr>
              <w:pStyle w:val="Default"/>
              <w:rPr>
                <w:sz w:val="22"/>
                <w:szCs w:val="22"/>
              </w:rPr>
            </w:pPr>
          </w:p>
        </w:tc>
        <w:tc>
          <w:tcPr>
            <w:tcW w:w="567" w:type="dxa"/>
          </w:tcPr>
          <w:p w14:paraId="1E898244" w14:textId="77777777" w:rsidR="00357CEC" w:rsidRPr="001300A9" w:rsidRDefault="00357CEC" w:rsidP="00357CEC">
            <w:pPr>
              <w:pStyle w:val="Default"/>
              <w:rPr>
                <w:sz w:val="22"/>
                <w:szCs w:val="22"/>
              </w:rPr>
            </w:pPr>
          </w:p>
        </w:tc>
        <w:tc>
          <w:tcPr>
            <w:tcW w:w="4253" w:type="dxa"/>
          </w:tcPr>
          <w:p w14:paraId="1C571A83" w14:textId="77777777" w:rsidR="00357CEC" w:rsidRPr="001300A9" w:rsidRDefault="00357CEC" w:rsidP="00357CEC">
            <w:pPr>
              <w:pStyle w:val="Default"/>
              <w:rPr>
                <w:sz w:val="22"/>
                <w:szCs w:val="22"/>
              </w:rPr>
            </w:pPr>
          </w:p>
        </w:tc>
        <w:tc>
          <w:tcPr>
            <w:tcW w:w="567" w:type="dxa"/>
          </w:tcPr>
          <w:p w14:paraId="54A0C2B8" w14:textId="77777777" w:rsidR="00357CEC" w:rsidRPr="001300A9" w:rsidRDefault="00357CEC" w:rsidP="00357CEC">
            <w:pPr>
              <w:pStyle w:val="Default"/>
              <w:rPr>
                <w:sz w:val="22"/>
                <w:szCs w:val="22"/>
              </w:rPr>
            </w:pPr>
          </w:p>
        </w:tc>
        <w:tc>
          <w:tcPr>
            <w:tcW w:w="1276" w:type="dxa"/>
          </w:tcPr>
          <w:p w14:paraId="365AF059" w14:textId="77777777" w:rsidR="00357CEC" w:rsidRPr="001300A9" w:rsidRDefault="00357CEC" w:rsidP="00357CEC">
            <w:pPr>
              <w:pStyle w:val="Default"/>
              <w:rPr>
                <w:sz w:val="22"/>
                <w:szCs w:val="22"/>
              </w:rPr>
            </w:pPr>
          </w:p>
        </w:tc>
        <w:tc>
          <w:tcPr>
            <w:tcW w:w="850" w:type="dxa"/>
          </w:tcPr>
          <w:p w14:paraId="59C36890" w14:textId="77777777" w:rsidR="00357CEC" w:rsidRPr="001300A9" w:rsidRDefault="00357CEC" w:rsidP="00357CEC">
            <w:pPr>
              <w:pStyle w:val="Default"/>
              <w:rPr>
                <w:sz w:val="22"/>
                <w:szCs w:val="22"/>
              </w:rPr>
            </w:pPr>
          </w:p>
        </w:tc>
        <w:tc>
          <w:tcPr>
            <w:tcW w:w="815" w:type="dxa"/>
          </w:tcPr>
          <w:p w14:paraId="388F3B2C" w14:textId="77777777" w:rsidR="00357CEC" w:rsidRPr="001300A9" w:rsidRDefault="00357CEC" w:rsidP="00357CEC">
            <w:pPr>
              <w:pStyle w:val="Default"/>
              <w:rPr>
                <w:sz w:val="22"/>
                <w:szCs w:val="22"/>
              </w:rPr>
            </w:pPr>
          </w:p>
        </w:tc>
      </w:tr>
      <w:tr w:rsidR="00DD6EDC" w:rsidRPr="001300A9" w14:paraId="1EAB096C" w14:textId="77777777" w:rsidTr="360410BC">
        <w:tc>
          <w:tcPr>
            <w:tcW w:w="562" w:type="dxa"/>
          </w:tcPr>
          <w:p w14:paraId="7FC7932A" w14:textId="77777777" w:rsidR="00357CEC" w:rsidRPr="001300A9" w:rsidRDefault="00357CEC" w:rsidP="00357CEC">
            <w:pPr>
              <w:pStyle w:val="Default"/>
              <w:rPr>
                <w:sz w:val="22"/>
                <w:szCs w:val="22"/>
              </w:rPr>
            </w:pPr>
            <w:r w:rsidRPr="001300A9">
              <w:rPr>
                <w:sz w:val="22"/>
                <w:szCs w:val="22"/>
              </w:rPr>
              <w:t>Príloha</w:t>
            </w:r>
          </w:p>
          <w:p w14:paraId="2665BFF3" w14:textId="77777777" w:rsidR="00357CEC" w:rsidRPr="001300A9" w:rsidRDefault="00357CEC" w:rsidP="00357CEC">
            <w:pPr>
              <w:pStyle w:val="Default"/>
              <w:rPr>
                <w:sz w:val="22"/>
                <w:szCs w:val="22"/>
              </w:rPr>
            </w:pPr>
            <w:r w:rsidRPr="001300A9">
              <w:rPr>
                <w:sz w:val="22"/>
                <w:szCs w:val="22"/>
              </w:rPr>
              <w:t>O: 1</w:t>
            </w:r>
          </w:p>
          <w:p w14:paraId="28819356" w14:textId="77777777" w:rsidR="00357CEC" w:rsidRPr="001300A9" w:rsidRDefault="00357CEC" w:rsidP="00357CEC">
            <w:pPr>
              <w:pStyle w:val="Default"/>
              <w:rPr>
                <w:sz w:val="22"/>
                <w:szCs w:val="22"/>
              </w:rPr>
            </w:pPr>
            <w:r w:rsidRPr="001300A9">
              <w:rPr>
                <w:sz w:val="22"/>
                <w:szCs w:val="22"/>
              </w:rPr>
              <w:t>P: a)</w:t>
            </w:r>
          </w:p>
        </w:tc>
        <w:tc>
          <w:tcPr>
            <w:tcW w:w="4820" w:type="dxa"/>
          </w:tcPr>
          <w:p w14:paraId="0DFE1DB7" w14:textId="034D3F70" w:rsidR="00357CEC" w:rsidRPr="001300A9" w:rsidRDefault="00357CEC" w:rsidP="00357CEC">
            <w:pPr>
              <w:pStyle w:val="Default"/>
              <w:rPr>
                <w:sz w:val="22"/>
                <w:szCs w:val="22"/>
              </w:rPr>
            </w:pPr>
            <w:r w:rsidRPr="001300A9">
              <w:rPr>
                <w:sz w:val="22"/>
                <w:szCs w:val="22"/>
              </w:rPr>
              <w:t xml:space="preserve">1. Táto smernica sa nevzťahuje na zariadenia ani časti zariadení používané na výskum, vývoj a testovanie nových výrobkov a procesov. Táto smernica sa nevzťahuje na zariadenia, v prípade ktorých počas predchádzajúceho relevantného päťročného obdobia uvedeného v článku 11 ods. 1 druhom </w:t>
            </w:r>
            <w:proofErr w:type="spellStart"/>
            <w:r w:rsidRPr="001300A9">
              <w:rPr>
                <w:sz w:val="22"/>
                <w:szCs w:val="22"/>
              </w:rPr>
              <w:t>pododseku</w:t>
            </w:r>
            <w:proofErr w:type="spellEnd"/>
            <w:r w:rsidRPr="001300A9">
              <w:rPr>
                <w:sz w:val="22"/>
                <w:szCs w:val="22"/>
              </w:rPr>
              <w:t xml:space="preserve"> emisie zo spaľovania biomasy v súlade s kritériami stanovenými podľa článku 14 prispievajú v priemere k viac ako 95 % celkových priemerných emisií skleníkových plynov. </w:t>
            </w:r>
          </w:p>
        </w:tc>
        <w:tc>
          <w:tcPr>
            <w:tcW w:w="567" w:type="dxa"/>
          </w:tcPr>
          <w:p w14:paraId="68C6B64B" w14:textId="77777777" w:rsidR="00357CEC" w:rsidRPr="001300A9" w:rsidRDefault="00357CEC" w:rsidP="00357CEC">
            <w:pPr>
              <w:pStyle w:val="Default"/>
              <w:rPr>
                <w:sz w:val="22"/>
                <w:szCs w:val="22"/>
              </w:rPr>
            </w:pPr>
            <w:r w:rsidRPr="001300A9">
              <w:rPr>
                <w:sz w:val="22"/>
                <w:szCs w:val="22"/>
              </w:rPr>
              <w:t>N</w:t>
            </w:r>
          </w:p>
          <w:p w14:paraId="2A4C39A8" w14:textId="77777777" w:rsidR="00357CEC" w:rsidRPr="001300A9" w:rsidRDefault="00357CEC" w:rsidP="00357CEC">
            <w:pPr>
              <w:pStyle w:val="Default"/>
              <w:rPr>
                <w:sz w:val="22"/>
                <w:szCs w:val="22"/>
              </w:rPr>
            </w:pPr>
          </w:p>
        </w:tc>
        <w:tc>
          <w:tcPr>
            <w:tcW w:w="283" w:type="dxa"/>
          </w:tcPr>
          <w:p w14:paraId="494CB6C6" w14:textId="6FE5B83E" w:rsidR="00357CEC" w:rsidRPr="001300A9" w:rsidRDefault="00436704" w:rsidP="00357CEC">
            <w:pPr>
              <w:pStyle w:val="Default"/>
              <w:rPr>
                <w:sz w:val="22"/>
                <w:szCs w:val="22"/>
              </w:rPr>
            </w:pPr>
            <w:r>
              <w:rPr>
                <w:sz w:val="22"/>
                <w:szCs w:val="22"/>
              </w:rPr>
              <w:t>NZ</w:t>
            </w:r>
          </w:p>
        </w:tc>
        <w:tc>
          <w:tcPr>
            <w:tcW w:w="567" w:type="dxa"/>
          </w:tcPr>
          <w:p w14:paraId="1F0CB47B" w14:textId="39F29FBD" w:rsidR="00357CEC" w:rsidRPr="000B0A6E" w:rsidRDefault="003C7A57" w:rsidP="00357CEC">
            <w:pPr>
              <w:pStyle w:val="Default"/>
              <w:rPr>
                <w:sz w:val="22"/>
                <w:szCs w:val="22"/>
              </w:rPr>
            </w:pPr>
            <w:r w:rsidRPr="000B0A6E">
              <w:rPr>
                <w:sz w:val="22"/>
                <w:szCs w:val="22"/>
              </w:rPr>
              <w:t>Príloha č. 1</w:t>
            </w:r>
          </w:p>
          <w:p w14:paraId="45749166" w14:textId="77777777" w:rsidR="00532ACF" w:rsidRPr="001300A9" w:rsidRDefault="00532ACF" w:rsidP="00357CEC">
            <w:pPr>
              <w:pStyle w:val="Default"/>
              <w:rPr>
                <w:sz w:val="22"/>
                <w:szCs w:val="22"/>
              </w:rPr>
            </w:pPr>
            <w:r w:rsidRPr="000B0A6E">
              <w:rPr>
                <w:sz w:val="22"/>
                <w:szCs w:val="22"/>
              </w:rPr>
              <w:t>Bod 1</w:t>
            </w:r>
          </w:p>
        </w:tc>
        <w:tc>
          <w:tcPr>
            <w:tcW w:w="4253" w:type="dxa"/>
          </w:tcPr>
          <w:p w14:paraId="23FAD12B" w14:textId="77777777" w:rsidR="00357CEC" w:rsidRPr="001300A9" w:rsidRDefault="00532ACF" w:rsidP="00357CEC">
            <w:pPr>
              <w:pStyle w:val="Default"/>
              <w:rPr>
                <w:sz w:val="22"/>
                <w:szCs w:val="22"/>
              </w:rPr>
            </w:pPr>
            <w:r w:rsidRPr="001300A9">
              <w:rPr>
                <w:sz w:val="22"/>
                <w:szCs w:val="22"/>
              </w:rPr>
              <w:t>Systém obchodovania sa nevzťahuje na prevádzky ani ich časti používané na výskum, vývoj a testovanie nových výrobkov a procesov. Systém obchodovania sa nevzťahuje na prevádzky, v prípade ktorých počas predchádzajúceho relevantného päťročného obdobia uvedeného v § 9 ods. 1 emisie zo spaľovania biomasy v súlade s kritériami stanovenými podľa osobitného predpisu1a) prispievajú v priemere k viac ako 95 % celkových priemerných emisií skleníkových plynov.</w:t>
            </w:r>
          </w:p>
        </w:tc>
        <w:tc>
          <w:tcPr>
            <w:tcW w:w="567" w:type="dxa"/>
          </w:tcPr>
          <w:p w14:paraId="683733AA" w14:textId="77777777" w:rsidR="00357CEC" w:rsidRPr="001300A9" w:rsidRDefault="00532ACF" w:rsidP="00357CEC">
            <w:pPr>
              <w:pStyle w:val="Default"/>
              <w:rPr>
                <w:sz w:val="22"/>
                <w:szCs w:val="22"/>
              </w:rPr>
            </w:pPr>
            <w:r w:rsidRPr="001300A9">
              <w:rPr>
                <w:sz w:val="22"/>
                <w:szCs w:val="22"/>
              </w:rPr>
              <w:t>Ú</w:t>
            </w:r>
          </w:p>
        </w:tc>
        <w:tc>
          <w:tcPr>
            <w:tcW w:w="1276" w:type="dxa"/>
          </w:tcPr>
          <w:p w14:paraId="28C5E0D1" w14:textId="77777777" w:rsidR="00357CEC" w:rsidRPr="001300A9" w:rsidRDefault="00357CEC" w:rsidP="00357CEC">
            <w:pPr>
              <w:pStyle w:val="Default"/>
              <w:rPr>
                <w:sz w:val="22"/>
                <w:szCs w:val="22"/>
              </w:rPr>
            </w:pPr>
          </w:p>
        </w:tc>
        <w:tc>
          <w:tcPr>
            <w:tcW w:w="850" w:type="dxa"/>
          </w:tcPr>
          <w:p w14:paraId="4A4E8685" w14:textId="77777777" w:rsidR="00357CEC" w:rsidRPr="001300A9" w:rsidRDefault="00532ACF" w:rsidP="00357CEC">
            <w:pPr>
              <w:pStyle w:val="Default"/>
              <w:rPr>
                <w:sz w:val="22"/>
                <w:szCs w:val="22"/>
              </w:rPr>
            </w:pPr>
            <w:r w:rsidRPr="001300A9">
              <w:rPr>
                <w:sz w:val="22"/>
                <w:szCs w:val="22"/>
              </w:rPr>
              <w:t>GP - N</w:t>
            </w:r>
          </w:p>
        </w:tc>
        <w:tc>
          <w:tcPr>
            <w:tcW w:w="815" w:type="dxa"/>
          </w:tcPr>
          <w:p w14:paraId="418B78EE" w14:textId="77777777" w:rsidR="00357CEC" w:rsidRPr="001300A9" w:rsidRDefault="00357CEC" w:rsidP="00357CEC">
            <w:pPr>
              <w:pStyle w:val="Default"/>
              <w:rPr>
                <w:sz w:val="22"/>
                <w:szCs w:val="22"/>
              </w:rPr>
            </w:pPr>
          </w:p>
        </w:tc>
      </w:tr>
      <w:tr w:rsidR="00DD6EDC" w:rsidRPr="001300A9" w14:paraId="7C0DADC5" w14:textId="77777777" w:rsidTr="360410BC">
        <w:tc>
          <w:tcPr>
            <w:tcW w:w="562" w:type="dxa"/>
          </w:tcPr>
          <w:p w14:paraId="2295283D" w14:textId="77777777" w:rsidR="00357CEC" w:rsidRPr="001300A9" w:rsidRDefault="00357CEC" w:rsidP="00357CEC">
            <w:pPr>
              <w:pStyle w:val="Default"/>
              <w:rPr>
                <w:sz w:val="22"/>
                <w:szCs w:val="22"/>
              </w:rPr>
            </w:pPr>
            <w:r w:rsidRPr="001300A9">
              <w:rPr>
                <w:sz w:val="22"/>
                <w:szCs w:val="22"/>
              </w:rPr>
              <w:t>Príloha</w:t>
            </w:r>
          </w:p>
          <w:p w14:paraId="4F3561E2" w14:textId="77777777" w:rsidR="00357CEC" w:rsidRPr="001300A9" w:rsidRDefault="00357CEC" w:rsidP="00357CEC">
            <w:pPr>
              <w:pStyle w:val="Default"/>
              <w:rPr>
                <w:sz w:val="22"/>
                <w:szCs w:val="22"/>
              </w:rPr>
            </w:pPr>
            <w:r w:rsidRPr="001300A9">
              <w:rPr>
                <w:sz w:val="22"/>
                <w:szCs w:val="22"/>
              </w:rPr>
              <w:t>O: 1</w:t>
            </w:r>
          </w:p>
          <w:p w14:paraId="4DF8FE02" w14:textId="77777777" w:rsidR="00357CEC" w:rsidRPr="001300A9" w:rsidRDefault="00357CEC" w:rsidP="00357CEC">
            <w:pPr>
              <w:pStyle w:val="Default"/>
              <w:rPr>
                <w:sz w:val="22"/>
                <w:szCs w:val="22"/>
              </w:rPr>
            </w:pPr>
            <w:r w:rsidRPr="001300A9">
              <w:rPr>
                <w:sz w:val="22"/>
                <w:szCs w:val="22"/>
              </w:rPr>
              <w:t>P: b)</w:t>
            </w:r>
          </w:p>
        </w:tc>
        <w:tc>
          <w:tcPr>
            <w:tcW w:w="4820" w:type="dxa"/>
          </w:tcPr>
          <w:p w14:paraId="64356393" w14:textId="55393279" w:rsidR="00357CEC" w:rsidRPr="001300A9" w:rsidRDefault="00357CEC" w:rsidP="00357CEC">
            <w:pPr>
              <w:pStyle w:val="Default"/>
              <w:rPr>
                <w:sz w:val="22"/>
                <w:szCs w:val="22"/>
              </w:rPr>
            </w:pPr>
            <w:r w:rsidRPr="001300A9">
              <w:rPr>
                <w:sz w:val="22"/>
                <w:szCs w:val="22"/>
              </w:rPr>
              <w:t xml:space="preserve">3. S cieľom rozhodnúť o začlenení zariadenia do systému EU ETS sa pri výpočte celkového menovitého tepelného príkonu zariadenia spočítajú menovité tepelné príkony všetkých technických jednotiek, ktoré sú jeho súčasťou a v ktorých sa v rámci daného zariadenia spaľujú palivá. Uvedené jednotky môžu zahŕňať všetky typy kotlov, horákov, turbín, ohrievačov, priemyselných pecí, spaľovacích pecí, </w:t>
            </w:r>
            <w:proofErr w:type="spellStart"/>
            <w:r w:rsidRPr="001300A9">
              <w:rPr>
                <w:sz w:val="22"/>
                <w:szCs w:val="22"/>
              </w:rPr>
              <w:t>vypaľovacích</w:t>
            </w:r>
            <w:proofErr w:type="spellEnd"/>
            <w:r w:rsidRPr="001300A9">
              <w:rPr>
                <w:sz w:val="22"/>
                <w:szCs w:val="22"/>
              </w:rPr>
              <w:t xml:space="preserve"> pecí, sušiacich pecí, pecí, sušičiek, motorov, palivových článkov, chemických spaľovacích jednotiek, fakieľ resp. poľných horákov a termických alebo katalytických jednotiek dodatočného spaľovania. Jednotky s menovitým tepelným príkonom nižším ako 3 MW sa na účely tohto výpočtu neberú do úvahy.</w:t>
            </w:r>
          </w:p>
        </w:tc>
        <w:tc>
          <w:tcPr>
            <w:tcW w:w="567" w:type="dxa"/>
          </w:tcPr>
          <w:p w14:paraId="6F39D7DD" w14:textId="77777777" w:rsidR="00357CEC" w:rsidRPr="001300A9" w:rsidRDefault="00357CEC" w:rsidP="00357CEC">
            <w:pPr>
              <w:pStyle w:val="Default"/>
              <w:rPr>
                <w:sz w:val="22"/>
                <w:szCs w:val="22"/>
              </w:rPr>
            </w:pPr>
            <w:r w:rsidRPr="001300A9">
              <w:rPr>
                <w:sz w:val="22"/>
                <w:szCs w:val="22"/>
              </w:rPr>
              <w:t>N</w:t>
            </w:r>
          </w:p>
          <w:p w14:paraId="191B34D8" w14:textId="77777777" w:rsidR="00357CEC" w:rsidRPr="001300A9" w:rsidRDefault="00357CEC" w:rsidP="00357CEC">
            <w:pPr>
              <w:pStyle w:val="Default"/>
              <w:rPr>
                <w:sz w:val="22"/>
                <w:szCs w:val="22"/>
              </w:rPr>
            </w:pPr>
          </w:p>
        </w:tc>
        <w:tc>
          <w:tcPr>
            <w:tcW w:w="283" w:type="dxa"/>
          </w:tcPr>
          <w:p w14:paraId="43C70A2D" w14:textId="7A84CD25" w:rsidR="00357CEC" w:rsidRPr="001300A9" w:rsidRDefault="00436704" w:rsidP="00357CEC">
            <w:pPr>
              <w:pStyle w:val="Default"/>
              <w:rPr>
                <w:sz w:val="22"/>
                <w:szCs w:val="22"/>
              </w:rPr>
            </w:pPr>
            <w:r>
              <w:rPr>
                <w:sz w:val="22"/>
                <w:szCs w:val="22"/>
              </w:rPr>
              <w:t>NZ</w:t>
            </w:r>
          </w:p>
        </w:tc>
        <w:tc>
          <w:tcPr>
            <w:tcW w:w="567" w:type="dxa"/>
          </w:tcPr>
          <w:p w14:paraId="45DE33AB" w14:textId="4630AE45" w:rsidR="00357CEC" w:rsidRPr="000B0A6E" w:rsidRDefault="003C7A57" w:rsidP="00357CEC">
            <w:pPr>
              <w:pStyle w:val="Default"/>
              <w:rPr>
                <w:sz w:val="22"/>
                <w:szCs w:val="22"/>
              </w:rPr>
            </w:pPr>
            <w:r w:rsidRPr="000B0A6E">
              <w:rPr>
                <w:sz w:val="22"/>
                <w:szCs w:val="22"/>
              </w:rPr>
              <w:t>Príloha č. 1</w:t>
            </w:r>
          </w:p>
          <w:p w14:paraId="7871005C" w14:textId="77777777" w:rsidR="00920B01" w:rsidRPr="001300A9" w:rsidRDefault="00920B01" w:rsidP="00357CEC">
            <w:pPr>
              <w:pStyle w:val="Default"/>
              <w:rPr>
                <w:sz w:val="22"/>
                <w:szCs w:val="22"/>
              </w:rPr>
            </w:pPr>
            <w:r w:rsidRPr="000B0A6E">
              <w:rPr>
                <w:sz w:val="22"/>
                <w:szCs w:val="22"/>
              </w:rPr>
              <w:t>Bod 3</w:t>
            </w:r>
          </w:p>
        </w:tc>
        <w:tc>
          <w:tcPr>
            <w:tcW w:w="4253" w:type="dxa"/>
          </w:tcPr>
          <w:p w14:paraId="2227B013" w14:textId="2E6C74C5" w:rsidR="00357CEC" w:rsidRPr="006902A0" w:rsidRDefault="006902A0" w:rsidP="00357CEC">
            <w:pPr>
              <w:pStyle w:val="Default"/>
              <w:rPr>
                <w:sz w:val="22"/>
                <w:szCs w:val="22"/>
              </w:rPr>
            </w:pPr>
            <w:r w:rsidRPr="006902A0">
              <w:rPr>
                <w:sz w:val="22"/>
              </w:rPr>
              <w:t xml:space="preserve">Prahová hodnota menovitého tepelného príkonu spaľovacích zariadení je 20 MW. Na účely posúdenia hranice 20 MW menovitého tepelného príkonu sa sčítajú menovité tepelné príkony všetkých spaľovacích zariadení, ktoré majú menovitý tepelný príkon rovný alebo väčší ako 3 MW. Uvedené zariadenia môžu zahŕňať všetky typy kotlov, horákov, turbín, ohrievačov, priemyselných pecí, spaľovacích pecí, </w:t>
            </w:r>
            <w:proofErr w:type="spellStart"/>
            <w:r w:rsidRPr="006902A0">
              <w:rPr>
                <w:sz w:val="22"/>
              </w:rPr>
              <w:t>vypaľovacích</w:t>
            </w:r>
            <w:proofErr w:type="spellEnd"/>
            <w:r w:rsidRPr="006902A0">
              <w:rPr>
                <w:sz w:val="22"/>
              </w:rPr>
              <w:t xml:space="preserve"> pecí, sušiacich pecí, pecí, sušičiek, motorov, palivových článkov, chemických spaľovacích jednotiek, fakieľ resp. poľných horákov a termických alebo katalytických jednotiek dodatočného spaľovania. Ak je hodnota súčtov menovitých tepelných príkonov väčšia ako 20 MW, do povolenia je potrebné zahrnúť všetky spaľovacie zariadenia v prevádzke, t. j. aj tie, ktoré majú menší menovitý tepelný príkon ako 3 MW. V oboch prípadoch sa berú do úvahy aj rezervné a záložné zariadenia. Rezervné a záložné zariadenia sa nezapočítavajú na účely celkového menovitého tepelného príkonu vtedy, ak technicky nemôžu paralelne fungovať s hlavnými zariadeniami z technických alebo legislatívnych dôvodov.</w:t>
            </w:r>
          </w:p>
        </w:tc>
        <w:tc>
          <w:tcPr>
            <w:tcW w:w="567" w:type="dxa"/>
          </w:tcPr>
          <w:p w14:paraId="679A9D0B" w14:textId="77777777" w:rsidR="00357CEC" w:rsidRPr="001300A9" w:rsidRDefault="00920B01" w:rsidP="00357CEC">
            <w:pPr>
              <w:pStyle w:val="Default"/>
              <w:rPr>
                <w:sz w:val="22"/>
                <w:szCs w:val="22"/>
              </w:rPr>
            </w:pPr>
            <w:r w:rsidRPr="001300A9">
              <w:rPr>
                <w:sz w:val="22"/>
                <w:szCs w:val="22"/>
              </w:rPr>
              <w:t>Ú</w:t>
            </w:r>
          </w:p>
        </w:tc>
        <w:tc>
          <w:tcPr>
            <w:tcW w:w="1276" w:type="dxa"/>
          </w:tcPr>
          <w:p w14:paraId="3187AE86" w14:textId="77777777" w:rsidR="00357CEC" w:rsidRPr="001300A9" w:rsidRDefault="00357CEC" w:rsidP="00357CEC">
            <w:pPr>
              <w:pStyle w:val="Default"/>
              <w:rPr>
                <w:sz w:val="22"/>
                <w:szCs w:val="22"/>
              </w:rPr>
            </w:pPr>
          </w:p>
        </w:tc>
        <w:tc>
          <w:tcPr>
            <w:tcW w:w="850" w:type="dxa"/>
          </w:tcPr>
          <w:p w14:paraId="3D3F2A5D" w14:textId="77777777" w:rsidR="00357CEC" w:rsidRPr="001300A9" w:rsidRDefault="00920B01" w:rsidP="00357CEC">
            <w:pPr>
              <w:pStyle w:val="Default"/>
              <w:rPr>
                <w:sz w:val="22"/>
                <w:szCs w:val="22"/>
              </w:rPr>
            </w:pPr>
            <w:r w:rsidRPr="001300A9">
              <w:rPr>
                <w:sz w:val="22"/>
                <w:szCs w:val="22"/>
              </w:rPr>
              <w:t>GP - N</w:t>
            </w:r>
          </w:p>
        </w:tc>
        <w:tc>
          <w:tcPr>
            <w:tcW w:w="815" w:type="dxa"/>
          </w:tcPr>
          <w:p w14:paraId="3B4909E7" w14:textId="77777777" w:rsidR="00357CEC" w:rsidRPr="001300A9" w:rsidRDefault="00357CEC" w:rsidP="00357CEC">
            <w:pPr>
              <w:pStyle w:val="Default"/>
              <w:rPr>
                <w:sz w:val="22"/>
                <w:szCs w:val="22"/>
              </w:rPr>
            </w:pPr>
          </w:p>
        </w:tc>
      </w:tr>
      <w:tr w:rsidR="00DD6EDC" w:rsidRPr="001300A9" w14:paraId="3B40568A" w14:textId="77777777" w:rsidTr="360410BC">
        <w:tc>
          <w:tcPr>
            <w:tcW w:w="562" w:type="dxa"/>
          </w:tcPr>
          <w:p w14:paraId="33D04A04" w14:textId="77777777" w:rsidR="00357CEC" w:rsidRPr="001300A9" w:rsidRDefault="00357CEC" w:rsidP="00357CEC">
            <w:pPr>
              <w:pStyle w:val="Default"/>
              <w:rPr>
                <w:sz w:val="22"/>
                <w:szCs w:val="22"/>
              </w:rPr>
            </w:pPr>
            <w:r w:rsidRPr="001300A9">
              <w:rPr>
                <w:sz w:val="22"/>
                <w:szCs w:val="22"/>
              </w:rPr>
              <w:t>Príloha</w:t>
            </w:r>
          </w:p>
          <w:p w14:paraId="58B44136" w14:textId="77777777" w:rsidR="00357CEC" w:rsidRPr="001300A9" w:rsidRDefault="00357CEC" w:rsidP="00357CEC">
            <w:pPr>
              <w:pStyle w:val="Default"/>
              <w:rPr>
                <w:sz w:val="22"/>
                <w:szCs w:val="22"/>
              </w:rPr>
            </w:pPr>
            <w:r w:rsidRPr="001300A9">
              <w:rPr>
                <w:sz w:val="22"/>
                <w:szCs w:val="22"/>
              </w:rPr>
              <w:t>O: 1</w:t>
            </w:r>
          </w:p>
          <w:p w14:paraId="16369295" w14:textId="77777777" w:rsidR="00357CEC" w:rsidRPr="001300A9" w:rsidRDefault="00357CEC" w:rsidP="00357CEC">
            <w:pPr>
              <w:pStyle w:val="Default"/>
              <w:rPr>
                <w:sz w:val="22"/>
                <w:szCs w:val="22"/>
              </w:rPr>
            </w:pPr>
            <w:r w:rsidRPr="001300A9">
              <w:rPr>
                <w:sz w:val="22"/>
                <w:szCs w:val="22"/>
              </w:rPr>
              <w:t>P: c) i)</w:t>
            </w:r>
          </w:p>
        </w:tc>
        <w:tc>
          <w:tcPr>
            <w:tcW w:w="4820" w:type="dxa"/>
          </w:tcPr>
          <w:p w14:paraId="46A20910" w14:textId="77777777" w:rsidR="00357CEC" w:rsidRPr="001300A9" w:rsidRDefault="00357CEC" w:rsidP="00357CEC">
            <w:pPr>
              <w:pStyle w:val="Default"/>
              <w:rPr>
                <w:sz w:val="22"/>
                <w:szCs w:val="22"/>
              </w:rPr>
            </w:pPr>
            <w:r w:rsidRPr="001300A9">
              <w:rPr>
                <w:sz w:val="22"/>
                <w:szCs w:val="22"/>
              </w:rPr>
              <w:t xml:space="preserve">Spaľovanie palív v zariadeniach s celkovým menovitým tepelným príkonom väčším ako 20 MW             </w:t>
            </w:r>
          </w:p>
          <w:p w14:paraId="514287B9" w14:textId="77777777" w:rsidR="00357CEC" w:rsidRPr="001300A9" w:rsidRDefault="00357CEC" w:rsidP="00357CEC">
            <w:pPr>
              <w:pStyle w:val="Default"/>
              <w:rPr>
                <w:sz w:val="22"/>
                <w:szCs w:val="22"/>
              </w:rPr>
            </w:pPr>
            <w:r w:rsidRPr="001300A9">
              <w:rPr>
                <w:sz w:val="22"/>
                <w:szCs w:val="22"/>
              </w:rPr>
              <w:t>(okrem zariadení na spaľovanie nebezpečného alebo komunálneho odpadu)</w:t>
            </w:r>
          </w:p>
          <w:p w14:paraId="005DA70B" w14:textId="77777777" w:rsidR="00357CEC" w:rsidRPr="001300A9" w:rsidRDefault="00357CEC" w:rsidP="00357CEC">
            <w:pPr>
              <w:pStyle w:val="Default"/>
              <w:rPr>
                <w:sz w:val="22"/>
                <w:szCs w:val="22"/>
              </w:rPr>
            </w:pPr>
            <w:r w:rsidRPr="001300A9">
              <w:rPr>
                <w:sz w:val="22"/>
                <w:szCs w:val="22"/>
              </w:rPr>
              <w:t xml:space="preserve">Od 1. januára 2024 spaľovanie palív v zariadeniach na spaľovanie komunálneho odpadu s </w:t>
            </w:r>
          </w:p>
          <w:p w14:paraId="23DDF484" w14:textId="77777777" w:rsidR="00357CEC" w:rsidRPr="001300A9" w:rsidRDefault="00357CEC" w:rsidP="00357CEC">
            <w:pPr>
              <w:pStyle w:val="Default"/>
              <w:rPr>
                <w:sz w:val="22"/>
                <w:szCs w:val="22"/>
              </w:rPr>
            </w:pPr>
            <w:r w:rsidRPr="001300A9">
              <w:rPr>
                <w:sz w:val="22"/>
                <w:szCs w:val="22"/>
              </w:rPr>
              <w:t>celkovým menovitým tepelným príkonom väčším ako 20 MW na účely článkov 14 a 15.</w:t>
            </w:r>
            <w:r w:rsidRPr="001300A9">
              <w:rPr>
                <w:sz w:val="22"/>
                <w:szCs w:val="22"/>
              </w:rPr>
              <w:tab/>
            </w:r>
          </w:p>
          <w:p w14:paraId="14FA232E" w14:textId="77777777" w:rsidR="00920B01" w:rsidRPr="001300A9" w:rsidRDefault="00920B01" w:rsidP="00357CEC">
            <w:pPr>
              <w:pStyle w:val="Default"/>
              <w:rPr>
                <w:sz w:val="22"/>
                <w:szCs w:val="22"/>
              </w:rPr>
            </w:pPr>
            <w:r w:rsidRPr="001300A9">
              <w:rPr>
                <w:sz w:val="22"/>
                <w:szCs w:val="22"/>
              </w:rPr>
              <w:t>Oxid uhličitý</w:t>
            </w:r>
          </w:p>
        </w:tc>
        <w:tc>
          <w:tcPr>
            <w:tcW w:w="567" w:type="dxa"/>
          </w:tcPr>
          <w:p w14:paraId="5B24588D" w14:textId="77777777" w:rsidR="00357CEC" w:rsidRPr="001300A9" w:rsidRDefault="00357CEC" w:rsidP="00357CEC">
            <w:pPr>
              <w:pStyle w:val="Default"/>
              <w:rPr>
                <w:sz w:val="22"/>
                <w:szCs w:val="22"/>
              </w:rPr>
            </w:pPr>
            <w:r w:rsidRPr="001300A9">
              <w:rPr>
                <w:sz w:val="22"/>
                <w:szCs w:val="22"/>
              </w:rPr>
              <w:t>N</w:t>
            </w:r>
          </w:p>
          <w:p w14:paraId="1C6605F2" w14:textId="77777777" w:rsidR="00357CEC" w:rsidRPr="001300A9" w:rsidRDefault="00357CEC" w:rsidP="00357CEC">
            <w:pPr>
              <w:pStyle w:val="Default"/>
              <w:rPr>
                <w:sz w:val="22"/>
                <w:szCs w:val="22"/>
              </w:rPr>
            </w:pPr>
          </w:p>
        </w:tc>
        <w:tc>
          <w:tcPr>
            <w:tcW w:w="283" w:type="dxa"/>
          </w:tcPr>
          <w:p w14:paraId="10FEDDE6" w14:textId="5E9E483E" w:rsidR="00357CEC" w:rsidRPr="001300A9" w:rsidRDefault="00436704" w:rsidP="00357CEC">
            <w:pPr>
              <w:pStyle w:val="Default"/>
              <w:rPr>
                <w:sz w:val="22"/>
                <w:szCs w:val="22"/>
              </w:rPr>
            </w:pPr>
            <w:r>
              <w:rPr>
                <w:sz w:val="22"/>
                <w:szCs w:val="22"/>
              </w:rPr>
              <w:t>NZ</w:t>
            </w:r>
          </w:p>
        </w:tc>
        <w:tc>
          <w:tcPr>
            <w:tcW w:w="567" w:type="dxa"/>
          </w:tcPr>
          <w:p w14:paraId="1C9370E3" w14:textId="74D58959" w:rsidR="00357CEC" w:rsidRPr="001300A9" w:rsidRDefault="00021D96" w:rsidP="00357CEC">
            <w:pPr>
              <w:pStyle w:val="Default"/>
              <w:rPr>
                <w:sz w:val="22"/>
                <w:szCs w:val="22"/>
              </w:rPr>
            </w:pPr>
            <w:r w:rsidRPr="000B0A6E">
              <w:rPr>
                <w:sz w:val="22"/>
                <w:szCs w:val="22"/>
              </w:rPr>
              <w:t>Č:I§:</w:t>
            </w:r>
            <w:r w:rsidR="003C7A57" w:rsidRPr="000B0A6E">
              <w:rPr>
                <w:sz w:val="22"/>
                <w:szCs w:val="22"/>
              </w:rPr>
              <w:t>21a</w:t>
            </w:r>
          </w:p>
        </w:tc>
        <w:tc>
          <w:tcPr>
            <w:tcW w:w="4253" w:type="dxa"/>
          </w:tcPr>
          <w:p w14:paraId="701B11B4" w14:textId="04D7DF55" w:rsidR="003C7A57" w:rsidRPr="0061075E" w:rsidRDefault="003C7A57" w:rsidP="003C7A57">
            <w:pPr>
              <w:pStyle w:val="Default"/>
              <w:rPr>
                <w:sz w:val="22"/>
                <w:szCs w:val="22"/>
              </w:rPr>
            </w:pPr>
            <w:r w:rsidRPr="0061075E">
              <w:rPr>
                <w:sz w:val="22"/>
                <w:szCs w:val="22"/>
              </w:rPr>
              <w:t xml:space="preserve">§ 21a Povinnosti prevádzkovateľa </w:t>
            </w:r>
            <w:r w:rsidR="0061075E" w:rsidRPr="0061075E">
              <w:rPr>
                <w:sz w:val="22"/>
                <w:szCs w:val="22"/>
              </w:rPr>
              <w:t>zariadenia na spaľovanie komunálneho odpadu</w:t>
            </w:r>
          </w:p>
          <w:p w14:paraId="59830912" w14:textId="77777777" w:rsidR="003C7A57" w:rsidRPr="0061075E" w:rsidRDefault="003C7A57" w:rsidP="003C7A57">
            <w:pPr>
              <w:pStyle w:val="Default"/>
              <w:rPr>
                <w:sz w:val="22"/>
                <w:szCs w:val="22"/>
              </w:rPr>
            </w:pPr>
          </w:p>
          <w:p w14:paraId="562623A6" w14:textId="10328C0C" w:rsidR="006902A0" w:rsidRDefault="003C7A57" w:rsidP="003C7A57">
            <w:pPr>
              <w:pStyle w:val="Default"/>
              <w:rPr>
                <w:sz w:val="22"/>
                <w:szCs w:val="22"/>
              </w:rPr>
            </w:pPr>
            <w:r w:rsidRPr="0061075E">
              <w:rPr>
                <w:sz w:val="22"/>
                <w:szCs w:val="22"/>
              </w:rPr>
              <w:t>(1</w:t>
            </w:r>
            <w:r w:rsidRPr="006902A0">
              <w:rPr>
                <w:sz w:val="22"/>
                <w:szCs w:val="22"/>
              </w:rPr>
              <w:t xml:space="preserve">) </w:t>
            </w:r>
            <w:r w:rsidR="006902A0">
              <w:rPr>
                <w:sz w:val="22"/>
                <w:szCs w:val="22"/>
              </w:rPr>
              <w:t>P</w:t>
            </w:r>
            <w:r w:rsidR="006902A0" w:rsidRPr="006902A0">
              <w:rPr>
                <w:rStyle w:val="normaltextrun"/>
                <w:sz w:val="22"/>
                <w:szCs w:val="22"/>
                <w:shd w:val="clear" w:color="auto" w:fill="FFFFFF"/>
              </w:rPr>
              <w:t>revádzkovateľ zariadenia na spaľovanie komunálneho odpadu je prevádzkovateľ, ktorý vykonáva činnosť spaľovanie palív v zariadeniach na spaľovanie komunálneho odpadu s celkovým menovitým tepelným príkonom väčším ako 20 MW vypúšťajúci emisie CO</w:t>
            </w:r>
            <w:r w:rsidR="006902A0" w:rsidRPr="006902A0">
              <w:rPr>
                <w:rStyle w:val="normaltextrun"/>
                <w:sz w:val="22"/>
                <w:szCs w:val="22"/>
                <w:shd w:val="clear" w:color="auto" w:fill="FFFFFF"/>
                <w:vertAlign w:val="subscript"/>
              </w:rPr>
              <w:t>2</w:t>
            </w:r>
            <w:r w:rsidR="006902A0" w:rsidRPr="006902A0">
              <w:rPr>
                <w:rStyle w:val="normaltextrun"/>
                <w:sz w:val="22"/>
                <w:szCs w:val="22"/>
                <w:shd w:val="clear" w:color="auto" w:fill="FFFFFF"/>
              </w:rPr>
              <w:t>.</w:t>
            </w:r>
            <w:r w:rsidR="006902A0" w:rsidRPr="006902A0">
              <w:rPr>
                <w:rStyle w:val="eop"/>
                <w:sz w:val="22"/>
                <w:szCs w:val="22"/>
                <w:shd w:val="clear" w:color="auto" w:fill="FFFFFF"/>
              </w:rPr>
              <w:t> </w:t>
            </w:r>
            <w:r w:rsidR="006902A0" w:rsidRPr="006902A0">
              <w:rPr>
                <w:sz w:val="22"/>
                <w:szCs w:val="22"/>
              </w:rPr>
              <w:t xml:space="preserve"> </w:t>
            </w:r>
          </w:p>
          <w:p w14:paraId="55FEB692" w14:textId="2886CAFD" w:rsidR="003C7A57" w:rsidRPr="0061075E" w:rsidRDefault="003C7A57" w:rsidP="003C7A57">
            <w:pPr>
              <w:pStyle w:val="Default"/>
              <w:rPr>
                <w:sz w:val="22"/>
                <w:szCs w:val="22"/>
              </w:rPr>
            </w:pPr>
            <w:r w:rsidRPr="0061075E">
              <w:rPr>
                <w:sz w:val="22"/>
                <w:szCs w:val="22"/>
              </w:rPr>
              <w:t xml:space="preserve">(2) Prevádzkovateľ </w:t>
            </w:r>
            <w:r w:rsidR="0061075E" w:rsidRPr="0061075E">
              <w:rPr>
                <w:sz w:val="22"/>
                <w:szCs w:val="22"/>
              </w:rPr>
              <w:t xml:space="preserve">zariadenia na spaľovanie komunálneho odpadu </w:t>
            </w:r>
            <w:r w:rsidRPr="0061075E">
              <w:rPr>
                <w:sz w:val="22"/>
                <w:szCs w:val="22"/>
              </w:rPr>
              <w:t>je povinný</w:t>
            </w:r>
          </w:p>
          <w:p w14:paraId="27AED1B0" w14:textId="23CB7CA5" w:rsidR="003C7A57" w:rsidRPr="006902A0" w:rsidRDefault="003C7A57" w:rsidP="003C7A57">
            <w:pPr>
              <w:pStyle w:val="Default"/>
              <w:rPr>
                <w:sz w:val="22"/>
                <w:szCs w:val="22"/>
              </w:rPr>
            </w:pPr>
            <w:r w:rsidRPr="0061075E">
              <w:rPr>
                <w:sz w:val="22"/>
                <w:szCs w:val="22"/>
              </w:rPr>
              <w:t xml:space="preserve">a) </w:t>
            </w:r>
            <w:r w:rsidR="006902A0" w:rsidRPr="006902A0">
              <w:rPr>
                <w:rStyle w:val="normaltextrun"/>
                <w:sz w:val="22"/>
                <w:szCs w:val="22"/>
                <w:shd w:val="clear" w:color="auto" w:fill="FFFFFF"/>
              </w:rPr>
              <w:t>predložiť ministerstvu prostredníctvom elektronického systému monitorovací plán, ktorý obsahuje návrh postupu alebo schválený postup zisťovania a vykazovania množstva vypúšťaných emisií CO</w:t>
            </w:r>
            <w:r w:rsidR="006902A0" w:rsidRPr="006902A0">
              <w:rPr>
                <w:rStyle w:val="normaltextrun"/>
                <w:sz w:val="22"/>
                <w:szCs w:val="22"/>
                <w:shd w:val="clear" w:color="auto" w:fill="FFFFFF"/>
                <w:vertAlign w:val="subscript"/>
              </w:rPr>
              <w:t>2</w:t>
            </w:r>
            <w:r w:rsidR="006902A0" w:rsidRPr="006902A0">
              <w:rPr>
                <w:rStyle w:val="normaltextrun"/>
                <w:sz w:val="22"/>
                <w:szCs w:val="22"/>
                <w:shd w:val="clear" w:color="auto" w:fill="FFFFFF"/>
              </w:rPr>
              <w:t xml:space="preserve"> podľa osobitného predpisu</w:t>
            </w:r>
            <w:r w:rsidR="006902A0" w:rsidRPr="006902A0">
              <w:rPr>
                <w:rStyle w:val="normaltextrun"/>
                <w:sz w:val="22"/>
                <w:szCs w:val="22"/>
                <w:shd w:val="clear" w:color="auto" w:fill="FFFFFF"/>
                <w:vertAlign w:val="superscript"/>
              </w:rPr>
              <w:t>1a</w:t>
            </w:r>
            <w:r w:rsidR="006902A0" w:rsidRPr="006902A0">
              <w:rPr>
                <w:rStyle w:val="normaltextrun"/>
                <w:sz w:val="22"/>
                <w:szCs w:val="22"/>
                <w:shd w:val="clear" w:color="auto" w:fill="FFFFFF"/>
              </w:rPr>
              <w:t>) a prílohy č. 3a,</w:t>
            </w:r>
            <w:r w:rsidR="006902A0" w:rsidRPr="006902A0">
              <w:rPr>
                <w:rStyle w:val="eop"/>
                <w:sz w:val="22"/>
                <w:szCs w:val="22"/>
                <w:shd w:val="clear" w:color="auto" w:fill="FFFFFF"/>
              </w:rPr>
              <w:t> </w:t>
            </w:r>
          </w:p>
          <w:p w14:paraId="22911963" w14:textId="6A4A7C2A" w:rsidR="006902A0" w:rsidRPr="006902A0" w:rsidRDefault="003C7A57" w:rsidP="00200EB6">
            <w:pPr>
              <w:pStyle w:val="Default"/>
              <w:rPr>
                <w:rStyle w:val="eop"/>
                <w:sz w:val="22"/>
                <w:szCs w:val="22"/>
                <w:shd w:val="clear" w:color="auto" w:fill="FFFFFF"/>
              </w:rPr>
            </w:pPr>
            <w:r w:rsidRPr="0061075E">
              <w:rPr>
                <w:sz w:val="22"/>
                <w:szCs w:val="22"/>
              </w:rPr>
              <w:t>b</w:t>
            </w:r>
            <w:r w:rsidR="006902A0" w:rsidRPr="006902A0">
              <w:rPr>
                <w:sz w:val="22"/>
                <w:szCs w:val="22"/>
              </w:rPr>
              <w:t xml:space="preserve">) </w:t>
            </w:r>
            <w:r w:rsidR="006902A0" w:rsidRPr="006902A0">
              <w:rPr>
                <w:rStyle w:val="normaltextrun"/>
                <w:sz w:val="22"/>
                <w:szCs w:val="22"/>
                <w:shd w:val="clear" w:color="auto" w:fill="FFFFFF"/>
              </w:rPr>
              <w:t>predložiť ministerstvu prostredníctvom elektronického systému každoročne do 31. marca správu o emisiách skleníkových plynov z prevádzky počas predchádzajúceho kalendárneho roka overenú overovateľom ako správnu v súlade s kritériami podľa osobitného predpisu</w:t>
            </w:r>
            <w:r w:rsidR="006902A0" w:rsidRPr="006902A0">
              <w:rPr>
                <w:rStyle w:val="normaltextrun"/>
                <w:sz w:val="22"/>
                <w:szCs w:val="22"/>
                <w:shd w:val="clear" w:color="auto" w:fill="FFFFFF"/>
                <w:vertAlign w:val="superscript"/>
              </w:rPr>
              <w:t>5</w:t>
            </w:r>
            <w:r w:rsidR="006902A0" w:rsidRPr="006902A0">
              <w:rPr>
                <w:rStyle w:val="normaltextrun"/>
                <w:sz w:val="22"/>
                <w:szCs w:val="22"/>
                <w:shd w:val="clear" w:color="auto" w:fill="FFFFFF"/>
              </w:rPr>
              <w:t>) a prílohy č. 3b,</w:t>
            </w:r>
            <w:r w:rsidR="006902A0" w:rsidRPr="006902A0">
              <w:rPr>
                <w:rStyle w:val="eop"/>
                <w:sz w:val="22"/>
                <w:szCs w:val="22"/>
                <w:shd w:val="clear" w:color="auto" w:fill="FFFFFF"/>
              </w:rPr>
              <w:t> </w:t>
            </w:r>
          </w:p>
          <w:p w14:paraId="17FED24A" w14:textId="4F2E3BA4" w:rsidR="006902A0" w:rsidRPr="006902A0" w:rsidRDefault="00200EB6" w:rsidP="00200EB6">
            <w:pPr>
              <w:pStyle w:val="Default"/>
              <w:rPr>
                <w:rStyle w:val="eop"/>
                <w:sz w:val="22"/>
                <w:szCs w:val="22"/>
                <w:shd w:val="clear" w:color="auto" w:fill="FFFFFF"/>
              </w:rPr>
            </w:pPr>
            <w:r w:rsidRPr="006902A0">
              <w:rPr>
                <w:sz w:val="22"/>
                <w:szCs w:val="22"/>
              </w:rPr>
              <w:t xml:space="preserve">c) </w:t>
            </w:r>
            <w:r w:rsidR="006902A0" w:rsidRPr="006902A0">
              <w:rPr>
                <w:rStyle w:val="normaltextrun"/>
                <w:sz w:val="22"/>
                <w:szCs w:val="22"/>
                <w:shd w:val="clear" w:color="auto" w:fill="FFFFFF"/>
              </w:rPr>
              <w:t>oznámiť ministerstvu prostredníctvom elektronického systému každú významnú zmenu monitorovacieho plánu podľa osobitného predpisu</w:t>
            </w:r>
            <w:r w:rsidR="006902A0" w:rsidRPr="006902A0">
              <w:rPr>
                <w:rStyle w:val="normaltextrun"/>
                <w:sz w:val="22"/>
                <w:szCs w:val="22"/>
                <w:shd w:val="clear" w:color="auto" w:fill="FFFFFF"/>
                <w:vertAlign w:val="superscript"/>
              </w:rPr>
              <w:t>1a</w:t>
            </w:r>
            <w:r w:rsidR="006902A0" w:rsidRPr="006902A0">
              <w:rPr>
                <w:rStyle w:val="normaltextrun"/>
                <w:sz w:val="22"/>
                <w:szCs w:val="22"/>
                <w:shd w:val="clear" w:color="auto" w:fill="FFFFFF"/>
              </w:rPr>
              <w:t>) do 30 dní od tejto zmeny,</w:t>
            </w:r>
            <w:r w:rsidR="006902A0" w:rsidRPr="006902A0">
              <w:rPr>
                <w:rStyle w:val="eop"/>
                <w:sz w:val="22"/>
                <w:szCs w:val="22"/>
                <w:shd w:val="clear" w:color="auto" w:fill="FFFFFF"/>
              </w:rPr>
              <w:t> </w:t>
            </w:r>
          </w:p>
          <w:p w14:paraId="5F5E6E02" w14:textId="2EF5FEC1" w:rsidR="00200EB6" w:rsidRPr="0061075E" w:rsidRDefault="00200EB6" w:rsidP="00200EB6">
            <w:pPr>
              <w:pStyle w:val="Default"/>
              <w:rPr>
                <w:sz w:val="22"/>
                <w:szCs w:val="22"/>
              </w:rPr>
            </w:pPr>
            <w:r w:rsidRPr="006902A0">
              <w:rPr>
                <w:sz w:val="22"/>
                <w:szCs w:val="22"/>
              </w:rPr>
              <w:t xml:space="preserve">d) </w:t>
            </w:r>
            <w:r w:rsidR="006902A0" w:rsidRPr="006902A0">
              <w:rPr>
                <w:sz w:val="22"/>
                <w:szCs w:val="22"/>
              </w:rPr>
              <w:t>o</w:t>
            </w:r>
            <w:r w:rsidR="006902A0" w:rsidRPr="006902A0">
              <w:rPr>
                <w:rStyle w:val="normaltextrun"/>
                <w:sz w:val="22"/>
                <w:szCs w:val="22"/>
                <w:shd w:val="clear" w:color="auto" w:fill="FFFFFF"/>
              </w:rPr>
              <w:t>známiť ministerstvu prostredníctvom elektronického systému zmeny monitorovacieho plánu, ktoré nie sú významné podľa osobitného predpisu,</w:t>
            </w:r>
            <w:r w:rsidR="006902A0" w:rsidRPr="006902A0">
              <w:rPr>
                <w:rStyle w:val="normaltextrun"/>
                <w:sz w:val="22"/>
                <w:szCs w:val="22"/>
                <w:shd w:val="clear" w:color="auto" w:fill="FFFFFF"/>
                <w:vertAlign w:val="superscript"/>
              </w:rPr>
              <w:t>1a</w:t>
            </w:r>
            <w:r w:rsidR="006902A0" w:rsidRPr="006902A0">
              <w:rPr>
                <w:rStyle w:val="normaltextrun"/>
                <w:sz w:val="22"/>
                <w:szCs w:val="22"/>
                <w:shd w:val="clear" w:color="auto" w:fill="FFFFFF"/>
              </w:rPr>
              <w:t>) najneskôr do 31. decembra príslušného kalendárneho roka</w:t>
            </w:r>
            <w:r w:rsidR="006902A0">
              <w:rPr>
                <w:rStyle w:val="normaltextrun"/>
                <w:sz w:val="22"/>
                <w:szCs w:val="22"/>
                <w:shd w:val="clear" w:color="auto" w:fill="FFFFFF"/>
              </w:rPr>
              <w:t>.</w:t>
            </w:r>
          </w:p>
        </w:tc>
        <w:tc>
          <w:tcPr>
            <w:tcW w:w="567" w:type="dxa"/>
          </w:tcPr>
          <w:p w14:paraId="44AF2FBF" w14:textId="77777777" w:rsidR="00357CEC" w:rsidRPr="001300A9" w:rsidRDefault="008E58FA" w:rsidP="00357CEC">
            <w:pPr>
              <w:pStyle w:val="Default"/>
              <w:rPr>
                <w:sz w:val="22"/>
                <w:szCs w:val="22"/>
              </w:rPr>
            </w:pPr>
            <w:r w:rsidRPr="001300A9">
              <w:rPr>
                <w:sz w:val="22"/>
                <w:szCs w:val="22"/>
              </w:rPr>
              <w:t>Ú</w:t>
            </w:r>
          </w:p>
        </w:tc>
        <w:tc>
          <w:tcPr>
            <w:tcW w:w="1276" w:type="dxa"/>
          </w:tcPr>
          <w:p w14:paraId="0FC7973E" w14:textId="77777777" w:rsidR="00357CEC" w:rsidRPr="001300A9" w:rsidRDefault="00357CEC" w:rsidP="00357CEC">
            <w:pPr>
              <w:pStyle w:val="Default"/>
              <w:rPr>
                <w:sz w:val="22"/>
                <w:szCs w:val="22"/>
              </w:rPr>
            </w:pPr>
          </w:p>
        </w:tc>
        <w:tc>
          <w:tcPr>
            <w:tcW w:w="850" w:type="dxa"/>
          </w:tcPr>
          <w:p w14:paraId="7701EBBA" w14:textId="77777777" w:rsidR="00357CEC" w:rsidRPr="001300A9" w:rsidRDefault="008E58FA" w:rsidP="00357CEC">
            <w:pPr>
              <w:pStyle w:val="Default"/>
              <w:rPr>
                <w:sz w:val="22"/>
                <w:szCs w:val="22"/>
              </w:rPr>
            </w:pPr>
            <w:r w:rsidRPr="001300A9">
              <w:rPr>
                <w:sz w:val="22"/>
                <w:szCs w:val="22"/>
              </w:rPr>
              <w:t>GP - N</w:t>
            </w:r>
          </w:p>
        </w:tc>
        <w:tc>
          <w:tcPr>
            <w:tcW w:w="815" w:type="dxa"/>
          </w:tcPr>
          <w:p w14:paraId="1FBD4658" w14:textId="77777777" w:rsidR="00357CEC" w:rsidRPr="001300A9" w:rsidRDefault="00357CEC" w:rsidP="00357CEC">
            <w:pPr>
              <w:pStyle w:val="Default"/>
              <w:rPr>
                <w:sz w:val="22"/>
                <w:szCs w:val="22"/>
              </w:rPr>
            </w:pPr>
          </w:p>
        </w:tc>
      </w:tr>
      <w:tr w:rsidR="00DD6EDC" w:rsidRPr="001300A9" w14:paraId="59F2612E" w14:textId="77777777" w:rsidTr="360410BC">
        <w:tc>
          <w:tcPr>
            <w:tcW w:w="562" w:type="dxa"/>
          </w:tcPr>
          <w:p w14:paraId="2E44CB4B" w14:textId="77777777" w:rsidR="00357CEC" w:rsidRPr="001300A9" w:rsidRDefault="00357CEC" w:rsidP="00357CEC">
            <w:pPr>
              <w:pStyle w:val="Default"/>
              <w:rPr>
                <w:sz w:val="22"/>
                <w:szCs w:val="22"/>
              </w:rPr>
            </w:pPr>
            <w:r w:rsidRPr="001300A9">
              <w:rPr>
                <w:sz w:val="22"/>
                <w:szCs w:val="22"/>
              </w:rPr>
              <w:t>Príloha</w:t>
            </w:r>
          </w:p>
          <w:p w14:paraId="2037C9F3" w14:textId="77777777" w:rsidR="00357CEC" w:rsidRPr="001300A9" w:rsidRDefault="00357CEC" w:rsidP="00357CEC">
            <w:pPr>
              <w:pStyle w:val="Default"/>
              <w:rPr>
                <w:sz w:val="22"/>
                <w:szCs w:val="22"/>
              </w:rPr>
            </w:pPr>
            <w:r w:rsidRPr="001300A9">
              <w:rPr>
                <w:sz w:val="22"/>
                <w:szCs w:val="22"/>
              </w:rPr>
              <w:t>O: 1</w:t>
            </w:r>
          </w:p>
          <w:p w14:paraId="174B309E" w14:textId="77777777" w:rsidR="00357CEC" w:rsidRPr="001300A9" w:rsidRDefault="00357CEC" w:rsidP="00357CEC">
            <w:pPr>
              <w:pStyle w:val="Default"/>
              <w:rPr>
                <w:sz w:val="22"/>
                <w:szCs w:val="22"/>
              </w:rPr>
            </w:pPr>
            <w:r w:rsidRPr="001300A9">
              <w:rPr>
                <w:sz w:val="22"/>
                <w:szCs w:val="22"/>
              </w:rPr>
              <w:t>P: c) ii)</w:t>
            </w:r>
          </w:p>
        </w:tc>
        <w:tc>
          <w:tcPr>
            <w:tcW w:w="4820" w:type="dxa"/>
          </w:tcPr>
          <w:p w14:paraId="3A94DFDC" w14:textId="77777777" w:rsidR="00920B01" w:rsidRPr="001300A9" w:rsidRDefault="00357CEC" w:rsidP="00357CEC">
            <w:pPr>
              <w:pStyle w:val="Default"/>
              <w:rPr>
                <w:sz w:val="22"/>
                <w:szCs w:val="22"/>
              </w:rPr>
            </w:pPr>
            <w:r w:rsidRPr="001300A9">
              <w:rPr>
                <w:sz w:val="22"/>
                <w:szCs w:val="22"/>
              </w:rPr>
              <w:t>Rafinácia oleja s prevádzkou spaľovacích jednotiek s celkovým menovitým tepelným príkonom               vyšším ako 20 MW</w:t>
            </w:r>
          </w:p>
          <w:p w14:paraId="7C5CD92E" w14:textId="77777777" w:rsidR="00357CEC" w:rsidRPr="001300A9" w:rsidRDefault="00920B01" w:rsidP="00357CEC">
            <w:pPr>
              <w:pStyle w:val="Default"/>
              <w:rPr>
                <w:sz w:val="22"/>
                <w:szCs w:val="22"/>
              </w:rPr>
            </w:pPr>
            <w:r w:rsidRPr="001300A9">
              <w:rPr>
                <w:sz w:val="22"/>
                <w:szCs w:val="22"/>
              </w:rPr>
              <w:t>Oxid uhličitý</w:t>
            </w:r>
            <w:r w:rsidR="00357CEC" w:rsidRPr="001300A9">
              <w:rPr>
                <w:sz w:val="22"/>
                <w:szCs w:val="22"/>
              </w:rPr>
              <w:tab/>
            </w:r>
          </w:p>
        </w:tc>
        <w:tc>
          <w:tcPr>
            <w:tcW w:w="567" w:type="dxa"/>
          </w:tcPr>
          <w:p w14:paraId="1104A6E2" w14:textId="77777777" w:rsidR="00357CEC" w:rsidRPr="001300A9" w:rsidRDefault="00357CEC" w:rsidP="00357CEC">
            <w:pPr>
              <w:pStyle w:val="Default"/>
              <w:rPr>
                <w:sz w:val="22"/>
                <w:szCs w:val="22"/>
              </w:rPr>
            </w:pPr>
            <w:r w:rsidRPr="001300A9">
              <w:rPr>
                <w:sz w:val="22"/>
                <w:szCs w:val="22"/>
              </w:rPr>
              <w:t>N</w:t>
            </w:r>
          </w:p>
          <w:p w14:paraId="7A82F89A" w14:textId="77777777" w:rsidR="00357CEC" w:rsidRPr="001300A9" w:rsidRDefault="00357CEC" w:rsidP="00357CEC">
            <w:pPr>
              <w:pStyle w:val="Default"/>
              <w:rPr>
                <w:sz w:val="22"/>
                <w:szCs w:val="22"/>
              </w:rPr>
            </w:pPr>
          </w:p>
        </w:tc>
        <w:tc>
          <w:tcPr>
            <w:tcW w:w="283" w:type="dxa"/>
          </w:tcPr>
          <w:p w14:paraId="0D88173F" w14:textId="18C6FF24" w:rsidR="00357CEC" w:rsidRPr="001300A9" w:rsidRDefault="00436704" w:rsidP="00357CEC">
            <w:pPr>
              <w:pStyle w:val="Default"/>
              <w:rPr>
                <w:sz w:val="22"/>
                <w:szCs w:val="22"/>
              </w:rPr>
            </w:pPr>
            <w:r>
              <w:rPr>
                <w:sz w:val="22"/>
                <w:szCs w:val="22"/>
              </w:rPr>
              <w:t>NZ</w:t>
            </w:r>
          </w:p>
        </w:tc>
        <w:tc>
          <w:tcPr>
            <w:tcW w:w="567" w:type="dxa"/>
          </w:tcPr>
          <w:p w14:paraId="38F0838F" w14:textId="7FD3E4D7" w:rsidR="00357CEC" w:rsidRPr="000B0A6E" w:rsidRDefault="003C7A57" w:rsidP="00357CEC">
            <w:pPr>
              <w:pStyle w:val="Default"/>
              <w:rPr>
                <w:sz w:val="22"/>
                <w:szCs w:val="22"/>
              </w:rPr>
            </w:pPr>
            <w:r w:rsidRPr="000B0A6E">
              <w:rPr>
                <w:sz w:val="22"/>
                <w:szCs w:val="22"/>
              </w:rPr>
              <w:t>Príloha č. 1</w:t>
            </w:r>
          </w:p>
        </w:tc>
        <w:tc>
          <w:tcPr>
            <w:tcW w:w="4253" w:type="dxa"/>
          </w:tcPr>
          <w:p w14:paraId="524EEDBE" w14:textId="77777777" w:rsidR="00357CEC" w:rsidRPr="0061075E" w:rsidRDefault="003C7A57" w:rsidP="00357CEC">
            <w:pPr>
              <w:pStyle w:val="Default"/>
              <w:rPr>
                <w:sz w:val="22"/>
                <w:szCs w:val="22"/>
              </w:rPr>
            </w:pPr>
            <w:r w:rsidRPr="0061075E">
              <w:rPr>
                <w:sz w:val="22"/>
                <w:szCs w:val="22"/>
              </w:rPr>
              <w:t>Rafinácia oleja s prevádzkou spaľovacích jednotiek s celkovým menovitým tepelným príkonom vyšším ako 20 MW.</w:t>
            </w:r>
          </w:p>
          <w:p w14:paraId="7DF3DD36" w14:textId="3511F032" w:rsidR="003C7A57" w:rsidRPr="001300A9" w:rsidRDefault="003C7A57" w:rsidP="00357CEC">
            <w:pPr>
              <w:pStyle w:val="Default"/>
              <w:rPr>
                <w:sz w:val="22"/>
                <w:szCs w:val="22"/>
              </w:rPr>
            </w:pPr>
            <w:r w:rsidRPr="0061075E">
              <w:rPr>
                <w:sz w:val="22"/>
                <w:szCs w:val="22"/>
              </w:rPr>
              <w:t>Oxid uhličitý</w:t>
            </w:r>
          </w:p>
        </w:tc>
        <w:tc>
          <w:tcPr>
            <w:tcW w:w="567" w:type="dxa"/>
          </w:tcPr>
          <w:p w14:paraId="0F7A5FC6" w14:textId="77777777" w:rsidR="00357CEC" w:rsidRPr="001300A9" w:rsidRDefault="008E58FA" w:rsidP="00357CEC">
            <w:pPr>
              <w:pStyle w:val="Default"/>
              <w:rPr>
                <w:sz w:val="22"/>
                <w:szCs w:val="22"/>
              </w:rPr>
            </w:pPr>
            <w:r w:rsidRPr="001300A9">
              <w:rPr>
                <w:sz w:val="22"/>
                <w:szCs w:val="22"/>
              </w:rPr>
              <w:t>Ú</w:t>
            </w:r>
          </w:p>
        </w:tc>
        <w:tc>
          <w:tcPr>
            <w:tcW w:w="1276" w:type="dxa"/>
          </w:tcPr>
          <w:p w14:paraId="64B8EBD8" w14:textId="77777777" w:rsidR="00357CEC" w:rsidRPr="001300A9" w:rsidRDefault="00357CEC" w:rsidP="00357CEC">
            <w:pPr>
              <w:pStyle w:val="Default"/>
              <w:rPr>
                <w:sz w:val="22"/>
                <w:szCs w:val="22"/>
              </w:rPr>
            </w:pPr>
          </w:p>
        </w:tc>
        <w:tc>
          <w:tcPr>
            <w:tcW w:w="850" w:type="dxa"/>
          </w:tcPr>
          <w:p w14:paraId="253CB129" w14:textId="77777777" w:rsidR="00357CEC" w:rsidRPr="001300A9" w:rsidRDefault="008E58FA" w:rsidP="00357CEC">
            <w:pPr>
              <w:pStyle w:val="Default"/>
              <w:rPr>
                <w:sz w:val="22"/>
                <w:szCs w:val="22"/>
              </w:rPr>
            </w:pPr>
            <w:r w:rsidRPr="001300A9">
              <w:rPr>
                <w:sz w:val="22"/>
                <w:szCs w:val="22"/>
              </w:rPr>
              <w:t>GP - N</w:t>
            </w:r>
          </w:p>
        </w:tc>
        <w:tc>
          <w:tcPr>
            <w:tcW w:w="815" w:type="dxa"/>
          </w:tcPr>
          <w:p w14:paraId="246536C1" w14:textId="77777777" w:rsidR="00357CEC" w:rsidRPr="001300A9" w:rsidRDefault="00357CEC" w:rsidP="00357CEC">
            <w:pPr>
              <w:pStyle w:val="Default"/>
              <w:rPr>
                <w:sz w:val="22"/>
                <w:szCs w:val="22"/>
              </w:rPr>
            </w:pPr>
          </w:p>
        </w:tc>
      </w:tr>
      <w:tr w:rsidR="00DD6EDC" w:rsidRPr="001300A9" w14:paraId="44F7AECA" w14:textId="77777777" w:rsidTr="360410BC">
        <w:tc>
          <w:tcPr>
            <w:tcW w:w="562" w:type="dxa"/>
          </w:tcPr>
          <w:p w14:paraId="4286FE19" w14:textId="77777777" w:rsidR="00357CEC" w:rsidRPr="001300A9" w:rsidRDefault="00357CEC" w:rsidP="00357CEC">
            <w:pPr>
              <w:pStyle w:val="Default"/>
              <w:rPr>
                <w:sz w:val="22"/>
                <w:szCs w:val="22"/>
              </w:rPr>
            </w:pPr>
            <w:r w:rsidRPr="001300A9">
              <w:rPr>
                <w:sz w:val="22"/>
                <w:szCs w:val="22"/>
              </w:rPr>
              <w:t>Príloha</w:t>
            </w:r>
          </w:p>
          <w:p w14:paraId="4FCEDD7F" w14:textId="77777777" w:rsidR="00357CEC" w:rsidRPr="001300A9" w:rsidRDefault="00357CEC" w:rsidP="00357CEC">
            <w:pPr>
              <w:pStyle w:val="Default"/>
              <w:rPr>
                <w:sz w:val="22"/>
                <w:szCs w:val="22"/>
              </w:rPr>
            </w:pPr>
            <w:r w:rsidRPr="001300A9">
              <w:rPr>
                <w:sz w:val="22"/>
                <w:szCs w:val="22"/>
              </w:rPr>
              <w:t>O: 1</w:t>
            </w:r>
          </w:p>
          <w:p w14:paraId="4E1437DD" w14:textId="77777777" w:rsidR="00357CEC" w:rsidRPr="001300A9" w:rsidRDefault="00357CEC" w:rsidP="00357CEC">
            <w:pPr>
              <w:pStyle w:val="Default"/>
              <w:rPr>
                <w:sz w:val="22"/>
                <w:szCs w:val="22"/>
              </w:rPr>
            </w:pPr>
            <w:r w:rsidRPr="001300A9">
              <w:rPr>
                <w:sz w:val="22"/>
                <w:szCs w:val="22"/>
              </w:rPr>
              <w:t>P: c) iii)</w:t>
            </w:r>
          </w:p>
        </w:tc>
        <w:tc>
          <w:tcPr>
            <w:tcW w:w="4820" w:type="dxa"/>
          </w:tcPr>
          <w:p w14:paraId="78AFF43F" w14:textId="77777777" w:rsidR="00357CEC" w:rsidRPr="001300A9" w:rsidRDefault="00357CEC" w:rsidP="00357CEC">
            <w:pPr>
              <w:pStyle w:val="Default"/>
              <w:rPr>
                <w:sz w:val="22"/>
                <w:szCs w:val="22"/>
              </w:rPr>
            </w:pPr>
            <w:r w:rsidRPr="001300A9">
              <w:rPr>
                <w:sz w:val="22"/>
                <w:szCs w:val="22"/>
              </w:rPr>
              <w:t xml:space="preserve">Výroba železa alebo ocele (primárne alebo sekundárne tavenie) vrátane kontinuálneho liatia,                    </w:t>
            </w:r>
          </w:p>
          <w:p w14:paraId="113A025C" w14:textId="77777777" w:rsidR="00920B01" w:rsidRPr="001300A9" w:rsidRDefault="00357CEC" w:rsidP="00357CEC">
            <w:pPr>
              <w:pStyle w:val="Default"/>
              <w:rPr>
                <w:sz w:val="22"/>
                <w:szCs w:val="22"/>
              </w:rPr>
            </w:pPr>
            <w:r w:rsidRPr="001300A9">
              <w:rPr>
                <w:sz w:val="22"/>
                <w:szCs w:val="22"/>
              </w:rPr>
              <w:t>s kapacitou väčšou ako 2,5 tony za hodinu</w:t>
            </w:r>
          </w:p>
          <w:p w14:paraId="7979456E" w14:textId="77777777" w:rsidR="00357CEC" w:rsidRPr="001300A9" w:rsidRDefault="00920B01" w:rsidP="00357CEC">
            <w:pPr>
              <w:pStyle w:val="Default"/>
              <w:rPr>
                <w:sz w:val="22"/>
                <w:szCs w:val="22"/>
              </w:rPr>
            </w:pPr>
            <w:r w:rsidRPr="001300A9">
              <w:rPr>
                <w:sz w:val="22"/>
                <w:szCs w:val="22"/>
              </w:rPr>
              <w:t>Oxid uhličitý</w:t>
            </w:r>
            <w:r w:rsidR="00357CEC" w:rsidRPr="001300A9">
              <w:rPr>
                <w:sz w:val="22"/>
                <w:szCs w:val="22"/>
              </w:rPr>
              <w:tab/>
            </w:r>
          </w:p>
        </w:tc>
        <w:tc>
          <w:tcPr>
            <w:tcW w:w="567" w:type="dxa"/>
          </w:tcPr>
          <w:p w14:paraId="3C698E23" w14:textId="77777777" w:rsidR="00357CEC" w:rsidRPr="001300A9" w:rsidRDefault="00357CEC" w:rsidP="00357CEC">
            <w:pPr>
              <w:pStyle w:val="Default"/>
              <w:rPr>
                <w:sz w:val="22"/>
                <w:szCs w:val="22"/>
              </w:rPr>
            </w:pPr>
            <w:r w:rsidRPr="001300A9">
              <w:rPr>
                <w:sz w:val="22"/>
                <w:szCs w:val="22"/>
              </w:rPr>
              <w:t>N</w:t>
            </w:r>
          </w:p>
          <w:p w14:paraId="387EB440" w14:textId="77777777" w:rsidR="00357CEC" w:rsidRPr="001300A9" w:rsidRDefault="00357CEC" w:rsidP="00357CEC">
            <w:pPr>
              <w:pStyle w:val="Default"/>
              <w:rPr>
                <w:sz w:val="22"/>
                <w:szCs w:val="22"/>
              </w:rPr>
            </w:pPr>
          </w:p>
        </w:tc>
        <w:tc>
          <w:tcPr>
            <w:tcW w:w="283" w:type="dxa"/>
          </w:tcPr>
          <w:p w14:paraId="6FD5C56D" w14:textId="41FF2EA7" w:rsidR="00357CEC" w:rsidRPr="001300A9" w:rsidRDefault="00436704" w:rsidP="00357CEC">
            <w:pPr>
              <w:pStyle w:val="Default"/>
              <w:rPr>
                <w:sz w:val="22"/>
                <w:szCs w:val="22"/>
              </w:rPr>
            </w:pPr>
            <w:r>
              <w:rPr>
                <w:sz w:val="22"/>
                <w:szCs w:val="22"/>
              </w:rPr>
              <w:t>NZ</w:t>
            </w:r>
          </w:p>
        </w:tc>
        <w:tc>
          <w:tcPr>
            <w:tcW w:w="567" w:type="dxa"/>
          </w:tcPr>
          <w:p w14:paraId="7703E00E" w14:textId="0D9909FD" w:rsidR="00357CEC" w:rsidRPr="000B0A6E" w:rsidRDefault="003C7A57" w:rsidP="00357CEC">
            <w:pPr>
              <w:pStyle w:val="Default"/>
              <w:rPr>
                <w:sz w:val="22"/>
                <w:szCs w:val="22"/>
              </w:rPr>
            </w:pPr>
            <w:r w:rsidRPr="000B0A6E">
              <w:rPr>
                <w:sz w:val="22"/>
                <w:szCs w:val="22"/>
              </w:rPr>
              <w:t>Príloha č. 1</w:t>
            </w:r>
          </w:p>
        </w:tc>
        <w:tc>
          <w:tcPr>
            <w:tcW w:w="4253" w:type="dxa"/>
          </w:tcPr>
          <w:p w14:paraId="53C9990C" w14:textId="19276CC9" w:rsidR="003C7A57" w:rsidRPr="001300A9" w:rsidRDefault="003C7A57" w:rsidP="003C7A57">
            <w:pPr>
              <w:pStyle w:val="Default"/>
              <w:rPr>
                <w:sz w:val="22"/>
                <w:szCs w:val="22"/>
              </w:rPr>
            </w:pPr>
            <w:r w:rsidRPr="001300A9">
              <w:rPr>
                <w:sz w:val="22"/>
                <w:szCs w:val="22"/>
              </w:rPr>
              <w:t>Výroba železa alebo ocele (primárne alebo sekundárne tavenie) vrátan</w:t>
            </w:r>
            <w:r w:rsidR="006902A0">
              <w:rPr>
                <w:sz w:val="22"/>
                <w:szCs w:val="22"/>
              </w:rPr>
              <w:t>e kontinuálneho liatia, s</w:t>
            </w:r>
            <w:r w:rsidRPr="001300A9">
              <w:rPr>
                <w:sz w:val="22"/>
                <w:szCs w:val="22"/>
              </w:rPr>
              <w:t xml:space="preserve"> kapacitou väčšou ako 2,5 tony za hodinu</w:t>
            </w:r>
            <w:r w:rsidR="006902A0">
              <w:rPr>
                <w:sz w:val="22"/>
                <w:szCs w:val="22"/>
              </w:rPr>
              <w:t>.</w:t>
            </w:r>
          </w:p>
          <w:p w14:paraId="6AB763DB" w14:textId="780147B5" w:rsidR="00357CEC" w:rsidRPr="001300A9" w:rsidRDefault="003C7A57" w:rsidP="003C7A57">
            <w:pPr>
              <w:pStyle w:val="Default"/>
              <w:rPr>
                <w:sz w:val="22"/>
                <w:szCs w:val="22"/>
              </w:rPr>
            </w:pPr>
            <w:r w:rsidRPr="001300A9">
              <w:rPr>
                <w:sz w:val="22"/>
                <w:szCs w:val="22"/>
              </w:rPr>
              <w:t>Oxid uhličitý</w:t>
            </w:r>
          </w:p>
        </w:tc>
        <w:tc>
          <w:tcPr>
            <w:tcW w:w="567" w:type="dxa"/>
          </w:tcPr>
          <w:p w14:paraId="187EC29F" w14:textId="77777777" w:rsidR="00357CEC" w:rsidRPr="001300A9" w:rsidRDefault="008E58FA" w:rsidP="00357CEC">
            <w:pPr>
              <w:pStyle w:val="Default"/>
              <w:rPr>
                <w:sz w:val="22"/>
                <w:szCs w:val="22"/>
              </w:rPr>
            </w:pPr>
            <w:r w:rsidRPr="001300A9">
              <w:rPr>
                <w:sz w:val="22"/>
                <w:szCs w:val="22"/>
              </w:rPr>
              <w:t>Ú</w:t>
            </w:r>
          </w:p>
        </w:tc>
        <w:tc>
          <w:tcPr>
            <w:tcW w:w="1276" w:type="dxa"/>
          </w:tcPr>
          <w:p w14:paraId="51FCFD1E" w14:textId="77777777" w:rsidR="00357CEC" w:rsidRPr="001300A9" w:rsidRDefault="00357CEC" w:rsidP="00357CEC">
            <w:pPr>
              <w:pStyle w:val="Default"/>
              <w:rPr>
                <w:sz w:val="22"/>
                <w:szCs w:val="22"/>
              </w:rPr>
            </w:pPr>
          </w:p>
        </w:tc>
        <w:tc>
          <w:tcPr>
            <w:tcW w:w="850" w:type="dxa"/>
          </w:tcPr>
          <w:p w14:paraId="718739F1" w14:textId="77777777" w:rsidR="00357CEC" w:rsidRPr="001300A9" w:rsidRDefault="008E58FA" w:rsidP="00357CEC">
            <w:pPr>
              <w:pStyle w:val="Default"/>
              <w:rPr>
                <w:sz w:val="22"/>
                <w:szCs w:val="22"/>
              </w:rPr>
            </w:pPr>
            <w:r w:rsidRPr="001300A9">
              <w:rPr>
                <w:sz w:val="22"/>
                <w:szCs w:val="22"/>
              </w:rPr>
              <w:t>GP - N</w:t>
            </w:r>
          </w:p>
        </w:tc>
        <w:tc>
          <w:tcPr>
            <w:tcW w:w="815" w:type="dxa"/>
          </w:tcPr>
          <w:p w14:paraId="6BC6CEC8" w14:textId="77777777" w:rsidR="00357CEC" w:rsidRPr="001300A9" w:rsidRDefault="00357CEC" w:rsidP="00357CEC">
            <w:pPr>
              <w:pStyle w:val="Default"/>
              <w:rPr>
                <w:sz w:val="22"/>
                <w:szCs w:val="22"/>
              </w:rPr>
            </w:pPr>
          </w:p>
        </w:tc>
      </w:tr>
      <w:tr w:rsidR="00DD6EDC" w:rsidRPr="001300A9" w14:paraId="455DAB78" w14:textId="77777777" w:rsidTr="360410BC">
        <w:tc>
          <w:tcPr>
            <w:tcW w:w="562" w:type="dxa"/>
          </w:tcPr>
          <w:p w14:paraId="6CF95705" w14:textId="77777777" w:rsidR="00357CEC" w:rsidRPr="001300A9" w:rsidRDefault="00357CEC" w:rsidP="00357CEC">
            <w:pPr>
              <w:pStyle w:val="Default"/>
              <w:rPr>
                <w:sz w:val="22"/>
                <w:szCs w:val="22"/>
              </w:rPr>
            </w:pPr>
            <w:r w:rsidRPr="001300A9">
              <w:rPr>
                <w:sz w:val="22"/>
                <w:szCs w:val="22"/>
              </w:rPr>
              <w:t>Príloha</w:t>
            </w:r>
          </w:p>
          <w:p w14:paraId="348C3A47" w14:textId="77777777" w:rsidR="00357CEC" w:rsidRPr="001300A9" w:rsidRDefault="00357CEC" w:rsidP="00357CEC">
            <w:pPr>
              <w:pStyle w:val="Default"/>
              <w:rPr>
                <w:sz w:val="22"/>
                <w:szCs w:val="22"/>
              </w:rPr>
            </w:pPr>
            <w:r w:rsidRPr="001300A9">
              <w:rPr>
                <w:sz w:val="22"/>
                <w:szCs w:val="22"/>
              </w:rPr>
              <w:t>O: 1</w:t>
            </w:r>
          </w:p>
          <w:p w14:paraId="02A47928" w14:textId="77777777" w:rsidR="00357CEC" w:rsidRPr="001300A9" w:rsidRDefault="00357CEC" w:rsidP="00357CEC">
            <w:pPr>
              <w:pStyle w:val="Default"/>
              <w:rPr>
                <w:sz w:val="22"/>
                <w:szCs w:val="22"/>
              </w:rPr>
            </w:pPr>
            <w:r w:rsidRPr="001300A9">
              <w:rPr>
                <w:sz w:val="22"/>
                <w:szCs w:val="22"/>
              </w:rPr>
              <w:t>P: c) iv)</w:t>
            </w:r>
          </w:p>
        </w:tc>
        <w:tc>
          <w:tcPr>
            <w:tcW w:w="4820" w:type="dxa"/>
          </w:tcPr>
          <w:p w14:paraId="7AC8B251" w14:textId="77777777" w:rsidR="00920B01" w:rsidRPr="001300A9" w:rsidRDefault="00357CEC" w:rsidP="00357CEC">
            <w:pPr>
              <w:pStyle w:val="Default"/>
              <w:ind w:left="29" w:hanging="29"/>
              <w:rPr>
                <w:sz w:val="22"/>
                <w:szCs w:val="22"/>
              </w:rPr>
            </w:pPr>
            <w:r w:rsidRPr="001300A9">
              <w:rPr>
                <w:sz w:val="22"/>
                <w:szCs w:val="22"/>
              </w:rPr>
              <w:t>Výroba primárneho hliníka alebo oxidu hlinit</w:t>
            </w:r>
            <w:r w:rsidR="00920B01" w:rsidRPr="001300A9">
              <w:rPr>
                <w:sz w:val="22"/>
                <w:szCs w:val="22"/>
              </w:rPr>
              <w:t>é</w:t>
            </w:r>
          </w:p>
          <w:p w14:paraId="006DD5E0" w14:textId="77777777" w:rsidR="00357CEC" w:rsidRPr="001300A9" w:rsidRDefault="00357CEC" w:rsidP="00357CEC">
            <w:pPr>
              <w:pStyle w:val="Default"/>
              <w:ind w:left="29" w:hanging="29"/>
              <w:rPr>
                <w:sz w:val="22"/>
                <w:szCs w:val="22"/>
              </w:rPr>
            </w:pPr>
            <w:r w:rsidRPr="001300A9">
              <w:rPr>
                <w:sz w:val="22"/>
                <w:szCs w:val="22"/>
              </w:rPr>
              <w:t xml:space="preserve">Oxid uhličitý a úplne </w:t>
            </w:r>
            <w:proofErr w:type="spellStart"/>
            <w:r w:rsidRPr="001300A9">
              <w:rPr>
                <w:sz w:val="22"/>
                <w:szCs w:val="22"/>
              </w:rPr>
              <w:t>fluórované</w:t>
            </w:r>
            <w:proofErr w:type="spellEnd"/>
            <w:r w:rsidRPr="001300A9">
              <w:rPr>
                <w:sz w:val="22"/>
                <w:szCs w:val="22"/>
              </w:rPr>
              <w:t xml:space="preserve"> uhľovodíky</w:t>
            </w:r>
          </w:p>
        </w:tc>
        <w:tc>
          <w:tcPr>
            <w:tcW w:w="567" w:type="dxa"/>
          </w:tcPr>
          <w:p w14:paraId="10B2B3F1" w14:textId="77777777" w:rsidR="00357CEC" w:rsidRPr="001300A9" w:rsidRDefault="00357CEC" w:rsidP="00357CEC">
            <w:pPr>
              <w:pStyle w:val="Default"/>
              <w:rPr>
                <w:sz w:val="22"/>
                <w:szCs w:val="22"/>
              </w:rPr>
            </w:pPr>
            <w:r w:rsidRPr="001300A9">
              <w:rPr>
                <w:sz w:val="22"/>
                <w:szCs w:val="22"/>
              </w:rPr>
              <w:t>N</w:t>
            </w:r>
          </w:p>
          <w:p w14:paraId="32ADD58E" w14:textId="77777777" w:rsidR="00357CEC" w:rsidRPr="001300A9" w:rsidRDefault="00357CEC" w:rsidP="00357CEC">
            <w:pPr>
              <w:pStyle w:val="Default"/>
              <w:rPr>
                <w:sz w:val="22"/>
                <w:szCs w:val="22"/>
              </w:rPr>
            </w:pPr>
          </w:p>
        </w:tc>
        <w:tc>
          <w:tcPr>
            <w:tcW w:w="283" w:type="dxa"/>
          </w:tcPr>
          <w:p w14:paraId="51E685FC" w14:textId="1DD5DD86" w:rsidR="00357CEC" w:rsidRPr="001300A9" w:rsidRDefault="00436704" w:rsidP="00357CEC">
            <w:pPr>
              <w:pStyle w:val="Default"/>
              <w:rPr>
                <w:sz w:val="22"/>
                <w:szCs w:val="22"/>
              </w:rPr>
            </w:pPr>
            <w:r>
              <w:rPr>
                <w:sz w:val="22"/>
                <w:szCs w:val="22"/>
              </w:rPr>
              <w:t>NZ</w:t>
            </w:r>
          </w:p>
        </w:tc>
        <w:tc>
          <w:tcPr>
            <w:tcW w:w="567" w:type="dxa"/>
          </w:tcPr>
          <w:p w14:paraId="13AEEB21" w14:textId="1AB75143" w:rsidR="00357CEC" w:rsidRPr="000B0A6E" w:rsidRDefault="003C7A57" w:rsidP="00357CEC">
            <w:pPr>
              <w:pStyle w:val="Default"/>
              <w:rPr>
                <w:sz w:val="22"/>
                <w:szCs w:val="22"/>
              </w:rPr>
            </w:pPr>
            <w:r w:rsidRPr="000B0A6E">
              <w:rPr>
                <w:sz w:val="22"/>
                <w:szCs w:val="22"/>
              </w:rPr>
              <w:t>Príloha č. 1</w:t>
            </w:r>
          </w:p>
        </w:tc>
        <w:tc>
          <w:tcPr>
            <w:tcW w:w="4253" w:type="dxa"/>
          </w:tcPr>
          <w:p w14:paraId="4EE0347C" w14:textId="77777777" w:rsidR="003C7A57" w:rsidRPr="001300A9" w:rsidRDefault="003C7A57" w:rsidP="003C7A57">
            <w:pPr>
              <w:pStyle w:val="Default"/>
              <w:ind w:left="29" w:hanging="29"/>
              <w:rPr>
                <w:sz w:val="22"/>
                <w:szCs w:val="22"/>
              </w:rPr>
            </w:pPr>
            <w:r w:rsidRPr="001300A9">
              <w:rPr>
                <w:sz w:val="22"/>
                <w:szCs w:val="22"/>
              </w:rPr>
              <w:t>Výroba primárneho hliníka alebo oxidu hlinité</w:t>
            </w:r>
          </w:p>
          <w:p w14:paraId="387F133A" w14:textId="2177F018" w:rsidR="00357CEC" w:rsidRPr="001478A0" w:rsidRDefault="003C7A57" w:rsidP="003C7A57">
            <w:pPr>
              <w:pStyle w:val="Default"/>
              <w:rPr>
                <w:color w:val="auto"/>
                <w:sz w:val="22"/>
                <w:szCs w:val="22"/>
              </w:rPr>
            </w:pPr>
            <w:r w:rsidRPr="001300A9">
              <w:rPr>
                <w:sz w:val="22"/>
                <w:szCs w:val="22"/>
              </w:rPr>
              <w:t>Oxid uhličitý a </w:t>
            </w:r>
            <w:r w:rsidRPr="001478A0">
              <w:rPr>
                <w:color w:val="auto"/>
                <w:sz w:val="22"/>
                <w:szCs w:val="22"/>
              </w:rPr>
              <w:t xml:space="preserve">úplne </w:t>
            </w:r>
            <w:proofErr w:type="spellStart"/>
            <w:r w:rsidR="006902A0" w:rsidRPr="001478A0">
              <w:rPr>
                <w:color w:val="auto"/>
                <w:sz w:val="22"/>
                <w:szCs w:val="22"/>
              </w:rPr>
              <w:t>plno</w:t>
            </w:r>
            <w:r w:rsidRPr="001478A0">
              <w:rPr>
                <w:color w:val="auto"/>
                <w:sz w:val="22"/>
                <w:szCs w:val="22"/>
              </w:rPr>
              <w:t>fluórované</w:t>
            </w:r>
            <w:proofErr w:type="spellEnd"/>
            <w:r w:rsidRPr="001478A0">
              <w:rPr>
                <w:color w:val="auto"/>
                <w:sz w:val="22"/>
                <w:szCs w:val="22"/>
              </w:rPr>
              <w:t xml:space="preserve"> </w:t>
            </w:r>
            <w:r w:rsidRPr="001478A0">
              <w:rPr>
                <w:sz w:val="22"/>
                <w:szCs w:val="22"/>
              </w:rPr>
              <w:t>uhľovodíky</w:t>
            </w:r>
          </w:p>
        </w:tc>
        <w:tc>
          <w:tcPr>
            <w:tcW w:w="567" w:type="dxa"/>
          </w:tcPr>
          <w:p w14:paraId="7E11616C" w14:textId="77777777" w:rsidR="00357CEC" w:rsidRPr="001300A9" w:rsidRDefault="008E58FA" w:rsidP="00357CEC">
            <w:pPr>
              <w:pStyle w:val="Default"/>
              <w:rPr>
                <w:sz w:val="22"/>
                <w:szCs w:val="22"/>
              </w:rPr>
            </w:pPr>
            <w:r w:rsidRPr="001300A9">
              <w:rPr>
                <w:sz w:val="22"/>
                <w:szCs w:val="22"/>
              </w:rPr>
              <w:t>Ú</w:t>
            </w:r>
          </w:p>
        </w:tc>
        <w:tc>
          <w:tcPr>
            <w:tcW w:w="1276" w:type="dxa"/>
          </w:tcPr>
          <w:p w14:paraId="7BD365C4" w14:textId="77777777" w:rsidR="00357CEC" w:rsidRPr="001300A9" w:rsidRDefault="00357CEC" w:rsidP="00357CEC">
            <w:pPr>
              <w:pStyle w:val="Default"/>
              <w:rPr>
                <w:sz w:val="22"/>
                <w:szCs w:val="22"/>
              </w:rPr>
            </w:pPr>
          </w:p>
        </w:tc>
        <w:tc>
          <w:tcPr>
            <w:tcW w:w="850" w:type="dxa"/>
          </w:tcPr>
          <w:p w14:paraId="77F40204" w14:textId="77777777" w:rsidR="00357CEC" w:rsidRPr="001300A9" w:rsidRDefault="008E58FA" w:rsidP="00357CEC">
            <w:pPr>
              <w:pStyle w:val="Default"/>
              <w:rPr>
                <w:sz w:val="22"/>
                <w:szCs w:val="22"/>
              </w:rPr>
            </w:pPr>
            <w:r w:rsidRPr="001300A9">
              <w:rPr>
                <w:sz w:val="22"/>
                <w:szCs w:val="22"/>
              </w:rPr>
              <w:t>GP - N</w:t>
            </w:r>
          </w:p>
        </w:tc>
        <w:tc>
          <w:tcPr>
            <w:tcW w:w="815" w:type="dxa"/>
          </w:tcPr>
          <w:p w14:paraId="66FE505B" w14:textId="77777777" w:rsidR="00357CEC" w:rsidRPr="001300A9" w:rsidRDefault="00357CEC" w:rsidP="00357CEC">
            <w:pPr>
              <w:pStyle w:val="Default"/>
              <w:rPr>
                <w:sz w:val="22"/>
                <w:szCs w:val="22"/>
              </w:rPr>
            </w:pPr>
          </w:p>
        </w:tc>
      </w:tr>
      <w:tr w:rsidR="00DD6EDC" w:rsidRPr="001300A9" w14:paraId="61A8D838" w14:textId="77777777" w:rsidTr="360410BC">
        <w:tc>
          <w:tcPr>
            <w:tcW w:w="562" w:type="dxa"/>
          </w:tcPr>
          <w:p w14:paraId="3587F076" w14:textId="77777777" w:rsidR="00357CEC" w:rsidRPr="001300A9" w:rsidRDefault="00357CEC" w:rsidP="00357CEC">
            <w:pPr>
              <w:pStyle w:val="Default"/>
              <w:rPr>
                <w:sz w:val="22"/>
                <w:szCs w:val="22"/>
              </w:rPr>
            </w:pPr>
            <w:r w:rsidRPr="001300A9">
              <w:rPr>
                <w:sz w:val="22"/>
                <w:szCs w:val="22"/>
              </w:rPr>
              <w:t>Príloha</w:t>
            </w:r>
          </w:p>
          <w:p w14:paraId="3B20BEDA" w14:textId="77777777" w:rsidR="00357CEC" w:rsidRPr="001300A9" w:rsidRDefault="00357CEC" w:rsidP="00357CEC">
            <w:pPr>
              <w:pStyle w:val="Default"/>
              <w:rPr>
                <w:sz w:val="22"/>
                <w:szCs w:val="22"/>
              </w:rPr>
            </w:pPr>
            <w:r w:rsidRPr="001300A9">
              <w:rPr>
                <w:sz w:val="22"/>
                <w:szCs w:val="22"/>
              </w:rPr>
              <w:t>O: 1</w:t>
            </w:r>
          </w:p>
          <w:p w14:paraId="72467ED1" w14:textId="77777777" w:rsidR="00357CEC" w:rsidRPr="001300A9" w:rsidRDefault="00357CEC" w:rsidP="00357CEC">
            <w:pPr>
              <w:pStyle w:val="Default"/>
              <w:rPr>
                <w:sz w:val="22"/>
                <w:szCs w:val="22"/>
              </w:rPr>
            </w:pPr>
            <w:r w:rsidRPr="001300A9">
              <w:rPr>
                <w:sz w:val="22"/>
                <w:szCs w:val="22"/>
              </w:rPr>
              <w:t>P: c) v)</w:t>
            </w:r>
          </w:p>
        </w:tc>
        <w:tc>
          <w:tcPr>
            <w:tcW w:w="4820" w:type="dxa"/>
          </w:tcPr>
          <w:p w14:paraId="157C1F06" w14:textId="77777777" w:rsidR="00357CEC" w:rsidRPr="001300A9" w:rsidRDefault="00357CEC" w:rsidP="00357CEC">
            <w:pPr>
              <w:pStyle w:val="Default"/>
              <w:rPr>
                <w:sz w:val="22"/>
                <w:szCs w:val="22"/>
              </w:rPr>
            </w:pPr>
            <w:r w:rsidRPr="001300A9">
              <w:rPr>
                <w:sz w:val="22"/>
                <w:szCs w:val="22"/>
              </w:rPr>
              <w:t xml:space="preserve">Sušenie alebo </w:t>
            </w:r>
            <w:proofErr w:type="spellStart"/>
            <w:r w:rsidRPr="001300A9">
              <w:rPr>
                <w:sz w:val="22"/>
                <w:szCs w:val="22"/>
              </w:rPr>
              <w:t>kalcinácia</w:t>
            </w:r>
            <w:proofErr w:type="spellEnd"/>
            <w:r w:rsidRPr="001300A9">
              <w:rPr>
                <w:sz w:val="22"/>
                <w:szCs w:val="22"/>
              </w:rPr>
              <w:t xml:space="preserve"> sadrovca alebo výroba sadrokartónu a iných výrobkov zo sadrovca                    </w:t>
            </w:r>
          </w:p>
          <w:p w14:paraId="55BEEFD6" w14:textId="77777777" w:rsidR="00357CEC" w:rsidRPr="001300A9" w:rsidRDefault="00357CEC" w:rsidP="00357CEC">
            <w:pPr>
              <w:pStyle w:val="Default"/>
              <w:rPr>
                <w:sz w:val="22"/>
                <w:szCs w:val="22"/>
              </w:rPr>
            </w:pPr>
            <w:r w:rsidRPr="001300A9">
              <w:rPr>
                <w:sz w:val="22"/>
                <w:szCs w:val="22"/>
              </w:rPr>
              <w:t xml:space="preserve">s kapacitou výroby </w:t>
            </w:r>
            <w:proofErr w:type="spellStart"/>
            <w:r w:rsidRPr="001300A9">
              <w:rPr>
                <w:sz w:val="22"/>
                <w:szCs w:val="22"/>
              </w:rPr>
              <w:t>kalcinovanej</w:t>
            </w:r>
            <w:proofErr w:type="spellEnd"/>
            <w:r w:rsidRPr="001300A9">
              <w:rPr>
                <w:sz w:val="22"/>
                <w:szCs w:val="22"/>
              </w:rPr>
              <w:t xml:space="preserve"> sadry alebo sušenej druhotnej sadry väčšou ako 20 ton denne</w:t>
            </w:r>
            <w:r w:rsidRPr="001300A9">
              <w:rPr>
                <w:sz w:val="22"/>
                <w:szCs w:val="22"/>
              </w:rPr>
              <w:tab/>
            </w:r>
          </w:p>
          <w:p w14:paraId="1903C999" w14:textId="77777777" w:rsidR="00920B01" w:rsidRPr="001300A9" w:rsidRDefault="00920B01" w:rsidP="00357CEC">
            <w:pPr>
              <w:pStyle w:val="Default"/>
              <w:rPr>
                <w:sz w:val="22"/>
                <w:szCs w:val="22"/>
              </w:rPr>
            </w:pPr>
            <w:r w:rsidRPr="001300A9">
              <w:rPr>
                <w:sz w:val="22"/>
                <w:szCs w:val="22"/>
              </w:rPr>
              <w:t>Oxid uhličitý</w:t>
            </w:r>
          </w:p>
        </w:tc>
        <w:tc>
          <w:tcPr>
            <w:tcW w:w="567" w:type="dxa"/>
          </w:tcPr>
          <w:p w14:paraId="4159B8CA" w14:textId="77777777" w:rsidR="00357CEC" w:rsidRPr="001300A9" w:rsidRDefault="00357CEC" w:rsidP="00357CEC">
            <w:pPr>
              <w:pStyle w:val="Default"/>
              <w:rPr>
                <w:sz w:val="22"/>
                <w:szCs w:val="22"/>
              </w:rPr>
            </w:pPr>
            <w:r w:rsidRPr="001300A9">
              <w:rPr>
                <w:sz w:val="22"/>
                <w:szCs w:val="22"/>
              </w:rPr>
              <w:t>N</w:t>
            </w:r>
          </w:p>
          <w:p w14:paraId="2A12FECB" w14:textId="77777777" w:rsidR="00357CEC" w:rsidRPr="001300A9" w:rsidRDefault="00357CEC" w:rsidP="00357CEC">
            <w:pPr>
              <w:pStyle w:val="Default"/>
              <w:rPr>
                <w:sz w:val="22"/>
                <w:szCs w:val="22"/>
              </w:rPr>
            </w:pPr>
          </w:p>
        </w:tc>
        <w:tc>
          <w:tcPr>
            <w:tcW w:w="283" w:type="dxa"/>
          </w:tcPr>
          <w:p w14:paraId="35C56A51" w14:textId="0A655EB0" w:rsidR="00357CEC" w:rsidRPr="001300A9" w:rsidRDefault="00436704" w:rsidP="00357CEC">
            <w:pPr>
              <w:pStyle w:val="Default"/>
              <w:rPr>
                <w:sz w:val="22"/>
                <w:szCs w:val="22"/>
              </w:rPr>
            </w:pPr>
            <w:r>
              <w:rPr>
                <w:sz w:val="22"/>
                <w:szCs w:val="22"/>
              </w:rPr>
              <w:t>NZ</w:t>
            </w:r>
          </w:p>
        </w:tc>
        <w:tc>
          <w:tcPr>
            <w:tcW w:w="567" w:type="dxa"/>
          </w:tcPr>
          <w:p w14:paraId="718C8495" w14:textId="66D91157" w:rsidR="00357CEC" w:rsidRPr="000B0A6E" w:rsidRDefault="003C7A57" w:rsidP="00357CEC">
            <w:pPr>
              <w:pStyle w:val="Default"/>
              <w:rPr>
                <w:sz w:val="22"/>
                <w:szCs w:val="22"/>
              </w:rPr>
            </w:pPr>
            <w:r w:rsidRPr="000B0A6E">
              <w:rPr>
                <w:sz w:val="22"/>
                <w:szCs w:val="22"/>
              </w:rPr>
              <w:t>Príloha č. 1</w:t>
            </w:r>
          </w:p>
        </w:tc>
        <w:tc>
          <w:tcPr>
            <w:tcW w:w="4253" w:type="dxa"/>
          </w:tcPr>
          <w:p w14:paraId="4CD52645" w14:textId="46DDED70" w:rsidR="003C7A57" w:rsidRPr="001300A9" w:rsidRDefault="003C7A57" w:rsidP="003C7A57">
            <w:pPr>
              <w:pStyle w:val="Default"/>
              <w:rPr>
                <w:sz w:val="22"/>
                <w:szCs w:val="22"/>
              </w:rPr>
            </w:pPr>
            <w:r w:rsidRPr="001300A9">
              <w:rPr>
                <w:sz w:val="22"/>
                <w:szCs w:val="22"/>
              </w:rPr>
              <w:t xml:space="preserve">Sušenie alebo </w:t>
            </w:r>
            <w:proofErr w:type="spellStart"/>
            <w:r w:rsidRPr="001300A9">
              <w:rPr>
                <w:sz w:val="22"/>
                <w:szCs w:val="22"/>
              </w:rPr>
              <w:t>kalcinácia</w:t>
            </w:r>
            <w:proofErr w:type="spellEnd"/>
            <w:r w:rsidRPr="001300A9">
              <w:rPr>
                <w:sz w:val="22"/>
                <w:szCs w:val="22"/>
              </w:rPr>
              <w:t xml:space="preserve"> sadrovca alebo výroba sadrokartónu a iný</w:t>
            </w:r>
            <w:r w:rsidR="006902A0">
              <w:rPr>
                <w:sz w:val="22"/>
                <w:szCs w:val="22"/>
              </w:rPr>
              <w:t xml:space="preserve">ch výrobkov zo sadrovca </w:t>
            </w:r>
            <w:r w:rsidRPr="001300A9">
              <w:rPr>
                <w:sz w:val="22"/>
                <w:szCs w:val="22"/>
              </w:rPr>
              <w:t xml:space="preserve">s kapacitou výroby </w:t>
            </w:r>
            <w:proofErr w:type="spellStart"/>
            <w:r w:rsidRPr="001300A9">
              <w:rPr>
                <w:sz w:val="22"/>
                <w:szCs w:val="22"/>
              </w:rPr>
              <w:t>kalcinovanej</w:t>
            </w:r>
            <w:proofErr w:type="spellEnd"/>
            <w:r w:rsidRPr="001300A9">
              <w:rPr>
                <w:sz w:val="22"/>
                <w:szCs w:val="22"/>
              </w:rPr>
              <w:t xml:space="preserve"> sadry alebo sušenej druhotnej sadry väčšou ako 20 ton denne</w:t>
            </w:r>
            <w:r w:rsidRPr="001300A9">
              <w:rPr>
                <w:sz w:val="22"/>
                <w:szCs w:val="22"/>
              </w:rPr>
              <w:tab/>
            </w:r>
          </w:p>
          <w:p w14:paraId="36C73C32" w14:textId="2829F5C4" w:rsidR="00357CEC" w:rsidRPr="001300A9" w:rsidRDefault="003C7A57" w:rsidP="003C7A57">
            <w:pPr>
              <w:pStyle w:val="Default"/>
              <w:rPr>
                <w:sz w:val="22"/>
                <w:szCs w:val="22"/>
              </w:rPr>
            </w:pPr>
            <w:r w:rsidRPr="001300A9">
              <w:rPr>
                <w:sz w:val="22"/>
                <w:szCs w:val="22"/>
              </w:rPr>
              <w:t>Oxid uhličitý</w:t>
            </w:r>
          </w:p>
        </w:tc>
        <w:tc>
          <w:tcPr>
            <w:tcW w:w="567" w:type="dxa"/>
          </w:tcPr>
          <w:p w14:paraId="145D0B94" w14:textId="77777777" w:rsidR="00357CEC" w:rsidRPr="001300A9" w:rsidRDefault="008E58FA" w:rsidP="00357CEC">
            <w:pPr>
              <w:pStyle w:val="Default"/>
              <w:rPr>
                <w:sz w:val="22"/>
                <w:szCs w:val="22"/>
              </w:rPr>
            </w:pPr>
            <w:r w:rsidRPr="001300A9">
              <w:rPr>
                <w:sz w:val="22"/>
                <w:szCs w:val="22"/>
              </w:rPr>
              <w:t>Ú</w:t>
            </w:r>
          </w:p>
        </w:tc>
        <w:tc>
          <w:tcPr>
            <w:tcW w:w="1276" w:type="dxa"/>
          </w:tcPr>
          <w:p w14:paraId="5091F632" w14:textId="77777777" w:rsidR="00357CEC" w:rsidRPr="001300A9" w:rsidRDefault="00357CEC" w:rsidP="00357CEC">
            <w:pPr>
              <w:pStyle w:val="Default"/>
              <w:rPr>
                <w:sz w:val="22"/>
                <w:szCs w:val="22"/>
              </w:rPr>
            </w:pPr>
          </w:p>
        </w:tc>
        <w:tc>
          <w:tcPr>
            <w:tcW w:w="850" w:type="dxa"/>
          </w:tcPr>
          <w:p w14:paraId="0A9EB64E" w14:textId="77777777" w:rsidR="00357CEC" w:rsidRPr="001300A9" w:rsidRDefault="008E58FA" w:rsidP="00357CEC">
            <w:pPr>
              <w:pStyle w:val="Default"/>
              <w:rPr>
                <w:sz w:val="22"/>
                <w:szCs w:val="22"/>
              </w:rPr>
            </w:pPr>
            <w:r w:rsidRPr="001300A9">
              <w:rPr>
                <w:sz w:val="22"/>
                <w:szCs w:val="22"/>
              </w:rPr>
              <w:t>GP - N</w:t>
            </w:r>
          </w:p>
        </w:tc>
        <w:tc>
          <w:tcPr>
            <w:tcW w:w="815" w:type="dxa"/>
          </w:tcPr>
          <w:p w14:paraId="05C49586" w14:textId="77777777" w:rsidR="00357CEC" w:rsidRPr="001300A9" w:rsidRDefault="00357CEC" w:rsidP="00357CEC">
            <w:pPr>
              <w:pStyle w:val="Default"/>
              <w:rPr>
                <w:sz w:val="22"/>
                <w:szCs w:val="22"/>
              </w:rPr>
            </w:pPr>
          </w:p>
        </w:tc>
      </w:tr>
      <w:tr w:rsidR="00DD6EDC" w:rsidRPr="001300A9" w14:paraId="06070C24" w14:textId="77777777" w:rsidTr="360410BC">
        <w:tc>
          <w:tcPr>
            <w:tcW w:w="562" w:type="dxa"/>
          </w:tcPr>
          <w:p w14:paraId="257BD26F" w14:textId="77777777" w:rsidR="00357CEC" w:rsidRPr="001300A9" w:rsidRDefault="00357CEC" w:rsidP="00357CEC">
            <w:pPr>
              <w:pStyle w:val="Default"/>
              <w:rPr>
                <w:sz w:val="22"/>
                <w:szCs w:val="22"/>
              </w:rPr>
            </w:pPr>
            <w:r w:rsidRPr="001300A9">
              <w:rPr>
                <w:sz w:val="22"/>
                <w:szCs w:val="22"/>
              </w:rPr>
              <w:t>Príloha</w:t>
            </w:r>
          </w:p>
          <w:p w14:paraId="1A44A9FE" w14:textId="77777777" w:rsidR="00357CEC" w:rsidRPr="001300A9" w:rsidRDefault="00357CEC" w:rsidP="00357CEC">
            <w:pPr>
              <w:pStyle w:val="Default"/>
              <w:rPr>
                <w:sz w:val="22"/>
                <w:szCs w:val="22"/>
              </w:rPr>
            </w:pPr>
            <w:r w:rsidRPr="001300A9">
              <w:rPr>
                <w:sz w:val="22"/>
                <w:szCs w:val="22"/>
              </w:rPr>
              <w:t>O: 1</w:t>
            </w:r>
          </w:p>
          <w:p w14:paraId="573A3B8E" w14:textId="77777777" w:rsidR="00357CEC" w:rsidRPr="001300A9" w:rsidRDefault="00357CEC" w:rsidP="00357CEC">
            <w:pPr>
              <w:pStyle w:val="Default"/>
              <w:rPr>
                <w:sz w:val="22"/>
                <w:szCs w:val="22"/>
              </w:rPr>
            </w:pPr>
            <w:r w:rsidRPr="001300A9">
              <w:rPr>
                <w:sz w:val="22"/>
                <w:szCs w:val="22"/>
              </w:rPr>
              <w:t>P: c) vi)</w:t>
            </w:r>
          </w:p>
        </w:tc>
        <w:tc>
          <w:tcPr>
            <w:tcW w:w="4820" w:type="dxa"/>
          </w:tcPr>
          <w:p w14:paraId="700B9EF5" w14:textId="77777777" w:rsidR="00357CEC" w:rsidRPr="001300A9" w:rsidRDefault="00357CEC" w:rsidP="00357CEC">
            <w:pPr>
              <w:pStyle w:val="Default"/>
              <w:rPr>
                <w:sz w:val="22"/>
                <w:szCs w:val="22"/>
              </w:rPr>
            </w:pPr>
            <w:r w:rsidRPr="001300A9">
              <w:rPr>
                <w:sz w:val="22"/>
                <w:szCs w:val="22"/>
              </w:rPr>
              <w:t xml:space="preserve">Priemyselná výroba sadzí zahŕňajúca karbonizáciu organických látok, ako sú oleje, dechty,                     </w:t>
            </w:r>
          </w:p>
          <w:p w14:paraId="08DE1E2F" w14:textId="77777777" w:rsidR="00357CEC" w:rsidRPr="001300A9" w:rsidRDefault="00357CEC" w:rsidP="00357CEC">
            <w:pPr>
              <w:pStyle w:val="Default"/>
              <w:rPr>
                <w:sz w:val="22"/>
                <w:szCs w:val="22"/>
              </w:rPr>
            </w:pPr>
            <w:r w:rsidRPr="001300A9">
              <w:rPr>
                <w:sz w:val="22"/>
                <w:szCs w:val="22"/>
              </w:rPr>
              <w:t>zvyšky z krakovania a destilácie, s kapacitou výroby väčšou ako 50 ton denne</w:t>
            </w:r>
            <w:r w:rsidRPr="001300A9">
              <w:rPr>
                <w:sz w:val="22"/>
                <w:szCs w:val="22"/>
              </w:rPr>
              <w:tab/>
            </w:r>
          </w:p>
          <w:p w14:paraId="4C38AA3E" w14:textId="77777777" w:rsidR="00920B01" w:rsidRPr="001300A9" w:rsidRDefault="00920B01" w:rsidP="00357CEC">
            <w:pPr>
              <w:pStyle w:val="Default"/>
              <w:rPr>
                <w:sz w:val="22"/>
                <w:szCs w:val="22"/>
              </w:rPr>
            </w:pPr>
            <w:r w:rsidRPr="001300A9">
              <w:rPr>
                <w:sz w:val="22"/>
                <w:szCs w:val="22"/>
              </w:rPr>
              <w:t>Oxid uhličitý</w:t>
            </w:r>
          </w:p>
        </w:tc>
        <w:tc>
          <w:tcPr>
            <w:tcW w:w="567" w:type="dxa"/>
          </w:tcPr>
          <w:p w14:paraId="34E7FD11" w14:textId="77777777" w:rsidR="00357CEC" w:rsidRPr="001300A9" w:rsidRDefault="00357CEC" w:rsidP="00357CEC">
            <w:pPr>
              <w:pStyle w:val="Default"/>
              <w:rPr>
                <w:sz w:val="22"/>
                <w:szCs w:val="22"/>
              </w:rPr>
            </w:pPr>
            <w:r w:rsidRPr="001300A9">
              <w:rPr>
                <w:sz w:val="22"/>
                <w:szCs w:val="22"/>
              </w:rPr>
              <w:t>N</w:t>
            </w:r>
          </w:p>
          <w:p w14:paraId="42E44845" w14:textId="77777777" w:rsidR="00357CEC" w:rsidRPr="001300A9" w:rsidRDefault="00357CEC" w:rsidP="00357CEC">
            <w:pPr>
              <w:pStyle w:val="Default"/>
              <w:rPr>
                <w:sz w:val="22"/>
                <w:szCs w:val="22"/>
              </w:rPr>
            </w:pPr>
          </w:p>
        </w:tc>
        <w:tc>
          <w:tcPr>
            <w:tcW w:w="283" w:type="dxa"/>
          </w:tcPr>
          <w:p w14:paraId="4AB569C4" w14:textId="6506C13B" w:rsidR="00357CEC" w:rsidRPr="001300A9" w:rsidRDefault="00436704" w:rsidP="00357CEC">
            <w:pPr>
              <w:pStyle w:val="Default"/>
              <w:rPr>
                <w:sz w:val="22"/>
                <w:szCs w:val="22"/>
              </w:rPr>
            </w:pPr>
            <w:r>
              <w:rPr>
                <w:sz w:val="22"/>
                <w:szCs w:val="22"/>
              </w:rPr>
              <w:t>NZ</w:t>
            </w:r>
          </w:p>
        </w:tc>
        <w:tc>
          <w:tcPr>
            <w:tcW w:w="567" w:type="dxa"/>
          </w:tcPr>
          <w:p w14:paraId="2CA750DB" w14:textId="60FA2A42" w:rsidR="00357CEC" w:rsidRPr="000B0A6E" w:rsidRDefault="003C7A57" w:rsidP="00357CEC">
            <w:pPr>
              <w:pStyle w:val="Default"/>
              <w:rPr>
                <w:sz w:val="22"/>
                <w:szCs w:val="22"/>
              </w:rPr>
            </w:pPr>
            <w:r w:rsidRPr="000B0A6E">
              <w:rPr>
                <w:sz w:val="22"/>
                <w:szCs w:val="22"/>
              </w:rPr>
              <w:t>Príloha č. 1</w:t>
            </w:r>
          </w:p>
        </w:tc>
        <w:tc>
          <w:tcPr>
            <w:tcW w:w="4253" w:type="dxa"/>
          </w:tcPr>
          <w:p w14:paraId="2D0CD186" w14:textId="3377EB69" w:rsidR="003C7A57" w:rsidRPr="001300A9" w:rsidRDefault="003C7A57" w:rsidP="003C7A57">
            <w:pPr>
              <w:pStyle w:val="Default"/>
              <w:rPr>
                <w:sz w:val="22"/>
                <w:szCs w:val="22"/>
              </w:rPr>
            </w:pPr>
            <w:r w:rsidRPr="001300A9">
              <w:rPr>
                <w:sz w:val="22"/>
                <w:szCs w:val="22"/>
              </w:rPr>
              <w:t>Priemyselná výroba sadzí zahŕňajúca karbonizáciu organickýc</w:t>
            </w:r>
            <w:r w:rsidR="006902A0">
              <w:rPr>
                <w:sz w:val="22"/>
                <w:szCs w:val="22"/>
              </w:rPr>
              <w:t xml:space="preserve">h látok, ako sú oleje, dechty, </w:t>
            </w:r>
            <w:r w:rsidRPr="001300A9">
              <w:rPr>
                <w:sz w:val="22"/>
                <w:szCs w:val="22"/>
              </w:rPr>
              <w:t>zvyšky z krakovania a destilácie, s kapacitou výroby väčšou ako 50 ton denne</w:t>
            </w:r>
            <w:r w:rsidRPr="001300A9">
              <w:rPr>
                <w:sz w:val="22"/>
                <w:szCs w:val="22"/>
              </w:rPr>
              <w:tab/>
            </w:r>
          </w:p>
          <w:p w14:paraId="29D5B46E" w14:textId="5FCEC6E0" w:rsidR="00357CEC" w:rsidRPr="001300A9" w:rsidRDefault="003C7A57" w:rsidP="003C7A57">
            <w:pPr>
              <w:pStyle w:val="Default"/>
              <w:rPr>
                <w:sz w:val="22"/>
                <w:szCs w:val="22"/>
              </w:rPr>
            </w:pPr>
            <w:r w:rsidRPr="001300A9">
              <w:rPr>
                <w:sz w:val="22"/>
                <w:szCs w:val="22"/>
              </w:rPr>
              <w:t>Oxid uhličitý</w:t>
            </w:r>
          </w:p>
        </w:tc>
        <w:tc>
          <w:tcPr>
            <w:tcW w:w="567" w:type="dxa"/>
          </w:tcPr>
          <w:p w14:paraId="0677B5C2" w14:textId="77777777" w:rsidR="00357CEC" w:rsidRPr="001300A9" w:rsidRDefault="008E58FA" w:rsidP="00357CEC">
            <w:pPr>
              <w:pStyle w:val="Default"/>
              <w:rPr>
                <w:sz w:val="22"/>
                <w:szCs w:val="22"/>
              </w:rPr>
            </w:pPr>
            <w:r w:rsidRPr="001300A9">
              <w:rPr>
                <w:sz w:val="22"/>
                <w:szCs w:val="22"/>
              </w:rPr>
              <w:t>Ú</w:t>
            </w:r>
          </w:p>
        </w:tc>
        <w:tc>
          <w:tcPr>
            <w:tcW w:w="1276" w:type="dxa"/>
          </w:tcPr>
          <w:p w14:paraId="39848621" w14:textId="77777777" w:rsidR="00357CEC" w:rsidRPr="001300A9" w:rsidRDefault="00357CEC" w:rsidP="00357CEC">
            <w:pPr>
              <w:pStyle w:val="Default"/>
              <w:rPr>
                <w:sz w:val="22"/>
                <w:szCs w:val="22"/>
              </w:rPr>
            </w:pPr>
          </w:p>
        </w:tc>
        <w:tc>
          <w:tcPr>
            <w:tcW w:w="850" w:type="dxa"/>
          </w:tcPr>
          <w:p w14:paraId="2C1A71BD" w14:textId="77777777" w:rsidR="00357CEC" w:rsidRPr="001300A9" w:rsidRDefault="008E58FA" w:rsidP="00357CEC">
            <w:pPr>
              <w:pStyle w:val="Default"/>
              <w:rPr>
                <w:sz w:val="22"/>
                <w:szCs w:val="22"/>
              </w:rPr>
            </w:pPr>
            <w:r w:rsidRPr="001300A9">
              <w:rPr>
                <w:sz w:val="22"/>
                <w:szCs w:val="22"/>
              </w:rPr>
              <w:t>GP - N</w:t>
            </w:r>
          </w:p>
        </w:tc>
        <w:tc>
          <w:tcPr>
            <w:tcW w:w="815" w:type="dxa"/>
          </w:tcPr>
          <w:p w14:paraId="0D8A19A8" w14:textId="77777777" w:rsidR="00357CEC" w:rsidRPr="001300A9" w:rsidRDefault="00357CEC" w:rsidP="00357CEC">
            <w:pPr>
              <w:pStyle w:val="Default"/>
              <w:rPr>
                <w:sz w:val="22"/>
                <w:szCs w:val="22"/>
              </w:rPr>
            </w:pPr>
          </w:p>
        </w:tc>
      </w:tr>
      <w:tr w:rsidR="00DD6EDC" w:rsidRPr="001300A9" w14:paraId="0991A16E" w14:textId="77777777" w:rsidTr="360410BC">
        <w:tc>
          <w:tcPr>
            <w:tcW w:w="562" w:type="dxa"/>
          </w:tcPr>
          <w:p w14:paraId="576966D7" w14:textId="77777777" w:rsidR="00357CEC" w:rsidRPr="001300A9" w:rsidRDefault="00357CEC" w:rsidP="00357CEC">
            <w:pPr>
              <w:pStyle w:val="Default"/>
              <w:rPr>
                <w:sz w:val="22"/>
                <w:szCs w:val="22"/>
              </w:rPr>
            </w:pPr>
            <w:r w:rsidRPr="001300A9">
              <w:rPr>
                <w:sz w:val="22"/>
                <w:szCs w:val="22"/>
              </w:rPr>
              <w:t>Príloha</w:t>
            </w:r>
          </w:p>
          <w:p w14:paraId="019B34EE" w14:textId="77777777" w:rsidR="00357CEC" w:rsidRPr="001300A9" w:rsidRDefault="00357CEC" w:rsidP="00357CEC">
            <w:pPr>
              <w:pStyle w:val="Default"/>
              <w:rPr>
                <w:sz w:val="22"/>
                <w:szCs w:val="22"/>
              </w:rPr>
            </w:pPr>
            <w:r w:rsidRPr="001300A9">
              <w:rPr>
                <w:sz w:val="22"/>
                <w:szCs w:val="22"/>
              </w:rPr>
              <w:t>O: 1</w:t>
            </w:r>
          </w:p>
          <w:p w14:paraId="3A4A3460" w14:textId="77777777" w:rsidR="00357CEC" w:rsidRPr="001300A9" w:rsidRDefault="00357CEC" w:rsidP="00357CEC">
            <w:pPr>
              <w:pStyle w:val="Default"/>
              <w:rPr>
                <w:sz w:val="22"/>
                <w:szCs w:val="22"/>
              </w:rPr>
            </w:pPr>
            <w:r w:rsidRPr="001300A9">
              <w:rPr>
                <w:sz w:val="22"/>
                <w:szCs w:val="22"/>
              </w:rPr>
              <w:t>P: c) vii)</w:t>
            </w:r>
          </w:p>
        </w:tc>
        <w:tc>
          <w:tcPr>
            <w:tcW w:w="4820" w:type="dxa"/>
          </w:tcPr>
          <w:p w14:paraId="4BC81D45" w14:textId="77777777" w:rsidR="00357CEC" w:rsidRPr="001300A9" w:rsidRDefault="00357CEC" w:rsidP="00357CEC">
            <w:pPr>
              <w:pStyle w:val="Default"/>
              <w:rPr>
                <w:sz w:val="22"/>
                <w:szCs w:val="22"/>
              </w:rPr>
            </w:pPr>
            <w:r w:rsidRPr="001300A9">
              <w:rPr>
                <w:sz w:val="22"/>
                <w:szCs w:val="22"/>
              </w:rPr>
              <w:t>Výroba vodíka (H</w:t>
            </w:r>
            <w:r w:rsidRPr="001300A9">
              <w:rPr>
                <w:sz w:val="22"/>
                <w:szCs w:val="22"/>
                <w:vertAlign w:val="subscript"/>
              </w:rPr>
              <w:t>2</w:t>
            </w:r>
            <w:r w:rsidRPr="001300A9">
              <w:rPr>
                <w:sz w:val="22"/>
                <w:szCs w:val="22"/>
              </w:rPr>
              <w:t xml:space="preserve">) a </w:t>
            </w:r>
            <w:proofErr w:type="spellStart"/>
            <w:r w:rsidRPr="001300A9">
              <w:rPr>
                <w:sz w:val="22"/>
                <w:szCs w:val="22"/>
              </w:rPr>
              <w:t>syntézneho</w:t>
            </w:r>
            <w:proofErr w:type="spellEnd"/>
            <w:r w:rsidRPr="001300A9">
              <w:rPr>
                <w:sz w:val="22"/>
                <w:szCs w:val="22"/>
              </w:rPr>
              <w:t xml:space="preserve"> plynu s kapacitou výroby väčšou ako 5 ton denne</w:t>
            </w:r>
            <w:r w:rsidRPr="001300A9">
              <w:rPr>
                <w:sz w:val="22"/>
                <w:szCs w:val="22"/>
              </w:rPr>
              <w:tab/>
              <w:t xml:space="preserve">                         Oxid uhličitý</w:t>
            </w:r>
          </w:p>
        </w:tc>
        <w:tc>
          <w:tcPr>
            <w:tcW w:w="567" w:type="dxa"/>
          </w:tcPr>
          <w:p w14:paraId="5717AF90" w14:textId="77777777" w:rsidR="00357CEC" w:rsidRPr="001300A9" w:rsidRDefault="00357CEC" w:rsidP="00357CEC">
            <w:pPr>
              <w:pStyle w:val="Default"/>
              <w:rPr>
                <w:sz w:val="22"/>
                <w:szCs w:val="22"/>
              </w:rPr>
            </w:pPr>
            <w:r w:rsidRPr="001300A9">
              <w:rPr>
                <w:sz w:val="22"/>
                <w:szCs w:val="22"/>
              </w:rPr>
              <w:t>N</w:t>
            </w:r>
          </w:p>
          <w:p w14:paraId="42B71CCD" w14:textId="77777777" w:rsidR="00357CEC" w:rsidRPr="001300A9" w:rsidRDefault="00357CEC" w:rsidP="00357CEC">
            <w:pPr>
              <w:pStyle w:val="Default"/>
              <w:rPr>
                <w:sz w:val="22"/>
                <w:szCs w:val="22"/>
              </w:rPr>
            </w:pPr>
          </w:p>
        </w:tc>
        <w:tc>
          <w:tcPr>
            <w:tcW w:w="283" w:type="dxa"/>
          </w:tcPr>
          <w:p w14:paraId="05D8B71F" w14:textId="7D9AE4F4" w:rsidR="00357CEC" w:rsidRPr="001300A9" w:rsidRDefault="00436704" w:rsidP="00357CEC">
            <w:pPr>
              <w:pStyle w:val="Default"/>
              <w:rPr>
                <w:sz w:val="22"/>
                <w:szCs w:val="22"/>
              </w:rPr>
            </w:pPr>
            <w:r>
              <w:rPr>
                <w:sz w:val="22"/>
                <w:szCs w:val="22"/>
              </w:rPr>
              <w:t>NZ</w:t>
            </w:r>
          </w:p>
        </w:tc>
        <w:tc>
          <w:tcPr>
            <w:tcW w:w="567" w:type="dxa"/>
          </w:tcPr>
          <w:p w14:paraId="65F5E126" w14:textId="1E3D9342" w:rsidR="00357CEC" w:rsidRPr="000B0A6E" w:rsidRDefault="008E58FA" w:rsidP="00357CEC">
            <w:pPr>
              <w:pStyle w:val="Default"/>
              <w:rPr>
                <w:sz w:val="22"/>
                <w:szCs w:val="22"/>
              </w:rPr>
            </w:pPr>
            <w:r w:rsidRPr="000B0A6E">
              <w:rPr>
                <w:sz w:val="22"/>
                <w:szCs w:val="22"/>
              </w:rPr>
              <w:t>Príloh</w:t>
            </w:r>
            <w:r w:rsidR="003C7A57" w:rsidRPr="000B0A6E">
              <w:rPr>
                <w:sz w:val="22"/>
                <w:szCs w:val="22"/>
              </w:rPr>
              <w:t>a č. 1</w:t>
            </w:r>
          </w:p>
        </w:tc>
        <w:tc>
          <w:tcPr>
            <w:tcW w:w="4253" w:type="dxa"/>
          </w:tcPr>
          <w:p w14:paraId="24CB542F" w14:textId="4ED10902" w:rsidR="00357CEC" w:rsidRPr="001300A9" w:rsidRDefault="003C7A57" w:rsidP="00357CEC">
            <w:pPr>
              <w:pStyle w:val="Default"/>
              <w:rPr>
                <w:sz w:val="22"/>
                <w:szCs w:val="22"/>
              </w:rPr>
            </w:pPr>
            <w:r w:rsidRPr="001300A9">
              <w:rPr>
                <w:sz w:val="22"/>
                <w:szCs w:val="22"/>
              </w:rPr>
              <w:t>Výroba vodíka (H</w:t>
            </w:r>
            <w:r w:rsidRPr="001300A9">
              <w:rPr>
                <w:sz w:val="22"/>
                <w:szCs w:val="22"/>
                <w:vertAlign w:val="subscript"/>
              </w:rPr>
              <w:t>2</w:t>
            </w:r>
            <w:r w:rsidRPr="001300A9">
              <w:rPr>
                <w:sz w:val="22"/>
                <w:szCs w:val="22"/>
              </w:rPr>
              <w:t xml:space="preserve">) a </w:t>
            </w:r>
            <w:proofErr w:type="spellStart"/>
            <w:r w:rsidRPr="001300A9">
              <w:rPr>
                <w:sz w:val="22"/>
                <w:szCs w:val="22"/>
              </w:rPr>
              <w:t>syntézneho</w:t>
            </w:r>
            <w:proofErr w:type="spellEnd"/>
            <w:r w:rsidRPr="001300A9">
              <w:rPr>
                <w:sz w:val="22"/>
                <w:szCs w:val="22"/>
              </w:rPr>
              <w:t xml:space="preserve"> plynu s kapacitou výroby väčšou ako 5 ton denne</w:t>
            </w:r>
            <w:r w:rsidRPr="001300A9">
              <w:rPr>
                <w:sz w:val="22"/>
                <w:szCs w:val="22"/>
              </w:rPr>
              <w:tab/>
              <w:t xml:space="preserve">                         Oxid uhličitý</w:t>
            </w:r>
          </w:p>
        </w:tc>
        <w:tc>
          <w:tcPr>
            <w:tcW w:w="567" w:type="dxa"/>
          </w:tcPr>
          <w:p w14:paraId="27695FB3" w14:textId="77777777" w:rsidR="00357CEC" w:rsidRPr="001300A9" w:rsidRDefault="008E58FA" w:rsidP="00357CEC">
            <w:pPr>
              <w:pStyle w:val="Default"/>
              <w:rPr>
                <w:sz w:val="22"/>
                <w:szCs w:val="22"/>
              </w:rPr>
            </w:pPr>
            <w:r w:rsidRPr="001300A9">
              <w:rPr>
                <w:sz w:val="22"/>
                <w:szCs w:val="22"/>
              </w:rPr>
              <w:t>Ú</w:t>
            </w:r>
          </w:p>
        </w:tc>
        <w:tc>
          <w:tcPr>
            <w:tcW w:w="1276" w:type="dxa"/>
          </w:tcPr>
          <w:p w14:paraId="10891A97" w14:textId="77777777" w:rsidR="00357CEC" w:rsidRPr="001300A9" w:rsidRDefault="00357CEC" w:rsidP="00357CEC">
            <w:pPr>
              <w:pStyle w:val="Default"/>
              <w:rPr>
                <w:sz w:val="22"/>
                <w:szCs w:val="22"/>
              </w:rPr>
            </w:pPr>
          </w:p>
        </w:tc>
        <w:tc>
          <w:tcPr>
            <w:tcW w:w="850" w:type="dxa"/>
          </w:tcPr>
          <w:p w14:paraId="76CDCE0C" w14:textId="77777777" w:rsidR="00357CEC" w:rsidRPr="001300A9" w:rsidRDefault="008E58FA" w:rsidP="00357CEC">
            <w:pPr>
              <w:pStyle w:val="Default"/>
              <w:rPr>
                <w:sz w:val="22"/>
                <w:szCs w:val="22"/>
              </w:rPr>
            </w:pPr>
            <w:r w:rsidRPr="001300A9">
              <w:rPr>
                <w:sz w:val="22"/>
                <w:szCs w:val="22"/>
              </w:rPr>
              <w:t>GP - N</w:t>
            </w:r>
          </w:p>
        </w:tc>
        <w:tc>
          <w:tcPr>
            <w:tcW w:w="815" w:type="dxa"/>
          </w:tcPr>
          <w:p w14:paraId="50668F3B" w14:textId="77777777" w:rsidR="00357CEC" w:rsidRPr="001300A9" w:rsidRDefault="00357CEC" w:rsidP="00357CEC">
            <w:pPr>
              <w:pStyle w:val="Default"/>
              <w:rPr>
                <w:sz w:val="22"/>
                <w:szCs w:val="22"/>
              </w:rPr>
            </w:pPr>
          </w:p>
        </w:tc>
      </w:tr>
      <w:tr w:rsidR="00DD6EDC" w:rsidRPr="001300A9" w14:paraId="637A7DAF" w14:textId="77777777" w:rsidTr="360410BC">
        <w:tc>
          <w:tcPr>
            <w:tcW w:w="562" w:type="dxa"/>
          </w:tcPr>
          <w:p w14:paraId="32EAA804" w14:textId="77777777" w:rsidR="00357CEC" w:rsidRPr="001300A9" w:rsidRDefault="00357CEC" w:rsidP="00357CEC">
            <w:pPr>
              <w:pStyle w:val="Default"/>
              <w:rPr>
                <w:sz w:val="22"/>
                <w:szCs w:val="22"/>
              </w:rPr>
            </w:pPr>
            <w:r w:rsidRPr="001300A9">
              <w:rPr>
                <w:sz w:val="22"/>
                <w:szCs w:val="22"/>
              </w:rPr>
              <w:t>Príloha</w:t>
            </w:r>
          </w:p>
          <w:p w14:paraId="6F3C7DFD" w14:textId="77777777" w:rsidR="00357CEC" w:rsidRPr="001300A9" w:rsidRDefault="00357CEC" w:rsidP="00357CEC">
            <w:pPr>
              <w:pStyle w:val="Default"/>
              <w:rPr>
                <w:sz w:val="22"/>
                <w:szCs w:val="22"/>
              </w:rPr>
            </w:pPr>
            <w:r w:rsidRPr="001300A9">
              <w:rPr>
                <w:sz w:val="22"/>
                <w:szCs w:val="22"/>
              </w:rPr>
              <w:t>O: 1</w:t>
            </w:r>
          </w:p>
          <w:p w14:paraId="7EBA3942" w14:textId="77777777" w:rsidR="00357CEC" w:rsidRPr="001300A9" w:rsidRDefault="00357CEC" w:rsidP="00357CEC">
            <w:pPr>
              <w:pStyle w:val="Default"/>
              <w:rPr>
                <w:sz w:val="22"/>
                <w:szCs w:val="22"/>
              </w:rPr>
            </w:pPr>
            <w:r w:rsidRPr="001300A9">
              <w:rPr>
                <w:sz w:val="22"/>
                <w:szCs w:val="22"/>
              </w:rPr>
              <w:t>P: c) viii)</w:t>
            </w:r>
          </w:p>
        </w:tc>
        <w:tc>
          <w:tcPr>
            <w:tcW w:w="4820" w:type="dxa"/>
          </w:tcPr>
          <w:p w14:paraId="5C40432E" w14:textId="365372AD" w:rsidR="00357CEC" w:rsidRPr="001300A9" w:rsidRDefault="00357CEC" w:rsidP="00357CEC">
            <w:pPr>
              <w:pStyle w:val="Default"/>
              <w:rPr>
                <w:sz w:val="22"/>
                <w:szCs w:val="22"/>
              </w:rPr>
            </w:pPr>
            <w:r w:rsidRPr="001300A9">
              <w:rPr>
                <w:sz w:val="22"/>
                <w:szCs w:val="22"/>
              </w:rPr>
              <w:t>Preprava skleníkových plynov na účely geologického ukladania v úložisku povolená</w:t>
            </w:r>
            <w:r w:rsidR="003C7A57" w:rsidRPr="001300A9">
              <w:rPr>
                <w:sz w:val="22"/>
                <w:szCs w:val="22"/>
              </w:rPr>
              <w:t xml:space="preserve">                              </w:t>
            </w:r>
            <w:r w:rsidRPr="001300A9">
              <w:rPr>
                <w:sz w:val="22"/>
                <w:szCs w:val="22"/>
              </w:rPr>
              <w:t xml:space="preserve">podľa smernice 2009/31/ES, s výnimkou emisií, na ktoré sa vzťahuje iná činnosť </w:t>
            </w:r>
          </w:p>
          <w:p w14:paraId="285E20DE" w14:textId="77777777" w:rsidR="00920B01" w:rsidRPr="001300A9" w:rsidRDefault="00357CEC" w:rsidP="00357CEC">
            <w:pPr>
              <w:pStyle w:val="Default"/>
              <w:rPr>
                <w:sz w:val="22"/>
                <w:szCs w:val="22"/>
              </w:rPr>
            </w:pPr>
            <w:r w:rsidRPr="001300A9">
              <w:rPr>
                <w:sz w:val="22"/>
                <w:szCs w:val="22"/>
              </w:rPr>
              <w:t>podľa tejto smernice</w:t>
            </w:r>
          </w:p>
          <w:p w14:paraId="3E1FA05E" w14:textId="77777777" w:rsidR="00357CEC" w:rsidRPr="001300A9" w:rsidRDefault="00920B01" w:rsidP="00357CEC">
            <w:pPr>
              <w:pStyle w:val="Default"/>
              <w:rPr>
                <w:sz w:val="22"/>
                <w:szCs w:val="22"/>
              </w:rPr>
            </w:pPr>
            <w:r w:rsidRPr="001300A9">
              <w:rPr>
                <w:sz w:val="22"/>
                <w:szCs w:val="22"/>
              </w:rPr>
              <w:t>Oxid uhličitý</w:t>
            </w:r>
            <w:r w:rsidR="00357CEC" w:rsidRPr="001300A9">
              <w:rPr>
                <w:sz w:val="22"/>
                <w:szCs w:val="22"/>
              </w:rPr>
              <w:tab/>
            </w:r>
          </w:p>
        </w:tc>
        <w:tc>
          <w:tcPr>
            <w:tcW w:w="567" w:type="dxa"/>
          </w:tcPr>
          <w:p w14:paraId="5E580712" w14:textId="77777777" w:rsidR="00357CEC" w:rsidRPr="001300A9" w:rsidRDefault="00357CEC" w:rsidP="00357CEC">
            <w:pPr>
              <w:pStyle w:val="Default"/>
              <w:rPr>
                <w:sz w:val="22"/>
                <w:szCs w:val="22"/>
              </w:rPr>
            </w:pPr>
            <w:r w:rsidRPr="001300A9">
              <w:rPr>
                <w:sz w:val="22"/>
                <w:szCs w:val="22"/>
              </w:rPr>
              <w:t>N</w:t>
            </w:r>
          </w:p>
          <w:p w14:paraId="72141DF8" w14:textId="77777777" w:rsidR="00357CEC" w:rsidRPr="001300A9" w:rsidRDefault="00357CEC" w:rsidP="00357CEC">
            <w:pPr>
              <w:pStyle w:val="Default"/>
              <w:rPr>
                <w:sz w:val="22"/>
                <w:szCs w:val="22"/>
              </w:rPr>
            </w:pPr>
          </w:p>
        </w:tc>
        <w:tc>
          <w:tcPr>
            <w:tcW w:w="283" w:type="dxa"/>
          </w:tcPr>
          <w:p w14:paraId="08CEAA88" w14:textId="6AD0579D" w:rsidR="00357CEC" w:rsidRPr="001300A9" w:rsidRDefault="00436704" w:rsidP="00357CEC">
            <w:pPr>
              <w:pStyle w:val="Default"/>
              <w:rPr>
                <w:sz w:val="22"/>
                <w:szCs w:val="22"/>
              </w:rPr>
            </w:pPr>
            <w:r>
              <w:rPr>
                <w:sz w:val="22"/>
                <w:szCs w:val="22"/>
              </w:rPr>
              <w:t>NZ</w:t>
            </w:r>
          </w:p>
        </w:tc>
        <w:tc>
          <w:tcPr>
            <w:tcW w:w="567" w:type="dxa"/>
          </w:tcPr>
          <w:p w14:paraId="7B70EB8F" w14:textId="0D68B42B" w:rsidR="00357CEC" w:rsidRPr="000B0A6E" w:rsidRDefault="003C7A57" w:rsidP="00357CEC">
            <w:pPr>
              <w:pStyle w:val="Default"/>
              <w:rPr>
                <w:sz w:val="22"/>
                <w:szCs w:val="22"/>
              </w:rPr>
            </w:pPr>
            <w:r w:rsidRPr="000B0A6E">
              <w:rPr>
                <w:sz w:val="22"/>
                <w:szCs w:val="22"/>
              </w:rPr>
              <w:t>Príloha č. 1</w:t>
            </w:r>
          </w:p>
        </w:tc>
        <w:tc>
          <w:tcPr>
            <w:tcW w:w="4253" w:type="dxa"/>
          </w:tcPr>
          <w:p w14:paraId="1F069531" w14:textId="2717FA40" w:rsidR="002204E0" w:rsidRPr="001300A9" w:rsidRDefault="002204E0" w:rsidP="003C7A57">
            <w:pPr>
              <w:pStyle w:val="Default"/>
              <w:rPr>
                <w:sz w:val="22"/>
                <w:szCs w:val="22"/>
              </w:rPr>
            </w:pPr>
            <w:r w:rsidRPr="002204E0">
              <w:rPr>
                <w:sz w:val="22"/>
                <w:szCs w:val="22"/>
              </w:rPr>
              <w:t>Preprava skleníkových plynov na účely geologického ukladania v úložisku povolená podľa osobitného predpisu20), s výnimkou emisií, na ktoré sa vzťahuje iná činnosť podľa tohto zákona</w:t>
            </w:r>
          </w:p>
          <w:p w14:paraId="3609CA15" w14:textId="63B41A2B" w:rsidR="00357CEC" w:rsidRPr="001300A9" w:rsidRDefault="003C7A57" w:rsidP="003C7A57">
            <w:pPr>
              <w:pStyle w:val="Default"/>
              <w:rPr>
                <w:sz w:val="22"/>
                <w:szCs w:val="22"/>
              </w:rPr>
            </w:pPr>
            <w:r w:rsidRPr="001300A9">
              <w:rPr>
                <w:sz w:val="22"/>
                <w:szCs w:val="22"/>
              </w:rPr>
              <w:t>Oxid uhličitý</w:t>
            </w:r>
          </w:p>
        </w:tc>
        <w:tc>
          <w:tcPr>
            <w:tcW w:w="567" w:type="dxa"/>
          </w:tcPr>
          <w:p w14:paraId="309A484B" w14:textId="77777777" w:rsidR="00357CEC" w:rsidRPr="001300A9" w:rsidRDefault="008E58FA" w:rsidP="00357CEC">
            <w:pPr>
              <w:pStyle w:val="Default"/>
              <w:rPr>
                <w:sz w:val="22"/>
                <w:szCs w:val="22"/>
              </w:rPr>
            </w:pPr>
            <w:r w:rsidRPr="001300A9">
              <w:rPr>
                <w:sz w:val="22"/>
                <w:szCs w:val="22"/>
              </w:rPr>
              <w:t>Ú</w:t>
            </w:r>
          </w:p>
        </w:tc>
        <w:tc>
          <w:tcPr>
            <w:tcW w:w="1276" w:type="dxa"/>
          </w:tcPr>
          <w:p w14:paraId="29D435B9" w14:textId="77777777" w:rsidR="00357CEC" w:rsidRPr="001300A9" w:rsidRDefault="00357CEC" w:rsidP="00357CEC">
            <w:pPr>
              <w:pStyle w:val="Default"/>
              <w:rPr>
                <w:sz w:val="22"/>
                <w:szCs w:val="22"/>
              </w:rPr>
            </w:pPr>
          </w:p>
        </w:tc>
        <w:tc>
          <w:tcPr>
            <w:tcW w:w="850" w:type="dxa"/>
          </w:tcPr>
          <w:p w14:paraId="4D1DB0D4" w14:textId="77777777" w:rsidR="00357CEC" w:rsidRPr="001300A9" w:rsidRDefault="008E58FA" w:rsidP="00357CEC">
            <w:pPr>
              <w:pStyle w:val="Default"/>
              <w:rPr>
                <w:sz w:val="22"/>
                <w:szCs w:val="22"/>
              </w:rPr>
            </w:pPr>
            <w:r w:rsidRPr="001300A9">
              <w:rPr>
                <w:sz w:val="22"/>
                <w:szCs w:val="22"/>
              </w:rPr>
              <w:t>GP - N</w:t>
            </w:r>
          </w:p>
        </w:tc>
        <w:tc>
          <w:tcPr>
            <w:tcW w:w="815" w:type="dxa"/>
          </w:tcPr>
          <w:p w14:paraId="07159ED1" w14:textId="77777777" w:rsidR="00357CEC" w:rsidRPr="001300A9" w:rsidRDefault="00357CEC" w:rsidP="00357CEC">
            <w:pPr>
              <w:pStyle w:val="Default"/>
              <w:rPr>
                <w:sz w:val="22"/>
                <w:szCs w:val="22"/>
              </w:rPr>
            </w:pPr>
          </w:p>
        </w:tc>
      </w:tr>
      <w:tr w:rsidR="00DD6EDC" w:rsidRPr="001300A9" w14:paraId="246A5F8B" w14:textId="77777777" w:rsidTr="360410BC">
        <w:tc>
          <w:tcPr>
            <w:tcW w:w="562" w:type="dxa"/>
          </w:tcPr>
          <w:p w14:paraId="6D348088" w14:textId="77777777" w:rsidR="00357CEC" w:rsidRPr="001300A9" w:rsidRDefault="00357CEC" w:rsidP="00357CEC">
            <w:pPr>
              <w:pStyle w:val="Default"/>
              <w:rPr>
                <w:sz w:val="22"/>
                <w:szCs w:val="22"/>
              </w:rPr>
            </w:pPr>
            <w:r w:rsidRPr="001300A9">
              <w:rPr>
                <w:sz w:val="22"/>
                <w:szCs w:val="22"/>
              </w:rPr>
              <w:t>Príloha</w:t>
            </w:r>
          </w:p>
          <w:p w14:paraId="1233D912" w14:textId="77777777" w:rsidR="00357CEC" w:rsidRPr="001300A9" w:rsidRDefault="00357CEC" w:rsidP="00357CEC">
            <w:pPr>
              <w:pStyle w:val="Default"/>
              <w:rPr>
                <w:sz w:val="22"/>
                <w:szCs w:val="22"/>
              </w:rPr>
            </w:pPr>
            <w:r w:rsidRPr="001300A9">
              <w:rPr>
                <w:sz w:val="22"/>
                <w:szCs w:val="22"/>
              </w:rPr>
              <w:t>O: 1</w:t>
            </w:r>
          </w:p>
          <w:p w14:paraId="6A1B3E29" w14:textId="77777777" w:rsidR="00357CEC" w:rsidRPr="001300A9" w:rsidRDefault="00357CEC" w:rsidP="00357CEC">
            <w:pPr>
              <w:pStyle w:val="Default"/>
              <w:rPr>
                <w:sz w:val="22"/>
                <w:szCs w:val="22"/>
              </w:rPr>
            </w:pPr>
            <w:r w:rsidRPr="001300A9">
              <w:rPr>
                <w:sz w:val="22"/>
                <w:szCs w:val="22"/>
              </w:rPr>
              <w:t>P: c) ix)</w:t>
            </w:r>
          </w:p>
        </w:tc>
        <w:tc>
          <w:tcPr>
            <w:tcW w:w="4820" w:type="dxa"/>
          </w:tcPr>
          <w:p w14:paraId="322C94B2" w14:textId="77777777" w:rsidR="00357CEC" w:rsidRPr="001300A9" w:rsidRDefault="00357CEC" w:rsidP="00357CEC">
            <w:pPr>
              <w:pStyle w:val="Default"/>
              <w:rPr>
                <w:sz w:val="22"/>
                <w:szCs w:val="22"/>
              </w:rPr>
            </w:pPr>
            <w:r w:rsidRPr="001300A9">
              <w:rPr>
                <w:sz w:val="22"/>
                <w:szCs w:val="22"/>
              </w:rPr>
              <w:t>Námorná doprava</w:t>
            </w:r>
          </w:p>
          <w:p w14:paraId="7351366B" w14:textId="77777777" w:rsidR="00920B01" w:rsidRPr="001300A9" w:rsidRDefault="00357CEC" w:rsidP="00357CEC">
            <w:pPr>
              <w:pStyle w:val="Default"/>
              <w:rPr>
                <w:sz w:val="22"/>
                <w:szCs w:val="22"/>
              </w:rPr>
            </w:pPr>
            <w:r w:rsidRPr="001300A9">
              <w:rPr>
                <w:sz w:val="22"/>
                <w:szCs w:val="22"/>
              </w:rPr>
              <w:t>Činnosti v oblasti námornej dopravy, na ktoré sa vzťahuje nariadenie (EÚ) 20</w:t>
            </w:r>
            <w:r w:rsidR="00920B01" w:rsidRPr="001300A9">
              <w:rPr>
                <w:sz w:val="22"/>
                <w:szCs w:val="22"/>
              </w:rPr>
              <w:t xml:space="preserve">15/757, </w:t>
            </w:r>
            <w:r w:rsidRPr="001300A9">
              <w:rPr>
                <w:sz w:val="22"/>
                <w:szCs w:val="22"/>
              </w:rPr>
              <w:t>s výnimkou činností námornej dopravy, na ktoré sa vzťahuje článok 2 ods</w:t>
            </w:r>
            <w:r w:rsidR="00920B01" w:rsidRPr="001300A9">
              <w:rPr>
                <w:sz w:val="22"/>
                <w:szCs w:val="22"/>
              </w:rPr>
              <w:t>. 1a a do 31. decembra 2026 článok 2 ods. 1b uvedeného nariadenia</w:t>
            </w:r>
          </w:p>
          <w:p w14:paraId="0DA1AB33" w14:textId="77777777" w:rsidR="008E58FA" w:rsidRPr="001300A9" w:rsidRDefault="008E58FA" w:rsidP="00357CEC">
            <w:pPr>
              <w:pStyle w:val="Default"/>
              <w:rPr>
                <w:sz w:val="22"/>
                <w:szCs w:val="22"/>
              </w:rPr>
            </w:pPr>
            <w:r w:rsidRPr="001300A9">
              <w:rPr>
                <w:sz w:val="22"/>
                <w:szCs w:val="22"/>
              </w:rPr>
              <w:t>Oxid uhličitý</w:t>
            </w:r>
          </w:p>
          <w:p w14:paraId="0E316E9D" w14:textId="77777777" w:rsidR="00357CEC" w:rsidRPr="001300A9" w:rsidRDefault="00357CEC" w:rsidP="00357CEC">
            <w:pPr>
              <w:pStyle w:val="Default"/>
              <w:rPr>
                <w:sz w:val="22"/>
                <w:szCs w:val="22"/>
              </w:rPr>
            </w:pPr>
            <w:r w:rsidRPr="001300A9">
              <w:rPr>
                <w:sz w:val="22"/>
                <w:szCs w:val="22"/>
              </w:rPr>
              <w:t xml:space="preserve">Od 1. januára 2026, </w:t>
            </w:r>
            <w:r w:rsidR="008E58FA" w:rsidRPr="001300A9">
              <w:rPr>
                <w:sz w:val="22"/>
                <w:szCs w:val="22"/>
              </w:rPr>
              <w:t xml:space="preserve">oxid uhličitý, </w:t>
            </w:r>
            <w:r w:rsidRPr="001300A9">
              <w:rPr>
                <w:sz w:val="22"/>
                <w:szCs w:val="22"/>
              </w:rPr>
              <w:t>metán a oxid dusný</w:t>
            </w:r>
            <w:r w:rsidR="008E58FA" w:rsidRPr="001300A9">
              <w:rPr>
                <w:sz w:val="22"/>
                <w:szCs w:val="22"/>
              </w:rPr>
              <w:t xml:space="preserve"> </w:t>
            </w:r>
          </w:p>
        </w:tc>
        <w:tc>
          <w:tcPr>
            <w:tcW w:w="567" w:type="dxa"/>
          </w:tcPr>
          <w:p w14:paraId="196D4186" w14:textId="77777777" w:rsidR="00357CEC" w:rsidRPr="001300A9" w:rsidRDefault="00357CEC" w:rsidP="00357CEC">
            <w:pPr>
              <w:pStyle w:val="Default"/>
              <w:rPr>
                <w:sz w:val="22"/>
                <w:szCs w:val="22"/>
              </w:rPr>
            </w:pPr>
            <w:r w:rsidRPr="001300A9">
              <w:rPr>
                <w:sz w:val="22"/>
                <w:szCs w:val="22"/>
              </w:rPr>
              <w:t>N</w:t>
            </w:r>
          </w:p>
          <w:p w14:paraId="0F7765E8" w14:textId="77777777" w:rsidR="00357CEC" w:rsidRPr="001300A9" w:rsidRDefault="00357CEC" w:rsidP="00357CEC">
            <w:pPr>
              <w:pStyle w:val="Default"/>
              <w:rPr>
                <w:sz w:val="22"/>
                <w:szCs w:val="22"/>
              </w:rPr>
            </w:pPr>
          </w:p>
        </w:tc>
        <w:tc>
          <w:tcPr>
            <w:tcW w:w="283" w:type="dxa"/>
          </w:tcPr>
          <w:p w14:paraId="728D3FE8" w14:textId="76155F4B" w:rsidR="00357CEC" w:rsidRPr="001300A9" w:rsidRDefault="00436704" w:rsidP="00357CEC">
            <w:pPr>
              <w:pStyle w:val="Default"/>
              <w:rPr>
                <w:sz w:val="22"/>
                <w:szCs w:val="22"/>
              </w:rPr>
            </w:pPr>
            <w:r>
              <w:rPr>
                <w:sz w:val="22"/>
                <w:szCs w:val="22"/>
              </w:rPr>
              <w:t>NZ</w:t>
            </w:r>
          </w:p>
        </w:tc>
        <w:tc>
          <w:tcPr>
            <w:tcW w:w="567" w:type="dxa"/>
          </w:tcPr>
          <w:p w14:paraId="2FD9A430" w14:textId="5DB31837" w:rsidR="00357CEC" w:rsidRPr="000B0A6E" w:rsidRDefault="003C7A57" w:rsidP="00357CEC">
            <w:pPr>
              <w:pStyle w:val="Default"/>
              <w:rPr>
                <w:sz w:val="22"/>
                <w:szCs w:val="22"/>
              </w:rPr>
            </w:pPr>
            <w:r w:rsidRPr="000B0A6E">
              <w:rPr>
                <w:sz w:val="22"/>
                <w:szCs w:val="22"/>
              </w:rPr>
              <w:t>Príloha č. 1</w:t>
            </w:r>
          </w:p>
        </w:tc>
        <w:tc>
          <w:tcPr>
            <w:tcW w:w="4253" w:type="dxa"/>
          </w:tcPr>
          <w:p w14:paraId="7BC22554" w14:textId="77777777" w:rsidR="00E22288" w:rsidRPr="001300A9" w:rsidRDefault="00E22288" w:rsidP="00E22288">
            <w:pPr>
              <w:pStyle w:val="Default"/>
              <w:rPr>
                <w:sz w:val="22"/>
                <w:szCs w:val="22"/>
              </w:rPr>
            </w:pPr>
            <w:r w:rsidRPr="001300A9">
              <w:rPr>
                <w:sz w:val="22"/>
                <w:szCs w:val="22"/>
              </w:rPr>
              <w:t>Námorná doprava</w:t>
            </w:r>
          </w:p>
          <w:p w14:paraId="621F0552" w14:textId="77777777" w:rsidR="00E22288" w:rsidRPr="001300A9" w:rsidRDefault="00E22288" w:rsidP="00E22288">
            <w:pPr>
              <w:pStyle w:val="Default"/>
              <w:rPr>
                <w:sz w:val="22"/>
                <w:szCs w:val="22"/>
              </w:rPr>
            </w:pPr>
            <w:r w:rsidRPr="001300A9">
              <w:rPr>
                <w:sz w:val="22"/>
                <w:szCs w:val="22"/>
              </w:rPr>
              <w:t>Činnosti v oblasti námornej dopravy, na ktoré sa vzťahuje nariadenie (EÚ) 2015/757, s výnimkou činností námornej dopravy, na ktoré sa vzťahuje článok 2 ods. 1a a do 31. decembra 2026 článok 2 ods. 1b uvedeného nariadenia</w:t>
            </w:r>
          </w:p>
          <w:p w14:paraId="5B1BF3BA" w14:textId="77777777" w:rsidR="00E22288" w:rsidRPr="001300A9" w:rsidRDefault="00E22288" w:rsidP="00E22288">
            <w:pPr>
              <w:pStyle w:val="Default"/>
              <w:rPr>
                <w:sz w:val="22"/>
                <w:szCs w:val="22"/>
              </w:rPr>
            </w:pPr>
            <w:r w:rsidRPr="001300A9">
              <w:rPr>
                <w:sz w:val="22"/>
                <w:szCs w:val="22"/>
              </w:rPr>
              <w:t>Oxid uhličitý</w:t>
            </w:r>
          </w:p>
          <w:p w14:paraId="4B7C977C" w14:textId="5A6217B6" w:rsidR="00357CEC" w:rsidRPr="001300A9" w:rsidRDefault="00E22288" w:rsidP="00E22288">
            <w:pPr>
              <w:pStyle w:val="Default"/>
              <w:rPr>
                <w:sz w:val="22"/>
                <w:szCs w:val="22"/>
              </w:rPr>
            </w:pPr>
            <w:r w:rsidRPr="001300A9">
              <w:rPr>
                <w:sz w:val="22"/>
                <w:szCs w:val="22"/>
              </w:rPr>
              <w:t>Od 1. januára 2026, oxid uhličitý, metán a oxid dusný</w:t>
            </w:r>
          </w:p>
        </w:tc>
        <w:tc>
          <w:tcPr>
            <w:tcW w:w="567" w:type="dxa"/>
          </w:tcPr>
          <w:p w14:paraId="05CC45EB" w14:textId="77777777" w:rsidR="00357CEC" w:rsidRPr="001300A9" w:rsidRDefault="008E58FA" w:rsidP="00357CEC">
            <w:pPr>
              <w:pStyle w:val="Default"/>
              <w:rPr>
                <w:sz w:val="22"/>
                <w:szCs w:val="22"/>
              </w:rPr>
            </w:pPr>
            <w:r w:rsidRPr="001300A9">
              <w:rPr>
                <w:sz w:val="22"/>
                <w:szCs w:val="22"/>
              </w:rPr>
              <w:t>Ú</w:t>
            </w:r>
          </w:p>
        </w:tc>
        <w:tc>
          <w:tcPr>
            <w:tcW w:w="1276" w:type="dxa"/>
          </w:tcPr>
          <w:p w14:paraId="08A301FF" w14:textId="77777777" w:rsidR="00357CEC" w:rsidRPr="001300A9" w:rsidRDefault="00357CEC" w:rsidP="00357CEC">
            <w:pPr>
              <w:pStyle w:val="Default"/>
              <w:rPr>
                <w:sz w:val="22"/>
                <w:szCs w:val="22"/>
              </w:rPr>
            </w:pPr>
          </w:p>
        </w:tc>
        <w:tc>
          <w:tcPr>
            <w:tcW w:w="850" w:type="dxa"/>
          </w:tcPr>
          <w:p w14:paraId="70903AE6" w14:textId="77777777" w:rsidR="00357CEC" w:rsidRPr="001300A9" w:rsidRDefault="008E58FA" w:rsidP="00357CEC">
            <w:pPr>
              <w:pStyle w:val="Default"/>
              <w:rPr>
                <w:sz w:val="22"/>
                <w:szCs w:val="22"/>
              </w:rPr>
            </w:pPr>
            <w:r w:rsidRPr="001300A9">
              <w:rPr>
                <w:sz w:val="22"/>
                <w:szCs w:val="22"/>
              </w:rPr>
              <w:t>GP - N</w:t>
            </w:r>
          </w:p>
        </w:tc>
        <w:tc>
          <w:tcPr>
            <w:tcW w:w="815" w:type="dxa"/>
          </w:tcPr>
          <w:p w14:paraId="68306A49" w14:textId="77777777" w:rsidR="00357CEC" w:rsidRPr="001300A9" w:rsidRDefault="00357CEC" w:rsidP="00357CEC">
            <w:pPr>
              <w:pStyle w:val="Default"/>
              <w:rPr>
                <w:sz w:val="22"/>
                <w:szCs w:val="22"/>
              </w:rPr>
            </w:pPr>
          </w:p>
        </w:tc>
      </w:tr>
      <w:tr w:rsidR="00DD6EDC" w:rsidRPr="001300A9" w14:paraId="2FA3EDAC" w14:textId="77777777" w:rsidTr="360410BC">
        <w:tc>
          <w:tcPr>
            <w:tcW w:w="562" w:type="dxa"/>
          </w:tcPr>
          <w:p w14:paraId="1FE015FD" w14:textId="77777777" w:rsidR="00357CEC" w:rsidRPr="001300A9" w:rsidRDefault="00357CEC" w:rsidP="00357CEC">
            <w:pPr>
              <w:pStyle w:val="Default"/>
              <w:rPr>
                <w:sz w:val="22"/>
                <w:szCs w:val="22"/>
              </w:rPr>
            </w:pPr>
            <w:r w:rsidRPr="001300A9">
              <w:rPr>
                <w:sz w:val="22"/>
                <w:szCs w:val="22"/>
              </w:rPr>
              <w:t>Príloha</w:t>
            </w:r>
          </w:p>
          <w:p w14:paraId="72B8511D" w14:textId="77777777" w:rsidR="00357CEC" w:rsidRPr="001300A9" w:rsidRDefault="00357CEC" w:rsidP="00357CEC">
            <w:pPr>
              <w:pStyle w:val="Default"/>
              <w:rPr>
                <w:sz w:val="22"/>
                <w:szCs w:val="22"/>
              </w:rPr>
            </w:pPr>
            <w:r w:rsidRPr="001300A9">
              <w:rPr>
                <w:sz w:val="22"/>
                <w:szCs w:val="22"/>
              </w:rPr>
              <w:t>O: 2</w:t>
            </w:r>
          </w:p>
        </w:tc>
        <w:tc>
          <w:tcPr>
            <w:tcW w:w="4820" w:type="dxa"/>
          </w:tcPr>
          <w:p w14:paraId="240CCD4F" w14:textId="77777777" w:rsidR="00357CEC" w:rsidRPr="001300A9" w:rsidRDefault="00357CEC" w:rsidP="00357CEC">
            <w:pPr>
              <w:pStyle w:val="Default"/>
              <w:rPr>
                <w:sz w:val="22"/>
                <w:szCs w:val="22"/>
              </w:rPr>
            </w:pPr>
            <w:r w:rsidRPr="001300A9">
              <w:rPr>
                <w:sz w:val="22"/>
                <w:szCs w:val="22"/>
              </w:rPr>
              <w:t xml:space="preserve">PRÍLOHA </w:t>
            </w:r>
            <w:proofErr w:type="spellStart"/>
            <w:r w:rsidRPr="001300A9">
              <w:rPr>
                <w:sz w:val="22"/>
                <w:szCs w:val="22"/>
              </w:rPr>
              <w:t>IIb</w:t>
            </w:r>
            <w:proofErr w:type="spellEnd"/>
          </w:p>
          <w:p w14:paraId="1A2D0846" w14:textId="77777777" w:rsidR="00357CEC" w:rsidRPr="001300A9" w:rsidRDefault="00357CEC" w:rsidP="00357CEC">
            <w:pPr>
              <w:pStyle w:val="Default"/>
              <w:rPr>
                <w:sz w:val="22"/>
                <w:szCs w:val="22"/>
              </w:rPr>
            </w:pPr>
            <w:r w:rsidRPr="001300A9">
              <w:rPr>
                <w:sz w:val="22"/>
                <w:szCs w:val="22"/>
              </w:rPr>
              <w:t>Časť A – ROZDELENIE FINANČNÝCH PROSTRIEDKOV Z MODERNIZAČNÉHO FONDU V SÚLADE S ČLÁNKOM 10 ODS. 1 TRETÍM PODODSEKOM</w:t>
            </w:r>
          </w:p>
          <w:p w14:paraId="4CA31E3A" w14:textId="77777777" w:rsidR="00357CEC" w:rsidRPr="001300A9" w:rsidRDefault="00357CEC" w:rsidP="00357CEC">
            <w:pPr>
              <w:pStyle w:val="Default"/>
              <w:rPr>
                <w:sz w:val="22"/>
                <w:szCs w:val="22"/>
              </w:rPr>
            </w:pPr>
            <w:r w:rsidRPr="001300A9">
              <w:rPr>
                <w:sz w:val="22"/>
                <w:szCs w:val="22"/>
              </w:rPr>
              <w:tab/>
              <w:t xml:space="preserve">             Podiel</w:t>
            </w:r>
          </w:p>
          <w:p w14:paraId="28CB64C6" w14:textId="77777777" w:rsidR="00357CEC" w:rsidRPr="001300A9" w:rsidRDefault="00357CEC" w:rsidP="00357CEC">
            <w:pPr>
              <w:pStyle w:val="Default"/>
              <w:rPr>
                <w:sz w:val="22"/>
                <w:szCs w:val="22"/>
              </w:rPr>
            </w:pPr>
            <w:r w:rsidRPr="001300A9">
              <w:rPr>
                <w:sz w:val="22"/>
                <w:szCs w:val="22"/>
              </w:rPr>
              <w:t>Bulharsko</w:t>
            </w:r>
            <w:r w:rsidRPr="001300A9">
              <w:rPr>
                <w:sz w:val="22"/>
                <w:szCs w:val="22"/>
              </w:rPr>
              <w:tab/>
              <w:t>5,84 %</w:t>
            </w:r>
          </w:p>
          <w:p w14:paraId="1DE5C145" w14:textId="77777777" w:rsidR="00357CEC" w:rsidRPr="001300A9" w:rsidRDefault="00357CEC" w:rsidP="00357CEC">
            <w:pPr>
              <w:pStyle w:val="Default"/>
              <w:rPr>
                <w:sz w:val="22"/>
                <w:szCs w:val="22"/>
              </w:rPr>
            </w:pPr>
            <w:r w:rsidRPr="001300A9">
              <w:rPr>
                <w:sz w:val="22"/>
                <w:szCs w:val="22"/>
              </w:rPr>
              <w:t>Česko</w:t>
            </w:r>
            <w:r w:rsidRPr="001300A9">
              <w:rPr>
                <w:sz w:val="22"/>
                <w:szCs w:val="22"/>
              </w:rPr>
              <w:tab/>
              <w:t xml:space="preserve">             15,59 %</w:t>
            </w:r>
          </w:p>
          <w:p w14:paraId="12343688" w14:textId="77777777" w:rsidR="00357CEC" w:rsidRPr="001300A9" w:rsidRDefault="00357CEC" w:rsidP="00357CEC">
            <w:pPr>
              <w:pStyle w:val="Default"/>
              <w:rPr>
                <w:sz w:val="22"/>
                <w:szCs w:val="22"/>
              </w:rPr>
            </w:pPr>
            <w:r w:rsidRPr="001300A9">
              <w:rPr>
                <w:sz w:val="22"/>
                <w:szCs w:val="22"/>
              </w:rPr>
              <w:t>Estónsko</w:t>
            </w:r>
            <w:r w:rsidRPr="001300A9">
              <w:rPr>
                <w:sz w:val="22"/>
                <w:szCs w:val="22"/>
              </w:rPr>
              <w:tab/>
              <w:t>2,78 %</w:t>
            </w:r>
          </w:p>
          <w:p w14:paraId="781CB74D" w14:textId="77777777" w:rsidR="00357CEC" w:rsidRPr="001300A9" w:rsidRDefault="00357CEC" w:rsidP="00357CEC">
            <w:pPr>
              <w:pStyle w:val="Default"/>
              <w:rPr>
                <w:sz w:val="22"/>
                <w:szCs w:val="22"/>
              </w:rPr>
            </w:pPr>
            <w:r w:rsidRPr="001300A9">
              <w:rPr>
                <w:sz w:val="22"/>
                <w:szCs w:val="22"/>
              </w:rPr>
              <w:t>Chorvátsko</w:t>
            </w:r>
            <w:r w:rsidRPr="001300A9">
              <w:rPr>
                <w:sz w:val="22"/>
                <w:szCs w:val="22"/>
              </w:rPr>
              <w:tab/>
              <w:t>3,14 %</w:t>
            </w:r>
          </w:p>
          <w:p w14:paraId="00B0F226" w14:textId="77777777" w:rsidR="00357CEC" w:rsidRPr="001300A9" w:rsidRDefault="00357CEC" w:rsidP="00357CEC">
            <w:pPr>
              <w:pStyle w:val="Default"/>
              <w:rPr>
                <w:sz w:val="22"/>
                <w:szCs w:val="22"/>
              </w:rPr>
            </w:pPr>
            <w:r w:rsidRPr="001300A9">
              <w:rPr>
                <w:sz w:val="22"/>
                <w:szCs w:val="22"/>
              </w:rPr>
              <w:t>Lotyšsko</w:t>
            </w:r>
            <w:r w:rsidRPr="001300A9">
              <w:rPr>
                <w:sz w:val="22"/>
                <w:szCs w:val="22"/>
              </w:rPr>
              <w:tab/>
              <w:t>1,44 %</w:t>
            </w:r>
          </w:p>
          <w:p w14:paraId="1F4641F2" w14:textId="77777777" w:rsidR="00357CEC" w:rsidRPr="001300A9" w:rsidRDefault="00357CEC" w:rsidP="00357CEC">
            <w:pPr>
              <w:pStyle w:val="Default"/>
              <w:rPr>
                <w:sz w:val="22"/>
                <w:szCs w:val="22"/>
              </w:rPr>
            </w:pPr>
            <w:r w:rsidRPr="001300A9">
              <w:rPr>
                <w:sz w:val="22"/>
                <w:szCs w:val="22"/>
              </w:rPr>
              <w:t>Litva</w:t>
            </w:r>
            <w:r w:rsidRPr="001300A9">
              <w:rPr>
                <w:sz w:val="22"/>
                <w:szCs w:val="22"/>
              </w:rPr>
              <w:tab/>
              <w:t xml:space="preserve">             2,57 %</w:t>
            </w:r>
          </w:p>
          <w:p w14:paraId="655CA5D9" w14:textId="77777777" w:rsidR="00357CEC" w:rsidRPr="001300A9" w:rsidRDefault="00357CEC" w:rsidP="00357CEC">
            <w:pPr>
              <w:pStyle w:val="Default"/>
              <w:rPr>
                <w:sz w:val="22"/>
                <w:szCs w:val="22"/>
              </w:rPr>
            </w:pPr>
            <w:r w:rsidRPr="001300A9">
              <w:rPr>
                <w:sz w:val="22"/>
                <w:szCs w:val="22"/>
              </w:rPr>
              <w:t>Maďarsko</w:t>
            </w:r>
            <w:r w:rsidRPr="001300A9">
              <w:rPr>
                <w:sz w:val="22"/>
                <w:szCs w:val="22"/>
              </w:rPr>
              <w:tab/>
              <w:t>7,12 %</w:t>
            </w:r>
          </w:p>
          <w:p w14:paraId="2E535F5F" w14:textId="77777777" w:rsidR="00357CEC" w:rsidRPr="001300A9" w:rsidRDefault="00357CEC" w:rsidP="00357CEC">
            <w:pPr>
              <w:pStyle w:val="Default"/>
              <w:rPr>
                <w:sz w:val="22"/>
                <w:szCs w:val="22"/>
              </w:rPr>
            </w:pPr>
            <w:r w:rsidRPr="001300A9">
              <w:rPr>
                <w:sz w:val="22"/>
                <w:szCs w:val="22"/>
              </w:rPr>
              <w:t>Poľsko</w:t>
            </w:r>
            <w:r w:rsidRPr="001300A9">
              <w:rPr>
                <w:sz w:val="22"/>
                <w:szCs w:val="22"/>
              </w:rPr>
              <w:tab/>
              <w:t xml:space="preserve">             43,41 %</w:t>
            </w:r>
          </w:p>
          <w:p w14:paraId="4F7E8019" w14:textId="77777777" w:rsidR="00357CEC" w:rsidRPr="001300A9" w:rsidRDefault="00357CEC" w:rsidP="00357CEC">
            <w:pPr>
              <w:pStyle w:val="Default"/>
              <w:rPr>
                <w:sz w:val="22"/>
                <w:szCs w:val="22"/>
              </w:rPr>
            </w:pPr>
            <w:r w:rsidRPr="001300A9">
              <w:rPr>
                <w:sz w:val="22"/>
                <w:szCs w:val="22"/>
              </w:rPr>
              <w:t>Rumunsko</w:t>
            </w:r>
            <w:r w:rsidRPr="001300A9">
              <w:rPr>
                <w:sz w:val="22"/>
                <w:szCs w:val="22"/>
              </w:rPr>
              <w:tab/>
              <w:t>11,98 %</w:t>
            </w:r>
          </w:p>
          <w:p w14:paraId="43052EF3" w14:textId="77777777" w:rsidR="00357CEC" w:rsidRPr="001300A9" w:rsidRDefault="00357CEC" w:rsidP="00357CEC">
            <w:pPr>
              <w:pStyle w:val="Default"/>
              <w:rPr>
                <w:sz w:val="22"/>
                <w:szCs w:val="22"/>
              </w:rPr>
            </w:pPr>
            <w:r w:rsidRPr="001300A9">
              <w:rPr>
                <w:sz w:val="22"/>
                <w:szCs w:val="22"/>
              </w:rPr>
              <w:t>Slovensko</w:t>
            </w:r>
            <w:r w:rsidRPr="001300A9">
              <w:rPr>
                <w:sz w:val="22"/>
                <w:szCs w:val="22"/>
              </w:rPr>
              <w:tab/>
              <w:t>6,13 %</w:t>
            </w:r>
          </w:p>
          <w:p w14:paraId="38E70163" w14:textId="77777777" w:rsidR="00357CEC" w:rsidRPr="001300A9" w:rsidRDefault="00357CEC" w:rsidP="00357CEC">
            <w:pPr>
              <w:pStyle w:val="Default"/>
              <w:rPr>
                <w:sz w:val="22"/>
                <w:szCs w:val="22"/>
              </w:rPr>
            </w:pPr>
          </w:p>
          <w:p w14:paraId="112CF607" w14:textId="77777777" w:rsidR="00357CEC" w:rsidRPr="001300A9" w:rsidRDefault="00357CEC" w:rsidP="00357CEC">
            <w:pPr>
              <w:pStyle w:val="Default"/>
              <w:rPr>
                <w:sz w:val="22"/>
                <w:szCs w:val="22"/>
              </w:rPr>
            </w:pPr>
            <w:r w:rsidRPr="001300A9">
              <w:rPr>
                <w:sz w:val="22"/>
                <w:szCs w:val="22"/>
              </w:rPr>
              <w:t>Časť B – ROZDELENIE FINANČNÝCH PROSTRIEDKOV Z MODERNIZAČNÉHO FONDU V SÚLADE S ČLÁNKOM 10 ODS. 1 ŠTVRTÝM PODODSEKOM</w:t>
            </w:r>
          </w:p>
          <w:p w14:paraId="04E733D4" w14:textId="77777777" w:rsidR="00357CEC" w:rsidRPr="001300A9" w:rsidRDefault="00357CEC" w:rsidP="00357CEC">
            <w:pPr>
              <w:pStyle w:val="Default"/>
              <w:rPr>
                <w:sz w:val="22"/>
                <w:szCs w:val="22"/>
              </w:rPr>
            </w:pPr>
            <w:r w:rsidRPr="001300A9">
              <w:rPr>
                <w:sz w:val="22"/>
                <w:szCs w:val="22"/>
              </w:rPr>
              <w:tab/>
              <w:t xml:space="preserve">             Podiel</w:t>
            </w:r>
          </w:p>
          <w:p w14:paraId="34BBF1DB" w14:textId="77777777" w:rsidR="00357CEC" w:rsidRPr="001300A9" w:rsidRDefault="00357CEC" w:rsidP="00357CEC">
            <w:pPr>
              <w:pStyle w:val="Default"/>
              <w:rPr>
                <w:sz w:val="22"/>
                <w:szCs w:val="22"/>
              </w:rPr>
            </w:pPr>
            <w:r w:rsidRPr="001300A9">
              <w:rPr>
                <w:sz w:val="22"/>
                <w:szCs w:val="22"/>
              </w:rPr>
              <w:t>Bulharsko</w:t>
            </w:r>
            <w:r w:rsidRPr="001300A9">
              <w:rPr>
                <w:sz w:val="22"/>
                <w:szCs w:val="22"/>
              </w:rPr>
              <w:tab/>
              <w:t>4,9 %</w:t>
            </w:r>
          </w:p>
          <w:p w14:paraId="293A2DFC" w14:textId="77777777" w:rsidR="00357CEC" w:rsidRPr="001300A9" w:rsidRDefault="00357CEC" w:rsidP="00357CEC">
            <w:pPr>
              <w:pStyle w:val="Default"/>
              <w:rPr>
                <w:sz w:val="22"/>
                <w:szCs w:val="22"/>
              </w:rPr>
            </w:pPr>
            <w:r w:rsidRPr="001300A9">
              <w:rPr>
                <w:sz w:val="22"/>
                <w:szCs w:val="22"/>
              </w:rPr>
              <w:t>Česko</w:t>
            </w:r>
            <w:r w:rsidRPr="001300A9">
              <w:rPr>
                <w:sz w:val="22"/>
                <w:szCs w:val="22"/>
              </w:rPr>
              <w:tab/>
              <w:t xml:space="preserve">             12,6 %</w:t>
            </w:r>
          </w:p>
          <w:p w14:paraId="3802E4B4" w14:textId="77777777" w:rsidR="00357CEC" w:rsidRPr="001300A9" w:rsidRDefault="00357CEC" w:rsidP="00357CEC">
            <w:pPr>
              <w:pStyle w:val="Default"/>
              <w:rPr>
                <w:sz w:val="22"/>
                <w:szCs w:val="22"/>
              </w:rPr>
            </w:pPr>
            <w:r w:rsidRPr="001300A9">
              <w:rPr>
                <w:sz w:val="22"/>
                <w:szCs w:val="22"/>
              </w:rPr>
              <w:t>Estónsko</w:t>
            </w:r>
            <w:r w:rsidRPr="001300A9">
              <w:rPr>
                <w:sz w:val="22"/>
                <w:szCs w:val="22"/>
              </w:rPr>
              <w:tab/>
              <w:t>2,1 %</w:t>
            </w:r>
          </w:p>
          <w:p w14:paraId="620CA428" w14:textId="77777777" w:rsidR="00357CEC" w:rsidRPr="001300A9" w:rsidRDefault="00357CEC" w:rsidP="00357CEC">
            <w:pPr>
              <w:pStyle w:val="Default"/>
              <w:rPr>
                <w:sz w:val="22"/>
                <w:szCs w:val="22"/>
              </w:rPr>
            </w:pPr>
            <w:r w:rsidRPr="001300A9">
              <w:rPr>
                <w:sz w:val="22"/>
                <w:szCs w:val="22"/>
              </w:rPr>
              <w:t>Grécko</w:t>
            </w:r>
            <w:r w:rsidRPr="001300A9">
              <w:rPr>
                <w:sz w:val="22"/>
                <w:szCs w:val="22"/>
              </w:rPr>
              <w:tab/>
              <w:t xml:space="preserve">             10,1 %</w:t>
            </w:r>
          </w:p>
          <w:p w14:paraId="1A027969" w14:textId="77777777" w:rsidR="00357CEC" w:rsidRPr="001300A9" w:rsidRDefault="00357CEC" w:rsidP="00357CEC">
            <w:pPr>
              <w:pStyle w:val="Default"/>
              <w:rPr>
                <w:sz w:val="22"/>
                <w:szCs w:val="22"/>
              </w:rPr>
            </w:pPr>
            <w:r w:rsidRPr="001300A9">
              <w:rPr>
                <w:sz w:val="22"/>
                <w:szCs w:val="22"/>
              </w:rPr>
              <w:t>Chorvátsko</w:t>
            </w:r>
            <w:r w:rsidRPr="001300A9">
              <w:rPr>
                <w:sz w:val="22"/>
                <w:szCs w:val="22"/>
              </w:rPr>
              <w:tab/>
              <w:t>2,3 %</w:t>
            </w:r>
          </w:p>
          <w:p w14:paraId="6BF873AE" w14:textId="77777777" w:rsidR="00357CEC" w:rsidRPr="001300A9" w:rsidRDefault="00357CEC" w:rsidP="00357CEC">
            <w:pPr>
              <w:pStyle w:val="Default"/>
              <w:rPr>
                <w:sz w:val="22"/>
                <w:szCs w:val="22"/>
              </w:rPr>
            </w:pPr>
            <w:r w:rsidRPr="001300A9">
              <w:rPr>
                <w:sz w:val="22"/>
                <w:szCs w:val="22"/>
              </w:rPr>
              <w:t>Lotyšsko</w:t>
            </w:r>
            <w:r w:rsidRPr="001300A9">
              <w:rPr>
                <w:sz w:val="22"/>
                <w:szCs w:val="22"/>
              </w:rPr>
              <w:tab/>
              <w:t>1,0 %</w:t>
            </w:r>
          </w:p>
          <w:p w14:paraId="357ABF71" w14:textId="77777777" w:rsidR="00357CEC" w:rsidRPr="001300A9" w:rsidRDefault="00357CEC" w:rsidP="00357CEC">
            <w:pPr>
              <w:pStyle w:val="Default"/>
              <w:rPr>
                <w:sz w:val="22"/>
                <w:szCs w:val="22"/>
              </w:rPr>
            </w:pPr>
            <w:r w:rsidRPr="001300A9">
              <w:rPr>
                <w:sz w:val="22"/>
                <w:szCs w:val="22"/>
              </w:rPr>
              <w:t>Litva</w:t>
            </w:r>
            <w:r w:rsidRPr="001300A9">
              <w:rPr>
                <w:sz w:val="22"/>
                <w:szCs w:val="22"/>
              </w:rPr>
              <w:tab/>
              <w:t xml:space="preserve">             1,9 %</w:t>
            </w:r>
          </w:p>
          <w:p w14:paraId="410F14D0" w14:textId="77777777" w:rsidR="00357CEC" w:rsidRPr="001300A9" w:rsidRDefault="00357CEC" w:rsidP="00357CEC">
            <w:pPr>
              <w:pStyle w:val="Default"/>
              <w:rPr>
                <w:sz w:val="22"/>
                <w:szCs w:val="22"/>
              </w:rPr>
            </w:pPr>
            <w:r w:rsidRPr="001300A9">
              <w:rPr>
                <w:sz w:val="22"/>
                <w:szCs w:val="22"/>
              </w:rPr>
              <w:t>Maďarsko</w:t>
            </w:r>
            <w:r w:rsidRPr="001300A9">
              <w:rPr>
                <w:sz w:val="22"/>
                <w:szCs w:val="22"/>
              </w:rPr>
              <w:tab/>
              <w:t>5,8 %</w:t>
            </w:r>
          </w:p>
          <w:p w14:paraId="7A9E4354" w14:textId="77777777" w:rsidR="00357CEC" w:rsidRPr="001300A9" w:rsidRDefault="00357CEC" w:rsidP="00357CEC">
            <w:pPr>
              <w:pStyle w:val="Default"/>
              <w:rPr>
                <w:sz w:val="22"/>
                <w:szCs w:val="22"/>
              </w:rPr>
            </w:pPr>
            <w:r w:rsidRPr="001300A9">
              <w:rPr>
                <w:sz w:val="22"/>
                <w:szCs w:val="22"/>
              </w:rPr>
              <w:t>Poľsko</w:t>
            </w:r>
            <w:r w:rsidRPr="001300A9">
              <w:rPr>
                <w:sz w:val="22"/>
                <w:szCs w:val="22"/>
              </w:rPr>
              <w:tab/>
              <w:t xml:space="preserve">             34,2 %</w:t>
            </w:r>
          </w:p>
          <w:p w14:paraId="2489F091" w14:textId="77777777" w:rsidR="00357CEC" w:rsidRPr="001300A9" w:rsidRDefault="00357CEC" w:rsidP="00357CEC">
            <w:pPr>
              <w:pStyle w:val="Default"/>
              <w:rPr>
                <w:sz w:val="22"/>
                <w:szCs w:val="22"/>
              </w:rPr>
            </w:pPr>
            <w:r w:rsidRPr="001300A9">
              <w:rPr>
                <w:sz w:val="22"/>
                <w:szCs w:val="22"/>
              </w:rPr>
              <w:t>Portugalsko</w:t>
            </w:r>
            <w:r w:rsidRPr="001300A9">
              <w:rPr>
                <w:sz w:val="22"/>
                <w:szCs w:val="22"/>
              </w:rPr>
              <w:tab/>
              <w:t>8,6 %</w:t>
            </w:r>
          </w:p>
          <w:p w14:paraId="5ADEB8AD" w14:textId="77777777" w:rsidR="00357CEC" w:rsidRPr="001300A9" w:rsidRDefault="00357CEC" w:rsidP="00357CEC">
            <w:pPr>
              <w:pStyle w:val="Default"/>
              <w:rPr>
                <w:sz w:val="22"/>
                <w:szCs w:val="22"/>
              </w:rPr>
            </w:pPr>
            <w:r w:rsidRPr="001300A9">
              <w:rPr>
                <w:sz w:val="22"/>
                <w:szCs w:val="22"/>
              </w:rPr>
              <w:t>Rumunsko</w:t>
            </w:r>
            <w:r w:rsidRPr="001300A9">
              <w:rPr>
                <w:sz w:val="22"/>
                <w:szCs w:val="22"/>
              </w:rPr>
              <w:tab/>
              <w:t>9,7 %</w:t>
            </w:r>
          </w:p>
          <w:p w14:paraId="2D5FA20F" w14:textId="77777777" w:rsidR="00357CEC" w:rsidRPr="001300A9" w:rsidRDefault="00357CEC" w:rsidP="00357CEC">
            <w:pPr>
              <w:pStyle w:val="Default"/>
              <w:rPr>
                <w:sz w:val="22"/>
                <w:szCs w:val="22"/>
              </w:rPr>
            </w:pPr>
            <w:r w:rsidRPr="001300A9">
              <w:rPr>
                <w:sz w:val="22"/>
                <w:szCs w:val="22"/>
              </w:rPr>
              <w:t>Slovensko</w:t>
            </w:r>
            <w:r w:rsidRPr="001300A9">
              <w:rPr>
                <w:sz w:val="22"/>
                <w:szCs w:val="22"/>
              </w:rPr>
              <w:tab/>
              <w:t>4,8 %</w:t>
            </w:r>
          </w:p>
          <w:p w14:paraId="48D8F1CA" w14:textId="77777777" w:rsidR="00357CEC" w:rsidRPr="001300A9" w:rsidRDefault="00357CEC" w:rsidP="00357CEC">
            <w:pPr>
              <w:pStyle w:val="Default"/>
              <w:rPr>
                <w:sz w:val="22"/>
                <w:szCs w:val="22"/>
              </w:rPr>
            </w:pPr>
            <w:r w:rsidRPr="001300A9">
              <w:rPr>
                <w:sz w:val="22"/>
                <w:szCs w:val="22"/>
              </w:rPr>
              <w:t>Slovinsko</w:t>
            </w:r>
            <w:r w:rsidRPr="001300A9">
              <w:rPr>
                <w:sz w:val="22"/>
                <w:szCs w:val="22"/>
              </w:rPr>
              <w:tab/>
              <w:t>2,0 %</w:t>
            </w:r>
          </w:p>
        </w:tc>
        <w:tc>
          <w:tcPr>
            <w:tcW w:w="567" w:type="dxa"/>
          </w:tcPr>
          <w:p w14:paraId="45C0B224" w14:textId="77777777" w:rsidR="00357CEC" w:rsidRPr="001300A9" w:rsidRDefault="00357CEC" w:rsidP="00357CEC">
            <w:pPr>
              <w:pStyle w:val="Default"/>
              <w:rPr>
                <w:sz w:val="22"/>
                <w:szCs w:val="22"/>
              </w:rPr>
            </w:pPr>
            <w:proofErr w:type="spellStart"/>
            <w:r w:rsidRPr="001300A9">
              <w:rPr>
                <w:sz w:val="22"/>
                <w:szCs w:val="22"/>
              </w:rPr>
              <w:t>n.a</w:t>
            </w:r>
            <w:proofErr w:type="spellEnd"/>
            <w:r w:rsidRPr="001300A9">
              <w:rPr>
                <w:sz w:val="22"/>
                <w:szCs w:val="22"/>
              </w:rPr>
              <w:t>.</w:t>
            </w:r>
          </w:p>
        </w:tc>
        <w:tc>
          <w:tcPr>
            <w:tcW w:w="283" w:type="dxa"/>
          </w:tcPr>
          <w:p w14:paraId="0C7EEE2A" w14:textId="77777777" w:rsidR="00357CEC" w:rsidRPr="001300A9" w:rsidRDefault="00357CEC" w:rsidP="00357CEC">
            <w:pPr>
              <w:pStyle w:val="Default"/>
              <w:rPr>
                <w:sz w:val="22"/>
                <w:szCs w:val="22"/>
              </w:rPr>
            </w:pPr>
          </w:p>
        </w:tc>
        <w:tc>
          <w:tcPr>
            <w:tcW w:w="567" w:type="dxa"/>
          </w:tcPr>
          <w:p w14:paraId="7C8387FD" w14:textId="77777777" w:rsidR="00357CEC" w:rsidRPr="001300A9" w:rsidRDefault="00357CEC" w:rsidP="00357CEC">
            <w:pPr>
              <w:pStyle w:val="Default"/>
              <w:rPr>
                <w:sz w:val="22"/>
                <w:szCs w:val="22"/>
              </w:rPr>
            </w:pPr>
          </w:p>
        </w:tc>
        <w:tc>
          <w:tcPr>
            <w:tcW w:w="4253" w:type="dxa"/>
          </w:tcPr>
          <w:p w14:paraId="5D04E0BB" w14:textId="77777777" w:rsidR="00357CEC" w:rsidRPr="001300A9" w:rsidRDefault="00357CEC" w:rsidP="00357CEC">
            <w:pPr>
              <w:pStyle w:val="Default"/>
              <w:rPr>
                <w:sz w:val="22"/>
                <w:szCs w:val="22"/>
              </w:rPr>
            </w:pPr>
          </w:p>
        </w:tc>
        <w:tc>
          <w:tcPr>
            <w:tcW w:w="567" w:type="dxa"/>
          </w:tcPr>
          <w:p w14:paraId="1F2E4E76" w14:textId="77777777" w:rsidR="00357CEC" w:rsidRPr="001300A9" w:rsidRDefault="00357CEC" w:rsidP="00357CEC">
            <w:pPr>
              <w:pStyle w:val="Default"/>
              <w:rPr>
                <w:sz w:val="22"/>
                <w:szCs w:val="22"/>
              </w:rPr>
            </w:pPr>
          </w:p>
        </w:tc>
        <w:tc>
          <w:tcPr>
            <w:tcW w:w="1276" w:type="dxa"/>
          </w:tcPr>
          <w:p w14:paraId="4E84C741" w14:textId="77777777" w:rsidR="00357CEC" w:rsidRPr="001300A9" w:rsidRDefault="00357CEC" w:rsidP="00357CEC">
            <w:pPr>
              <w:pStyle w:val="Default"/>
              <w:rPr>
                <w:sz w:val="22"/>
                <w:szCs w:val="22"/>
              </w:rPr>
            </w:pPr>
          </w:p>
        </w:tc>
        <w:tc>
          <w:tcPr>
            <w:tcW w:w="850" w:type="dxa"/>
          </w:tcPr>
          <w:p w14:paraId="56DCDFE7" w14:textId="77777777" w:rsidR="00357CEC" w:rsidRPr="001300A9" w:rsidRDefault="00357CEC" w:rsidP="00357CEC">
            <w:pPr>
              <w:pStyle w:val="Default"/>
              <w:rPr>
                <w:sz w:val="22"/>
                <w:szCs w:val="22"/>
              </w:rPr>
            </w:pPr>
          </w:p>
        </w:tc>
        <w:tc>
          <w:tcPr>
            <w:tcW w:w="815" w:type="dxa"/>
          </w:tcPr>
          <w:p w14:paraId="72869235" w14:textId="77777777" w:rsidR="00357CEC" w:rsidRPr="001300A9" w:rsidRDefault="00357CEC" w:rsidP="00357CEC">
            <w:pPr>
              <w:pStyle w:val="Default"/>
              <w:rPr>
                <w:sz w:val="22"/>
                <w:szCs w:val="22"/>
              </w:rPr>
            </w:pPr>
          </w:p>
        </w:tc>
      </w:tr>
      <w:tr w:rsidR="00DD6EDC" w:rsidRPr="001300A9" w14:paraId="656DC5BC" w14:textId="77777777" w:rsidTr="360410BC">
        <w:tc>
          <w:tcPr>
            <w:tcW w:w="562" w:type="dxa"/>
          </w:tcPr>
          <w:p w14:paraId="3EE1A10C" w14:textId="77777777" w:rsidR="00357CEC" w:rsidRPr="001300A9" w:rsidRDefault="00357CEC" w:rsidP="00357CEC">
            <w:pPr>
              <w:pStyle w:val="Default"/>
              <w:rPr>
                <w:sz w:val="22"/>
                <w:szCs w:val="22"/>
              </w:rPr>
            </w:pPr>
            <w:r w:rsidRPr="001300A9">
              <w:rPr>
                <w:sz w:val="22"/>
                <w:szCs w:val="22"/>
              </w:rPr>
              <w:t>Príloha</w:t>
            </w:r>
          </w:p>
          <w:p w14:paraId="70EC20B9" w14:textId="77777777" w:rsidR="00357CEC" w:rsidRPr="001300A9" w:rsidRDefault="00357CEC" w:rsidP="00357CEC">
            <w:pPr>
              <w:pStyle w:val="Default"/>
              <w:rPr>
                <w:sz w:val="22"/>
                <w:szCs w:val="22"/>
              </w:rPr>
            </w:pPr>
            <w:r w:rsidRPr="001300A9">
              <w:rPr>
                <w:sz w:val="22"/>
                <w:szCs w:val="22"/>
              </w:rPr>
              <w:t>O: 3</w:t>
            </w:r>
          </w:p>
        </w:tc>
        <w:tc>
          <w:tcPr>
            <w:tcW w:w="4820" w:type="dxa"/>
          </w:tcPr>
          <w:p w14:paraId="2DB05178" w14:textId="77777777" w:rsidR="00357CEC" w:rsidRPr="001300A9" w:rsidRDefault="00357CEC" w:rsidP="00357CEC">
            <w:pPr>
              <w:pStyle w:val="Default"/>
              <w:rPr>
                <w:sz w:val="22"/>
                <w:szCs w:val="22"/>
              </w:rPr>
            </w:pPr>
            <w:r w:rsidRPr="001300A9">
              <w:rPr>
                <w:sz w:val="22"/>
                <w:szCs w:val="22"/>
              </w:rPr>
              <w:t>PRÍLOHA III</w:t>
            </w:r>
            <w:r w:rsidRPr="001300A9">
              <w:rPr>
                <w:sz w:val="22"/>
                <w:szCs w:val="22"/>
              </w:rPr>
              <w:br/>
              <w:t xml:space="preserve">ČINNOSŤ, NA KTORÚ SA VZŤAHUJE KAPITOLA </w:t>
            </w:r>
            <w:proofErr w:type="spellStart"/>
            <w:r w:rsidRPr="001300A9">
              <w:rPr>
                <w:sz w:val="22"/>
                <w:szCs w:val="22"/>
              </w:rPr>
              <w:t>IVa</w:t>
            </w:r>
            <w:proofErr w:type="spellEnd"/>
          </w:p>
          <w:tbl>
            <w:tblPr>
              <w:tblStyle w:val="TableGrid1"/>
              <w:tblW w:w="4421" w:type="dxa"/>
              <w:tblInd w:w="25" w:type="dxa"/>
              <w:tblLayout w:type="fixed"/>
              <w:tblLook w:val="04A0" w:firstRow="1" w:lastRow="0" w:firstColumn="1" w:lastColumn="0" w:noHBand="0" w:noVBand="1"/>
            </w:tblPr>
            <w:tblGrid>
              <w:gridCol w:w="2664"/>
              <w:gridCol w:w="1757"/>
            </w:tblGrid>
            <w:tr w:rsidR="008E58FA" w:rsidRPr="001300A9" w14:paraId="2EB1370D" w14:textId="77777777" w:rsidTr="008E58FA">
              <w:trPr>
                <w:trHeight w:val="20"/>
                <w:tblHeader/>
              </w:trPr>
              <w:tc>
                <w:tcPr>
                  <w:tcW w:w="2664" w:type="dxa"/>
                  <w:tcBorders>
                    <w:bottom w:val="single" w:sz="4" w:space="0" w:color="auto"/>
                  </w:tcBorders>
                </w:tcPr>
                <w:p w14:paraId="60323099" w14:textId="77777777" w:rsidR="00357CEC" w:rsidRPr="001300A9" w:rsidRDefault="00357CEC" w:rsidP="00357CEC">
                  <w:pPr>
                    <w:spacing w:before="60" w:after="60" w:line="240" w:lineRule="auto"/>
                    <w:jc w:val="center"/>
                    <w:rPr>
                      <w:rFonts w:ascii="Times New Roman" w:hAnsi="Times New Roman" w:cs="Times New Roman"/>
                    </w:rPr>
                  </w:pPr>
                  <w:r w:rsidRPr="001300A9">
                    <w:rPr>
                      <w:rFonts w:ascii="Times New Roman" w:hAnsi="Times New Roman" w:cs="Times New Roman"/>
                    </w:rPr>
                    <w:t>Činnosť:</w:t>
                  </w:r>
                </w:p>
              </w:tc>
              <w:tc>
                <w:tcPr>
                  <w:tcW w:w="1757" w:type="dxa"/>
                  <w:tcBorders>
                    <w:bottom w:val="single" w:sz="4" w:space="0" w:color="auto"/>
                  </w:tcBorders>
                </w:tcPr>
                <w:p w14:paraId="007F4CC8" w14:textId="77777777" w:rsidR="00357CEC" w:rsidRPr="001300A9" w:rsidRDefault="00357CEC" w:rsidP="00357CEC">
                  <w:pPr>
                    <w:spacing w:before="60" w:after="60" w:line="240" w:lineRule="auto"/>
                    <w:jc w:val="center"/>
                    <w:rPr>
                      <w:rFonts w:ascii="Times New Roman" w:hAnsi="Times New Roman" w:cs="Times New Roman"/>
                    </w:rPr>
                  </w:pPr>
                  <w:r w:rsidRPr="001300A9">
                    <w:rPr>
                      <w:rFonts w:ascii="Times New Roman" w:hAnsi="Times New Roman" w:cs="Times New Roman"/>
                    </w:rPr>
                    <w:t>Skleníkové plyny</w:t>
                  </w:r>
                </w:p>
              </w:tc>
            </w:tr>
            <w:tr w:rsidR="008E58FA" w:rsidRPr="001300A9" w14:paraId="509F8110" w14:textId="77777777" w:rsidTr="008E58FA">
              <w:trPr>
                <w:trHeight w:val="20"/>
              </w:trPr>
              <w:tc>
                <w:tcPr>
                  <w:tcW w:w="2664" w:type="dxa"/>
                  <w:tcBorders>
                    <w:bottom w:val="nil"/>
                  </w:tcBorders>
                </w:tcPr>
                <w:p w14:paraId="5F99AF82" w14:textId="77777777" w:rsidR="00357CEC" w:rsidRPr="001300A9" w:rsidRDefault="00357CEC" w:rsidP="00357CEC">
                  <w:pPr>
                    <w:spacing w:before="60" w:after="60" w:line="240" w:lineRule="auto"/>
                    <w:rPr>
                      <w:rFonts w:ascii="Times New Roman" w:hAnsi="Times New Roman" w:cs="Times New Roman"/>
                    </w:rPr>
                  </w:pPr>
                  <w:r w:rsidRPr="001300A9">
                    <w:rPr>
                      <w:rFonts w:ascii="Times New Roman" w:hAnsi="Times New Roman" w:cs="Times New Roman"/>
                    </w:rPr>
                    <w:t>Uvádzanie palív, ktoré sa používajú na účely spaľovania v odvetví budov, odvetví cestnej dopravy a ďalších odvetviach do daňového voľného obehu. Táto činnosť nezahŕňa:</w:t>
                  </w:r>
                </w:p>
                <w:p w14:paraId="25EF0600" w14:textId="77777777" w:rsidR="00357CEC" w:rsidRPr="001300A9" w:rsidRDefault="00357CEC" w:rsidP="00357CEC">
                  <w:pPr>
                    <w:spacing w:before="60" w:after="60" w:line="240" w:lineRule="auto"/>
                    <w:ind w:left="851" w:hanging="851"/>
                    <w:rPr>
                      <w:rFonts w:ascii="Times New Roman" w:hAnsi="Times New Roman" w:cs="Times New Roman"/>
                    </w:rPr>
                  </w:pPr>
                  <w:r w:rsidRPr="001300A9">
                    <w:rPr>
                      <w:rFonts w:ascii="Times New Roman" w:hAnsi="Times New Roman" w:cs="Times New Roman"/>
                    </w:rPr>
                    <w:t>a)</w:t>
                  </w:r>
                  <w:r w:rsidRPr="001300A9">
                    <w:rPr>
                      <w:rFonts w:ascii="Times New Roman" w:hAnsi="Times New Roman" w:cs="Times New Roman"/>
                    </w:rPr>
                    <w:tab/>
                    <w:t>uvádzanie palív používaných pri činnostiach uvedených v prílohe I do daňového voľného obehu, okrem prípadov, keď sa používajú na účely spaľovania v rámci činností prepravy skleníkových plynov na geologické ukladanie, ako sa stanovuje v tabuľke riadku 27 uvedenej prílohy alebo keď sa používajú na účely spaľovania v zariadeniach vylúčených podľa článku 27a;</w:t>
                  </w:r>
                </w:p>
                <w:p w14:paraId="5DC60238" w14:textId="77777777" w:rsidR="00357CEC" w:rsidRPr="001300A9" w:rsidRDefault="00357CEC" w:rsidP="00357CEC">
                  <w:pPr>
                    <w:spacing w:before="60" w:after="60" w:line="240" w:lineRule="auto"/>
                    <w:ind w:left="851" w:hanging="851"/>
                    <w:rPr>
                      <w:rFonts w:ascii="Times New Roman" w:hAnsi="Times New Roman" w:cs="Times New Roman"/>
                    </w:rPr>
                  </w:pPr>
                  <w:r w:rsidRPr="001300A9">
                    <w:rPr>
                      <w:rFonts w:ascii="Times New Roman" w:hAnsi="Times New Roman" w:cs="Times New Roman"/>
                    </w:rPr>
                    <w:t>b)</w:t>
                  </w:r>
                  <w:r w:rsidRPr="001300A9">
                    <w:rPr>
                      <w:rFonts w:ascii="Times New Roman" w:hAnsi="Times New Roman" w:cs="Times New Roman"/>
                    </w:rPr>
                    <w:tab/>
                    <w:t>uvádzanie palív s nulovým emisným faktorom do daňového voľného obehu;</w:t>
                  </w:r>
                </w:p>
                <w:p w14:paraId="104FFE7B" w14:textId="77777777" w:rsidR="00357CEC" w:rsidRPr="001300A9" w:rsidRDefault="00357CEC" w:rsidP="00357CEC">
                  <w:pPr>
                    <w:spacing w:before="60" w:after="60" w:line="240" w:lineRule="auto"/>
                    <w:ind w:left="851" w:hanging="851"/>
                    <w:rPr>
                      <w:rFonts w:ascii="Times New Roman" w:hAnsi="Times New Roman" w:cs="Times New Roman"/>
                    </w:rPr>
                  </w:pPr>
                  <w:r w:rsidRPr="001300A9">
                    <w:rPr>
                      <w:rFonts w:ascii="Times New Roman" w:hAnsi="Times New Roman" w:cs="Times New Roman"/>
                    </w:rPr>
                    <w:t>c)</w:t>
                  </w:r>
                  <w:r w:rsidRPr="001300A9">
                    <w:rPr>
                      <w:rFonts w:ascii="Times New Roman" w:hAnsi="Times New Roman" w:cs="Times New Roman"/>
                    </w:rPr>
                    <w:tab/>
                    <w:t>uvádzanie nebezpečného alebo komunálneho odpadu používaného ako palivo do daňového voľného obehu.</w:t>
                  </w:r>
                </w:p>
                <w:p w14:paraId="67E269E1" w14:textId="77777777" w:rsidR="00357CEC" w:rsidRPr="001300A9" w:rsidRDefault="00357CEC" w:rsidP="00357CEC">
                  <w:pPr>
                    <w:spacing w:before="60" w:after="60" w:line="240" w:lineRule="auto"/>
                    <w:rPr>
                      <w:rFonts w:ascii="Times New Roman" w:hAnsi="Times New Roman" w:cs="Times New Roman"/>
                    </w:rPr>
                  </w:pPr>
                  <w:r w:rsidRPr="001300A9">
                    <w:rPr>
                      <w:rFonts w:ascii="Times New Roman" w:hAnsi="Times New Roman" w:cs="Times New Roman"/>
                    </w:rPr>
                    <w:t>Odvetviu budov a odvetviu cestnej dopravy zodpovedajú tieto zdroje emisií vymedzené v usmerneniach panela IPCC pre národné inventúry skleníkových plynov z roku 2006 s týmito nevyhnutnými úpravami predmetných vymedzení:</w:t>
                  </w:r>
                </w:p>
                <w:p w14:paraId="7404DB97" w14:textId="77777777" w:rsidR="00357CEC" w:rsidRPr="001300A9" w:rsidRDefault="00357CEC" w:rsidP="00357CEC">
                  <w:pPr>
                    <w:spacing w:before="60" w:after="60" w:line="240" w:lineRule="auto"/>
                    <w:ind w:left="851" w:hanging="851"/>
                    <w:rPr>
                      <w:rFonts w:ascii="Times New Roman" w:hAnsi="Times New Roman" w:cs="Times New Roman"/>
                    </w:rPr>
                  </w:pPr>
                  <w:r w:rsidRPr="001300A9">
                    <w:rPr>
                      <w:rFonts w:ascii="Times New Roman" w:hAnsi="Times New Roman" w:cs="Times New Roman"/>
                    </w:rPr>
                    <w:t>a)</w:t>
                  </w:r>
                  <w:r w:rsidRPr="001300A9">
                    <w:rPr>
                      <w:rFonts w:ascii="Times New Roman" w:hAnsi="Times New Roman" w:cs="Times New Roman"/>
                    </w:rPr>
                    <w:tab/>
                    <w:t>kombinovaná výroba tepla a elektriny (KVET) (kód kategórie zdroja 1A1a ii) a teplárne (kód zdroja 1A1a iii), pokiaľ vyrábajú teplo pre kategórie uvedené v písmenách c) a d) tohto odseku, a to buď priamo alebo prostredníctvom sietí diaľkového vykurovania;</w:t>
                  </w:r>
                </w:p>
              </w:tc>
              <w:tc>
                <w:tcPr>
                  <w:tcW w:w="1757" w:type="dxa"/>
                  <w:tcBorders>
                    <w:bottom w:val="nil"/>
                  </w:tcBorders>
                </w:tcPr>
                <w:p w14:paraId="79691D8C" w14:textId="77777777" w:rsidR="00357CEC" w:rsidRPr="001300A9" w:rsidRDefault="00357CEC" w:rsidP="00357CEC">
                  <w:pPr>
                    <w:spacing w:before="60" w:after="60" w:line="240" w:lineRule="auto"/>
                    <w:jc w:val="center"/>
                    <w:rPr>
                      <w:rFonts w:ascii="Times New Roman" w:hAnsi="Times New Roman" w:cs="Times New Roman"/>
                    </w:rPr>
                  </w:pPr>
                  <w:r w:rsidRPr="001300A9">
                    <w:rPr>
                      <w:rFonts w:ascii="Times New Roman" w:hAnsi="Times New Roman" w:cs="Times New Roman"/>
                    </w:rPr>
                    <w:t>Oxid uhličitý</w:t>
                  </w:r>
                </w:p>
              </w:tc>
            </w:tr>
            <w:tr w:rsidR="008E58FA" w:rsidRPr="001300A9" w14:paraId="0FE61780" w14:textId="77777777" w:rsidTr="008E58FA">
              <w:trPr>
                <w:trHeight w:val="20"/>
              </w:trPr>
              <w:tc>
                <w:tcPr>
                  <w:tcW w:w="2664" w:type="dxa"/>
                  <w:tcBorders>
                    <w:top w:val="nil"/>
                  </w:tcBorders>
                </w:tcPr>
                <w:p w14:paraId="122730BC" w14:textId="77777777" w:rsidR="00357CEC" w:rsidRPr="001300A9" w:rsidRDefault="00357CEC" w:rsidP="00357CEC">
                  <w:pPr>
                    <w:pageBreakBefore/>
                    <w:spacing w:before="60" w:after="60" w:line="240" w:lineRule="auto"/>
                    <w:ind w:left="851" w:hanging="851"/>
                    <w:rPr>
                      <w:rFonts w:ascii="Times New Roman" w:hAnsi="Times New Roman" w:cs="Times New Roman"/>
                    </w:rPr>
                  </w:pPr>
                  <w:r w:rsidRPr="001300A9">
                    <w:rPr>
                      <w:rFonts w:ascii="Times New Roman" w:hAnsi="Times New Roman" w:cs="Times New Roman"/>
                    </w:rPr>
                    <w:t>b)</w:t>
                  </w:r>
                  <w:r w:rsidRPr="001300A9">
                    <w:rPr>
                      <w:rFonts w:ascii="Times New Roman" w:hAnsi="Times New Roman" w:cs="Times New Roman"/>
                    </w:rPr>
                    <w:tab/>
                    <w:t>cestná doprava (kód kategórie zdroja 1A3b) okrem používania poľnohospodárskych vozidiel na spevnených cestných komunikáciách;</w:t>
                  </w:r>
                </w:p>
                <w:p w14:paraId="048561AF" w14:textId="77777777" w:rsidR="00357CEC" w:rsidRPr="001300A9" w:rsidRDefault="00357CEC" w:rsidP="00357CEC">
                  <w:pPr>
                    <w:spacing w:before="60" w:after="60" w:line="240" w:lineRule="auto"/>
                    <w:ind w:left="851" w:hanging="851"/>
                    <w:rPr>
                      <w:rFonts w:ascii="Times New Roman" w:hAnsi="Times New Roman" w:cs="Times New Roman"/>
                    </w:rPr>
                  </w:pPr>
                  <w:r w:rsidRPr="001300A9">
                    <w:rPr>
                      <w:rFonts w:ascii="Times New Roman" w:hAnsi="Times New Roman" w:cs="Times New Roman"/>
                    </w:rPr>
                    <w:t>c)</w:t>
                  </w:r>
                  <w:r w:rsidRPr="001300A9">
                    <w:rPr>
                      <w:rFonts w:ascii="Times New Roman" w:hAnsi="Times New Roman" w:cs="Times New Roman"/>
                    </w:rPr>
                    <w:tab/>
                    <w:t>komerčné/inštitucionálne budovy (kód kategórie zdroja 1A4a);</w:t>
                  </w:r>
                </w:p>
                <w:p w14:paraId="0C0131B2" w14:textId="77777777" w:rsidR="00357CEC" w:rsidRPr="001300A9" w:rsidRDefault="00357CEC" w:rsidP="00357CEC">
                  <w:pPr>
                    <w:spacing w:before="60" w:after="60" w:line="240" w:lineRule="auto"/>
                    <w:ind w:left="851" w:hanging="851"/>
                    <w:rPr>
                      <w:rFonts w:ascii="Times New Roman" w:hAnsi="Times New Roman" w:cs="Times New Roman"/>
                    </w:rPr>
                  </w:pPr>
                  <w:r w:rsidRPr="001300A9">
                    <w:rPr>
                      <w:rFonts w:ascii="Times New Roman" w:hAnsi="Times New Roman" w:cs="Times New Roman"/>
                    </w:rPr>
                    <w:t>d)</w:t>
                  </w:r>
                  <w:r w:rsidRPr="001300A9">
                    <w:rPr>
                      <w:rFonts w:ascii="Times New Roman" w:hAnsi="Times New Roman" w:cs="Times New Roman"/>
                    </w:rPr>
                    <w:tab/>
                    <w:t>obytné budovy (kód kategórie zdroja 1A4b).</w:t>
                  </w:r>
                </w:p>
                <w:p w14:paraId="24DC3935" w14:textId="77777777" w:rsidR="00357CEC" w:rsidRPr="001300A9" w:rsidRDefault="00357CEC" w:rsidP="00357CEC">
                  <w:pPr>
                    <w:spacing w:before="60" w:after="60" w:line="240" w:lineRule="auto"/>
                    <w:rPr>
                      <w:rFonts w:ascii="Times New Roman" w:hAnsi="Times New Roman" w:cs="Times New Roman"/>
                    </w:rPr>
                  </w:pPr>
                  <w:r w:rsidRPr="001300A9">
                    <w:rPr>
                      <w:rFonts w:ascii="Times New Roman" w:hAnsi="Times New Roman" w:cs="Times New Roman"/>
                    </w:rPr>
                    <w:t>Ďalším odvetviam zodpovedajú tieto zdroje emisií vymedzené v usmerneniach IPCC pre národné inventúry skleníkových plynov z roku 2006:</w:t>
                  </w:r>
                </w:p>
                <w:p w14:paraId="2F8B5AEE" w14:textId="77777777" w:rsidR="00357CEC" w:rsidRPr="001300A9" w:rsidRDefault="00357CEC" w:rsidP="00357CEC">
                  <w:pPr>
                    <w:spacing w:before="60" w:after="60" w:line="240" w:lineRule="auto"/>
                    <w:ind w:left="851" w:hanging="851"/>
                    <w:rPr>
                      <w:rFonts w:ascii="Times New Roman" w:hAnsi="Times New Roman" w:cs="Times New Roman"/>
                    </w:rPr>
                  </w:pPr>
                  <w:r w:rsidRPr="001300A9">
                    <w:rPr>
                      <w:rFonts w:ascii="Times New Roman" w:hAnsi="Times New Roman" w:cs="Times New Roman"/>
                    </w:rPr>
                    <w:t>a)</w:t>
                  </w:r>
                  <w:r w:rsidRPr="001300A9">
                    <w:rPr>
                      <w:rFonts w:ascii="Times New Roman" w:hAnsi="Times New Roman" w:cs="Times New Roman"/>
                    </w:rPr>
                    <w:tab/>
                    <w:t>odvetvie energetiky (kód kategórie zdroja 1A1) okrem kategórií vymedzených v druhom odseku písm. a) tejto prílohy;</w:t>
                  </w:r>
                </w:p>
                <w:p w14:paraId="102C2A8A" w14:textId="77777777" w:rsidR="00357CEC" w:rsidRPr="001300A9" w:rsidRDefault="00357CEC" w:rsidP="00357CEC">
                  <w:pPr>
                    <w:spacing w:before="60" w:after="60" w:line="240" w:lineRule="auto"/>
                    <w:ind w:left="851" w:hanging="851"/>
                    <w:rPr>
                      <w:rFonts w:ascii="Times New Roman" w:hAnsi="Times New Roman" w:cs="Times New Roman"/>
                    </w:rPr>
                  </w:pPr>
                  <w:r w:rsidRPr="001300A9">
                    <w:rPr>
                      <w:rFonts w:ascii="Times New Roman" w:hAnsi="Times New Roman" w:cs="Times New Roman"/>
                    </w:rPr>
                    <w:t>b)</w:t>
                  </w:r>
                  <w:r w:rsidRPr="001300A9">
                    <w:rPr>
                      <w:rFonts w:ascii="Times New Roman" w:hAnsi="Times New Roman" w:cs="Times New Roman"/>
                    </w:rPr>
                    <w:tab/>
                    <w:t>výrobný priemysel a stavebníctvo (kód kategórie zdroja 1A2).</w:t>
                  </w:r>
                </w:p>
              </w:tc>
              <w:tc>
                <w:tcPr>
                  <w:tcW w:w="1757" w:type="dxa"/>
                  <w:tcBorders>
                    <w:top w:val="nil"/>
                  </w:tcBorders>
                </w:tcPr>
                <w:p w14:paraId="0968ADF4" w14:textId="77777777" w:rsidR="00357CEC" w:rsidRPr="001300A9" w:rsidRDefault="00357CEC" w:rsidP="00357CEC">
                  <w:pPr>
                    <w:spacing w:before="60" w:after="60" w:line="240" w:lineRule="auto"/>
                    <w:rPr>
                      <w:rFonts w:ascii="Times New Roman" w:hAnsi="Times New Roman" w:cs="Times New Roman"/>
                    </w:rPr>
                  </w:pPr>
                </w:p>
              </w:tc>
            </w:tr>
          </w:tbl>
          <w:p w14:paraId="09204346" w14:textId="77777777" w:rsidR="00357CEC" w:rsidRPr="001300A9" w:rsidRDefault="00357CEC" w:rsidP="00357CEC">
            <w:pPr>
              <w:pStyle w:val="Text1"/>
              <w:spacing w:before="0" w:after="0"/>
              <w:ind w:left="0"/>
              <w:rPr>
                <w:sz w:val="22"/>
              </w:rPr>
            </w:pPr>
          </w:p>
          <w:p w14:paraId="35C189A1" w14:textId="77777777" w:rsidR="00357CEC" w:rsidRPr="001300A9" w:rsidRDefault="00357CEC" w:rsidP="00357CEC">
            <w:pPr>
              <w:pStyle w:val="Text1"/>
              <w:spacing w:before="0" w:after="0"/>
              <w:ind w:left="0"/>
              <w:rPr>
                <w:bCs/>
                <w:sz w:val="22"/>
              </w:rPr>
            </w:pPr>
            <w:r w:rsidRPr="001300A9">
              <w:rPr>
                <w:sz w:val="22"/>
              </w:rPr>
              <w:t xml:space="preserve">PRÍLOHA </w:t>
            </w:r>
            <w:proofErr w:type="spellStart"/>
            <w:r w:rsidRPr="001300A9">
              <w:rPr>
                <w:sz w:val="22"/>
              </w:rPr>
              <w:t>IIIa</w:t>
            </w:r>
            <w:proofErr w:type="spellEnd"/>
            <w:r w:rsidRPr="001300A9">
              <w:rPr>
                <w:sz w:val="22"/>
              </w:rPr>
              <w:br/>
              <w:t>ÚPRAVA LINEÁRNEHO REDUKČNÉHO KOEFICIENTU V SÚLADE S ČLÁNKOM 30c ODS. 2</w:t>
            </w:r>
          </w:p>
          <w:p w14:paraId="5CC9BDFA" w14:textId="77777777" w:rsidR="00357CEC" w:rsidRPr="001300A9" w:rsidRDefault="00357CEC" w:rsidP="00357CEC">
            <w:pPr>
              <w:pStyle w:val="Point1"/>
              <w:numPr>
                <w:ilvl w:val="0"/>
                <w:numId w:val="11"/>
              </w:numPr>
              <w:spacing w:before="0" w:after="0"/>
              <w:ind w:left="0"/>
              <w:rPr>
                <w:sz w:val="22"/>
              </w:rPr>
            </w:pPr>
            <w:r w:rsidRPr="001300A9">
              <w:rPr>
                <w:sz w:val="22"/>
              </w:rPr>
              <w:t xml:space="preserve">1. Ak sú priemerné emisie nahlásené podľa kapitoly </w:t>
            </w:r>
            <w:proofErr w:type="spellStart"/>
            <w:r w:rsidRPr="001300A9">
              <w:rPr>
                <w:sz w:val="22"/>
              </w:rPr>
              <w:t>IVa</w:t>
            </w:r>
            <w:proofErr w:type="spellEnd"/>
            <w:r w:rsidRPr="001300A9">
              <w:rPr>
                <w:sz w:val="22"/>
              </w:rPr>
              <w:t xml:space="preserve"> za roky 2024 až 2026 o viac ako 2 % vyššie v porovnaní s hodnotou množstva na rok 2025, ktorá je vymedzená v súlade s článkom 30c ods. 1, a ak k uvedeným rozdielom nedošlo v dôsledku menšieho ako 5 % rozdielu medzi emisiami nahlásenými podľa kapitoly </w:t>
            </w:r>
            <w:proofErr w:type="spellStart"/>
            <w:r w:rsidRPr="001300A9">
              <w:rPr>
                <w:sz w:val="22"/>
              </w:rPr>
              <w:t>IVa</w:t>
            </w:r>
            <w:proofErr w:type="spellEnd"/>
            <w:r w:rsidRPr="001300A9">
              <w:rPr>
                <w:sz w:val="22"/>
              </w:rPr>
              <w:t xml:space="preserve"> a inventúrnymi údajmi za rok 2025 týkajúcimi sa emisií skleníkových plynov v Únii pochádzajúcich zo zdrojov, ktoré patria do kategórií dohovoru UNFCCC a ktoré sa týkajú odvetví, na ktoré sa vzťahuje kapitola </w:t>
            </w:r>
            <w:proofErr w:type="spellStart"/>
            <w:r w:rsidRPr="001300A9">
              <w:rPr>
                <w:sz w:val="22"/>
              </w:rPr>
              <w:t>IVa</w:t>
            </w:r>
            <w:proofErr w:type="spellEnd"/>
            <w:r w:rsidRPr="001300A9">
              <w:rPr>
                <w:sz w:val="22"/>
              </w:rPr>
              <w:t>, predmetný lineárny redukčný koeficient sa vypočíta úpravou lineárneho redukčného koeficientu uvedeného v článku 30c ods. 1.</w:t>
            </w:r>
          </w:p>
          <w:p w14:paraId="428A0D84" w14:textId="77777777" w:rsidR="00357CEC" w:rsidRPr="001300A9" w:rsidRDefault="00357CEC" w:rsidP="00357CEC">
            <w:pPr>
              <w:pStyle w:val="Point1"/>
              <w:numPr>
                <w:ilvl w:val="0"/>
                <w:numId w:val="11"/>
              </w:numPr>
              <w:spacing w:before="0" w:after="0"/>
              <w:ind w:left="0"/>
              <w:rPr>
                <w:sz w:val="22"/>
              </w:rPr>
            </w:pPr>
          </w:p>
          <w:p w14:paraId="453557CC" w14:textId="77777777" w:rsidR="00357CEC" w:rsidRPr="001300A9" w:rsidRDefault="00357CEC" w:rsidP="00357CEC">
            <w:pPr>
              <w:pStyle w:val="Point1"/>
              <w:spacing w:before="0" w:after="0"/>
              <w:ind w:left="0"/>
              <w:rPr>
                <w:sz w:val="22"/>
              </w:rPr>
            </w:pPr>
            <w:r w:rsidRPr="001300A9">
              <w:rPr>
                <w:sz w:val="22"/>
              </w:rPr>
              <w:t>2.</w:t>
            </w:r>
            <w:r w:rsidRPr="001300A9">
              <w:rPr>
                <w:sz w:val="22"/>
              </w:rPr>
              <w:tab/>
              <w:t>2. Upravený lineárneho redukčného koeficientu v súlade s bodom 1 sa určí takto:</w:t>
            </w:r>
          </w:p>
          <w:p w14:paraId="2A75F498" w14:textId="77777777" w:rsidR="00357CEC" w:rsidRPr="001300A9" w:rsidRDefault="00357CEC" w:rsidP="00357CEC">
            <w:pPr>
              <w:pStyle w:val="Text2"/>
              <w:spacing w:before="0" w:after="0"/>
              <w:ind w:left="0"/>
              <w:rPr>
                <w:sz w:val="22"/>
              </w:rPr>
            </w:pPr>
            <w:proofErr w:type="spellStart"/>
            <w:r w:rsidRPr="001300A9">
              <w:rPr>
                <w:sz w:val="22"/>
              </w:rPr>
              <w:t>LRF</w:t>
            </w:r>
            <w:r w:rsidRPr="001300A9">
              <w:rPr>
                <w:sz w:val="22"/>
                <w:vertAlign w:val="subscript"/>
              </w:rPr>
              <w:t>adj</w:t>
            </w:r>
            <w:proofErr w:type="spellEnd"/>
            <w:r w:rsidRPr="001300A9">
              <w:rPr>
                <w:sz w:val="22"/>
              </w:rPr>
              <w:t xml:space="preserve"> = 100%* [MRV</w:t>
            </w:r>
            <w:r w:rsidRPr="001300A9">
              <w:rPr>
                <w:sz w:val="22"/>
                <w:vertAlign w:val="subscript"/>
              </w:rPr>
              <w:t>[2024-2026]</w:t>
            </w:r>
            <w:r w:rsidRPr="001300A9">
              <w:rPr>
                <w:sz w:val="22"/>
              </w:rPr>
              <w:t xml:space="preserve"> – (ESR</w:t>
            </w:r>
            <w:r w:rsidRPr="001300A9">
              <w:rPr>
                <w:sz w:val="22"/>
                <w:vertAlign w:val="subscript"/>
              </w:rPr>
              <w:t>[2024]</w:t>
            </w:r>
            <w:r w:rsidRPr="001300A9">
              <w:rPr>
                <w:sz w:val="22"/>
              </w:rPr>
              <w:t xml:space="preserve"> - 6* LRF</w:t>
            </w:r>
            <w:r w:rsidRPr="001300A9">
              <w:rPr>
                <w:rFonts w:ascii="Symbol" w:eastAsia="Symbol" w:hAnsi="Symbol" w:cs="Symbol"/>
                <w:sz w:val="22"/>
                <w:vertAlign w:val="subscript"/>
              </w:rPr>
              <w:t></w:t>
            </w:r>
            <w:r w:rsidRPr="001300A9">
              <w:rPr>
                <w:sz w:val="22"/>
                <w:vertAlign w:val="subscript"/>
              </w:rPr>
              <w:t>2024</w:t>
            </w:r>
            <w:r w:rsidRPr="001300A9">
              <w:rPr>
                <w:rFonts w:ascii="Symbol" w:eastAsia="Symbol" w:hAnsi="Symbol" w:cs="Symbol"/>
                <w:sz w:val="22"/>
                <w:vertAlign w:val="subscript"/>
              </w:rPr>
              <w:t></w:t>
            </w:r>
            <w:r w:rsidRPr="001300A9">
              <w:rPr>
                <w:sz w:val="22"/>
              </w:rPr>
              <w:t>* ESR</w:t>
            </w:r>
            <w:r w:rsidRPr="001300A9">
              <w:rPr>
                <w:sz w:val="22"/>
                <w:vertAlign w:val="subscript"/>
              </w:rPr>
              <w:t>[2024]</w:t>
            </w:r>
            <w:r w:rsidRPr="001300A9">
              <w:rPr>
                <w:sz w:val="22"/>
              </w:rPr>
              <w:t>)]/ (5* MRV</w:t>
            </w:r>
            <w:r w:rsidRPr="001300A9">
              <w:rPr>
                <w:sz w:val="22"/>
                <w:vertAlign w:val="subscript"/>
              </w:rPr>
              <w:t>[2024-2026]</w:t>
            </w:r>
            <w:r w:rsidRPr="001300A9">
              <w:rPr>
                <w:sz w:val="22"/>
              </w:rPr>
              <w:t>), kde,</w:t>
            </w:r>
          </w:p>
          <w:p w14:paraId="0A3529A3" w14:textId="77777777" w:rsidR="00357CEC" w:rsidRPr="001300A9" w:rsidRDefault="00357CEC" w:rsidP="00357CEC">
            <w:pPr>
              <w:pStyle w:val="Text2"/>
              <w:spacing w:before="0" w:after="0"/>
              <w:ind w:left="0"/>
              <w:rPr>
                <w:rFonts w:eastAsia="Calibri"/>
                <w:sz w:val="22"/>
              </w:rPr>
            </w:pPr>
            <w:proofErr w:type="spellStart"/>
            <w:r w:rsidRPr="001300A9">
              <w:rPr>
                <w:rFonts w:eastAsia="Calibri"/>
                <w:sz w:val="22"/>
              </w:rPr>
              <w:t>LRF</w:t>
            </w:r>
            <w:r w:rsidRPr="001300A9">
              <w:rPr>
                <w:rFonts w:eastAsia="Calibri"/>
                <w:sz w:val="22"/>
                <w:vertAlign w:val="subscript"/>
              </w:rPr>
              <w:t>adj</w:t>
            </w:r>
            <w:proofErr w:type="spellEnd"/>
            <w:r w:rsidRPr="001300A9">
              <w:rPr>
                <w:rFonts w:eastAsia="Calibri"/>
                <w:sz w:val="22"/>
              </w:rPr>
              <w:t xml:space="preserve"> je upravený </w:t>
            </w:r>
            <w:r w:rsidRPr="001300A9">
              <w:rPr>
                <w:sz w:val="22"/>
              </w:rPr>
              <w:t>lineárny</w:t>
            </w:r>
            <w:r w:rsidRPr="001300A9">
              <w:rPr>
                <w:rFonts w:eastAsia="Calibri"/>
                <w:sz w:val="22"/>
              </w:rPr>
              <w:t xml:space="preserve"> redukčný koeficient;</w:t>
            </w:r>
          </w:p>
          <w:p w14:paraId="348B1175" w14:textId="77777777" w:rsidR="00357CEC" w:rsidRPr="001300A9" w:rsidRDefault="00357CEC" w:rsidP="00357CEC">
            <w:pPr>
              <w:pStyle w:val="Text2"/>
              <w:spacing w:before="0" w:after="0"/>
              <w:ind w:left="0"/>
              <w:rPr>
                <w:rFonts w:eastAsia="Calibri"/>
                <w:sz w:val="22"/>
              </w:rPr>
            </w:pPr>
            <w:r w:rsidRPr="001300A9">
              <w:rPr>
                <w:rFonts w:eastAsia="Calibri"/>
                <w:sz w:val="22"/>
              </w:rPr>
              <w:t>MRV</w:t>
            </w:r>
            <w:r w:rsidRPr="001300A9">
              <w:rPr>
                <w:rFonts w:eastAsia="Calibri"/>
                <w:sz w:val="22"/>
                <w:vertAlign w:val="subscript"/>
              </w:rPr>
              <w:t>[2024-2026]</w:t>
            </w:r>
            <w:r w:rsidRPr="001300A9">
              <w:rPr>
                <w:rFonts w:eastAsia="Calibri"/>
                <w:sz w:val="22"/>
              </w:rPr>
              <w:t xml:space="preserve"> je priemer overených emisií podľa kapitoly </w:t>
            </w:r>
            <w:proofErr w:type="spellStart"/>
            <w:r w:rsidRPr="001300A9">
              <w:rPr>
                <w:rFonts w:eastAsia="Calibri"/>
                <w:sz w:val="22"/>
              </w:rPr>
              <w:t>IVa</w:t>
            </w:r>
            <w:proofErr w:type="spellEnd"/>
            <w:r w:rsidRPr="001300A9">
              <w:rPr>
                <w:rFonts w:eastAsia="Calibri"/>
                <w:sz w:val="22"/>
              </w:rPr>
              <w:t xml:space="preserve"> za roky 2024 až 2026;</w:t>
            </w:r>
          </w:p>
          <w:p w14:paraId="562974AB" w14:textId="77777777" w:rsidR="00357CEC" w:rsidRPr="001300A9" w:rsidRDefault="00357CEC" w:rsidP="00357CEC">
            <w:pPr>
              <w:pStyle w:val="Text2"/>
              <w:spacing w:before="0" w:after="0"/>
              <w:ind w:left="0"/>
              <w:rPr>
                <w:rFonts w:eastAsia="Calibri"/>
                <w:sz w:val="22"/>
              </w:rPr>
            </w:pPr>
            <w:r w:rsidRPr="001300A9">
              <w:rPr>
                <w:rFonts w:eastAsia="Calibri"/>
                <w:sz w:val="22"/>
              </w:rPr>
              <w:t>ESR</w:t>
            </w:r>
            <w:r w:rsidRPr="001300A9">
              <w:rPr>
                <w:rFonts w:eastAsia="Calibri"/>
                <w:sz w:val="22"/>
                <w:vertAlign w:val="subscript"/>
              </w:rPr>
              <w:t>[2024]</w:t>
            </w:r>
            <w:r w:rsidRPr="001300A9">
              <w:rPr>
                <w:rFonts w:eastAsia="Calibri"/>
                <w:sz w:val="22"/>
              </w:rPr>
              <w:t xml:space="preserve"> je hodnota </w:t>
            </w:r>
            <w:r w:rsidRPr="001300A9">
              <w:rPr>
                <w:sz w:val="22"/>
              </w:rPr>
              <w:t>emisií</w:t>
            </w:r>
            <w:r w:rsidRPr="001300A9">
              <w:rPr>
                <w:rFonts w:eastAsia="Calibri"/>
                <w:sz w:val="22"/>
              </w:rPr>
              <w:t xml:space="preserve"> za rok 2024 vymedzená v súlade s článkom 30c ods. 1 v prípade odvetví, na ktoré sa vzťahuje kapitola </w:t>
            </w:r>
            <w:proofErr w:type="spellStart"/>
            <w:r w:rsidRPr="001300A9">
              <w:rPr>
                <w:rFonts w:eastAsia="Calibri"/>
                <w:sz w:val="22"/>
              </w:rPr>
              <w:t>IVa</w:t>
            </w:r>
            <w:proofErr w:type="spellEnd"/>
            <w:r w:rsidRPr="001300A9">
              <w:rPr>
                <w:rFonts w:eastAsia="Calibri"/>
                <w:sz w:val="22"/>
              </w:rPr>
              <w:t>;</w:t>
            </w:r>
          </w:p>
          <w:p w14:paraId="0F6DA2AF" w14:textId="77777777" w:rsidR="00357CEC" w:rsidRPr="001300A9" w:rsidRDefault="00357CEC" w:rsidP="00357CEC">
            <w:pPr>
              <w:pStyle w:val="Text2"/>
              <w:spacing w:before="0" w:after="0"/>
              <w:ind w:left="0"/>
              <w:rPr>
                <w:rFonts w:eastAsia="Calibri"/>
                <w:sz w:val="22"/>
              </w:rPr>
            </w:pPr>
            <w:r w:rsidRPr="001300A9">
              <w:rPr>
                <w:rFonts w:eastAsia="Calibri"/>
                <w:sz w:val="22"/>
              </w:rPr>
              <w:t>LRF</w:t>
            </w:r>
            <w:r w:rsidRPr="001300A9">
              <w:rPr>
                <w:rFonts w:ascii="Symbol" w:eastAsia="Symbol" w:hAnsi="Symbol" w:cs="Symbol"/>
                <w:sz w:val="22"/>
                <w:vertAlign w:val="subscript"/>
              </w:rPr>
              <w:t></w:t>
            </w:r>
            <w:r w:rsidRPr="001300A9">
              <w:rPr>
                <w:rFonts w:eastAsia="Calibri"/>
                <w:sz w:val="22"/>
                <w:vertAlign w:val="subscript"/>
              </w:rPr>
              <w:t>2024</w:t>
            </w:r>
            <w:r w:rsidRPr="001300A9">
              <w:rPr>
                <w:rFonts w:ascii="Symbol" w:eastAsia="Symbol" w:hAnsi="Symbol" w:cs="Symbol"/>
                <w:sz w:val="22"/>
                <w:vertAlign w:val="subscript"/>
              </w:rPr>
              <w:t></w:t>
            </w:r>
            <w:r w:rsidRPr="001300A9">
              <w:rPr>
                <w:rFonts w:eastAsia="Calibri"/>
                <w:sz w:val="22"/>
              </w:rPr>
              <w:t xml:space="preserve"> je lineárny redukčný koeficient uvedený v článku 30c ods. 1.</w:t>
            </w:r>
          </w:p>
        </w:tc>
        <w:tc>
          <w:tcPr>
            <w:tcW w:w="567" w:type="dxa"/>
          </w:tcPr>
          <w:p w14:paraId="7C06CFE3" w14:textId="77777777" w:rsidR="00357CEC" w:rsidRPr="001300A9" w:rsidRDefault="00357CEC" w:rsidP="00357CEC">
            <w:pPr>
              <w:pStyle w:val="Default"/>
              <w:rPr>
                <w:sz w:val="22"/>
                <w:szCs w:val="22"/>
              </w:rPr>
            </w:pPr>
            <w:r w:rsidRPr="001300A9">
              <w:rPr>
                <w:sz w:val="22"/>
                <w:szCs w:val="22"/>
              </w:rPr>
              <w:t>N</w:t>
            </w:r>
          </w:p>
          <w:p w14:paraId="2C624023" w14:textId="77777777" w:rsidR="00357CEC" w:rsidRPr="001300A9" w:rsidRDefault="00357CEC" w:rsidP="00357CEC">
            <w:pPr>
              <w:pStyle w:val="Default"/>
              <w:rPr>
                <w:sz w:val="22"/>
                <w:szCs w:val="22"/>
              </w:rPr>
            </w:pPr>
          </w:p>
          <w:p w14:paraId="50433E2E" w14:textId="77777777" w:rsidR="00357CEC" w:rsidRPr="001300A9" w:rsidRDefault="00357CEC" w:rsidP="00357CEC">
            <w:pPr>
              <w:pStyle w:val="Default"/>
              <w:rPr>
                <w:sz w:val="22"/>
                <w:szCs w:val="22"/>
              </w:rPr>
            </w:pPr>
          </w:p>
          <w:p w14:paraId="3EB53EC8" w14:textId="77777777" w:rsidR="00357CEC" w:rsidRPr="001300A9" w:rsidRDefault="00357CEC" w:rsidP="00357CEC">
            <w:pPr>
              <w:pStyle w:val="Default"/>
              <w:rPr>
                <w:sz w:val="22"/>
                <w:szCs w:val="22"/>
              </w:rPr>
            </w:pPr>
          </w:p>
          <w:p w14:paraId="4A3650DA" w14:textId="77777777" w:rsidR="00357CEC" w:rsidRPr="001300A9" w:rsidRDefault="00357CEC" w:rsidP="00357CEC">
            <w:pPr>
              <w:pStyle w:val="Default"/>
              <w:rPr>
                <w:sz w:val="22"/>
                <w:szCs w:val="22"/>
              </w:rPr>
            </w:pPr>
          </w:p>
          <w:p w14:paraId="20C89F01" w14:textId="77777777" w:rsidR="00357CEC" w:rsidRPr="001300A9" w:rsidRDefault="00357CEC" w:rsidP="00357CEC">
            <w:pPr>
              <w:pStyle w:val="Default"/>
              <w:rPr>
                <w:sz w:val="22"/>
                <w:szCs w:val="22"/>
              </w:rPr>
            </w:pPr>
          </w:p>
          <w:p w14:paraId="4B889ABE" w14:textId="77777777" w:rsidR="00357CEC" w:rsidRPr="001300A9" w:rsidRDefault="00357CEC" w:rsidP="00357CEC">
            <w:pPr>
              <w:pStyle w:val="Default"/>
              <w:rPr>
                <w:sz w:val="22"/>
                <w:szCs w:val="22"/>
              </w:rPr>
            </w:pPr>
          </w:p>
          <w:p w14:paraId="52A53966" w14:textId="77777777" w:rsidR="00357CEC" w:rsidRPr="001300A9" w:rsidRDefault="00357CEC" w:rsidP="00357CEC">
            <w:pPr>
              <w:pStyle w:val="Default"/>
              <w:rPr>
                <w:sz w:val="22"/>
                <w:szCs w:val="22"/>
              </w:rPr>
            </w:pPr>
          </w:p>
          <w:p w14:paraId="2797D7BF" w14:textId="77777777" w:rsidR="00357CEC" w:rsidRPr="001300A9" w:rsidRDefault="00357CEC" w:rsidP="00357CEC">
            <w:pPr>
              <w:pStyle w:val="Default"/>
              <w:rPr>
                <w:sz w:val="22"/>
                <w:szCs w:val="22"/>
              </w:rPr>
            </w:pPr>
          </w:p>
          <w:p w14:paraId="073C7E20" w14:textId="77777777" w:rsidR="00357CEC" w:rsidRPr="001300A9" w:rsidRDefault="00357CEC" w:rsidP="00357CEC">
            <w:pPr>
              <w:pStyle w:val="Default"/>
              <w:rPr>
                <w:sz w:val="22"/>
                <w:szCs w:val="22"/>
              </w:rPr>
            </w:pPr>
          </w:p>
          <w:p w14:paraId="36BF4CE5" w14:textId="77777777" w:rsidR="00357CEC" w:rsidRPr="001300A9" w:rsidRDefault="00357CEC" w:rsidP="00357CEC">
            <w:pPr>
              <w:pStyle w:val="Default"/>
              <w:rPr>
                <w:sz w:val="22"/>
                <w:szCs w:val="22"/>
              </w:rPr>
            </w:pPr>
          </w:p>
          <w:p w14:paraId="63F5BAAA" w14:textId="77777777" w:rsidR="00357CEC" w:rsidRPr="001300A9" w:rsidRDefault="00357CEC" w:rsidP="00357CEC">
            <w:pPr>
              <w:pStyle w:val="Default"/>
              <w:rPr>
                <w:sz w:val="22"/>
                <w:szCs w:val="22"/>
              </w:rPr>
            </w:pPr>
          </w:p>
          <w:p w14:paraId="650704EA" w14:textId="77777777" w:rsidR="00357CEC" w:rsidRPr="001300A9" w:rsidRDefault="00357CEC" w:rsidP="00357CEC">
            <w:pPr>
              <w:pStyle w:val="Default"/>
              <w:rPr>
                <w:sz w:val="22"/>
                <w:szCs w:val="22"/>
              </w:rPr>
            </w:pPr>
          </w:p>
          <w:p w14:paraId="59547A32" w14:textId="77777777" w:rsidR="00357CEC" w:rsidRPr="001300A9" w:rsidRDefault="00357CEC" w:rsidP="00357CEC">
            <w:pPr>
              <w:pStyle w:val="Default"/>
              <w:rPr>
                <w:sz w:val="22"/>
                <w:szCs w:val="22"/>
              </w:rPr>
            </w:pPr>
          </w:p>
          <w:p w14:paraId="18E0AD4D" w14:textId="77777777" w:rsidR="00357CEC" w:rsidRPr="001300A9" w:rsidRDefault="00357CEC" w:rsidP="00357CEC">
            <w:pPr>
              <w:pStyle w:val="Default"/>
              <w:rPr>
                <w:sz w:val="22"/>
                <w:szCs w:val="22"/>
              </w:rPr>
            </w:pPr>
          </w:p>
          <w:p w14:paraId="7E653457" w14:textId="77777777" w:rsidR="00357CEC" w:rsidRPr="001300A9" w:rsidRDefault="00357CEC" w:rsidP="00357CEC">
            <w:pPr>
              <w:pStyle w:val="Default"/>
              <w:rPr>
                <w:sz w:val="22"/>
                <w:szCs w:val="22"/>
              </w:rPr>
            </w:pPr>
          </w:p>
          <w:p w14:paraId="0B95F7DA" w14:textId="77777777" w:rsidR="00357CEC" w:rsidRPr="001300A9" w:rsidRDefault="00357CEC" w:rsidP="00357CEC">
            <w:pPr>
              <w:pStyle w:val="Default"/>
              <w:rPr>
                <w:sz w:val="22"/>
                <w:szCs w:val="22"/>
              </w:rPr>
            </w:pPr>
          </w:p>
          <w:p w14:paraId="13521E9F" w14:textId="77777777" w:rsidR="00357CEC" w:rsidRPr="001300A9" w:rsidRDefault="00357CEC" w:rsidP="00357CEC">
            <w:pPr>
              <w:pStyle w:val="Default"/>
              <w:rPr>
                <w:sz w:val="22"/>
                <w:szCs w:val="22"/>
              </w:rPr>
            </w:pPr>
          </w:p>
          <w:p w14:paraId="506D649F" w14:textId="77777777" w:rsidR="00357CEC" w:rsidRPr="001300A9" w:rsidRDefault="00357CEC" w:rsidP="00357CEC">
            <w:pPr>
              <w:pStyle w:val="Default"/>
              <w:rPr>
                <w:sz w:val="22"/>
                <w:szCs w:val="22"/>
              </w:rPr>
            </w:pPr>
          </w:p>
          <w:p w14:paraId="0FB9FDB5" w14:textId="77777777" w:rsidR="00357CEC" w:rsidRPr="001300A9" w:rsidRDefault="00357CEC" w:rsidP="00357CEC">
            <w:pPr>
              <w:pStyle w:val="Default"/>
              <w:rPr>
                <w:sz w:val="22"/>
                <w:szCs w:val="22"/>
              </w:rPr>
            </w:pPr>
          </w:p>
          <w:p w14:paraId="6D46C957" w14:textId="77777777" w:rsidR="00357CEC" w:rsidRPr="001300A9" w:rsidRDefault="00357CEC" w:rsidP="00357CEC">
            <w:pPr>
              <w:pStyle w:val="Default"/>
              <w:rPr>
                <w:sz w:val="22"/>
                <w:szCs w:val="22"/>
              </w:rPr>
            </w:pPr>
          </w:p>
          <w:p w14:paraId="4FA6FE79" w14:textId="77777777" w:rsidR="00357CEC" w:rsidRPr="001300A9" w:rsidRDefault="00357CEC" w:rsidP="00357CEC">
            <w:pPr>
              <w:pStyle w:val="Default"/>
              <w:rPr>
                <w:sz w:val="22"/>
                <w:szCs w:val="22"/>
              </w:rPr>
            </w:pPr>
          </w:p>
          <w:p w14:paraId="547D4923" w14:textId="77777777" w:rsidR="00357CEC" w:rsidRPr="001300A9" w:rsidRDefault="00357CEC" w:rsidP="00357CEC">
            <w:pPr>
              <w:pStyle w:val="Default"/>
              <w:rPr>
                <w:sz w:val="22"/>
                <w:szCs w:val="22"/>
              </w:rPr>
            </w:pPr>
          </w:p>
          <w:p w14:paraId="656BB41B" w14:textId="77777777" w:rsidR="00357CEC" w:rsidRPr="001300A9" w:rsidRDefault="00357CEC" w:rsidP="00357CEC">
            <w:pPr>
              <w:pStyle w:val="Default"/>
              <w:rPr>
                <w:sz w:val="22"/>
                <w:szCs w:val="22"/>
              </w:rPr>
            </w:pPr>
          </w:p>
          <w:p w14:paraId="6FE95B54" w14:textId="77777777" w:rsidR="00357CEC" w:rsidRPr="001300A9" w:rsidRDefault="00357CEC" w:rsidP="00357CEC">
            <w:pPr>
              <w:pStyle w:val="Default"/>
              <w:rPr>
                <w:sz w:val="22"/>
                <w:szCs w:val="22"/>
              </w:rPr>
            </w:pPr>
          </w:p>
          <w:p w14:paraId="66619874" w14:textId="77777777" w:rsidR="00357CEC" w:rsidRPr="001300A9" w:rsidRDefault="00357CEC" w:rsidP="00357CEC">
            <w:pPr>
              <w:pStyle w:val="Default"/>
              <w:rPr>
                <w:sz w:val="22"/>
                <w:szCs w:val="22"/>
              </w:rPr>
            </w:pPr>
          </w:p>
          <w:p w14:paraId="49228C8E" w14:textId="77777777" w:rsidR="00357CEC" w:rsidRPr="001300A9" w:rsidRDefault="00357CEC" w:rsidP="00357CEC">
            <w:pPr>
              <w:pStyle w:val="Default"/>
              <w:rPr>
                <w:sz w:val="22"/>
                <w:szCs w:val="22"/>
              </w:rPr>
            </w:pPr>
          </w:p>
          <w:p w14:paraId="4D770B70" w14:textId="77777777" w:rsidR="00357CEC" w:rsidRPr="001300A9" w:rsidRDefault="00357CEC" w:rsidP="00357CEC">
            <w:pPr>
              <w:pStyle w:val="Default"/>
              <w:rPr>
                <w:sz w:val="22"/>
                <w:szCs w:val="22"/>
              </w:rPr>
            </w:pPr>
          </w:p>
          <w:p w14:paraId="6AFE9815" w14:textId="77777777" w:rsidR="00357CEC" w:rsidRPr="001300A9" w:rsidRDefault="00357CEC" w:rsidP="00357CEC">
            <w:pPr>
              <w:pStyle w:val="Default"/>
              <w:rPr>
                <w:sz w:val="22"/>
                <w:szCs w:val="22"/>
              </w:rPr>
            </w:pPr>
          </w:p>
          <w:p w14:paraId="441D5A03" w14:textId="77777777" w:rsidR="00357CEC" w:rsidRPr="001300A9" w:rsidRDefault="00357CEC" w:rsidP="00357CEC">
            <w:pPr>
              <w:pStyle w:val="Default"/>
              <w:rPr>
                <w:sz w:val="22"/>
                <w:szCs w:val="22"/>
              </w:rPr>
            </w:pPr>
          </w:p>
          <w:p w14:paraId="3512ECA6" w14:textId="77777777" w:rsidR="00357CEC" w:rsidRPr="001300A9" w:rsidRDefault="00357CEC" w:rsidP="00357CEC">
            <w:pPr>
              <w:pStyle w:val="Default"/>
              <w:rPr>
                <w:sz w:val="22"/>
                <w:szCs w:val="22"/>
              </w:rPr>
            </w:pPr>
          </w:p>
          <w:p w14:paraId="320D61B1" w14:textId="77777777" w:rsidR="00357CEC" w:rsidRPr="001300A9" w:rsidRDefault="00357CEC" w:rsidP="00357CEC">
            <w:pPr>
              <w:pStyle w:val="Default"/>
              <w:rPr>
                <w:sz w:val="22"/>
                <w:szCs w:val="22"/>
              </w:rPr>
            </w:pPr>
          </w:p>
          <w:p w14:paraId="46697E6B" w14:textId="77777777" w:rsidR="00357CEC" w:rsidRPr="001300A9" w:rsidRDefault="00357CEC" w:rsidP="00357CEC">
            <w:pPr>
              <w:pStyle w:val="Default"/>
              <w:rPr>
                <w:sz w:val="22"/>
                <w:szCs w:val="22"/>
              </w:rPr>
            </w:pPr>
          </w:p>
          <w:p w14:paraId="5823B4C6" w14:textId="77777777" w:rsidR="00357CEC" w:rsidRPr="001300A9" w:rsidRDefault="00357CEC" w:rsidP="00357CEC">
            <w:pPr>
              <w:pStyle w:val="Default"/>
              <w:rPr>
                <w:sz w:val="22"/>
                <w:szCs w:val="22"/>
              </w:rPr>
            </w:pPr>
          </w:p>
          <w:p w14:paraId="6CDAEAF7" w14:textId="77777777" w:rsidR="00357CEC" w:rsidRPr="001300A9" w:rsidRDefault="00357CEC" w:rsidP="00357CEC">
            <w:pPr>
              <w:pStyle w:val="Default"/>
              <w:rPr>
                <w:sz w:val="22"/>
                <w:szCs w:val="22"/>
              </w:rPr>
            </w:pPr>
          </w:p>
          <w:p w14:paraId="2574FA2C" w14:textId="77777777" w:rsidR="00357CEC" w:rsidRPr="001300A9" w:rsidRDefault="00357CEC" w:rsidP="00357CEC">
            <w:pPr>
              <w:pStyle w:val="Default"/>
              <w:rPr>
                <w:sz w:val="22"/>
                <w:szCs w:val="22"/>
              </w:rPr>
            </w:pPr>
          </w:p>
          <w:p w14:paraId="13AE27F4" w14:textId="77777777" w:rsidR="00357CEC" w:rsidRPr="001300A9" w:rsidRDefault="00357CEC" w:rsidP="00357CEC">
            <w:pPr>
              <w:pStyle w:val="Default"/>
              <w:rPr>
                <w:sz w:val="22"/>
                <w:szCs w:val="22"/>
              </w:rPr>
            </w:pPr>
          </w:p>
          <w:p w14:paraId="1B3F7770" w14:textId="77777777" w:rsidR="00357CEC" w:rsidRPr="001300A9" w:rsidRDefault="00357CEC" w:rsidP="00357CEC">
            <w:pPr>
              <w:pStyle w:val="Default"/>
              <w:rPr>
                <w:sz w:val="22"/>
                <w:szCs w:val="22"/>
              </w:rPr>
            </w:pPr>
          </w:p>
          <w:p w14:paraId="6CD5B536" w14:textId="77777777" w:rsidR="00357CEC" w:rsidRPr="001300A9" w:rsidRDefault="00357CEC" w:rsidP="00357CEC">
            <w:pPr>
              <w:pStyle w:val="Default"/>
              <w:rPr>
                <w:sz w:val="22"/>
                <w:szCs w:val="22"/>
              </w:rPr>
            </w:pPr>
          </w:p>
          <w:p w14:paraId="5D95DB4A" w14:textId="77777777" w:rsidR="00357CEC" w:rsidRPr="001300A9" w:rsidRDefault="00357CEC" w:rsidP="00357CEC">
            <w:pPr>
              <w:pStyle w:val="Default"/>
              <w:rPr>
                <w:sz w:val="22"/>
                <w:szCs w:val="22"/>
              </w:rPr>
            </w:pPr>
          </w:p>
          <w:p w14:paraId="590A9DB1" w14:textId="77777777" w:rsidR="00357CEC" w:rsidRPr="001300A9" w:rsidRDefault="00357CEC" w:rsidP="00357CEC">
            <w:pPr>
              <w:pStyle w:val="Default"/>
              <w:rPr>
                <w:sz w:val="22"/>
                <w:szCs w:val="22"/>
              </w:rPr>
            </w:pPr>
          </w:p>
          <w:p w14:paraId="07507A27" w14:textId="77777777" w:rsidR="00357CEC" w:rsidRPr="001300A9" w:rsidRDefault="00357CEC" w:rsidP="00357CEC">
            <w:pPr>
              <w:pStyle w:val="Default"/>
              <w:rPr>
                <w:sz w:val="22"/>
                <w:szCs w:val="22"/>
              </w:rPr>
            </w:pPr>
          </w:p>
          <w:p w14:paraId="356ADE65" w14:textId="77777777" w:rsidR="00357CEC" w:rsidRPr="001300A9" w:rsidRDefault="00357CEC" w:rsidP="00357CEC">
            <w:pPr>
              <w:pStyle w:val="Default"/>
              <w:rPr>
                <w:sz w:val="22"/>
                <w:szCs w:val="22"/>
              </w:rPr>
            </w:pPr>
          </w:p>
          <w:p w14:paraId="5FE29352" w14:textId="77777777" w:rsidR="00357CEC" w:rsidRPr="001300A9" w:rsidRDefault="00357CEC" w:rsidP="00357CEC">
            <w:pPr>
              <w:pStyle w:val="Default"/>
              <w:rPr>
                <w:sz w:val="22"/>
                <w:szCs w:val="22"/>
              </w:rPr>
            </w:pPr>
          </w:p>
          <w:p w14:paraId="123A8756" w14:textId="77777777" w:rsidR="00357CEC" w:rsidRPr="001300A9" w:rsidRDefault="00357CEC" w:rsidP="00357CEC">
            <w:pPr>
              <w:pStyle w:val="Default"/>
              <w:rPr>
                <w:sz w:val="22"/>
                <w:szCs w:val="22"/>
              </w:rPr>
            </w:pPr>
          </w:p>
          <w:p w14:paraId="1EDB10B9" w14:textId="77777777" w:rsidR="002B17C3" w:rsidRDefault="002B17C3" w:rsidP="00357CEC">
            <w:pPr>
              <w:pStyle w:val="Default"/>
              <w:rPr>
                <w:sz w:val="22"/>
                <w:szCs w:val="22"/>
              </w:rPr>
            </w:pPr>
          </w:p>
          <w:p w14:paraId="5DD055B1" w14:textId="77777777" w:rsidR="002B17C3" w:rsidRDefault="002B17C3" w:rsidP="00357CEC">
            <w:pPr>
              <w:pStyle w:val="Default"/>
              <w:rPr>
                <w:sz w:val="22"/>
                <w:szCs w:val="22"/>
              </w:rPr>
            </w:pPr>
          </w:p>
          <w:p w14:paraId="36F8E574" w14:textId="77777777" w:rsidR="002B17C3" w:rsidRDefault="002B17C3" w:rsidP="00357CEC">
            <w:pPr>
              <w:pStyle w:val="Default"/>
              <w:rPr>
                <w:sz w:val="22"/>
                <w:szCs w:val="22"/>
              </w:rPr>
            </w:pPr>
          </w:p>
          <w:p w14:paraId="34BAC9E5" w14:textId="77777777" w:rsidR="002B17C3" w:rsidRDefault="002B17C3" w:rsidP="00357CEC">
            <w:pPr>
              <w:pStyle w:val="Default"/>
              <w:rPr>
                <w:sz w:val="22"/>
                <w:szCs w:val="22"/>
              </w:rPr>
            </w:pPr>
          </w:p>
          <w:p w14:paraId="3E4C43D7" w14:textId="77777777" w:rsidR="002B17C3" w:rsidRDefault="002B17C3" w:rsidP="00357CEC">
            <w:pPr>
              <w:pStyle w:val="Default"/>
              <w:rPr>
                <w:sz w:val="22"/>
                <w:szCs w:val="22"/>
              </w:rPr>
            </w:pPr>
          </w:p>
          <w:p w14:paraId="5D7F73D4" w14:textId="77777777" w:rsidR="002B17C3" w:rsidRDefault="002B17C3" w:rsidP="00357CEC">
            <w:pPr>
              <w:pStyle w:val="Default"/>
              <w:rPr>
                <w:sz w:val="22"/>
                <w:szCs w:val="22"/>
              </w:rPr>
            </w:pPr>
          </w:p>
          <w:p w14:paraId="6A7B7573" w14:textId="77777777" w:rsidR="002B17C3" w:rsidRDefault="002B17C3" w:rsidP="00357CEC">
            <w:pPr>
              <w:pStyle w:val="Default"/>
              <w:rPr>
                <w:sz w:val="22"/>
                <w:szCs w:val="22"/>
              </w:rPr>
            </w:pPr>
          </w:p>
          <w:p w14:paraId="79ECE122" w14:textId="77777777" w:rsidR="002B17C3" w:rsidRDefault="002B17C3" w:rsidP="00357CEC">
            <w:pPr>
              <w:pStyle w:val="Default"/>
              <w:rPr>
                <w:sz w:val="22"/>
                <w:szCs w:val="22"/>
              </w:rPr>
            </w:pPr>
          </w:p>
          <w:p w14:paraId="1B224890" w14:textId="77777777" w:rsidR="002B17C3" w:rsidRDefault="002B17C3" w:rsidP="00357CEC">
            <w:pPr>
              <w:pStyle w:val="Default"/>
              <w:rPr>
                <w:sz w:val="22"/>
                <w:szCs w:val="22"/>
              </w:rPr>
            </w:pPr>
          </w:p>
          <w:p w14:paraId="62274AF5" w14:textId="77777777" w:rsidR="002B17C3" w:rsidRDefault="002B17C3" w:rsidP="00357CEC">
            <w:pPr>
              <w:pStyle w:val="Default"/>
              <w:rPr>
                <w:sz w:val="22"/>
                <w:szCs w:val="22"/>
              </w:rPr>
            </w:pPr>
          </w:p>
          <w:p w14:paraId="244B0921" w14:textId="77777777" w:rsidR="002B17C3" w:rsidRDefault="002B17C3" w:rsidP="00357CEC">
            <w:pPr>
              <w:pStyle w:val="Default"/>
              <w:rPr>
                <w:sz w:val="22"/>
                <w:szCs w:val="22"/>
              </w:rPr>
            </w:pPr>
          </w:p>
          <w:p w14:paraId="2C29F6AB" w14:textId="77777777" w:rsidR="002B17C3" w:rsidRDefault="002B17C3" w:rsidP="00357CEC">
            <w:pPr>
              <w:pStyle w:val="Default"/>
              <w:rPr>
                <w:sz w:val="22"/>
                <w:szCs w:val="22"/>
              </w:rPr>
            </w:pPr>
          </w:p>
          <w:p w14:paraId="5ECBD462" w14:textId="77777777" w:rsidR="002B17C3" w:rsidRDefault="002B17C3" w:rsidP="00357CEC">
            <w:pPr>
              <w:pStyle w:val="Default"/>
              <w:rPr>
                <w:sz w:val="22"/>
                <w:szCs w:val="22"/>
              </w:rPr>
            </w:pPr>
          </w:p>
          <w:p w14:paraId="235A9330" w14:textId="77777777" w:rsidR="002B17C3" w:rsidRDefault="002B17C3" w:rsidP="00357CEC">
            <w:pPr>
              <w:pStyle w:val="Default"/>
              <w:rPr>
                <w:sz w:val="22"/>
                <w:szCs w:val="22"/>
              </w:rPr>
            </w:pPr>
          </w:p>
          <w:p w14:paraId="32C3A33C" w14:textId="77777777" w:rsidR="002B17C3" w:rsidRDefault="002B17C3" w:rsidP="00357CEC">
            <w:pPr>
              <w:pStyle w:val="Default"/>
              <w:rPr>
                <w:sz w:val="22"/>
                <w:szCs w:val="22"/>
              </w:rPr>
            </w:pPr>
          </w:p>
          <w:p w14:paraId="13C8C4BE" w14:textId="77777777" w:rsidR="002B17C3" w:rsidRDefault="002B17C3" w:rsidP="00357CEC">
            <w:pPr>
              <w:pStyle w:val="Default"/>
              <w:rPr>
                <w:sz w:val="22"/>
                <w:szCs w:val="22"/>
              </w:rPr>
            </w:pPr>
          </w:p>
          <w:p w14:paraId="116BF1C3" w14:textId="77777777" w:rsidR="002B17C3" w:rsidRDefault="002B17C3" w:rsidP="00357CEC">
            <w:pPr>
              <w:pStyle w:val="Default"/>
              <w:rPr>
                <w:sz w:val="22"/>
                <w:szCs w:val="22"/>
              </w:rPr>
            </w:pPr>
          </w:p>
          <w:p w14:paraId="63788286" w14:textId="77777777" w:rsidR="002B17C3" w:rsidRDefault="002B17C3" w:rsidP="00357CEC">
            <w:pPr>
              <w:pStyle w:val="Default"/>
              <w:rPr>
                <w:sz w:val="22"/>
                <w:szCs w:val="22"/>
              </w:rPr>
            </w:pPr>
          </w:p>
          <w:p w14:paraId="69AFC03A" w14:textId="77777777" w:rsidR="002B17C3" w:rsidRDefault="002B17C3" w:rsidP="00357CEC">
            <w:pPr>
              <w:pStyle w:val="Default"/>
              <w:rPr>
                <w:sz w:val="22"/>
                <w:szCs w:val="22"/>
              </w:rPr>
            </w:pPr>
          </w:p>
          <w:p w14:paraId="235BBA5E" w14:textId="77777777" w:rsidR="002B17C3" w:rsidRDefault="002B17C3" w:rsidP="00357CEC">
            <w:pPr>
              <w:pStyle w:val="Default"/>
              <w:rPr>
                <w:sz w:val="22"/>
                <w:szCs w:val="22"/>
              </w:rPr>
            </w:pPr>
          </w:p>
          <w:p w14:paraId="2FC4D285" w14:textId="77777777" w:rsidR="002B17C3" w:rsidRDefault="002B17C3" w:rsidP="00357CEC">
            <w:pPr>
              <w:pStyle w:val="Default"/>
              <w:rPr>
                <w:sz w:val="22"/>
                <w:szCs w:val="22"/>
              </w:rPr>
            </w:pPr>
          </w:p>
          <w:p w14:paraId="52E512B4" w14:textId="77777777" w:rsidR="002B17C3" w:rsidRDefault="002B17C3" w:rsidP="00357CEC">
            <w:pPr>
              <w:pStyle w:val="Default"/>
              <w:rPr>
                <w:sz w:val="22"/>
                <w:szCs w:val="22"/>
              </w:rPr>
            </w:pPr>
          </w:p>
          <w:p w14:paraId="02A00225" w14:textId="77777777" w:rsidR="002B17C3" w:rsidRDefault="002B17C3" w:rsidP="00357CEC">
            <w:pPr>
              <w:pStyle w:val="Default"/>
              <w:rPr>
                <w:sz w:val="22"/>
                <w:szCs w:val="22"/>
              </w:rPr>
            </w:pPr>
          </w:p>
          <w:p w14:paraId="56E64C9C" w14:textId="77777777" w:rsidR="002B17C3" w:rsidRDefault="002B17C3" w:rsidP="00357CEC">
            <w:pPr>
              <w:pStyle w:val="Default"/>
              <w:rPr>
                <w:sz w:val="22"/>
                <w:szCs w:val="22"/>
              </w:rPr>
            </w:pPr>
          </w:p>
          <w:p w14:paraId="505CA886" w14:textId="77777777" w:rsidR="002B17C3" w:rsidRDefault="002B17C3" w:rsidP="00357CEC">
            <w:pPr>
              <w:pStyle w:val="Default"/>
              <w:rPr>
                <w:sz w:val="22"/>
                <w:szCs w:val="22"/>
              </w:rPr>
            </w:pPr>
          </w:p>
          <w:p w14:paraId="33107408" w14:textId="77777777" w:rsidR="002B17C3" w:rsidRDefault="002B17C3" w:rsidP="00357CEC">
            <w:pPr>
              <w:pStyle w:val="Default"/>
              <w:rPr>
                <w:sz w:val="22"/>
                <w:szCs w:val="22"/>
              </w:rPr>
            </w:pPr>
          </w:p>
          <w:p w14:paraId="4CFA13CF" w14:textId="77777777" w:rsidR="002B17C3" w:rsidRDefault="002B17C3" w:rsidP="00357CEC">
            <w:pPr>
              <w:pStyle w:val="Default"/>
              <w:rPr>
                <w:sz w:val="22"/>
                <w:szCs w:val="22"/>
              </w:rPr>
            </w:pPr>
          </w:p>
          <w:p w14:paraId="3DB6F9EE" w14:textId="77777777" w:rsidR="002B17C3" w:rsidRDefault="002B17C3" w:rsidP="00357CEC">
            <w:pPr>
              <w:pStyle w:val="Default"/>
              <w:rPr>
                <w:sz w:val="22"/>
                <w:szCs w:val="22"/>
              </w:rPr>
            </w:pPr>
          </w:p>
          <w:p w14:paraId="007B7466" w14:textId="77777777" w:rsidR="002B17C3" w:rsidRDefault="002B17C3" w:rsidP="00357CEC">
            <w:pPr>
              <w:pStyle w:val="Default"/>
              <w:rPr>
                <w:sz w:val="22"/>
                <w:szCs w:val="22"/>
              </w:rPr>
            </w:pPr>
          </w:p>
          <w:p w14:paraId="2DDE2C3A" w14:textId="77777777" w:rsidR="002B17C3" w:rsidRDefault="002B17C3" w:rsidP="00357CEC">
            <w:pPr>
              <w:pStyle w:val="Default"/>
              <w:rPr>
                <w:sz w:val="22"/>
                <w:szCs w:val="22"/>
              </w:rPr>
            </w:pPr>
          </w:p>
          <w:p w14:paraId="0016F528" w14:textId="77777777" w:rsidR="002B17C3" w:rsidRDefault="002B17C3" w:rsidP="00357CEC">
            <w:pPr>
              <w:pStyle w:val="Default"/>
              <w:rPr>
                <w:sz w:val="22"/>
                <w:szCs w:val="22"/>
              </w:rPr>
            </w:pPr>
          </w:p>
          <w:p w14:paraId="05E65404" w14:textId="77777777" w:rsidR="002B17C3" w:rsidRDefault="002B17C3" w:rsidP="00357CEC">
            <w:pPr>
              <w:pStyle w:val="Default"/>
              <w:rPr>
                <w:sz w:val="22"/>
                <w:szCs w:val="22"/>
              </w:rPr>
            </w:pPr>
          </w:p>
          <w:p w14:paraId="44EFC428" w14:textId="77777777" w:rsidR="002B17C3" w:rsidRDefault="002B17C3" w:rsidP="00357CEC">
            <w:pPr>
              <w:pStyle w:val="Default"/>
              <w:rPr>
                <w:sz w:val="22"/>
                <w:szCs w:val="22"/>
              </w:rPr>
            </w:pPr>
          </w:p>
          <w:p w14:paraId="1E00DE4A" w14:textId="77777777" w:rsidR="002B17C3" w:rsidRDefault="002B17C3" w:rsidP="00357CEC">
            <w:pPr>
              <w:pStyle w:val="Default"/>
              <w:rPr>
                <w:sz w:val="22"/>
                <w:szCs w:val="22"/>
              </w:rPr>
            </w:pPr>
          </w:p>
          <w:p w14:paraId="4FEA841C" w14:textId="77777777" w:rsidR="002B17C3" w:rsidRDefault="002B17C3" w:rsidP="00357CEC">
            <w:pPr>
              <w:pStyle w:val="Default"/>
              <w:rPr>
                <w:sz w:val="22"/>
                <w:szCs w:val="22"/>
              </w:rPr>
            </w:pPr>
          </w:p>
          <w:p w14:paraId="57B03858" w14:textId="77777777" w:rsidR="002B17C3" w:rsidRDefault="002B17C3" w:rsidP="00357CEC">
            <w:pPr>
              <w:pStyle w:val="Default"/>
              <w:rPr>
                <w:sz w:val="22"/>
                <w:szCs w:val="22"/>
              </w:rPr>
            </w:pPr>
          </w:p>
          <w:p w14:paraId="0F9366DE" w14:textId="77777777" w:rsidR="002B17C3" w:rsidRDefault="002B17C3" w:rsidP="00357CEC">
            <w:pPr>
              <w:pStyle w:val="Default"/>
              <w:rPr>
                <w:sz w:val="22"/>
                <w:szCs w:val="22"/>
              </w:rPr>
            </w:pPr>
          </w:p>
          <w:p w14:paraId="7818E334" w14:textId="77777777" w:rsidR="002B17C3" w:rsidRDefault="002B17C3" w:rsidP="00357CEC">
            <w:pPr>
              <w:pStyle w:val="Default"/>
              <w:rPr>
                <w:sz w:val="22"/>
                <w:szCs w:val="22"/>
              </w:rPr>
            </w:pPr>
          </w:p>
          <w:p w14:paraId="0E157929" w14:textId="77777777" w:rsidR="002B17C3" w:rsidRDefault="002B17C3" w:rsidP="00357CEC">
            <w:pPr>
              <w:pStyle w:val="Default"/>
              <w:rPr>
                <w:sz w:val="22"/>
                <w:szCs w:val="22"/>
              </w:rPr>
            </w:pPr>
          </w:p>
          <w:p w14:paraId="6F456F63" w14:textId="77777777" w:rsidR="002B17C3" w:rsidRDefault="002B17C3" w:rsidP="00357CEC">
            <w:pPr>
              <w:pStyle w:val="Default"/>
              <w:rPr>
                <w:sz w:val="22"/>
                <w:szCs w:val="22"/>
              </w:rPr>
            </w:pPr>
          </w:p>
          <w:p w14:paraId="02F31BD8" w14:textId="77777777" w:rsidR="002B17C3" w:rsidRDefault="002B17C3" w:rsidP="00357CEC">
            <w:pPr>
              <w:pStyle w:val="Default"/>
              <w:rPr>
                <w:sz w:val="22"/>
                <w:szCs w:val="22"/>
              </w:rPr>
            </w:pPr>
          </w:p>
          <w:p w14:paraId="1B755AA2" w14:textId="77777777" w:rsidR="002B17C3" w:rsidRDefault="002B17C3" w:rsidP="00357CEC">
            <w:pPr>
              <w:pStyle w:val="Default"/>
              <w:rPr>
                <w:sz w:val="22"/>
                <w:szCs w:val="22"/>
              </w:rPr>
            </w:pPr>
          </w:p>
          <w:p w14:paraId="51B1F0B7" w14:textId="77777777" w:rsidR="002B17C3" w:rsidRDefault="002B17C3" w:rsidP="00357CEC">
            <w:pPr>
              <w:pStyle w:val="Default"/>
              <w:rPr>
                <w:sz w:val="22"/>
                <w:szCs w:val="22"/>
              </w:rPr>
            </w:pPr>
          </w:p>
          <w:p w14:paraId="075CF855" w14:textId="77777777" w:rsidR="002B17C3" w:rsidRDefault="002B17C3" w:rsidP="00357CEC">
            <w:pPr>
              <w:pStyle w:val="Default"/>
              <w:rPr>
                <w:sz w:val="22"/>
                <w:szCs w:val="22"/>
              </w:rPr>
            </w:pPr>
          </w:p>
          <w:p w14:paraId="2CE69E8B" w14:textId="77777777" w:rsidR="002B17C3" w:rsidRDefault="002B17C3" w:rsidP="00357CEC">
            <w:pPr>
              <w:pStyle w:val="Default"/>
              <w:rPr>
                <w:sz w:val="22"/>
                <w:szCs w:val="22"/>
              </w:rPr>
            </w:pPr>
          </w:p>
          <w:p w14:paraId="58F69A8A" w14:textId="77777777" w:rsidR="002B17C3" w:rsidRDefault="002B17C3" w:rsidP="00357CEC">
            <w:pPr>
              <w:pStyle w:val="Default"/>
              <w:rPr>
                <w:sz w:val="22"/>
                <w:szCs w:val="22"/>
              </w:rPr>
            </w:pPr>
          </w:p>
          <w:p w14:paraId="3F425C90" w14:textId="77777777" w:rsidR="002B17C3" w:rsidRDefault="002B17C3" w:rsidP="00357CEC">
            <w:pPr>
              <w:pStyle w:val="Default"/>
              <w:rPr>
                <w:sz w:val="22"/>
                <w:szCs w:val="22"/>
              </w:rPr>
            </w:pPr>
          </w:p>
          <w:p w14:paraId="5D0EFCF2" w14:textId="77777777" w:rsidR="002B17C3" w:rsidRDefault="002B17C3" w:rsidP="00357CEC">
            <w:pPr>
              <w:pStyle w:val="Default"/>
              <w:rPr>
                <w:sz w:val="22"/>
                <w:szCs w:val="22"/>
              </w:rPr>
            </w:pPr>
          </w:p>
          <w:p w14:paraId="6DF38231" w14:textId="77777777" w:rsidR="002B17C3" w:rsidRDefault="002B17C3" w:rsidP="00357CEC">
            <w:pPr>
              <w:pStyle w:val="Default"/>
              <w:rPr>
                <w:sz w:val="22"/>
                <w:szCs w:val="22"/>
              </w:rPr>
            </w:pPr>
          </w:p>
          <w:p w14:paraId="0F33478C" w14:textId="77777777" w:rsidR="002B17C3" w:rsidRDefault="002B17C3" w:rsidP="00357CEC">
            <w:pPr>
              <w:pStyle w:val="Default"/>
              <w:rPr>
                <w:sz w:val="22"/>
                <w:szCs w:val="22"/>
              </w:rPr>
            </w:pPr>
          </w:p>
          <w:p w14:paraId="38031EFF" w14:textId="77777777" w:rsidR="002B17C3" w:rsidRDefault="002B17C3" w:rsidP="00357CEC">
            <w:pPr>
              <w:pStyle w:val="Default"/>
              <w:rPr>
                <w:sz w:val="22"/>
                <w:szCs w:val="22"/>
              </w:rPr>
            </w:pPr>
          </w:p>
          <w:p w14:paraId="37C1B93B" w14:textId="77777777" w:rsidR="002B17C3" w:rsidRDefault="002B17C3" w:rsidP="00357CEC">
            <w:pPr>
              <w:pStyle w:val="Default"/>
              <w:rPr>
                <w:sz w:val="22"/>
                <w:szCs w:val="22"/>
              </w:rPr>
            </w:pPr>
          </w:p>
          <w:p w14:paraId="7B9DB7BD" w14:textId="77777777" w:rsidR="002B17C3" w:rsidRDefault="002B17C3" w:rsidP="00357CEC">
            <w:pPr>
              <w:pStyle w:val="Default"/>
              <w:rPr>
                <w:sz w:val="22"/>
                <w:szCs w:val="22"/>
              </w:rPr>
            </w:pPr>
          </w:p>
          <w:p w14:paraId="23F8E146" w14:textId="77777777" w:rsidR="002B17C3" w:rsidRDefault="002B17C3" w:rsidP="00357CEC">
            <w:pPr>
              <w:pStyle w:val="Default"/>
              <w:rPr>
                <w:sz w:val="22"/>
                <w:szCs w:val="22"/>
              </w:rPr>
            </w:pPr>
          </w:p>
          <w:p w14:paraId="436EFED8" w14:textId="77777777" w:rsidR="002B17C3" w:rsidRDefault="002B17C3" w:rsidP="00357CEC">
            <w:pPr>
              <w:pStyle w:val="Default"/>
              <w:rPr>
                <w:sz w:val="22"/>
                <w:szCs w:val="22"/>
              </w:rPr>
            </w:pPr>
          </w:p>
          <w:p w14:paraId="16A9AC90" w14:textId="77777777" w:rsidR="002B17C3" w:rsidRDefault="002B17C3" w:rsidP="00357CEC">
            <w:pPr>
              <w:pStyle w:val="Default"/>
              <w:rPr>
                <w:sz w:val="22"/>
                <w:szCs w:val="22"/>
              </w:rPr>
            </w:pPr>
          </w:p>
          <w:p w14:paraId="7325CDFB" w14:textId="77777777" w:rsidR="002B17C3" w:rsidRDefault="002B17C3" w:rsidP="00357CEC">
            <w:pPr>
              <w:pStyle w:val="Default"/>
              <w:rPr>
                <w:sz w:val="22"/>
                <w:szCs w:val="22"/>
              </w:rPr>
            </w:pPr>
          </w:p>
          <w:p w14:paraId="401390E8" w14:textId="77777777" w:rsidR="002B17C3" w:rsidRDefault="002B17C3" w:rsidP="00357CEC">
            <w:pPr>
              <w:pStyle w:val="Default"/>
              <w:rPr>
                <w:sz w:val="22"/>
                <w:szCs w:val="22"/>
              </w:rPr>
            </w:pPr>
          </w:p>
          <w:p w14:paraId="3DC5C9B3" w14:textId="77777777" w:rsidR="002B17C3" w:rsidRDefault="002B17C3" w:rsidP="00357CEC">
            <w:pPr>
              <w:pStyle w:val="Default"/>
              <w:rPr>
                <w:sz w:val="22"/>
                <w:szCs w:val="22"/>
              </w:rPr>
            </w:pPr>
          </w:p>
          <w:p w14:paraId="5A8CEF46" w14:textId="77777777" w:rsidR="002B17C3" w:rsidRDefault="002B17C3" w:rsidP="00357CEC">
            <w:pPr>
              <w:pStyle w:val="Default"/>
              <w:rPr>
                <w:sz w:val="22"/>
                <w:szCs w:val="22"/>
              </w:rPr>
            </w:pPr>
          </w:p>
          <w:p w14:paraId="6187B45D" w14:textId="77777777" w:rsidR="002B17C3" w:rsidRDefault="002B17C3" w:rsidP="00357CEC">
            <w:pPr>
              <w:pStyle w:val="Default"/>
              <w:rPr>
                <w:sz w:val="22"/>
                <w:szCs w:val="22"/>
              </w:rPr>
            </w:pPr>
          </w:p>
          <w:p w14:paraId="7F7C09E5" w14:textId="77777777" w:rsidR="002B17C3" w:rsidRDefault="002B17C3" w:rsidP="00357CEC">
            <w:pPr>
              <w:pStyle w:val="Default"/>
              <w:rPr>
                <w:sz w:val="22"/>
                <w:szCs w:val="22"/>
              </w:rPr>
            </w:pPr>
          </w:p>
          <w:p w14:paraId="614F49F9" w14:textId="77777777" w:rsidR="002B17C3" w:rsidRDefault="002B17C3" w:rsidP="00357CEC">
            <w:pPr>
              <w:pStyle w:val="Default"/>
              <w:rPr>
                <w:sz w:val="22"/>
                <w:szCs w:val="22"/>
              </w:rPr>
            </w:pPr>
          </w:p>
          <w:p w14:paraId="59D7788F" w14:textId="77777777" w:rsidR="002B17C3" w:rsidRDefault="002B17C3" w:rsidP="00357CEC">
            <w:pPr>
              <w:pStyle w:val="Default"/>
              <w:rPr>
                <w:sz w:val="22"/>
                <w:szCs w:val="22"/>
              </w:rPr>
            </w:pPr>
          </w:p>
          <w:p w14:paraId="34F0A2E8" w14:textId="77777777" w:rsidR="002B17C3" w:rsidRDefault="002B17C3" w:rsidP="00357CEC">
            <w:pPr>
              <w:pStyle w:val="Default"/>
              <w:rPr>
                <w:sz w:val="22"/>
                <w:szCs w:val="22"/>
              </w:rPr>
            </w:pPr>
          </w:p>
          <w:p w14:paraId="21F97ED8" w14:textId="77777777" w:rsidR="002B17C3" w:rsidRDefault="002B17C3" w:rsidP="00357CEC">
            <w:pPr>
              <w:pStyle w:val="Default"/>
              <w:rPr>
                <w:sz w:val="22"/>
                <w:szCs w:val="22"/>
              </w:rPr>
            </w:pPr>
          </w:p>
          <w:p w14:paraId="0D284345" w14:textId="77777777" w:rsidR="002B17C3" w:rsidRDefault="002B17C3" w:rsidP="00357CEC">
            <w:pPr>
              <w:pStyle w:val="Default"/>
              <w:rPr>
                <w:sz w:val="22"/>
                <w:szCs w:val="22"/>
              </w:rPr>
            </w:pPr>
          </w:p>
          <w:p w14:paraId="68A2A815" w14:textId="77777777" w:rsidR="002B17C3" w:rsidRDefault="002B17C3" w:rsidP="00357CEC">
            <w:pPr>
              <w:pStyle w:val="Default"/>
              <w:rPr>
                <w:sz w:val="22"/>
                <w:szCs w:val="22"/>
              </w:rPr>
            </w:pPr>
          </w:p>
          <w:p w14:paraId="65EDD39C" w14:textId="77777777" w:rsidR="002B17C3" w:rsidRDefault="002B17C3" w:rsidP="00357CEC">
            <w:pPr>
              <w:pStyle w:val="Default"/>
              <w:rPr>
                <w:sz w:val="22"/>
                <w:szCs w:val="22"/>
              </w:rPr>
            </w:pPr>
          </w:p>
          <w:p w14:paraId="6A6699D9" w14:textId="7856237A" w:rsidR="00357CEC" w:rsidRPr="001300A9" w:rsidRDefault="00357CEC" w:rsidP="00357CEC">
            <w:pPr>
              <w:pStyle w:val="Default"/>
              <w:rPr>
                <w:sz w:val="22"/>
                <w:szCs w:val="22"/>
              </w:rPr>
            </w:pPr>
            <w:proofErr w:type="spellStart"/>
            <w:r w:rsidRPr="001300A9">
              <w:rPr>
                <w:sz w:val="22"/>
                <w:szCs w:val="22"/>
              </w:rPr>
              <w:t>n.a</w:t>
            </w:r>
            <w:proofErr w:type="spellEnd"/>
            <w:r w:rsidRPr="001300A9">
              <w:rPr>
                <w:sz w:val="22"/>
                <w:szCs w:val="22"/>
              </w:rPr>
              <w:t>.</w:t>
            </w:r>
          </w:p>
          <w:p w14:paraId="7D290F17" w14:textId="77777777" w:rsidR="00357CEC" w:rsidRPr="001300A9" w:rsidRDefault="00357CEC" w:rsidP="00357CEC">
            <w:pPr>
              <w:pStyle w:val="Default"/>
              <w:rPr>
                <w:sz w:val="22"/>
                <w:szCs w:val="22"/>
              </w:rPr>
            </w:pPr>
          </w:p>
          <w:p w14:paraId="2B34EFD3" w14:textId="77777777" w:rsidR="00357CEC" w:rsidRPr="001300A9" w:rsidRDefault="00357CEC" w:rsidP="00357CEC">
            <w:pPr>
              <w:pStyle w:val="Default"/>
              <w:rPr>
                <w:sz w:val="22"/>
                <w:szCs w:val="22"/>
              </w:rPr>
            </w:pPr>
          </w:p>
        </w:tc>
        <w:tc>
          <w:tcPr>
            <w:tcW w:w="283" w:type="dxa"/>
          </w:tcPr>
          <w:p w14:paraId="28E13EE8" w14:textId="67839486" w:rsidR="00357CEC" w:rsidRPr="001300A9" w:rsidRDefault="00436704" w:rsidP="00357CEC">
            <w:pPr>
              <w:pStyle w:val="Default"/>
              <w:rPr>
                <w:sz w:val="22"/>
                <w:szCs w:val="22"/>
              </w:rPr>
            </w:pPr>
            <w:r>
              <w:rPr>
                <w:sz w:val="22"/>
                <w:szCs w:val="22"/>
              </w:rPr>
              <w:t>NZ</w:t>
            </w:r>
          </w:p>
        </w:tc>
        <w:tc>
          <w:tcPr>
            <w:tcW w:w="567" w:type="dxa"/>
            <w:shd w:val="clear" w:color="auto" w:fill="auto"/>
          </w:tcPr>
          <w:p w14:paraId="6437082C" w14:textId="78BBE108" w:rsidR="00357CEC" w:rsidRPr="001300A9" w:rsidRDefault="00A33BA6" w:rsidP="00357CEC">
            <w:pPr>
              <w:pStyle w:val="Default"/>
              <w:rPr>
                <w:sz w:val="22"/>
                <w:szCs w:val="22"/>
              </w:rPr>
            </w:pPr>
            <w:r w:rsidRPr="000B0A6E">
              <w:rPr>
                <w:sz w:val="22"/>
                <w:szCs w:val="22"/>
              </w:rPr>
              <w:t>Príloha č. 1</w:t>
            </w:r>
            <w:r w:rsidR="004C2B74" w:rsidRPr="000B0A6E">
              <w:rPr>
                <w:sz w:val="22"/>
                <w:szCs w:val="22"/>
              </w:rPr>
              <w:t>, tabuľka B</w:t>
            </w:r>
          </w:p>
        </w:tc>
        <w:tc>
          <w:tcPr>
            <w:tcW w:w="4253" w:type="dxa"/>
          </w:tcPr>
          <w:p w14:paraId="604BB25C" w14:textId="77777777" w:rsidR="002204E0" w:rsidRDefault="002B17C3" w:rsidP="002B17C3">
            <w:pPr>
              <w:pStyle w:val="Default"/>
              <w:rPr>
                <w:sz w:val="22"/>
                <w:szCs w:val="22"/>
              </w:rPr>
            </w:pPr>
            <w:r w:rsidRPr="002B17C3">
              <w:rPr>
                <w:sz w:val="22"/>
                <w:szCs w:val="22"/>
              </w:rPr>
              <w:t xml:space="preserve">Uvádzanie palív, ktoré sa používajú na účely spaľovania v odvetví budov, odvetví cestnej dopravy a ďalších odvetviach </w:t>
            </w:r>
            <w:r w:rsidR="002204E0">
              <w:rPr>
                <w:sz w:val="22"/>
                <w:szCs w:val="22"/>
              </w:rPr>
              <w:t>uvádzaných na trh</w:t>
            </w:r>
            <w:r w:rsidRPr="002B17C3">
              <w:rPr>
                <w:sz w:val="22"/>
                <w:szCs w:val="22"/>
              </w:rPr>
              <w:t>.</w:t>
            </w:r>
          </w:p>
          <w:p w14:paraId="32AB4DDA" w14:textId="53066FBA" w:rsidR="002B17C3" w:rsidRPr="002B17C3" w:rsidRDefault="002B17C3" w:rsidP="002B17C3">
            <w:pPr>
              <w:pStyle w:val="Default"/>
              <w:rPr>
                <w:sz w:val="22"/>
                <w:szCs w:val="22"/>
              </w:rPr>
            </w:pPr>
            <w:r w:rsidRPr="002B17C3">
              <w:rPr>
                <w:sz w:val="22"/>
                <w:szCs w:val="22"/>
              </w:rPr>
              <w:t>Táto činnosť nezahŕňa:</w:t>
            </w:r>
          </w:p>
          <w:p w14:paraId="70D683BA" w14:textId="09054B61" w:rsidR="002B17C3" w:rsidRPr="002B17C3" w:rsidRDefault="002B17C3" w:rsidP="002B17C3">
            <w:pPr>
              <w:pStyle w:val="Default"/>
              <w:rPr>
                <w:sz w:val="22"/>
                <w:szCs w:val="22"/>
              </w:rPr>
            </w:pPr>
            <w:r>
              <w:rPr>
                <w:sz w:val="22"/>
                <w:szCs w:val="22"/>
              </w:rPr>
              <w:t xml:space="preserve">a) </w:t>
            </w:r>
            <w:r w:rsidRPr="002B17C3">
              <w:rPr>
                <w:sz w:val="22"/>
                <w:szCs w:val="22"/>
              </w:rPr>
              <w:t xml:space="preserve">uvádzanie palív používaných pri činnostiach uvedených v prílohe č. 1 tabuľkách A, C a D </w:t>
            </w:r>
            <w:r w:rsidR="002204E0">
              <w:rPr>
                <w:sz w:val="22"/>
                <w:szCs w:val="22"/>
              </w:rPr>
              <w:t>na trh</w:t>
            </w:r>
            <w:r w:rsidRPr="002B17C3">
              <w:rPr>
                <w:sz w:val="22"/>
                <w:szCs w:val="22"/>
              </w:rPr>
              <w:t xml:space="preserve">, okrem prípadov, keď sa používajú na účely spaľovania v rámci činností prepravy skleníkových plynov na geologické ukladanie, ako sa stanovuje v prílohe č. 1 tabuľke A riadku 27, </w:t>
            </w:r>
          </w:p>
          <w:p w14:paraId="7088671C" w14:textId="66C7CD24" w:rsidR="002B17C3" w:rsidRPr="002B17C3" w:rsidRDefault="002B17C3" w:rsidP="002B17C3">
            <w:pPr>
              <w:pStyle w:val="Default"/>
              <w:rPr>
                <w:sz w:val="22"/>
                <w:szCs w:val="22"/>
              </w:rPr>
            </w:pPr>
            <w:r>
              <w:rPr>
                <w:sz w:val="22"/>
                <w:szCs w:val="22"/>
              </w:rPr>
              <w:t xml:space="preserve">b) </w:t>
            </w:r>
            <w:r w:rsidRPr="002B17C3">
              <w:rPr>
                <w:sz w:val="22"/>
                <w:szCs w:val="22"/>
              </w:rPr>
              <w:t xml:space="preserve">uvádzanie palív s nulovým emisným faktorom </w:t>
            </w:r>
            <w:r w:rsidR="002204E0">
              <w:rPr>
                <w:sz w:val="22"/>
                <w:szCs w:val="22"/>
              </w:rPr>
              <w:t>na trh</w:t>
            </w:r>
            <w:r w:rsidRPr="002B17C3">
              <w:rPr>
                <w:sz w:val="22"/>
                <w:szCs w:val="22"/>
              </w:rPr>
              <w:t>,</w:t>
            </w:r>
          </w:p>
          <w:p w14:paraId="3BE896C8" w14:textId="383EAB4E" w:rsidR="002B17C3" w:rsidRPr="002B17C3" w:rsidRDefault="002B17C3" w:rsidP="002B17C3">
            <w:pPr>
              <w:pStyle w:val="Default"/>
              <w:rPr>
                <w:sz w:val="22"/>
                <w:szCs w:val="22"/>
              </w:rPr>
            </w:pPr>
            <w:r w:rsidRPr="002B17C3">
              <w:rPr>
                <w:sz w:val="22"/>
                <w:szCs w:val="22"/>
              </w:rPr>
              <w:t>c)</w:t>
            </w:r>
            <w:r>
              <w:rPr>
                <w:sz w:val="22"/>
                <w:szCs w:val="22"/>
              </w:rPr>
              <w:t xml:space="preserve"> </w:t>
            </w:r>
            <w:r w:rsidRPr="002B17C3">
              <w:rPr>
                <w:sz w:val="22"/>
                <w:szCs w:val="22"/>
              </w:rPr>
              <w:t xml:space="preserve">uvádzanie nebezpečného alebo komunálneho odpadu používaného ako palivo </w:t>
            </w:r>
            <w:r w:rsidR="002204E0">
              <w:rPr>
                <w:sz w:val="22"/>
                <w:szCs w:val="22"/>
              </w:rPr>
              <w:t>na trh</w:t>
            </w:r>
            <w:r w:rsidRPr="002B17C3">
              <w:rPr>
                <w:sz w:val="22"/>
                <w:szCs w:val="22"/>
              </w:rPr>
              <w:t>.</w:t>
            </w:r>
          </w:p>
          <w:p w14:paraId="64ED4900" w14:textId="77777777" w:rsidR="002B17C3" w:rsidRPr="002B17C3" w:rsidRDefault="002B17C3" w:rsidP="002B17C3">
            <w:pPr>
              <w:pStyle w:val="Default"/>
              <w:rPr>
                <w:sz w:val="22"/>
                <w:szCs w:val="22"/>
              </w:rPr>
            </w:pPr>
            <w:r w:rsidRPr="002B17C3">
              <w:rPr>
                <w:sz w:val="22"/>
                <w:szCs w:val="22"/>
              </w:rPr>
              <w:t>Odvetviu budov a odvetviu cestnej dopravy zodpovedajú tieto zdroje emisií vymedzené v usmerneniach panela Medzivládneho panelu o zmene klímy (IPCC) pre národné inventúry skleníkových plynov z roku 2006 s týmito nevyhnutnými úpravami predmetných vymedzení:</w:t>
            </w:r>
          </w:p>
          <w:p w14:paraId="7E1676BD" w14:textId="262B2FC6" w:rsidR="002B17C3" w:rsidRPr="002B17C3" w:rsidRDefault="002B17C3" w:rsidP="002B17C3">
            <w:pPr>
              <w:pStyle w:val="Default"/>
              <w:rPr>
                <w:sz w:val="22"/>
                <w:szCs w:val="22"/>
              </w:rPr>
            </w:pPr>
            <w:r>
              <w:rPr>
                <w:sz w:val="22"/>
                <w:szCs w:val="22"/>
              </w:rPr>
              <w:t xml:space="preserve">a) </w:t>
            </w:r>
            <w:r w:rsidRPr="002B17C3">
              <w:rPr>
                <w:sz w:val="22"/>
                <w:szCs w:val="22"/>
              </w:rPr>
              <w:t>kombinovaná výroba tepla a elektriny (KVET) (kód kategórie zdroja 1A1a ii) a teplárne (kód zdroja 1A1a iii), pokiaľ vyrábajú teplo pre kategórie uvedené v písmenách c) a d) tohto odseku, a to buď priamo alebo prostredníctvom sietí diaľkového vykurovania;</w:t>
            </w:r>
          </w:p>
          <w:p w14:paraId="3ED62686" w14:textId="25B7B40D" w:rsidR="002B17C3" w:rsidRPr="002B17C3" w:rsidRDefault="002B17C3" w:rsidP="002B17C3">
            <w:pPr>
              <w:pStyle w:val="Default"/>
              <w:rPr>
                <w:sz w:val="22"/>
                <w:szCs w:val="22"/>
              </w:rPr>
            </w:pPr>
            <w:r>
              <w:rPr>
                <w:sz w:val="22"/>
                <w:szCs w:val="22"/>
              </w:rPr>
              <w:t xml:space="preserve">b) </w:t>
            </w:r>
            <w:r w:rsidRPr="002B17C3">
              <w:rPr>
                <w:sz w:val="22"/>
                <w:szCs w:val="22"/>
              </w:rPr>
              <w:t>cestná doprava (kód kategórie zdroja 1A3b) okrem používania poľnohospodárskych vozidiel na spevnených cestných komunikáciách;</w:t>
            </w:r>
          </w:p>
          <w:p w14:paraId="3890B1E1" w14:textId="5D7BB260" w:rsidR="002B17C3" w:rsidRPr="002B17C3" w:rsidRDefault="002B17C3" w:rsidP="002B17C3">
            <w:pPr>
              <w:pStyle w:val="Default"/>
              <w:rPr>
                <w:sz w:val="22"/>
                <w:szCs w:val="22"/>
              </w:rPr>
            </w:pPr>
            <w:r>
              <w:rPr>
                <w:sz w:val="22"/>
                <w:szCs w:val="22"/>
              </w:rPr>
              <w:t xml:space="preserve">c) </w:t>
            </w:r>
            <w:r w:rsidRPr="002B17C3">
              <w:rPr>
                <w:sz w:val="22"/>
                <w:szCs w:val="22"/>
              </w:rPr>
              <w:t>komerčné/inštitucionálne budovy (kód kategórie zdroja 1A4a);</w:t>
            </w:r>
          </w:p>
          <w:p w14:paraId="2204DE5B" w14:textId="418556CA" w:rsidR="002B17C3" w:rsidRPr="002B17C3" w:rsidRDefault="002B17C3" w:rsidP="002B17C3">
            <w:pPr>
              <w:pStyle w:val="Default"/>
              <w:rPr>
                <w:sz w:val="22"/>
                <w:szCs w:val="22"/>
              </w:rPr>
            </w:pPr>
            <w:r>
              <w:rPr>
                <w:sz w:val="22"/>
                <w:szCs w:val="22"/>
              </w:rPr>
              <w:t xml:space="preserve">d) </w:t>
            </w:r>
            <w:r w:rsidRPr="002B17C3">
              <w:rPr>
                <w:sz w:val="22"/>
                <w:szCs w:val="22"/>
              </w:rPr>
              <w:t>obytné budovy (kód kategórie zdroja 1A4b).</w:t>
            </w:r>
          </w:p>
          <w:p w14:paraId="2FD305D4" w14:textId="77777777" w:rsidR="002B17C3" w:rsidRPr="002B17C3" w:rsidRDefault="002B17C3" w:rsidP="002B17C3">
            <w:pPr>
              <w:pStyle w:val="Default"/>
              <w:rPr>
                <w:sz w:val="22"/>
                <w:szCs w:val="22"/>
              </w:rPr>
            </w:pPr>
            <w:r w:rsidRPr="002B17C3">
              <w:rPr>
                <w:sz w:val="22"/>
                <w:szCs w:val="22"/>
              </w:rPr>
              <w:t>Ďalším odvetviam zodpovedajú tieto zdroje emisií vymedzené v usmerneniach Medzivládneho panelu o zmene klímy (IPCC) pre národné inventúry skleníkových plynov z roku 2006:</w:t>
            </w:r>
          </w:p>
          <w:p w14:paraId="4D935568" w14:textId="3C470CAC" w:rsidR="002B17C3" w:rsidRPr="002B17C3" w:rsidRDefault="002B17C3" w:rsidP="002B17C3">
            <w:pPr>
              <w:pStyle w:val="Default"/>
              <w:rPr>
                <w:sz w:val="22"/>
                <w:szCs w:val="22"/>
              </w:rPr>
            </w:pPr>
            <w:r>
              <w:rPr>
                <w:sz w:val="22"/>
                <w:szCs w:val="22"/>
              </w:rPr>
              <w:t xml:space="preserve">a) </w:t>
            </w:r>
            <w:r w:rsidRPr="002B17C3">
              <w:rPr>
                <w:sz w:val="22"/>
                <w:szCs w:val="22"/>
              </w:rPr>
              <w:t>odvetvie energetiky (kód kategórie zdroja 1A1) okrem kategórií vymedzených v druhom odseku písm. a) tejto prílohy;</w:t>
            </w:r>
          </w:p>
          <w:p w14:paraId="2E415B2C" w14:textId="3A80B939" w:rsidR="00FF5FD2" w:rsidRPr="001300A9" w:rsidRDefault="002B17C3" w:rsidP="002B17C3">
            <w:pPr>
              <w:pStyle w:val="Default"/>
              <w:rPr>
                <w:sz w:val="22"/>
                <w:szCs w:val="22"/>
              </w:rPr>
            </w:pPr>
            <w:r>
              <w:rPr>
                <w:sz w:val="22"/>
                <w:szCs w:val="22"/>
              </w:rPr>
              <w:t xml:space="preserve">b) </w:t>
            </w:r>
            <w:r w:rsidRPr="002B17C3">
              <w:rPr>
                <w:sz w:val="22"/>
                <w:szCs w:val="22"/>
              </w:rPr>
              <w:t>výrobný priemysel a stavebníctvo (kód kategórie zdroja 1A2).</w:t>
            </w:r>
          </w:p>
        </w:tc>
        <w:tc>
          <w:tcPr>
            <w:tcW w:w="567" w:type="dxa"/>
          </w:tcPr>
          <w:p w14:paraId="1C538300" w14:textId="14E67258" w:rsidR="00357CEC" w:rsidRPr="001300A9" w:rsidRDefault="002360D5" w:rsidP="00357CEC">
            <w:pPr>
              <w:pStyle w:val="Default"/>
              <w:rPr>
                <w:sz w:val="22"/>
                <w:szCs w:val="22"/>
              </w:rPr>
            </w:pPr>
            <w:r w:rsidRPr="001300A9">
              <w:rPr>
                <w:sz w:val="22"/>
                <w:szCs w:val="22"/>
              </w:rPr>
              <w:t>Ú</w:t>
            </w:r>
          </w:p>
        </w:tc>
        <w:tc>
          <w:tcPr>
            <w:tcW w:w="1276" w:type="dxa"/>
          </w:tcPr>
          <w:p w14:paraId="4AD54C93" w14:textId="77777777" w:rsidR="00357CEC" w:rsidRPr="001300A9" w:rsidRDefault="00357CEC" w:rsidP="00357CEC">
            <w:pPr>
              <w:pStyle w:val="Default"/>
              <w:rPr>
                <w:sz w:val="22"/>
                <w:szCs w:val="22"/>
              </w:rPr>
            </w:pPr>
          </w:p>
        </w:tc>
        <w:tc>
          <w:tcPr>
            <w:tcW w:w="850" w:type="dxa"/>
          </w:tcPr>
          <w:p w14:paraId="73E7785E" w14:textId="40BBF5D6" w:rsidR="00357CEC" w:rsidRPr="001300A9" w:rsidRDefault="002360D5" w:rsidP="00357CEC">
            <w:pPr>
              <w:pStyle w:val="Default"/>
              <w:rPr>
                <w:sz w:val="22"/>
                <w:szCs w:val="22"/>
              </w:rPr>
            </w:pPr>
            <w:r w:rsidRPr="001300A9">
              <w:rPr>
                <w:sz w:val="22"/>
                <w:szCs w:val="22"/>
              </w:rPr>
              <w:t>GP - N</w:t>
            </w:r>
          </w:p>
        </w:tc>
        <w:tc>
          <w:tcPr>
            <w:tcW w:w="815" w:type="dxa"/>
          </w:tcPr>
          <w:p w14:paraId="1201AD9B" w14:textId="77777777" w:rsidR="00357CEC" w:rsidRPr="001300A9" w:rsidRDefault="00357CEC" w:rsidP="00357CEC">
            <w:pPr>
              <w:pStyle w:val="Default"/>
              <w:rPr>
                <w:sz w:val="22"/>
                <w:szCs w:val="22"/>
              </w:rPr>
            </w:pPr>
          </w:p>
        </w:tc>
      </w:tr>
      <w:tr w:rsidR="00DD6EDC" w:rsidRPr="001300A9" w14:paraId="65DC1F19" w14:textId="77777777" w:rsidTr="360410BC">
        <w:tc>
          <w:tcPr>
            <w:tcW w:w="562" w:type="dxa"/>
          </w:tcPr>
          <w:p w14:paraId="3F47A081" w14:textId="77777777" w:rsidR="00357CEC" w:rsidRPr="001300A9" w:rsidRDefault="00357CEC" w:rsidP="00357CEC">
            <w:pPr>
              <w:pStyle w:val="Default"/>
              <w:rPr>
                <w:sz w:val="22"/>
                <w:szCs w:val="22"/>
              </w:rPr>
            </w:pPr>
            <w:r w:rsidRPr="001300A9">
              <w:rPr>
                <w:sz w:val="22"/>
                <w:szCs w:val="22"/>
              </w:rPr>
              <w:t>Príloha</w:t>
            </w:r>
          </w:p>
          <w:p w14:paraId="39E53B39" w14:textId="77777777" w:rsidR="00357CEC" w:rsidRPr="001300A9" w:rsidRDefault="00357CEC" w:rsidP="00357CEC">
            <w:pPr>
              <w:pStyle w:val="Default"/>
              <w:rPr>
                <w:sz w:val="22"/>
                <w:szCs w:val="22"/>
              </w:rPr>
            </w:pPr>
            <w:r w:rsidRPr="001300A9">
              <w:rPr>
                <w:sz w:val="22"/>
                <w:szCs w:val="22"/>
              </w:rPr>
              <w:t>O: 4</w:t>
            </w:r>
          </w:p>
          <w:p w14:paraId="2A1DC2B0" w14:textId="77777777" w:rsidR="00357CEC" w:rsidRPr="001300A9" w:rsidRDefault="00357CEC" w:rsidP="00357CEC">
            <w:pPr>
              <w:pStyle w:val="Default"/>
              <w:rPr>
                <w:sz w:val="22"/>
                <w:szCs w:val="22"/>
              </w:rPr>
            </w:pPr>
            <w:r w:rsidRPr="001300A9">
              <w:rPr>
                <w:sz w:val="22"/>
                <w:szCs w:val="22"/>
              </w:rPr>
              <w:t>P: a)</w:t>
            </w:r>
          </w:p>
        </w:tc>
        <w:tc>
          <w:tcPr>
            <w:tcW w:w="4820" w:type="dxa"/>
          </w:tcPr>
          <w:p w14:paraId="52C2B0A1" w14:textId="77777777" w:rsidR="00357CEC" w:rsidRPr="001300A9" w:rsidRDefault="00357CEC" w:rsidP="00357CEC">
            <w:pPr>
              <w:pStyle w:val="Default"/>
              <w:rPr>
                <w:sz w:val="22"/>
                <w:szCs w:val="22"/>
              </w:rPr>
            </w:pPr>
            <w:r w:rsidRPr="001300A9">
              <w:rPr>
                <w:sz w:val="22"/>
                <w:szCs w:val="22"/>
              </w:rPr>
              <w:t>v časti A sa oddiel „Výpočet“ mení takto:</w:t>
            </w:r>
          </w:p>
          <w:p w14:paraId="11FEF066" w14:textId="77777777" w:rsidR="00357CEC" w:rsidRPr="001300A9" w:rsidRDefault="00357CEC" w:rsidP="00357CEC">
            <w:pPr>
              <w:pStyle w:val="Default"/>
              <w:rPr>
                <w:sz w:val="22"/>
                <w:szCs w:val="22"/>
              </w:rPr>
            </w:pPr>
            <w:r w:rsidRPr="001300A9">
              <w:rPr>
                <w:sz w:val="22"/>
                <w:szCs w:val="22"/>
              </w:rPr>
              <w:t>i) v treťom odseku sa posledná veta „Emisný faktor pre biomasu je nula.“ nahrádza takto:</w:t>
            </w:r>
          </w:p>
          <w:p w14:paraId="7C593FB5" w14:textId="77777777" w:rsidR="00357CEC" w:rsidRPr="001300A9" w:rsidRDefault="00357CEC" w:rsidP="00357CEC">
            <w:pPr>
              <w:pStyle w:val="Default"/>
              <w:rPr>
                <w:sz w:val="22"/>
                <w:szCs w:val="22"/>
              </w:rPr>
            </w:pPr>
            <w:r w:rsidRPr="001300A9">
              <w:rPr>
                <w:sz w:val="22"/>
                <w:szCs w:val="22"/>
              </w:rPr>
              <w:t>„Emisný faktor pre biomasu, ktorá spĺňa kritériá udržateľnosti a kritériá týkajúce sa úspor emisií skleníkových plynov pri využívaní biomasy, ktoré sú stanovené v smernici (EÚ) 2018/2001, so všetkými potrebnými úpravami na uplatňovanie podľa tejto smernice, ako sa stanovuje vo vykonávacích aktoch uvedených v článku 14, sa rovná nule.“;</w:t>
            </w:r>
          </w:p>
          <w:p w14:paraId="06EE0DF9" w14:textId="77777777" w:rsidR="00357CEC" w:rsidRPr="001300A9" w:rsidRDefault="00357CEC" w:rsidP="00357CEC">
            <w:pPr>
              <w:pStyle w:val="Default"/>
              <w:rPr>
                <w:sz w:val="22"/>
                <w:szCs w:val="22"/>
              </w:rPr>
            </w:pPr>
            <w:r w:rsidRPr="001300A9">
              <w:rPr>
                <w:sz w:val="22"/>
                <w:szCs w:val="22"/>
              </w:rPr>
              <w:t>ii) piaty odsek sa nahrádza takto:</w:t>
            </w:r>
          </w:p>
          <w:p w14:paraId="759ACFD0" w14:textId="77777777" w:rsidR="00357CEC" w:rsidRPr="001300A9" w:rsidRDefault="00357CEC" w:rsidP="00357CEC">
            <w:pPr>
              <w:pStyle w:val="Default"/>
              <w:rPr>
                <w:sz w:val="22"/>
                <w:szCs w:val="22"/>
              </w:rPr>
            </w:pPr>
            <w:r w:rsidRPr="001300A9">
              <w:rPr>
                <w:sz w:val="22"/>
                <w:szCs w:val="22"/>
              </w:rPr>
              <w:t>„Použijú sa štandardné oxidačné faktory vytvorené podľa smernice 2010/75/EÚ, pokiaľ prevádzkovateľ nepreukáže, že faktory špecifické pre dané činnosti sú presnejšie.“;</w:t>
            </w:r>
          </w:p>
        </w:tc>
        <w:tc>
          <w:tcPr>
            <w:tcW w:w="567" w:type="dxa"/>
          </w:tcPr>
          <w:p w14:paraId="4F234DE8" w14:textId="77777777" w:rsidR="00357CEC" w:rsidRPr="001300A9" w:rsidRDefault="00357CEC" w:rsidP="00357CEC">
            <w:pPr>
              <w:pStyle w:val="Default"/>
              <w:rPr>
                <w:sz w:val="22"/>
                <w:szCs w:val="22"/>
              </w:rPr>
            </w:pPr>
            <w:proofErr w:type="spellStart"/>
            <w:r w:rsidRPr="001300A9">
              <w:rPr>
                <w:sz w:val="22"/>
                <w:szCs w:val="22"/>
              </w:rPr>
              <w:t>n.a</w:t>
            </w:r>
            <w:proofErr w:type="spellEnd"/>
            <w:r w:rsidRPr="001300A9">
              <w:rPr>
                <w:sz w:val="22"/>
                <w:szCs w:val="22"/>
              </w:rPr>
              <w:t>.</w:t>
            </w:r>
          </w:p>
        </w:tc>
        <w:tc>
          <w:tcPr>
            <w:tcW w:w="283" w:type="dxa"/>
          </w:tcPr>
          <w:p w14:paraId="18709420" w14:textId="77777777" w:rsidR="00357CEC" w:rsidRPr="001300A9" w:rsidRDefault="00357CEC" w:rsidP="00357CEC">
            <w:pPr>
              <w:pStyle w:val="Default"/>
              <w:rPr>
                <w:sz w:val="22"/>
                <w:szCs w:val="22"/>
              </w:rPr>
            </w:pPr>
          </w:p>
        </w:tc>
        <w:tc>
          <w:tcPr>
            <w:tcW w:w="567" w:type="dxa"/>
          </w:tcPr>
          <w:p w14:paraId="31EF571C" w14:textId="77777777" w:rsidR="00357CEC" w:rsidRPr="001300A9" w:rsidRDefault="00357CEC" w:rsidP="00357CEC">
            <w:pPr>
              <w:pStyle w:val="Default"/>
              <w:rPr>
                <w:sz w:val="22"/>
                <w:szCs w:val="22"/>
              </w:rPr>
            </w:pPr>
          </w:p>
        </w:tc>
        <w:tc>
          <w:tcPr>
            <w:tcW w:w="4253" w:type="dxa"/>
          </w:tcPr>
          <w:p w14:paraId="45ED8B96" w14:textId="77777777" w:rsidR="00357CEC" w:rsidRPr="001300A9" w:rsidRDefault="00357CEC" w:rsidP="00357CEC">
            <w:pPr>
              <w:pStyle w:val="Default"/>
              <w:rPr>
                <w:sz w:val="22"/>
                <w:szCs w:val="22"/>
              </w:rPr>
            </w:pPr>
          </w:p>
        </w:tc>
        <w:tc>
          <w:tcPr>
            <w:tcW w:w="567" w:type="dxa"/>
          </w:tcPr>
          <w:p w14:paraId="4510DF18" w14:textId="77777777" w:rsidR="00357CEC" w:rsidRPr="001300A9" w:rsidRDefault="00357CEC" w:rsidP="00357CEC">
            <w:pPr>
              <w:pStyle w:val="Default"/>
              <w:rPr>
                <w:sz w:val="22"/>
                <w:szCs w:val="22"/>
              </w:rPr>
            </w:pPr>
          </w:p>
        </w:tc>
        <w:tc>
          <w:tcPr>
            <w:tcW w:w="1276" w:type="dxa"/>
          </w:tcPr>
          <w:p w14:paraId="334B813F" w14:textId="77777777" w:rsidR="00357CEC" w:rsidRPr="001300A9" w:rsidRDefault="00357CEC" w:rsidP="00357CEC">
            <w:pPr>
              <w:pStyle w:val="Default"/>
              <w:rPr>
                <w:sz w:val="22"/>
                <w:szCs w:val="22"/>
              </w:rPr>
            </w:pPr>
          </w:p>
        </w:tc>
        <w:tc>
          <w:tcPr>
            <w:tcW w:w="850" w:type="dxa"/>
          </w:tcPr>
          <w:p w14:paraId="72AA2C72" w14:textId="77777777" w:rsidR="00357CEC" w:rsidRPr="001300A9" w:rsidRDefault="00357CEC" w:rsidP="00357CEC">
            <w:pPr>
              <w:pStyle w:val="Default"/>
              <w:rPr>
                <w:sz w:val="22"/>
                <w:szCs w:val="22"/>
              </w:rPr>
            </w:pPr>
          </w:p>
        </w:tc>
        <w:tc>
          <w:tcPr>
            <w:tcW w:w="815" w:type="dxa"/>
          </w:tcPr>
          <w:p w14:paraId="0577F419" w14:textId="77777777" w:rsidR="00357CEC" w:rsidRPr="001300A9" w:rsidRDefault="00357CEC" w:rsidP="00357CEC">
            <w:pPr>
              <w:pStyle w:val="Default"/>
              <w:rPr>
                <w:sz w:val="22"/>
                <w:szCs w:val="22"/>
              </w:rPr>
            </w:pPr>
          </w:p>
        </w:tc>
      </w:tr>
      <w:tr w:rsidR="00DD6EDC" w:rsidRPr="001300A9" w14:paraId="5F759FA5" w14:textId="77777777" w:rsidTr="360410BC">
        <w:tc>
          <w:tcPr>
            <w:tcW w:w="562" w:type="dxa"/>
          </w:tcPr>
          <w:p w14:paraId="48A1EEE1" w14:textId="77777777" w:rsidR="00357CEC" w:rsidRPr="001300A9" w:rsidRDefault="00357CEC" w:rsidP="00357CEC">
            <w:pPr>
              <w:pStyle w:val="Default"/>
              <w:rPr>
                <w:sz w:val="22"/>
                <w:szCs w:val="22"/>
              </w:rPr>
            </w:pPr>
            <w:r w:rsidRPr="001300A9">
              <w:rPr>
                <w:sz w:val="22"/>
                <w:szCs w:val="22"/>
              </w:rPr>
              <w:t>Príloha</w:t>
            </w:r>
          </w:p>
          <w:p w14:paraId="0755FDB1" w14:textId="77777777" w:rsidR="00357CEC" w:rsidRPr="001300A9" w:rsidRDefault="00357CEC" w:rsidP="00357CEC">
            <w:pPr>
              <w:pStyle w:val="Default"/>
              <w:rPr>
                <w:sz w:val="22"/>
                <w:szCs w:val="22"/>
              </w:rPr>
            </w:pPr>
            <w:r w:rsidRPr="001300A9">
              <w:rPr>
                <w:sz w:val="22"/>
                <w:szCs w:val="22"/>
              </w:rPr>
              <w:t>O: 4</w:t>
            </w:r>
          </w:p>
          <w:p w14:paraId="08F21B83" w14:textId="77777777" w:rsidR="00357CEC" w:rsidRPr="001300A9" w:rsidRDefault="00357CEC" w:rsidP="00357CEC">
            <w:pPr>
              <w:pStyle w:val="Default"/>
              <w:rPr>
                <w:sz w:val="22"/>
                <w:szCs w:val="22"/>
              </w:rPr>
            </w:pPr>
            <w:r w:rsidRPr="001300A9">
              <w:rPr>
                <w:sz w:val="22"/>
                <w:szCs w:val="22"/>
              </w:rPr>
              <w:t>P: b)</w:t>
            </w:r>
          </w:p>
        </w:tc>
        <w:tc>
          <w:tcPr>
            <w:tcW w:w="4820" w:type="dxa"/>
          </w:tcPr>
          <w:p w14:paraId="4B162A82" w14:textId="77777777" w:rsidR="00357CEC" w:rsidRPr="001300A9" w:rsidRDefault="00357CEC" w:rsidP="00357CEC">
            <w:pPr>
              <w:pStyle w:val="Default"/>
              <w:rPr>
                <w:sz w:val="22"/>
                <w:szCs w:val="22"/>
              </w:rPr>
            </w:pPr>
            <w:r w:rsidRPr="001300A9">
              <w:rPr>
                <w:sz w:val="22"/>
                <w:szCs w:val="22"/>
              </w:rPr>
              <w:t>v časti B oddiele „Monitorovanie emisií oxidu uhličitého“ sa vo štvrtom odseku posledná veta „Emisný faktor pre biomasu“ nahrádza takto:</w:t>
            </w:r>
          </w:p>
          <w:p w14:paraId="2C69A6BA" w14:textId="77777777" w:rsidR="00357CEC" w:rsidRPr="001300A9" w:rsidRDefault="00357CEC" w:rsidP="00357CEC">
            <w:pPr>
              <w:pStyle w:val="Default"/>
              <w:rPr>
                <w:sz w:val="22"/>
                <w:szCs w:val="22"/>
              </w:rPr>
            </w:pPr>
            <w:r w:rsidRPr="001300A9">
              <w:rPr>
                <w:sz w:val="22"/>
                <w:szCs w:val="22"/>
              </w:rPr>
              <w:t>„Emisný faktor pre biomasu, ktorá spĺňa kritériá udržateľnosti a kritériá týkajúce sa úspor emisií skleníkových plynov pri využívaní biomasy, ktoré sú stanovené v smernici (EÚ) 2018/2001, so všetkými potrebnými úpravami na uplatňovanie podľa tejto smernice, ako sa stanovuje vo vykonávacích aktoch uvedených v článku 14, sa rovná nule.“;</w:t>
            </w:r>
          </w:p>
        </w:tc>
        <w:tc>
          <w:tcPr>
            <w:tcW w:w="567" w:type="dxa"/>
          </w:tcPr>
          <w:p w14:paraId="6C2DFDD1" w14:textId="77777777" w:rsidR="00357CEC" w:rsidRPr="001300A9" w:rsidRDefault="00357CEC" w:rsidP="00357CEC">
            <w:pPr>
              <w:pStyle w:val="Default"/>
              <w:rPr>
                <w:sz w:val="22"/>
                <w:szCs w:val="22"/>
              </w:rPr>
            </w:pPr>
            <w:proofErr w:type="spellStart"/>
            <w:r w:rsidRPr="001300A9">
              <w:rPr>
                <w:sz w:val="22"/>
                <w:szCs w:val="22"/>
              </w:rPr>
              <w:t>n.a</w:t>
            </w:r>
            <w:proofErr w:type="spellEnd"/>
            <w:r w:rsidRPr="001300A9">
              <w:rPr>
                <w:sz w:val="22"/>
                <w:szCs w:val="22"/>
              </w:rPr>
              <w:t>.</w:t>
            </w:r>
          </w:p>
        </w:tc>
        <w:tc>
          <w:tcPr>
            <w:tcW w:w="283" w:type="dxa"/>
          </w:tcPr>
          <w:p w14:paraId="3B6F295F" w14:textId="77777777" w:rsidR="00357CEC" w:rsidRPr="001300A9" w:rsidRDefault="00357CEC" w:rsidP="00357CEC">
            <w:pPr>
              <w:pStyle w:val="Default"/>
              <w:rPr>
                <w:sz w:val="22"/>
                <w:szCs w:val="22"/>
              </w:rPr>
            </w:pPr>
          </w:p>
        </w:tc>
        <w:tc>
          <w:tcPr>
            <w:tcW w:w="567" w:type="dxa"/>
          </w:tcPr>
          <w:p w14:paraId="3292F176" w14:textId="77777777" w:rsidR="00357CEC" w:rsidRPr="001300A9" w:rsidRDefault="00357CEC" w:rsidP="00357CEC">
            <w:pPr>
              <w:pStyle w:val="Default"/>
              <w:rPr>
                <w:sz w:val="22"/>
                <w:szCs w:val="22"/>
              </w:rPr>
            </w:pPr>
          </w:p>
        </w:tc>
        <w:tc>
          <w:tcPr>
            <w:tcW w:w="4253" w:type="dxa"/>
          </w:tcPr>
          <w:p w14:paraId="4A460E70" w14:textId="77777777" w:rsidR="00357CEC" w:rsidRPr="001300A9" w:rsidRDefault="00357CEC" w:rsidP="00357CEC">
            <w:pPr>
              <w:pStyle w:val="Default"/>
              <w:rPr>
                <w:sz w:val="22"/>
                <w:szCs w:val="22"/>
              </w:rPr>
            </w:pPr>
          </w:p>
        </w:tc>
        <w:tc>
          <w:tcPr>
            <w:tcW w:w="567" w:type="dxa"/>
          </w:tcPr>
          <w:p w14:paraId="7CA4BEF8" w14:textId="77777777" w:rsidR="00357CEC" w:rsidRPr="001300A9" w:rsidRDefault="00357CEC" w:rsidP="00357CEC">
            <w:pPr>
              <w:pStyle w:val="Default"/>
              <w:rPr>
                <w:sz w:val="22"/>
                <w:szCs w:val="22"/>
              </w:rPr>
            </w:pPr>
          </w:p>
        </w:tc>
        <w:tc>
          <w:tcPr>
            <w:tcW w:w="1276" w:type="dxa"/>
          </w:tcPr>
          <w:p w14:paraId="573F1997" w14:textId="77777777" w:rsidR="00357CEC" w:rsidRPr="001300A9" w:rsidRDefault="00357CEC" w:rsidP="00357CEC">
            <w:pPr>
              <w:pStyle w:val="Default"/>
              <w:rPr>
                <w:sz w:val="22"/>
                <w:szCs w:val="22"/>
              </w:rPr>
            </w:pPr>
          </w:p>
        </w:tc>
        <w:tc>
          <w:tcPr>
            <w:tcW w:w="850" w:type="dxa"/>
          </w:tcPr>
          <w:p w14:paraId="2AC5AC78" w14:textId="77777777" w:rsidR="00357CEC" w:rsidRPr="001300A9" w:rsidRDefault="00357CEC" w:rsidP="00357CEC">
            <w:pPr>
              <w:pStyle w:val="Default"/>
              <w:rPr>
                <w:sz w:val="22"/>
                <w:szCs w:val="22"/>
              </w:rPr>
            </w:pPr>
          </w:p>
        </w:tc>
        <w:tc>
          <w:tcPr>
            <w:tcW w:w="815" w:type="dxa"/>
          </w:tcPr>
          <w:p w14:paraId="7C763FAC" w14:textId="77777777" w:rsidR="00357CEC" w:rsidRPr="001300A9" w:rsidRDefault="00357CEC" w:rsidP="00357CEC">
            <w:pPr>
              <w:pStyle w:val="Default"/>
              <w:rPr>
                <w:sz w:val="22"/>
                <w:szCs w:val="22"/>
              </w:rPr>
            </w:pPr>
          </w:p>
        </w:tc>
      </w:tr>
      <w:tr w:rsidR="00DD6EDC" w:rsidRPr="001300A9" w14:paraId="0AE78D21" w14:textId="77777777" w:rsidTr="360410BC">
        <w:tc>
          <w:tcPr>
            <w:tcW w:w="562" w:type="dxa"/>
          </w:tcPr>
          <w:p w14:paraId="3E7A6804" w14:textId="77777777" w:rsidR="00357CEC" w:rsidRPr="001300A9" w:rsidRDefault="00357CEC" w:rsidP="00357CEC">
            <w:pPr>
              <w:pStyle w:val="Default"/>
              <w:rPr>
                <w:sz w:val="22"/>
                <w:szCs w:val="22"/>
              </w:rPr>
            </w:pPr>
            <w:r w:rsidRPr="001300A9">
              <w:rPr>
                <w:sz w:val="22"/>
                <w:szCs w:val="22"/>
              </w:rPr>
              <w:t>Príloha</w:t>
            </w:r>
          </w:p>
          <w:p w14:paraId="78F52A94" w14:textId="77777777" w:rsidR="00357CEC" w:rsidRPr="001300A9" w:rsidRDefault="00357CEC" w:rsidP="00357CEC">
            <w:pPr>
              <w:pStyle w:val="Default"/>
              <w:rPr>
                <w:sz w:val="22"/>
                <w:szCs w:val="22"/>
              </w:rPr>
            </w:pPr>
            <w:r w:rsidRPr="001300A9">
              <w:rPr>
                <w:sz w:val="22"/>
                <w:szCs w:val="22"/>
              </w:rPr>
              <w:t>O: 4</w:t>
            </w:r>
          </w:p>
          <w:p w14:paraId="706F7AC1" w14:textId="77777777" w:rsidR="00357CEC" w:rsidRPr="001300A9" w:rsidRDefault="00357CEC" w:rsidP="00357CEC">
            <w:pPr>
              <w:pStyle w:val="Default"/>
              <w:rPr>
                <w:sz w:val="22"/>
                <w:szCs w:val="22"/>
              </w:rPr>
            </w:pPr>
            <w:r w:rsidRPr="001300A9">
              <w:rPr>
                <w:sz w:val="22"/>
                <w:szCs w:val="22"/>
              </w:rPr>
              <w:t>P: c)</w:t>
            </w:r>
          </w:p>
        </w:tc>
        <w:tc>
          <w:tcPr>
            <w:tcW w:w="4820" w:type="dxa"/>
          </w:tcPr>
          <w:p w14:paraId="7FC53C37" w14:textId="77777777" w:rsidR="00357CEC" w:rsidRPr="001300A9" w:rsidRDefault="00357CEC" w:rsidP="00357CEC">
            <w:pPr>
              <w:pStyle w:val="Default"/>
              <w:rPr>
                <w:sz w:val="22"/>
                <w:szCs w:val="22"/>
              </w:rPr>
            </w:pPr>
            <w:r w:rsidRPr="001300A9">
              <w:rPr>
                <w:sz w:val="22"/>
                <w:szCs w:val="22"/>
              </w:rPr>
              <w:t>ČASŤ C – Monitorovanie a nahlasovanie emisií zodpovedajúcich činnosti uvedenej v prílohe III</w:t>
            </w:r>
          </w:p>
          <w:p w14:paraId="4CA3FECB" w14:textId="77777777" w:rsidR="00357CEC" w:rsidRPr="001300A9" w:rsidRDefault="00357CEC" w:rsidP="00357CEC">
            <w:pPr>
              <w:pStyle w:val="Default"/>
              <w:rPr>
                <w:sz w:val="22"/>
                <w:szCs w:val="22"/>
              </w:rPr>
            </w:pPr>
            <w:r w:rsidRPr="001300A9">
              <w:rPr>
                <w:sz w:val="22"/>
                <w:szCs w:val="22"/>
              </w:rPr>
              <w:t>Monitorovanie emisií</w:t>
            </w:r>
          </w:p>
          <w:p w14:paraId="4A72927A" w14:textId="77777777" w:rsidR="00357CEC" w:rsidRPr="001300A9" w:rsidRDefault="00357CEC" w:rsidP="00357CEC">
            <w:pPr>
              <w:pStyle w:val="Default"/>
              <w:rPr>
                <w:sz w:val="22"/>
                <w:szCs w:val="22"/>
              </w:rPr>
            </w:pPr>
            <w:r w:rsidRPr="001300A9">
              <w:rPr>
                <w:sz w:val="22"/>
                <w:szCs w:val="22"/>
              </w:rPr>
              <w:t>Emisie sa monitorujú pomocou výpočtu.</w:t>
            </w:r>
          </w:p>
          <w:p w14:paraId="286A3F45" w14:textId="77777777" w:rsidR="00357CEC" w:rsidRPr="001300A9" w:rsidRDefault="00357CEC" w:rsidP="00357CEC">
            <w:pPr>
              <w:pStyle w:val="Default"/>
              <w:rPr>
                <w:sz w:val="22"/>
                <w:szCs w:val="22"/>
              </w:rPr>
            </w:pPr>
            <w:r w:rsidRPr="001300A9">
              <w:rPr>
                <w:sz w:val="22"/>
                <w:szCs w:val="22"/>
              </w:rPr>
              <w:t>Výpočet</w:t>
            </w:r>
          </w:p>
          <w:p w14:paraId="0F09F197" w14:textId="77777777" w:rsidR="00357CEC" w:rsidRPr="001300A9" w:rsidRDefault="00357CEC" w:rsidP="00357CEC">
            <w:pPr>
              <w:pStyle w:val="Default"/>
              <w:rPr>
                <w:sz w:val="22"/>
                <w:szCs w:val="22"/>
              </w:rPr>
            </w:pPr>
            <w:r w:rsidRPr="001300A9">
              <w:rPr>
                <w:sz w:val="22"/>
                <w:szCs w:val="22"/>
              </w:rPr>
              <w:t>Emisie sa vypočítajú pomocou tohto vzorca:</w:t>
            </w:r>
          </w:p>
          <w:p w14:paraId="0B85F830" w14:textId="77777777" w:rsidR="00357CEC" w:rsidRPr="001300A9" w:rsidRDefault="00357CEC" w:rsidP="00357CEC">
            <w:pPr>
              <w:pStyle w:val="Default"/>
              <w:rPr>
                <w:sz w:val="22"/>
                <w:szCs w:val="22"/>
              </w:rPr>
            </w:pPr>
            <w:r w:rsidRPr="001300A9">
              <w:rPr>
                <w:sz w:val="22"/>
                <w:szCs w:val="22"/>
              </w:rPr>
              <w:t>Palivo uvedené do daňového voľného obehu × emisný faktor</w:t>
            </w:r>
          </w:p>
          <w:p w14:paraId="2D8F041C" w14:textId="77777777" w:rsidR="00357CEC" w:rsidRPr="001300A9" w:rsidRDefault="00357CEC" w:rsidP="00357CEC">
            <w:pPr>
              <w:pStyle w:val="Default"/>
              <w:rPr>
                <w:sz w:val="22"/>
                <w:szCs w:val="22"/>
              </w:rPr>
            </w:pPr>
            <w:r w:rsidRPr="001300A9">
              <w:rPr>
                <w:sz w:val="22"/>
                <w:szCs w:val="22"/>
              </w:rPr>
              <w:t>Palivo uvedené do daňového voľného obehu zahŕňa množstvo paliva, ktoré regulovaný subjekt uviedol do daňového voľného obehu.</w:t>
            </w:r>
          </w:p>
          <w:p w14:paraId="629D6243" w14:textId="77777777" w:rsidR="00357CEC" w:rsidRPr="001300A9" w:rsidRDefault="00357CEC" w:rsidP="00357CEC">
            <w:pPr>
              <w:pStyle w:val="Default"/>
              <w:rPr>
                <w:sz w:val="22"/>
                <w:szCs w:val="22"/>
              </w:rPr>
            </w:pPr>
            <w:r w:rsidRPr="001300A9">
              <w:rPr>
                <w:sz w:val="22"/>
                <w:szCs w:val="22"/>
              </w:rPr>
              <w:t>Použijú sa štandardné emisné faktory IPCC prevzaté z usmernení IPCC pre inventúru na rok 2006 alebo z následných aktualizácií týchto usmernení, pokiaľ emisné faktory špecifické pre dané palivá určené nezávislými akreditovanými laboratóriami, ktoré používajú akceptované analytické metódy, nie sú presnejšie.</w:t>
            </w:r>
          </w:p>
          <w:p w14:paraId="4ACF981B" w14:textId="77777777" w:rsidR="00357CEC" w:rsidRPr="001300A9" w:rsidRDefault="00357CEC" w:rsidP="00357CEC">
            <w:pPr>
              <w:pStyle w:val="Default"/>
              <w:rPr>
                <w:sz w:val="22"/>
                <w:szCs w:val="22"/>
              </w:rPr>
            </w:pPr>
            <w:r w:rsidRPr="001300A9">
              <w:rPr>
                <w:sz w:val="22"/>
                <w:szCs w:val="22"/>
              </w:rPr>
              <w:t>Pre každý regulovaný subjekt a každé palivo sa urobí samostatný výpočet.</w:t>
            </w:r>
          </w:p>
          <w:p w14:paraId="190B0FA4" w14:textId="77777777" w:rsidR="00357CEC" w:rsidRPr="001300A9" w:rsidRDefault="00357CEC" w:rsidP="00357CEC">
            <w:pPr>
              <w:pStyle w:val="Default"/>
              <w:rPr>
                <w:sz w:val="22"/>
                <w:szCs w:val="22"/>
              </w:rPr>
            </w:pPr>
            <w:r w:rsidRPr="001300A9">
              <w:rPr>
                <w:sz w:val="22"/>
                <w:szCs w:val="22"/>
              </w:rPr>
              <w:t>Nahlasovanie emisií</w:t>
            </w:r>
          </w:p>
          <w:p w14:paraId="5863B329" w14:textId="77777777" w:rsidR="00357CEC" w:rsidRPr="001300A9" w:rsidRDefault="00357CEC" w:rsidP="00357CEC">
            <w:pPr>
              <w:pStyle w:val="Default"/>
              <w:rPr>
                <w:sz w:val="22"/>
                <w:szCs w:val="22"/>
              </w:rPr>
            </w:pPr>
            <w:r w:rsidRPr="001300A9">
              <w:rPr>
                <w:sz w:val="22"/>
                <w:szCs w:val="22"/>
              </w:rPr>
              <w:t>Každý regulovaný subjekt zahrnie do svojej správy tieto informácie:</w:t>
            </w:r>
          </w:p>
          <w:p w14:paraId="03DD08A9" w14:textId="77777777" w:rsidR="00357CEC" w:rsidRPr="001300A9" w:rsidRDefault="00357CEC" w:rsidP="00357CEC">
            <w:pPr>
              <w:pStyle w:val="Default"/>
              <w:numPr>
                <w:ilvl w:val="0"/>
                <w:numId w:val="12"/>
              </w:numPr>
              <w:rPr>
                <w:sz w:val="22"/>
                <w:szCs w:val="22"/>
              </w:rPr>
            </w:pPr>
            <w:r w:rsidRPr="001300A9">
              <w:rPr>
                <w:sz w:val="22"/>
                <w:szCs w:val="22"/>
              </w:rPr>
              <w:t>Údaje na účely identifikácie regulovaného subjektu vrátane:</w:t>
            </w:r>
          </w:p>
          <w:p w14:paraId="51A1E9ED" w14:textId="77777777" w:rsidR="00357CEC" w:rsidRPr="001300A9" w:rsidRDefault="00357CEC" w:rsidP="00357CEC">
            <w:pPr>
              <w:pStyle w:val="Default"/>
              <w:rPr>
                <w:sz w:val="22"/>
                <w:szCs w:val="22"/>
              </w:rPr>
            </w:pPr>
            <w:r w:rsidRPr="001300A9">
              <w:rPr>
                <w:sz w:val="22"/>
                <w:szCs w:val="22"/>
              </w:rPr>
              <w:t>– názvu regulovaného subjektu;</w:t>
            </w:r>
          </w:p>
          <w:p w14:paraId="4B97FB38" w14:textId="77777777" w:rsidR="00357CEC" w:rsidRPr="001300A9" w:rsidRDefault="00357CEC" w:rsidP="00357CEC">
            <w:pPr>
              <w:pStyle w:val="Default"/>
              <w:rPr>
                <w:sz w:val="22"/>
                <w:szCs w:val="22"/>
              </w:rPr>
            </w:pPr>
            <w:r w:rsidRPr="001300A9">
              <w:rPr>
                <w:sz w:val="22"/>
                <w:szCs w:val="22"/>
              </w:rPr>
              <w:t>– jeho adresy vrátane PSČ a krajiny;</w:t>
            </w:r>
          </w:p>
          <w:p w14:paraId="208D702F" w14:textId="77777777" w:rsidR="00357CEC" w:rsidRPr="001300A9" w:rsidRDefault="00357CEC" w:rsidP="00357CEC">
            <w:pPr>
              <w:pStyle w:val="Default"/>
              <w:rPr>
                <w:sz w:val="22"/>
                <w:szCs w:val="22"/>
              </w:rPr>
            </w:pPr>
            <w:r w:rsidRPr="001300A9">
              <w:rPr>
                <w:sz w:val="22"/>
                <w:szCs w:val="22"/>
              </w:rPr>
              <w:t>– druhu palív, ktoré daný subjekt uvádza do daňového voľného obehu, ako aj jeho činností, prostredníctvom ktorých dané palivá uvádza do daňového voľného obehu vrátane použitej technológie;</w:t>
            </w:r>
          </w:p>
          <w:p w14:paraId="6D157092" w14:textId="77777777" w:rsidR="00357CEC" w:rsidRPr="001300A9" w:rsidRDefault="00357CEC" w:rsidP="00357CEC">
            <w:pPr>
              <w:pStyle w:val="Default"/>
              <w:rPr>
                <w:sz w:val="22"/>
                <w:szCs w:val="22"/>
              </w:rPr>
            </w:pPr>
            <w:r w:rsidRPr="001300A9">
              <w:rPr>
                <w:sz w:val="22"/>
                <w:szCs w:val="22"/>
              </w:rPr>
              <w:t>– adresy, telefónneho a faxového čísla a e-mailu kontaktnej osoby; a</w:t>
            </w:r>
          </w:p>
          <w:p w14:paraId="6A8C8567" w14:textId="77777777" w:rsidR="00357CEC" w:rsidRPr="001300A9" w:rsidRDefault="00357CEC" w:rsidP="00357CEC">
            <w:pPr>
              <w:pStyle w:val="Default"/>
              <w:rPr>
                <w:sz w:val="22"/>
                <w:szCs w:val="22"/>
              </w:rPr>
            </w:pPr>
            <w:r w:rsidRPr="001300A9">
              <w:rPr>
                <w:sz w:val="22"/>
                <w:szCs w:val="22"/>
              </w:rPr>
              <w:t>– mena/názvu majiteľa regulovaného subjektu a akejkoľvek materskej spoločnosti.</w:t>
            </w:r>
          </w:p>
          <w:p w14:paraId="2BE69DB5" w14:textId="77777777" w:rsidR="00357CEC" w:rsidRPr="001300A9" w:rsidRDefault="00357CEC" w:rsidP="00357CEC">
            <w:pPr>
              <w:pStyle w:val="Default"/>
              <w:numPr>
                <w:ilvl w:val="0"/>
                <w:numId w:val="12"/>
              </w:numPr>
              <w:rPr>
                <w:sz w:val="22"/>
                <w:szCs w:val="22"/>
              </w:rPr>
            </w:pPr>
            <w:r w:rsidRPr="001300A9">
              <w:rPr>
                <w:sz w:val="22"/>
                <w:szCs w:val="22"/>
              </w:rPr>
              <w:t>Pri každom druhu paliva uvedeného do daňového voľného obehu, ktoré sa používa na spaľovanie v odvetviach uvedených v prílohe III, v prípade ktorého sa vypočítavajú emisie, ide o tieto údaje:</w:t>
            </w:r>
          </w:p>
          <w:p w14:paraId="493CE1B3" w14:textId="77777777" w:rsidR="00357CEC" w:rsidRPr="001300A9" w:rsidRDefault="00357CEC" w:rsidP="00357CEC">
            <w:pPr>
              <w:pStyle w:val="Default"/>
              <w:rPr>
                <w:sz w:val="22"/>
                <w:szCs w:val="22"/>
              </w:rPr>
            </w:pPr>
            <w:r w:rsidRPr="001300A9">
              <w:rPr>
                <w:sz w:val="22"/>
                <w:szCs w:val="22"/>
              </w:rPr>
              <w:t>– množstvo paliva uvedeného do daňového voľného obehu,</w:t>
            </w:r>
          </w:p>
          <w:p w14:paraId="3FAB6BAA" w14:textId="77777777" w:rsidR="00357CEC" w:rsidRPr="001300A9" w:rsidRDefault="00357CEC" w:rsidP="00357CEC">
            <w:pPr>
              <w:pStyle w:val="Default"/>
              <w:rPr>
                <w:sz w:val="22"/>
                <w:szCs w:val="22"/>
              </w:rPr>
            </w:pPr>
            <w:r w:rsidRPr="001300A9">
              <w:rPr>
                <w:sz w:val="22"/>
                <w:szCs w:val="22"/>
              </w:rPr>
              <w:t>– emisné faktory;</w:t>
            </w:r>
          </w:p>
          <w:p w14:paraId="2E4E3838" w14:textId="77777777" w:rsidR="00357CEC" w:rsidRPr="001300A9" w:rsidRDefault="00357CEC" w:rsidP="00357CEC">
            <w:pPr>
              <w:pStyle w:val="Default"/>
              <w:rPr>
                <w:sz w:val="22"/>
                <w:szCs w:val="22"/>
              </w:rPr>
            </w:pPr>
            <w:r w:rsidRPr="001300A9">
              <w:rPr>
                <w:sz w:val="22"/>
                <w:szCs w:val="22"/>
              </w:rPr>
              <w:t>– celkové emisie;</w:t>
            </w:r>
          </w:p>
          <w:p w14:paraId="09CF7F8F" w14:textId="77777777" w:rsidR="00357CEC" w:rsidRPr="001300A9" w:rsidRDefault="00357CEC" w:rsidP="00357CEC">
            <w:pPr>
              <w:pStyle w:val="Default"/>
              <w:rPr>
                <w:sz w:val="22"/>
                <w:szCs w:val="22"/>
              </w:rPr>
            </w:pPr>
            <w:r w:rsidRPr="001300A9">
              <w:rPr>
                <w:sz w:val="22"/>
                <w:szCs w:val="22"/>
              </w:rPr>
              <w:t>– konečné použitie alebo použitia paliva uvedeného do daňového voľného obehu; a</w:t>
            </w:r>
          </w:p>
          <w:p w14:paraId="785D41CD" w14:textId="77777777" w:rsidR="00357CEC" w:rsidRPr="001300A9" w:rsidRDefault="00357CEC" w:rsidP="00357CEC">
            <w:pPr>
              <w:pStyle w:val="Default"/>
              <w:rPr>
                <w:sz w:val="22"/>
                <w:szCs w:val="22"/>
              </w:rPr>
            </w:pPr>
            <w:r w:rsidRPr="001300A9">
              <w:rPr>
                <w:sz w:val="22"/>
                <w:szCs w:val="22"/>
              </w:rPr>
              <w:t>– neistota.</w:t>
            </w:r>
          </w:p>
          <w:p w14:paraId="2CB23FCC" w14:textId="77777777" w:rsidR="00357CEC" w:rsidRPr="001300A9" w:rsidRDefault="00357CEC" w:rsidP="00357CEC">
            <w:pPr>
              <w:pStyle w:val="Default"/>
              <w:rPr>
                <w:sz w:val="22"/>
                <w:szCs w:val="22"/>
              </w:rPr>
            </w:pPr>
            <w:r w:rsidRPr="001300A9">
              <w:rPr>
                <w:sz w:val="22"/>
                <w:szCs w:val="22"/>
              </w:rPr>
              <w:t>Členské štáty prijmú opatrenia na koordináciu požiadaviek týkajúcich sa nahlasovania s inými existujúcimi požiadavkami na nahlasovanie s cieľom minimalizovať záťaž podnikov spojenú s nahlasovaním informácií.“</w:t>
            </w:r>
          </w:p>
        </w:tc>
        <w:tc>
          <w:tcPr>
            <w:tcW w:w="567" w:type="dxa"/>
          </w:tcPr>
          <w:p w14:paraId="4D46455B" w14:textId="77777777" w:rsidR="00357CEC" w:rsidRPr="001300A9" w:rsidRDefault="00357CEC" w:rsidP="00357CEC">
            <w:pPr>
              <w:pStyle w:val="Default"/>
              <w:rPr>
                <w:sz w:val="22"/>
                <w:szCs w:val="22"/>
              </w:rPr>
            </w:pPr>
            <w:proofErr w:type="spellStart"/>
            <w:r w:rsidRPr="001300A9">
              <w:rPr>
                <w:sz w:val="22"/>
                <w:szCs w:val="22"/>
              </w:rPr>
              <w:t>n.a</w:t>
            </w:r>
            <w:proofErr w:type="spellEnd"/>
            <w:r w:rsidRPr="001300A9">
              <w:rPr>
                <w:sz w:val="22"/>
                <w:szCs w:val="22"/>
              </w:rPr>
              <w:t>.</w:t>
            </w:r>
          </w:p>
        </w:tc>
        <w:tc>
          <w:tcPr>
            <w:tcW w:w="283" w:type="dxa"/>
          </w:tcPr>
          <w:p w14:paraId="1BDFA281" w14:textId="77777777" w:rsidR="00357CEC" w:rsidRPr="001300A9" w:rsidRDefault="00357CEC" w:rsidP="00357CEC">
            <w:pPr>
              <w:pStyle w:val="Default"/>
              <w:rPr>
                <w:sz w:val="22"/>
                <w:szCs w:val="22"/>
              </w:rPr>
            </w:pPr>
          </w:p>
        </w:tc>
        <w:tc>
          <w:tcPr>
            <w:tcW w:w="567" w:type="dxa"/>
          </w:tcPr>
          <w:p w14:paraId="6D69FEA9" w14:textId="77777777" w:rsidR="00357CEC" w:rsidRPr="001300A9" w:rsidRDefault="00357CEC" w:rsidP="00357CEC">
            <w:pPr>
              <w:pStyle w:val="Default"/>
              <w:rPr>
                <w:sz w:val="22"/>
                <w:szCs w:val="22"/>
              </w:rPr>
            </w:pPr>
          </w:p>
        </w:tc>
        <w:tc>
          <w:tcPr>
            <w:tcW w:w="4253" w:type="dxa"/>
          </w:tcPr>
          <w:p w14:paraId="165B8465" w14:textId="77777777" w:rsidR="00357CEC" w:rsidRPr="001300A9" w:rsidRDefault="00357CEC" w:rsidP="00357CEC">
            <w:pPr>
              <w:pStyle w:val="Default"/>
              <w:rPr>
                <w:sz w:val="22"/>
                <w:szCs w:val="22"/>
              </w:rPr>
            </w:pPr>
          </w:p>
        </w:tc>
        <w:tc>
          <w:tcPr>
            <w:tcW w:w="567" w:type="dxa"/>
          </w:tcPr>
          <w:p w14:paraId="4FF2D8DA" w14:textId="77777777" w:rsidR="00357CEC" w:rsidRPr="001300A9" w:rsidRDefault="00357CEC" w:rsidP="00357CEC">
            <w:pPr>
              <w:pStyle w:val="Default"/>
              <w:rPr>
                <w:sz w:val="22"/>
                <w:szCs w:val="22"/>
              </w:rPr>
            </w:pPr>
          </w:p>
        </w:tc>
        <w:tc>
          <w:tcPr>
            <w:tcW w:w="1276" w:type="dxa"/>
          </w:tcPr>
          <w:p w14:paraId="32760BF2" w14:textId="77777777" w:rsidR="00357CEC" w:rsidRPr="001300A9" w:rsidRDefault="00357CEC" w:rsidP="00357CEC">
            <w:pPr>
              <w:pStyle w:val="Default"/>
              <w:rPr>
                <w:sz w:val="22"/>
                <w:szCs w:val="22"/>
              </w:rPr>
            </w:pPr>
          </w:p>
        </w:tc>
        <w:tc>
          <w:tcPr>
            <w:tcW w:w="850" w:type="dxa"/>
          </w:tcPr>
          <w:p w14:paraId="75B51A34" w14:textId="77777777" w:rsidR="00357CEC" w:rsidRPr="001300A9" w:rsidRDefault="00357CEC" w:rsidP="00357CEC">
            <w:pPr>
              <w:pStyle w:val="Default"/>
              <w:rPr>
                <w:sz w:val="22"/>
                <w:szCs w:val="22"/>
              </w:rPr>
            </w:pPr>
          </w:p>
        </w:tc>
        <w:tc>
          <w:tcPr>
            <w:tcW w:w="815" w:type="dxa"/>
          </w:tcPr>
          <w:p w14:paraId="3FBB2E2F" w14:textId="77777777" w:rsidR="00357CEC" w:rsidRPr="001300A9" w:rsidRDefault="00357CEC" w:rsidP="00357CEC">
            <w:pPr>
              <w:pStyle w:val="Default"/>
              <w:rPr>
                <w:sz w:val="22"/>
                <w:szCs w:val="22"/>
              </w:rPr>
            </w:pPr>
          </w:p>
        </w:tc>
      </w:tr>
      <w:tr w:rsidR="00DD6EDC" w:rsidRPr="001300A9" w14:paraId="06E04FC5" w14:textId="77777777" w:rsidTr="360410BC">
        <w:tc>
          <w:tcPr>
            <w:tcW w:w="562" w:type="dxa"/>
          </w:tcPr>
          <w:p w14:paraId="701DEC79" w14:textId="77777777" w:rsidR="00357CEC" w:rsidRPr="001300A9" w:rsidRDefault="00357CEC" w:rsidP="00357CEC">
            <w:pPr>
              <w:pStyle w:val="Default"/>
              <w:rPr>
                <w:sz w:val="22"/>
                <w:szCs w:val="22"/>
              </w:rPr>
            </w:pPr>
            <w:r w:rsidRPr="001300A9">
              <w:rPr>
                <w:sz w:val="22"/>
                <w:szCs w:val="22"/>
              </w:rPr>
              <w:t>Príloha</w:t>
            </w:r>
          </w:p>
          <w:p w14:paraId="4705D4B8" w14:textId="77777777" w:rsidR="00357CEC" w:rsidRPr="001300A9" w:rsidRDefault="00357CEC" w:rsidP="00357CEC">
            <w:pPr>
              <w:pStyle w:val="Default"/>
              <w:rPr>
                <w:sz w:val="22"/>
                <w:szCs w:val="22"/>
              </w:rPr>
            </w:pPr>
            <w:r w:rsidRPr="001300A9">
              <w:rPr>
                <w:sz w:val="22"/>
                <w:szCs w:val="22"/>
              </w:rPr>
              <w:t>O: 5</w:t>
            </w:r>
          </w:p>
        </w:tc>
        <w:tc>
          <w:tcPr>
            <w:tcW w:w="4820" w:type="dxa"/>
          </w:tcPr>
          <w:p w14:paraId="45BE6CF0" w14:textId="77777777" w:rsidR="00357CEC" w:rsidRPr="001300A9" w:rsidRDefault="00357CEC" w:rsidP="00357CEC">
            <w:pPr>
              <w:pStyle w:val="Default"/>
              <w:rPr>
                <w:sz w:val="22"/>
                <w:szCs w:val="22"/>
              </w:rPr>
            </w:pPr>
            <w:r w:rsidRPr="001300A9">
              <w:rPr>
                <w:sz w:val="22"/>
                <w:szCs w:val="22"/>
              </w:rPr>
              <w:t>ČASŤ C – Overovanie emisií zodpovedajúcich činnosti uvedenej v prílohe III</w:t>
            </w:r>
          </w:p>
          <w:p w14:paraId="356601B7" w14:textId="77777777" w:rsidR="00357CEC" w:rsidRPr="001300A9" w:rsidRDefault="00357CEC" w:rsidP="00357CEC">
            <w:pPr>
              <w:pStyle w:val="Default"/>
              <w:rPr>
                <w:sz w:val="22"/>
                <w:szCs w:val="22"/>
              </w:rPr>
            </w:pPr>
            <w:r w:rsidRPr="001300A9">
              <w:rPr>
                <w:sz w:val="22"/>
                <w:szCs w:val="22"/>
              </w:rPr>
              <w:t>Všeobecné zásady</w:t>
            </w:r>
          </w:p>
          <w:p w14:paraId="255C8ABF" w14:textId="77777777" w:rsidR="00357CEC" w:rsidRPr="001300A9" w:rsidRDefault="00357CEC" w:rsidP="00357CEC">
            <w:pPr>
              <w:pStyle w:val="Default"/>
              <w:rPr>
                <w:sz w:val="22"/>
                <w:szCs w:val="22"/>
              </w:rPr>
            </w:pPr>
            <w:r w:rsidRPr="001300A9">
              <w:rPr>
                <w:sz w:val="22"/>
                <w:szCs w:val="22"/>
              </w:rPr>
              <w:t>1. Emisie zodpovedajúce činnosti uvedenej v prílohe III podliehajú overovaniu.</w:t>
            </w:r>
          </w:p>
          <w:p w14:paraId="6A437CE1" w14:textId="77777777" w:rsidR="00357CEC" w:rsidRPr="001300A9" w:rsidRDefault="00357CEC" w:rsidP="00357CEC">
            <w:pPr>
              <w:pStyle w:val="Default"/>
              <w:rPr>
                <w:sz w:val="22"/>
                <w:szCs w:val="22"/>
              </w:rPr>
            </w:pPr>
            <w:r w:rsidRPr="001300A9">
              <w:rPr>
                <w:sz w:val="22"/>
                <w:szCs w:val="22"/>
              </w:rPr>
              <w:t>2. Súčasťou procesu overovania je posúdenie správy podľa článku 14 ods. 3 a monitorovania počas predchádzajúceho roku. V rámci uvedeného procesu sa rieši otázka spoľahlivosti, dôveryhodnosti a presnosti systémov monitorovania a nahlasovaných údajov a informácií o emisiách, a to najmä údajov a informácií týkajúcich sa:</w:t>
            </w:r>
          </w:p>
          <w:p w14:paraId="3A1AA61F" w14:textId="77777777" w:rsidR="00357CEC" w:rsidRPr="001300A9" w:rsidRDefault="00357CEC" w:rsidP="00357CEC">
            <w:pPr>
              <w:pStyle w:val="Default"/>
              <w:rPr>
                <w:sz w:val="22"/>
                <w:szCs w:val="22"/>
              </w:rPr>
            </w:pPr>
            <w:r w:rsidRPr="001300A9">
              <w:rPr>
                <w:sz w:val="22"/>
                <w:szCs w:val="22"/>
              </w:rPr>
              <w:t>a) nahlásených palív, ktoré sa uviedli do daňového voľného obehu, a súvisiacich výpočtov;</w:t>
            </w:r>
          </w:p>
          <w:p w14:paraId="2B63B9B2" w14:textId="77777777" w:rsidR="00357CEC" w:rsidRPr="001300A9" w:rsidRDefault="00357CEC" w:rsidP="00357CEC">
            <w:pPr>
              <w:pStyle w:val="Default"/>
              <w:rPr>
                <w:sz w:val="22"/>
                <w:szCs w:val="22"/>
              </w:rPr>
            </w:pPr>
            <w:r w:rsidRPr="001300A9">
              <w:rPr>
                <w:sz w:val="22"/>
                <w:szCs w:val="22"/>
              </w:rPr>
              <w:t>b) výberu a uplatnenia emisných faktorov;</w:t>
            </w:r>
          </w:p>
          <w:p w14:paraId="2BD7B19D" w14:textId="77777777" w:rsidR="00357CEC" w:rsidRPr="001300A9" w:rsidRDefault="00357CEC" w:rsidP="00357CEC">
            <w:pPr>
              <w:pStyle w:val="Default"/>
              <w:rPr>
                <w:sz w:val="22"/>
                <w:szCs w:val="22"/>
              </w:rPr>
            </w:pPr>
            <w:r w:rsidRPr="001300A9">
              <w:rPr>
                <w:sz w:val="22"/>
                <w:szCs w:val="22"/>
              </w:rPr>
              <w:t>c) výpočtov vedúcich k určeniu celkových emisií.</w:t>
            </w:r>
          </w:p>
          <w:p w14:paraId="0CC5A69C" w14:textId="77777777" w:rsidR="00357CEC" w:rsidRPr="001300A9" w:rsidRDefault="00357CEC" w:rsidP="00357CEC">
            <w:pPr>
              <w:pStyle w:val="Default"/>
              <w:rPr>
                <w:sz w:val="22"/>
                <w:szCs w:val="22"/>
              </w:rPr>
            </w:pPr>
            <w:r w:rsidRPr="001300A9">
              <w:rPr>
                <w:sz w:val="22"/>
                <w:szCs w:val="22"/>
              </w:rPr>
              <w:t>3. Nahlásené emisie sa môžu potvrdiť len vtedy, ak dané emisie možno na základe spoľahlivých a dôveryhodných údajov a informácií určiť s vysokým stupňom istoty. V záujme zabezpečenia vysokej miery istoty je potrebné, aby regulovaný subjekt preukázal, že:</w:t>
            </w:r>
          </w:p>
          <w:p w14:paraId="15956898" w14:textId="77777777" w:rsidR="00357CEC" w:rsidRPr="001300A9" w:rsidRDefault="00357CEC" w:rsidP="00357CEC">
            <w:pPr>
              <w:pStyle w:val="Default"/>
              <w:rPr>
                <w:sz w:val="22"/>
                <w:szCs w:val="22"/>
              </w:rPr>
            </w:pPr>
            <w:r w:rsidRPr="001300A9">
              <w:rPr>
                <w:sz w:val="22"/>
                <w:szCs w:val="22"/>
              </w:rPr>
              <w:t>a) nahlasované údaje neobsahujú nezrovnalosti;</w:t>
            </w:r>
          </w:p>
          <w:p w14:paraId="1FDA525B" w14:textId="77777777" w:rsidR="00357CEC" w:rsidRPr="001300A9" w:rsidRDefault="00357CEC" w:rsidP="00357CEC">
            <w:pPr>
              <w:pStyle w:val="Default"/>
              <w:rPr>
                <w:sz w:val="22"/>
                <w:szCs w:val="22"/>
              </w:rPr>
            </w:pPr>
            <w:r w:rsidRPr="001300A9">
              <w:rPr>
                <w:sz w:val="22"/>
                <w:szCs w:val="22"/>
              </w:rPr>
              <w:t>b) zhromažďovanie údajov sa vykonalo v súlade s uplatniteľnými vedeckými normami; a</w:t>
            </w:r>
          </w:p>
          <w:p w14:paraId="15963D4F" w14:textId="77777777" w:rsidR="00357CEC" w:rsidRPr="001300A9" w:rsidRDefault="00357CEC" w:rsidP="00357CEC">
            <w:pPr>
              <w:pStyle w:val="Default"/>
              <w:rPr>
                <w:sz w:val="22"/>
                <w:szCs w:val="22"/>
              </w:rPr>
            </w:pPr>
            <w:r w:rsidRPr="001300A9">
              <w:rPr>
                <w:sz w:val="22"/>
                <w:szCs w:val="22"/>
              </w:rPr>
              <w:t>c) príslušné záznamy regulovaného subjektu sú úplné a konzistentné.</w:t>
            </w:r>
          </w:p>
          <w:p w14:paraId="3FBAC7C8" w14:textId="77777777" w:rsidR="00357CEC" w:rsidRPr="001300A9" w:rsidRDefault="00357CEC" w:rsidP="00357CEC">
            <w:pPr>
              <w:pStyle w:val="Default"/>
              <w:rPr>
                <w:sz w:val="22"/>
                <w:szCs w:val="22"/>
              </w:rPr>
            </w:pPr>
            <w:r w:rsidRPr="001300A9">
              <w:rPr>
                <w:sz w:val="22"/>
                <w:szCs w:val="22"/>
              </w:rPr>
              <w:t>4. Overovateľ musí mať prístup do všetkých lokalít a ku všetkým informáciám, ktoré sa týkajú predmetu overovania.</w:t>
            </w:r>
          </w:p>
          <w:p w14:paraId="7B8F1374" w14:textId="77777777" w:rsidR="00357CEC" w:rsidRPr="001300A9" w:rsidRDefault="00357CEC" w:rsidP="00357CEC">
            <w:pPr>
              <w:pStyle w:val="Default"/>
              <w:rPr>
                <w:sz w:val="22"/>
                <w:szCs w:val="22"/>
              </w:rPr>
            </w:pPr>
            <w:r w:rsidRPr="001300A9">
              <w:rPr>
                <w:sz w:val="22"/>
                <w:szCs w:val="22"/>
              </w:rPr>
              <w:t>5. Overovateľ musí zohľadniť, či je regulovaný subjekt registrovaný v schéme Únie pre environmentálne manažérstvo a audit (EMAS).</w:t>
            </w:r>
          </w:p>
          <w:p w14:paraId="3AEA3424" w14:textId="77777777" w:rsidR="00357CEC" w:rsidRPr="001300A9" w:rsidRDefault="00357CEC" w:rsidP="00357CEC">
            <w:pPr>
              <w:pStyle w:val="Default"/>
              <w:rPr>
                <w:sz w:val="22"/>
                <w:szCs w:val="22"/>
              </w:rPr>
            </w:pPr>
            <w:r w:rsidRPr="001300A9">
              <w:rPr>
                <w:sz w:val="22"/>
                <w:szCs w:val="22"/>
              </w:rPr>
              <w:t>Metodika</w:t>
            </w:r>
          </w:p>
          <w:p w14:paraId="45DF0B3D" w14:textId="77777777" w:rsidR="00357CEC" w:rsidRPr="001300A9" w:rsidRDefault="00357CEC" w:rsidP="00357CEC">
            <w:pPr>
              <w:pStyle w:val="Default"/>
              <w:rPr>
                <w:sz w:val="22"/>
                <w:szCs w:val="22"/>
              </w:rPr>
            </w:pPr>
            <w:r w:rsidRPr="001300A9">
              <w:rPr>
                <w:sz w:val="22"/>
                <w:szCs w:val="22"/>
              </w:rPr>
              <w:t>Strategická analýza</w:t>
            </w:r>
          </w:p>
          <w:p w14:paraId="18BF0BEA" w14:textId="77777777" w:rsidR="00357CEC" w:rsidRPr="001300A9" w:rsidRDefault="00357CEC" w:rsidP="00357CEC">
            <w:pPr>
              <w:pStyle w:val="Default"/>
              <w:rPr>
                <w:sz w:val="22"/>
                <w:szCs w:val="22"/>
              </w:rPr>
            </w:pPr>
            <w:r w:rsidRPr="001300A9">
              <w:rPr>
                <w:sz w:val="22"/>
                <w:szCs w:val="22"/>
              </w:rPr>
              <w:t>6. Pri overovaní sa musí vychádzať zo strategickej analýzy všetkých množstiev palív, ktoré do daňového voľného obehu uviedol regulovaný subjekt. Vyžaduje si to, aby mal overovateľ prehľad o všetkých činnostiach, prostredníctvom ktorých regulovaný subjekt uvádza dané palivá do daňového voľného obehu, ako aj o ich významnosti z hľadiska emisií.</w:t>
            </w:r>
          </w:p>
          <w:p w14:paraId="7438C0EF" w14:textId="77777777" w:rsidR="00357CEC" w:rsidRPr="001300A9" w:rsidRDefault="00357CEC" w:rsidP="00357CEC">
            <w:pPr>
              <w:pStyle w:val="Default"/>
              <w:rPr>
                <w:sz w:val="22"/>
                <w:szCs w:val="22"/>
              </w:rPr>
            </w:pPr>
            <w:r w:rsidRPr="001300A9">
              <w:rPr>
                <w:sz w:val="22"/>
                <w:szCs w:val="22"/>
              </w:rPr>
              <w:t>Analýza procesov</w:t>
            </w:r>
          </w:p>
          <w:p w14:paraId="404E821E" w14:textId="77777777" w:rsidR="00357CEC" w:rsidRPr="001300A9" w:rsidRDefault="00357CEC" w:rsidP="00357CEC">
            <w:pPr>
              <w:pStyle w:val="Default"/>
              <w:rPr>
                <w:sz w:val="22"/>
                <w:szCs w:val="22"/>
              </w:rPr>
            </w:pPr>
            <w:r w:rsidRPr="001300A9">
              <w:rPr>
                <w:sz w:val="22"/>
                <w:szCs w:val="22"/>
              </w:rPr>
              <w:t>7. Overovanie predložených údajov a informácií sa vo vhodných prípadoch uskutočňuje v lokalite regulovaného subjektu. Overovateľ použije kontroly na mieste, aby určil spoľahlivosť nahlasovaných údajov a informácií.</w:t>
            </w:r>
          </w:p>
          <w:p w14:paraId="1EE284F4" w14:textId="77777777" w:rsidR="00357CEC" w:rsidRPr="001300A9" w:rsidRDefault="00357CEC" w:rsidP="00357CEC">
            <w:pPr>
              <w:pStyle w:val="Default"/>
              <w:rPr>
                <w:sz w:val="22"/>
                <w:szCs w:val="22"/>
              </w:rPr>
            </w:pPr>
            <w:r w:rsidRPr="001300A9">
              <w:rPr>
                <w:sz w:val="22"/>
                <w:szCs w:val="22"/>
              </w:rPr>
              <w:t>Analýza rizika</w:t>
            </w:r>
          </w:p>
          <w:p w14:paraId="73134620" w14:textId="77777777" w:rsidR="00357CEC" w:rsidRPr="001300A9" w:rsidRDefault="00357CEC" w:rsidP="00357CEC">
            <w:pPr>
              <w:pStyle w:val="Default"/>
              <w:rPr>
                <w:sz w:val="22"/>
                <w:szCs w:val="22"/>
              </w:rPr>
            </w:pPr>
            <w:r w:rsidRPr="001300A9">
              <w:rPr>
                <w:sz w:val="22"/>
                <w:szCs w:val="22"/>
              </w:rPr>
              <w:t>8. Overovateľ vyhodnotí všetky spôsoby, prostredníctvom ktorých regulovaný subjekt uvádza palivá do daňového voľného obehu, a to so zameraním na overenie spoľahlivosti údajov o celkových emisiách regulovaného subjektu.</w:t>
            </w:r>
          </w:p>
          <w:p w14:paraId="45763063" w14:textId="77777777" w:rsidR="00357CEC" w:rsidRPr="001300A9" w:rsidRDefault="00357CEC" w:rsidP="00357CEC">
            <w:pPr>
              <w:pStyle w:val="Default"/>
              <w:rPr>
                <w:sz w:val="22"/>
                <w:szCs w:val="22"/>
              </w:rPr>
            </w:pPr>
            <w:r w:rsidRPr="001300A9">
              <w:rPr>
                <w:sz w:val="22"/>
                <w:szCs w:val="22"/>
              </w:rPr>
              <w:t>9. Na základe tejto analýzy overovateľ explicitne určí každý prvok s vysokým rizikom výskytu chýb a ďalšie aspekty postupu monitorovania a nahlasovania, pri ktorých existuje pravdepodobnosť, že môžu prispieť k výskytu chýb pri určovaní celkových emisií. Patria sem predovšetkým výpočty potrebné na určenie úrovne emisií z jednotlivých zdrojov. Osobitnú pozornosť treba venovať uvedeným prvkom s vysokým rizikom výskytu chýb a spomínaným aspektom postupu monitorovania.</w:t>
            </w:r>
          </w:p>
          <w:p w14:paraId="622B1C0E" w14:textId="77777777" w:rsidR="00357CEC" w:rsidRPr="001300A9" w:rsidRDefault="00357CEC" w:rsidP="00357CEC">
            <w:pPr>
              <w:pStyle w:val="Default"/>
              <w:rPr>
                <w:sz w:val="22"/>
                <w:szCs w:val="22"/>
              </w:rPr>
            </w:pPr>
            <w:r w:rsidRPr="001300A9">
              <w:rPr>
                <w:sz w:val="22"/>
                <w:szCs w:val="22"/>
              </w:rPr>
              <w:t>10. Overovateľ musí vziať do úvahy všetky metódy účinnej kontroly rizika, ktoré regulovaný subjekt používa na minimalizovanie stupňa neistoty.</w:t>
            </w:r>
          </w:p>
          <w:p w14:paraId="2AE039FA" w14:textId="77777777" w:rsidR="00357CEC" w:rsidRPr="001300A9" w:rsidRDefault="00357CEC" w:rsidP="00357CEC">
            <w:pPr>
              <w:pStyle w:val="Default"/>
              <w:rPr>
                <w:sz w:val="22"/>
                <w:szCs w:val="22"/>
              </w:rPr>
            </w:pPr>
            <w:r w:rsidRPr="001300A9">
              <w:rPr>
                <w:sz w:val="22"/>
                <w:szCs w:val="22"/>
              </w:rPr>
              <w:t>Správa</w:t>
            </w:r>
          </w:p>
          <w:p w14:paraId="771CED14" w14:textId="77777777" w:rsidR="00357CEC" w:rsidRPr="001300A9" w:rsidRDefault="00357CEC" w:rsidP="00357CEC">
            <w:pPr>
              <w:pStyle w:val="Default"/>
              <w:rPr>
                <w:sz w:val="22"/>
                <w:szCs w:val="22"/>
              </w:rPr>
            </w:pPr>
            <w:r w:rsidRPr="001300A9">
              <w:rPr>
                <w:sz w:val="22"/>
                <w:szCs w:val="22"/>
              </w:rPr>
              <w:t>11. Overovateľ pripraví správu o procese potvrdzovania, v ktorej uvedie, či je správa podľa článku 14 ods. 3 uspokojivá. V tejto správe sa musia uvádzať všetky aspekty týkajúce sa uskutočnenej práce. Vyhlásenie o tom, že správa podľa článku 14 ods. 3 je uspokojivá, možno vydať vtedy, ak predmetné celkové emisie nie sú podľa názoru overovateľa závažne skreslené.</w:t>
            </w:r>
          </w:p>
          <w:p w14:paraId="2BC0207D" w14:textId="77777777" w:rsidR="00357CEC" w:rsidRPr="001300A9" w:rsidRDefault="00357CEC" w:rsidP="00357CEC">
            <w:pPr>
              <w:pStyle w:val="Default"/>
              <w:rPr>
                <w:sz w:val="22"/>
                <w:szCs w:val="22"/>
              </w:rPr>
            </w:pPr>
            <w:r w:rsidRPr="001300A9">
              <w:rPr>
                <w:sz w:val="22"/>
                <w:szCs w:val="22"/>
              </w:rPr>
              <w:t>Minimálne požiadavky na spôsobilosť overovateľa</w:t>
            </w:r>
          </w:p>
          <w:p w14:paraId="04AB1795" w14:textId="77777777" w:rsidR="00357CEC" w:rsidRPr="001300A9" w:rsidRDefault="00357CEC" w:rsidP="00357CEC">
            <w:pPr>
              <w:pStyle w:val="Default"/>
              <w:rPr>
                <w:sz w:val="22"/>
                <w:szCs w:val="22"/>
              </w:rPr>
            </w:pPr>
            <w:r w:rsidRPr="001300A9">
              <w:rPr>
                <w:sz w:val="22"/>
                <w:szCs w:val="22"/>
              </w:rPr>
              <w:t>12. Overovateľ musí byť nezávislý od regulovaného subjektu, vykonávať svoje činnosti náležite, objektívne a profesionálne, pričom rozumie:</w:t>
            </w:r>
          </w:p>
          <w:p w14:paraId="32B45D23" w14:textId="77777777" w:rsidR="00357CEC" w:rsidRPr="001300A9" w:rsidRDefault="00357CEC" w:rsidP="00357CEC">
            <w:pPr>
              <w:pStyle w:val="Default"/>
              <w:rPr>
                <w:sz w:val="22"/>
                <w:szCs w:val="22"/>
              </w:rPr>
            </w:pPr>
            <w:r w:rsidRPr="001300A9">
              <w:rPr>
                <w:sz w:val="22"/>
                <w:szCs w:val="22"/>
              </w:rPr>
              <w:t>a) ustanoveniam tejto smernice, ako aj príslušným normám a usmerneniam prijatým Komisiou podľa článku 14 ods. 1;</w:t>
            </w:r>
          </w:p>
          <w:p w14:paraId="4C65CF6C" w14:textId="77777777" w:rsidR="00357CEC" w:rsidRPr="001300A9" w:rsidRDefault="00357CEC" w:rsidP="00357CEC">
            <w:pPr>
              <w:pStyle w:val="Default"/>
              <w:rPr>
                <w:sz w:val="22"/>
                <w:szCs w:val="22"/>
              </w:rPr>
            </w:pPr>
            <w:r w:rsidRPr="001300A9">
              <w:rPr>
                <w:sz w:val="22"/>
                <w:szCs w:val="22"/>
              </w:rPr>
              <w:t>b) legislatívnym, regulačným a administratívnym požiadavkám súvisiacim s overovanými činnosťami; a</w:t>
            </w:r>
          </w:p>
          <w:p w14:paraId="78D3358D" w14:textId="77777777" w:rsidR="00357CEC" w:rsidRPr="001300A9" w:rsidRDefault="00357CEC" w:rsidP="00357CEC">
            <w:pPr>
              <w:pStyle w:val="Default"/>
              <w:rPr>
                <w:sz w:val="22"/>
                <w:szCs w:val="22"/>
              </w:rPr>
            </w:pPr>
            <w:r w:rsidRPr="001300A9">
              <w:rPr>
                <w:sz w:val="22"/>
                <w:szCs w:val="22"/>
              </w:rPr>
              <w:t>c) získavaniu všetkých informácií, ktoré súvisia so všetkými spôsobmi, prostredníctvom ktorých regulovaný subjekt uvádza palivá do daňového voľného obehu, a to najmä v súvislosti so zhromažďovaním, meraním, výpočtom a nahlasovaním údajov.</w:t>
            </w:r>
          </w:p>
        </w:tc>
        <w:tc>
          <w:tcPr>
            <w:tcW w:w="567" w:type="dxa"/>
          </w:tcPr>
          <w:p w14:paraId="59BA61D3" w14:textId="77777777" w:rsidR="00357CEC" w:rsidRPr="001300A9" w:rsidRDefault="00357CEC" w:rsidP="00357CEC">
            <w:pPr>
              <w:pStyle w:val="Default"/>
              <w:rPr>
                <w:sz w:val="22"/>
                <w:szCs w:val="22"/>
              </w:rPr>
            </w:pPr>
            <w:proofErr w:type="spellStart"/>
            <w:r w:rsidRPr="001300A9">
              <w:rPr>
                <w:sz w:val="22"/>
                <w:szCs w:val="22"/>
              </w:rPr>
              <w:t>n.a</w:t>
            </w:r>
            <w:proofErr w:type="spellEnd"/>
            <w:r w:rsidRPr="001300A9">
              <w:rPr>
                <w:sz w:val="22"/>
                <w:szCs w:val="22"/>
              </w:rPr>
              <w:t>.</w:t>
            </w:r>
          </w:p>
        </w:tc>
        <w:tc>
          <w:tcPr>
            <w:tcW w:w="283" w:type="dxa"/>
          </w:tcPr>
          <w:p w14:paraId="5E47C261" w14:textId="77777777" w:rsidR="00357CEC" w:rsidRPr="001300A9" w:rsidRDefault="00357CEC" w:rsidP="00357CEC">
            <w:pPr>
              <w:pStyle w:val="Default"/>
              <w:rPr>
                <w:sz w:val="22"/>
                <w:szCs w:val="22"/>
              </w:rPr>
            </w:pPr>
          </w:p>
        </w:tc>
        <w:tc>
          <w:tcPr>
            <w:tcW w:w="567" w:type="dxa"/>
          </w:tcPr>
          <w:p w14:paraId="01F8DE35" w14:textId="77777777" w:rsidR="00357CEC" w:rsidRPr="001300A9" w:rsidRDefault="00357CEC" w:rsidP="00357CEC">
            <w:pPr>
              <w:pStyle w:val="Default"/>
              <w:rPr>
                <w:sz w:val="22"/>
                <w:szCs w:val="22"/>
              </w:rPr>
            </w:pPr>
          </w:p>
        </w:tc>
        <w:tc>
          <w:tcPr>
            <w:tcW w:w="4253" w:type="dxa"/>
          </w:tcPr>
          <w:p w14:paraId="437137FF" w14:textId="77777777" w:rsidR="00357CEC" w:rsidRPr="001300A9" w:rsidRDefault="00357CEC" w:rsidP="00357CEC">
            <w:pPr>
              <w:pStyle w:val="Default"/>
              <w:rPr>
                <w:sz w:val="22"/>
                <w:szCs w:val="22"/>
              </w:rPr>
            </w:pPr>
          </w:p>
        </w:tc>
        <w:tc>
          <w:tcPr>
            <w:tcW w:w="567" w:type="dxa"/>
          </w:tcPr>
          <w:p w14:paraId="697E19F0" w14:textId="77777777" w:rsidR="00357CEC" w:rsidRPr="001300A9" w:rsidRDefault="00357CEC" w:rsidP="00357CEC">
            <w:pPr>
              <w:pStyle w:val="Default"/>
              <w:rPr>
                <w:sz w:val="22"/>
                <w:szCs w:val="22"/>
              </w:rPr>
            </w:pPr>
          </w:p>
        </w:tc>
        <w:tc>
          <w:tcPr>
            <w:tcW w:w="1276" w:type="dxa"/>
          </w:tcPr>
          <w:p w14:paraId="25B5F70A" w14:textId="77777777" w:rsidR="00357CEC" w:rsidRPr="001300A9" w:rsidRDefault="00357CEC" w:rsidP="00357CEC">
            <w:pPr>
              <w:pStyle w:val="Default"/>
              <w:rPr>
                <w:sz w:val="22"/>
                <w:szCs w:val="22"/>
              </w:rPr>
            </w:pPr>
          </w:p>
        </w:tc>
        <w:tc>
          <w:tcPr>
            <w:tcW w:w="850" w:type="dxa"/>
          </w:tcPr>
          <w:p w14:paraId="50D2EEDB" w14:textId="77777777" w:rsidR="00357CEC" w:rsidRPr="001300A9" w:rsidRDefault="00357CEC" w:rsidP="00357CEC">
            <w:pPr>
              <w:pStyle w:val="Default"/>
              <w:rPr>
                <w:sz w:val="22"/>
                <w:szCs w:val="22"/>
              </w:rPr>
            </w:pPr>
          </w:p>
        </w:tc>
        <w:tc>
          <w:tcPr>
            <w:tcW w:w="815" w:type="dxa"/>
          </w:tcPr>
          <w:p w14:paraId="4722388D" w14:textId="77777777" w:rsidR="00357CEC" w:rsidRPr="001300A9" w:rsidRDefault="00357CEC" w:rsidP="00357CEC">
            <w:pPr>
              <w:pStyle w:val="Default"/>
              <w:rPr>
                <w:sz w:val="22"/>
                <w:szCs w:val="22"/>
              </w:rPr>
            </w:pPr>
          </w:p>
        </w:tc>
      </w:tr>
    </w:tbl>
    <w:p w14:paraId="6660E42C" w14:textId="77777777" w:rsidR="00B97553" w:rsidRPr="001300A9" w:rsidRDefault="00357CEC" w:rsidP="00B97553">
      <w:pPr>
        <w:spacing w:after="0" w:line="240" w:lineRule="auto"/>
        <w:rPr>
          <w:rFonts w:ascii="Times New Roman" w:hAnsi="Times New Roman" w:cs="Times New Roman"/>
          <w:sz w:val="24"/>
          <w:szCs w:val="24"/>
        </w:rPr>
      </w:pPr>
      <w:r w:rsidRPr="001300A9">
        <w:rPr>
          <w:rFonts w:ascii="Times New Roman" w:hAnsi="Times New Roman" w:cs="Times New Roman"/>
          <w:b/>
          <w:caps/>
          <w:spacing w:val="20"/>
          <w:sz w:val="24"/>
          <w:szCs w:val="24"/>
          <w:lang w:eastAsia="sk-SK"/>
        </w:rPr>
        <w:t>*</w:t>
      </w:r>
      <w:r w:rsidRPr="001300A9">
        <w:rPr>
          <w:rFonts w:ascii="Times New Roman" w:hAnsi="Times New Roman" w:cs="Times New Roman"/>
          <w:sz w:val="24"/>
          <w:szCs w:val="24"/>
        </w:rPr>
        <w:t xml:space="preserve"> Vyjadrenie k opodstatnenosti </w:t>
      </w:r>
      <w:proofErr w:type="spellStart"/>
      <w:r w:rsidRPr="001300A9">
        <w:rPr>
          <w:rFonts w:ascii="Times New Roman" w:hAnsi="Times New Roman" w:cs="Times New Roman"/>
          <w:sz w:val="24"/>
          <w:szCs w:val="24"/>
        </w:rPr>
        <w:t>goldplatingu</w:t>
      </w:r>
      <w:proofErr w:type="spellEnd"/>
      <w:r w:rsidRPr="001300A9">
        <w:rPr>
          <w:rFonts w:ascii="Times New Roman" w:hAnsi="Times New Roman" w:cs="Times New Roman"/>
          <w:sz w:val="24"/>
          <w:szCs w:val="24"/>
        </w:rPr>
        <w:t xml:space="preserve"> a jeho odôvodnenie:</w:t>
      </w:r>
    </w:p>
    <w:p w14:paraId="2E1E6140" w14:textId="77777777" w:rsidR="00357CEC" w:rsidRPr="001300A9" w:rsidRDefault="00357CEC" w:rsidP="00B97553">
      <w:pPr>
        <w:spacing w:after="0" w:line="240" w:lineRule="auto"/>
        <w:rPr>
          <w:rFonts w:ascii="Times New Roman" w:hAnsi="Times New Roman" w:cs="Times New Roman"/>
          <w:sz w:val="24"/>
          <w:szCs w:val="24"/>
        </w:rPr>
      </w:pPr>
    </w:p>
    <w:p w14:paraId="5E8591FD" w14:textId="77777777" w:rsidR="00B97553" w:rsidRPr="001300A9" w:rsidRDefault="00357CEC" w:rsidP="00357CEC">
      <w:pPr>
        <w:spacing w:after="0" w:line="240" w:lineRule="auto"/>
        <w:rPr>
          <w:rFonts w:ascii="Times New Roman" w:hAnsi="Times New Roman" w:cs="Times New Roman"/>
          <w:b/>
          <w:caps/>
          <w:spacing w:val="20"/>
          <w:sz w:val="20"/>
          <w:szCs w:val="20"/>
          <w:lang w:eastAsia="sk-SK"/>
        </w:rPr>
      </w:pPr>
      <w:r w:rsidRPr="001300A9">
        <w:rPr>
          <w:rFonts w:ascii="Times New Roman" w:hAnsi="Times New Roman" w:cs="Times New Roman"/>
          <w:sz w:val="20"/>
          <w:szCs w:val="20"/>
        </w:rPr>
        <w:t>Vysvetlivky:</w:t>
      </w:r>
    </w:p>
    <w:p w14:paraId="453E8A86" w14:textId="77777777" w:rsidR="00703F10" w:rsidRPr="001300A9" w:rsidRDefault="00703F10" w:rsidP="00703F10">
      <w:pPr>
        <w:spacing w:after="0" w:line="240" w:lineRule="auto"/>
        <w:jc w:val="both"/>
        <w:rPr>
          <w:rFonts w:ascii="Times New Roman" w:hAnsi="Times New Roman"/>
          <w:sz w:val="20"/>
          <w:szCs w:val="20"/>
          <w:u w:val="single"/>
          <w:lang w:eastAsia="sk-SK"/>
        </w:rPr>
      </w:pPr>
      <w:r w:rsidRPr="001300A9">
        <w:rPr>
          <w:rFonts w:ascii="Times New Roman" w:hAnsi="Times New Roman"/>
          <w:sz w:val="20"/>
          <w:szCs w:val="20"/>
          <w:lang w:eastAsia="sk-SK"/>
        </w:rPr>
        <w:t>N – bežná transpozícia</w:t>
      </w:r>
      <w:r w:rsidRPr="001300A9">
        <w:rPr>
          <w:rFonts w:ascii="Times New Roman" w:hAnsi="Times New Roman"/>
          <w:sz w:val="20"/>
          <w:szCs w:val="20"/>
          <w:lang w:eastAsia="sk-SK"/>
        </w:rPr>
        <w:tab/>
      </w:r>
      <w:r w:rsidRPr="001300A9">
        <w:rPr>
          <w:rFonts w:ascii="Times New Roman" w:hAnsi="Times New Roman"/>
          <w:sz w:val="20"/>
          <w:szCs w:val="20"/>
          <w:lang w:eastAsia="sk-SK"/>
        </w:rPr>
        <w:tab/>
      </w:r>
      <w:r w:rsidRPr="001300A9">
        <w:rPr>
          <w:rFonts w:ascii="Times New Roman" w:hAnsi="Times New Roman"/>
          <w:sz w:val="20"/>
          <w:szCs w:val="20"/>
          <w:lang w:eastAsia="sk-SK"/>
        </w:rPr>
        <w:tab/>
      </w:r>
      <w:r w:rsidRPr="001300A9">
        <w:rPr>
          <w:rFonts w:ascii="Times New Roman" w:hAnsi="Times New Roman"/>
          <w:sz w:val="20"/>
          <w:szCs w:val="20"/>
          <w:lang w:eastAsia="sk-SK"/>
        </w:rPr>
        <w:tab/>
      </w:r>
    </w:p>
    <w:p w14:paraId="0B551AF0" w14:textId="77777777" w:rsidR="00703F10" w:rsidRPr="001300A9" w:rsidRDefault="00703F10" w:rsidP="00703F10">
      <w:pPr>
        <w:spacing w:after="0" w:line="240" w:lineRule="auto"/>
        <w:jc w:val="both"/>
        <w:rPr>
          <w:rFonts w:ascii="Times New Roman" w:hAnsi="Times New Roman"/>
          <w:sz w:val="20"/>
          <w:szCs w:val="20"/>
          <w:lang w:eastAsia="sk-SK"/>
        </w:rPr>
      </w:pPr>
      <w:r w:rsidRPr="001300A9">
        <w:rPr>
          <w:rFonts w:ascii="Times New Roman" w:hAnsi="Times New Roman"/>
          <w:sz w:val="20"/>
          <w:szCs w:val="20"/>
          <w:lang w:eastAsia="sk-SK"/>
        </w:rPr>
        <w:t>O – transpozícia s možnosťou voľby</w:t>
      </w:r>
      <w:r w:rsidRPr="001300A9">
        <w:rPr>
          <w:rFonts w:ascii="Times New Roman" w:hAnsi="Times New Roman"/>
          <w:sz w:val="20"/>
          <w:szCs w:val="20"/>
          <w:lang w:eastAsia="sk-SK"/>
        </w:rPr>
        <w:tab/>
      </w:r>
      <w:r w:rsidRPr="001300A9">
        <w:rPr>
          <w:rFonts w:ascii="Times New Roman" w:hAnsi="Times New Roman"/>
          <w:sz w:val="20"/>
          <w:szCs w:val="20"/>
          <w:lang w:eastAsia="sk-SK"/>
        </w:rPr>
        <w:tab/>
      </w:r>
    </w:p>
    <w:p w14:paraId="5AF71E03" w14:textId="77777777" w:rsidR="00703F10" w:rsidRPr="001300A9" w:rsidRDefault="00703F10" w:rsidP="00703F10">
      <w:pPr>
        <w:spacing w:after="0" w:line="240" w:lineRule="auto"/>
        <w:jc w:val="both"/>
        <w:rPr>
          <w:rFonts w:ascii="Times New Roman" w:hAnsi="Times New Roman"/>
          <w:sz w:val="20"/>
          <w:szCs w:val="20"/>
          <w:lang w:eastAsia="sk-SK"/>
        </w:rPr>
      </w:pPr>
      <w:r w:rsidRPr="001300A9">
        <w:rPr>
          <w:rFonts w:ascii="Times New Roman" w:hAnsi="Times New Roman"/>
          <w:sz w:val="20"/>
          <w:szCs w:val="20"/>
          <w:lang w:eastAsia="sk-SK"/>
        </w:rPr>
        <w:t>D – transpozícia podľa úvahy (dobrovoľná)</w:t>
      </w:r>
      <w:r w:rsidRPr="001300A9">
        <w:rPr>
          <w:rFonts w:ascii="Times New Roman" w:hAnsi="Times New Roman"/>
          <w:sz w:val="20"/>
          <w:szCs w:val="20"/>
          <w:lang w:eastAsia="sk-SK"/>
        </w:rPr>
        <w:tab/>
      </w:r>
      <w:r w:rsidRPr="001300A9">
        <w:rPr>
          <w:rFonts w:ascii="Times New Roman" w:hAnsi="Times New Roman"/>
          <w:sz w:val="20"/>
          <w:szCs w:val="20"/>
          <w:lang w:eastAsia="sk-SK"/>
        </w:rPr>
        <w:tab/>
        <w:t xml:space="preserve"> </w:t>
      </w:r>
    </w:p>
    <w:p w14:paraId="5547351A" w14:textId="77777777" w:rsidR="00357CEC" w:rsidRPr="001300A9" w:rsidRDefault="00703F10" w:rsidP="00703F10">
      <w:pPr>
        <w:spacing w:after="0" w:line="240" w:lineRule="auto"/>
        <w:jc w:val="both"/>
        <w:rPr>
          <w:rFonts w:ascii="Times New Roman" w:hAnsi="Times New Roman"/>
          <w:sz w:val="20"/>
          <w:szCs w:val="20"/>
          <w:lang w:eastAsia="sk-SK"/>
        </w:rPr>
      </w:pPr>
      <w:proofErr w:type="spellStart"/>
      <w:r w:rsidRPr="001300A9">
        <w:rPr>
          <w:rFonts w:ascii="Times New Roman" w:hAnsi="Times New Roman"/>
          <w:sz w:val="20"/>
          <w:szCs w:val="20"/>
          <w:lang w:eastAsia="sk-SK"/>
        </w:rPr>
        <w:t>n.a</w:t>
      </w:r>
      <w:proofErr w:type="spellEnd"/>
      <w:r w:rsidRPr="001300A9">
        <w:rPr>
          <w:rFonts w:ascii="Times New Roman" w:hAnsi="Times New Roman"/>
          <w:sz w:val="20"/>
          <w:szCs w:val="20"/>
          <w:lang w:eastAsia="sk-SK"/>
        </w:rPr>
        <w:t>. – transpozícia sa neuskutočňuje</w:t>
      </w:r>
      <w:r w:rsidRPr="001300A9">
        <w:rPr>
          <w:rFonts w:ascii="Times New Roman" w:hAnsi="Times New Roman"/>
          <w:sz w:val="20"/>
          <w:szCs w:val="20"/>
          <w:lang w:eastAsia="sk-SK"/>
        </w:rPr>
        <w:tab/>
      </w:r>
    </w:p>
    <w:p w14:paraId="27CD0262" w14:textId="77777777" w:rsidR="00357CEC" w:rsidRPr="001300A9" w:rsidRDefault="00357CEC" w:rsidP="00357CEC">
      <w:pPr>
        <w:spacing w:after="0" w:line="240" w:lineRule="auto"/>
        <w:jc w:val="both"/>
        <w:rPr>
          <w:rFonts w:ascii="Times New Roman" w:hAnsi="Times New Roman"/>
          <w:sz w:val="20"/>
          <w:szCs w:val="20"/>
          <w:lang w:eastAsia="sk-SK"/>
        </w:rPr>
      </w:pPr>
      <w:r w:rsidRPr="001300A9">
        <w:rPr>
          <w:rFonts w:ascii="Times New Roman" w:hAnsi="Times New Roman"/>
          <w:sz w:val="20"/>
          <w:szCs w:val="20"/>
          <w:lang w:eastAsia="sk-SK"/>
        </w:rPr>
        <w:t xml:space="preserve">Ú – úplná zhoda </w:t>
      </w:r>
    </w:p>
    <w:p w14:paraId="7EE13E91" w14:textId="77777777" w:rsidR="00357CEC" w:rsidRPr="001300A9" w:rsidRDefault="00357CEC" w:rsidP="00357CEC">
      <w:pPr>
        <w:spacing w:after="0" w:line="240" w:lineRule="auto"/>
        <w:jc w:val="both"/>
        <w:rPr>
          <w:rFonts w:ascii="Times New Roman" w:hAnsi="Times New Roman"/>
          <w:sz w:val="20"/>
          <w:szCs w:val="20"/>
          <w:lang w:eastAsia="sk-SK"/>
        </w:rPr>
      </w:pPr>
      <w:r w:rsidRPr="001300A9">
        <w:rPr>
          <w:rFonts w:ascii="Times New Roman" w:hAnsi="Times New Roman"/>
          <w:sz w:val="20"/>
          <w:szCs w:val="20"/>
          <w:lang w:eastAsia="sk-SK"/>
        </w:rPr>
        <w:t xml:space="preserve">Č – čiastočná zhoda </w:t>
      </w:r>
    </w:p>
    <w:p w14:paraId="222A4022" w14:textId="77777777" w:rsidR="00357CEC" w:rsidRPr="001300A9" w:rsidRDefault="00357CEC" w:rsidP="00357CEC">
      <w:pPr>
        <w:spacing w:after="0" w:line="240" w:lineRule="auto"/>
        <w:jc w:val="both"/>
        <w:rPr>
          <w:rFonts w:ascii="Times New Roman" w:hAnsi="Times New Roman"/>
          <w:sz w:val="20"/>
          <w:szCs w:val="20"/>
          <w:lang w:eastAsia="sk-SK"/>
        </w:rPr>
      </w:pPr>
      <w:r w:rsidRPr="001300A9">
        <w:rPr>
          <w:rFonts w:ascii="Times New Roman" w:hAnsi="Times New Roman"/>
          <w:sz w:val="20"/>
          <w:szCs w:val="20"/>
          <w:lang w:eastAsia="sk-SK"/>
        </w:rPr>
        <w:t xml:space="preserve">Ž – žiadna zhoda </w:t>
      </w:r>
    </w:p>
    <w:p w14:paraId="49EB0AC7" w14:textId="77777777" w:rsidR="00357CEC" w:rsidRPr="001300A9" w:rsidRDefault="00357CEC" w:rsidP="00357CEC">
      <w:pPr>
        <w:spacing w:after="0" w:line="240" w:lineRule="auto"/>
        <w:jc w:val="both"/>
        <w:rPr>
          <w:rFonts w:ascii="Times New Roman" w:hAnsi="Times New Roman"/>
          <w:sz w:val="20"/>
          <w:szCs w:val="20"/>
          <w:lang w:eastAsia="sk-SK"/>
        </w:rPr>
      </w:pPr>
      <w:proofErr w:type="spellStart"/>
      <w:r w:rsidRPr="001300A9">
        <w:rPr>
          <w:rFonts w:ascii="Times New Roman" w:hAnsi="Times New Roman"/>
          <w:sz w:val="20"/>
          <w:szCs w:val="20"/>
          <w:lang w:eastAsia="sk-SK"/>
        </w:rPr>
        <w:t>n.a</w:t>
      </w:r>
      <w:proofErr w:type="spellEnd"/>
      <w:r w:rsidRPr="001300A9">
        <w:rPr>
          <w:rFonts w:ascii="Times New Roman" w:hAnsi="Times New Roman"/>
          <w:sz w:val="20"/>
          <w:szCs w:val="20"/>
          <w:lang w:eastAsia="sk-SK"/>
        </w:rPr>
        <w:t>. – neaplikovateľnosť</w:t>
      </w:r>
    </w:p>
    <w:p w14:paraId="5909577F" w14:textId="77777777" w:rsidR="00357CEC" w:rsidRPr="001300A9" w:rsidRDefault="00357CEC" w:rsidP="00357CEC">
      <w:pPr>
        <w:spacing w:after="0" w:line="240" w:lineRule="auto"/>
        <w:jc w:val="both"/>
        <w:rPr>
          <w:rFonts w:ascii="Times New Roman" w:hAnsi="Times New Roman"/>
          <w:sz w:val="20"/>
          <w:szCs w:val="20"/>
          <w:lang w:eastAsia="sk-SK"/>
        </w:rPr>
      </w:pPr>
      <w:r w:rsidRPr="001300A9">
        <w:rPr>
          <w:rFonts w:ascii="Times New Roman" w:hAnsi="Times New Roman"/>
          <w:sz w:val="20"/>
          <w:szCs w:val="20"/>
          <w:lang w:eastAsia="sk-SK"/>
        </w:rPr>
        <w:t xml:space="preserve">GP – A: </w:t>
      </w:r>
      <w:proofErr w:type="spellStart"/>
      <w:r w:rsidRPr="001300A9">
        <w:rPr>
          <w:rFonts w:ascii="Times New Roman" w:hAnsi="Times New Roman"/>
          <w:sz w:val="20"/>
          <w:szCs w:val="20"/>
          <w:lang w:eastAsia="sk-SK"/>
        </w:rPr>
        <w:t>goldplating</w:t>
      </w:r>
      <w:proofErr w:type="spellEnd"/>
      <w:r w:rsidRPr="001300A9">
        <w:rPr>
          <w:rFonts w:ascii="Times New Roman" w:hAnsi="Times New Roman"/>
          <w:sz w:val="20"/>
          <w:szCs w:val="20"/>
          <w:lang w:eastAsia="sk-SK"/>
        </w:rPr>
        <w:t xml:space="preserve"> je identifikovaný,</w:t>
      </w:r>
    </w:p>
    <w:p w14:paraId="72AF7B9B" w14:textId="08E5A1F4" w:rsidR="00DA636E" w:rsidRPr="001300A9" w:rsidRDefault="00357CEC" w:rsidP="001300A9">
      <w:pPr>
        <w:spacing w:after="0" w:line="240" w:lineRule="auto"/>
        <w:jc w:val="both"/>
        <w:rPr>
          <w:rFonts w:ascii="Times New Roman" w:hAnsi="Times New Roman"/>
          <w:sz w:val="20"/>
          <w:szCs w:val="20"/>
          <w:lang w:eastAsia="sk-SK"/>
        </w:rPr>
      </w:pPr>
      <w:r w:rsidRPr="001300A9">
        <w:rPr>
          <w:rFonts w:ascii="Times New Roman" w:hAnsi="Times New Roman"/>
          <w:sz w:val="20"/>
          <w:szCs w:val="20"/>
          <w:lang w:eastAsia="sk-SK"/>
        </w:rPr>
        <w:t xml:space="preserve">GP – N: </w:t>
      </w:r>
      <w:proofErr w:type="spellStart"/>
      <w:r w:rsidRPr="001300A9">
        <w:rPr>
          <w:rFonts w:ascii="Times New Roman" w:hAnsi="Times New Roman"/>
          <w:sz w:val="20"/>
          <w:szCs w:val="20"/>
          <w:lang w:eastAsia="sk-SK"/>
        </w:rPr>
        <w:t>goldplating</w:t>
      </w:r>
      <w:proofErr w:type="spellEnd"/>
      <w:r w:rsidRPr="001300A9">
        <w:rPr>
          <w:rFonts w:ascii="Times New Roman" w:hAnsi="Times New Roman"/>
          <w:sz w:val="20"/>
          <w:szCs w:val="20"/>
          <w:lang w:eastAsia="sk-SK"/>
        </w:rPr>
        <w:t xml:space="preserve"> nie je identifikovaný.</w:t>
      </w:r>
      <w:r w:rsidR="00703F10" w:rsidRPr="00A32DB0">
        <w:rPr>
          <w:rFonts w:ascii="Times New Roman" w:hAnsi="Times New Roman"/>
          <w:sz w:val="20"/>
          <w:szCs w:val="20"/>
          <w:lang w:eastAsia="sk-SK"/>
        </w:rPr>
        <w:tab/>
      </w:r>
    </w:p>
    <w:sectPr w:rsidR="00DA636E" w:rsidRPr="001300A9" w:rsidSect="00B97553">
      <w:headerReference w:type="even" r:id="rId12"/>
      <w:headerReference w:type="default" r:id="rId13"/>
      <w:footerReference w:type="even" r:id="rId14"/>
      <w:footerReference w:type="default" r:id="rId15"/>
      <w:headerReference w:type="first" r:id="rId16"/>
      <w:footerReference w:type="first" r:id="rId17"/>
      <w:pgSz w:w="16838" w:h="11906" w:orient="landscape"/>
      <w:pgMar w:top="1440" w:right="1134"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2FB051" w14:textId="77777777" w:rsidR="00DC79A9" w:rsidRDefault="00DC79A9" w:rsidP="0096760A">
      <w:pPr>
        <w:spacing w:after="0" w:line="240" w:lineRule="auto"/>
      </w:pPr>
      <w:r>
        <w:separator/>
      </w:r>
    </w:p>
  </w:endnote>
  <w:endnote w:type="continuationSeparator" w:id="0">
    <w:p w14:paraId="158D6D3A" w14:textId="77777777" w:rsidR="00DC79A9" w:rsidRDefault="00DC79A9" w:rsidP="0096760A">
      <w:pPr>
        <w:spacing w:after="0" w:line="240" w:lineRule="auto"/>
      </w:pPr>
      <w:r>
        <w:continuationSeparator/>
      </w:r>
    </w:p>
  </w:endnote>
  <w:endnote w:type="continuationNotice" w:id="1">
    <w:p w14:paraId="462EC1F2" w14:textId="77777777" w:rsidR="00DC79A9" w:rsidRDefault="00DC79A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63241D" w14:textId="77777777" w:rsidR="000B0A6E" w:rsidRDefault="000B0A6E">
    <w:pPr>
      <w:pStyle w:val="P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9F8BAC" w14:textId="77777777" w:rsidR="000B0A6E" w:rsidRDefault="000B0A6E">
    <w:pPr>
      <w:pStyle w:val="Pt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6D7FA1" w14:textId="77777777" w:rsidR="000B0A6E" w:rsidRDefault="000B0A6E">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0D1A8B" w14:textId="77777777" w:rsidR="00DC79A9" w:rsidRDefault="00DC79A9" w:rsidP="0096760A">
      <w:pPr>
        <w:spacing w:after="0" w:line="240" w:lineRule="auto"/>
      </w:pPr>
      <w:r>
        <w:separator/>
      </w:r>
    </w:p>
  </w:footnote>
  <w:footnote w:type="continuationSeparator" w:id="0">
    <w:p w14:paraId="55527B32" w14:textId="77777777" w:rsidR="00DC79A9" w:rsidRDefault="00DC79A9" w:rsidP="0096760A">
      <w:pPr>
        <w:spacing w:after="0" w:line="240" w:lineRule="auto"/>
      </w:pPr>
      <w:r>
        <w:continuationSeparator/>
      </w:r>
    </w:p>
  </w:footnote>
  <w:footnote w:type="continuationNotice" w:id="1">
    <w:p w14:paraId="1CD65143" w14:textId="77777777" w:rsidR="00DC79A9" w:rsidRDefault="00DC79A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D806B2" w14:textId="77777777" w:rsidR="000B0A6E" w:rsidRDefault="000B0A6E">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A0A58D" w14:textId="77777777" w:rsidR="000B0A6E" w:rsidRDefault="000B0A6E">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9EFAFF" w14:textId="77777777" w:rsidR="000B0A6E" w:rsidRDefault="000B0A6E">
    <w:pPr>
      <w:pStyle w:val="Hlavika"/>
    </w:pPr>
  </w:p>
</w:hdr>
</file>

<file path=word/intelligence2.xml><?xml version="1.0" encoding="utf-8"?>
<int2:intelligence xmlns:int2="http://schemas.microsoft.com/office/intelligence/2020/intelligence">
  <int2:observations>
    <int2:textHash int2:hashCode="5/ZFx9R7NF1wxb" int2:id="UQM8Z57j">
      <int2:state int2:type="AugLoop_Text_Critique" int2:value="Rejected"/>
    </int2:textHash>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6E621F"/>
    <w:multiLevelType w:val="hybridMultilevel"/>
    <w:tmpl w:val="CFBAA944"/>
    <w:lvl w:ilvl="0" w:tplc="1ED89FA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176369B0"/>
    <w:multiLevelType w:val="hybridMultilevel"/>
    <w:tmpl w:val="49FE196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23540962"/>
    <w:multiLevelType w:val="hybridMultilevel"/>
    <w:tmpl w:val="E0129412"/>
    <w:lvl w:ilvl="0" w:tplc="6592257E">
      <w:start w:val="1"/>
      <w:numFmt w:val="decimal"/>
      <w:lvlText w:val="%1."/>
      <w:lvlJc w:val="left"/>
      <w:pPr>
        <w:ind w:left="1405" w:hanging="555"/>
      </w:pPr>
      <w:rPr>
        <w:rFonts w:hint="default"/>
      </w:rPr>
    </w:lvl>
    <w:lvl w:ilvl="1" w:tplc="041B0019" w:tentative="1">
      <w:start w:val="1"/>
      <w:numFmt w:val="lowerLetter"/>
      <w:lvlText w:val="%2."/>
      <w:lvlJc w:val="left"/>
      <w:pPr>
        <w:ind w:left="1930" w:hanging="360"/>
      </w:pPr>
    </w:lvl>
    <w:lvl w:ilvl="2" w:tplc="041B001B" w:tentative="1">
      <w:start w:val="1"/>
      <w:numFmt w:val="lowerRoman"/>
      <w:lvlText w:val="%3."/>
      <w:lvlJc w:val="right"/>
      <w:pPr>
        <w:ind w:left="2650" w:hanging="180"/>
      </w:pPr>
    </w:lvl>
    <w:lvl w:ilvl="3" w:tplc="041B000F" w:tentative="1">
      <w:start w:val="1"/>
      <w:numFmt w:val="decimal"/>
      <w:lvlText w:val="%4."/>
      <w:lvlJc w:val="left"/>
      <w:pPr>
        <w:ind w:left="3370" w:hanging="360"/>
      </w:pPr>
    </w:lvl>
    <w:lvl w:ilvl="4" w:tplc="041B0019" w:tentative="1">
      <w:start w:val="1"/>
      <w:numFmt w:val="lowerLetter"/>
      <w:lvlText w:val="%5."/>
      <w:lvlJc w:val="left"/>
      <w:pPr>
        <w:ind w:left="4090" w:hanging="360"/>
      </w:pPr>
    </w:lvl>
    <w:lvl w:ilvl="5" w:tplc="041B001B" w:tentative="1">
      <w:start w:val="1"/>
      <w:numFmt w:val="lowerRoman"/>
      <w:lvlText w:val="%6."/>
      <w:lvlJc w:val="right"/>
      <w:pPr>
        <w:ind w:left="4810" w:hanging="180"/>
      </w:pPr>
    </w:lvl>
    <w:lvl w:ilvl="6" w:tplc="041B000F" w:tentative="1">
      <w:start w:val="1"/>
      <w:numFmt w:val="decimal"/>
      <w:lvlText w:val="%7."/>
      <w:lvlJc w:val="left"/>
      <w:pPr>
        <w:ind w:left="5530" w:hanging="360"/>
      </w:pPr>
    </w:lvl>
    <w:lvl w:ilvl="7" w:tplc="041B0019" w:tentative="1">
      <w:start w:val="1"/>
      <w:numFmt w:val="lowerLetter"/>
      <w:lvlText w:val="%8."/>
      <w:lvlJc w:val="left"/>
      <w:pPr>
        <w:ind w:left="6250" w:hanging="360"/>
      </w:pPr>
    </w:lvl>
    <w:lvl w:ilvl="8" w:tplc="041B001B" w:tentative="1">
      <w:start w:val="1"/>
      <w:numFmt w:val="lowerRoman"/>
      <w:lvlText w:val="%9."/>
      <w:lvlJc w:val="right"/>
      <w:pPr>
        <w:ind w:left="6970" w:hanging="180"/>
      </w:pPr>
    </w:lvl>
  </w:abstractNum>
  <w:abstractNum w:abstractNumId="3" w15:restartNumberingAfterBreak="0">
    <w:nsid w:val="33992F67"/>
    <w:multiLevelType w:val="hybridMultilevel"/>
    <w:tmpl w:val="2886FCAE"/>
    <w:lvl w:ilvl="0" w:tplc="6C2C49DC">
      <w:start w:val="1"/>
      <w:numFmt w:val="lowerLetter"/>
      <w:lvlText w:val="%1)"/>
      <w:lvlJc w:val="left"/>
      <w:pPr>
        <w:ind w:left="1065" w:hanging="705"/>
      </w:pPr>
      <w:rPr>
        <w:rFonts w:ascii="Times New Roman" w:eastAsiaTheme="minorHAnsi" w:hAnsi="Times New Roman"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350C5DF5"/>
    <w:multiLevelType w:val="hybridMultilevel"/>
    <w:tmpl w:val="0F8E306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3B1010C6"/>
    <w:multiLevelType w:val="hybridMultilevel"/>
    <w:tmpl w:val="E1C6F65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3D2A2734"/>
    <w:multiLevelType w:val="hybridMultilevel"/>
    <w:tmpl w:val="6DEA091C"/>
    <w:lvl w:ilvl="0" w:tplc="E862A92C">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46B71A28"/>
    <w:multiLevelType w:val="hybridMultilevel"/>
    <w:tmpl w:val="B06E1F7E"/>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4DED537E"/>
    <w:multiLevelType w:val="hybridMultilevel"/>
    <w:tmpl w:val="D89EE790"/>
    <w:lvl w:ilvl="0" w:tplc="85104A4C">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9" w15:restartNumberingAfterBreak="0">
    <w:nsid w:val="54BFD2F9"/>
    <w:multiLevelType w:val="hybridMultilevel"/>
    <w:tmpl w:val="A3C0AC72"/>
    <w:lvl w:ilvl="0" w:tplc="396EACCE">
      <w:start w:val="1"/>
      <w:numFmt w:val="lowerLetter"/>
      <w:lvlText w:val="%1)"/>
      <w:lvlJc w:val="left"/>
      <w:pPr>
        <w:ind w:left="720" w:hanging="360"/>
      </w:pPr>
    </w:lvl>
    <w:lvl w:ilvl="1" w:tplc="EB8C0BCE">
      <w:start w:val="1"/>
      <w:numFmt w:val="lowerLetter"/>
      <w:lvlText w:val="%2."/>
      <w:lvlJc w:val="left"/>
      <w:pPr>
        <w:ind w:left="1440" w:hanging="360"/>
      </w:pPr>
    </w:lvl>
    <w:lvl w:ilvl="2" w:tplc="2F6C8CD2">
      <w:start w:val="1"/>
      <w:numFmt w:val="lowerRoman"/>
      <w:lvlText w:val="%3."/>
      <w:lvlJc w:val="right"/>
      <w:pPr>
        <w:ind w:left="2160" w:hanging="180"/>
      </w:pPr>
    </w:lvl>
    <w:lvl w:ilvl="3" w:tplc="F1FC0138">
      <w:start w:val="1"/>
      <w:numFmt w:val="decimal"/>
      <w:lvlText w:val="%4."/>
      <w:lvlJc w:val="left"/>
      <w:pPr>
        <w:ind w:left="2880" w:hanging="360"/>
      </w:pPr>
    </w:lvl>
    <w:lvl w:ilvl="4" w:tplc="038A3A96">
      <w:start w:val="1"/>
      <w:numFmt w:val="lowerLetter"/>
      <w:lvlText w:val="%5."/>
      <w:lvlJc w:val="left"/>
      <w:pPr>
        <w:ind w:left="3600" w:hanging="360"/>
      </w:pPr>
    </w:lvl>
    <w:lvl w:ilvl="5" w:tplc="03923F68">
      <w:start w:val="1"/>
      <w:numFmt w:val="lowerRoman"/>
      <w:lvlText w:val="%6."/>
      <w:lvlJc w:val="right"/>
      <w:pPr>
        <w:ind w:left="4320" w:hanging="180"/>
      </w:pPr>
    </w:lvl>
    <w:lvl w:ilvl="6" w:tplc="DC72A6CE">
      <w:start w:val="1"/>
      <w:numFmt w:val="decimal"/>
      <w:lvlText w:val="%7."/>
      <w:lvlJc w:val="left"/>
      <w:pPr>
        <w:ind w:left="5040" w:hanging="360"/>
      </w:pPr>
    </w:lvl>
    <w:lvl w:ilvl="7" w:tplc="A698BC7C">
      <w:start w:val="1"/>
      <w:numFmt w:val="lowerLetter"/>
      <w:lvlText w:val="%8."/>
      <w:lvlJc w:val="left"/>
      <w:pPr>
        <w:ind w:left="5760" w:hanging="360"/>
      </w:pPr>
    </w:lvl>
    <w:lvl w:ilvl="8" w:tplc="86340ADA">
      <w:start w:val="1"/>
      <w:numFmt w:val="lowerRoman"/>
      <w:lvlText w:val="%9."/>
      <w:lvlJc w:val="right"/>
      <w:pPr>
        <w:ind w:left="6480" w:hanging="180"/>
      </w:pPr>
    </w:lvl>
  </w:abstractNum>
  <w:abstractNum w:abstractNumId="10" w15:restartNumberingAfterBreak="0">
    <w:nsid w:val="555267BC"/>
    <w:multiLevelType w:val="hybridMultilevel"/>
    <w:tmpl w:val="1ACA2E7A"/>
    <w:lvl w:ilvl="0" w:tplc="5282CA2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55A43236"/>
    <w:multiLevelType w:val="hybridMultilevel"/>
    <w:tmpl w:val="CABAB756"/>
    <w:lvl w:ilvl="0" w:tplc="041B000F">
      <w:start w:val="3"/>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5B297E5B"/>
    <w:multiLevelType w:val="hybridMultilevel"/>
    <w:tmpl w:val="CDEEB8B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5C7D7315"/>
    <w:multiLevelType w:val="hybridMultilevel"/>
    <w:tmpl w:val="B3E0237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615B3ACB"/>
    <w:multiLevelType w:val="hybridMultilevel"/>
    <w:tmpl w:val="1B3AF24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6E2F4216"/>
    <w:multiLevelType w:val="hybridMultilevel"/>
    <w:tmpl w:val="36107B66"/>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6FDD33AB"/>
    <w:multiLevelType w:val="hybridMultilevel"/>
    <w:tmpl w:val="89DE7B3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73223847"/>
    <w:multiLevelType w:val="hybridMultilevel"/>
    <w:tmpl w:val="B6B81F92"/>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74BF1013"/>
    <w:multiLevelType w:val="hybridMultilevel"/>
    <w:tmpl w:val="7E7A935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7639354B"/>
    <w:multiLevelType w:val="hybridMultilevel"/>
    <w:tmpl w:val="E0E68B06"/>
    <w:lvl w:ilvl="0" w:tplc="CDEED0A2">
      <w:start w:val="1"/>
      <w:numFmt w:val="decimal"/>
      <w:lvlText w:val="%1."/>
      <w:lvlJc w:val="left"/>
      <w:pPr>
        <w:ind w:left="720" w:hanging="360"/>
      </w:pPr>
      <w:rPr>
        <w:rFonts w:hint="default"/>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79B8580E"/>
    <w:multiLevelType w:val="hybridMultilevel"/>
    <w:tmpl w:val="14569C2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7EFD0EB2"/>
    <w:multiLevelType w:val="hybridMultilevel"/>
    <w:tmpl w:val="1C28A296"/>
    <w:lvl w:ilvl="0" w:tplc="85DE10A0">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9"/>
  </w:num>
  <w:num w:numId="2">
    <w:abstractNumId w:val="21"/>
  </w:num>
  <w:num w:numId="3">
    <w:abstractNumId w:val="3"/>
  </w:num>
  <w:num w:numId="4">
    <w:abstractNumId w:val="14"/>
  </w:num>
  <w:num w:numId="5">
    <w:abstractNumId w:val="5"/>
  </w:num>
  <w:num w:numId="6">
    <w:abstractNumId w:val="11"/>
  </w:num>
  <w:num w:numId="7">
    <w:abstractNumId w:val="1"/>
  </w:num>
  <w:num w:numId="8">
    <w:abstractNumId w:val="18"/>
  </w:num>
  <w:num w:numId="9">
    <w:abstractNumId w:val="12"/>
  </w:num>
  <w:num w:numId="10">
    <w:abstractNumId w:val="19"/>
  </w:num>
  <w:num w:numId="11">
    <w:abstractNumId w:val="2"/>
  </w:num>
  <w:num w:numId="12">
    <w:abstractNumId w:val="15"/>
  </w:num>
  <w:num w:numId="13">
    <w:abstractNumId w:val="0"/>
  </w:num>
  <w:num w:numId="14">
    <w:abstractNumId w:val="7"/>
  </w:num>
  <w:num w:numId="15">
    <w:abstractNumId w:val="16"/>
  </w:num>
  <w:num w:numId="16">
    <w:abstractNumId w:val="17"/>
  </w:num>
  <w:num w:numId="17">
    <w:abstractNumId w:val="20"/>
  </w:num>
  <w:num w:numId="18">
    <w:abstractNumId w:val="13"/>
  </w:num>
  <w:num w:numId="19">
    <w:abstractNumId w:val="6"/>
  </w:num>
  <w:num w:numId="20">
    <w:abstractNumId w:val="4"/>
  </w:num>
  <w:num w:numId="21">
    <w:abstractNumId w:val="10"/>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autoHyphenation/>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6B03"/>
    <w:rsid w:val="00004464"/>
    <w:rsid w:val="0001143F"/>
    <w:rsid w:val="00011D6B"/>
    <w:rsid w:val="000150AA"/>
    <w:rsid w:val="00021D96"/>
    <w:rsid w:val="000243DF"/>
    <w:rsid w:val="000331E4"/>
    <w:rsid w:val="00035560"/>
    <w:rsid w:val="00037D2F"/>
    <w:rsid w:val="00053DCA"/>
    <w:rsid w:val="00056FC2"/>
    <w:rsid w:val="00056FFD"/>
    <w:rsid w:val="00061410"/>
    <w:rsid w:val="0006236A"/>
    <w:rsid w:val="00073C04"/>
    <w:rsid w:val="00075442"/>
    <w:rsid w:val="00076613"/>
    <w:rsid w:val="00076C96"/>
    <w:rsid w:val="000866EA"/>
    <w:rsid w:val="00087441"/>
    <w:rsid w:val="00090312"/>
    <w:rsid w:val="00097813"/>
    <w:rsid w:val="000A2210"/>
    <w:rsid w:val="000B0A6E"/>
    <w:rsid w:val="000C487B"/>
    <w:rsid w:val="000D7751"/>
    <w:rsid w:val="000F3E80"/>
    <w:rsid w:val="000F60BB"/>
    <w:rsid w:val="00105118"/>
    <w:rsid w:val="00106F39"/>
    <w:rsid w:val="00107D98"/>
    <w:rsid w:val="00113B1E"/>
    <w:rsid w:val="00113B54"/>
    <w:rsid w:val="0011498A"/>
    <w:rsid w:val="00115D7B"/>
    <w:rsid w:val="001166A4"/>
    <w:rsid w:val="001211DA"/>
    <w:rsid w:val="00124853"/>
    <w:rsid w:val="001300A9"/>
    <w:rsid w:val="00134F85"/>
    <w:rsid w:val="001478A0"/>
    <w:rsid w:val="00155942"/>
    <w:rsid w:val="001560DE"/>
    <w:rsid w:val="00180110"/>
    <w:rsid w:val="00183491"/>
    <w:rsid w:val="00190F49"/>
    <w:rsid w:val="00193B8A"/>
    <w:rsid w:val="001B0A76"/>
    <w:rsid w:val="001B2C1D"/>
    <w:rsid w:val="001B4EF8"/>
    <w:rsid w:val="001C1826"/>
    <w:rsid w:val="001C3E11"/>
    <w:rsid w:val="001E78AA"/>
    <w:rsid w:val="001E7EF3"/>
    <w:rsid w:val="001F56D7"/>
    <w:rsid w:val="00200EB6"/>
    <w:rsid w:val="002204E0"/>
    <w:rsid w:val="00223C49"/>
    <w:rsid w:val="002360D5"/>
    <w:rsid w:val="00241607"/>
    <w:rsid w:val="00260BC4"/>
    <w:rsid w:val="0027466A"/>
    <w:rsid w:val="00279123"/>
    <w:rsid w:val="00282566"/>
    <w:rsid w:val="00282A05"/>
    <w:rsid w:val="00283A26"/>
    <w:rsid w:val="00287825"/>
    <w:rsid w:val="002933F2"/>
    <w:rsid w:val="002977C9"/>
    <w:rsid w:val="002A6462"/>
    <w:rsid w:val="002B06FC"/>
    <w:rsid w:val="002B17C3"/>
    <w:rsid w:val="002B37FF"/>
    <w:rsid w:val="002B60A4"/>
    <w:rsid w:val="002C3C1E"/>
    <w:rsid w:val="002C6452"/>
    <w:rsid w:val="002C6B52"/>
    <w:rsid w:val="002C79F4"/>
    <w:rsid w:val="002D673E"/>
    <w:rsid w:val="002E5CD0"/>
    <w:rsid w:val="002F2379"/>
    <w:rsid w:val="0031368F"/>
    <w:rsid w:val="0032032E"/>
    <w:rsid w:val="003237A8"/>
    <w:rsid w:val="0033114B"/>
    <w:rsid w:val="00332BCF"/>
    <w:rsid w:val="0033300B"/>
    <w:rsid w:val="0033439B"/>
    <w:rsid w:val="003367CB"/>
    <w:rsid w:val="003369EB"/>
    <w:rsid w:val="00337F8F"/>
    <w:rsid w:val="00350EB0"/>
    <w:rsid w:val="00351DB1"/>
    <w:rsid w:val="0035273A"/>
    <w:rsid w:val="003556ED"/>
    <w:rsid w:val="00357CEC"/>
    <w:rsid w:val="00362E4A"/>
    <w:rsid w:val="0036390A"/>
    <w:rsid w:val="00371F50"/>
    <w:rsid w:val="00380489"/>
    <w:rsid w:val="00381966"/>
    <w:rsid w:val="00383D96"/>
    <w:rsid w:val="00392B15"/>
    <w:rsid w:val="003B2AFF"/>
    <w:rsid w:val="003B72CB"/>
    <w:rsid w:val="003C4BA0"/>
    <w:rsid w:val="003C7A57"/>
    <w:rsid w:val="003D6C29"/>
    <w:rsid w:val="003E06C6"/>
    <w:rsid w:val="003F78A9"/>
    <w:rsid w:val="0041081B"/>
    <w:rsid w:val="00410BF7"/>
    <w:rsid w:val="00410EFD"/>
    <w:rsid w:val="00417173"/>
    <w:rsid w:val="00432DB8"/>
    <w:rsid w:val="00433F79"/>
    <w:rsid w:val="00436704"/>
    <w:rsid w:val="00436809"/>
    <w:rsid w:val="00440205"/>
    <w:rsid w:val="004439AA"/>
    <w:rsid w:val="00443F1D"/>
    <w:rsid w:val="00444D4F"/>
    <w:rsid w:val="00452B3F"/>
    <w:rsid w:val="00456102"/>
    <w:rsid w:val="00475AC8"/>
    <w:rsid w:val="0049088A"/>
    <w:rsid w:val="0049643B"/>
    <w:rsid w:val="004A282B"/>
    <w:rsid w:val="004A35B1"/>
    <w:rsid w:val="004A64C9"/>
    <w:rsid w:val="004B3A4A"/>
    <w:rsid w:val="004C2B74"/>
    <w:rsid w:val="004D41C1"/>
    <w:rsid w:val="004D6679"/>
    <w:rsid w:val="004D7FA3"/>
    <w:rsid w:val="004E1026"/>
    <w:rsid w:val="004E213F"/>
    <w:rsid w:val="004F74BD"/>
    <w:rsid w:val="00502394"/>
    <w:rsid w:val="00505FD2"/>
    <w:rsid w:val="0050696A"/>
    <w:rsid w:val="00521543"/>
    <w:rsid w:val="00532ACF"/>
    <w:rsid w:val="0054747F"/>
    <w:rsid w:val="00551595"/>
    <w:rsid w:val="00566B03"/>
    <w:rsid w:val="00576DAB"/>
    <w:rsid w:val="0057737A"/>
    <w:rsid w:val="0058242C"/>
    <w:rsid w:val="00587538"/>
    <w:rsid w:val="005900E4"/>
    <w:rsid w:val="005A419F"/>
    <w:rsid w:val="005B02EA"/>
    <w:rsid w:val="005B5A02"/>
    <w:rsid w:val="005C0C9B"/>
    <w:rsid w:val="005D065C"/>
    <w:rsid w:val="005D382A"/>
    <w:rsid w:val="005E3896"/>
    <w:rsid w:val="005E655C"/>
    <w:rsid w:val="006002A6"/>
    <w:rsid w:val="00601F9D"/>
    <w:rsid w:val="00603C3E"/>
    <w:rsid w:val="0061075E"/>
    <w:rsid w:val="00616427"/>
    <w:rsid w:val="00621BD8"/>
    <w:rsid w:val="00621C8C"/>
    <w:rsid w:val="00640480"/>
    <w:rsid w:val="00643C74"/>
    <w:rsid w:val="00656100"/>
    <w:rsid w:val="00661365"/>
    <w:rsid w:val="00664A6A"/>
    <w:rsid w:val="00666C89"/>
    <w:rsid w:val="00667D18"/>
    <w:rsid w:val="0067113F"/>
    <w:rsid w:val="006902A0"/>
    <w:rsid w:val="006917D1"/>
    <w:rsid w:val="006A6B58"/>
    <w:rsid w:val="006C1C99"/>
    <w:rsid w:val="006D02A6"/>
    <w:rsid w:val="006D32B3"/>
    <w:rsid w:val="006D6E94"/>
    <w:rsid w:val="006F392A"/>
    <w:rsid w:val="00703F10"/>
    <w:rsid w:val="00707BA2"/>
    <w:rsid w:val="00730219"/>
    <w:rsid w:val="00733182"/>
    <w:rsid w:val="007349E0"/>
    <w:rsid w:val="00736B1A"/>
    <w:rsid w:val="00744ECB"/>
    <w:rsid w:val="00745E3A"/>
    <w:rsid w:val="0077369F"/>
    <w:rsid w:val="0078131C"/>
    <w:rsid w:val="00794F14"/>
    <w:rsid w:val="00795FE5"/>
    <w:rsid w:val="007A7391"/>
    <w:rsid w:val="007E112E"/>
    <w:rsid w:val="007E3A8A"/>
    <w:rsid w:val="00812C85"/>
    <w:rsid w:val="0082715B"/>
    <w:rsid w:val="0084087F"/>
    <w:rsid w:val="0085559D"/>
    <w:rsid w:val="008703B8"/>
    <w:rsid w:val="00884513"/>
    <w:rsid w:val="00890347"/>
    <w:rsid w:val="008913F4"/>
    <w:rsid w:val="00891428"/>
    <w:rsid w:val="008B04E4"/>
    <w:rsid w:val="008B49E2"/>
    <w:rsid w:val="008C6E91"/>
    <w:rsid w:val="008CFB95"/>
    <w:rsid w:val="008D3DEE"/>
    <w:rsid w:val="008E0B41"/>
    <w:rsid w:val="008E58FA"/>
    <w:rsid w:val="008F73F7"/>
    <w:rsid w:val="0090089A"/>
    <w:rsid w:val="00920B01"/>
    <w:rsid w:val="009215E3"/>
    <w:rsid w:val="00926F66"/>
    <w:rsid w:val="009302CF"/>
    <w:rsid w:val="00934526"/>
    <w:rsid w:val="009464A4"/>
    <w:rsid w:val="00954A7C"/>
    <w:rsid w:val="0096253D"/>
    <w:rsid w:val="0096760A"/>
    <w:rsid w:val="00977BAF"/>
    <w:rsid w:val="009938E4"/>
    <w:rsid w:val="00995A32"/>
    <w:rsid w:val="009A152C"/>
    <w:rsid w:val="009A70F3"/>
    <w:rsid w:val="009C51A8"/>
    <w:rsid w:val="009D0AA1"/>
    <w:rsid w:val="009D1FB2"/>
    <w:rsid w:val="009D3B30"/>
    <w:rsid w:val="009D481F"/>
    <w:rsid w:val="009D6EC8"/>
    <w:rsid w:val="009E0F82"/>
    <w:rsid w:val="00A17585"/>
    <w:rsid w:val="00A33BA6"/>
    <w:rsid w:val="00A430E0"/>
    <w:rsid w:val="00A4421B"/>
    <w:rsid w:val="00A60EE4"/>
    <w:rsid w:val="00A61A55"/>
    <w:rsid w:val="00A634DF"/>
    <w:rsid w:val="00A66FDC"/>
    <w:rsid w:val="00A808DB"/>
    <w:rsid w:val="00A8324C"/>
    <w:rsid w:val="00A91CFF"/>
    <w:rsid w:val="00A92460"/>
    <w:rsid w:val="00A95A69"/>
    <w:rsid w:val="00A95F40"/>
    <w:rsid w:val="00A96B5A"/>
    <w:rsid w:val="00AA038D"/>
    <w:rsid w:val="00AA244E"/>
    <w:rsid w:val="00AC464A"/>
    <w:rsid w:val="00AC7966"/>
    <w:rsid w:val="00AD12F1"/>
    <w:rsid w:val="00AE37F1"/>
    <w:rsid w:val="00AE4EB7"/>
    <w:rsid w:val="00AF1A2D"/>
    <w:rsid w:val="00AF2E8A"/>
    <w:rsid w:val="00AF7521"/>
    <w:rsid w:val="00B01191"/>
    <w:rsid w:val="00B02A5C"/>
    <w:rsid w:val="00B06D72"/>
    <w:rsid w:val="00B14B7E"/>
    <w:rsid w:val="00B308D1"/>
    <w:rsid w:val="00B30AD5"/>
    <w:rsid w:val="00B36C92"/>
    <w:rsid w:val="00B60C73"/>
    <w:rsid w:val="00B76A34"/>
    <w:rsid w:val="00B84959"/>
    <w:rsid w:val="00B90E7D"/>
    <w:rsid w:val="00B9527B"/>
    <w:rsid w:val="00B97553"/>
    <w:rsid w:val="00BB21C4"/>
    <w:rsid w:val="00BB2CF2"/>
    <w:rsid w:val="00BB2E48"/>
    <w:rsid w:val="00BB33D9"/>
    <w:rsid w:val="00BB6D4C"/>
    <w:rsid w:val="00BC398F"/>
    <w:rsid w:val="00BC4387"/>
    <w:rsid w:val="00BC4DD5"/>
    <w:rsid w:val="00BE4D4F"/>
    <w:rsid w:val="00BE684B"/>
    <w:rsid w:val="00BF0108"/>
    <w:rsid w:val="00BF0D7E"/>
    <w:rsid w:val="00BF4076"/>
    <w:rsid w:val="00C20E24"/>
    <w:rsid w:val="00C23C96"/>
    <w:rsid w:val="00C23D99"/>
    <w:rsid w:val="00C2579D"/>
    <w:rsid w:val="00C265DA"/>
    <w:rsid w:val="00C31279"/>
    <w:rsid w:val="00C556D0"/>
    <w:rsid w:val="00C56D0A"/>
    <w:rsid w:val="00C603D3"/>
    <w:rsid w:val="00C6407D"/>
    <w:rsid w:val="00C938BA"/>
    <w:rsid w:val="00CA4196"/>
    <w:rsid w:val="00CA5E3D"/>
    <w:rsid w:val="00CA6A97"/>
    <w:rsid w:val="00CC46D1"/>
    <w:rsid w:val="00CC6887"/>
    <w:rsid w:val="00CD10EC"/>
    <w:rsid w:val="00CD1EF5"/>
    <w:rsid w:val="00CD24A0"/>
    <w:rsid w:val="00CD528D"/>
    <w:rsid w:val="00CE191C"/>
    <w:rsid w:val="00CE64B4"/>
    <w:rsid w:val="00CF473D"/>
    <w:rsid w:val="00CF726A"/>
    <w:rsid w:val="00D01474"/>
    <w:rsid w:val="00D01E4E"/>
    <w:rsid w:val="00D11BD4"/>
    <w:rsid w:val="00D2556B"/>
    <w:rsid w:val="00D26BC3"/>
    <w:rsid w:val="00D43B5D"/>
    <w:rsid w:val="00D60F20"/>
    <w:rsid w:val="00D63C45"/>
    <w:rsid w:val="00D65729"/>
    <w:rsid w:val="00D70C16"/>
    <w:rsid w:val="00D80A69"/>
    <w:rsid w:val="00D82BC4"/>
    <w:rsid w:val="00D82E61"/>
    <w:rsid w:val="00D92A1E"/>
    <w:rsid w:val="00DA3F1C"/>
    <w:rsid w:val="00DA636E"/>
    <w:rsid w:val="00DA7ED6"/>
    <w:rsid w:val="00DC0A0A"/>
    <w:rsid w:val="00DC188D"/>
    <w:rsid w:val="00DC6F9C"/>
    <w:rsid w:val="00DC79A9"/>
    <w:rsid w:val="00DD6EDC"/>
    <w:rsid w:val="00DE1DEF"/>
    <w:rsid w:val="00DF02A6"/>
    <w:rsid w:val="00E00D97"/>
    <w:rsid w:val="00E179E7"/>
    <w:rsid w:val="00E22288"/>
    <w:rsid w:val="00E23C44"/>
    <w:rsid w:val="00E23DD6"/>
    <w:rsid w:val="00E26731"/>
    <w:rsid w:val="00E36F73"/>
    <w:rsid w:val="00E452FD"/>
    <w:rsid w:val="00E47545"/>
    <w:rsid w:val="00E47E51"/>
    <w:rsid w:val="00E62D95"/>
    <w:rsid w:val="00E71B63"/>
    <w:rsid w:val="00E7234C"/>
    <w:rsid w:val="00E72E6D"/>
    <w:rsid w:val="00E7409F"/>
    <w:rsid w:val="00E773BB"/>
    <w:rsid w:val="00E93283"/>
    <w:rsid w:val="00E93EEA"/>
    <w:rsid w:val="00E94174"/>
    <w:rsid w:val="00E97F9F"/>
    <w:rsid w:val="00EA0486"/>
    <w:rsid w:val="00EA0E5C"/>
    <w:rsid w:val="00EA4D01"/>
    <w:rsid w:val="00EB59BA"/>
    <w:rsid w:val="00EC07C1"/>
    <w:rsid w:val="00ED3D9F"/>
    <w:rsid w:val="00EE4DBD"/>
    <w:rsid w:val="00EE776D"/>
    <w:rsid w:val="00EE7BC5"/>
    <w:rsid w:val="00F041B3"/>
    <w:rsid w:val="00F060CE"/>
    <w:rsid w:val="00F10819"/>
    <w:rsid w:val="00F12EBA"/>
    <w:rsid w:val="00F13A0B"/>
    <w:rsid w:val="00F171D9"/>
    <w:rsid w:val="00F240A4"/>
    <w:rsid w:val="00F260A7"/>
    <w:rsid w:val="00F4288E"/>
    <w:rsid w:val="00F722E2"/>
    <w:rsid w:val="00F80F63"/>
    <w:rsid w:val="00F87E0F"/>
    <w:rsid w:val="00FA3924"/>
    <w:rsid w:val="00FA6B6B"/>
    <w:rsid w:val="00FB68B1"/>
    <w:rsid w:val="00FB7E88"/>
    <w:rsid w:val="00FD0B5E"/>
    <w:rsid w:val="00FD3A36"/>
    <w:rsid w:val="00FD4166"/>
    <w:rsid w:val="00FD62E1"/>
    <w:rsid w:val="00FF5FD2"/>
    <w:rsid w:val="01820C0B"/>
    <w:rsid w:val="02947609"/>
    <w:rsid w:val="02ABE68A"/>
    <w:rsid w:val="0340A4B2"/>
    <w:rsid w:val="043D1CB6"/>
    <w:rsid w:val="059F0940"/>
    <w:rsid w:val="05EBF5ED"/>
    <w:rsid w:val="0604B8B7"/>
    <w:rsid w:val="07117577"/>
    <w:rsid w:val="07F07820"/>
    <w:rsid w:val="0888AFCF"/>
    <w:rsid w:val="09459E9F"/>
    <w:rsid w:val="0B1FCF7F"/>
    <w:rsid w:val="0B6929D1"/>
    <w:rsid w:val="0BAD52E8"/>
    <w:rsid w:val="0BDA0D86"/>
    <w:rsid w:val="0C17FB30"/>
    <w:rsid w:val="0C4095AC"/>
    <w:rsid w:val="0CF5C66B"/>
    <w:rsid w:val="0D239D8F"/>
    <w:rsid w:val="0D5D61E1"/>
    <w:rsid w:val="0E3C240A"/>
    <w:rsid w:val="0EA014FE"/>
    <w:rsid w:val="0FE696CF"/>
    <w:rsid w:val="114A2567"/>
    <w:rsid w:val="1259B550"/>
    <w:rsid w:val="12ABD873"/>
    <w:rsid w:val="12AE645C"/>
    <w:rsid w:val="12E7090C"/>
    <w:rsid w:val="12FF1431"/>
    <w:rsid w:val="143FE912"/>
    <w:rsid w:val="145B21AA"/>
    <w:rsid w:val="15462211"/>
    <w:rsid w:val="160B51AE"/>
    <w:rsid w:val="169B2D24"/>
    <w:rsid w:val="17A5B978"/>
    <w:rsid w:val="18760564"/>
    <w:rsid w:val="1877938F"/>
    <w:rsid w:val="196FD94F"/>
    <w:rsid w:val="199F68D8"/>
    <w:rsid w:val="19B31794"/>
    <w:rsid w:val="1A2689CE"/>
    <w:rsid w:val="1D935789"/>
    <w:rsid w:val="1E85DAD6"/>
    <w:rsid w:val="1EF65CF5"/>
    <w:rsid w:val="200E75F0"/>
    <w:rsid w:val="201034CF"/>
    <w:rsid w:val="21A61628"/>
    <w:rsid w:val="23187D8D"/>
    <w:rsid w:val="23A81F1D"/>
    <w:rsid w:val="23E19793"/>
    <w:rsid w:val="24E6C16A"/>
    <w:rsid w:val="265D59A4"/>
    <w:rsid w:val="26E1BDB9"/>
    <w:rsid w:val="270E39E3"/>
    <w:rsid w:val="275473D7"/>
    <w:rsid w:val="27CB74E3"/>
    <w:rsid w:val="27F8DC63"/>
    <w:rsid w:val="281A1624"/>
    <w:rsid w:val="2846CE06"/>
    <w:rsid w:val="284BEA3A"/>
    <w:rsid w:val="29154863"/>
    <w:rsid w:val="2955537D"/>
    <w:rsid w:val="2966786E"/>
    <w:rsid w:val="2A454466"/>
    <w:rsid w:val="2A5E177D"/>
    <w:rsid w:val="2AF108E0"/>
    <w:rsid w:val="2C97CAF3"/>
    <w:rsid w:val="2CA30901"/>
    <w:rsid w:val="2CF7F290"/>
    <w:rsid w:val="2E000236"/>
    <w:rsid w:val="2E06A410"/>
    <w:rsid w:val="2E27FFEF"/>
    <w:rsid w:val="2E316082"/>
    <w:rsid w:val="2E43FCF7"/>
    <w:rsid w:val="2E4D33B3"/>
    <w:rsid w:val="30672E21"/>
    <w:rsid w:val="316FAB63"/>
    <w:rsid w:val="3245EB9A"/>
    <w:rsid w:val="328DA1C2"/>
    <w:rsid w:val="33C58BC9"/>
    <w:rsid w:val="3470C0C7"/>
    <w:rsid w:val="34925BF6"/>
    <w:rsid w:val="353BBAC5"/>
    <w:rsid w:val="353E7B35"/>
    <w:rsid w:val="354DB14C"/>
    <w:rsid w:val="35BB4BC5"/>
    <w:rsid w:val="360410BC"/>
    <w:rsid w:val="362DBAD1"/>
    <w:rsid w:val="371A5BD8"/>
    <w:rsid w:val="371DBDE0"/>
    <w:rsid w:val="3752F5E2"/>
    <w:rsid w:val="37C84339"/>
    <w:rsid w:val="37D6BDD6"/>
    <w:rsid w:val="37F522C6"/>
    <w:rsid w:val="3847670C"/>
    <w:rsid w:val="38C15761"/>
    <w:rsid w:val="39F4CB0D"/>
    <w:rsid w:val="3A1D6096"/>
    <w:rsid w:val="3B443E02"/>
    <w:rsid w:val="3BD6B545"/>
    <w:rsid w:val="3D324C31"/>
    <w:rsid w:val="3DB71207"/>
    <w:rsid w:val="3DFCD440"/>
    <w:rsid w:val="3E3F3760"/>
    <w:rsid w:val="4020AB01"/>
    <w:rsid w:val="404061EC"/>
    <w:rsid w:val="405FDDDB"/>
    <w:rsid w:val="40FE3381"/>
    <w:rsid w:val="41348C0C"/>
    <w:rsid w:val="41425096"/>
    <w:rsid w:val="41A562C3"/>
    <w:rsid w:val="4422CCF2"/>
    <w:rsid w:val="44700A47"/>
    <w:rsid w:val="45BA4B8D"/>
    <w:rsid w:val="45E99A34"/>
    <w:rsid w:val="4792BE4F"/>
    <w:rsid w:val="494E0194"/>
    <w:rsid w:val="4B5CD2CD"/>
    <w:rsid w:val="4C6E3C0C"/>
    <w:rsid w:val="4D50D412"/>
    <w:rsid w:val="4E70E883"/>
    <w:rsid w:val="4FD1430A"/>
    <w:rsid w:val="4FDE8FD2"/>
    <w:rsid w:val="51E31EB6"/>
    <w:rsid w:val="524E30F6"/>
    <w:rsid w:val="5431C143"/>
    <w:rsid w:val="545C1B1C"/>
    <w:rsid w:val="54CA1613"/>
    <w:rsid w:val="56B5384B"/>
    <w:rsid w:val="570DEBD2"/>
    <w:rsid w:val="57DB9F01"/>
    <w:rsid w:val="59E3F7F0"/>
    <w:rsid w:val="5AE0FC8F"/>
    <w:rsid w:val="5C08CCCD"/>
    <w:rsid w:val="5C12A3B5"/>
    <w:rsid w:val="5C20D4CC"/>
    <w:rsid w:val="5C7C1A88"/>
    <w:rsid w:val="5EA3CF18"/>
    <w:rsid w:val="5F20C0ED"/>
    <w:rsid w:val="5F673433"/>
    <w:rsid w:val="6096F092"/>
    <w:rsid w:val="60BA31DD"/>
    <w:rsid w:val="60E2ECC6"/>
    <w:rsid w:val="626A1093"/>
    <w:rsid w:val="632B7B89"/>
    <w:rsid w:val="632F6AE6"/>
    <w:rsid w:val="63625820"/>
    <w:rsid w:val="63715BC2"/>
    <w:rsid w:val="64244E35"/>
    <w:rsid w:val="64655739"/>
    <w:rsid w:val="6483C581"/>
    <w:rsid w:val="662AB41E"/>
    <w:rsid w:val="66B72F03"/>
    <w:rsid w:val="68380FEE"/>
    <w:rsid w:val="6A7B3A0D"/>
    <w:rsid w:val="6A9F580B"/>
    <w:rsid w:val="6BE2CFC2"/>
    <w:rsid w:val="6BF47917"/>
    <w:rsid w:val="6C0A65A7"/>
    <w:rsid w:val="6C400CED"/>
    <w:rsid w:val="6D795A62"/>
    <w:rsid w:val="6F02F897"/>
    <w:rsid w:val="6F24620B"/>
    <w:rsid w:val="6F249CAD"/>
    <w:rsid w:val="700628CD"/>
    <w:rsid w:val="7031FEA8"/>
    <w:rsid w:val="71D856CD"/>
    <w:rsid w:val="722116A4"/>
    <w:rsid w:val="722E1279"/>
    <w:rsid w:val="72FA1B49"/>
    <w:rsid w:val="73603E75"/>
    <w:rsid w:val="73AE784D"/>
    <w:rsid w:val="73B760DA"/>
    <w:rsid w:val="7435EF38"/>
    <w:rsid w:val="74378FF8"/>
    <w:rsid w:val="74C70AEC"/>
    <w:rsid w:val="74EFD4AB"/>
    <w:rsid w:val="7642CF99"/>
    <w:rsid w:val="776FE09E"/>
    <w:rsid w:val="77910A51"/>
    <w:rsid w:val="77F7B0CA"/>
    <w:rsid w:val="782149A7"/>
    <w:rsid w:val="79B4F5DF"/>
    <w:rsid w:val="79BBF508"/>
    <w:rsid w:val="79E410F2"/>
    <w:rsid w:val="7BBF0B28"/>
    <w:rsid w:val="7CA39C7A"/>
    <w:rsid w:val="7E37F2B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2DC809"/>
  <w15:chartTrackingRefBased/>
  <w15:docId w15:val="{CBCCA850-48F4-4482-952E-D24485334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03F10"/>
    <w:pPr>
      <w:spacing w:after="200" w:line="276" w:lineRule="auto"/>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39"/>
    <w:rsid w:val="00703F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97553"/>
    <w:pPr>
      <w:autoSpaceDE w:val="0"/>
      <w:autoSpaceDN w:val="0"/>
      <w:adjustRightInd w:val="0"/>
      <w:spacing w:after="0" w:line="240" w:lineRule="auto"/>
    </w:pPr>
    <w:rPr>
      <w:rFonts w:ascii="Times New Roman" w:hAnsi="Times New Roman" w:cs="Times New Roman"/>
      <w:color w:val="000000"/>
      <w:sz w:val="24"/>
      <w:szCs w:val="24"/>
    </w:rPr>
  </w:style>
  <w:style w:type="paragraph" w:styleId="Odsekzoznamu">
    <w:name w:val="List Paragraph"/>
    <w:basedOn w:val="Normlny"/>
    <w:uiPriority w:val="34"/>
    <w:qFormat/>
    <w:rsid w:val="00FD62E1"/>
    <w:pPr>
      <w:ind w:left="720"/>
      <w:contextualSpacing/>
    </w:pPr>
  </w:style>
  <w:style w:type="table" w:customStyle="1" w:styleId="TableGrid1">
    <w:name w:val="Table Grid1"/>
    <w:basedOn w:val="Normlnatabuka"/>
    <w:next w:val="Mriekatabuky"/>
    <w:uiPriority w:val="39"/>
    <w:rsid w:val="004F74B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1">
    <w:name w:val="Text 1"/>
    <w:basedOn w:val="Normlny"/>
    <w:rsid w:val="004F74BD"/>
    <w:pPr>
      <w:spacing w:before="120" w:after="120" w:line="360" w:lineRule="auto"/>
      <w:ind w:left="850"/>
    </w:pPr>
    <w:rPr>
      <w:rFonts w:ascii="Times New Roman" w:hAnsi="Times New Roman" w:cs="Times New Roman"/>
      <w:sz w:val="24"/>
    </w:rPr>
  </w:style>
  <w:style w:type="paragraph" w:customStyle="1" w:styleId="Point1">
    <w:name w:val="Point 1"/>
    <w:basedOn w:val="Normlny"/>
    <w:rsid w:val="004F74BD"/>
    <w:pPr>
      <w:spacing w:before="120" w:after="120" w:line="360" w:lineRule="auto"/>
      <w:ind w:left="1417" w:hanging="567"/>
    </w:pPr>
    <w:rPr>
      <w:rFonts w:ascii="Times New Roman" w:hAnsi="Times New Roman" w:cs="Times New Roman"/>
      <w:sz w:val="24"/>
    </w:rPr>
  </w:style>
  <w:style w:type="paragraph" w:customStyle="1" w:styleId="Text2">
    <w:name w:val="Text 2"/>
    <w:basedOn w:val="Normlny"/>
    <w:rsid w:val="004F74BD"/>
    <w:pPr>
      <w:spacing w:before="120" w:after="120" w:line="360" w:lineRule="auto"/>
      <w:ind w:left="1417"/>
    </w:pPr>
    <w:rPr>
      <w:rFonts w:ascii="Times New Roman" w:hAnsi="Times New Roman" w:cs="Times New Roman"/>
      <w:sz w:val="24"/>
    </w:rPr>
  </w:style>
  <w:style w:type="paragraph" w:styleId="Textbubliny">
    <w:name w:val="Balloon Text"/>
    <w:basedOn w:val="Normlny"/>
    <w:link w:val="TextbublinyChar"/>
    <w:uiPriority w:val="99"/>
    <w:semiHidden/>
    <w:unhideWhenUsed/>
    <w:rsid w:val="00DD6EDC"/>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DD6EDC"/>
    <w:rPr>
      <w:rFonts w:ascii="Segoe UI" w:hAnsi="Segoe UI" w:cs="Segoe UI"/>
      <w:sz w:val="18"/>
      <w:szCs w:val="18"/>
    </w:rPr>
  </w:style>
  <w:style w:type="character" w:styleId="Odkaznakomentr">
    <w:name w:val="annotation reference"/>
    <w:basedOn w:val="Predvolenpsmoodseku"/>
    <w:uiPriority w:val="99"/>
    <w:semiHidden/>
    <w:unhideWhenUsed/>
    <w:rsid w:val="007E3A8A"/>
    <w:rPr>
      <w:sz w:val="16"/>
      <w:szCs w:val="16"/>
    </w:rPr>
  </w:style>
  <w:style w:type="paragraph" w:styleId="Textkomentra">
    <w:name w:val="annotation text"/>
    <w:basedOn w:val="Normlny"/>
    <w:link w:val="TextkomentraChar"/>
    <w:uiPriority w:val="99"/>
    <w:semiHidden/>
    <w:unhideWhenUsed/>
    <w:rsid w:val="007E3A8A"/>
    <w:pPr>
      <w:spacing w:line="240" w:lineRule="auto"/>
    </w:pPr>
    <w:rPr>
      <w:sz w:val="20"/>
      <w:szCs w:val="20"/>
    </w:rPr>
  </w:style>
  <w:style w:type="character" w:customStyle="1" w:styleId="TextkomentraChar">
    <w:name w:val="Text komentára Char"/>
    <w:basedOn w:val="Predvolenpsmoodseku"/>
    <w:link w:val="Textkomentra"/>
    <w:uiPriority w:val="99"/>
    <w:semiHidden/>
    <w:rsid w:val="007E3A8A"/>
    <w:rPr>
      <w:sz w:val="20"/>
      <w:szCs w:val="20"/>
    </w:rPr>
  </w:style>
  <w:style w:type="paragraph" w:styleId="Predmetkomentra">
    <w:name w:val="annotation subject"/>
    <w:basedOn w:val="Textkomentra"/>
    <w:next w:val="Textkomentra"/>
    <w:link w:val="PredmetkomentraChar"/>
    <w:uiPriority w:val="99"/>
    <w:semiHidden/>
    <w:unhideWhenUsed/>
    <w:rsid w:val="007E3A8A"/>
    <w:rPr>
      <w:b/>
      <w:bCs/>
    </w:rPr>
  </w:style>
  <w:style w:type="character" w:customStyle="1" w:styleId="PredmetkomentraChar">
    <w:name w:val="Predmet komentára Char"/>
    <w:basedOn w:val="TextkomentraChar"/>
    <w:link w:val="Predmetkomentra"/>
    <w:uiPriority w:val="99"/>
    <w:semiHidden/>
    <w:rsid w:val="007E3A8A"/>
    <w:rPr>
      <w:b/>
      <w:bCs/>
      <w:sz w:val="20"/>
      <w:szCs w:val="20"/>
    </w:rPr>
  </w:style>
  <w:style w:type="paragraph" w:styleId="Hlavika">
    <w:name w:val="header"/>
    <w:basedOn w:val="Normlny"/>
    <w:link w:val="HlavikaChar"/>
    <w:uiPriority w:val="99"/>
    <w:unhideWhenUsed/>
    <w:rsid w:val="001E7EF3"/>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1E7EF3"/>
  </w:style>
  <w:style w:type="paragraph" w:styleId="Pta">
    <w:name w:val="footer"/>
    <w:basedOn w:val="Normlny"/>
    <w:link w:val="PtaChar"/>
    <w:uiPriority w:val="99"/>
    <w:unhideWhenUsed/>
    <w:rsid w:val="001E7EF3"/>
    <w:pPr>
      <w:tabs>
        <w:tab w:val="center" w:pos="4536"/>
        <w:tab w:val="right" w:pos="9072"/>
      </w:tabs>
      <w:spacing w:after="0" w:line="240" w:lineRule="auto"/>
    </w:pPr>
  </w:style>
  <w:style w:type="character" w:customStyle="1" w:styleId="PtaChar">
    <w:name w:val="Päta Char"/>
    <w:basedOn w:val="Predvolenpsmoodseku"/>
    <w:link w:val="Pta"/>
    <w:uiPriority w:val="99"/>
    <w:rsid w:val="001E7EF3"/>
  </w:style>
  <w:style w:type="character" w:styleId="Hypertextovprepojenie">
    <w:name w:val="Hyperlink"/>
    <w:basedOn w:val="Predvolenpsmoodseku"/>
    <w:uiPriority w:val="99"/>
    <w:unhideWhenUsed/>
    <w:rsid w:val="000150AA"/>
    <w:rPr>
      <w:color w:val="0563C1" w:themeColor="hyperlink"/>
      <w:u w:val="single"/>
    </w:rPr>
  </w:style>
  <w:style w:type="character" w:customStyle="1" w:styleId="normaltextrun">
    <w:name w:val="normaltextrun"/>
    <w:basedOn w:val="Predvolenpsmoodseku"/>
    <w:rsid w:val="00CE64B4"/>
  </w:style>
  <w:style w:type="character" w:customStyle="1" w:styleId="eop">
    <w:name w:val="eop"/>
    <w:basedOn w:val="Predvolenpsmoodseku"/>
    <w:rsid w:val="00CE64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91966">
      <w:bodyDiv w:val="1"/>
      <w:marLeft w:val="0"/>
      <w:marRight w:val="0"/>
      <w:marTop w:val="0"/>
      <w:marBottom w:val="0"/>
      <w:divBdr>
        <w:top w:val="none" w:sz="0" w:space="0" w:color="auto"/>
        <w:left w:val="none" w:sz="0" w:space="0" w:color="auto"/>
        <w:bottom w:val="none" w:sz="0" w:space="0" w:color="auto"/>
        <w:right w:val="none" w:sz="0" w:space="0" w:color="auto"/>
      </w:divBdr>
    </w:div>
    <w:div w:id="95177686">
      <w:bodyDiv w:val="1"/>
      <w:marLeft w:val="0"/>
      <w:marRight w:val="0"/>
      <w:marTop w:val="0"/>
      <w:marBottom w:val="0"/>
      <w:divBdr>
        <w:top w:val="none" w:sz="0" w:space="0" w:color="auto"/>
        <w:left w:val="none" w:sz="0" w:space="0" w:color="auto"/>
        <w:bottom w:val="none" w:sz="0" w:space="0" w:color="auto"/>
        <w:right w:val="none" w:sz="0" w:space="0" w:color="auto"/>
      </w:divBdr>
    </w:div>
    <w:div w:id="264002792">
      <w:bodyDiv w:val="1"/>
      <w:marLeft w:val="0"/>
      <w:marRight w:val="0"/>
      <w:marTop w:val="0"/>
      <w:marBottom w:val="0"/>
      <w:divBdr>
        <w:top w:val="none" w:sz="0" w:space="0" w:color="auto"/>
        <w:left w:val="none" w:sz="0" w:space="0" w:color="auto"/>
        <w:bottom w:val="none" w:sz="0" w:space="0" w:color="auto"/>
        <w:right w:val="none" w:sz="0" w:space="0" w:color="auto"/>
      </w:divBdr>
      <w:divsChild>
        <w:div w:id="1007365338">
          <w:marLeft w:val="255"/>
          <w:marRight w:val="0"/>
          <w:marTop w:val="75"/>
          <w:marBottom w:val="0"/>
          <w:divBdr>
            <w:top w:val="none" w:sz="0" w:space="0" w:color="auto"/>
            <w:left w:val="none" w:sz="0" w:space="0" w:color="auto"/>
            <w:bottom w:val="none" w:sz="0" w:space="0" w:color="auto"/>
            <w:right w:val="none" w:sz="0" w:space="0" w:color="auto"/>
          </w:divBdr>
        </w:div>
        <w:div w:id="953827099">
          <w:marLeft w:val="255"/>
          <w:marRight w:val="0"/>
          <w:marTop w:val="75"/>
          <w:marBottom w:val="0"/>
          <w:divBdr>
            <w:top w:val="none" w:sz="0" w:space="0" w:color="auto"/>
            <w:left w:val="none" w:sz="0" w:space="0" w:color="auto"/>
            <w:bottom w:val="none" w:sz="0" w:space="0" w:color="auto"/>
            <w:right w:val="none" w:sz="0" w:space="0" w:color="auto"/>
          </w:divBdr>
        </w:div>
      </w:divsChild>
    </w:div>
    <w:div w:id="348918529">
      <w:bodyDiv w:val="1"/>
      <w:marLeft w:val="0"/>
      <w:marRight w:val="0"/>
      <w:marTop w:val="0"/>
      <w:marBottom w:val="0"/>
      <w:divBdr>
        <w:top w:val="none" w:sz="0" w:space="0" w:color="auto"/>
        <w:left w:val="none" w:sz="0" w:space="0" w:color="auto"/>
        <w:bottom w:val="none" w:sz="0" w:space="0" w:color="auto"/>
        <w:right w:val="none" w:sz="0" w:space="0" w:color="auto"/>
      </w:divBdr>
      <w:divsChild>
        <w:div w:id="1260333407">
          <w:marLeft w:val="0"/>
          <w:marRight w:val="0"/>
          <w:marTop w:val="0"/>
          <w:marBottom w:val="0"/>
          <w:divBdr>
            <w:top w:val="none" w:sz="0" w:space="0" w:color="auto"/>
            <w:left w:val="none" w:sz="0" w:space="0" w:color="auto"/>
            <w:bottom w:val="none" w:sz="0" w:space="0" w:color="auto"/>
            <w:right w:val="none" w:sz="0" w:space="0" w:color="auto"/>
          </w:divBdr>
          <w:divsChild>
            <w:div w:id="873034495">
              <w:marLeft w:val="0"/>
              <w:marRight w:val="0"/>
              <w:marTop w:val="0"/>
              <w:marBottom w:val="0"/>
              <w:divBdr>
                <w:top w:val="none" w:sz="0" w:space="0" w:color="auto"/>
                <w:left w:val="none" w:sz="0" w:space="0" w:color="auto"/>
                <w:bottom w:val="none" w:sz="0" w:space="0" w:color="auto"/>
                <w:right w:val="none" w:sz="0" w:space="0" w:color="auto"/>
              </w:divBdr>
            </w:div>
          </w:divsChild>
        </w:div>
        <w:div w:id="1081368710">
          <w:marLeft w:val="0"/>
          <w:marRight w:val="0"/>
          <w:marTop w:val="0"/>
          <w:marBottom w:val="0"/>
          <w:divBdr>
            <w:top w:val="none" w:sz="0" w:space="0" w:color="auto"/>
            <w:left w:val="none" w:sz="0" w:space="0" w:color="auto"/>
            <w:bottom w:val="none" w:sz="0" w:space="0" w:color="auto"/>
            <w:right w:val="none" w:sz="0" w:space="0" w:color="auto"/>
          </w:divBdr>
          <w:divsChild>
            <w:div w:id="976573709">
              <w:marLeft w:val="0"/>
              <w:marRight w:val="0"/>
              <w:marTop w:val="0"/>
              <w:marBottom w:val="0"/>
              <w:divBdr>
                <w:top w:val="none" w:sz="0" w:space="0" w:color="auto"/>
                <w:left w:val="none" w:sz="0" w:space="0" w:color="auto"/>
                <w:bottom w:val="none" w:sz="0" w:space="0" w:color="auto"/>
                <w:right w:val="none" w:sz="0" w:space="0" w:color="auto"/>
              </w:divBdr>
            </w:div>
            <w:div w:id="18906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515439">
      <w:bodyDiv w:val="1"/>
      <w:marLeft w:val="0"/>
      <w:marRight w:val="0"/>
      <w:marTop w:val="0"/>
      <w:marBottom w:val="0"/>
      <w:divBdr>
        <w:top w:val="none" w:sz="0" w:space="0" w:color="auto"/>
        <w:left w:val="none" w:sz="0" w:space="0" w:color="auto"/>
        <w:bottom w:val="none" w:sz="0" w:space="0" w:color="auto"/>
        <w:right w:val="none" w:sz="0" w:space="0" w:color="auto"/>
      </w:divBdr>
      <w:divsChild>
        <w:div w:id="712466768">
          <w:marLeft w:val="0"/>
          <w:marRight w:val="0"/>
          <w:marTop w:val="0"/>
          <w:marBottom w:val="0"/>
          <w:divBdr>
            <w:top w:val="none" w:sz="0" w:space="0" w:color="auto"/>
            <w:left w:val="none" w:sz="0" w:space="0" w:color="auto"/>
            <w:bottom w:val="none" w:sz="0" w:space="0" w:color="auto"/>
            <w:right w:val="none" w:sz="0" w:space="0" w:color="auto"/>
          </w:divBdr>
        </w:div>
        <w:div w:id="1723014202">
          <w:marLeft w:val="0"/>
          <w:marRight w:val="0"/>
          <w:marTop w:val="0"/>
          <w:marBottom w:val="0"/>
          <w:divBdr>
            <w:top w:val="none" w:sz="0" w:space="0" w:color="auto"/>
            <w:left w:val="none" w:sz="0" w:space="0" w:color="auto"/>
            <w:bottom w:val="none" w:sz="0" w:space="0" w:color="auto"/>
            <w:right w:val="none" w:sz="0" w:space="0" w:color="auto"/>
          </w:divBdr>
        </w:div>
        <w:div w:id="1603762535">
          <w:marLeft w:val="0"/>
          <w:marRight w:val="0"/>
          <w:marTop w:val="0"/>
          <w:marBottom w:val="0"/>
          <w:divBdr>
            <w:top w:val="none" w:sz="0" w:space="0" w:color="auto"/>
            <w:left w:val="none" w:sz="0" w:space="0" w:color="auto"/>
            <w:bottom w:val="none" w:sz="0" w:space="0" w:color="auto"/>
            <w:right w:val="none" w:sz="0" w:space="0" w:color="auto"/>
          </w:divBdr>
        </w:div>
      </w:divsChild>
    </w:div>
    <w:div w:id="939722848">
      <w:bodyDiv w:val="1"/>
      <w:marLeft w:val="0"/>
      <w:marRight w:val="0"/>
      <w:marTop w:val="0"/>
      <w:marBottom w:val="0"/>
      <w:divBdr>
        <w:top w:val="none" w:sz="0" w:space="0" w:color="auto"/>
        <w:left w:val="none" w:sz="0" w:space="0" w:color="auto"/>
        <w:bottom w:val="none" w:sz="0" w:space="0" w:color="auto"/>
        <w:right w:val="none" w:sz="0" w:space="0" w:color="auto"/>
      </w:divBdr>
      <w:divsChild>
        <w:div w:id="1846167853">
          <w:marLeft w:val="0"/>
          <w:marRight w:val="0"/>
          <w:marTop w:val="0"/>
          <w:marBottom w:val="0"/>
          <w:divBdr>
            <w:top w:val="none" w:sz="0" w:space="0" w:color="auto"/>
            <w:left w:val="none" w:sz="0" w:space="0" w:color="auto"/>
            <w:bottom w:val="none" w:sz="0" w:space="0" w:color="auto"/>
            <w:right w:val="none" w:sz="0" w:space="0" w:color="auto"/>
          </w:divBdr>
        </w:div>
        <w:div w:id="1927953417">
          <w:marLeft w:val="0"/>
          <w:marRight w:val="0"/>
          <w:marTop w:val="0"/>
          <w:marBottom w:val="0"/>
          <w:divBdr>
            <w:top w:val="none" w:sz="0" w:space="0" w:color="auto"/>
            <w:left w:val="none" w:sz="0" w:space="0" w:color="auto"/>
            <w:bottom w:val="none" w:sz="0" w:space="0" w:color="auto"/>
            <w:right w:val="none" w:sz="0" w:space="0" w:color="auto"/>
          </w:divBdr>
        </w:div>
        <w:div w:id="647638190">
          <w:marLeft w:val="0"/>
          <w:marRight w:val="0"/>
          <w:marTop w:val="0"/>
          <w:marBottom w:val="0"/>
          <w:divBdr>
            <w:top w:val="none" w:sz="0" w:space="0" w:color="auto"/>
            <w:left w:val="none" w:sz="0" w:space="0" w:color="auto"/>
            <w:bottom w:val="none" w:sz="0" w:space="0" w:color="auto"/>
            <w:right w:val="none" w:sz="0" w:space="0" w:color="auto"/>
          </w:divBdr>
        </w:div>
        <w:div w:id="586890016">
          <w:marLeft w:val="0"/>
          <w:marRight w:val="0"/>
          <w:marTop w:val="0"/>
          <w:marBottom w:val="0"/>
          <w:divBdr>
            <w:top w:val="none" w:sz="0" w:space="0" w:color="auto"/>
            <w:left w:val="none" w:sz="0" w:space="0" w:color="auto"/>
            <w:bottom w:val="none" w:sz="0" w:space="0" w:color="auto"/>
            <w:right w:val="none" w:sz="0" w:space="0" w:color="auto"/>
          </w:divBdr>
        </w:div>
        <w:div w:id="24673720">
          <w:marLeft w:val="0"/>
          <w:marRight w:val="0"/>
          <w:marTop w:val="0"/>
          <w:marBottom w:val="0"/>
          <w:divBdr>
            <w:top w:val="none" w:sz="0" w:space="0" w:color="auto"/>
            <w:left w:val="none" w:sz="0" w:space="0" w:color="auto"/>
            <w:bottom w:val="none" w:sz="0" w:space="0" w:color="auto"/>
            <w:right w:val="none" w:sz="0" w:space="0" w:color="auto"/>
          </w:divBdr>
        </w:div>
        <w:div w:id="1951812473">
          <w:marLeft w:val="0"/>
          <w:marRight w:val="0"/>
          <w:marTop w:val="0"/>
          <w:marBottom w:val="0"/>
          <w:divBdr>
            <w:top w:val="none" w:sz="0" w:space="0" w:color="auto"/>
            <w:left w:val="none" w:sz="0" w:space="0" w:color="auto"/>
            <w:bottom w:val="none" w:sz="0" w:space="0" w:color="auto"/>
            <w:right w:val="none" w:sz="0" w:space="0" w:color="auto"/>
          </w:divBdr>
        </w:div>
        <w:div w:id="127941908">
          <w:marLeft w:val="0"/>
          <w:marRight w:val="0"/>
          <w:marTop w:val="0"/>
          <w:marBottom w:val="0"/>
          <w:divBdr>
            <w:top w:val="none" w:sz="0" w:space="0" w:color="auto"/>
            <w:left w:val="none" w:sz="0" w:space="0" w:color="auto"/>
            <w:bottom w:val="none" w:sz="0" w:space="0" w:color="auto"/>
            <w:right w:val="none" w:sz="0" w:space="0" w:color="auto"/>
          </w:divBdr>
        </w:div>
        <w:div w:id="1020358675">
          <w:marLeft w:val="0"/>
          <w:marRight w:val="0"/>
          <w:marTop w:val="0"/>
          <w:marBottom w:val="0"/>
          <w:divBdr>
            <w:top w:val="none" w:sz="0" w:space="0" w:color="auto"/>
            <w:left w:val="none" w:sz="0" w:space="0" w:color="auto"/>
            <w:bottom w:val="none" w:sz="0" w:space="0" w:color="auto"/>
            <w:right w:val="none" w:sz="0" w:space="0" w:color="auto"/>
          </w:divBdr>
        </w:div>
        <w:div w:id="830566356">
          <w:marLeft w:val="0"/>
          <w:marRight w:val="0"/>
          <w:marTop w:val="0"/>
          <w:marBottom w:val="0"/>
          <w:divBdr>
            <w:top w:val="none" w:sz="0" w:space="0" w:color="auto"/>
            <w:left w:val="none" w:sz="0" w:space="0" w:color="auto"/>
            <w:bottom w:val="none" w:sz="0" w:space="0" w:color="auto"/>
            <w:right w:val="none" w:sz="0" w:space="0" w:color="auto"/>
          </w:divBdr>
        </w:div>
      </w:divsChild>
    </w:div>
    <w:div w:id="1163818164">
      <w:bodyDiv w:val="1"/>
      <w:marLeft w:val="0"/>
      <w:marRight w:val="0"/>
      <w:marTop w:val="0"/>
      <w:marBottom w:val="0"/>
      <w:divBdr>
        <w:top w:val="none" w:sz="0" w:space="0" w:color="auto"/>
        <w:left w:val="none" w:sz="0" w:space="0" w:color="auto"/>
        <w:bottom w:val="none" w:sz="0" w:space="0" w:color="auto"/>
        <w:right w:val="none" w:sz="0" w:space="0" w:color="auto"/>
      </w:divBdr>
      <w:divsChild>
        <w:div w:id="903682665">
          <w:marLeft w:val="0"/>
          <w:marRight w:val="0"/>
          <w:marTop w:val="0"/>
          <w:marBottom w:val="0"/>
          <w:divBdr>
            <w:top w:val="none" w:sz="0" w:space="0" w:color="auto"/>
            <w:left w:val="none" w:sz="0" w:space="0" w:color="auto"/>
            <w:bottom w:val="none" w:sz="0" w:space="0" w:color="auto"/>
            <w:right w:val="none" w:sz="0" w:space="0" w:color="auto"/>
          </w:divBdr>
        </w:div>
        <w:div w:id="1101221311">
          <w:marLeft w:val="0"/>
          <w:marRight w:val="0"/>
          <w:marTop w:val="0"/>
          <w:marBottom w:val="0"/>
          <w:divBdr>
            <w:top w:val="none" w:sz="0" w:space="0" w:color="auto"/>
            <w:left w:val="none" w:sz="0" w:space="0" w:color="auto"/>
            <w:bottom w:val="none" w:sz="0" w:space="0" w:color="auto"/>
            <w:right w:val="none" w:sz="0" w:space="0" w:color="auto"/>
          </w:divBdr>
        </w:div>
      </w:divsChild>
    </w:div>
    <w:div w:id="1196313913">
      <w:bodyDiv w:val="1"/>
      <w:marLeft w:val="0"/>
      <w:marRight w:val="0"/>
      <w:marTop w:val="0"/>
      <w:marBottom w:val="0"/>
      <w:divBdr>
        <w:top w:val="none" w:sz="0" w:space="0" w:color="auto"/>
        <w:left w:val="none" w:sz="0" w:space="0" w:color="auto"/>
        <w:bottom w:val="none" w:sz="0" w:space="0" w:color="auto"/>
        <w:right w:val="none" w:sz="0" w:space="0" w:color="auto"/>
      </w:divBdr>
      <w:divsChild>
        <w:div w:id="2022929268">
          <w:marLeft w:val="0"/>
          <w:marRight w:val="0"/>
          <w:marTop w:val="0"/>
          <w:marBottom w:val="0"/>
          <w:divBdr>
            <w:top w:val="none" w:sz="0" w:space="0" w:color="auto"/>
            <w:left w:val="none" w:sz="0" w:space="0" w:color="auto"/>
            <w:bottom w:val="none" w:sz="0" w:space="0" w:color="auto"/>
            <w:right w:val="none" w:sz="0" w:space="0" w:color="auto"/>
          </w:divBdr>
        </w:div>
        <w:div w:id="1236554649">
          <w:marLeft w:val="0"/>
          <w:marRight w:val="0"/>
          <w:marTop w:val="0"/>
          <w:marBottom w:val="0"/>
          <w:divBdr>
            <w:top w:val="none" w:sz="0" w:space="0" w:color="auto"/>
            <w:left w:val="none" w:sz="0" w:space="0" w:color="auto"/>
            <w:bottom w:val="none" w:sz="0" w:space="0" w:color="auto"/>
            <w:right w:val="none" w:sz="0" w:space="0" w:color="auto"/>
          </w:divBdr>
        </w:div>
      </w:divsChild>
    </w:div>
    <w:div w:id="1212574143">
      <w:bodyDiv w:val="1"/>
      <w:marLeft w:val="0"/>
      <w:marRight w:val="0"/>
      <w:marTop w:val="0"/>
      <w:marBottom w:val="0"/>
      <w:divBdr>
        <w:top w:val="none" w:sz="0" w:space="0" w:color="auto"/>
        <w:left w:val="none" w:sz="0" w:space="0" w:color="auto"/>
        <w:bottom w:val="none" w:sz="0" w:space="0" w:color="auto"/>
        <w:right w:val="none" w:sz="0" w:space="0" w:color="auto"/>
      </w:divBdr>
      <w:divsChild>
        <w:div w:id="1930112195">
          <w:marLeft w:val="0"/>
          <w:marRight w:val="0"/>
          <w:marTop w:val="0"/>
          <w:marBottom w:val="0"/>
          <w:divBdr>
            <w:top w:val="none" w:sz="0" w:space="0" w:color="auto"/>
            <w:left w:val="none" w:sz="0" w:space="0" w:color="auto"/>
            <w:bottom w:val="none" w:sz="0" w:space="0" w:color="auto"/>
            <w:right w:val="none" w:sz="0" w:space="0" w:color="auto"/>
          </w:divBdr>
          <w:divsChild>
            <w:div w:id="162354393">
              <w:marLeft w:val="0"/>
              <w:marRight w:val="0"/>
              <w:marTop w:val="0"/>
              <w:marBottom w:val="0"/>
              <w:divBdr>
                <w:top w:val="none" w:sz="0" w:space="0" w:color="auto"/>
                <w:left w:val="none" w:sz="0" w:space="0" w:color="auto"/>
                <w:bottom w:val="none" w:sz="0" w:space="0" w:color="auto"/>
                <w:right w:val="none" w:sz="0" w:space="0" w:color="auto"/>
              </w:divBdr>
            </w:div>
            <w:div w:id="730427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685426">
      <w:bodyDiv w:val="1"/>
      <w:marLeft w:val="0"/>
      <w:marRight w:val="0"/>
      <w:marTop w:val="0"/>
      <w:marBottom w:val="0"/>
      <w:divBdr>
        <w:top w:val="none" w:sz="0" w:space="0" w:color="auto"/>
        <w:left w:val="none" w:sz="0" w:space="0" w:color="auto"/>
        <w:bottom w:val="none" w:sz="0" w:space="0" w:color="auto"/>
        <w:right w:val="none" w:sz="0" w:space="0" w:color="auto"/>
      </w:divBdr>
      <w:divsChild>
        <w:div w:id="1906138897">
          <w:marLeft w:val="0"/>
          <w:marRight w:val="0"/>
          <w:marTop w:val="0"/>
          <w:marBottom w:val="0"/>
          <w:divBdr>
            <w:top w:val="none" w:sz="0" w:space="0" w:color="auto"/>
            <w:left w:val="none" w:sz="0" w:space="0" w:color="auto"/>
            <w:bottom w:val="none" w:sz="0" w:space="0" w:color="auto"/>
            <w:right w:val="none" w:sz="0" w:space="0" w:color="auto"/>
          </w:divBdr>
        </w:div>
        <w:div w:id="981498971">
          <w:marLeft w:val="0"/>
          <w:marRight w:val="0"/>
          <w:marTop w:val="0"/>
          <w:marBottom w:val="0"/>
          <w:divBdr>
            <w:top w:val="none" w:sz="0" w:space="0" w:color="auto"/>
            <w:left w:val="none" w:sz="0" w:space="0" w:color="auto"/>
            <w:bottom w:val="none" w:sz="0" w:space="0" w:color="auto"/>
            <w:right w:val="none" w:sz="0" w:space="0" w:color="auto"/>
          </w:divBdr>
        </w:div>
      </w:divsChild>
    </w:div>
    <w:div w:id="1397582052">
      <w:bodyDiv w:val="1"/>
      <w:marLeft w:val="0"/>
      <w:marRight w:val="0"/>
      <w:marTop w:val="0"/>
      <w:marBottom w:val="0"/>
      <w:divBdr>
        <w:top w:val="none" w:sz="0" w:space="0" w:color="auto"/>
        <w:left w:val="none" w:sz="0" w:space="0" w:color="auto"/>
        <w:bottom w:val="none" w:sz="0" w:space="0" w:color="auto"/>
        <w:right w:val="none" w:sz="0" w:space="0" w:color="auto"/>
      </w:divBdr>
      <w:divsChild>
        <w:div w:id="824317503">
          <w:marLeft w:val="0"/>
          <w:marRight w:val="0"/>
          <w:marTop w:val="0"/>
          <w:marBottom w:val="0"/>
          <w:divBdr>
            <w:top w:val="none" w:sz="0" w:space="0" w:color="auto"/>
            <w:left w:val="none" w:sz="0" w:space="0" w:color="auto"/>
            <w:bottom w:val="none" w:sz="0" w:space="0" w:color="auto"/>
            <w:right w:val="none" w:sz="0" w:space="0" w:color="auto"/>
          </w:divBdr>
        </w:div>
        <w:div w:id="2128818445">
          <w:marLeft w:val="0"/>
          <w:marRight w:val="0"/>
          <w:marTop w:val="0"/>
          <w:marBottom w:val="0"/>
          <w:divBdr>
            <w:top w:val="none" w:sz="0" w:space="0" w:color="auto"/>
            <w:left w:val="none" w:sz="0" w:space="0" w:color="auto"/>
            <w:bottom w:val="none" w:sz="0" w:space="0" w:color="auto"/>
            <w:right w:val="none" w:sz="0" w:space="0" w:color="auto"/>
          </w:divBdr>
        </w:div>
      </w:divsChild>
    </w:div>
    <w:div w:id="1626621378">
      <w:bodyDiv w:val="1"/>
      <w:marLeft w:val="0"/>
      <w:marRight w:val="0"/>
      <w:marTop w:val="0"/>
      <w:marBottom w:val="0"/>
      <w:divBdr>
        <w:top w:val="none" w:sz="0" w:space="0" w:color="auto"/>
        <w:left w:val="none" w:sz="0" w:space="0" w:color="auto"/>
        <w:bottom w:val="none" w:sz="0" w:space="0" w:color="auto"/>
        <w:right w:val="none" w:sz="0" w:space="0" w:color="auto"/>
      </w:divBdr>
      <w:divsChild>
        <w:div w:id="1792361189">
          <w:marLeft w:val="0"/>
          <w:marRight w:val="0"/>
          <w:marTop w:val="0"/>
          <w:marBottom w:val="0"/>
          <w:divBdr>
            <w:top w:val="none" w:sz="0" w:space="0" w:color="auto"/>
            <w:left w:val="none" w:sz="0" w:space="0" w:color="auto"/>
            <w:bottom w:val="none" w:sz="0" w:space="0" w:color="auto"/>
            <w:right w:val="none" w:sz="0" w:space="0" w:color="auto"/>
          </w:divBdr>
          <w:divsChild>
            <w:div w:id="826674166">
              <w:marLeft w:val="0"/>
              <w:marRight w:val="0"/>
              <w:marTop w:val="0"/>
              <w:marBottom w:val="0"/>
              <w:divBdr>
                <w:top w:val="none" w:sz="0" w:space="0" w:color="auto"/>
                <w:left w:val="none" w:sz="0" w:space="0" w:color="auto"/>
                <w:bottom w:val="none" w:sz="0" w:space="0" w:color="auto"/>
                <w:right w:val="none" w:sz="0" w:space="0" w:color="auto"/>
              </w:divBdr>
            </w:div>
          </w:divsChild>
        </w:div>
        <w:div w:id="968167197">
          <w:marLeft w:val="0"/>
          <w:marRight w:val="0"/>
          <w:marTop w:val="0"/>
          <w:marBottom w:val="0"/>
          <w:divBdr>
            <w:top w:val="none" w:sz="0" w:space="0" w:color="auto"/>
            <w:left w:val="none" w:sz="0" w:space="0" w:color="auto"/>
            <w:bottom w:val="none" w:sz="0" w:space="0" w:color="auto"/>
            <w:right w:val="none" w:sz="0" w:space="0" w:color="auto"/>
          </w:divBdr>
          <w:divsChild>
            <w:div w:id="1965849286">
              <w:marLeft w:val="0"/>
              <w:marRight w:val="0"/>
              <w:marTop w:val="0"/>
              <w:marBottom w:val="0"/>
              <w:divBdr>
                <w:top w:val="none" w:sz="0" w:space="0" w:color="auto"/>
                <w:left w:val="none" w:sz="0" w:space="0" w:color="auto"/>
                <w:bottom w:val="none" w:sz="0" w:space="0" w:color="auto"/>
                <w:right w:val="none" w:sz="0" w:space="0" w:color="auto"/>
              </w:divBdr>
            </w:div>
            <w:div w:id="854228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947587">
      <w:bodyDiv w:val="1"/>
      <w:marLeft w:val="0"/>
      <w:marRight w:val="0"/>
      <w:marTop w:val="0"/>
      <w:marBottom w:val="0"/>
      <w:divBdr>
        <w:top w:val="none" w:sz="0" w:space="0" w:color="auto"/>
        <w:left w:val="none" w:sz="0" w:space="0" w:color="auto"/>
        <w:bottom w:val="none" w:sz="0" w:space="0" w:color="auto"/>
        <w:right w:val="none" w:sz="0" w:space="0" w:color="auto"/>
      </w:divBdr>
      <w:divsChild>
        <w:div w:id="983701361">
          <w:marLeft w:val="0"/>
          <w:marRight w:val="0"/>
          <w:marTop w:val="0"/>
          <w:marBottom w:val="0"/>
          <w:divBdr>
            <w:top w:val="none" w:sz="0" w:space="0" w:color="auto"/>
            <w:left w:val="none" w:sz="0" w:space="0" w:color="auto"/>
            <w:bottom w:val="none" w:sz="0" w:space="0" w:color="auto"/>
            <w:right w:val="none" w:sz="0" w:space="0" w:color="auto"/>
          </w:divBdr>
        </w:div>
        <w:div w:id="1331787844">
          <w:marLeft w:val="0"/>
          <w:marRight w:val="0"/>
          <w:marTop w:val="0"/>
          <w:marBottom w:val="0"/>
          <w:divBdr>
            <w:top w:val="none" w:sz="0" w:space="0" w:color="auto"/>
            <w:left w:val="none" w:sz="0" w:space="0" w:color="auto"/>
            <w:bottom w:val="none" w:sz="0" w:space="0" w:color="auto"/>
            <w:right w:val="none" w:sz="0" w:space="0" w:color="auto"/>
          </w:divBdr>
        </w:div>
        <w:div w:id="654338645">
          <w:marLeft w:val="0"/>
          <w:marRight w:val="0"/>
          <w:marTop w:val="0"/>
          <w:marBottom w:val="0"/>
          <w:divBdr>
            <w:top w:val="none" w:sz="0" w:space="0" w:color="auto"/>
            <w:left w:val="none" w:sz="0" w:space="0" w:color="auto"/>
            <w:bottom w:val="none" w:sz="0" w:space="0" w:color="auto"/>
            <w:right w:val="none" w:sz="0" w:space="0" w:color="auto"/>
          </w:divBdr>
          <w:divsChild>
            <w:div w:id="98333039">
              <w:marLeft w:val="0"/>
              <w:marRight w:val="0"/>
              <w:marTop w:val="0"/>
              <w:marBottom w:val="0"/>
              <w:divBdr>
                <w:top w:val="none" w:sz="0" w:space="0" w:color="auto"/>
                <w:left w:val="none" w:sz="0" w:space="0" w:color="auto"/>
                <w:bottom w:val="none" w:sz="0" w:space="0" w:color="auto"/>
                <w:right w:val="none" w:sz="0" w:space="0" w:color="auto"/>
              </w:divBdr>
            </w:div>
            <w:div w:id="1628974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773467">
      <w:bodyDiv w:val="1"/>
      <w:marLeft w:val="0"/>
      <w:marRight w:val="0"/>
      <w:marTop w:val="0"/>
      <w:marBottom w:val="0"/>
      <w:divBdr>
        <w:top w:val="none" w:sz="0" w:space="0" w:color="auto"/>
        <w:left w:val="none" w:sz="0" w:space="0" w:color="auto"/>
        <w:bottom w:val="none" w:sz="0" w:space="0" w:color="auto"/>
        <w:right w:val="none" w:sz="0" w:space="0" w:color="auto"/>
      </w:divBdr>
      <w:divsChild>
        <w:div w:id="1104039368">
          <w:marLeft w:val="0"/>
          <w:marRight w:val="0"/>
          <w:marTop w:val="0"/>
          <w:marBottom w:val="0"/>
          <w:divBdr>
            <w:top w:val="none" w:sz="0" w:space="0" w:color="auto"/>
            <w:left w:val="none" w:sz="0" w:space="0" w:color="auto"/>
            <w:bottom w:val="none" w:sz="0" w:space="0" w:color="auto"/>
            <w:right w:val="none" w:sz="0" w:space="0" w:color="auto"/>
          </w:divBdr>
        </w:div>
        <w:div w:id="324095212">
          <w:marLeft w:val="0"/>
          <w:marRight w:val="0"/>
          <w:marTop w:val="0"/>
          <w:marBottom w:val="0"/>
          <w:divBdr>
            <w:top w:val="none" w:sz="0" w:space="0" w:color="auto"/>
            <w:left w:val="none" w:sz="0" w:space="0" w:color="auto"/>
            <w:bottom w:val="none" w:sz="0" w:space="0" w:color="auto"/>
            <w:right w:val="none" w:sz="0" w:space="0" w:color="auto"/>
          </w:divBdr>
        </w:div>
        <w:div w:id="1582788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limate.ec.europa.eu/system/files/2023-10/policy_ets_allowances_conditionality_cnp_values_en.pdf"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a558a50aab514100"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0491C325F475246A7F054D8377FA663" ma:contentTypeVersion="4" ma:contentTypeDescription="Create a new document." ma:contentTypeScope="" ma:versionID="2ea1ef28e340a07c363a35ba1cab2c88">
  <xsd:schema xmlns:xsd="http://www.w3.org/2001/XMLSchema" xmlns:xs="http://www.w3.org/2001/XMLSchema" xmlns:p="http://schemas.microsoft.com/office/2006/metadata/properties" xmlns:ns2="e9cd1c1c-077c-491a-913f-56e66128da3e" targetNamespace="http://schemas.microsoft.com/office/2006/metadata/properties" ma:root="true" ma:fieldsID="41373fa616567074af015abe417ddd5f" ns2:_="">
    <xsd:import namespace="e9cd1c1c-077c-491a-913f-56e66128da3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cd1c1c-077c-491a-913f-56e66128da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fields xmlns:f="http://schemas.fabasoft.com/folio/2007/fields">
  <f:record ref="">
    <f:field ref="objname" par="" edit="true" text="8_TZ-2023-959"/>
    <f:field ref="objsubject" par="" edit="true" text=""/>
    <f:field ref="objcreatedby" par="" text="Chvostalová, Miroslava, Mgr."/>
    <f:field ref="objcreatedat" par="" text="29.4.2024 15:47:06"/>
    <f:field ref="objchangedby" par="" text="Administrator, System"/>
    <f:field ref="objmodifiedat" par="" text="29.4.2024 15:47:06"/>
    <f:field ref="doc_FSCFOLIO_1_1001_FieldDocumentNumber" par="" text=""/>
    <f:field ref="doc_FSCFOLIO_1_1001_FieldSubject" par="" edit="true" text=""/>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Props1.xml><?xml version="1.0" encoding="utf-8"?>
<ds:datastoreItem xmlns:ds="http://schemas.openxmlformats.org/officeDocument/2006/customXml" ds:itemID="{5CE6DD0E-12A6-47B9-A405-CF7D8E85A4F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7CCCD65-39AE-4159-87F5-A4A244BE06D7}">
  <ds:schemaRefs>
    <ds:schemaRef ds:uri="http://schemas.microsoft.com/sharepoint/v3/contenttype/forms"/>
  </ds:schemaRefs>
</ds:datastoreItem>
</file>

<file path=customXml/itemProps3.xml><?xml version="1.0" encoding="utf-8"?>
<ds:datastoreItem xmlns:ds="http://schemas.openxmlformats.org/officeDocument/2006/customXml" ds:itemID="{9430832B-0081-4816-9C20-1ABA171008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cd1c1c-077c-491a-913f-56e66128da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75</Pages>
  <Words>31979</Words>
  <Characters>182282</Characters>
  <Application>Microsoft Office Word</Application>
  <DocSecurity>0</DocSecurity>
  <Lines>1519</Lines>
  <Paragraphs>427</Paragraphs>
  <ScaleCrop>false</ScaleCrop>
  <Company/>
  <LinksUpToDate>false</LinksUpToDate>
  <CharactersWithSpaces>213834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Broošová Natália</dc:creator>
  <cp:keywords/>
  <dc:description/>
  <cp:lastModifiedBy>Chvostalová Miroslava</cp:lastModifiedBy>
  <cp:revision>211</cp:revision>
  <dcterms:created xsi:type="dcterms:W3CDTF">2023-05-15T11:41:00Z</dcterms:created>
  <dcterms:modified xsi:type="dcterms:W3CDTF">2024-09-03T15:26:00Z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SLOVLEX@103.510:spravaucastverej">
    <vt:lpwstr>&lt;ol&gt;	&lt;li&gt;&lt;strong&gt;Spôsob zapojenia verejnosti do tvorby právneho predpisu&lt;/strong&gt;&lt;/li&gt;&lt;/ol&gt;&lt;table border="1" cellpadding="0" cellspacing="0"&gt;	&lt;tbody&gt;		&lt;tr&gt;			&lt;td style="width:518px;height:21px;"&gt;			&lt;p align="left"&gt;Informovanie – vyplnia sa body 2 a 3&lt;/p&gt;	</vt:lpwstr>
  </property>
  <property fmtid="{D5CDD505-2E9C-101B-9397-08002B2CF9AE}" pid="3" name="FSC#SKEDITIONSLOVLEX@103.510:typpredpis">
    <vt:lpwstr>Zákon</vt:lpwstr>
  </property>
  <property fmtid="{D5CDD505-2E9C-101B-9397-08002B2CF9AE}" pid="4" name="FSC#SKEDITIONSLOVLEX@103.510:aktualnyrok">
    <vt:lpwstr>2024</vt:lpwstr>
  </property>
  <property fmtid="{D5CDD505-2E9C-101B-9397-08002B2CF9AE}" pid="5" name="FSC#SKEDITIONSLOVLEX@103.510:cisloparlamenttlac">
    <vt:lpwstr/>
  </property>
  <property fmtid="{D5CDD505-2E9C-101B-9397-08002B2CF9AE}" pid="6" name="FSC#SKEDITIONSLOVLEX@103.510:stavpredpis">
    <vt:lpwstr>Vyhodnotenie medzirezortného pripomienkového konania</vt:lpwstr>
  </property>
  <property fmtid="{D5CDD505-2E9C-101B-9397-08002B2CF9AE}" pid="7" name="FSC#SKEDITIONSLOVLEX@103.510:povodpredpis">
    <vt:lpwstr>Slovlex (eLeg)</vt:lpwstr>
  </property>
  <property fmtid="{D5CDD505-2E9C-101B-9397-08002B2CF9AE}" pid="8" name="FSC#SKEDITIONSLOVLEX@103.510:legoblast">
    <vt:lpwstr>Životné prostredie</vt:lpwstr>
  </property>
  <property fmtid="{D5CDD505-2E9C-101B-9397-08002B2CF9AE}" pid="9" name="FSC#SKEDITIONSLOVLEX@103.510:uzemplat">
    <vt:lpwstr/>
  </property>
  <property fmtid="{D5CDD505-2E9C-101B-9397-08002B2CF9AE}" pid="10" name="FSC#SKEDITIONSLOVLEX@103.510:vztahypredpis">
    <vt:lpwstr/>
  </property>
  <property fmtid="{D5CDD505-2E9C-101B-9397-08002B2CF9AE}" pid="11" name="FSC#SKEDITIONSLOVLEX@103.510:predkladatel">
    <vt:lpwstr>Mgr. Miroslava Chvostalová</vt:lpwstr>
  </property>
  <property fmtid="{D5CDD505-2E9C-101B-9397-08002B2CF9AE}" pid="12" name="FSC#SKEDITIONSLOVLEX@103.510:zodppredkladatel">
    <vt:lpwstr>Ing. Mgr. Tomáš Taraba</vt:lpwstr>
  </property>
  <property fmtid="{D5CDD505-2E9C-101B-9397-08002B2CF9AE}" pid="13" name="FSC#SKEDITIONSLOVLEX@103.510:dalsipredkladatel">
    <vt:lpwstr/>
  </property>
  <property fmtid="{D5CDD505-2E9C-101B-9397-08002B2CF9AE}" pid="14" name="FSC#SKEDITIONSLOVLEX@103.510:nazovpredpis">
    <vt:lpwstr>, ktorým sa mení a dopĺňa zákon č. 414/2012 Z. z. o obchodovaní s emisnými kvótami a o zmene a doplnení niektorých zákonov v znení neskorších predpisov a ktorým sa mení a dopĺňa zákon č. 587/2004 Z. z. o Environmentálnom fonde a o zmene a doplnení niekto</vt:lpwstr>
  </property>
  <property fmtid="{D5CDD505-2E9C-101B-9397-08002B2CF9AE}" pid="15" name="FSC#SKEDITIONSLOVLEX@103.510:nazovpredpis1">
    <vt:lpwstr>rých zákonov v znení neskorších predpisov</vt:lpwstr>
  </property>
  <property fmtid="{D5CDD505-2E9C-101B-9397-08002B2CF9AE}" pid="16" name="FSC#SKEDITIONSLOVLEX@103.510:nazovpredpis2">
    <vt:lpwstr/>
  </property>
  <property fmtid="{D5CDD505-2E9C-101B-9397-08002B2CF9AE}" pid="17" name="FSC#SKEDITIONSLOVLEX@103.510:nazovpredpis3">
    <vt:lpwstr/>
  </property>
  <property fmtid="{D5CDD505-2E9C-101B-9397-08002B2CF9AE}" pid="18" name="FSC#SKEDITIONSLOVLEX@103.510:cislopredpis">
    <vt:lpwstr/>
  </property>
  <property fmtid="{D5CDD505-2E9C-101B-9397-08002B2CF9AE}" pid="19" name="FSC#SKEDITIONSLOVLEX@103.510:zodpinstitucia">
    <vt:lpwstr>Ministerstvo životného prostredia Slovenskej republiky</vt:lpwstr>
  </property>
  <property fmtid="{D5CDD505-2E9C-101B-9397-08002B2CF9AE}" pid="20" name="FSC#SKEDITIONSLOVLEX@103.510:pripomienkovatelia">
    <vt:lpwstr/>
  </property>
  <property fmtid="{D5CDD505-2E9C-101B-9397-08002B2CF9AE}" pid="21" name="FSC#SKEDITIONSLOVLEX@103.510:autorpredpis">
    <vt:lpwstr/>
  </property>
  <property fmtid="{D5CDD505-2E9C-101B-9397-08002B2CF9AE}" pid="22" name="FSC#SKEDITIONSLOVLEX@103.510:podnetpredpis">
    <vt:lpwstr>Uznesenie vlády SR _x000d_
č. 634 z 29. novembra 2023</vt:lpwstr>
  </property>
  <property fmtid="{D5CDD505-2E9C-101B-9397-08002B2CF9AE}" pid="23" name="FSC#SKEDITIONSLOVLEX@103.510:plnynazovpredpis">
    <vt:lpwstr> Zákon, ktorým sa mení a dopĺňa zákon č. 414/2012 Z. z. o obchodovaní s emisnými kvótami a o zmene a doplnení niektorých zákonov v znení neskorších predpisov a ktorým sa mení a dopĺňa zákon č. 587/2004 Z. z. o Environmentálnom fonde a o zmene a doplnení n</vt:lpwstr>
  </property>
  <property fmtid="{D5CDD505-2E9C-101B-9397-08002B2CF9AE}" pid="24" name="FSC#SKEDITIONSLOVLEX@103.510:plnynazovpredpis1">
    <vt:lpwstr>iektorých zákonov v znení neskorších predpisov</vt:lpwstr>
  </property>
  <property fmtid="{D5CDD505-2E9C-101B-9397-08002B2CF9AE}" pid="25" name="FSC#SKEDITIONSLOVLEX@103.510:plnynazovpredpis2">
    <vt:lpwstr/>
  </property>
  <property fmtid="{D5CDD505-2E9C-101B-9397-08002B2CF9AE}" pid="26" name="FSC#SKEDITIONSLOVLEX@103.510:plnynazovpredpis3">
    <vt:lpwstr/>
  </property>
  <property fmtid="{D5CDD505-2E9C-101B-9397-08002B2CF9AE}" pid="27" name="FSC#SKEDITIONSLOVLEX@103.510:rezortcislopredpis">
    <vt:lpwstr>10524/2024-1.15</vt:lpwstr>
  </property>
  <property fmtid="{D5CDD505-2E9C-101B-9397-08002B2CF9AE}" pid="28" name="FSC#SKEDITIONSLOVLEX@103.510:citaciapredpis">
    <vt:lpwstr/>
  </property>
  <property fmtid="{D5CDD505-2E9C-101B-9397-08002B2CF9AE}" pid="29" name="FSC#SKEDITIONSLOVLEX@103.510:spiscislouv">
    <vt:lpwstr/>
  </property>
  <property fmtid="{D5CDD505-2E9C-101B-9397-08002B2CF9AE}" pid="30" name="FSC#SKEDITIONSLOVLEX@103.510:datumschvalpredpis">
    <vt:lpwstr/>
  </property>
  <property fmtid="{D5CDD505-2E9C-101B-9397-08002B2CF9AE}" pid="31" name="FSC#SKEDITIONSLOVLEX@103.510:platneod">
    <vt:lpwstr/>
  </property>
  <property fmtid="{D5CDD505-2E9C-101B-9397-08002B2CF9AE}" pid="32" name="FSC#SKEDITIONSLOVLEX@103.510:platnedo">
    <vt:lpwstr/>
  </property>
  <property fmtid="{D5CDD505-2E9C-101B-9397-08002B2CF9AE}" pid="33" name="FSC#SKEDITIONSLOVLEX@103.510:ucinnostod">
    <vt:lpwstr/>
  </property>
  <property fmtid="{D5CDD505-2E9C-101B-9397-08002B2CF9AE}" pid="34" name="FSC#SKEDITIONSLOVLEX@103.510:ucinnostdo">
    <vt:lpwstr/>
  </property>
  <property fmtid="{D5CDD505-2E9C-101B-9397-08002B2CF9AE}" pid="35" name="FSC#SKEDITIONSLOVLEX@103.510:datumplatnosti">
    <vt:lpwstr/>
  </property>
  <property fmtid="{D5CDD505-2E9C-101B-9397-08002B2CF9AE}" pid="36" name="FSC#SKEDITIONSLOVLEX@103.510:cislolp">
    <vt:lpwstr>LP/2024/187</vt:lpwstr>
  </property>
  <property fmtid="{D5CDD505-2E9C-101B-9397-08002B2CF9AE}" pid="37" name="FSC#SKEDITIONSLOVLEX@103.510:typsprievdok">
    <vt:lpwstr>Tabuľka zhody</vt:lpwstr>
  </property>
  <property fmtid="{D5CDD505-2E9C-101B-9397-08002B2CF9AE}" pid="38" name="FSC#SKEDITIONSLOVLEX@103.510:cislopartlac">
    <vt:lpwstr/>
  </property>
  <property fmtid="{D5CDD505-2E9C-101B-9397-08002B2CF9AE}" pid="39" name="FSC#SKEDITIONSLOVLEX@103.510:AttrStrListDocPropUcelPredmetZmluvy">
    <vt:lpwstr/>
  </property>
  <property fmtid="{D5CDD505-2E9C-101B-9397-08002B2CF9AE}" pid="40" name="FSC#SKEDITIONSLOVLEX@103.510:AttrStrListDocPropUpravaPravFOPRO">
    <vt:lpwstr/>
  </property>
  <property fmtid="{D5CDD505-2E9C-101B-9397-08002B2CF9AE}" pid="41" name="FSC#SKEDITIONSLOVLEX@103.510:AttrStrListDocPropUpravaPredmetuZmluvy">
    <vt:lpwstr/>
  </property>
  <property fmtid="{D5CDD505-2E9C-101B-9397-08002B2CF9AE}" pid="42" name="FSC#SKEDITIONSLOVLEX@103.510:AttrStrListDocPropKategoriaZmluvy74">
    <vt:lpwstr/>
  </property>
  <property fmtid="{D5CDD505-2E9C-101B-9397-08002B2CF9AE}" pid="43" name="FSC#SKEDITIONSLOVLEX@103.510:AttrStrListDocPropKategoriaZmluvy75">
    <vt:lpwstr/>
  </property>
  <property fmtid="{D5CDD505-2E9C-101B-9397-08002B2CF9AE}" pid="44" name="FSC#SKEDITIONSLOVLEX@103.510:AttrStrListDocPropDopadyPrijatiaZmluvy">
    <vt:lpwstr/>
  </property>
  <property fmtid="{D5CDD505-2E9C-101B-9397-08002B2CF9AE}" pid="45" name="FSC#SKEDITIONSLOVLEX@103.510:AttrStrListDocPropProblematikaPPa">
    <vt:lpwstr>je upravený v práve Európskej únie</vt:lpwstr>
  </property>
  <property fmtid="{D5CDD505-2E9C-101B-9397-08002B2CF9AE}" pid="46" name="FSC#SKEDITIONSLOVLEX@103.510:AttrStrListDocPropPrimarnePravoEU">
    <vt:lpwstr>     </vt:lpwstr>
  </property>
  <property fmtid="{D5CDD505-2E9C-101B-9397-08002B2CF9AE}" pid="47" name="FSC#SKEDITIONSLOVLEX@103.510:AttrStrListDocPropSekundarneLegPravoPO">
    <vt:lpwstr/>
  </property>
  <property fmtid="{D5CDD505-2E9C-101B-9397-08002B2CF9AE}" pid="48" name="FSC#SKEDITIONSLOVLEX@103.510:AttrStrListDocPropSekundarneNelegPravoPO">
    <vt:lpwstr/>
  </property>
  <property fmtid="{D5CDD505-2E9C-101B-9397-08002B2CF9AE}" pid="49" name="FSC#SKEDITIONSLOVLEX@103.510:AttrStrListDocPropSekundarneLegPravoDO">
    <vt:lpwstr/>
  </property>
  <property fmtid="{D5CDD505-2E9C-101B-9397-08002B2CF9AE}" pid="50" name="FSC#SKEDITIONSLOVLEX@103.510:AttrStrListDocPropProblematikaPPb">
    <vt:lpwstr/>
  </property>
  <property fmtid="{D5CDD505-2E9C-101B-9397-08002B2CF9AE}" pid="51" name="FSC#SKEDITIONSLOVLEX@103.510:AttrStrListDocPropNazovPredpisuEU">
    <vt:lpwstr/>
  </property>
  <property fmtid="{D5CDD505-2E9C-101B-9397-08002B2CF9AE}" pid="52" name="FSC#SKEDITIONSLOVLEX@103.510:AttrStrListDocPropLehotaPrebratieSmernice">
    <vt:lpwstr/>
  </property>
  <property fmtid="{D5CDD505-2E9C-101B-9397-08002B2CF9AE}" pid="53" name="FSC#SKEDITIONSLOVLEX@103.510:AttrStrListDocPropLehotaNaPredlozenie">
    <vt:lpwstr/>
  </property>
  <property fmtid="{D5CDD505-2E9C-101B-9397-08002B2CF9AE}" pid="54" name="FSC#SKEDITIONSLOVLEX@103.510:AttrStrListDocPropInfoZaciatokKonania">
    <vt:lpwstr/>
  </property>
  <property fmtid="{D5CDD505-2E9C-101B-9397-08002B2CF9AE}" pid="55" name="FSC#SKEDITIONSLOVLEX@103.510:AttrStrListDocPropInfoUzPreberanePP">
    <vt:lpwstr/>
  </property>
  <property fmtid="{D5CDD505-2E9C-101B-9397-08002B2CF9AE}" pid="56" name="FSC#SKEDITIONSLOVLEX@103.510:AttrStrListDocPropStupenZlucitelnostiPP">
    <vt:lpwstr>úplne</vt:lpwstr>
  </property>
  <property fmtid="{D5CDD505-2E9C-101B-9397-08002B2CF9AE}" pid="57" name="FSC#SKEDITIONSLOVLEX@103.510:AttrStrListDocPropGestorSpolupRezorty">
    <vt:lpwstr/>
  </property>
  <property fmtid="{D5CDD505-2E9C-101B-9397-08002B2CF9AE}" pid="58" name="FSC#SKEDITIONSLOVLEX@103.510:AttrDateDocPropZaciatokPKK">
    <vt:lpwstr/>
  </property>
  <property fmtid="{D5CDD505-2E9C-101B-9397-08002B2CF9AE}" pid="59" name="FSC#SKEDITIONSLOVLEX@103.510:AttrDateDocPropUkonceniePKK">
    <vt:lpwstr/>
  </property>
  <property fmtid="{D5CDD505-2E9C-101B-9397-08002B2CF9AE}" pid="60" name="FSC#SKEDITIONSLOVLEX@103.510:AttrStrDocPropVplyvRozpocetVS">
    <vt:lpwstr/>
  </property>
  <property fmtid="{D5CDD505-2E9C-101B-9397-08002B2CF9AE}" pid="61" name="FSC#SKEDITIONSLOVLEX@103.510:AttrStrDocPropVplyvPodnikatelskeProstr">
    <vt:lpwstr/>
  </property>
  <property fmtid="{D5CDD505-2E9C-101B-9397-08002B2CF9AE}" pid="62" name="FSC#SKEDITIONSLOVLEX@103.510:AttrStrDocPropVplyvSocialny">
    <vt:lpwstr/>
  </property>
  <property fmtid="{D5CDD505-2E9C-101B-9397-08002B2CF9AE}" pid="63" name="FSC#SKEDITIONSLOVLEX@103.510:AttrStrDocPropVplyvNaZivotProstr">
    <vt:lpwstr/>
  </property>
  <property fmtid="{D5CDD505-2E9C-101B-9397-08002B2CF9AE}" pid="64" name="FSC#SKEDITIONSLOVLEX@103.510:AttrStrDocPropVplyvNaInformatizaciu">
    <vt:lpwstr/>
  </property>
  <property fmtid="{D5CDD505-2E9C-101B-9397-08002B2CF9AE}" pid="65" name="FSC#SKEDITIONSLOVLEX@103.510:AttrStrListDocPropPoznamkaVplyv">
    <vt:lpwstr/>
  </property>
  <property fmtid="{D5CDD505-2E9C-101B-9397-08002B2CF9AE}" pid="66" name="FSC#SKEDITIONSLOVLEX@103.510:AttrStrListDocPropAltRiesenia">
    <vt:lpwstr> </vt:lpwstr>
  </property>
  <property fmtid="{D5CDD505-2E9C-101B-9397-08002B2CF9AE}" pid="67" name="FSC#SKEDITIONSLOVLEX@103.510:AttrStrListDocPropStanoviskoGest">
    <vt:lpwstr/>
  </property>
  <property fmtid="{D5CDD505-2E9C-101B-9397-08002B2CF9AE}" pid="68" name="FSC#SKEDITIONSLOVLEX@103.510:AttrStrListDocPropTextKomunike">
    <vt:lpwstr/>
  </property>
  <property fmtid="{D5CDD505-2E9C-101B-9397-08002B2CF9AE}" pid="69" name="FSC#SKEDITIONSLOVLEX@103.510:AttrStrListDocPropUznesenieCastA">
    <vt:lpwstr/>
  </property>
  <property fmtid="{D5CDD505-2E9C-101B-9397-08002B2CF9AE}" pid="70" name="FSC#SKEDITIONSLOVLEX@103.510:AttrStrListDocPropUznesenieZodpovednyA1">
    <vt:lpwstr/>
  </property>
  <property fmtid="{D5CDD505-2E9C-101B-9397-08002B2CF9AE}" pid="71" name="FSC#SKEDITIONSLOVLEX@103.510:AttrStrListDocPropUznesenieTextA1">
    <vt:lpwstr/>
  </property>
  <property fmtid="{D5CDD505-2E9C-101B-9397-08002B2CF9AE}" pid="72" name="FSC#SKEDITIONSLOVLEX@103.510:AttrStrListDocPropUznesenieTerminA1">
    <vt:lpwstr/>
  </property>
  <property fmtid="{D5CDD505-2E9C-101B-9397-08002B2CF9AE}" pid="73" name="FSC#SKEDITIONSLOVLEX@103.510:AttrStrListDocPropUznesenieBODA1">
    <vt:lpwstr/>
  </property>
  <property fmtid="{D5CDD505-2E9C-101B-9397-08002B2CF9AE}" pid="74" name="FSC#SKEDITIONSLOVLEX@103.510:AttrStrListDocPropUznesenieZodpovednyA2">
    <vt:lpwstr/>
  </property>
  <property fmtid="{D5CDD505-2E9C-101B-9397-08002B2CF9AE}" pid="75" name="FSC#SKEDITIONSLOVLEX@103.510:AttrStrListDocPropUznesenieTextA2">
    <vt:lpwstr/>
  </property>
  <property fmtid="{D5CDD505-2E9C-101B-9397-08002B2CF9AE}" pid="76" name="FSC#SKEDITIONSLOVLEX@103.510:AttrStrListDocPropUznesenieTerminA2">
    <vt:lpwstr/>
  </property>
  <property fmtid="{D5CDD505-2E9C-101B-9397-08002B2CF9AE}" pid="77" name="FSC#SKEDITIONSLOVLEX@103.510:AttrStrListDocPropUznesenieBODA3">
    <vt:lpwstr/>
  </property>
  <property fmtid="{D5CDD505-2E9C-101B-9397-08002B2CF9AE}" pid="78" name="FSC#SKEDITIONSLOVLEX@103.510:AttrStrListDocPropUznesenieZodpovednyA3">
    <vt:lpwstr/>
  </property>
  <property fmtid="{D5CDD505-2E9C-101B-9397-08002B2CF9AE}" pid="79" name="FSC#SKEDITIONSLOVLEX@103.510:AttrStrListDocPropUznesenieTextA3">
    <vt:lpwstr/>
  </property>
  <property fmtid="{D5CDD505-2E9C-101B-9397-08002B2CF9AE}" pid="80" name="FSC#SKEDITIONSLOVLEX@103.510:AttrStrListDocPropUznesenieTerminA3">
    <vt:lpwstr/>
  </property>
  <property fmtid="{D5CDD505-2E9C-101B-9397-08002B2CF9AE}" pid="81" name="FSC#SKEDITIONSLOVLEX@103.510:AttrStrListDocPropUznesenieBODA4">
    <vt:lpwstr/>
  </property>
  <property fmtid="{D5CDD505-2E9C-101B-9397-08002B2CF9AE}" pid="82" name="FSC#SKEDITIONSLOVLEX@103.510:AttrStrListDocPropUznesenieZodpovednyA4">
    <vt:lpwstr/>
  </property>
  <property fmtid="{D5CDD505-2E9C-101B-9397-08002B2CF9AE}" pid="83" name="FSC#SKEDITIONSLOVLEX@103.510:AttrStrListDocPropUznesenieTextA4">
    <vt:lpwstr/>
  </property>
  <property fmtid="{D5CDD505-2E9C-101B-9397-08002B2CF9AE}" pid="84" name="FSC#SKEDITIONSLOVLEX@103.510:AttrStrListDocPropUznesenieTerminA4">
    <vt:lpwstr/>
  </property>
  <property fmtid="{D5CDD505-2E9C-101B-9397-08002B2CF9AE}" pid="85" name="FSC#SKEDITIONSLOVLEX@103.510:AttrStrListDocPropUznesenieCastB">
    <vt:lpwstr/>
  </property>
  <property fmtid="{D5CDD505-2E9C-101B-9397-08002B2CF9AE}" pid="86" name="FSC#SKEDITIONSLOVLEX@103.510:AttrStrListDocPropUznesenieBODB1">
    <vt:lpwstr/>
  </property>
  <property fmtid="{D5CDD505-2E9C-101B-9397-08002B2CF9AE}" pid="87" name="FSC#SKEDITIONSLOVLEX@103.510:AttrStrListDocPropUznesenieZodpovednyB1">
    <vt:lpwstr/>
  </property>
  <property fmtid="{D5CDD505-2E9C-101B-9397-08002B2CF9AE}" pid="88" name="FSC#SKEDITIONSLOVLEX@103.510:AttrStrListDocPropUznesenieTextB1">
    <vt:lpwstr/>
  </property>
  <property fmtid="{D5CDD505-2E9C-101B-9397-08002B2CF9AE}" pid="89" name="FSC#SKEDITIONSLOVLEX@103.510:AttrStrListDocPropUznesenieTerminB1">
    <vt:lpwstr/>
  </property>
  <property fmtid="{D5CDD505-2E9C-101B-9397-08002B2CF9AE}" pid="90" name="FSC#SKEDITIONSLOVLEX@103.510:AttrStrListDocPropUznesenieBODB2">
    <vt:lpwstr/>
  </property>
  <property fmtid="{D5CDD505-2E9C-101B-9397-08002B2CF9AE}" pid="91" name="FSC#SKEDITIONSLOVLEX@103.510:AttrStrListDocPropUznesenieZodpovednyB2">
    <vt:lpwstr/>
  </property>
  <property fmtid="{D5CDD505-2E9C-101B-9397-08002B2CF9AE}" pid="92" name="FSC#SKEDITIONSLOVLEX@103.510:AttrStrListDocPropUznesenieTextB2">
    <vt:lpwstr/>
  </property>
  <property fmtid="{D5CDD505-2E9C-101B-9397-08002B2CF9AE}" pid="93" name="FSC#SKEDITIONSLOVLEX@103.510:AttrStrListDocPropUznesenieTerminB2">
    <vt:lpwstr/>
  </property>
  <property fmtid="{D5CDD505-2E9C-101B-9397-08002B2CF9AE}" pid="94" name="FSC#SKEDITIONSLOVLEX@103.510:AttrStrListDocPropUznesenieBODB3">
    <vt:lpwstr/>
  </property>
  <property fmtid="{D5CDD505-2E9C-101B-9397-08002B2CF9AE}" pid="95" name="FSC#SKEDITIONSLOVLEX@103.510:AttrStrListDocPropUznesenieZodpovednyB3">
    <vt:lpwstr/>
  </property>
  <property fmtid="{D5CDD505-2E9C-101B-9397-08002B2CF9AE}" pid="96" name="FSC#SKEDITIONSLOVLEX@103.510:AttrStrListDocPropUznesenieTextB3">
    <vt:lpwstr/>
  </property>
  <property fmtid="{D5CDD505-2E9C-101B-9397-08002B2CF9AE}" pid="97" name="FSC#SKEDITIONSLOVLEX@103.510:AttrStrListDocPropUznesenieTerminB3">
    <vt:lpwstr/>
  </property>
  <property fmtid="{D5CDD505-2E9C-101B-9397-08002B2CF9AE}" pid="98" name="FSC#SKEDITIONSLOVLEX@103.510:AttrStrListDocPropUznesenieBODB4">
    <vt:lpwstr/>
  </property>
  <property fmtid="{D5CDD505-2E9C-101B-9397-08002B2CF9AE}" pid="99" name="FSC#SKEDITIONSLOVLEX@103.510:AttrStrListDocPropUznesenieZodpovednyB4">
    <vt:lpwstr/>
  </property>
  <property fmtid="{D5CDD505-2E9C-101B-9397-08002B2CF9AE}" pid="100" name="FSC#SKEDITIONSLOVLEX@103.510:AttrStrListDocPropUznesenieTextB4">
    <vt:lpwstr/>
  </property>
  <property fmtid="{D5CDD505-2E9C-101B-9397-08002B2CF9AE}" pid="101" name="FSC#SKEDITIONSLOVLEX@103.510:AttrStrListDocPropUznesenieTerminB4">
    <vt:lpwstr/>
  </property>
  <property fmtid="{D5CDD505-2E9C-101B-9397-08002B2CF9AE}" pid="102" name="FSC#SKEDITIONSLOVLEX@103.510:AttrStrListDocPropUznesenieCastC">
    <vt:lpwstr/>
  </property>
  <property fmtid="{D5CDD505-2E9C-101B-9397-08002B2CF9AE}" pid="103" name="FSC#SKEDITIONSLOVLEX@103.510:AttrStrListDocPropUznesenieBODC1">
    <vt:lpwstr/>
  </property>
  <property fmtid="{D5CDD505-2E9C-101B-9397-08002B2CF9AE}" pid="104" name="FSC#SKEDITIONSLOVLEX@103.510:AttrStrListDocPropUznesenieZodpovednyC1">
    <vt:lpwstr/>
  </property>
  <property fmtid="{D5CDD505-2E9C-101B-9397-08002B2CF9AE}" pid="105" name="FSC#SKEDITIONSLOVLEX@103.510:AttrStrListDocPropUznesenieTextC1">
    <vt:lpwstr/>
  </property>
  <property fmtid="{D5CDD505-2E9C-101B-9397-08002B2CF9AE}" pid="106" name="FSC#SKEDITIONSLOVLEX@103.510:AttrStrListDocPropUznesenieTerminC1">
    <vt:lpwstr/>
  </property>
  <property fmtid="{D5CDD505-2E9C-101B-9397-08002B2CF9AE}" pid="107" name="FSC#SKEDITIONSLOVLEX@103.510:AttrStrListDocPropUznesenieBODC2">
    <vt:lpwstr/>
  </property>
  <property fmtid="{D5CDD505-2E9C-101B-9397-08002B2CF9AE}" pid="108" name="FSC#SKEDITIONSLOVLEX@103.510:AttrStrListDocPropUznesenieZodpovednyC2">
    <vt:lpwstr/>
  </property>
  <property fmtid="{D5CDD505-2E9C-101B-9397-08002B2CF9AE}" pid="109" name="FSC#SKEDITIONSLOVLEX@103.510:AttrStrListDocPropUznesenieTextC2">
    <vt:lpwstr/>
  </property>
  <property fmtid="{D5CDD505-2E9C-101B-9397-08002B2CF9AE}" pid="110" name="FSC#SKEDITIONSLOVLEX@103.510:AttrStrListDocPropUznesenieTerminC2">
    <vt:lpwstr/>
  </property>
  <property fmtid="{D5CDD505-2E9C-101B-9397-08002B2CF9AE}" pid="111" name="FSC#SKEDITIONSLOVLEX@103.510:AttrStrListDocPropUznesenieBODC3">
    <vt:lpwstr/>
  </property>
  <property fmtid="{D5CDD505-2E9C-101B-9397-08002B2CF9AE}" pid="112" name="FSC#SKEDITIONSLOVLEX@103.510:AttrStrListDocPropUznesenieZodpovednyC3">
    <vt:lpwstr/>
  </property>
  <property fmtid="{D5CDD505-2E9C-101B-9397-08002B2CF9AE}" pid="113" name="FSC#SKEDITIONSLOVLEX@103.510:AttrStrListDocPropUznesenieTextC3">
    <vt:lpwstr/>
  </property>
  <property fmtid="{D5CDD505-2E9C-101B-9397-08002B2CF9AE}" pid="114" name="FSC#SKEDITIONSLOVLEX@103.510:AttrStrListDocPropUznesenieTerminC3">
    <vt:lpwstr/>
  </property>
  <property fmtid="{D5CDD505-2E9C-101B-9397-08002B2CF9AE}" pid="115" name="FSC#SKEDITIONSLOVLEX@103.510:AttrStrListDocPropUznesenieBODC4">
    <vt:lpwstr/>
  </property>
  <property fmtid="{D5CDD505-2E9C-101B-9397-08002B2CF9AE}" pid="116" name="FSC#SKEDITIONSLOVLEX@103.510:AttrStrListDocPropUznesenieZodpovednyC4">
    <vt:lpwstr/>
  </property>
  <property fmtid="{D5CDD505-2E9C-101B-9397-08002B2CF9AE}" pid="117" name="FSC#SKEDITIONSLOVLEX@103.510:AttrStrListDocPropUznesenieTextC4">
    <vt:lpwstr/>
  </property>
  <property fmtid="{D5CDD505-2E9C-101B-9397-08002B2CF9AE}" pid="118" name="FSC#SKEDITIONSLOVLEX@103.510:AttrStrListDocPropUznesenieTerminC4">
    <vt:lpwstr/>
  </property>
  <property fmtid="{D5CDD505-2E9C-101B-9397-08002B2CF9AE}" pid="119" name="FSC#SKEDITIONSLOVLEX@103.510:AttrStrListDocPropUznesenieCastD">
    <vt:lpwstr/>
  </property>
  <property fmtid="{D5CDD505-2E9C-101B-9397-08002B2CF9AE}" pid="120" name="FSC#SKEDITIONSLOVLEX@103.510:AttrStrListDocPropUznesenieBODD1">
    <vt:lpwstr/>
  </property>
  <property fmtid="{D5CDD505-2E9C-101B-9397-08002B2CF9AE}" pid="121" name="FSC#SKEDITIONSLOVLEX@103.510:AttrStrListDocPropUznesenieZodpovednyD1">
    <vt:lpwstr/>
  </property>
  <property fmtid="{D5CDD505-2E9C-101B-9397-08002B2CF9AE}" pid="122" name="FSC#SKEDITIONSLOVLEX@103.510:AttrStrListDocPropUznesenieTextD1">
    <vt:lpwstr/>
  </property>
  <property fmtid="{D5CDD505-2E9C-101B-9397-08002B2CF9AE}" pid="123" name="FSC#SKEDITIONSLOVLEX@103.510:AttrStrListDocPropUznesenieTerminD1">
    <vt:lpwstr/>
  </property>
  <property fmtid="{D5CDD505-2E9C-101B-9397-08002B2CF9AE}" pid="124" name="FSC#SKEDITIONSLOVLEX@103.510:AttrStrListDocPropUznesenieBODD2">
    <vt:lpwstr/>
  </property>
  <property fmtid="{D5CDD505-2E9C-101B-9397-08002B2CF9AE}" pid="125" name="FSC#SKEDITIONSLOVLEX@103.510:AttrStrListDocPropUznesenieZodpovednyD2">
    <vt:lpwstr/>
  </property>
  <property fmtid="{D5CDD505-2E9C-101B-9397-08002B2CF9AE}" pid="126" name="FSC#SKEDITIONSLOVLEX@103.510:AttrStrListDocPropUznesenieTextD2">
    <vt:lpwstr/>
  </property>
  <property fmtid="{D5CDD505-2E9C-101B-9397-08002B2CF9AE}" pid="127" name="FSC#SKEDITIONSLOVLEX@103.510:AttrStrListDocPropUznesenieTerminD2">
    <vt:lpwstr/>
  </property>
  <property fmtid="{D5CDD505-2E9C-101B-9397-08002B2CF9AE}" pid="128" name="FSC#SKEDITIONSLOVLEX@103.510:AttrStrListDocPropUznesenieBODD3">
    <vt:lpwstr/>
  </property>
  <property fmtid="{D5CDD505-2E9C-101B-9397-08002B2CF9AE}" pid="129" name="FSC#SKEDITIONSLOVLEX@103.510:AttrStrListDocPropUznesenieZodpovednyD3">
    <vt:lpwstr/>
  </property>
  <property fmtid="{D5CDD505-2E9C-101B-9397-08002B2CF9AE}" pid="130" name="FSC#SKEDITIONSLOVLEX@103.510:AttrStrListDocPropUznesenieTextD3">
    <vt:lpwstr/>
  </property>
  <property fmtid="{D5CDD505-2E9C-101B-9397-08002B2CF9AE}" pid="131" name="FSC#SKEDITIONSLOVLEX@103.510:AttrStrListDocPropUznesenieTerminD3">
    <vt:lpwstr/>
  </property>
  <property fmtid="{D5CDD505-2E9C-101B-9397-08002B2CF9AE}" pid="132" name="FSC#SKEDITIONSLOVLEX@103.510:AttrStrListDocPropUznesenieBODD4">
    <vt:lpwstr/>
  </property>
  <property fmtid="{D5CDD505-2E9C-101B-9397-08002B2CF9AE}" pid="133" name="FSC#SKEDITIONSLOVLEX@103.510:AttrStrListDocPropUznesenieZodpovednyD4">
    <vt:lpwstr/>
  </property>
  <property fmtid="{D5CDD505-2E9C-101B-9397-08002B2CF9AE}" pid="134" name="FSC#SKEDITIONSLOVLEX@103.510:AttrStrListDocPropUznesenieTextD4">
    <vt:lpwstr/>
  </property>
  <property fmtid="{D5CDD505-2E9C-101B-9397-08002B2CF9AE}" pid="135" name="FSC#SKEDITIONSLOVLEX@103.510:AttrStrListDocPropUznesenieTerminD4">
    <vt:lpwstr/>
  </property>
  <property fmtid="{D5CDD505-2E9C-101B-9397-08002B2CF9AE}" pid="136" name="FSC#SKEDITIONSLOVLEX@103.510:AttrStrListDocPropUznesenieVykonaju">
    <vt:lpwstr>predseda vlády Slovenskej republiky_x000d_
podpredseda vlády a minister životného prostredia Slovenskej republiky</vt:lpwstr>
  </property>
  <property fmtid="{D5CDD505-2E9C-101B-9397-08002B2CF9AE}" pid="137" name="FSC#SKEDITIONSLOVLEX@103.510:AttrStrListDocPropUznesenieNaVedomie">
    <vt:lpwstr>predseda Národnej rady Slovenskej republiky</vt:lpwstr>
  </property>
  <property fmtid="{D5CDD505-2E9C-101B-9397-08002B2CF9AE}" pid="138" name="FSC#SKEDITIONSLOVLEX@103.510:funkciaPred">
    <vt:lpwstr/>
  </property>
  <property fmtid="{D5CDD505-2E9C-101B-9397-08002B2CF9AE}" pid="139" name="FSC#SKEDITIONSLOVLEX@103.510:funkciaPredAkuzativ">
    <vt:lpwstr/>
  </property>
  <property fmtid="{D5CDD505-2E9C-101B-9397-08002B2CF9AE}" pid="140" name="FSC#SKEDITIONSLOVLEX@103.510:funkciaPredDativ">
    <vt:lpwstr/>
  </property>
  <property fmtid="{D5CDD505-2E9C-101B-9397-08002B2CF9AE}" pid="141" name="FSC#SKEDITIONSLOVLEX@103.510:funkciaZodpPred">
    <vt:lpwstr>Minister životného prostredia Slovenskej republiky</vt:lpwstr>
  </property>
  <property fmtid="{D5CDD505-2E9C-101B-9397-08002B2CF9AE}" pid="142" name="FSC#SKEDITIONSLOVLEX@103.510:funkciaZodpPredAkuzativ">
    <vt:lpwstr>Ministra životného prostredia Slovenskej republiky</vt:lpwstr>
  </property>
  <property fmtid="{D5CDD505-2E9C-101B-9397-08002B2CF9AE}" pid="143" name="FSC#SKEDITIONSLOVLEX@103.510:funkciaZodpPredDativ">
    <vt:lpwstr>Ministrovi životného prostredia Slovenskej republiky</vt:lpwstr>
  </property>
  <property fmtid="{D5CDD505-2E9C-101B-9397-08002B2CF9AE}" pid="144" name="FSC#SKEDITIONSLOVLEX@103.510:funkciaDalsiPred">
    <vt:lpwstr/>
  </property>
  <property fmtid="{D5CDD505-2E9C-101B-9397-08002B2CF9AE}" pid="145" name="FSC#SKEDITIONSLOVLEX@103.510:funkciaDalsiPredAkuzativ">
    <vt:lpwstr/>
  </property>
  <property fmtid="{D5CDD505-2E9C-101B-9397-08002B2CF9AE}" pid="146" name="FSC#SKEDITIONSLOVLEX@103.510:funkciaDalsiPredDativ">
    <vt:lpwstr/>
  </property>
  <property fmtid="{D5CDD505-2E9C-101B-9397-08002B2CF9AE}" pid="147" name="FSC#SKEDITIONSLOVLEX@103.510:predkladateliaObalSD">
    <vt:lpwstr>Ing. Mgr. Tomáš Taraba_x000d_
Minister životného prostredia Slovenskej republiky</vt:lpwstr>
  </property>
  <property fmtid="{D5CDD505-2E9C-101B-9397-08002B2CF9AE}" pid="148" name="FSC#SKEDITIONSLOVLEX@103.510:AttrStrListDocPropTextVseobPrilohy">
    <vt:lpwstr/>
  </property>
  <property fmtid="{D5CDD505-2E9C-101B-9397-08002B2CF9AE}" pid="149" name="FSC#SKEDITIONSLOVLEX@103.510:AttrStrListDocPropTextPredklSpravy">
    <vt:lpwstr>&lt;p style="text-align: justify;"&gt;&lt;span style="font-size:12px;"&gt;Ministerstvo životného prostredia Slovenskej republiky predkladá do legislatívneho procesu návrh zákona, ktorým sa mení a dopĺňa zákon č. 414/2012 Z. z. o obchodovaní s&amp;nbsp;emisnými kvótami a </vt:lpwstr>
  </property>
  <property fmtid="{D5CDD505-2E9C-101B-9397-08002B2CF9AE}" pid="150" name="FSC#SKEDITIONSLOVLEX@103.510:vytvorenedna">
    <vt:lpwstr>29. 4. 2024</vt:lpwstr>
  </property>
  <property fmtid="{D5CDD505-2E9C-101B-9397-08002B2CF9AE}" pid="151" name="FSC#COOSYSTEM@1.1:Container">
    <vt:lpwstr>COO.2145.1000.3.6144616</vt:lpwstr>
  </property>
  <property fmtid="{D5CDD505-2E9C-101B-9397-08002B2CF9AE}" pid="152" name="FSC#FSCFOLIO@1.1001:docpropproject">
    <vt:lpwstr/>
  </property>
  <property fmtid="{D5CDD505-2E9C-101B-9397-08002B2CF9AE}" pid="153" name="ContentTypeId">
    <vt:lpwstr>0x01010090491C325F475246A7F054D8377FA663</vt:lpwstr>
  </property>
</Properties>
</file>