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0485" w:rsidRDefault="000A68CF" w:rsidP="00280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t xml:space="preserve"> </w:t>
      </w:r>
      <w:r w:rsidR="00280485" w:rsidRPr="00A819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 ô v o d o v á   s p r á v</w:t>
      </w:r>
      <w:r w:rsidR="0028048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="00280485" w:rsidRPr="00A819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</w:t>
      </w:r>
    </w:p>
    <w:p w:rsidR="00280485" w:rsidRDefault="00280485" w:rsidP="00280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sk-SK"/>
        </w:rPr>
      </w:pPr>
    </w:p>
    <w:p w:rsidR="00280485" w:rsidRPr="00A8191A" w:rsidRDefault="00280485" w:rsidP="00280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sk-SK"/>
        </w:rPr>
      </w:pPr>
    </w:p>
    <w:p w:rsidR="00280485" w:rsidRPr="00A8191A" w:rsidRDefault="00280485" w:rsidP="00280485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819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Všeobecná časť</w:t>
      </w:r>
    </w:p>
    <w:p w:rsidR="00280485" w:rsidRPr="00A8191A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sk-SK"/>
        </w:rPr>
      </w:pPr>
    </w:p>
    <w:p w:rsidR="00280485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zákona, ktorým sa mení a dopĺňa zákon č. 543/2002 Z. z. o ochrane prírody a krajiny v znení neskorších predpisov predkladá na rokovanie Národnej rady Slovenskej republiky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skupina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poslan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Národnej rady Slovenskej republiky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Rudolf Huliak, Andrej Danko, Milan Garaj, Dagmar Kramplová a Adam Lučanský.</w:t>
      </w:r>
    </w:p>
    <w:p w:rsidR="00280485" w:rsidRPr="00A8191A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sk-SK"/>
        </w:rPr>
      </w:pPr>
    </w:p>
    <w:p w:rsidR="00280485" w:rsidRDefault="00280485" w:rsidP="00280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Jedným z hlavných cieľov </w:t>
      </w:r>
      <w:r>
        <w:rPr>
          <w:rFonts w:ascii="Times New Roman" w:eastAsia="Times New Roman" w:hAnsi="Times New Roman" w:cs="Times New Roman"/>
          <w:bCs/>
          <w:spacing w:val="26"/>
          <w:sz w:val="24"/>
          <w:szCs w:val="24"/>
          <w:lang w:eastAsia="sk-SK"/>
        </w:rPr>
        <w:t>n</w:t>
      </w:r>
      <w:r>
        <w:rPr>
          <w:rFonts w:ascii="Times New Roman" w:hAnsi="Times New Roman" w:cs="Times New Roman"/>
          <w:sz w:val="24"/>
          <w:szCs w:val="24"/>
        </w:rPr>
        <w:t>avrhovanej právnej úpravy</w:t>
      </w:r>
      <w:r w:rsidRPr="00385D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 odstrániť </w:t>
      </w:r>
      <w:r w:rsidRPr="00385DC4">
        <w:rPr>
          <w:rFonts w:ascii="Times New Roman" w:hAnsi="Times New Roman" w:cs="Times New Roman"/>
          <w:sz w:val="24"/>
          <w:szCs w:val="24"/>
        </w:rPr>
        <w:t>neprimerane prísn</w:t>
      </w:r>
      <w:r>
        <w:rPr>
          <w:rFonts w:ascii="Times New Roman" w:hAnsi="Times New Roman" w:cs="Times New Roman"/>
          <w:sz w:val="24"/>
          <w:szCs w:val="24"/>
        </w:rPr>
        <w:t>e a obmedzujúce zákazy pre</w:t>
      </w:r>
      <w:r w:rsidRPr="00385DC4">
        <w:rPr>
          <w:rFonts w:ascii="Times New Roman" w:hAnsi="Times New Roman" w:cs="Times New Roman"/>
          <w:sz w:val="24"/>
          <w:szCs w:val="24"/>
        </w:rPr>
        <w:t xml:space="preserve"> obyvateľov</w:t>
      </w:r>
      <w:r>
        <w:rPr>
          <w:rFonts w:ascii="Times New Roman" w:hAnsi="Times New Roman" w:cs="Times New Roman"/>
          <w:sz w:val="24"/>
          <w:szCs w:val="24"/>
        </w:rPr>
        <w:t>, odbremeneniu</w:t>
      </w:r>
      <w:r w:rsidRPr="00385DC4">
        <w:rPr>
          <w:rFonts w:ascii="Times New Roman" w:hAnsi="Times New Roman" w:cs="Times New Roman"/>
          <w:sz w:val="24"/>
          <w:szCs w:val="24"/>
        </w:rPr>
        <w:t xml:space="preserve"> orgánov štá</w:t>
      </w:r>
      <w:r>
        <w:rPr>
          <w:rFonts w:ascii="Times New Roman" w:hAnsi="Times New Roman" w:cs="Times New Roman"/>
          <w:sz w:val="24"/>
          <w:szCs w:val="24"/>
        </w:rPr>
        <w:t>tnej správy od zbytočnej administratívnej záťaže</w:t>
      </w:r>
      <w:r w:rsidRPr="00385DC4">
        <w:rPr>
          <w:rFonts w:ascii="Times New Roman" w:hAnsi="Times New Roman" w:cs="Times New Roman"/>
          <w:sz w:val="24"/>
          <w:szCs w:val="24"/>
        </w:rPr>
        <w:t xml:space="preserve">, ako aj </w:t>
      </w:r>
      <w:r>
        <w:rPr>
          <w:rFonts w:ascii="Times New Roman" w:hAnsi="Times New Roman" w:cs="Times New Roman"/>
          <w:sz w:val="24"/>
          <w:szCs w:val="24"/>
        </w:rPr>
        <w:t>posilnenie</w:t>
      </w:r>
      <w:r w:rsidRPr="00385DC4">
        <w:rPr>
          <w:rFonts w:ascii="Times New Roman" w:hAnsi="Times New Roman" w:cs="Times New Roman"/>
          <w:sz w:val="24"/>
          <w:szCs w:val="24"/>
        </w:rPr>
        <w:t xml:space="preserve"> práv vlastníkov ne</w:t>
      </w:r>
      <w:r>
        <w:rPr>
          <w:rFonts w:ascii="Times New Roman" w:hAnsi="Times New Roman" w:cs="Times New Roman"/>
          <w:sz w:val="24"/>
          <w:szCs w:val="24"/>
        </w:rPr>
        <w:t xml:space="preserve">hnuteľností v chránených územiach. V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predloženom</w:t>
      </w:r>
      <w:r w:rsidRPr="000F3982">
        <w:rPr>
          <w:rFonts w:ascii="Times New Roman" w:eastAsia="Times New Roman" w:hAnsi="Times New Roman" w:cs="Times New Roman"/>
          <w:bCs/>
          <w:spacing w:val="26"/>
          <w:sz w:val="24"/>
          <w:szCs w:val="24"/>
          <w:lang w:eastAsia="sk-SK"/>
        </w:rPr>
        <w:t xml:space="preserve"> </w:t>
      </w:r>
      <w:r w:rsidRPr="000F398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návrhu</w:t>
      </w:r>
      <w:r w:rsidRPr="000F3982">
        <w:rPr>
          <w:rFonts w:ascii="Times New Roman" w:eastAsia="Times New Roman" w:hAnsi="Times New Roman" w:cs="Times New Roman"/>
          <w:bCs/>
          <w:spacing w:val="26"/>
          <w:sz w:val="24"/>
          <w:szCs w:val="24"/>
          <w:lang w:eastAsia="sk-SK"/>
        </w:rPr>
        <w:t xml:space="preserve"> </w:t>
      </w:r>
      <w:r w:rsidRPr="000F398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zákona</w:t>
      </w:r>
      <w:r w:rsidRPr="000F3982">
        <w:rPr>
          <w:rFonts w:ascii="Times New Roman" w:eastAsia="Times New Roman" w:hAnsi="Times New Roman" w:cs="Times New Roman"/>
          <w:bCs/>
          <w:spacing w:val="26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sa upravuje</w:t>
      </w:r>
      <w:r w:rsidRPr="000F398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jazdenie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státie s motorovými vozidlami</w:t>
      </w:r>
      <w:r w:rsidRPr="000F398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 území s druhým stupňom </w:t>
      </w:r>
      <w:r w:rsidRPr="000F398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ochrany podľa zákona č. 543/2002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0F398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Z. z. o ochrane prírody a krajiny v znení neskorších predpisov (ďalej len „zákon“). </w:t>
      </w:r>
      <w:r w:rsidRPr="000F3982">
        <w:rPr>
          <w:rFonts w:ascii="Times New Roman" w:eastAsia="Times New Roman" w:hAnsi="Times New Roman" w:cs="Times New Roman"/>
          <w:sz w:val="24"/>
          <w:szCs w:val="24"/>
          <w:lang w:eastAsia="sk-SK"/>
        </w:rPr>
        <w:t>Dôvodom úpravy je zjednodušenie prístupu najmä k nehnuteľnostiam v týchto územiach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ako aj sprístupnenie územia v súvislosti s výkonom rybárskeho práva, včelárstva a pod. Za týmto účelom bola zavedená nová možnosť používať motorové vozidlo aj na účelových cestách a prístupových poľných cestách. Ďalej bola upravená zákonná výnimka zo zákazu vjazdu a státia motorovým vozidlom pre vlastníkov, správcov, nájomcov pozemkov alebo správcu vodného toku, a to tak, aby sa predmetná výnimka vzťahovala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aj </w:t>
      </w:r>
      <w:r w:rsidRPr="001A5706">
        <w:rPr>
          <w:rFonts w:ascii="Times New Roman" w:hAnsi="Times New Roman" w:cs="Times New Roman"/>
          <w:color w:val="000000" w:themeColor="text1"/>
          <w:sz w:val="24"/>
          <w:szCs w:val="24"/>
        </w:rPr>
        <w:t>na príjazd k takémuto pozemku cez iné pozemky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Tiež sa stanovuje</w:t>
      </w:r>
      <w:r w:rsidRPr="000F398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šeobecné oprávnenie zamestnancov</w:t>
      </w:r>
      <w:r w:rsidRPr="000F398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orgánov ochrany prírody jazdiť alebo stáť s motorovým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ozidlom v chránených územiach</w:t>
      </w:r>
      <w:r w:rsidRPr="000F398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r w:rsidRPr="000F39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pohybovať sa mimo vyznačeného turistického chodníka alebo náučného chodníka za hranicami zastavaného územia obce v chránených územiach od tretieho stupňa ochrany. </w:t>
      </w:r>
      <w:r w:rsidRPr="000F398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Zároveň sa navrhuje zrušenie zákazu v druhom stupni ochrany </w:t>
      </w:r>
      <w:r w:rsidRPr="000F3982">
        <w:rPr>
          <w:rFonts w:ascii="Times New Roman" w:hAnsi="Times New Roman" w:cs="Times New Roman"/>
          <w:sz w:val="24"/>
          <w:szCs w:val="24"/>
          <w:shd w:val="clear" w:color="auto" w:fill="FFFFFF"/>
        </w:rPr>
        <w:t>jazdiť na bicykli, trojkolke, kolobežke alebo samovyvažovacom vozidle na pozemkoch za hranicami zastavaného územia obce mimo diaľnice, cesty, miestnej komunikácie, účelovej komunikácie a vyznačenej cyklotrasy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ktorý je v tomto stupni ochrany prírody neopodstatnený. </w:t>
      </w:r>
    </w:p>
    <w:p w:rsidR="00280485" w:rsidRDefault="00280485" w:rsidP="00280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80485" w:rsidRDefault="00280485" w:rsidP="00280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Ďalším z hlavných cieľov zákona je upraviť územnú</w:t>
      </w:r>
      <w:r w:rsidRPr="005E6C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pôsobnosť </w:t>
      </w:r>
      <w:r w:rsidRPr="005E6C6A">
        <w:rPr>
          <w:rFonts w:ascii="Times New Roman" w:eastAsia="Times New Roman" w:hAnsi="Times New Roman" w:cs="Times New Roman"/>
          <w:sz w:val="24"/>
          <w:szCs w:val="24"/>
          <w:lang w:eastAsia="sk-SK"/>
        </w:rPr>
        <w:t>členov dobrovoľnej stráže prírody. Územná pôsobnosť je aktuálne spravidla nastavená na pomerne rozsiahle územia, napr. na celé kompetenčné územia správ chránený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ch krajinných oblastí alebo prípadne na celé územie Slovenskej republiky. Doplnením</w:t>
      </w:r>
      <w:r w:rsidRPr="005E6C6A">
        <w:rPr>
          <w:rFonts w:ascii="Times New Roman" w:eastAsia="Times New Roman" w:hAnsi="Times New Roman" w:cs="Times New Roman"/>
          <w:sz w:val="24"/>
          <w:szCs w:val="24"/>
          <w:lang w:eastAsia="sk-SK"/>
        </w:rPr>
        <w:t>, resp. upraven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ím</w:t>
      </w:r>
      <w:r w:rsidRPr="005E6C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pôsobnosti členov dobrovoľnej stráže prírody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5E6C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užuje ich územná kompetencia</w:t>
      </w:r>
      <w:r w:rsidRPr="005E6C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pozemky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 ich vlastníctve, správe, </w:t>
      </w:r>
      <w:r w:rsidRPr="005E6C6A">
        <w:rPr>
          <w:rFonts w:ascii="Times New Roman" w:hAnsi="Times New Roman" w:cs="Times New Roman"/>
          <w:color w:val="000000"/>
          <w:sz w:val="24"/>
          <w:szCs w:val="24"/>
        </w:rPr>
        <w:t>nájme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alebo obhospodarovaní alebo na iné </w:t>
      </w:r>
      <w:r w:rsidRPr="005E6C6A">
        <w:rPr>
          <w:rFonts w:ascii="Times New Roman" w:hAnsi="Times New Roman" w:cs="Times New Roman"/>
          <w:color w:val="000000"/>
          <w:sz w:val="24"/>
          <w:szCs w:val="24"/>
        </w:rPr>
        <w:t>pozemk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5E6C6A">
        <w:rPr>
          <w:rFonts w:ascii="Times New Roman" w:hAnsi="Times New Roman" w:cs="Times New Roman"/>
          <w:color w:val="000000"/>
          <w:sz w:val="24"/>
          <w:szCs w:val="24"/>
        </w:rPr>
        <w:t xml:space="preserve"> po písomnej dohode s ich vlastníkom, správcom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E6C6A">
        <w:rPr>
          <w:rFonts w:ascii="Times New Roman" w:hAnsi="Times New Roman" w:cs="Times New Roman"/>
          <w:color w:val="000000"/>
          <w:sz w:val="24"/>
          <w:szCs w:val="24"/>
        </w:rPr>
        <w:t xml:space="preserve"> nájomcom</w:t>
      </w:r>
      <w:r w:rsidRPr="006F29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6C6A">
        <w:rPr>
          <w:rFonts w:ascii="Times New Roman" w:hAnsi="Times New Roman" w:cs="Times New Roman"/>
          <w:color w:val="000000"/>
          <w:sz w:val="24"/>
          <w:szCs w:val="24"/>
        </w:rPr>
        <w:t>alebo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obhospodarovateľom, pričom dôjde </w:t>
      </w:r>
      <w:r w:rsidRPr="00CD47B2">
        <w:rPr>
          <w:rFonts w:ascii="Times New Roman" w:hAnsi="Times New Roman" w:cs="Times New Roman"/>
          <w:color w:val="000000"/>
          <w:sz w:val="24"/>
          <w:szCs w:val="24"/>
        </w:rPr>
        <w:t>k racionalizácií výkonu ich činnosti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 zamedzeniu prípadného zneužívania výhod, ktorými disponovali pri výkone kontrolnej činnosti.</w:t>
      </w:r>
    </w:p>
    <w:p w:rsidR="00280485" w:rsidRDefault="00280485" w:rsidP="00280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80485" w:rsidRDefault="00280485" w:rsidP="00280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Predložený</w:t>
      </w:r>
      <w:r w:rsidRPr="00A8191A">
        <w:rPr>
          <w:rFonts w:ascii="Times New Roman" w:eastAsia="Times New Roman" w:hAnsi="Times New Roman" w:cs="Times New Roman"/>
          <w:spacing w:val="58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  <w:r w:rsidRPr="00A8191A">
        <w:rPr>
          <w:rFonts w:ascii="Times New Roman" w:eastAsia="Times New Roman" w:hAnsi="Times New Roman" w:cs="Times New Roman"/>
          <w:spacing w:val="58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nebude mať žiadny vplyv</w:t>
      </w:r>
      <w:r w:rsidRPr="00A8191A">
        <w:rPr>
          <w:rFonts w:ascii="Times New Roman" w:eastAsia="Times New Roman" w:hAnsi="Times New Roman" w:cs="Times New Roman"/>
          <w:spacing w:val="58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A8191A">
        <w:rPr>
          <w:rFonts w:ascii="Times New Roman" w:eastAsia="Times New Roman" w:hAnsi="Times New Roman" w:cs="Times New Roman"/>
          <w:spacing w:val="58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rozpočet</w:t>
      </w:r>
      <w:r w:rsidRPr="00A8191A">
        <w:rPr>
          <w:rFonts w:ascii="Times New Roman" w:eastAsia="Times New Roman" w:hAnsi="Times New Roman" w:cs="Times New Roman"/>
          <w:spacing w:val="58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verejnej</w:t>
      </w:r>
      <w:r w:rsidRPr="00A8191A">
        <w:rPr>
          <w:rFonts w:ascii="Times New Roman" w:eastAsia="Times New Roman" w:hAnsi="Times New Roman" w:cs="Times New Roman"/>
          <w:spacing w:val="58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správy, žiadny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vplyv</w:t>
      </w:r>
      <w:r w:rsidRPr="00A8191A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A8191A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podnikateľské</w:t>
      </w:r>
      <w:r w:rsidRPr="00A8191A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prostredie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nebude</w:t>
      </w:r>
      <w:r w:rsidRPr="00A8191A">
        <w:rPr>
          <w:rFonts w:ascii="Times New Roman" w:eastAsia="Times New Roman" w:hAnsi="Times New Roman" w:cs="Times New Roman"/>
          <w:spacing w:val="15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mať</w:t>
      </w:r>
      <w:r w:rsidRPr="00A8191A">
        <w:rPr>
          <w:rFonts w:ascii="Times New Roman" w:eastAsia="Times New Roman" w:hAnsi="Times New Roman" w:cs="Times New Roman"/>
          <w:spacing w:val="15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sk-SK"/>
        </w:rPr>
        <w:t xml:space="preserve">žiadne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sociálne</w:t>
      </w:r>
      <w:r w:rsidRPr="00A8191A">
        <w:rPr>
          <w:rFonts w:ascii="Times New Roman" w:eastAsia="Times New Roman" w:hAnsi="Times New Roman" w:cs="Times New Roman"/>
          <w:spacing w:val="15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vplyvy,</w:t>
      </w:r>
      <w:r w:rsidRPr="00A8191A">
        <w:rPr>
          <w:rFonts w:ascii="Times New Roman" w:eastAsia="Times New Roman" w:hAnsi="Times New Roman" w:cs="Times New Roman"/>
          <w:spacing w:val="15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ani</w:t>
      </w:r>
      <w:r w:rsidRPr="00A8191A">
        <w:rPr>
          <w:rFonts w:ascii="Times New Roman" w:eastAsia="Times New Roman" w:hAnsi="Times New Roman" w:cs="Times New Roman"/>
          <w:spacing w:val="15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vplyvy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A8191A">
        <w:rPr>
          <w:rFonts w:ascii="Times New Roman" w:eastAsia="Times New Roman" w:hAnsi="Times New Roman" w:cs="Times New Roman"/>
          <w:spacing w:val="15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životné</w:t>
      </w:r>
      <w:r w:rsidRPr="00A8191A">
        <w:rPr>
          <w:rFonts w:ascii="Times New Roman" w:eastAsia="Times New Roman" w:hAnsi="Times New Roman" w:cs="Times New Roman"/>
          <w:spacing w:val="15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prostredie</w:t>
      </w:r>
      <w:r w:rsidRPr="00A8191A">
        <w:rPr>
          <w:rFonts w:ascii="Times New Roman" w:eastAsia="Times New Roman" w:hAnsi="Times New Roman" w:cs="Times New Roman"/>
          <w:spacing w:val="15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a informatizáciu spoločnosti.</w:t>
      </w:r>
      <w:r w:rsidRPr="00A8191A">
        <w:rPr>
          <w:rFonts w:ascii="Times New Roman" w:eastAsia="Times New Roman" w:hAnsi="Times New Roman" w:cs="Times New Roman"/>
          <w:spacing w:val="-5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  <w:r w:rsidRPr="00A8191A">
        <w:rPr>
          <w:rFonts w:ascii="Times New Roman" w:eastAsia="Times New Roman" w:hAnsi="Times New Roman" w:cs="Times New Roman"/>
          <w:spacing w:val="-5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A8191A">
        <w:rPr>
          <w:rFonts w:ascii="Times New Roman" w:eastAsia="Times New Roman" w:hAnsi="Times New Roman" w:cs="Times New Roman"/>
          <w:spacing w:val="-5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taktiež</w:t>
      </w:r>
      <w:r w:rsidRPr="00A8191A">
        <w:rPr>
          <w:rFonts w:ascii="Times New Roman" w:eastAsia="Times New Roman" w:hAnsi="Times New Roman" w:cs="Times New Roman"/>
          <w:spacing w:val="-5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nebude</w:t>
      </w:r>
      <w:r w:rsidRPr="00A8191A">
        <w:rPr>
          <w:rFonts w:ascii="Times New Roman" w:eastAsia="Times New Roman" w:hAnsi="Times New Roman" w:cs="Times New Roman"/>
          <w:spacing w:val="-5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mať</w:t>
      </w:r>
      <w:r w:rsidRPr="00A8191A">
        <w:rPr>
          <w:rFonts w:ascii="Times New Roman" w:eastAsia="Times New Roman" w:hAnsi="Times New Roman" w:cs="Times New Roman"/>
          <w:spacing w:val="-5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vplyv</w:t>
      </w:r>
      <w:r w:rsidRPr="00A8191A">
        <w:rPr>
          <w:rFonts w:ascii="Times New Roman" w:eastAsia="Times New Roman" w:hAnsi="Times New Roman" w:cs="Times New Roman"/>
          <w:spacing w:val="-5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A8191A">
        <w:rPr>
          <w:rFonts w:ascii="Times New Roman" w:eastAsia="Times New Roman" w:hAnsi="Times New Roman" w:cs="Times New Roman"/>
          <w:spacing w:val="-5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manželstvo,</w:t>
      </w:r>
      <w:r w:rsidRPr="00A8191A">
        <w:rPr>
          <w:rFonts w:ascii="Times New Roman" w:eastAsia="Times New Roman" w:hAnsi="Times New Roman" w:cs="Times New Roman"/>
          <w:spacing w:val="-5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rodičovstvo</w:t>
      </w:r>
      <w:r w:rsidRPr="00A8191A">
        <w:rPr>
          <w:rFonts w:ascii="Times New Roman" w:eastAsia="Times New Roman" w:hAnsi="Times New Roman" w:cs="Times New Roman"/>
          <w:spacing w:val="-5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a rodinu</w:t>
      </w:r>
      <w:r w:rsidRPr="00A8191A">
        <w:rPr>
          <w:rFonts w:ascii="Times New Roman" w:eastAsia="Times New Roman" w:hAnsi="Times New Roman" w:cs="Times New Roman"/>
          <w:spacing w:val="-5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A8191A">
        <w:rPr>
          <w:rFonts w:ascii="Times New Roman" w:eastAsia="Times New Roman" w:hAnsi="Times New Roman" w:cs="Times New Roman"/>
          <w:spacing w:val="-5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ani na služby verejnej správy pre občana.</w:t>
      </w:r>
    </w:p>
    <w:p w:rsidR="00280485" w:rsidRDefault="00280485" w:rsidP="00280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80485" w:rsidRPr="00A17323" w:rsidRDefault="00280485" w:rsidP="00280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  <w:r w:rsidRPr="00A8191A">
        <w:rPr>
          <w:rFonts w:ascii="Times New Roman" w:eastAsia="Times New Roman" w:hAnsi="Times New Roman" w:cs="Times New Roman"/>
          <w:spacing w:val="60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A8191A">
        <w:rPr>
          <w:rFonts w:ascii="Times New Roman" w:eastAsia="Times New Roman" w:hAnsi="Times New Roman" w:cs="Times New Roman"/>
          <w:spacing w:val="60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Pr="00A8191A">
        <w:rPr>
          <w:rFonts w:ascii="Times New Roman" w:eastAsia="Times New Roman" w:hAnsi="Times New Roman" w:cs="Times New Roman"/>
          <w:spacing w:val="60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A8191A">
        <w:rPr>
          <w:rFonts w:ascii="Times New Roman" w:eastAsia="Times New Roman" w:hAnsi="Times New Roman" w:cs="Times New Roman"/>
          <w:spacing w:val="60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súlade</w:t>
      </w:r>
      <w:r w:rsidRPr="00A8191A">
        <w:rPr>
          <w:rFonts w:ascii="Times New Roman" w:eastAsia="Times New Roman" w:hAnsi="Times New Roman" w:cs="Times New Roman"/>
          <w:spacing w:val="60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Pr="00A8191A">
        <w:rPr>
          <w:rFonts w:ascii="Times New Roman" w:eastAsia="Times New Roman" w:hAnsi="Times New Roman" w:cs="Times New Roman"/>
          <w:spacing w:val="60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Ústavou</w:t>
      </w:r>
      <w:r w:rsidRPr="00A8191A">
        <w:rPr>
          <w:rFonts w:ascii="Times New Roman" w:eastAsia="Times New Roman" w:hAnsi="Times New Roman" w:cs="Times New Roman"/>
          <w:spacing w:val="60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</w:t>
      </w:r>
      <w:r w:rsidRPr="00A8191A">
        <w:rPr>
          <w:rFonts w:ascii="Times New Roman" w:eastAsia="Times New Roman" w:hAnsi="Times New Roman" w:cs="Times New Roman"/>
          <w:spacing w:val="60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republiky,</w:t>
      </w:r>
      <w:r w:rsidRPr="00A8191A">
        <w:rPr>
          <w:rFonts w:ascii="Times New Roman" w:eastAsia="Times New Roman" w:hAnsi="Times New Roman" w:cs="Times New Roman"/>
          <w:spacing w:val="60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ústavnými</w:t>
      </w:r>
      <w:r w:rsidRPr="00A8191A">
        <w:rPr>
          <w:rFonts w:ascii="Times New Roman" w:eastAsia="Times New Roman" w:hAnsi="Times New Roman" w:cs="Times New Roman"/>
          <w:spacing w:val="60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zákonmi</w:t>
      </w:r>
      <w:r>
        <w:rPr>
          <w:rFonts w:ascii="Times New Roman" w:eastAsia="Times New Roman" w:hAnsi="Times New Roman" w:cs="Times New Roman"/>
          <w:spacing w:val="6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pacing w:val="60"/>
          <w:sz w:val="24"/>
          <w:szCs w:val="24"/>
          <w:lang w:eastAsia="sk-SK"/>
        </w:rPr>
        <w:br/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a ostatnými</w:t>
      </w:r>
      <w:r w:rsidRPr="00A8191A">
        <w:rPr>
          <w:rFonts w:ascii="Times New Roman" w:eastAsia="Times New Roman" w:hAnsi="Times New Roman" w:cs="Times New Roman"/>
          <w:spacing w:val="18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všeobecne</w:t>
      </w:r>
      <w:r w:rsidRPr="00A8191A">
        <w:rPr>
          <w:rFonts w:ascii="Times New Roman" w:eastAsia="Times New Roman" w:hAnsi="Times New Roman" w:cs="Times New Roman"/>
          <w:spacing w:val="18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záväznými</w:t>
      </w:r>
      <w:r w:rsidRPr="00A8191A">
        <w:rPr>
          <w:rFonts w:ascii="Times New Roman" w:eastAsia="Times New Roman" w:hAnsi="Times New Roman" w:cs="Times New Roman"/>
          <w:spacing w:val="18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právnymi</w:t>
      </w:r>
      <w:r w:rsidRPr="00A8191A">
        <w:rPr>
          <w:rFonts w:ascii="Times New Roman" w:eastAsia="Times New Roman" w:hAnsi="Times New Roman" w:cs="Times New Roman"/>
          <w:spacing w:val="18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predpismi</w:t>
      </w:r>
      <w:r w:rsidRPr="00A8191A">
        <w:rPr>
          <w:rFonts w:ascii="Times New Roman" w:eastAsia="Times New Roman" w:hAnsi="Times New Roman" w:cs="Times New Roman"/>
          <w:spacing w:val="18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</w:t>
      </w:r>
      <w:r w:rsidRPr="00A8191A">
        <w:rPr>
          <w:rFonts w:ascii="Times New Roman" w:eastAsia="Times New Roman" w:hAnsi="Times New Roman" w:cs="Times New Roman"/>
          <w:spacing w:val="18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republiky,</w:t>
      </w:r>
      <w:r w:rsidRPr="00A8191A">
        <w:rPr>
          <w:rFonts w:ascii="Times New Roman" w:eastAsia="Times New Roman" w:hAnsi="Times New Roman" w:cs="Times New Roman"/>
          <w:spacing w:val="18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medzinárodnými zmluvami</w:t>
      </w:r>
      <w:r w:rsidRPr="00A8191A">
        <w:rPr>
          <w:rFonts w:ascii="Times New Roman" w:eastAsia="Times New Roman" w:hAnsi="Times New Roman" w:cs="Times New Roman"/>
          <w:spacing w:val="43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A8191A">
        <w:rPr>
          <w:rFonts w:ascii="Times New Roman" w:eastAsia="Times New Roman" w:hAnsi="Times New Roman" w:cs="Times New Roman"/>
          <w:spacing w:val="43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inými</w:t>
      </w:r>
      <w:r w:rsidRPr="00A8191A">
        <w:rPr>
          <w:rFonts w:ascii="Times New Roman" w:eastAsia="Times New Roman" w:hAnsi="Times New Roman" w:cs="Times New Roman"/>
          <w:spacing w:val="43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medzinárodnými</w:t>
      </w:r>
      <w:r w:rsidRPr="00A8191A">
        <w:rPr>
          <w:rFonts w:ascii="Times New Roman" w:eastAsia="Times New Roman" w:hAnsi="Times New Roman" w:cs="Times New Roman"/>
          <w:spacing w:val="43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dokumentmi,</w:t>
      </w:r>
      <w:r w:rsidRPr="00A8191A">
        <w:rPr>
          <w:rFonts w:ascii="Times New Roman" w:eastAsia="Times New Roman" w:hAnsi="Times New Roman" w:cs="Times New Roman"/>
          <w:spacing w:val="43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ktorými</w:t>
      </w:r>
      <w:r w:rsidRPr="00A8191A">
        <w:rPr>
          <w:rFonts w:ascii="Times New Roman" w:eastAsia="Times New Roman" w:hAnsi="Times New Roman" w:cs="Times New Roman"/>
          <w:spacing w:val="43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Pr="00A8191A">
        <w:rPr>
          <w:rFonts w:ascii="Times New Roman" w:eastAsia="Times New Roman" w:hAnsi="Times New Roman" w:cs="Times New Roman"/>
          <w:spacing w:val="43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Slovenská</w:t>
      </w:r>
      <w:r w:rsidRPr="00A8191A">
        <w:rPr>
          <w:rFonts w:ascii="Times New Roman" w:eastAsia="Times New Roman" w:hAnsi="Times New Roman" w:cs="Times New Roman"/>
          <w:spacing w:val="43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republika</w:t>
      </w:r>
      <w:r w:rsidRPr="00A8191A">
        <w:rPr>
          <w:rFonts w:ascii="Times New Roman" w:eastAsia="Times New Roman" w:hAnsi="Times New Roman" w:cs="Times New Roman"/>
          <w:spacing w:val="43"/>
          <w:sz w:val="24"/>
          <w:szCs w:val="24"/>
          <w:lang w:eastAsia="sk-SK"/>
        </w:rPr>
        <w:t xml:space="preserve"> </w:t>
      </w: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viazaná, ako aj s právom Európskej únie.</w:t>
      </w:r>
    </w:p>
    <w:p w:rsidR="00280485" w:rsidRDefault="00280485" w:rsidP="002804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0485" w:rsidRDefault="00280485" w:rsidP="002804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0485" w:rsidRPr="000B2E74" w:rsidRDefault="00280485" w:rsidP="0028048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sk-SK"/>
        </w:rPr>
      </w:pPr>
      <w:r w:rsidRPr="000B2E7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Osobitná časť </w:t>
      </w:r>
    </w:p>
    <w:p w:rsidR="00280485" w:rsidRPr="000B2E74" w:rsidRDefault="00280485" w:rsidP="00280485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sk-SK"/>
        </w:rPr>
      </w:pPr>
    </w:p>
    <w:p w:rsidR="00280485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819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 čl. I</w:t>
      </w:r>
    </w:p>
    <w:p w:rsidR="00280485" w:rsidRPr="00A8191A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sk-SK"/>
        </w:rPr>
      </w:pPr>
    </w:p>
    <w:p w:rsidR="00280485" w:rsidRPr="00A8191A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sk-SK"/>
        </w:rPr>
      </w:pPr>
      <w:r w:rsidRPr="00A819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 bodu 1</w:t>
      </w:r>
    </w:p>
    <w:p w:rsidR="00280485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2 ods. 2 písm. zo) sa do základných pojmov zákona zavádza presná definícia pojmu prístupová poľná cesta. Uvedené je nevyhnutné z dôvodu následnej aplikačnej praxe pri posudzovaní oprávnenosti jazdenia a státia s motorovým vozidlom v území, kde platí druhý stupeň ochrany podľa zákona.   </w:t>
      </w:r>
      <w:r>
        <w:rPr>
          <w:rFonts w:ascii="Times New Roman" w:eastAsia="Times New Roman" w:hAnsi="Times New Roman" w:cs="Times New Roman"/>
          <w:sz w:val="27"/>
          <w:szCs w:val="27"/>
          <w:lang w:eastAsia="sk-SK"/>
        </w:rPr>
        <w:t xml:space="preserve"> </w:t>
      </w:r>
    </w:p>
    <w:p w:rsidR="00280485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0485" w:rsidRPr="00A8191A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sk-SK"/>
        </w:rPr>
      </w:pPr>
      <w:r w:rsidRPr="00A819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 bodu 2</w:t>
      </w:r>
    </w:p>
    <w:p w:rsidR="00280485" w:rsidRDefault="00280485" w:rsidP="00280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91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 13 ods. 1 písm. a) zákona sa upravuje pôvodný okruh zákazov. Podľa nového znenia zákona bude umožnené jazdiť alebo stáť s motorovým vozidlom v území, kde platí druhý stupeň ochrany, aj na účelovej ceste a na existujúcej prístupovej poľnej ceste. Dôvodom navrhovanej úpravy je zabezpečenie zjednodušenie prístupu k nehnuteľnostiam, a to napr. k chatovým osadám, lazníckym a kopaničiarskym osídleniam, ako aj sprístupnenie územia v súvislosti s výkonom rybárskeho práva, včelárstva a pod. </w:t>
      </w:r>
      <w:r w:rsidRPr="00385DC4">
        <w:rPr>
          <w:rFonts w:ascii="Times New Roman" w:hAnsi="Times New Roman" w:cs="Times New Roman"/>
          <w:sz w:val="24"/>
          <w:szCs w:val="24"/>
        </w:rPr>
        <w:t>Navrhovanou právnou úpravou dôjde k</w:t>
      </w:r>
      <w:r>
        <w:rPr>
          <w:rFonts w:ascii="Times New Roman" w:hAnsi="Times New Roman" w:cs="Times New Roman"/>
          <w:sz w:val="24"/>
          <w:szCs w:val="24"/>
        </w:rPr>
        <w:t xml:space="preserve"> odstráneniu </w:t>
      </w:r>
      <w:r w:rsidRPr="00385DC4">
        <w:rPr>
          <w:rFonts w:ascii="Times New Roman" w:hAnsi="Times New Roman" w:cs="Times New Roman"/>
          <w:sz w:val="24"/>
          <w:szCs w:val="24"/>
        </w:rPr>
        <w:t>neprimerane prísnych a obmedzujúcich zákazov</w:t>
      </w:r>
      <w:r>
        <w:rPr>
          <w:rFonts w:ascii="Times New Roman" w:hAnsi="Times New Roman" w:cs="Times New Roman"/>
          <w:sz w:val="24"/>
          <w:szCs w:val="24"/>
        </w:rPr>
        <w:t xml:space="preserve"> pre</w:t>
      </w:r>
      <w:r w:rsidRPr="00385DC4">
        <w:rPr>
          <w:rFonts w:ascii="Times New Roman" w:hAnsi="Times New Roman" w:cs="Times New Roman"/>
          <w:sz w:val="24"/>
          <w:szCs w:val="24"/>
        </w:rPr>
        <w:t xml:space="preserve"> obyvateľov</w:t>
      </w:r>
      <w:r>
        <w:rPr>
          <w:rFonts w:ascii="Times New Roman" w:hAnsi="Times New Roman" w:cs="Times New Roman"/>
          <w:sz w:val="24"/>
          <w:szCs w:val="24"/>
        </w:rPr>
        <w:t xml:space="preserve"> vo veľkoplošných chránených územiach, odbremeneniu</w:t>
      </w:r>
      <w:r w:rsidRPr="00385DC4">
        <w:rPr>
          <w:rFonts w:ascii="Times New Roman" w:hAnsi="Times New Roman" w:cs="Times New Roman"/>
          <w:sz w:val="24"/>
          <w:szCs w:val="24"/>
        </w:rPr>
        <w:t xml:space="preserve"> orgánov štátnej správy od zbytočných konaní, ako aj </w:t>
      </w:r>
      <w:r>
        <w:rPr>
          <w:rFonts w:ascii="Times New Roman" w:hAnsi="Times New Roman" w:cs="Times New Roman"/>
          <w:sz w:val="24"/>
          <w:szCs w:val="24"/>
        </w:rPr>
        <w:t>posilneniu</w:t>
      </w:r>
      <w:r w:rsidRPr="00385DC4">
        <w:rPr>
          <w:rFonts w:ascii="Times New Roman" w:hAnsi="Times New Roman" w:cs="Times New Roman"/>
          <w:sz w:val="24"/>
          <w:szCs w:val="24"/>
        </w:rPr>
        <w:t xml:space="preserve"> práv vlastníkov ne</w:t>
      </w:r>
      <w:r>
        <w:rPr>
          <w:rFonts w:ascii="Times New Roman" w:hAnsi="Times New Roman" w:cs="Times New Roman"/>
          <w:sz w:val="24"/>
          <w:szCs w:val="24"/>
        </w:rPr>
        <w:t>hnuteľností. Zároveň však zostanú dostatočné chránené záujmy ochrany prírody a krajiny v území s druhým stupňom ochrany.</w:t>
      </w:r>
    </w:p>
    <w:p w:rsidR="00280485" w:rsidRDefault="00280485" w:rsidP="00280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Ďalej bol vypustený neprimerane prísny zákaz používania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záprahového vozidla, najmä voza, koča</w:t>
      </w:r>
      <w:r w:rsidRPr="00C72EF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alebo san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í na pozemkoch</w:t>
      </w:r>
      <w:r w:rsidRPr="00C72EF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za hranicami zastavaného územia obce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ktorý v druhom stupni ochrany, t. j. v poľnohospodárskej krajiny, nemal žiadne opodstatnenie. </w:t>
      </w:r>
    </w:p>
    <w:p w:rsidR="00280485" w:rsidRPr="00385DC4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Treba zdôrazniť, že navrhovanou zmenou nie sú dotknuté zákazy vyplývajúce napr. zo zákona č. 326/2005 Z. z. o lesoch v znení neskorších predpisov a ani zo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zákona č. 8/2009 Z. z. </w:t>
      </w:r>
      <w:r w:rsidRPr="001A570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o cestnej premávke a o zmene a doplnení niektorých zákonov</w:t>
      </w:r>
      <w:r w:rsidRPr="001A5706">
        <w:rPr>
          <w:rFonts w:ascii="Times New Roman" w:hAnsi="Times New Roman" w:cs="Times New Roman"/>
          <w:sz w:val="24"/>
          <w:szCs w:val="24"/>
        </w:rPr>
        <w:t> v znení neskorších predpisov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0485" w:rsidRDefault="00280485" w:rsidP="00280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nadväznosti na uvedené bolo potrebné aj aktualizovať poznámku pod čiarou k odkazu 44: nahradenie odkazu na už neplatný zákon č. 315/1996 Z. z. na platné znenie § 2 písm. l) zákona č. 8/2009 Z. z. </w:t>
      </w:r>
      <w:r w:rsidRPr="001A570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o cestnej premávke a o zmene a doplnení niektorých zákonov</w:t>
      </w:r>
      <w:r w:rsidRPr="001A5706">
        <w:rPr>
          <w:rFonts w:ascii="Times New Roman" w:hAnsi="Times New Roman" w:cs="Times New Roman"/>
          <w:sz w:val="24"/>
          <w:szCs w:val="24"/>
        </w:rPr>
        <w:t> v znení neskorších predpisov.</w:t>
      </w:r>
    </w:p>
    <w:p w:rsidR="00280485" w:rsidRDefault="00280485" w:rsidP="00280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Tiež bolo potrebné k prvému uvedeniu pojmu účelovej cesty v zákone z dôvodu upresnenia priradiť poznámku pod čiarou k odkazu 45:</w:t>
      </w:r>
    </w:p>
    <w:p w:rsidR="00280485" w:rsidRDefault="00280485" w:rsidP="00280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706">
        <w:rPr>
          <w:rFonts w:ascii="Times New Roman" w:hAnsi="Times New Roman" w:cs="Times New Roman"/>
          <w:sz w:val="24"/>
          <w:szCs w:val="24"/>
        </w:rPr>
        <w:t>§ 1 ods. 2 až 4 zákona č. 135/1961 Zb. v znení neskorších predpisov.</w:t>
      </w:r>
    </w:p>
    <w:p w:rsidR="00280485" w:rsidRDefault="00280485" w:rsidP="00280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706">
        <w:rPr>
          <w:rFonts w:ascii="Times New Roman" w:hAnsi="Times New Roman" w:cs="Times New Roman"/>
          <w:sz w:val="24"/>
          <w:szCs w:val="24"/>
        </w:rPr>
        <w:t>§ 3, 7, 8 a 22 vyhlášky Federálneho ministerstva dopravy č. 35/1984 Zb., ktorou sa vykonáva zákon o pozemných</w:t>
      </w:r>
      <w:r>
        <w:rPr>
          <w:rFonts w:ascii="Times New Roman" w:hAnsi="Times New Roman" w:cs="Times New Roman"/>
          <w:sz w:val="24"/>
          <w:szCs w:val="24"/>
        </w:rPr>
        <w:t xml:space="preserve"> komunikáciách (cestný zákon).</w:t>
      </w:r>
    </w:p>
    <w:p w:rsidR="00280485" w:rsidRPr="001A5706" w:rsidRDefault="00280485" w:rsidP="00280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Navyše sa navrhuje aj zrušenie ustanovenia § 13 ods. 1 písm. b) zákona, v ktorom je aktuálne uvedená poznámka pod čiarou k odkazu 45, preto bolo potrebné jej presunutie.</w:t>
      </w:r>
    </w:p>
    <w:p w:rsidR="00280485" w:rsidRDefault="00280485" w:rsidP="00280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485" w:rsidRPr="00A8191A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 bodu 3</w:t>
      </w:r>
    </w:p>
    <w:p w:rsidR="00280485" w:rsidRDefault="00280485" w:rsidP="00280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4276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13 ods. 1 sa vypúšťa písm. b)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FF42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ktorého je na území, na ktorom platí druhý stupeň ochrany, zakázané </w:t>
      </w:r>
      <w:r w:rsidRPr="00FF4276">
        <w:rPr>
          <w:rFonts w:ascii="Times New Roman" w:hAnsi="Times New Roman" w:cs="Times New Roman"/>
          <w:sz w:val="24"/>
          <w:szCs w:val="24"/>
          <w:shd w:val="clear" w:color="auto" w:fill="FFFFFF"/>
        </w:rPr>
        <w:t>jazdiť na bicykli, trojkolke, kolobežke alebo samovyvažovacom vozidle na pozemkoch za hranicami zastavaného územia obce mimo diaľnice, cesty, miestnej komunikácie, účelovej komu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nikácie a vyznačenej cyklotrasy. Dôvodom je uvoľnenie prísnosti zákona. Predmetný zákaz už od druhého stupňa ochrany je neopodstatnený, opodstatnenosť tohto zákazu činnosti je dôležitá najmä od tretieho stupňa ochrany. </w:t>
      </w:r>
    </w:p>
    <w:p w:rsidR="00280485" w:rsidRDefault="00280485" w:rsidP="00280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80485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80485" w:rsidRPr="00A8191A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 bodu 4</w:t>
      </w:r>
    </w:p>
    <w:p w:rsidR="00280485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Zmena textu súvisí so zrušením ustanovenia zákona uvedenom v predchádzajúcom bode 3. Poznámka pod čiarou k odkazu 55 sa vypúšťa z dôvodu neplatnosti zákona č. 315/1996 Z. z., na ktorý odkazoval.</w:t>
      </w:r>
    </w:p>
    <w:p w:rsidR="00280485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0485" w:rsidRPr="00A8191A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 bodu 5</w:t>
      </w:r>
    </w:p>
    <w:p w:rsidR="00280485" w:rsidRPr="00385DC4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Upravuje sa znenie § 13 ods. 3 písm. a) zákona. Účelom je zabezpečenie prístupu </w:t>
      </w:r>
      <w:r w:rsidRPr="001A5706">
        <w:rPr>
          <w:rFonts w:ascii="Times New Roman" w:hAnsi="Times New Roman" w:cs="Times New Roman"/>
          <w:color w:val="000000" w:themeColor="text1"/>
          <w:sz w:val="24"/>
          <w:szCs w:val="24"/>
        </w:rPr>
        <w:t>vlastníkom, správcom alebo nájomcom pozemku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pozemky v chránených územiach v ich vlastníctve, správe alebo nájme, ako aj správcovi vodného toku k pozemkom v jeho správe. Doterajšia právna úprava takúto zákonu výnimku obsahovala, avšak táto zákona výnimka bola formulovaná nezrozumiteľne, bola absolútne iracionálne zavedená vo vzťahu k vlastníctvu </w:t>
      </w:r>
      <w:r w:rsidRPr="00E04C42">
        <w:rPr>
          <w:rFonts w:asciiTheme="majorBidi" w:hAnsiTheme="majorBidi" w:cstheme="majorBidi"/>
          <w:color w:val="000000" w:themeColor="text1"/>
          <w:sz w:val="24"/>
          <w:szCs w:val="24"/>
        </w:rPr>
        <w:t>motorového vozidla, pričom sa vzťahovala výlučne len na pozemok, ktorý bol vo vlastníctve, správe alebo nájme.</w:t>
      </w:r>
      <w:r>
        <w:rPr>
          <w:rFonts w:asciiTheme="majorBidi" w:hAnsiTheme="majorBidi" w:cstheme="majorBidi"/>
          <w:sz w:val="24"/>
          <w:szCs w:val="24"/>
        </w:rPr>
        <w:t xml:space="preserve"> Treba zdôrazniť, že p</w:t>
      </w:r>
      <w:r w:rsidRPr="00E04C42">
        <w:rPr>
          <w:rFonts w:asciiTheme="majorBidi" w:hAnsiTheme="majorBidi" w:cstheme="majorBidi"/>
          <w:sz w:val="24"/>
          <w:szCs w:val="24"/>
        </w:rPr>
        <w:t>rístup k pozemku je spravidla zabezpečený cez iné parcely aj v cudzom vlastníctve, a teda predmetná výnimka bola v praxi neaplikovateľná. Navrhovaná právna</w:t>
      </w:r>
      <w:r>
        <w:rPr>
          <w:rFonts w:asciiTheme="majorBidi" w:hAnsiTheme="majorBidi" w:cstheme="majorBidi"/>
          <w:sz w:val="24"/>
          <w:szCs w:val="24"/>
        </w:rPr>
        <w:t xml:space="preserve"> úprava </w:t>
      </w:r>
      <w:r w:rsidRPr="00E04C42">
        <w:rPr>
          <w:rFonts w:asciiTheme="majorBidi" w:hAnsiTheme="majorBidi" w:cstheme="majorBidi"/>
          <w:sz w:val="24"/>
          <w:szCs w:val="24"/>
        </w:rPr>
        <w:t xml:space="preserve">odstraňuje tieto nedostatky a v súlade s Ústavou SR </w:t>
      </w:r>
      <w:r>
        <w:rPr>
          <w:rFonts w:asciiTheme="majorBidi" w:hAnsiTheme="majorBidi" w:cstheme="majorBidi"/>
          <w:sz w:val="24"/>
          <w:szCs w:val="24"/>
        </w:rPr>
        <w:t xml:space="preserve">umožňuje používať motorové vozidlo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správcovi vodného toku alebo vlastníkovi</w:t>
      </w:r>
      <w:r w:rsidRPr="001A5706">
        <w:rPr>
          <w:rFonts w:ascii="Times New Roman" w:hAnsi="Times New Roman" w:cs="Times New Roman"/>
          <w:color w:val="000000" w:themeColor="text1"/>
          <w:sz w:val="24"/>
          <w:szCs w:val="24"/>
        </w:rPr>
        <w:t>, správco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vi</w:t>
      </w:r>
      <w:r w:rsidRPr="001A57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alebo nájomco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vi</w:t>
      </w:r>
      <w:r w:rsidRPr="001A57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pozemku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aj </w:t>
      </w:r>
      <w:r w:rsidRPr="001A5706">
        <w:rPr>
          <w:rFonts w:ascii="Times New Roman" w:hAnsi="Times New Roman" w:cs="Times New Roman"/>
          <w:color w:val="000000" w:themeColor="text1"/>
          <w:sz w:val="24"/>
          <w:szCs w:val="24"/>
        </w:rPr>
        <w:t>na príjazd k takémuto pozemku cez iné pozemky</w:t>
      </w:r>
      <w:r>
        <w:rPr>
          <w:rFonts w:asciiTheme="majorBidi" w:hAnsiTheme="majorBidi" w:cstheme="majorBidi"/>
          <w:sz w:val="24"/>
          <w:szCs w:val="24"/>
        </w:rPr>
        <w:t xml:space="preserve"> v chránenom území. </w:t>
      </w:r>
      <w:r>
        <w:rPr>
          <w:rFonts w:ascii="Times New Roman" w:hAnsi="Times New Roman" w:cs="Times New Roman"/>
          <w:sz w:val="24"/>
          <w:szCs w:val="24"/>
        </w:rPr>
        <w:t xml:space="preserve">Treba zdôrazniť, že navrhovanou zmenou nie sú dotknuté zákazy vyplývajúce </w:t>
      </w:r>
      <w:r>
        <w:rPr>
          <w:rFonts w:ascii="Times New Roman" w:hAnsi="Times New Roman" w:cs="Times New Roman"/>
          <w:sz w:val="24"/>
          <w:szCs w:val="24"/>
        </w:rPr>
        <w:br/>
        <w:t xml:space="preserve">napr. zo zákona č. 326/2005 Z. z. o lesoch v znení neskorších predpisov a ani zo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č. 8/2009 Z. z. </w:t>
      </w:r>
      <w:r w:rsidRPr="001A570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o cestnej premávke a o zmene a doplnení niektorých zákonov</w:t>
      </w:r>
      <w:r w:rsidRPr="001A5706">
        <w:rPr>
          <w:rFonts w:ascii="Times New Roman" w:hAnsi="Times New Roman" w:cs="Times New Roman"/>
          <w:sz w:val="24"/>
          <w:szCs w:val="24"/>
        </w:rPr>
        <w:t> v znení neskorších predpisov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0485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0485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0485" w:rsidRPr="00A8191A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 bodu 6</w:t>
      </w:r>
    </w:p>
    <w:p w:rsidR="00280485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 § 13 ods. 3 zákona sa dopĺňa o nové písm. e), podľa ktorého zákaz jazdiť a stáť s motorovým vozidlom sa nebude vzťahovať na zamestnancov orgánu ochrany prírody, ktorí majú</w:t>
      </w:r>
      <w:r w:rsidRPr="00B703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pôsobnosti ochranu prírody a krajiny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Dôvodom je umožnenie efektívneho výkonu štátnej správy orgánov ochrany prírody a krajiny. Je nevyhnutné, aby zamestnanec orgánu ochrany prírody a krajiny</w:t>
      </w:r>
      <w:r w:rsidRPr="00B7031C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 má v pôsobnosti ochranu prírody a krajiny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mohol vykonať miestnu ohliadku, iné zisťovanie alebo získavať poznatky o stave prírody a krajiny v chránených územiach, a za tým účelom použiť aj motorové vozidlo. </w:t>
      </w:r>
    </w:p>
    <w:p w:rsidR="00280485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0485" w:rsidRPr="00A8191A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 bodu 7</w:t>
      </w:r>
    </w:p>
    <w:p w:rsidR="00280485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Upravuje sa znenie § 14 ods. 1 písm. a) zákona tak, že pôvodné znenie tohto zákazu z druhého stupňa ochrany sa presúva do znenia zákazov do tretieho stupňa ochrany, t. j. do § 14 zákona. V druhom stupni ochrany sa tento zákaz uvoľnil, v treťom stupni ochrany tento zákaz ostáva v pôvodnom znení.</w:t>
      </w:r>
    </w:p>
    <w:p w:rsidR="00280485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280485" w:rsidRPr="00A8191A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 bodu 8</w:t>
      </w:r>
    </w:p>
    <w:p w:rsidR="00280485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Zosúladenie pojmov v zákone s cestným zákonom.</w:t>
      </w:r>
    </w:p>
    <w:p w:rsidR="00280485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0485" w:rsidRPr="00A8191A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 bodu 9</w:t>
      </w:r>
    </w:p>
    <w:p w:rsidR="00280485" w:rsidRPr="00972D3D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 w:rsidRPr="00972D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14 ods. 3 zákona sa dopĺňa o nové písm. d), podľa ktorého zákaz pohybovať </w:t>
      </w:r>
      <w:r w:rsidRPr="00972D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 mimo vyznačeného turistického chodníka alebo náučného chodníka za hranicami zastavaného územia obce </w:t>
      </w:r>
      <w:r w:rsidRPr="00972D3D">
        <w:rPr>
          <w:rFonts w:ascii="Times New Roman" w:eastAsia="Times New Roman" w:hAnsi="Times New Roman" w:cs="Times New Roman"/>
          <w:sz w:val="24"/>
          <w:szCs w:val="24"/>
          <w:lang w:eastAsia="sk-SK"/>
        </w:rPr>
        <w:t>sa nebude vzťahovať na zamestnancov orgánu ochrany prírody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B7031C">
        <w:t xml:space="preserve"> </w:t>
      </w:r>
      <w:r w:rsidRPr="00B7031C">
        <w:rPr>
          <w:rFonts w:ascii="Times New Roman" w:eastAsia="Times New Roman" w:hAnsi="Times New Roman" w:cs="Times New Roman"/>
          <w:sz w:val="24"/>
          <w:szCs w:val="24"/>
          <w:lang w:eastAsia="sk-SK"/>
        </w:rPr>
        <w:t>ktor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 w:rsidRPr="00B703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ajú</w:t>
      </w:r>
      <w:r w:rsidRPr="00B703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pôsobnosti ochranu prírody a krajiny</w:t>
      </w:r>
      <w:r w:rsidRPr="00972D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Dôvodom je umožnenie efektívneho výkonu štátnej správy orgánov ochrany prírody a krajiny. Je nevyhnutné, aby zamestnanec orgánu ochrany prírody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a krajiny</w:t>
      </w:r>
      <w:r w:rsidRPr="00B7031C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 má v pôsobnosti ochranu prírody a krajiny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mohol vykonať miestnu ohliadku, iné zisťovanie alebo získavať poznatky o stave prírody a krajiny v chránených územiach.</w:t>
      </w:r>
    </w:p>
    <w:p w:rsidR="00280485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0485" w:rsidRPr="00A8191A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 bodu 10</w:t>
      </w:r>
    </w:p>
    <w:p w:rsidR="00280485" w:rsidRDefault="00280485" w:rsidP="00280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súčasnosti je územná pôsobnosť členov dobrovoľnej stráže prírody spravidla nastavená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E9519E">
        <w:rPr>
          <w:rFonts w:ascii="Times New Roman" w:eastAsia="Times New Roman" w:hAnsi="Times New Roman" w:cs="Times New Roman"/>
          <w:sz w:val="24"/>
          <w:szCs w:val="24"/>
          <w:lang w:eastAsia="sk-SK"/>
        </w:rPr>
        <w:t>na pomerne rozsiahle územia, napr. na celé kompetenčné územia správ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chránených krajinných oblastí alebo prípadne na celé územie Slovenskej republiky.</w:t>
      </w:r>
      <w:r w:rsidRPr="00E95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Navrhované znenie zákona</w:t>
      </w:r>
      <w:r w:rsidRPr="00E95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územnú kompetenciu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dobrovoľnej stráže prírody stanovuje </w:t>
      </w:r>
      <w:r w:rsidRPr="00E95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pozemky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ich </w:t>
      </w:r>
      <w:r w:rsidRPr="00E9519E">
        <w:rPr>
          <w:rFonts w:ascii="Times New Roman" w:hAnsi="Times New Roman" w:cs="Times New Roman"/>
          <w:color w:val="000000"/>
          <w:sz w:val="24"/>
          <w:szCs w:val="24"/>
        </w:rPr>
        <w:t>vlastníctve, správe</w:t>
      </w:r>
      <w:r>
        <w:rPr>
          <w:rFonts w:ascii="Times New Roman" w:hAnsi="Times New Roman" w:cs="Times New Roman"/>
          <w:color w:val="000000"/>
          <w:sz w:val="24"/>
          <w:szCs w:val="24"/>
        </w:rPr>
        <w:t>, nájme</w:t>
      </w:r>
      <w:r w:rsidRPr="00E9519E">
        <w:rPr>
          <w:rFonts w:ascii="Times New Roman" w:hAnsi="Times New Roman" w:cs="Times New Roman"/>
          <w:color w:val="000000"/>
          <w:sz w:val="24"/>
          <w:szCs w:val="24"/>
        </w:rPr>
        <w:t xml:space="preserve"> alebo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 obhospodarovaní</w:t>
      </w:r>
      <w:r w:rsidRPr="00E951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Pr="00E9519E">
        <w:rPr>
          <w:rFonts w:ascii="Times New Roman" w:hAnsi="Times New Roman" w:cs="Times New Roman"/>
          <w:color w:val="000000"/>
          <w:sz w:val="24"/>
          <w:szCs w:val="24"/>
        </w:rPr>
        <w:t xml:space="preserve">ebo na iných pozemkoch po písomnej dohode s ich vlastníkom, správcom, nájomcom alebo obhospodarovateľom.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Navrhovaným znením zákona dôjde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k racionalizácii výkonu činnosti dobrovoľnej stráže prírody a zamedzeniu prípadného zneužívania výhod, ktorými disponovali pri výkone kontrolnej činnosti.</w:t>
      </w:r>
    </w:p>
    <w:p w:rsidR="00280485" w:rsidRPr="008B1A56" w:rsidRDefault="00280485" w:rsidP="00280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0485" w:rsidRPr="00A8191A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 </w:t>
      </w:r>
      <w:r w:rsidRPr="00E95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bodu 11</w:t>
      </w:r>
    </w:p>
    <w:p w:rsidR="00280485" w:rsidRPr="00E67F65" w:rsidRDefault="00280485" w:rsidP="0028048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Navrhovanou zmenou dôjde k zrušeniu možnosti ministerstva poverovať zamestnancov </w:t>
      </w:r>
      <w:r w:rsidRPr="00D85A75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D85A75">
        <w:rPr>
          <w:rFonts w:ascii="Times New Roman" w:hAnsi="Times New Roman" w:cs="Times New Roman"/>
          <w:sz w:val="24"/>
          <w:szCs w:val="24"/>
          <w:shd w:val="clear" w:color="auto" w:fill="FFFFFF"/>
        </w:rPr>
        <w:t>rgani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zácií ochrany prírody a príslušníkov</w:t>
      </w:r>
      <w:r w:rsidRPr="00D85A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Horskej záchrannej služby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oprávneniami a povinnosťami člena stráže prírody. Takto poverené osoby nemuseli preukazovať znalosti z oblasti </w:t>
      </w:r>
      <w:r w:rsidRPr="00D85A7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trestného práva, právnej úpravy priestupkov, právnej úpravy na úseku ochrany prírody a krajiny, použitia donucovacích prostriedkov, ako aj miestopisu a geografie územia,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br/>
      </w:r>
      <w:r w:rsidRPr="00D85A75">
        <w:rPr>
          <w:rFonts w:asciiTheme="majorBidi" w:hAnsiTheme="majorBidi" w:cstheme="majorBidi"/>
          <w:sz w:val="24"/>
          <w:szCs w:val="24"/>
          <w:shd w:val="clear" w:color="auto" w:fill="FFFFFF"/>
        </w:rPr>
        <w:t>v ktorom vykonávali funkciu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. Uvedené mohlo viesť k degradácií stráže prírody, nakoľko túto činnosť mohli vykonávať určené osoby, ktoré nemuseli disponovať požadovanými znalosťami. Navrhovaná právna úprave vypúšťa predmetnú možnosť, t. j. § 79 zákona, a teda každý, kto bude chcieť vykonávať stráž prírody bude musieť zložiť</w:t>
      </w:r>
      <w:r w:rsidRPr="00E67F6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skúšku z požadovaného okruhu vedomostí pred skúšobnou komisiou tvorenou zo zástupcu okresného úradu v sídle kraja, organizácie ochrany prírody a územného útvaru Policajného zboru a raz za päť rokov formou preskúšania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</w:t>
      </w:r>
    </w:p>
    <w:p w:rsidR="00280485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0485" w:rsidRPr="00A8191A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 bodu 12</w:t>
      </w:r>
    </w:p>
    <w:p w:rsidR="00280485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7950">
        <w:rPr>
          <w:rFonts w:ascii="Times New Roman" w:eastAsia="Times New Roman" w:hAnsi="Times New Roman" w:cs="Times New Roman"/>
          <w:sz w:val="24"/>
          <w:szCs w:val="24"/>
          <w:lang w:eastAsia="sk-SK"/>
        </w:rPr>
        <w:t>Prechodné ustanovenie sa ustanovuje analogicky ako pri § 104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Pr="007279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zákona.</w:t>
      </w:r>
    </w:p>
    <w:p w:rsidR="00280485" w:rsidRPr="00727950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Oprávnenia a povinnosti stráže prírody u osôb uvedených v § 104l ods. 2 zákona skončia dňa 31.12.2026. Uvedené osoby budú mať možnosť po splnení zákonných podmienok zapísať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sa do zoznamu členov stráže prírody ako riadni členovia v príslušnej lehote.  </w:t>
      </w:r>
    </w:p>
    <w:p w:rsidR="00280485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80485" w:rsidRPr="00A8191A" w:rsidRDefault="00280485" w:rsidP="002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sk-SK"/>
        </w:rPr>
      </w:pPr>
      <w:r w:rsidRPr="00A819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 čl. II</w:t>
      </w:r>
    </w:p>
    <w:p w:rsidR="00280485" w:rsidRPr="00122A2E" w:rsidRDefault="00280485" w:rsidP="002804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Účinnosť zákona sa navrhuje dňom vyhlásenia.</w:t>
      </w:r>
    </w:p>
    <w:p w:rsidR="0015736A" w:rsidRDefault="00280485"/>
    <w:p w:rsidR="00280485" w:rsidRDefault="00280485"/>
    <w:p w:rsidR="00280485" w:rsidRDefault="00280485"/>
    <w:p w:rsidR="00280485" w:rsidRDefault="00280485"/>
    <w:p w:rsidR="00280485" w:rsidRDefault="00280485"/>
    <w:p w:rsidR="00280485" w:rsidRDefault="00280485"/>
    <w:p w:rsidR="00280485" w:rsidRDefault="00280485"/>
    <w:p w:rsidR="00280485" w:rsidRDefault="00280485"/>
    <w:p w:rsidR="00280485" w:rsidRDefault="00280485" w:rsidP="00280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</w:pPr>
      <w:r w:rsidRPr="00FE24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lastRenderedPageBreak/>
        <w:t>Doložka vybraných vplyvov</w:t>
      </w:r>
    </w:p>
    <w:p w:rsidR="00280485" w:rsidRPr="00FE24DF" w:rsidRDefault="00280485" w:rsidP="00280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0485" w:rsidRPr="00FE24DF" w:rsidRDefault="00280485" w:rsidP="002804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FE24DF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A.1. Názov </w:t>
      </w:r>
      <w:r w:rsidRPr="00FE24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materiálu: </w:t>
      </w:r>
    </w:p>
    <w:p w:rsidR="00280485" w:rsidRPr="009D69AF" w:rsidRDefault="00280485" w:rsidP="00280485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</w:pPr>
      <w:r w:rsidRPr="009D69A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9D69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9D69A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zákona,</w:t>
      </w:r>
      <w:r w:rsidRPr="009D69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9D69A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</w:t>
      </w:r>
      <w:r w:rsidRPr="009D69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9D69A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9D69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9D69A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mení a dopĺňa</w:t>
      </w:r>
      <w:r w:rsidRPr="009D69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9D69A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9D69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9D69A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9D69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9D69A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543/2002</w:t>
      </w:r>
      <w:r w:rsidRPr="009D69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9D69A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9D69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9D69A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9D69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9D69AF">
        <w:rPr>
          <w:rFonts w:ascii="Times New Roman" w:hAnsi="Times New Roman" w:cs="Times New Roman"/>
          <w:sz w:val="24"/>
          <w:szCs w:val="24"/>
        </w:rPr>
        <w:t>o ochrane prírody a krajiny v znení neskorších predpisov</w:t>
      </w:r>
    </w:p>
    <w:p w:rsidR="00280485" w:rsidRPr="00FE24DF" w:rsidRDefault="00280485" w:rsidP="002804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280485" w:rsidRDefault="00280485" w:rsidP="00280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  <w:r w:rsidRPr="00FE24DF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A.2. Vplyvy:</w:t>
      </w:r>
    </w:p>
    <w:p w:rsidR="00280485" w:rsidRDefault="00280485" w:rsidP="00280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783"/>
        <w:gridCol w:w="1409"/>
        <w:gridCol w:w="1400"/>
        <w:gridCol w:w="1464"/>
      </w:tblGrid>
      <w:tr w:rsidR="00280485" w:rsidRPr="00B320BC" w:rsidTr="001D2521">
        <w:tc>
          <w:tcPr>
            <w:tcW w:w="4928" w:type="dxa"/>
          </w:tcPr>
          <w:p w:rsidR="00280485" w:rsidRPr="00B320BC" w:rsidRDefault="00280485" w:rsidP="001D2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</w:tcPr>
          <w:p w:rsidR="00280485" w:rsidRPr="00FE24DF" w:rsidRDefault="00280485" w:rsidP="001D2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2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Pozitívne*</w:t>
            </w:r>
          </w:p>
          <w:p w:rsidR="00280485" w:rsidRPr="00B320BC" w:rsidRDefault="00280485" w:rsidP="001D2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:rsidR="00280485" w:rsidRPr="00FE24DF" w:rsidRDefault="00280485" w:rsidP="001D2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2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Žiadne*</w:t>
            </w:r>
          </w:p>
          <w:p w:rsidR="00280485" w:rsidRPr="00B320BC" w:rsidRDefault="00280485" w:rsidP="001D2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71" w:type="dxa"/>
          </w:tcPr>
          <w:p w:rsidR="00280485" w:rsidRPr="00FE24DF" w:rsidRDefault="00280485" w:rsidP="001D2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2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Negatívne*</w:t>
            </w:r>
          </w:p>
          <w:p w:rsidR="00280485" w:rsidRPr="00B320BC" w:rsidRDefault="00280485" w:rsidP="001D2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280485" w:rsidRPr="00B320BC" w:rsidTr="001D2521">
        <w:tc>
          <w:tcPr>
            <w:tcW w:w="4928" w:type="dxa"/>
          </w:tcPr>
          <w:p w:rsidR="00280485" w:rsidRPr="00FE24DF" w:rsidRDefault="00280485" w:rsidP="001D25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2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1. Vplyvy na rozpočet verejnej správy</w:t>
            </w:r>
          </w:p>
          <w:p w:rsidR="00280485" w:rsidRPr="00B320BC" w:rsidRDefault="00280485" w:rsidP="001D2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</w:tcPr>
          <w:p w:rsidR="00280485" w:rsidRPr="00B320BC" w:rsidRDefault="00280485" w:rsidP="001D2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:rsidR="00280485" w:rsidRPr="00B320BC" w:rsidRDefault="00280485" w:rsidP="001D2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B32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71" w:type="dxa"/>
          </w:tcPr>
          <w:p w:rsidR="00280485" w:rsidRPr="00B320BC" w:rsidRDefault="00280485" w:rsidP="001D2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280485" w:rsidRPr="00B320BC" w:rsidTr="001D2521">
        <w:tc>
          <w:tcPr>
            <w:tcW w:w="4928" w:type="dxa"/>
          </w:tcPr>
          <w:p w:rsidR="00280485" w:rsidRPr="00FE24DF" w:rsidRDefault="00280485" w:rsidP="001D25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2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2. Vplyvy na podnikateľské prostredie – dochádza k zvýšeniu regulačného zaťaženia?</w:t>
            </w:r>
          </w:p>
          <w:p w:rsidR="00280485" w:rsidRPr="00B320BC" w:rsidRDefault="00280485" w:rsidP="001D2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</w:tcPr>
          <w:p w:rsidR="00280485" w:rsidRPr="00B320BC" w:rsidRDefault="00280485" w:rsidP="001D2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:rsidR="00280485" w:rsidRPr="00B320BC" w:rsidRDefault="00280485" w:rsidP="001D2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B32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71" w:type="dxa"/>
          </w:tcPr>
          <w:p w:rsidR="00280485" w:rsidRPr="00B320BC" w:rsidRDefault="00280485" w:rsidP="001D2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280485" w:rsidRPr="00B320BC" w:rsidTr="001D2521">
        <w:tc>
          <w:tcPr>
            <w:tcW w:w="4928" w:type="dxa"/>
          </w:tcPr>
          <w:p w:rsidR="00280485" w:rsidRPr="00FE24DF" w:rsidRDefault="00280485" w:rsidP="001D25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2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3. Sociálne vplyvy </w:t>
            </w:r>
          </w:p>
          <w:p w:rsidR="00280485" w:rsidRPr="00B320BC" w:rsidRDefault="00280485" w:rsidP="001D2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</w:tcPr>
          <w:p w:rsidR="00280485" w:rsidRPr="00B320BC" w:rsidRDefault="00280485" w:rsidP="001D2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:rsidR="00280485" w:rsidRPr="00B320BC" w:rsidRDefault="00280485" w:rsidP="001D2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B32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71" w:type="dxa"/>
          </w:tcPr>
          <w:p w:rsidR="00280485" w:rsidRPr="00B320BC" w:rsidRDefault="00280485" w:rsidP="001D2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280485" w:rsidRPr="00B320BC" w:rsidTr="001D2521">
        <w:tc>
          <w:tcPr>
            <w:tcW w:w="4928" w:type="dxa"/>
          </w:tcPr>
          <w:p w:rsidR="00280485" w:rsidRPr="00AF2E52" w:rsidRDefault="00280485" w:rsidP="00280485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142" w:hanging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2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vplyvy  na hospodárenie obyvateľstva,</w:t>
            </w:r>
          </w:p>
          <w:p w:rsidR="00280485" w:rsidRPr="00FE24DF" w:rsidRDefault="00280485" w:rsidP="001D25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:rsidR="00280485" w:rsidRPr="00B320BC" w:rsidRDefault="00280485" w:rsidP="001D2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</w:tcPr>
          <w:p w:rsidR="00280485" w:rsidRPr="00B320BC" w:rsidRDefault="00280485" w:rsidP="001D2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:rsidR="00280485" w:rsidRPr="00B320BC" w:rsidRDefault="00280485" w:rsidP="001D2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B32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71" w:type="dxa"/>
          </w:tcPr>
          <w:p w:rsidR="00280485" w:rsidRPr="00B320BC" w:rsidRDefault="00280485" w:rsidP="001D2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280485" w:rsidRPr="00B320BC" w:rsidTr="001D2521">
        <w:tc>
          <w:tcPr>
            <w:tcW w:w="4928" w:type="dxa"/>
          </w:tcPr>
          <w:p w:rsidR="00280485" w:rsidRPr="00AF2E52" w:rsidRDefault="00280485" w:rsidP="0028048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2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sociálnu exklúziu,</w:t>
            </w:r>
          </w:p>
          <w:p w:rsidR="00280485" w:rsidRPr="00B320BC" w:rsidRDefault="00280485" w:rsidP="001D2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</w:tcPr>
          <w:p w:rsidR="00280485" w:rsidRPr="00B320BC" w:rsidRDefault="00280485" w:rsidP="001D2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:rsidR="00280485" w:rsidRPr="00B320BC" w:rsidRDefault="00280485" w:rsidP="001D2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B32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71" w:type="dxa"/>
          </w:tcPr>
          <w:p w:rsidR="00280485" w:rsidRPr="00B320BC" w:rsidRDefault="00280485" w:rsidP="001D2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280485" w:rsidRPr="00B320BC" w:rsidTr="001D2521">
        <w:tc>
          <w:tcPr>
            <w:tcW w:w="4928" w:type="dxa"/>
          </w:tcPr>
          <w:p w:rsidR="00280485" w:rsidRPr="00FE24DF" w:rsidRDefault="00280485" w:rsidP="001D25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2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  rovnosť príležitostí a rodovú rovnosť a vplyvy na zamestnanosť</w:t>
            </w:r>
          </w:p>
          <w:p w:rsidR="00280485" w:rsidRPr="00B320BC" w:rsidRDefault="00280485" w:rsidP="001D2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</w:tcPr>
          <w:p w:rsidR="00280485" w:rsidRPr="00B320BC" w:rsidRDefault="00280485" w:rsidP="001D2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:rsidR="00280485" w:rsidRPr="00B320BC" w:rsidRDefault="00280485" w:rsidP="001D2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B32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71" w:type="dxa"/>
          </w:tcPr>
          <w:p w:rsidR="00280485" w:rsidRPr="00B320BC" w:rsidRDefault="00280485" w:rsidP="001D2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280485" w:rsidRPr="00B320BC" w:rsidTr="001D2521">
        <w:tc>
          <w:tcPr>
            <w:tcW w:w="4928" w:type="dxa"/>
          </w:tcPr>
          <w:p w:rsidR="00280485" w:rsidRPr="00FE24DF" w:rsidRDefault="00280485" w:rsidP="001D25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2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4. Vplyvy na životné prostredie</w:t>
            </w:r>
          </w:p>
          <w:p w:rsidR="00280485" w:rsidRPr="00B320BC" w:rsidRDefault="00280485" w:rsidP="001D2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</w:tcPr>
          <w:p w:rsidR="00280485" w:rsidRPr="00B320BC" w:rsidRDefault="00280485" w:rsidP="001D2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:rsidR="00280485" w:rsidRPr="00B320BC" w:rsidRDefault="00280485" w:rsidP="001D2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A5E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71" w:type="dxa"/>
          </w:tcPr>
          <w:p w:rsidR="00280485" w:rsidRPr="00B320BC" w:rsidRDefault="00280485" w:rsidP="001D2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280485" w:rsidRPr="00B320BC" w:rsidTr="001D2521">
        <w:tc>
          <w:tcPr>
            <w:tcW w:w="4928" w:type="dxa"/>
          </w:tcPr>
          <w:p w:rsidR="00280485" w:rsidRPr="00FE24DF" w:rsidRDefault="00280485" w:rsidP="001D25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2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5. Vplyvy na informatizáciu spoločnosti</w:t>
            </w:r>
          </w:p>
          <w:p w:rsidR="00280485" w:rsidRPr="00B320BC" w:rsidRDefault="00280485" w:rsidP="001D2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</w:tcPr>
          <w:p w:rsidR="00280485" w:rsidRPr="00B320BC" w:rsidRDefault="00280485" w:rsidP="001D2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:rsidR="00280485" w:rsidRPr="00B320BC" w:rsidRDefault="00280485" w:rsidP="001D2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B32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71" w:type="dxa"/>
          </w:tcPr>
          <w:p w:rsidR="00280485" w:rsidRPr="00B320BC" w:rsidRDefault="00280485" w:rsidP="001D2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280485" w:rsidRPr="00B320BC" w:rsidTr="001D2521">
        <w:tc>
          <w:tcPr>
            <w:tcW w:w="4928" w:type="dxa"/>
          </w:tcPr>
          <w:p w:rsidR="00280485" w:rsidRPr="00FE24DF" w:rsidRDefault="00280485" w:rsidP="001D25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2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6. Vplyvy na manželstvo, rodičovstvo a rodinu</w:t>
            </w:r>
          </w:p>
          <w:p w:rsidR="00280485" w:rsidRPr="00B320BC" w:rsidRDefault="00280485" w:rsidP="001D2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</w:tcPr>
          <w:p w:rsidR="00280485" w:rsidRPr="00B320BC" w:rsidRDefault="00280485" w:rsidP="001D2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:rsidR="00280485" w:rsidRPr="00B320BC" w:rsidRDefault="00280485" w:rsidP="001D2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B32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71" w:type="dxa"/>
          </w:tcPr>
          <w:p w:rsidR="00280485" w:rsidRPr="00B320BC" w:rsidRDefault="00280485" w:rsidP="001D2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280485" w:rsidRPr="00B320BC" w:rsidTr="001D2521">
        <w:tc>
          <w:tcPr>
            <w:tcW w:w="4928" w:type="dxa"/>
          </w:tcPr>
          <w:p w:rsidR="00280485" w:rsidRPr="00FE24DF" w:rsidRDefault="00280485" w:rsidP="001D25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32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>7. Vplyvy na služby verejnej správy pre občana</w:t>
            </w:r>
          </w:p>
          <w:p w:rsidR="00280485" w:rsidRPr="00B320BC" w:rsidRDefault="00280485" w:rsidP="001D2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</w:tcPr>
          <w:p w:rsidR="00280485" w:rsidRPr="00B320BC" w:rsidRDefault="00280485" w:rsidP="001D2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:rsidR="00280485" w:rsidRPr="00B320BC" w:rsidRDefault="00280485" w:rsidP="001D2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B32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71" w:type="dxa"/>
          </w:tcPr>
          <w:p w:rsidR="00280485" w:rsidRPr="00B320BC" w:rsidRDefault="00280485" w:rsidP="001D2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280485" w:rsidRPr="00B320BC" w:rsidRDefault="00280485" w:rsidP="00280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0485" w:rsidRPr="00FE24DF" w:rsidRDefault="00280485" w:rsidP="002804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280485" w:rsidRPr="00FE24DF" w:rsidRDefault="00280485" w:rsidP="00280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20B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A.3. Poznámky</w:t>
      </w:r>
    </w:p>
    <w:p w:rsidR="00280485" w:rsidRDefault="00280485" w:rsidP="00280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22CE9">
        <w:rPr>
          <w:rFonts w:ascii="Times New Roman" w:eastAsia="Times New Roman" w:hAnsi="Times New Roman" w:cs="Times New Roman"/>
          <w:sz w:val="24"/>
          <w:szCs w:val="24"/>
          <w:lang w:eastAsia="sk-SK"/>
        </w:rPr>
        <w:t>Bezpredmetné.</w:t>
      </w:r>
    </w:p>
    <w:p w:rsidR="00280485" w:rsidRPr="00FE24DF" w:rsidRDefault="00280485" w:rsidP="00280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0485" w:rsidRPr="00FE24DF" w:rsidRDefault="00280485" w:rsidP="00280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20B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A.4. Alternatívne riešenia</w:t>
      </w:r>
    </w:p>
    <w:p w:rsidR="00280485" w:rsidRDefault="00280485" w:rsidP="00280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20BC">
        <w:rPr>
          <w:rFonts w:ascii="Times New Roman" w:eastAsia="Times New Roman" w:hAnsi="Times New Roman" w:cs="Times New Roman"/>
          <w:sz w:val="24"/>
          <w:szCs w:val="24"/>
          <w:lang w:eastAsia="sk-SK"/>
        </w:rPr>
        <w:t>Nepredkladajú sa.</w:t>
      </w:r>
    </w:p>
    <w:p w:rsidR="00280485" w:rsidRPr="00FE24DF" w:rsidRDefault="00280485" w:rsidP="00280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20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280485" w:rsidRPr="00FE24DF" w:rsidRDefault="00280485" w:rsidP="00280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20B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A.5. Stanovisko gestorov </w:t>
      </w:r>
    </w:p>
    <w:p w:rsidR="00280485" w:rsidRPr="00FE24DF" w:rsidRDefault="00280485" w:rsidP="00280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20BC">
        <w:rPr>
          <w:rFonts w:ascii="Times New Roman" w:eastAsia="Times New Roman" w:hAnsi="Times New Roman" w:cs="Times New Roman"/>
          <w:sz w:val="24"/>
          <w:szCs w:val="24"/>
          <w:lang w:eastAsia="sk-SK"/>
        </w:rPr>
        <w:t>Bezpredmetné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280485" w:rsidRPr="003713AC" w:rsidRDefault="00280485" w:rsidP="0028048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280485" w:rsidRDefault="00280485"/>
    <w:p w:rsidR="00280485" w:rsidRDefault="00280485"/>
    <w:p w:rsidR="00280485" w:rsidRDefault="00280485"/>
    <w:p w:rsidR="00280485" w:rsidRDefault="00280485"/>
    <w:p w:rsidR="00280485" w:rsidRDefault="00280485"/>
    <w:p w:rsidR="00280485" w:rsidRDefault="00280485"/>
    <w:p w:rsidR="00280485" w:rsidRDefault="00280485"/>
    <w:p w:rsidR="00280485" w:rsidRDefault="00280485"/>
    <w:p w:rsidR="00280485" w:rsidRDefault="00280485"/>
    <w:p w:rsidR="00280485" w:rsidRDefault="00280485"/>
    <w:p w:rsidR="00280485" w:rsidRDefault="00280485"/>
    <w:p w:rsidR="00280485" w:rsidRDefault="00280485"/>
    <w:p w:rsidR="00280485" w:rsidRDefault="00280485"/>
    <w:p w:rsidR="00280485" w:rsidRDefault="00280485"/>
    <w:p w:rsidR="00280485" w:rsidRDefault="00280485"/>
    <w:p w:rsidR="00280485" w:rsidRDefault="00280485"/>
    <w:p w:rsidR="00280485" w:rsidRDefault="00280485"/>
    <w:p w:rsidR="00280485" w:rsidRDefault="00280485"/>
    <w:p w:rsidR="00280485" w:rsidRDefault="00280485"/>
    <w:p w:rsidR="00280485" w:rsidRPr="003713AC" w:rsidRDefault="00280485" w:rsidP="00280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13AC">
        <w:rPr>
          <w:rFonts w:ascii="Times New Roman" w:eastAsia="Times New Roman" w:hAnsi="Times New Roman" w:cs="Times New Roman"/>
          <w:b/>
          <w:bCs/>
          <w:color w:val="000000"/>
          <w:spacing w:val="30"/>
          <w:sz w:val="27"/>
          <w:szCs w:val="27"/>
          <w:lang w:eastAsia="sk-SK"/>
        </w:rPr>
        <w:lastRenderedPageBreak/>
        <w:t>DOLOŽKA ZLUČITEĽNOSTI</w:t>
      </w:r>
    </w:p>
    <w:p w:rsidR="00280485" w:rsidRDefault="00280485" w:rsidP="00280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371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právneho predpisu s právom Európskej únie</w:t>
      </w:r>
    </w:p>
    <w:p w:rsidR="00280485" w:rsidRPr="003713AC" w:rsidRDefault="00280485" w:rsidP="002804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280485" w:rsidRPr="003713AC" w:rsidRDefault="00280485" w:rsidP="00280485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371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Predkladateľ právneho </w:t>
      </w:r>
      <w:r w:rsidRPr="00020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predpisu:</w:t>
      </w:r>
      <w:r w:rsidRPr="000208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skupina poslancov</w:t>
      </w:r>
      <w:bookmarkStart w:id="0" w:name="_GoBack"/>
      <w:bookmarkEnd w:id="0"/>
      <w:r w:rsidRPr="000208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Národnej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rady Slovenskej republiky.</w:t>
      </w:r>
    </w:p>
    <w:p w:rsidR="00280485" w:rsidRPr="003713AC" w:rsidRDefault="00280485" w:rsidP="00280485">
      <w:pPr>
        <w:pStyle w:val="Odsekzoznamu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280485" w:rsidRPr="003713AC" w:rsidRDefault="00280485" w:rsidP="00280485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371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Názov návrhu právneho predpisu:</w:t>
      </w:r>
      <w:r w:rsidRPr="003713A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</w:t>
      </w:r>
    </w:p>
    <w:p w:rsidR="00280485" w:rsidRPr="00B0202B" w:rsidRDefault="00280485" w:rsidP="00280485">
      <w:pPr>
        <w:pStyle w:val="Odsekzoznamu"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</w:pPr>
      <w:r w:rsidRPr="00B0202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B0202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B0202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zákona,</w:t>
      </w:r>
      <w:r w:rsidRPr="00B0202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B0202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</w:t>
      </w:r>
      <w:r w:rsidRPr="00B0202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B0202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B0202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B0202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 dopĺňa</w:t>
      </w:r>
      <w:r w:rsidRPr="00B0202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B0202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B0202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B0202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0202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B0202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543/2002</w:t>
      </w:r>
      <w:r w:rsidRPr="00B0202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B0202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0202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B0202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0202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k-SK"/>
        </w:rPr>
        <w:t xml:space="preserve"> </w:t>
      </w:r>
      <w:r w:rsidRPr="00B0202B">
        <w:rPr>
          <w:rFonts w:ascii="Times New Roman" w:hAnsi="Times New Roman" w:cs="Times New Roman"/>
          <w:sz w:val="24"/>
          <w:szCs w:val="24"/>
        </w:rPr>
        <w:t>o ochrane prírody a krajiny v znení neskorších predpisov</w:t>
      </w:r>
    </w:p>
    <w:p w:rsidR="00280485" w:rsidRDefault="00280485" w:rsidP="00280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80485" w:rsidRPr="000208DC" w:rsidRDefault="00280485" w:rsidP="00280485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020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Problematika návrhu právneho predpisu:</w:t>
      </w:r>
    </w:p>
    <w:p w:rsidR="00280485" w:rsidRPr="000208DC" w:rsidRDefault="00280485" w:rsidP="002804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sk-SK"/>
        </w:rPr>
      </w:pPr>
      <w:r w:rsidRPr="000208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a) </w:t>
      </w:r>
      <w:r w:rsidRPr="000208DC">
        <w:rPr>
          <w:rFonts w:ascii="Times New Roman" w:eastAsia="Times New Roman" w:hAnsi="Times New Roman" w:cs="Times New Roman"/>
          <w:sz w:val="24"/>
          <w:szCs w:val="24"/>
          <w:lang w:eastAsia="sk-SK"/>
        </w:rPr>
        <w:t>nie je upravená v práve Európskej únie</w:t>
      </w:r>
    </w:p>
    <w:p w:rsidR="00280485" w:rsidRDefault="00280485" w:rsidP="0028048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0208DC">
        <w:rPr>
          <w:rFonts w:ascii="Times New Roman" w:eastAsia="Times New Roman" w:hAnsi="Times New Roman" w:cs="Times New Roman"/>
          <w:sz w:val="24"/>
          <w:szCs w:val="24"/>
          <w:lang w:eastAsia="sk-SK"/>
        </w:rPr>
        <w:t>b) nie je obsiahnutá v judikatúre Súdneho dvora Európskej únie</w:t>
      </w:r>
    </w:p>
    <w:p w:rsidR="00280485" w:rsidRDefault="00280485" w:rsidP="002804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280485" w:rsidRPr="003713AC" w:rsidRDefault="00280485" w:rsidP="00280485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371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Záväzky Slovenskej republiky vo vzťahu k Európskej únii: </w:t>
      </w:r>
    </w:p>
    <w:p w:rsidR="00280485" w:rsidRDefault="00280485" w:rsidP="0028048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Bezpredmetné</w:t>
      </w:r>
    </w:p>
    <w:p w:rsidR="00280485" w:rsidRDefault="00280485" w:rsidP="002804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280485" w:rsidRPr="003713AC" w:rsidRDefault="00280485" w:rsidP="00280485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371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Stupeň zlučiteľnosti návrhu právneho predpisu s právom Európskej únie:</w:t>
      </w:r>
    </w:p>
    <w:p w:rsidR="00280485" w:rsidRDefault="00280485" w:rsidP="0028048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713A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Stupeň zlučiteľnosti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–</w:t>
      </w:r>
      <w:r w:rsidRPr="003713A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úplný</w:t>
      </w:r>
    </w:p>
    <w:p w:rsidR="00280485" w:rsidRDefault="00280485" w:rsidP="0028048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280485" w:rsidRDefault="00280485" w:rsidP="0028048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280485" w:rsidRDefault="00280485"/>
    <w:sectPr w:rsidR="00280485" w:rsidSect="003F21D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801FF6"/>
    <w:multiLevelType w:val="hybridMultilevel"/>
    <w:tmpl w:val="A55E827A"/>
    <w:lvl w:ilvl="0" w:tplc="D2C0956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6A5618C"/>
    <w:multiLevelType w:val="hybridMultilevel"/>
    <w:tmpl w:val="237CA042"/>
    <w:lvl w:ilvl="0" w:tplc="57B2AC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61C8A"/>
    <w:multiLevelType w:val="hybridMultilevel"/>
    <w:tmpl w:val="E44CF890"/>
    <w:lvl w:ilvl="0" w:tplc="61649F8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47A2C"/>
    <w:multiLevelType w:val="hybridMultilevel"/>
    <w:tmpl w:val="1BEA574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CF"/>
    <w:rsid w:val="000A68CF"/>
    <w:rsid w:val="00280485"/>
    <w:rsid w:val="003F21DB"/>
    <w:rsid w:val="0041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6DCA8D"/>
  <w15:chartTrackingRefBased/>
  <w15:docId w15:val="{33B47440-1F41-504C-AFD1-B769AA5C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80485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0485"/>
    <w:pPr>
      <w:ind w:left="720"/>
      <w:contextualSpacing/>
    </w:pPr>
  </w:style>
  <w:style w:type="table" w:styleId="Mriekatabuky">
    <w:name w:val="Table Grid"/>
    <w:basedOn w:val="Normlnatabuka"/>
    <w:uiPriority w:val="59"/>
    <w:rsid w:val="002804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1931</Words>
  <Characters>11013</Characters>
  <Application>Microsoft Office Word</Application>
  <DocSecurity>0</DocSecurity>
  <Lines>91</Lines>
  <Paragraphs>25</Paragraphs>
  <ScaleCrop>false</ScaleCrop>
  <Company/>
  <LinksUpToDate>false</LinksUpToDate>
  <CharactersWithSpaces>12919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2024-08-23T06:10:00Z</dcterms:created>
  <dcterms:modified xsi:type="dcterms:W3CDTF">2024-08-23T10:25:00Z</dcterms:modified>
</cp:coreProperties>
</file>