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52D6" w:rsidRPr="00B83841" w:rsidRDefault="000A68CF" w:rsidP="00C752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t xml:space="preserve"> </w:t>
      </w:r>
      <w:r w:rsidR="00C752D6" w:rsidRPr="00B83841">
        <w:rPr>
          <w:rFonts w:ascii="Times New Roman" w:eastAsia="Times New Roman" w:hAnsi="Times New Roman" w:cs="Times New Roman"/>
          <w:b/>
          <w:bCs/>
          <w:caps/>
          <w:spacing w:val="30"/>
          <w:kern w:val="0"/>
          <w:sz w:val="24"/>
          <w:szCs w:val="24"/>
          <w:lang w:eastAsia="sk-SK"/>
          <w14:ligatures w14:val="none"/>
        </w:rPr>
        <w:t>Dôvodová správa</w:t>
      </w:r>
      <w:r w:rsidR="00C752D6" w:rsidRPr="00B838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 </w:t>
      </w:r>
    </w:p>
    <w:p w:rsidR="00C752D6" w:rsidRDefault="00C752D6" w:rsidP="00C752D6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sk-SK"/>
          <w14:ligatures w14:val="none"/>
        </w:rPr>
      </w:pPr>
    </w:p>
    <w:p w:rsidR="00C752D6" w:rsidRPr="00B83841" w:rsidRDefault="00C752D6" w:rsidP="00C752D6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sk-SK"/>
          <w14:ligatures w14:val="none"/>
        </w:rPr>
      </w:pPr>
      <w:r w:rsidRPr="00B8384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sk-SK"/>
          <w14:ligatures w14:val="none"/>
        </w:rPr>
        <w:t>A. Všeobecná časť</w:t>
      </w:r>
    </w:p>
    <w:p w:rsidR="00C752D6" w:rsidRPr="00B83841" w:rsidRDefault="00C752D6" w:rsidP="00C7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bookmarkStart w:id="0" w:name="_Hlk155369915"/>
    </w:p>
    <w:p w:rsidR="00C752D6" w:rsidRPr="00B83841" w:rsidRDefault="00C752D6" w:rsidP="00C75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8384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Návrh zákona, </w:t>
      </w:r>
      <w:bookmarkEnd w:id="0"/>
      <w:r w:rsidRPr="00F119D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ktorým sa mení a dopĺňa zákon č. 595/2003 Z. z. o dani z príjmov v znení neskorších predpisov a o zmene a doplnení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niektorých </w:t>
      </w:r>
      <w:r w:rsidRPr="00F119D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zákon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ov</w:t>
      </w:r>
      <w:r w:rsidRPr="00F119D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B8384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(ďalej len „návrh zákona“) predkladá poslanec Národnej rady Slovenskej republiky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Adam Lučanský.</w:t>
      </w:r>
    </w:p>
    <w:p w:rsidR="00C752D6" w:rsidRPr="00B83841" w:rsidRDefault="00C752D6" w:rsidP="00C752D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C752D6" w:rsidRPr="00B83841" w:rsidRDefault="00C752D6" w:rsidP="00C75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</w:t>
      </w:r>
      <w:r w:rsidRPr="00B8384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ávrh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om</w:t>
      </w:r>
      <w:r w:rsidRPr="00B8384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zákona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dochádza k zmene a doplneniu</w:t>
      </w:r>
      <w:r w:rsidRPr="00B8384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D790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zákona č. 595/2003 Z. z. o dani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r w:rsidRPr="00DD790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 príjmov v znení neskorších predpisov</w:t>
      </w:r>
      <w:r w:rsidRPr="00B8384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(ďalej len „zákon o dani z príjmov“) k </w:t>
      </w:r>
      <w:r w:rsidRPr="00B83841">
        <w:rPr>
          <w:rFonts w:ascii="Times New Roman" w:eastAsia="Calibri" w:hAnsi="Times New Roman" w:cs="Times New Roman"/>
          <w:kern w:val="0"/>
          <w:sz w:val="24"/>
          <w:szCs w:val="24"/>
          <w:lang w:eastAsia="sk-SK"/>
          <w14:ligatures w14:val="none"/>
        </w:rPr>
        <w:t>zav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sk-SK"/>
          <w14:ligatures w14:val="none"/>
        </w:rPr>
        <w:t>edeniu</w:t>
      </w:r>
      <w:r w:rsidRPr="00B83841">
        <w:rPr>
          <w:rFonts w:ascii="Times New Roman" w:eastAsia="Calibri" w:hAnsi="Times New Roman" w:cs="Times New Roman"/>
          <w:kern w:val="0"/>
          <w:sz w:val="24"/>
          <w:szCs w:val="24"/>
          <w:lang w:eastAsia="sk-SK"/>
          <w14:ligatures w14:val="none"/>
        </w:rPr>
        <w:t xml:space="preserve"> inštitút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sk-SK"/>
          <w14:ligatures w14:val="none"/>
        </w:rPr>
        <w:t>u</w:t>
      </w:r>
      <w:r w:rsidRPr="00B83841">
        <w:rPr>
          <w:rFonts w:ascii="Times New Roman" w:eastAsia="Calibri" w:hAnsi="Times New Roman" w:cs="Times New Roman"/>
          <w:kern w:val="0"/>
          <w:sz w:val="24"/>
          <w:szCs w:val="24"/>
          <w:lang w:eastAsia="sk-SK"/>
          <w14:ligatures w14:val="none"/>
        </w:rPr>
        <w:t xml:space="preserve"> superodpočtu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sk-SK"/>
          <w14:ligatures w14:val="none"/>
        </w:rPr>
        <w:t xml:space="preserve">aj </w:t>
      </w:r>
      <w:r w:rsidRPr="00B83841">
        <w:rPr>
          <w:rFonts w:ascii="Times New Roman" w:eastAsia="Calibri" w:hAnsi="Times New Roman" w:cs="Times New Roman"/>
          <w:kern w:val="0"/>
          <w:sz w:val="24"/>
          <w:szCs w:val="24"/>
          <w:lang w:eastAsia="sk-SK"/>
          <w14:ligatures w14:val="none"/>
        </w:rPr>
        <w:t>do oblasti športu, ktorý by mohol byť motivačným nástrojom pre investície súkromného sektora do slovenského športu. P</w:t>
      </w:r>
      <w:r w:rsidRPr="00B8384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 vzore oblastí výskumu a vývoja by tak bolo možné dosiahnuť väčšiu aktiváciu súkromných zdrojov do sektora športu.</w:t>
      </w:r>
    </w:p>
    <w:p w:rsidR="00C752D6" w:rsidRDefault="00C752D6" w:rsidP="00C752D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:rsidR="00C752D6" w:rsidRDefault="00C752D6" w:rsidP="00C752D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4016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Zákon </w:t>
      </w:r>
      <w:r w:rsidRPr="0079473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č. 461/2003 Z. z. o sociálnom poistení v znení neskorších predpisov (ďalej len „zákon o sociálnom poistení“)</w:t>
      </w:r>
      <w:r w:rsidRPr="0064016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sa dopĺňa 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 nové ustanovenia</w:t>
      </w:r>
      <w:r w:rsidRPr="0064016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ktoré upravujú maximálny mesačný vymeriavací základ pre profesionálnych športovcov a pre ich zamestnávateľov (kluby) v prípade zmlúv o profesionálnom vykonávaní športu. Maximálny vymeriavac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í</w:t>
      </w:r>
      <w:r w:rsidRPr="0064016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základ pre obe zmluvné strany tohto vzťahu bude na účely sociálneho poistenia určený vo výške priemernej mesačnej mzdy platnej v kalendárnom roku, ktorý dva roky predchádza kalendárnemu roku, za ktorý sa platí poistné.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Z</w:t>
      </w:r>
      <w:r w:rsidRPr="009737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avedením maximálneho mesačného vymeriavacieho základu v prípade právneho vzťahu na základe zmluvy o profesionálnom vykonávaní športu sa uvedený právny vzťah stane atraktívnejším pre športovcov ako aj zamestnávateľov – športové organizácie.</w:t>
      </w:r>
    </w:p>
    <w:p w:rsidR="00C752D6" w:rsidRDefault="00C752D6" w:rsidP="00C752D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:rsidR="00C752D6" w:rsidRDefault="00C752D6" w:rsidP="00C752D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Obdobne ako pri novele zákona č. 461/2003 Z. z. sa navrhuje aj v zákone č. 580/2004 Z. z. o zdravotnom poistení </w:t>
      </w:r>
      <w:r>
        <w:rPr>
          <w:rFonts w:ascii="Times New Roman" w:hAnsi="Times New Roman"/>
          <w:sz w:val="24"/>
          <w:szCs w:val="24"/>
        </w:rPr>
        <w:t xml:space="preserve">zaviesť obdobný mechanizmus aj vo vzťahu k zdravotnému poisteniu. Športovci, vykonávajúci závislú prácu pre športové kluby a samotné športové kluby, tak budú z odmeny za výkon športu </w:t>
      </w:r>
      <w:r w:rsidRPr="00AD5FF0">
        <w:rPr>
          <w:rFonts w:ascii="Times New Roman" w:hAnsi="Times New Roman"/>
          <w:sz w:val="24"/>
          <w:szCs w:val="24"/>
        </w:rPr>
        <w:t xml:space="preserve">na základe zmluvy o profesionálnom vykonávaní športu </w:t>
      </w:r>
      <w:r>
        <w:rPr>
          <w:rFonts w:ascii="Times New Roman" w:hAnsi="Times New Roman"/>
          <w:sz w:val="24"/>
          <w:szCs w:val="24"/>
        </w:rPr>
        <w:t>odvádzať odvody na zdravotné poistenie v obmedzenej maximálnej výške.</w:t>
      </w:r>
    </w:p>
    <w:p w:rsidR="00C752D6" w:rsidRDefault="00C752D6" w:rsidP="00C752D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52D6" w:rsidRDefault="00C752D6" w:rsidP="00C752D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zákone o sociálnom poistení a v zákone o zdravotnom poistení sa zároveň zavádza osobitná úprava vymeriavacieho základu vo vzťahu k príjmu plynúcemu z pracovného pomeru medzi osobami, ktoré sú trénermi zapísanými v registri fyzických osôb v športe, a športovými organizáciami. </w:t>
      </w:r>
    </w:p>
    <w:p w:rsidR="00C752D6" w:rsidRDefault="00C752D6" w:rsidP="00C752D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752D6" w:rsidRDefault="00C752D6" w:rsidP="00C752D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Obdobne sa v zákone o dani z príjmov zavádza úprava oslobodenia od dane vo vzťahu k príjmu do výšky 500 eur plynúcemu z pracovného pomeru medzi osobami, ktoré sú trénermi zapísanými v registri fyzických osôb v športe, a športovými organizáciami.  </w:t>
      </w:r>
    </w:p>
    <w:p w:rsidR="00C752D6" w:rsidRDefault="00C752D6" w:rsidP="00C752D6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52D6" w:rsidRDefault="00C752D6" w:rsidP="00C752D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Ďalej sa predloženým návrhom novelizuje aj zákon </w:t>
      </w:r>
      <w:r w:rsidRPr="00080F2E">
        <w:rPr>
          <w:rFonts w:ascii="Times New Roman" w:hAnsi="Times New Roman" w:cs="Times New Roman"/>
          <w:sz w:val="24"/>
          <w:szCs w:val="24"/>
        </w:rPr>
        <w:t>č. 343/2015 Z. z. o verejnom obstarávaní a o zmene a doplnení niektorých zákonov</w:t>
      </w:r>
      <w:r>
        <w:rPr>
          <w:rFonts w:ascii="Times New Roman" w:hAnsi="Times New Roman" w:cs="Times New Roman"/>
          <w:sz w:val="24"/>
          <w:szCs w:val="24"/>
        </w:rPr>
        <w:t>, kde sa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navrhuje zahrnúť</w:t>
      </w:r>
      <w:r w:rsidRPr="00D927FA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podlimitnú zákazku, ktorej predmetom je </w:t>
      </w:r>
      <w:r w:rsidRPr="00551B3B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dodanie, výskum a</w:t>
      </w:r>
      <w:r>
        <w:rPr>
          <w:rFonts w:ascii="Times New Roman" w:hAnsi="Times New Roman"/>
          <w:color w:val="000000" w:themeColor="text1"/>
          <w:sz w:val="24"/>
          <w:szCs w:val="24"/>
          <w:lang w:eastAsia="en-GB"/>
        </w:rPr>
        <w:t>lebo</w:t>
      </w:r>
      <w:r w:rsidRPr="00551B3B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 vývoj špecifického športového vybavenia, ktorého tvar, zloženie</w:t>
      </w:r>
      <w:r>
        <w:rPr>
          <w:rFonts w:ascii="Times New Roman" w:hAnsi="Times New Roman"/>
          <w:color w:val="000000" w:themeColor="text1"/>
          <w:sz w:val="24"/>
          <w:szCs w:val="24"/>
          <w:lang w:eastAsia="en-GB"/>
        </w:rPr>
        <w:t xml:space="preserve"> alebo</w:t>
      </w:r>
      <w:r w:rsidRPr="00551B3B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 iné vlastnosti nie je možné rovnocenne nahradiť substitučným výrobkom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, a ktoré slúži na výkon športovej činnosti, </w:t>
      </w:r>
      <w:r>
        <w:rPr>
          <w:rFonts w:ascii="Times New Roman" w:hAnsi="Times New Roman" w:cs="Times New Roman"/>
          <w:sz w:val="24"/>
          <w:szCs w:val="24"/>
        </w:rPr>
        <w:t xml:space="preserve">do výnimky z </w:t>
      </w:r>
      <w:r w:rsidRPr="00080F2E">
        <w:rPr>
          <w:rFonts w:ascii="Times New Roman" w:hAnsi="Times New Roman" w:cs="Times New Roman"/>
          <w:sz w:val="24"/>
          <w:szCs w:val="24"/>
        </w:rPr>
        <w:t xml:space="preserve">pôsobnosti zákona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F2E">
        <w:rPr>
          <w:rFonts w:ascii="Times New Roman" w:hAnsi="Times New Roman" w:cs="Times New Roman"/>
          <w:sz w:val="24"/>
          <w:szCs w:val="24"/>
        </w:rPr>
        <w:t>č. 343/2015 Z. z. o verejnom obstarávaní a o zmene a doplnení niektorých zákonov</w:t>
      </w:r>
      <w:r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C752D6" w:rsidRPr="00B83841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52D6" w:rsidRDefault="00C752D6" w:rsidP="00C752D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bookmarkStart w:id="1" w:name="_Hlk112401678"/>
      <w:r w:rsidRPr="00A5046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Návrh zákona bude mať negatívne vplyvy na rozpočet verejnej správy, pozitívne vplyvy na podnikateľské prostredie a pozitívne a negatívne sociálne vplyvy. Návrh zákona nebude mať </w:t>
      </w:r>
      <w:r w:rsidRPr="00A5046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>vplyvy na životné prostredie, na informatizáciu spoločnosti, na manželstvo, rodičovstvo a rodinu a ani vplyvy na služby verejnej správy pre občana.</w:t>
      </w:r>
      <w:r w:rsidRPr="00B8384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:rsidR="00C752D6" w:rsidRPr="00B83841" w:rsidRDefault="00C752D6" w:rsidP="00C752D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:rsidR="00C752D6" w:rsidRPr="00B83841" w:rsidRDefault="00C752D6" w:rsidP="00C752D6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B8384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Návrh zákona je v súlade s Ústavou Slovenskej republiky, ústavnými zákonmi, nálezmi Ústavného súdu Slovenskej republiky, zákonmi, medzinárodnými zmluvami a inými medzinárodnými dokumentmi, ktorými je Slovenská republika viazaná, ako aj s právne záväznými aktmi Európskej únie. </w:t>
      </w:r>
    </w:p>
    <w:p w:rsidR="00C752D6" w:rsidRDefault="00C752D6" w:rsidP="00C752D6">
      <w:pP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:rsidR="00C752D6" w:rsidRPr="009F7ED0" w:rsidRDefault="00C752D6" w:rsidP="00C752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B. </w:t>
      </w:r>
      <w:r w:rsidRPr="009F7ED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Osobitná časť</w:t>
      </w:r>
    </w:p>
    <w:p w:rsidR="00C752D6" w:rsidRPr="009F7ED0" w:rsidRDefault="00C752D6" w:rsidP="00C752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bookmarkEnd w:id="1"/>
    <w:p w:rsidR="00C752D6" w:rsidRPr="009F7ED0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 Čl. I</w:t>
      </w:r>
    </w:p>
    <w:p w:rsidR="00C752D6" w:rsidRDefault="00C752D6" w:rsidP="00C752D6">
      <w:pPr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 bodu 1</w:t>
      </w:r>
    </w:p>
    <w:p w:rsidR="00C752D6" w:rsidRPr="009F7ED0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spacing w:after="0" w:line="240" w:lineRule="auto"/>
        <w:ind w:right="11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Zavádza sa úprava oslobodenia od dane vo vzťahu k príjmu do výšky 500 eur plynúcemu z pracovného pomeru medzi osobami, ktoré sú trénermi zapísanými v registri fyzických osôb v športe, a športovými organizáciami.</w:t>
      </w:r>
    </w:p>
    <w:p w:rsidR="00C752D6" w:rsidRPr="009F7ED0" w:rsidRDefault="00C752D6" w:rsidP="00C752D6">
      <w:pPr>
        <w:spacing w:after="0" w:line="240" w:lineRule="auto"/>
        <w:ind w:right="110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 bodu 2</w:t>
      </w:r>
    </w:p>
    <w:p w:rsidR="00C752D6" w:rsidRPr="009F7ED0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Pr="003642A9" w:rsidRDefault="00C752D6" w:rsidP="00C752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 dôvodu zavedenia nového typu daňového zvýhodnenia pre podporu športu sa návrhom vypúšťa </w:t>
      </w:r>
      <w:r w:rsidRPr="004772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zníženi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</w:t>
      </w:r>
      <w:r w:rsidRPr="004772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základu dane o sponzorské podľa § 17 ods. 19 písm. h)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zákona o dani z príjmov</w:t>
      </w:r>
      <w:r w:rsidRPr="004772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 dôvodu kolízie, keďže sa jedná o druhovo rovnaké plnenia poskytované daňovníkom. </w:t>
      </w:r>
    </w:p>
    <w:p w:rsidR="00C752D6" w:rsidRDefault="00C752D6" w:rsidP="00C75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 bodu 3</w:t>
      </w:r>
    </w:p>
    <w:p w:rsidR="00C752D6" w:rsidRPr="009F7ED0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 nadväznosti na novelizačný bod 1 dochádza aj k úprave ustanovenia § 17 ods. 38. </w:t>
      </w:r>
    </w:p>
    <w:p w:rsidR="00C752D6" w:rsidRDefault="00C752D6" w:rsidP="00C752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 bodu 4 </w:t>
      </w:r>
    </w:p>
    <w:p w:rsidR="00C752D6" w:rsidRPr="009F7ED0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63D4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 dôvodu právnej istoty daňovníkov, ako aj správcu dane,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sa </w:t>
      </w:r>
      <w:r w:rsidRPr="00363D4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navrhuje explicitne v § 21 ods. 1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zákona o dani z príjmov</w:t>
      </w:r>
      <w:r w:rsidRPr="00363D4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ustanoviť, že peňažné a nepeňažné plnenia poskytované športovej organizácii v súlade s navrhovaným § 30ca budú daňovým výdavkom aj v takom prípade, ak nespĺňajú podmienku vecnej súvislosti so zdaniteľným príjmom daňovníka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:rsidR="00C752D6" w:rsidRDefault="00C752D6" w:rsidP="00C752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 bodu 5 </w:t>
      </w:r>
    </w:p>
    <w:p w:rsidR="00C752D6" w:rsidRPr="009F7ED0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210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Do § 21 ods. 2 písm. f)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zákona o dani z príjmov sa</w:t>
      </w:r>
      <w:r w:rsidRPr="00A210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navrhuje doplniť medzi výnimky aj zostatkov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á</w:t>
      </w:r>
      <w:r w:rsidRPr="00A210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cen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</w:t>
      </w:r>
      <w:r w:rsidRPr="00A2102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vyradeného majetku z dôvodu poskytnutia na podporu športu podľa § 30ca ods. 6 písm. b)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:rsidR="00C752D6" w:rsidRDefault="00C752D6" w:rsidP="00C75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 bodu 6 </w:t>
      </w:r>
    </w:p>
    <w:p w:rsidR="00C752D6" w:rsidRPr="009F7ED0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Návrhom sa zavádza nový typ daňového zvýhodnenia pre daňovníkov pri realizácii podpory športu, ktorý je bližšie špecifikovaná v odseku 6. Nové daňové zvýhodnenie, tzv. superodpočet, spočíva v odpočte výdavkov na </w:t>
      </w:r>
      <w:r w:rsidRPr="00A04C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priame platby daňovníka v prospech športovej organizácie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 výdavkov na</w:t>
      </w:r>
      <w:r w:rsidRPr="00A04C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poskytnuti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</w:t>
      </w:r>
      <w:r w:rsidRPr="00A04C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športového náčinia a vybavenia daňovníkom športovej </w:t>
      </w:r>
      <w:r w:rsidRPr="00A04C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>organizácii.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Odpočet výdavkov na podporu športu si môže uplatniť právnická osoba a fyzická osoba s príjmami z podnikania alebo z inej samostatne zárobkovej činnosti.</w:t>
      </w:r>
    </w:p>
    <w:p w:rsidR="00C752D6" w:rsidRPr="004D6AF0" w:rsidRDefault="00C752D6" w:rsidP="00C752D6">
      <w:pPr>
        <w:tabs>
          <w:tab w:val="num" w:pos="72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Medzi z</w:t>
      </w:r>
      <w:r w:rsidRPr="004D6AF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ákladné podmienky, ktoré musí daňovník splniť pri uplatnení odpočtu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okrem iného patrí, že </w:t>
      </w:r>
      <w:r w:rsidRPr="004D6AF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 zdaňovacom období vykáže kladný základ dane po znížení o odpočet daňovej straty, pričom je umožnený prenos neuplatneného odpočtu do nasledujúcich najviac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piatich</w:t>
      </w:r>
      <w:r w:rsidRPr="004D6AF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zdaňovacích období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ďalej </w:t>
      </w:r>
      <w:r w:rsidRPr="004D6AF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výdavky, na ktoré sa odpočet uplatňuje, sú zároveň daňovými výdavkami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 w:rsidRPr="004D6AF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daňovníkovi nebola na tieto výdavky poskytnutá podpora z verejných financií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atď.</w:t>
      </w:r>
    </w:p>
    <w:p w:rsidR="00C752D6" w:rsidRPr="005C3464" w:rsidRDefault="00C752D6" w:rsidP="00C752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Zároveň sa navrhuje z dôvodu transparentnosti ustanoviť povinnosť </w:t>
      </w:r>
      <w:r w:rsidRPr="004772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Finančnému riaditeľstvu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lovenskej republiky</w:t>
      </w:r>
      <w:r w:rsidRPr="004772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zverejňovať zoznam daňovníkov, ktorí si odpočet podľa § 30ca uplatni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</w:t>
      </w:r>
      <w:r w:rsidRPr="004772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</w:p>
    <w:p w:rsidR="00C752D6" w:rsidRDefault="00C752D6" w:rsidP="00C75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 bodu 7</w:t>
      </w:r>
    </w:p>
    <w:p w:rsidR="00C752D6" w:rsidRDefault="00C752D6" w:rsidP="00C75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:rsidR="00C752D6" w:rsidRDefault="00C752D6" w:rsidP="00C752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Vzhľadom na doplnenie nového typu daňového zvýhodnenia § 30ca sa do ustanovenia § 30d ods. 2 dopĺňa, že d</w:t>
      </w:r>
      <w:r w:rsidRPr="004836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aňovník, ktorý je právnickou osobou a ktorý je verejnoprospešným podnikom podľa osobitného predpisu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si môže uplatniť úľavu na dani podľa § 30d ods. 1 iba v prípade, ak neuplatňuje odpočet výdavkov (nákladov) podľa § 30ca.</w:t>
      </w:r>
    </w:p>
    <w:p w:rsidR="00C752D6" w:rsidRDefault="00C752D6" w:rsidP="00C75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 bodu 8 </w:t>
      </w:r>
    </w:p>
    <w:p w:rsidR="00C752D6" w:rsidRDefault="00C752D6" w:rsidP="00C75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:rsidR="00C752D6" w:rsidRDefault="00C752D6" w:rsidP="00C75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 nadväznosti na novelizačný bod 5 dochádza i k úprave ustanovenia § 30e ods. 7 písm. b) vo vzťahu k odpočtu výdavkov (nákladov) na investície.</w:t>
      </w:r>
    </w:p>
    <w:p w:rsidR="00C752D6" w:rsidRPr="00A2102E" w:rsidRDefault="00C752D6" w:rsidP="00C752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Pr="009F7ED0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 Čl. I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I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 bodu 1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ab/>
      </w:r>
      <w:r>
        <w:rPr>
          <w:rFonts w:ascii="Times New Roman" w:hAnsi="Times New Roman"/>
          <w:sz w:val="24"/>
          <w:szCs w:val="24"/>
        </w:rPr>
        <w:t>Zavádza sa osobitná úprava vymeriavacieho základu vo vzťahu k príjmu plynúcemu z pracovného pomeru medzi osobami, ktoré sú trénermi zapísanými v registri fyzických osôb v športe, a športovými organizáciami.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 bodu 2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Návrhom sa dopĺňa § 138  o nové odseky 16 a 17, ktorými sa navrhuje ustanoviť </w:t>
      </w:r>
      <w:r w:rsidRPr="00555B4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maximálny mesačný vymeriavací základ v úhrne v prípade zamestnávania fyzickej osoby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555B4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 právnom vzťahu na základe zmluvy o profesionálnom vykonávaní športu podľa zákona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555B4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č. 440/2015 Z. z. o športe a o zmene a doplnení niektorých zákonov v znení neskorších predpisov (ďalej len „zákon o športe“) a maximálny mesačný vymeriavací základ zamestnávateľa na platenie poistného na nemocenské poistenie, poistného na dôchodkové poistenie, poistného na garančné poistenie, poistného na poistenie v nezamestnanosti, poistného na financovanie podpory a poistného do rezervného fondu solidarity za každého zamestnanca, ktorý je fyzickou osobou v právnom vzťahu na základe zmluvy o profesionálnom vykonávaní športu podľa zákona o športe, vo výške jednej dvanástiny všeobecného vymeriavacieho základu platného v kalendárnom roku, ktorý dva roky predchádza kalendárnemu roku (t. j. priemernej mesačnej mzdy v hospodárstve Slovenskej republiky spred dvoch rokov), za ktorý zamestnanec, povinne nemocensky poistená a povinne dôchodkovo poistená samostatne zárobkovo činná osoba a dobrovoľne nemocensky poistená osoba, dobrovoľne dôchodkovo </w:t>
      </w:r>
      <w:r w:rsidRPr="00555B4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poistená osoba alebo dobrovoľne poistená osoba v nezamestnanosti platí poistné na sociálne poistenie. </w:t>
      </w:r>
    </w:p>
    <w:p w:rsidR="00C752D6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C752D6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 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</w:t>
      </w:r>
      <w:r w:rsidRPr="009F7ED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l. II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</w:t>
      </w:r>
    </w:p>
    <w:p w:rsidR="00C752D6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 bodu 1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Pr="0000025D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ab/>
      </w:r>
      <w:r w:rsidRPr="0000025D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V nadväznosti na právnu úpravu </w:t>
      </w:r>
      <w:r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uvedenú </w:t>
      </w:r>
      <w:r w:rsidRPr="0000025D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v</w:t>
      </w:r>
      <w:r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 xml:space="preserve"> novelizačných </w:t>
      </w:r>
      <w:r w:rsidRPr="0000025D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bodoch 3 a 4 dochádza k legislatívno-technickej úprave ustanovenia § 13 ods. 1.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 bodu 2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ab/>
      </w:r>
      <w:r>
        <w:rPr>
          <w:rFonts w:ascii="Times New Roman" w:hAnsi="Times New Roman"/>
          <w:sz w:val="24"/>
          <w:szCs w:val="24"/>
        </w:rPr>
        <w:t>Zavádza sa osobitná úprava vymeriavacieho základu vo vzťahu k príjmu plynúcemu z pracovného pomeru medzi osobami, ktoré sú trénermi zapísanými v registri fyzických osôb v športe, a športovými organizáciami.</w:t>
      </w:r>
    </w:p>
    <w:p w:rsidR="00C752D6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9F7ED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K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 bodom 3 a 4</w:t>
      </w:r>
    </w:p>
    <w:p w:rsidR="00C752D6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C752D6" w:rsidRPr="001D2084" w:rsidRDefault="00C752D6" w:rsidP="00C752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 ako sa pri novele zákona č. 461/2003 Z. z. o sociálnom poistení v znení neskorších predpisov navrhuje úprava maximálneho vymeriavacieho základu pre zamestnancov a zamestnávateľov v športe vo vzťahu k sociálnemu poisteniu, navrhuje sa zaviesť obdobný mechanizmus aj vo vzťahu k zdravotnému poisteniu. Športovci, vykonávajúci závislú prácu pre športové kluby, a samotné športové kluby, tak budú z odmeny za výkon športu </w:t>
      </w:r>
      <w:r w:rsidRPr="00AD5FF0">
        <w:rPr>
          <w:rFonts w:ascii="Times New Roman" w:hAnsi="Times New Roman"/>
          <w:sz w:val="24"/>
          <w:szCs w:val="24"/>
        </w:rPr>
        <w:t xml:space="preserve">na základe zmluvy o profesionálnom vykonávaní športu </w:t>
      </w:r>
      <w:r>
        <w:rPr>
          <w:rFonts w:ascii="Times New Roman" w:hAnsi="Times New Roman"/>
          <w:sz w:val="24"/>
          <w:szCs w:val="24"/>
        </w:rPr>
        <w:t>odvádzať odvody na zdravotné poistenie v obmedzenej maximálnej výške počítanej z</w:t>
      </w:r>
      <w:r w:rsidRPr="006F7481">
        <w:t xml:space="preserve"> </w:t>
      </w:r>
      <w:r w:rsidRPr="006F7481">
        <w:rPr>
          <w:rFonts w:ascii="Times New Roman" w:hAnsi="Times New Roman"/>
          <w:sz w:val="24"/>
          <w:szCs w:val="24"/>
        </w:rPr>
        <w:t>priemernej mesačnej mzd</w:t>
      </w:r>
      <w:r>
        <w:rPr>
          <w:rFonts w:ascii="Times New Roman" w:hAnsi="Times New Roman"/>
          <w:sz w:val="24"/>
          <w:szCs w:val="24"/>
        </w:rPr>
        <w:t>y</w:t>
      </w:r>
      <w:r w:rsidRPr="006F7481">
        <w:rPr>
          <w:rFonts w:ascii="Times New Roman" w:hAnsi="Times New Roman"/>
          <w:sz w:val="24"/>
          <w:szCs w:val="24"/>
        </w:rPr>
        <w:t xml:space="preserve"> zamestnanca v hospodárstve Slovenskej republiky zistenej Štatistickým úradom Slovenskej republiky za kalendárny rok, ktorý dva roky predchádza rozhodujúcemu obdobiu</w:t>
      </w:r>
      <w:r>
        <w:rPr>
          <w:rFonts w:ascii="Times New Roman" w:hAnsi="Times New Roman"/>
          <w:sz w:val="24"/>
          <w:szCs w:val="24"/>
        </w:rPr>
        <w:t xml:space="preserve">. Uvedené riešenie sa navrhuje vzhľadom na nedostatok dostupných finančných prostriedkov v športe. Je v záujme podpory športu, aby športovým organizáciám a samotným športovcom zostal dostatok finančných prostriedkov na ďalší rozvoj športu, pričom účely zdravotného poistenia je možné efektívne naplniť aj pri určení maximálneho poistného počítaného z priemernej mzdy. Vzhľadom na to, že počet profesionálnych športovcov vykonávajúcich závislú prácu za odmenu presahujúcu odvodový strop je veľmi nízky, pôjde o výpadok v príjmoch zdravotných poisťovní v zanedbateľnej výške. Tento výpadok je pritom odôvodniteľný záujmom štátu na rozvoji športu v Slovenskej republike.  </w:t>
      </w:r>
    </w:p>
    <w:p w:rsidR="00C752D6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C752D6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 Čl. IV</w:t>
      </w:r>
    </w:p>
    <w:p w:rsidR="00C752D6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C752D6" w:rsidRPr="00080F2E" w:rsidRDefault="00C752D6" w:rsidP="00C752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F2E">
        <w:rPr>
          <w:rFonts w:ascii="Times New Roman" w:hAnsi="Times New Roman" w:cs="Times New Roman"/>
          <w:sz w:val="24"/>
          <w:szCs w:val="24"/>
        </w:rPr>
        <w:t xml:space="preserve">Cieľom tejto zmeny je pomôcť športovým organizáciám pri plnení ich základných úloh a pri napĺňaní verejného záujmu v športe </w:t>
      </w:r>
      <w:r>
        <w:rPr>
          <w:rFonts w:ascii="Times New Roman" w:hAnsi="Times New Roman" w:cs="Times New Roman"/>
          <w:sz w:val="24"/>
          <w:szCs w:val="24"/>
        </w:rPr>
        <w:t xml:space="preserve">podľa </w:t>
      </w:r>
      <w:r w:rsidRPr="00080F2E">
        <w:rPr>
          <w:rFonts w:ascii="Times New Roman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 440/2015 Z. z. o športe a o zmene a doplnení niektorých zákonov v znení neskorších predpisov</w:t>
      </w:r>
      <w:r w:rsidRPr="00080F2E">
        <w:rPr>
          <w:rFonts w:ascii="Times New Roman" w:hAnsi="Times New Roman" w:cs="Times New Roman"/>
          <w:sz w:val="24"/>
          <w:szCs w:val="24"/>
        </w:rPr>
        <w:t xml:space="preserve">. Tento cieľ </w:t>
      </w:r>
      <w:r>
        <w:rPr>
          <w:rFonts w:ascii="Times New Roman" w:hAnsi="Times New Roman" w:cs="Times New Roman"/>
          <w:sz w:val="24"/>
          <w:szCs w:val="24"/>
        </w:rPr>
        <w:t>sa navrhuje dosiahnuť</w:t>
      </w:r>
      <w:r w:rsidRPr="00080F2E">
        <w:rPr>
          <w:rFonts w:ascii="Times New Roman" w:hAnsi="Times New Roman" w:cs="Times New Roman"/>
          <w:sz w:val="24"/>
          <w:szCs w:val="24"/>
        </w:rPr>
        <w:t xml:space="preserve"> úpravou </w:t>
      </w:r>
      <w:r>
        <w:rPr>
          <w:rFonts w:ascii="Times New Roman" w:hAnsi="Times New Roman" w:cs="Times New Roman"/>
          <w:sz w:val="24"/>
          <w:szCs w:val="24"/>
        </w:rPr>
        <w:t>resp. zahrnutím</w:t>
      </w:r>
      <w:r w:rsidRPr="00D927FA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podlimitnej zákazky, ktorej predmetom je </w:t>
      </w:r>
      <w:r w:rsidRPr="00551B3B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dodanie, výskum a</w:t>
      </w:r>
      <w:r>
        <w:rPr>
          <w:rFonts w:ascii="Times New Roman" w:hAnsi="Times New Roman"/>
          <w:color w:val="000000" w:themeColor="text1"/>
          <w:sz w:val="24"/>
          <w:szCs w:val="24"/>
          <w:lang w:eastAsia="en-GB"/>
        </w:rPr>
        <w:t>lebo</w:t>
      </w:r>
      <w:r w:rsidRPr="00551B3B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 vývoj špecifického športového vybavenia, ktorého tvar, zloženie</w:t>
      </w:r>
      <w:r>
        <w:rPr>
          <w:rFonts w:ascii="Times New Roman" w:hAnsi="Times New Roman"/>
          <w:color w:val="000000" w:themeColor="text1"/>
          <w:sz w:val="24"/>
          <w:szCs w:val="24"/>
          <w:lang w:eastAsia="en-GB"/>
        </w:rPr>
        <w:t xml:space="preserve"> alebo</w:t>
      </w:r>
      <w:r w:rsidRPr="00551B3B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 iné vlastnosti nie je možné rovnocenne nahradiť substitučným výrobkom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, a ktoré slúži na výkon športovej činnosti, </w:t>
      </w:r>
      <w:r>
        <w:rPr>
          <w:rFonts w:ascii="Times New Roman" w:hAnsi="Times New Roman" w:cs="Times New Roman"/>
          <w:sz w:val="24"/>
          <w:szCs w:val="24"/>
        </w:rPr>
        <w:t xml:space="preserve">do výnimky z </w:t>
      </w:r>
      <w:r w:rsidRPr="00080F2E">
        <w:rPr>
          <w:rFonts w:ascii="Times New Roman" w:hAnsi="Times New Roman" w:cs="Times New Roman"/>
          <w:sz w:val="24"/>
          <w:szCs w:val="24"/>
        </w:rPr>
        <w:t xml:space="preserve">pôsobnosti zákona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F2E">
        <w:rPr>
          <w:rFonts w:ascii="Times New Roman" w:hAnsi="Times New Roman" w:cs="Times New Roman"/>
          <w:sz w:val="24"/>
          <w:szCs w:val="24"/>
        </w:rPr>
        <w:t xml:space="preserve">č. 343/2015 Z. z. o verejnom obstarávaní a o zmene a doplnení niektorých zákonov, tak aby takéto športové vybavenie nemuselo byť </w:t>
      </w:r>
      <w:r>
        <w:rPr>
          <w:rFonts w:ascii="Times New Roman" w:hAnsi="Times New Roman" w:cs="Times New Roman"/>
          <w:sz w:val="24"/>
          <w:szCs w:val="24"/>
        </w:rPr>
        <w:t xml:space="preserve">v rámci podlimitnej zákazky </w:t>
      </w:r>
      <w:r w:rsidRPr="00080F2E">
        <w:rPr>
          <w:rFonts w:ascii="Times New Roman" w:hAnsi="Times New Roman" w:cs="Times New Roman"/>
          <w:sz w:val="24"/>
          <w:szCs w:val="24"/>
        </w:rPr>
        <w:t xml:space="preserve">nakupované podľa striktných pravidiel vyššie uvedeného </w:t>
      </w:r>
      <w:r>
        <w:rPr>
          <w:rFonts w:ascii="Times New Roman" w:hAnsi="Times New Roman" w:cs="Times New Roman"/>
          <w:sz w:val="24"/>
          <w:szCs w:val="24"/>
        </w:rPr>
        <w:t>zákona</w:t>
      </w:r>
      <w:r w:rsidRPr="00080F2E">
        <w:rPr>
          <w:rFonts w:ascii="Times New Roman" w:hAnsi="Times New Roman" w:cs="Times New Roman"/>
          <w:sz w:val="24"/>
          <w:szCs w:val="24"/>
        </w:rPr>
        <w:t>, nakoľko je často vyvíjané na mieru konkrétneho športovca s cieľom poskytnúť mu najvyššiu kvalitu, komfort a konkurenčnú výhodu oproti iným športovcom zo zahraničia.</w:t>
      </w:r>
    </w:p>
    <w:p w:rsidR="00C752D6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C752D6" w:rsidRPr="009F7ED0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 Čl. V</w:t>
      </w:r>
    </w:p>
    <w:p w:rsidR="00C752D6" w:rsidRDefault="00C752D6" w:rsidP="00C752D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C752D6" w:rsidRDefault="00C752D6" w:rsidP="00C752D6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Pr="009F7E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avrhuje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 nadobudnutie </w:t>
      </w:r>
      <w:r w:rsidRPr="009F7E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účinnos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</w:t>
      </w:r>
      <w:r w:rsidRPr="009F7E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zákona od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januára </w:t>
      </w:r>
      <w:r w:rsidRPr="009F7E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</w:t>
      </w:r>
      <w:r w:rsidRPr="009F7E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15736A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/>
    <w:p w:rsidR="00C752D6" w:rsidRDefault="00C752D6" w:rsidP="00C75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</w:t>
      </w:r>
    </w:p>
    <w:p w:rsidR="00C752D6" w:rsidRDefault="00C752D6" w:rsidP="00C75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:rsidR="00C752D6" w:rsidRDefault="00C752D6" w:rsidP="00C752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:rsidR="00C752D6" w:rsidRDefault="00C752D6" w:rsidP="00C75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A8">
        <w:rPr>
          <w:rFonts w:ascii="Times New Roman" w:hAnsi="Times New Roman" w:cs="Times New Roman"/>
          <w:sz w:val="24"/>
          <w:szCs w:val="24"/>
        </w:rPr>
        <w:t xml:space="preserve">Návrh zákona, ktorým sa mení a dopĺňa zákon č. 595/2003 Z. z. o dani z príjmov v znení neskorších predpisov a o zmene a doplnení </w:t>
      </w:r>
      <w:r>
        <w:rPr>
          <w:rFonts w:ascii="Times New Roman" w:hAnsi="Times New Roman" w:cs="Times New Roman"/>
          <w:sz w:val="24"/>
          <w:szCs w:val="24"/>
        </w:rPr>
        <w:t xml:space="preserve">niektorých </w:t>
      </w:r>
      <w:r w:rsidRPr="00B81AA8">
        <w:rPr>
          <w:rFonts w:ascii="Times New Roman" w:hAnsi="Times New Roman" w:cs="Times New Roman"/>
          <w:sz w:val="24"/>
          <w:szCs w:val="24"/>
        </w:rPr>
        <w:t>zákon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A838A9">
        <w:rPr>
          <w:rFonts w:ascii="Times New Roman" w:hAnsi="Times New Roman" w:cs="Times New Roman"/>
          <w:sz w:val="24"/>
          <w:szCs w:val="24"/>
        </w:rPr>
        <w:t>.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C752D6" w:rsidTr="001D2521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C752D6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752D6" w:rsidTr="001D2521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2D6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</w:tr>
      <w:tr w:rsidR="00C752D6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2D6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sociálnu exklúziu,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2D6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2D6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2D6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2D6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52D6" w:rsidTr="001D2521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52D6" w:rsidRDefault="00C752D6" w:rsidP="001D2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2D6" w:rsidRDefault="00C752D6" w:rsidP="00C752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92B">
        <w:rPr>
          <w:rFonts w:ascii="Times New Roman" w:eastAsia="Calibri" w:hAnsi="Times New Roman" w:cs="Times New Roman"/>
          <w:sz w:val="24"/>
          <w:szCs w:val="24"/>
        </w:rPr>
        <w:t xml:space="preserve">Návrh zákona bude mať negatívne vplyvy na rozpočet verejnej správy, pozitívne vplyvy na podnikateľské prostredie a pozitívne a negatívne sociálne vplyvy. Návrh zákona nebude mať vplyvy na životné prostredie, na informatizáciu spoločnosti, na manželstvo, rodičovstvo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4D692B">
        <w:rPr>
          <w:rFonts w:ascii="Times New Roman" w:eastAsia="Calibri" w:hAnsi="Times New Roman" w:cs="Times New Roman"/>
          <w:sz w:val="24"/>
          <w:szCs w:val="24"/>
        </w:rPr>
        <w:t>a rodinu a ani vplyvy na služby verejnej správy pre občana.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sa.</w:t>
      </w:r>
    </w:p>
    <w:p w:rsidR="00C752D6" w:rsidRDefault="00C752D6" w:rsidP="00C75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2D6" w:rsidRDefault="00C752D6" w:rsidP="00C752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:rsidR="00C752D6" w:rsidRDefault="00C752D6" w:rsidP="00C752D6">
      <w:pPr>
        <w:rPr>
          <w:rFonts w:ascii="Times New Roman" w:eastAsia="Times New Roman" w:hAnsi="Times New Roman" w:cs="Times New Roman"/>
          <w:sz w:val="24"/>
          <w:szCs w:val="24"/>
        </w:rPr>
      </w:pPr>
      <w:r w:rsidRPr="005501D9">
        <w:rPr>
          <w:rFonts w:ascii="Times New Roman" w:eastAsia="Times New Roman" w:hAnsi="Times New Roman" w:cs="Times New Roman"/>
          <w:sz w:val="24"/>
          <w:szCs w:val="24"/>
        </w:rPr>
        <w:t>Návrh zákona bol zaslaný na vyjadrenie Ministerstvu</w:t>
      </w:r>
    </w:p>
    <w:p w:rsidR="00C752D6" w:rsidRDefault="00C752D6" w:rsidP="00C752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2D6" w:rsidRDefault="00C752D6" w:rsidP="00C752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2D6" w:rsidRDefault="00C752D6" w:rsidP="00C752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2D6" w:rsidRDefault="00C752D6" w:rsidP="00C752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2D6" w:rsidRDefault="00C752D6" w:rsidP="00C752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2D6" w:rsidRDefault="00C752D6" w:rsidP="00C752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2D6" w:rsidRDefault="00C752D6" w:rsidP="00C752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52D6" w:rsidRDefault="00C752D6" w:rsidP="00C75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2D6" w:rsidRPr="00E46BD6" w:rsidRDefault="00C752D6" w:rsidP="00C75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752D6" w:rsidRDefault="00C752D6" w:rsidP="00C75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:rsidR="00C752D6" w:rsidRPr="00AA3F1E" w:rsidRDefault="00C752D6" w:rsidP="00C75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2D6" w:rsidRPr="00AA3F1E" w:rsidRDefault="00C752D6" w:rsidP="00C752D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1E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AA3F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A3F1E">
        <w:rPr>
          <w:rFonts w:ascii="Times New Roman" w:hAnsi="Times New Roman" w:cs="Times New Roman"/>
          <w:sz w:val="24"/>
          <w:szCs w:val="24"/>
        </w:rPr>
        <w:t>oslanc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A3F1E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</w:p>
    <w:p w:rsidR="00C752D6" w:rsidRDefault="00C752D6" w:rsidP="00C752D6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2D6" w:rsidRPr="00344B71" w:rsidRDefault="00C752D6" w:rsidP="00C752D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A3F1E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Pr="00AA3F1E">
        <w:rPr>
          <w:rFonts w:ascii="Times New Roman" w:hAnsi="Times New Roman" w:cs="Times New Roman"/>
          <w:sz w:val="24"/>
          <w:szCs w:val="24"/>
        </w:rPr>
        <w:t xml:space="preserve">: </w:t>
      </w:r>
      <w:r w:rsidRPr="00344B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zákona, ktorým sa mení a dopĺňa zákon č. 595/2003 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344B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 o dani z príjmov v znení neskorších predpisov a o zmene a doplnení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niektorých zákonov</w:t>
      </w:r>
      <w:r w:rsidRPr="00344B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752D6" w:rsidRPr="00E1665E" w:rsidRDefault="00C752D6" w:rsidP="00C752D6">
      <w:pPr>
        <w:pStyle w:val="Default"/>
        <w:numPr>
          <w:ilvl w:val="0"/>
          <w:numId w:val="2"/>
        </w:numPr>
        <w:jc w:val="both"/>
      </w:pPr>
      <w:r w:rsidRPr="00E46BD6">
        <w:rPr>
          <w:b/>
        </w:rPr>
        <w:t>Predmet návrhu zákona</w:t>
      </w:r>
      <w:r>
        <w:rPr>
          <w:b/>
        </w:rPr>
        <w:t xml:space="preserve"> </w:t>
      </w:r>
      <w:r w:rsidRPr="00E1665E">
        <w:rPr>
          <w:b/>
          <w:bCs/>
        </w:rPr>
        <w:t>je upravený v práve Európskej únie</w:t>
      </w:r>
      <w:r w:rsidRPr="00E1665E">
        <w:t xml:space="preserve">: </w:t>
      </w:r>
    </w:p>
    <w:p w:rsidR="00C752D6" w:rsidRPr="00E1665E" w:rsidRDefault="00C752D6" w:rsidP="00C752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665E">
        <w:rPr>
          <w:rFonts w:ascii="Times New Roman" w:eastAsia="Times New Roman" w:hAnsi="Times New Roman" w:cs="Times New Roman"/>
          <w:sz w:val="24"/>
          <w:szCs w:val="24"/>
          <w:lang w:eastAsia="sk-SK"/>
        </w:rPr>
        <w:t>v primárnom práve</w:t>
      </w:r>
    </w:p>
    <w:p w:rsidR="00C752D6" w:rsidRDefault="00C752D6" w:rsidP="00C752D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nie je</w:t>
      </w:r>
      <w:r w:rsidRPr="00796DA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C752D6" w:rsidRPr="00796DAB" w:rsidRDefault="00C752D6" w:rsidP="00C752D6">
      <w:pPr>
        <w:pStyle w:val="Odsekzoznamu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D6" w:rsidRPr="00E1665E" w:rsidRDefault="00C752D6" w:rsidP="00C752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665E">
        <w:rPr>
          <w:rFonts w:ascii="Times New Roman" w:eastAsia="Times New Roman" w:hAnsi="Times New Roman" w:cs="Times New Roman"/>
          <w:sz w:val="24"/>
          <w:szCs w:val="24"/>
          <w:lang w:eastAsia="sk-SK"/>
        </w:rPr>
        <w:t>v sekundárnom práve</w:t>
      </w:r>
    </w:p>
    <w:p w:rsidR="00C752D6" w:rsidRPr="00BE5F34" w:rsidRDefault="00C752D6" w:rsidP="00C752D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je, </w:t>
      </w:r>
    </w:p>
    <w:p w:rsidR="00C752D6" w:rsidRPr="00E1665E" w:rsidRDefault="00C752D6" w:rsidP="00C75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52D6" w:rsidRDefault="00C752D6" w:rsidP="00C752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66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judikatúre Súdneho dvora Európskej únie </w:t>
      </w:r>
    </w:p>
    <w:p w:rsidR="00C752D6" w:rsidRPr="00BE5F34" w:rsidRDefault="00C752D6" w:rsidP="00C752D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je. </w:t>
      </w:r>
    </w:p>
    <w:p w:rsidR="00C752D6" w:rsidRDefault="00C752D6" w:rsidP="00C75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2D6" w:rsidRDefault="00C752D6" w:rsidP="00C752D6">
      <w:pPr>
        <w:jc w:val="both"/>
      </w:pPr>
      <w:r w:rsidRPr="003A0AB0">
        <w:rPr>
          <w:rFonts w:ascii="Times New Roman" w:hAnsi="Times New Roman" w:cs="Times New Roman"/>
          <w:b/>
          <w:bCs/>
          <w:sz w:val="24"/>
          <w:szCs w:val="24"/>
        </w:rPr>
        <w:t>Predmet návrhu zákona nie je v práve Európskej únie upravený, preto sa body 4 a 5 nevypĺňajú.</w:t>
      </w:r>
    </w:p>
    <w:p w:rsidR="00C752D6" w:rsidRDefault="00C752D6" w:rsidP="00C752D6">
      <w:bookmarkStart w:id="2" w:name="_GoBack"/>
      <w:bookmarkEnd w:id="2"/>
    </w:p>
    <w:sectPr w:rsidR="00C752D6" w:rsidSect="003F21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97FE1"/>
    <w:multiLevelType w:val="hybridMultilevel"/>
    <w:tmpl w:val="46A821F8"/>
    <w:lvl w:ilvl="0" w:tplc="BB6257C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669768E5"/>
    <w:multiLevelType w:val="hybridMultilevel"/>
    <w:tmpl w:val="10D655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8C1D5B"/>
    <w:multiLevelType w:val="hybridMultilevel"/>
    <w:tmpl w:val="F2BA791C"/>
    <w:lvl w:ilvl="0" w:tplc="C4462E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F"/>
    <w:rsid w:val="000A68CF"/>
    <w:rsid w:val="003F21DB"/>
    <w:rsid w:val="00411C37"/>
    <w:rsid w:val="00C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A0EBA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52D6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752D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C752D6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1882</Words>
  <Characters>10732</Characters>
  <Application>Microsoft Office Word</Application>
  <DocSecurity>0</DocSecurity>
  <Lines>89</Lines>
  <Paragraphs>25</Paragraphs>
  <ScaleCrop>false</ScaleCrop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2024-08-23T06:10:00Z</dcterms:created>
  <dcterms:modified xsi:type="dcterms:W3CDTF">2024-08-23T10:31:00Z</dcterms:modified>
</cp:coreProperties>
</file>