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40D5" w:rsidRDefault="000A68CF" w:rsidP="005040D5">
      <w:pPr>
        <w:spacing w:line="276" w:lineRule="auto"/>
        <w:jc w:val="center"/>
        <w:rPr>
          <w:b/>
          <w:sz w:val="19"/>
        </w:rPr>
      </w:pPr>
      <w:r>
        <w:t xml:space="preserve"> </w:t>
      </w:r>
      <w:r w:rsidR="005040D5">
        <w:rPr>
          <w:b/>
          <w:caps/>
        </w:rPr>
        <w:t>Národná rada Slovenskej republiky</w:t>
      </w:r>
    </w:p>
    <w:p w:rsidR="005040D5" w:rsidRDefault="005040D5" w:rsidP="005040D5">
      <w:pPr>
        <w:spacing w:line="276" w:lineRule="auto"/>
        <w:jc w:val="center"/>
        <w:rPr>
          <w:b/>
          <w:sz w:val="19"/>
        </w:rPr>
      </w:pPr>
      <w:r>
        <w:rPr>
          <w:b/>
          <w:caps/>
        </w:rPr>
        <w:t xml:space="preserve">IX. </w:t>
      </w:r>
      <w:r>
        <w:rPr>
          <w:b/>
        </w:rPr>
        <w:t>volebné obdobie</w:t>
      </w:r>
    </w:p>
    <w:p w:rsidR="005040D5" w:rsidRDefault="005040D5" w:rsidP="005040D5">
      <w:pPr>
        <w:spacing w:line="276" w:lineRule="auto"/>
        <w:jc w:val="center"/>
        <w:rPr>
          <w:b/>
          <w:sz w:val="19"/>
        </w:rPr>
      </w:pPr>
      <w:r>
        <w:rPr>
          <w:b/>
          <w:smallCaps/>
        </w:rPr>
        <w:t>_______________________________________________________________________ </w:t>
      </w:r>
    </w:p>
    <w:p w:rsidR="005040D5" w:rsidRPr="00B70D05" w:rsidRDefault="005040D5" w:rsidP="005040D5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 w:rsidRPr="00B70D05">
        <w:rPr>
          <w:b/>
          <w:bCs/>
          <w:kern w:val="36"/>
          <w:lang w:eastAsia="sk-SK"/>
        </w:rPr>
        <w:t>Návrh</w:t>
      </w:r>
    </w:p>
    <w:p w:rsidR="005040D5" w:rsidRPr="00B70D05" w:rsidRDefault="005040D5" w:rsidP="005040D5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 w:rsidRPr="00B70D05">
        <w:rPr>
          <w:b/>
          <w:bCs/>
          <w:kern w:val="36"/>
          <w:lang w:eastAsia="sk-SK"/>
        </w:rPr>
        <w:t>ZÁKON</w:t>
      </w:r>
    </w:p>
    <w:p w:rsidR="005040D5" w:rsidRPr="00B70D05" w:rsidRDefault="005040D5" w:rsidP="005040D5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  <w:r w:rsidRPr="00B70D05">
        <w:rPr>
          <w:bCs/>
          <w:kern w:val="36"/>
          <w:lang w:eastAsia="sk-SK"/>
        </w:rPr>
        <w:t>z ........2024,</w:t>
      </w:r>
    </w:p>
    <w:p w:rsidR="005040D5" w:rsidRPr="00B70D05" w:rsidRDefault="005040D5" w:rsidP="005040D5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 w:rsidRPr="00B70D05">
        <w:rPr>
          <w:b/>
          <w:bCs/>
          <w:kern w:val="36"/>
          <w:lang w:eastAsia="sk-SK"/>
        </w:rPr>
        <w:t>ktorým sa mení a dopĺňa zákon č. 63/1993 Z. z. o štátnych symboloch Slovenskej republiky a ich používaní v znení neskorších predpisov</w:t>
      </w:r>
      <w:r>
        <w:rPr>
          <w:b/>
          <w:bCs/>
          <w:kern w:val="36"/>
          <w:lang w:eastAsia="sk-SK"/>
        </w:rPr>
        <w:t xml:space="preserve"> a ktorým sa mení zákon </w:t>
      </w:r>
      <w:r w:rsidRPr="00177F6F">
        <w:rPr>
          <w:b/>
          <w:bCs/>
          <w:kern w:val="36"/>
          <w:lang w:eastAsia="sk-SK"/>
        </w:rPr>
        <w:t xml:space="preserve">Slovenskej národnej rady č. 372/1990 Zb. o priestupkoch v znení </w:t>
      </w:r>
      <w:r>
        <w:rPr>
          <w:b/>
          <w:bCs/>
          <w:kern w:val="36"/>
          <w:lang w:eastAsia="sk-SK"/>
        </w:rPr>
        <w:t>v znení neskorších predpisov</w:t>
      </w:r>
    </w:p>
    <w:p w:rsidR="005040D5" w:rsidRPr="00B70D05" w:rsidRDefault="005040D5" w:rsidP="005040D5">
      <w:pPr>
        <w:spacing w:before="100" w:beforeAutospacing="1" w:after="100" w:afterAutospacing="1"/>
        <w:outlineLvl w:val="0"/>
        <w:rPr>
          <w:bCs/>
          <w:kern w:val="36"/>
          <w:lang w:eastAsia="sk-SK"/>
        </w:rPr>
      </w:pPr>
      <w:r w:rsidRPr="00B70D05">
        <w:rPr>
          <w:bCs/>
          <w:kern w:val="36"/>
          <w:lang w:eastAsia="sk-SK"/>
        </w:rPr>
        <w:t>Národná rada Slovenskej republiky sa uzniesla na tomto zákone:</w:t>
      </w:r>
    </w:p>
    <w:p w:rsidR="005040D5" w:rsidRPr="00B70D05" w:rsidRDefault="005040D5" w:rsidP="005040D5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 w:rsidRPr="00B70D05">
        <w:rPr>
          <w:b/>
          <w:bCs/>
          <w:kern w:val="36"/>
          <w:lang w:eastAsia="sk-SK"/>
        </w:rPr>
        <w:t>Čl. I</w:t>
      </w:r>
    </w:p>
    <w:p w:rsidR="005040D5" w:rsidRPr="005B57A9" w:rsidRDefault="005040D5" w:rsidP="005040D5">
      <w:pPr>
        <w:spacing w:before="100" w:beforeAutospacing="1" w:after="100" w:afterAutospacing="1"/>
        <w:jc w:val="both"/>
        <w:rPr>
          <w:b/>
          <w:lang w:eastAsia="sk-SK"/>
        </w:rPr>
      </w:pPr>
      <w:r w:rsidRPr="00B70D05">
        <w:rPr>
          <w:lang w:eastAsia="sk-SK"/>
        </w:rPr>
        <w:t xml:space="preserve">Zákon Národnej rady Slovenskej republiky č. 63/1993 Z. z. o štátnych symboloch Slovenskej republiky a ich používaní v znení zákona Národnej rady Slovenskej republiky č. </w:t>
      </w:r>
      <w:r w:rsidRPr="005B57A9">
        <w:rPr>
          <w:lang w:eastAsia="sk-SK"/>
        </w:rPr>
        <w:t>240/1994 Z. z., zákona Národnej rady Slovenskej republiky č. 273/1996 Z. z., zákona č. 515/2003 Z. z., zákona č. 277/2006 Z. z., zákona č. 335/2007 Z. z., zákona č. 659/2007 Z. z., zákona č. 445/2008 Z. z., zákona č. 200/2010 Z. z., zákona č. 400/2015 Z. z., zákona č. 126/2019 Z. z. a zákona č. 136/2019 sa mení a dopĺňa takto:</w:t>
      </w:r>
    </w:p>
    <w:p w:rsidR="005040D5" w:rsidRDefault="005040D5" w:rsidP="005040D5">
      <w:pPr>
        <w:pStyle w:val="Odsekzoznamu"/>
        <w:numPr>
          <w:ilvl w:val="0"/>
          <w:numId w:val="1"/>
        </w:numPr>
        <w:rPr>
          <w:rStyle w:val="awspan"/>
          <w:color w:val="000000"/>
        </w:rPr>
      </w:pPr>
      <w:r>
        <w:rPr>
          <w:rStyle w:val="awspan"/>
          <w:color w:val="000000"/>
        </w:rPr>
        <w:t>V § 8 ods. 1 znie:</w:t>
      </w:r>
    </w:p>
    <w:p w:rsidR="005040D5" w:rsidRPr="005B57A9" w:rsidRDefault="005040D5" w:rsidP="005040D5">
      <w:pPr>
        <w:pStyle w:val="Odsekzoznamu"/>
        <w:ind w:left="720"/>
        <w:rPr>
          <w:rStyle w:val="awspan"/>
          <w:color w:val="000000"/>
        </w:rPr>
      </w:pPr>
    </w:p>
    <w:p w:rsidR="005040D5" w:rsidRDefault="005040D5" w:rsidP="005040D5">
      <w:pPr>
        <w:pStyle w:val="Odsekzoznamu"/>
        <w:numPr>
          <w:ilvl w:val="0"/>
          <w:numId w:val="4"/>
        </w:numPr>
        <w:jc w:val="both"/>
        <w:rPr>
          <w:rStyle w:val="awspan"/>
          <w:color w:val="000000"/>
        </w:rPr>
      </w:pPr>
      <w:r w:rsidRPr="00E059D6">
        <w:rPr>
          <w:rStyle w:val="awspan"/>
          <w:color w:val="000000"/>
        </w:rPr>
        <w:t>Štátne orgány, ozbrojené sily, bezpečnostné zbory, Hasičský a záchranný zbor a orgány územnej samosprávy označujú štátnou vlajkou budovy, v ktorých sídlia, štátne orgány označujú aj úradnú miestnosť najvyššieho predstaviteľa. Štátnou vlajkou sa označujú aj budovy vo výlučnom vlastníctve štátu, s výnimkou budov, v ktorých sídlia diplomatické a konzulárne úrady tretích krajín</w:t>
      </w:r>
      <w:r>
        <w:rPr>
          <w:rStyle w:val="awspan"/>
          <w:color w:val="000000"/>
        </w:rPr>
        <w:t>.</w:t>
      </w:r>
    </w:p>
    <w:p w:rsidR="005040D5" w:rsidRPr="00E059D6" w:rsidRDefault="005040D5" w:rsidP="005040D5">
      <w:pPr>
        <w:pStyle w:val="Odsekzoznamu"/>
        <w:ind w:left="1080"/>
        <w:jc w:val="both"/>
        <w:rPr>
          <w:rStyle w:val="awspan"/>
          <w:color w:val="000000"/>
        </w:rPr>
      </w:pPr>
    </w:p>
    <w:p w:rsidR="005040D5" w:rsidRPr="005B57A9" w:rsidRDefault="005040D5" w:rsidP="005040D5">
      <w:pPr>
        <w:pStyle w:val="Odsekzoznamu"/>
        <w:numPr>
          <w:ilvl w:val="0"/>
          <w:numId w:val="1"/>
        </w:numPr>
        <w:rPr>
          <w:rStyle w:val="awspan"/>
          <w:color w:val="000000"/>
        </w:rPr>
      </w:pPr>
      <w:r w:rsidRPr="005B57A9">
        <w:rPr>
          <w:rStyle w:val="awspan"/>
          <w:color w:val="000000"/>
        </w:rPr>
        <w:t>Za § 13b sa dopĺňa sa nový § 13c, ktorý znie:</w:t>
      </w:r>
    </w:p>
    <w:p w:rsidR="005040D5" w:rsidRPr="005B57A9" w:rsidRDefault="005040D5" w:rsidP="005040D5">
      <w:pPr>
        <w:pStyle w:val="Odsekzoznamu"/>
        <w:ind w:left="720"/>
        <w:rPr>
          <w:rStyle w:val="awspan"/>
          <w:color w:val="000000"/>
        </w:rPr>
      </w:pPr>
    </w:p>
    <w:p w:rsidR="005040D5" w:rsidRPr="005B57A9" w:rsidRDefault="005040D5" w:rsidP="005040D5">
      <w:pPr>
        <w:ind w:left="720"/>
        <w:jc w:val="center"/>
        <w:rPr>
          <w:rStyle w:val="awspan"/>
          <w:color w:val="000000"/>
          <w:lang w:eastAsia="sk-SK"/>
        </w:rPr>
      </w:pPr>
      <w:r w:rsidRPr="005B57A9">
        <w:rPr>
          <w:color w:val="000000"/>
          <w:lang w:eastAsia="sk-SK"/>
        </w:rPr>
        <w:t>„§13c</w:t>
      </w:r>
    </w:p>
    <w:p w:rsidR="005040D5" w:rsidRPr="0095284B" w:rsidRDefault="005040D5" w:rsidP="005040D5">
      <w:pPr>
        <w:pStyle w:val="Odsekzoznamu"/>
        <w:numPr>
          <w:ilvl w:val="0"/>
          <w:numId w:val="2"/>
        </w:numPr>
        <w:ind w:left="1134" w:hanging="424"/>
        <w:jc w:val="both"/>
        <w:rPr>
          <w:rStyle w:val="awspan"/>
          <w:color w:val="000000"/>
        </w:rPr>
      </w:pPr>
      <w:r w:rsidRPr="0095284B">
        <w:rPr>
          <w:rStyle w:val="awspan"/>
          <w:color w:val="000000"/>
        </w:rPr>
        <w:t>Na budovy a v budovách ustanovizní uvedených v § 3 ods. 1, na budovách a v budovách sídiel štátnych orgánov a verejných inštitúcií a na budovách a v budovách, ktoré sú vo vlastníctve štátu, sa zakazuje vyvesovať, umiestňovať alebo inak zobrazovať vlajky, zástavy, symboly alebo iné vizuálne prvky, ktoré nepredstavujú štátne symboly Slovenskej republiky, vlajky iných štátov,</w:t>
      </w:r>
      <w:r>
        <w:rPr>
          <w:rStyle w:val="awspan"/>
          <w:color w:val="000000"/>
        </w:rPr>
        <w:t xml:space="preserve"> Európskej únie</w:t>
      </w:r>
      <w:r w:rsidRPr="0095284B">
        <w:rPr>
          <w:rStyle w:val="awspan"/>
          <w:color w:val="000000"/>
        </w:rPr>
        <w:t xml:space="preserve"> alebo zástavy miest a obcí.</w:t>
      </w:r>
    </w:p>
    <w:p w:rsidR="005040D5" w:rsidRDefault="005040D5" w:rsidP="005040D5">
      <w:pPr>
        <w:pStyle w:val="Odsekzoznamu"/>
        <w:ind w:left="1134"/>
        <w:jc w:val="both"/>
        <w:rPr>
          <w:rStyle w:val="awspan"/>
          <w:color w:val="000000"/>
        </w:rPr>
      </w:pPr>
    </w:p>
    <w:p w:rsidR="005040D5" w:rsidRPr="0095284B" w:rsidRDefault="005040D5" w:rsidP="005040D5">
      <w:pPr>
        <w:pStyle w:val="Odsekzoznamu"/>
        <w:numPr>
          <w:ilvl w:val="0"/>
          <w:numId w:val="2"/>
        </w:numPr>
        <w:ind w:left="1134" w:hanging="424"/>
        <w:jc w:val="both"/>
        <w:rPr>
          <w:rStyle w:val="awspan"/>
          <w:color w:val="000000"/>
        </w:rPr>
      </w:pPr>
      <w:r w:rsidRPr="0095284B">
        <w:rPr>
          <w:rStyle w:val="awspan"/>
          <w:color w:val="000000"/>
        </w:rPr>
        <w:t>Výnimky z tohto ustanovenia môže v odôvodnených prípadoch povoliť Ministerstvo vnútra Slovenskej republiky alebo príslušný okresný úrad na základe písomného rozhodnutia.“</w:t>
      </w:r>
    </w:p>
    <w:p w:rsidR="005040D5" w:rsidRPr="005B57A9" w:rsidRDefault="005040D5" w:rsidP="005040D5">
      <w:pPr>
        <w:pStyle w:val="Odsekzoznamu"/>
        <w:ind w:left="1418"/>
        <w:jc w:val="both"/>
        <w:rPr>
          <w:color w:val="000000"/>
        </w:rPr>
      </w:pPr>
      <w:r w:rsidRPr="005B57A9">
        <w:rPr>
          <w:rStyle w:val="awspan"/>
          <w:color w:val="000000"/>
        </w:rPr>
        <w:t xml:space="preserve">  </w:t>
      </w:r>
    </w:p>
    <w:p w:rsidR="005040D5" w:rsidRPr="005B57A9" w:rsidRDefault="005040D5" w:rsidP="005040D5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b/>
          <w:lang w:eastAsia="sk-SK"/>
        </w:rPr>
      </w:pPr>
      <w:r w:rsidRPr="005B57A9">
        <w:rPr>
          <w:lang w:eastAsia="sk-SK"/>
        </w:rPr>
        <w:t xml:space="preserve">V § 14 ods. 1 znie: </w:t>
      </w:r>
    </w:p>
    <w:p w:rsidR="005040D5" w:rsidRPr="00B70D05" w:rsidRDefault="005040D5" w:rsidP="005040D5">
      <w:pPr>
        <w:pStyle w:val="Odsekzoznamu"/>
        <w:numPr>
          <w:ilvl w:val="0"/>
          <w:numId w:val="3"/>
        </w:numPr>
        <w:spacing w:before="100" w:beforeAutospacing="1" w:after="100" w:afterAutospacing="1"/>
        <w:jc w:val="both"/>
        <w:rPr>
          <w:lang w:eastAsia="sk-SK"/>
        </w:rPr>
      </w:pPr>
      <w:r w:rsidRPr="005B57A9">
        <w:rPr>
          <w:color w:val="000000"/>
          <w:shd w:val="clear" w:color="auto" w:fill="FFFFFF"/>
        </w:rPr>
        <w:lastRenderedPageBreak/>
        <w:t>Za porušenie ustanovenia § 3 ods. 3 až 6, § 5 ods. 3, § 6, § 11 ods. 2,  § 13b ods. 2  a § 13c ods. 1 okresný</w:t>
      </w:r>
      <w:r w:rsidRPr="00B70D05">
        <w:rPr>
          <w:color w:val="000000"/>
          <w:shd w:val="clear" w:color="auto" w:fill="FFFFFF"/>
        </w:rPr>
        <w:t xml:space="preserve"> úrad môže uložiť pokutu právnickej osobe do </w:t>
      </w:r>
      <w:r>
        <w:rPr>
          <w:color w:val="000000"/>
          <w:shd w:val="clear" w:color="auto" w:fill="FFFFFF"/>
        </w:rPr>
        <w:t>3</w:t>
      </w:r>
      <w:r w:rsidRPr="00B70D05">
        <w:rPr>
          <w:color w:val="000000"/>
          <w:shd w:val="clear" w:color="auto" w:fill="FFFFFF"/>
        </w:rPr>
        <w:t>0 000 eur.</w:t>
      </w:r>
    </w:p>
    <w:p w:rsidR="005040D5" w:rsidRPr="007438A8" w:rsidRDefault="005040D5" w:rsidP="005040D5">
      <w:pPr>
        <w:spacing w:before="100" w:beforeAutospacing="1" w:after="100" w:afterAutospacing="1"/>
        <w:jc w:val="center"/>
        <w:rPr>
          <w:b/>
          <w:color w:val="000000" w:themeColor="text1"/>
          <w:lang w:eastAsia="sk-SK"/>
        </w:rPr>
      </w:pPr>
      <w:r w:rsidRPr="007438A8">
        <w:rPr>
          <w:b/>
          <w:color w:val="000000" w:themeColor="text1"/>
          <w:lang w:eastAsia="sk-SK"/>
        </w:rPr>
        <w:t>Čl. II</w:t>
      </w:r>
    </w:p>
    <w:p w:rsidR="005040D5" w:rsidRPr="007438A8" w:rsidRDefault="005040D5" w:rsidP="005040D5">
      <w:pPr>
        <w:jc w:val="both"/>
        <w:rPr>
          <w:color w:val="000000" w:themeColor="text1"/>
          <w:lang w:eastAsia="sk-SK"/>
        </w:rPr>
      </w:pPr>
      <w:r w:rsidRPr="007438A8">
        <w:rPr>
          <w:color w:val="000000" w:themeColor="text1"/>
          <w:shd w:val="clear" w:color="auto" w:fill="FFFFFF"/>
        </w:rPr>
        <w:t>Zákon Slovenskej národnej rady č.</w:t>
      </w:r>
      <w:r w:rsidRPr="007438A8">
        <w:rPr>
          <w:rStyle w:val="apple-converted-space"/>
          <w:color w:val="000000" w:themeColor="text1"/>
          <w:shd w:val="clear" w:color="auto" w:fill="FFFFFF"/>
        </w:rPr>
        <w:t> </w:t>
      </w:r>
      <w:r w:rsidRPr="00FA5DA9">
        <w:rPr>
          <w:rStyle w:val="apple-converted-space"/>
          <w:color w:val="000000" w:themeColor="text1"/>
          <w:shd w:val="clear" w:color="auto" w:fill="FFFFFF"/>
        </w:rPr>
        <w:t>372/1990 Zb.</w:t>
      </w:r>
      <w:r w:rsidRPr="007438A8">
        <w:rPr>
          <w:color w:val="000000" w:themeColor="text1"/>
          <w:shd w:val="clear" w:color="auto" w:fill="FFFFFF"/>
        </w:rPr>
        <w:t xml:space="preserve"> o priestupkoch v znení zákona Slovenskej národnej rady č. 524/1990 Zb., zákona Slovenskej národnej rady č. 266/1992 Zb., zákona Slovenskej národnej rady č. 295/1992 Zb., zákona Slovenskej národnej rady č. 511/1992 Zb., zákona Národnej rady Slovenskej republiky č. 237/1993 Z. z., zákona Národnej rady Slovenskej republiky č. 42/1994 Z. z., zákona Národnej rady Slovenskej republiky č. 248/1994 Z. z., zákona Národnej rady Slovenskej republiky č. 249/1994 Z. z., zákona Národnej rady Slovenskej republiky č. 250/1994 Z. z., zákona Národnej rady Slovenskej republiky č. 202/1995 Z. z., zákona Národnej rady Slovenskej republiky č. 207/1995 Z. z., zákona Národnej rady Slovenskej republiky č. 265/1995 Z. z., zákona Národnej rady Slovenskej republiky č. 285/1995 Z. z., zákona Národnej rady Slovenskej republiky č. 160/1996 Z. z., zákona Národnej rady Slovenskej republiky č. 168/1996 Z. z., zákona č. 143/1998 Z. z., nálezu Ústavného súdu Slovenskej republiky č. 319/1998 Z. z., zákona č. 298/1999 Z. z., zákona č. 313/1999 Z. z., zákona č. 195/2000 Z. z., zákona č. 211/2000 Z. z., zákona č. 367/2000 Z. z., zákona č. 122/2001 Z. z., zákona č. 223/2001 Z. z., zákona č. 253/2001 Z. z., zákona č. 441/2001 Z. z., zákona č. 490/2001 Z. z., zákona č. 507/2001 Z. z., zákona č. 139/2002 Z. z., zákona č. 422/2002 Z. z., zákona č. 190/2003 Z. z., zákona č. 430/2003 Z. z., zákona č. 510/2003 Z. z., zákona č. 515/2003 Z. z., zákona č. 534/2003 Z. z., zákona č. 364/2004 Z. z., zákona č. 533/2004 Z. z., zákona č. 656/2004 Z. z., zákona č. 570/2005 Z. z., zákona č. 650/2005 Z. z., zákona č. 211/2006 Z. z., zákona č. 224/2006 Z. z., zákona č. 250/2007 Z. z., zákona č. 547/2007 Z. z., zákona č. 666/2007 Z. z., zákona č. 86/2008 Z. z., zákona č. 245/2008 Z. z., zákona č. 298/2008 Z. z., zákona č. 445/2008 Z. z., zákona č. 479/2008 Z. z., zákona č. 491/2008 Z. z., zákona č. 8/2009 Z. z., zákona č. 70/2009 Z. z., zákona č. 72/2009 Z. z., zákona č. 191/2009 Z. z., zákona č. 206/2009 Z. z., zákona č. 387/2009 Z. z., zákona č. 465/2009 Z. z., zákona č. 513/2009 Z. z., zákona č. 60/2010 Z. z., zákona č. 433/2010 Z. z., zákona č. 547/2010 Z. z., zákona č. 313/2011 Z. z., zákona č. 362/2011 Z. z., zákona č. 79/2012 Z. z., zákona č. 96/2012 Z. z., zákona č. 31/2013 Z. z., zákona č. 80/2013 Z. z., zákona č. 94/2013 Z. z., zákona č. 299/2013 Z. z., zákona č. 388/2013 Z. z., zákona č. 417/2013 Z. z., zákona č. 474/2013 Z. z., zákona č. 1/2014 Z. z., zákona č. 204/2014 Z. z., zákona č. 374/2014 Z. z., zákona č. 397/2015 Z. z., zákona č. 430/2015 Z. z., zákona č. 125/2016 Z. z., zákona č. 311/2016 Z. z, zákona č. 315/2016 Z. z., zákona č. 393/2019 Z. z., zákona č. 338/2020 Z. z., zákona č. 146/2021 Z. z., zákona č. 412/2021 Z. z., zákona č. 246/2022 Z. z., zákona č. 183/2023 Z. z., zákona č. 330/2023 Z. z. a zákona č. 40/2024 Z. z. sa mení takto:</w:t>
      </w:r>
    </w:p>
    <w:p w:rsidR="005040D5" w:rsidRDefault="005040D5" w:rsidP="005040D5">
      <w:pPr>
        <w:pStyle w:val="Odsekzoznamu"/>
        <w:numPr>
          <w:ilvl w:val="0"/>
          <w:numId w:val="5"/>
        </w:numPr>
        <w:spacing w:before="100" w:beforeAutospacing="1" w:after="100" w:afterAutospacing="1"/>
        <w:jc w:val="both"/>
        <w:rPr>
          <w:color w:val="000000" w:themeColor="text1"/>
        </w:rPr>
      </w:pPr>
      <w:r w:rsidRPr="007438A8">
        <w:rPr>
          <w:color w:val="000000" w:themeColor="text1"/>
        </w:rPr>
        <w:t xml:space="preserve">V § 42 ods. 2 </w:t>
      </w:r>
      <w:r>
        <w:rPr>
          <w:color w:val="000000" w:themeColor="text1"/>
        </w:rPr>
        <w:t>sa slová „</w:t>
      </w:r>
      <w:r w:rsidRPr="007438A8">
        <w:rPr>
          <w:color w:val="000000" w:themeColor="text1"/>
        </w:rPr>
        <w:t>do 99 eur</w:t>
      </w:r>
      <w:r>
        <w:rPr>
          <w:color w:val="000000" w:themeColor="text1"/>
        </w:rPr>
        <w:t>“ nahrádzajú slovami „od 1 000 eur do 30 000 eur“.</w:t>
      </w:r>
    </w:p>
    <w:p w:rsidR="005040D5" w:rsidRPr="007438A8" w:rsidRDefault="005040D5" w:rsidP="005040D5">
      <w:pPr>
        <w:pStyle w:val="Odsekzoznamu"/>
        <w:spacing w:before="100" w:beforeAutospacing="1" w:after="100" w:afterAutospacing="1"/>
        <w:ind w:left="720"/>
        <w:jc w:val="both"/>
        <w:rPr>
          <w:color w:val="000000" w:themeColor="text1"/>
        </w:rPr>
      </w:pPr>
    </w:p>
    <w:p w:rsidR="005040D5" w:rsidRPr="00B70D05" w:rsidRDefault="005040D5" w:rsidP="005040D5">
      <w:pPr>
        <w:spacing w:before="100" w:beforeAutospacing="1" w:after="100" w:afterAutospacing="1"/>
        <w:jc w:val="center"/>
        <w:rPr>
          <w:b/>
          <w:lang w:eastAsia="sk-SK"/>
        </w:rPr>
      </w:pPr>
      <w:r w:rsidRPr="00B70D05">
        <w:rPr>
          <w:b/>
          <w:lang w:eastAsia="sk-SK"/>
        </w:rPr>
        <w:t>Čl. I</w:t>
      </w:r>
      <w:r>
        <w:rPr>
          <w:b/>
          <w:lang w:eastAsia="sk-SK"/>
        </w:rPr>
        <w:t>II</w:t>
      </w:r>
    </w:p>
    <w:p w:rsidR="005040D5" w:rsidRPr="00B70D05" w:rsidRDefault="005040D5" w:rsidP="005040D5">
      <w:pPr>
        <w:jc w:val="both"/>
      </w:pPr>
      <w:r w:rsidRPr="00B70D05">
        <w:rPr>
          <w:lang w:eastAsia="sk-SK"/>
        </w:rPr>
        <w:t xml:space="preserve">Tento zákon nadobúda účinnosť </w:t>
      </w:r>
      <w:r>
        <w:rPr>
          <w:lang w:eastAsia="sk-SK"/>
        </w:rPr>
        <w:t>1. marca 2025</w:t>
      </w:r>
      <w:r w:rsidRPr="00B70D05">
        <w:t xml:space="preserve">. </w:t>
      </w:r>
    </w:p>
    <w:p w:rsidR="0015736A" w:rsidRDefault="005040D5">
      <w:bookmarkStart w:id="0" w:name="_GoBack"/>
      <w:bookmarkEnd w:id="0"/>
    </w:p>
    <w:sectPr w:rsidR="0015736A" w:rsidSect="003F21D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C52337"/>
    <w:multiLevelType w:val="hybridMultilevel"/>
    <w:tmpl w:val="AD7849BC"/>
    <w:lvl w:ilvl="0" w:tplc="949A4F18">
      <w:start w:val="1"/>
      <w:numFmt w:val="decimal"/>
      <w:lvlText w:val="(%1)"/>
      <w:lvlJc w:val="left"/>
      <w:pPr>
        <w:ind w:left="1418" w:hanging="708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9A358FD"/>
    <w:multiLevelType w:val="hybridMultilevel"/>
    <w:tmpl w:val="1FA0993E"/>
    <w:lvl w:ilvl="0" w:tplc="72D27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E58B2"/>
    <w:multiLevelType w:val="hybridMultilevel"/>
    <w:tmpl w:val="4014D3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92653"/>
    <w:multiLevelType w:val="hybridMultilevel"/>
    <w:tmpl w:val="DDD24322"/>
    <w:lvl w:ilvl="0" w:tplc="C69E3B0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747484"/>
    <w:multiLevelType w:val="hybridMultilevel"/>
    <w:tmpl w:val="9F38BC3E"/>
    <w:lvl w:ilvl="0" w:tplc="97480E8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CF"/>
    <w:rsid w:val="000A68CF"/>
    <w:rsid w:val="003F21DB"/>
    <w:rsid w:val="00411C37"/>
    <w:rsid w:val="0050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3B47440-1F41-504C-AFD1-B769AA5C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40D5"/>
    <w:rPr>
      <w:rFonts w:ascii="Times New Roman" w:eastAsia="Times New Roman" w:hAnsi="Times New Roman" w:cs="Times New Roman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Odsek zoznamu1,Odsek zoznamu2,body"/>
    <w:basedOn w:val="Normlny"/>
    <w:link w:val="OdsekzoznamuChar"/>
    <w:uiPriority w:val="34"/>
    <w:qFormat/>
    <w:rsid w:val="005040D5"/>
    <w:pPr>
      <w:ind w:left="708"/>
    </w:pPr>
  </w:style>
  <w:style w:type="character" w:customStyle="1" w:styleId="awspan">
    <w:name w:val="awspan"/>
    <w:basedOn w:val="Predvolenpsmoodseku"/>
    <w:rsid w:val="005040D5"/>
  </w:style>
  <w:style w:type="character" w:customStyle="1" w:styleId="OdsekzoznamuChar">
    <w:name w:val="Odsek zoznamu Char"/>
    <w:aliases w:val="Odsek Char,Odsek zoznamu1 Char,Odsek zoznamu2 Char,body Char"/>
    <w:basedOn w:val="Predvolenpsmoodseku"/>
    <w:link w:val="Odsekzoznamu"/>
    <w:uiPriority w:val="34"/>
    <w:locked/>
    <w:rsid w:val="005040D5"/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Predvolenpsmoodseku"/>
    <w:rsid w:val="00504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2024-08-23T06:10:00Z</dcterms:created>
  <dcterms:modified xsi:type="dcterms:W3CDTF">2024-08-23T07:21:00Z</dcterms:modified>
</cp:coreProperties>
</file>