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E7634" w:rsidRDefault="0034757F">
      <w:pPr>
        <w:shd w:val="clear" w:color="auto" w:fill="FFFFFF"/>
        <w:spacing w:after="0" w:line="240" w:lineRule="auto"/>
        <w:jc w:val="center"/>
        <w:rPr>
          <w:b/>
          <w:color w:val="222222"/>
        </w:rPr>
      </w:pPr>
      <w:r>
        <w:rPr>
          <w:b/>
          <w:color w:val="222222"/>
        </w:rPr>
        <w:t>NÁRODNÁ RADA SLOVENSKEJ REPUBLIKY</w:t>
      </w:r>
    </w:p>
    <w:p w14:paraId="00000002" w14:textId="77777777" w:rsidR="00BE7634" w:rsidRDefault="0034757F">
      <w:pPr>
        <w:shd w:val="clear" w:color="auto" w:fill="FFFFFF"/>
        <w:spacing w:after="0" w:line="240" w:lineRule="auto"/>
        <w:jc w:val="center"/>
        <w:rPr>
          <w:rFonts w:ascii="Calibri" w:eastAsia="Calibri" w:hAnsi="Calibri" w:cs="Calibri"/>
          <w:color w:val="222222"/>
        </w:rPr>
      </w:pPr>
      <w:r>
        <w:rPr>
          <w:b/>
          <w:color w:val="222222"/>
        </w:rPr>
        <w:t>IX. volebné obdobie</w:t>
      </w:r>
    </w:p>
    <w:p w14:paraId="00000003" w14:textId="77777777" w:rsidR="00BE7634" w:rsidRDefault="0034757F">
      <w:pPr>
        <w:shd w:val="clear" w:color="auto" w:fill="FFFFFF"/>
        <w:spacing w:after="0" w:line="240" w:lineRule="auto"/>
        <w:jc w:val="center"/>
        <w:rPr>
          <w:rFonts w:ascii="Calibri" w:eastAsia="Calibri" w:hAnsi="Calibri" w:cs="Calibri"/>
          <w:color w:val="222222"/>
        </w:rPr>
      </w:pPr>
      <w:r>
        <w:rPr>
          <w:b/>
          <w:color w:val="222222"/>
        </w:rPr>
        <w:t>––––––––––––––––––––––––––––––––––––––––––––––––––––––––––––––––––––––––</w:t>
      </w:r>
    </w:p>
    <w:p w14:paraId="00000004" w14:textId="77777777" w:rsidR="00BE7634" w:rsidRDefault="00BE7634">
      <w:pPr>
        <w:shd w:val="clear" w:color="auto" w:fill="FFFFFF"/>
        <w:spacing w:after="0" w:line="240" w:lineRule="auto"/>
        <w:jc w:val="center"/>
        <w:rPr>
          <w:i/>
          <w:color w:val="222222"/>
        </w:rPr>
      </w:pPr>
    </w:p>
    <w:p w14:paraId="00000005" w14:textId="77777777" w:rsidR="00BE7634" w:rsidRDefault="00BE7634">
      <w:pPr>
        <w:shd w:val="clear" w:color="auto" w:fill="FFFFFF"/>
        <w:spacing w:after="0" w:line="240" w:lineRule="auto"/>
        <w:jc w:val="center"/>
        <w:rPr>
          <w:i/>
          <w:color w:val="222222"/>
        </w:rPr>
      </w:pPr>
    </w:p>
    <w:p w14:paraId="00000006" w14:textId="77777777" w:rsidR="00BE7634" w:rsidRDefault="0034757F">
      <w:pPr>
        <w:shd w:val="clear" w:color="auto" w:fill="FFFFFF"/>
        <w:spacing w:after="0" w:line="240" w:lineRule="auto"/>
        <w:jc w:val="center"/>
        <w:rPr>
          <w:i/>
          <w:color w:val="222222"/>
        </w:rPr>
      </w:pPr>
      <w:r>
        <w:rPr>
          <w:i/>
          <w:color w:val="222222"/>
        </w:rPr>
        <w:t>Návrh</w:t>
      </w:r>
    </w:p>
    <w:p w14:paraId="00000007" w14:textId="77777777" w:rsidR="00BE7634" w:rsidRDefault="00BE7634">
      <w:pPr>
        <w:shd w:val="clear" w:color="auto" w:fill="FFFFFF"/>
        <w:spacing w:after="0" w:line="240" w:lineRule="auto"/>
        <w:jc w:val="center"/>
        <w:rPr>
          <w:rFonts w:ascii="Calibri" w:eastAsia="Calibri" w:hAnsi="Calibri" w:cs="Calibri"/>
          <w:color w:val="222222"/>
        </w:rPr>
      </w:pPr>
    </w:p>
    <w:p w14:paraId="00000008" w14:textId="77777777" w:rsidR="00BE7634" w:rsidRDefault="00BE7634">
      <w:pPr>
        <w:shd w:val="clear" w:color="auto" w:fill="FFFFFF"/>
        <w:spacing w:after="0" w:line="240" w:lineRule="auto"/>
        <w:jc w:val="center"/>
        <w:rPr>
          <w:b/>
          <w:color w:val="222222"/>
        </w:rPr>
      </w:pPr>
    </w:p>
    <w:p w14:paraId="00000009" w14:textId="77777777" w:rsidR="00BE7634" w:rsidRDefault="0034757F">
      <w:pPr>
        <w:shd w:val="clear" w:color="auto" w:fill="FFFFFF"/>
        <w:spacing w:after="0" w:line="240" w:lineRule="auto"/>
        <w:jc w:val="center"/>
        <w:rPr>
          <w:b/>
          <w:color w:val="222222"/>
        </w:rPr>
      </w:pPr>
      <w:r>
        <w:rPr>
          <w:b/>
          <w:color w:val="222222"/>
        </w:rPr>
        <w:t>ZÁKON</w:t>
      </w:r>
    </w:p>
    <w:p w14:paraId="0000000A" w14:textId="77777777" w:rsidR="00BE7634" w:rsidRDefault="00BE7634">
      <w:pPr>
        <w:shd w:val="clear" w:color="auto" w:fill="FFFFFF"/>
        <w:spacing w:after="0" w:line="240" w:lineRule="auto"/>
        <w:jc w:val="center"/>
        <w:rPr>
          <w:rFonts w:ascii="Arial Narrow" w:eastAsia="Arial Narrow" w:hAnsi="Arial Narrow" w:cs="Arial Narrow"/>
          <w:color w:val="222222"/>
          <w:sz w:val="20"/>
          <w:szCs w:val="20"/>
        </w:rPr>
      </w:pPr>
    </w:p>
    <w:p w14:paraId="0000000B" w14:textId="77777777" w:rsidR="00BE7634" w:rsidRDefault="00BE7634">
      <w:pPr>
        <w:shd w:val="clear" w:color="auto" w:fill="FFFFFF"/>
        <w:spacing w:after="0" w:line="240" w:lineRule="auto"/>
        <w:jc w:val="center"/>
        <w:rPr>
          <w:color w:val="222222"/>
        </w:rPr>
      </w:pPr>
    </w:p>
    <w:p w14:paraId="0000000C" w14:textId="77777777" w:rsidR="00BE7634" w:rsidRDefault="0034757F">
      <w:pPr>
        <w:shd w:val="clear" w:color="auto" w:fill="FFFFFF"/>
        <w:spacing w:after="0" w:line="240" w:lineRule="auto"/>
        <w:jc w:val="center"/>
        <w:rPr>
          <w:color w:val="222222"/>
        </w:rPr>
      </w:pPr>
      <w:r>
        <w:rPr>
          <w:color w:val="222222"/>
        </w:rPr>
        <w:t>z .... 2024,</w:t>
      </w:r>
    </w:p>
    <w:p w14:paraId="0000000D" w14:textId="77777777" w:rsidR="00BE7634" w:rsidRDefault="00BE7634">
      <w:pPr>
        <w:shd w:val="clear" w:color="auto" w:fill="FFFFFF"/>
        <w:spacing w:after="0" w:line="240" w:lineRule="auto"/>
        <w:jc w:val="center"/>
        <w:rPr>
          <w:rFonts w:ascii="Arial Narrow" w:eastAsia="Arial Narrow" w:hAnsi="Arial Narrow" w:cs="Arial Narrow"/>
          <w:color w:val="222222"/>
          <w:sz w:val="20"/>
          <w:szCs w:val="20"/>
        </w:rPr>
      </w:pPr>
    </w:p>
    <w:p w14:paraId="0000000E" w14:textId="77777777" w:rsidR="00BE7634" w:rsidRDefault="0034757F">
      <w:pPr>
        <w:jc w:val="center"/>
        <w:rPr>
          <w:rFonts w:eastAsia="Times New Roman"/>
          <w:b/>
        </w:rPr>
      </w:pPr>
      <w:bookmarkStart w:id="0" w:name="_heading=h.gjdgxs" w:colFirst="0" w:colLast="0"/>
      <w:bookmarkEnd w:id="0"/>
      <w:r>
        <w:rPr>
          <w:rFonts w:eastAsia="Times New Roman"/>
          <w:b/>
        </w:rPr>
        <w:t xml:space="preserve">ktorým sa </w:t>
      </w:r>
      <w:r>
        <w:rPr>
          <w:rFonts w:eastAsia="Times New Roman"/>
          <w:b/>
        </w:rPr>
        <w:t xml:space="preserve">mení </w:t>
      </w:r>
      <w:r>
        <w:rPr>
          <w:rFonts w:eastAsia="Times New Roman"/>
          <w:b/>
        </w:rPr>
        <w:t>zákon č. 300/2005 Z. z. Trestný zákon v znení neskorších predpisov</w:t>
      </w:r>
    </w:p>
    <w:p w14:paraId="0000000F" w14:textId="77777777" w:rsidR="00BE7634" w:rsidRDefault="00BE7634">
      <w:pPr>
        <w:widowControl w:val="0"/>
        <w:pBdr>
          <w:top w:val="nil"/>
          <w:left w:val="nil"/>
          <w:bottom w:val="nil"/>
          <w:right w:val="nil"/>
          <w:between w:val="nil"/>
        </w:pBdr>
        <w:spacing w:after="0" w:line="240" w:lineRule="auto"/>
        <w:ind w:firstLine="708"/>
        <w:rPr>
          <w:rFonts w:eastAsia="Times New Roman"/>
          <w:color w:val="000000"/>
        </w:rPr>
      </w:pPr>
    </w:p>
    <w:p w14:paraId="00000010" w14:textId="77777777" w:rsidR="00BE7634" w:rsidRDefault="0034757F">
      <w:pPr>
        <w:widowControl w:val="0"/>
        <w:pBdr>
          <w:top w:val="nil"/>
          <w:left w:val="nil"/>
          <w:bottom w:val="nil"/>
          <w:right w:val="nil"/>
          <w:between w:val="nil"/>
        </w:pBdr>
        <w:spacing w:after="0" w:line="240" w:lineRule="auto"/>
        <w:ind w:firstLine="708"/>
        <w:rPr>
          <w:rFonts w:eastAsia="Times New Roman"/>
          <w:color w:val="000000"/>
        </w:rPr>
      </w:pPr>
      <w:r>
        <w:rPr>
          <w:rFonts w:eastAsia="Times New Roman"/>
          <w:color w:val="000000"/>
        </w:rPr>
        <w:t>Národná rada Slovenskej republiky sa uzniesla na tomto zákone:</w:t>
      </w:r>
    </w:p>
    <w:p w14:paraId="00000011" w14:textId="77777777" w:rsidR="00BE7634" w:rsidRDefault="00BE7634">
      <w:pPr>
        <w:spacing w:after="0"/>
        <w:jc w:val="center"/>
        <w:rPr>
          <w:b/>
        </w:rPr>
      </w:pPr>
    </w:p>
    <w:p w14:paraId="00000012" w14:textId="77777777" w:rsidR="00BE7634" w:rsidRDefault="0034757F">
      <w:pPr>
        <w:spacing w:after="0"/>
        <w:jc w:val="center"/>
        <w:rPr>
          <w:b/>
        </w:rPr>
      </w:pPr>
      <w:r>
        <w:rPr>
          <w:b/>
        </w:rPr>
        <w:t>Čl. I</w:t>
      </w:r>
    </w:p>
    <w:p w14:paraId="00000013" w14:textId="77777777" w:rsidR="00BE7634" w:rsidRDefault="00BE7634">
      <w:pPr>
        <w:spacing w:after="0" w:line="240" w:lineRule="auto"/>
        <w:jc w:val="center"/>
        <w:rPr>
          <w:b/>
        </w:rPr>
      </w:pPr>
    </w:p>
    <w:p w14:paraId="00000014" w14:textId="77777777" w:rsidR="00BE7634" w:rsidRDefault="0034757F">
      <w:pPr>
        <w:spacing w:after="0" w:line="240" w:lineRule="auto"/>
        <w:ind w:firstLine="708"/>
        <w:jc w:val="both"/>
        <w:rPr>
          <w:rFonts w:eastAsia="Times New Roman"/>
          <w:color w:val="000000"/>
        </w:rPr>
      </w:pPr>
      <w:bookmarkStart w:id="1" w:name="_heading=h.30j0zll" w:colFirst="0" w:colLast="0"/>
      <w:bookmarkEnd w:id="1"/>
      <w:r>
        <w:rPr>
          <w:rFonts w:eastAsia="Times New Roman"/>
          <w:color w:val="000000"/>
          <w:highlight w:val="white"/>
        </w:rPr>
        <w:t xml:space="preserve">Zákon č. 300/2005 Z. z. Trestný zákon v znení zákona č. 650/2005 Z. z., zákona č. 692/2006 Z. z., zákona č. 218/2007 Z. z., zákona č. 491/2008 Z. z., zákona č. 497/2008 Z. z., zákona č. 498/2008 Z. z., zákona č. 59/2009 Z. z., zákona č. 257/2009 Z. z., zákona č. 317/2009 Z. z., zákona č. 492/2009 Z. z., zákona č. 576/2009 Z. z., zákona č. 224/2010 Z. z., zákona č. 547/2010 Z. z., zákona č. 33/2011 Z. z., zákona č. 262/2011 Z. z., zákona č. 313/2011 Z. z., zákona č. 246/2012 Z. z., zákona č. 334/2012 Z. z., </w:t>
      </w:r>
      <w:r>
        <w:rPr>
          <w:rFonts w:eastAsia="Times New Roman"/>
          <w:color w:val="000000"/>
          <w:highlight w:val="white"/>
        </w:rPr>
        <w:t>nálezu Ústavného súdu Slovenskej republiky č. 428/2012 Z. z., uznesenia Ústavného súdu Slovenskej republiky č. 189/2013 Z. z., zákona č. 204/2013 Z. z., zákona č. 1/2014 Z. z., nálezu Ústavného súdu Slovenskej republiky č. 260/2014 Z. z., zákona č. 73/2015 Z. z., zákona č. 78/2015 Z. z., zákona č. 87/2015 Z. z., zákona č. 174/2015 Z. z., zákona č. 397/2015 Z. z., zákona č. 398/2015 Z. z., zákona č. 440/2015 Z. z., zákona č. 444/2015 Z. z., zákona č. 91/2016 Z. z., zákona č. 125/2016 Z. z., zákona č. 316/201</w:t>
      </w:r>
      <w:r>
        <w:rPr>
          <w:rFonts w:eastAsia="Times New Roman"/>
          <w:color w:val="000000"/>
          <w:highlight w:val="white"/>
        </w:rPr>
        <w:t>6 Z. z., zákona č. 264/2017 Z. z., zákona č. 274/2017 Z. z, zákona č. 161/2018 Z. z., zákona č. 321/2018 Z. z., zákona č. 35/2019 Z. z., nálezu Ústavného súdu Slovenskej republiky č. 38/2019 Z. z., zákona č. 214/2019 Z. z., zákona č. 420/2019 Z. z., zákona č. 474/2019 Z. z., zákona č. 288/2020 Z. z., zákona č. 312/2020 Z. z., zákona č. 236/2021 Z. z., zákona č. 357/2021 Z. z., zákona č. 105/2022 Z. z., zákona č. 111/2022 Z. z., zákona č. 117/2023 Z. z., nálezu Ústavného súdu Slovenskej republiky č. 402/2023</w:t>
      </w:r>
      <w:r>
        <w:rPr>
          <w:rFonts w:eastAsia="Times New Roman"/>
          <w:color w:val="000000"/>
          <w:highlight w:val="white"/>
        </w:rPr>
        <w:t xml:space="preserve"> Z. z., zákona č. 40/2024 Z. z., uznesenia Ústavného súdu Slovenskej republiky č. 41/2024 Z. z., zákona č. 47/2024 Z. z. a zákona č. 214/2024 Z. z. </w:t>
      </w:r>
      <w:r>
        <w:rPr>
          <w:rFonts w:eastAsia="Times New Roman"/>
          <w:color w:val="000000"/>
        </w:rPr>
        <w:t>sa mení takto:</w:t>
      </w:r>
    </w:p>
    <w:p w14:paraId="00000015" w14:textId="77777777" w:rsidR="00BE7634" w:rsidRDefault="00BE7634">
      <w:pPr>
        <w:spacing w:after="0" w:line="240" w:lineRule="auto"/>
        <w:jc w:val="both"/>
        <w:rPr>
          <w:color w:val="494949"/>
          <w:highlight w:val="white"/>
        </w:rPr>
      </w:pPr>
    </w:p>
    <w:p w14:paraId="00000016" w14:textId="77777777" w:rsidR="00BE7634" w:rsidRDefault="0034757F">
      <w:pPr>
        <w:pBdr>
          <w:top w:val="nil"/>
          <w:left w:val="nil"/>
          <w:bottom w:val="nil"/>
          <w:right w:val="nil"/>
          <w:between w:val="nil"/>
        </w:pBdr>
        <w:spacing w:after="0" w:line="240" w:lineRule="auto"/>
        <w:ind w:firstLine="708"/>
        <w:jc w:val="both"/>
        <w:rPr>
          <w:rFonts w:eastAsia="Times New Roman"/>
          <w:color w:val="000000"/>
        </w:rPr>
      </w:pPr>
      <w:r>
        <w:rPr>
          <w:rFonts w:eastAsia="Times New Roman"/>
          <w:color w:val="000000"/>
        </w:rPr>
        <w:t xml:space="preserve">V § 125 odsek 1 znie: </w:t>
      </w:r>
    </w:p>
    <w:p w14:paraId="00000017" w14:textId="77777777" w:rsidR="00BE7634" w:rsidRDefault="00BE7634">
      <w:pPr>
        <w:pBdr>
          <w:top w:val="nil"/>
          <w:left w:val="nil"/>
          <w:bottom w:val="nil"/>
          <w:right w:val="nil"/>
          <w:between w:val="nil"/>
        </w:pBdr>
        <w:spacing w:after="0" w:line="240" w:lineRule="auto"/>
        <w:ind w:firstLine="708"/>
        <w:jc w:val="both"/>
        <w:rPr>
          <w:rFonts w:eastAsia="Times New Roman"/>
          <w:color w:val="000000"/>
        </w:rPr>
      </w:pPr>
    </w:p>
    <w:p w14:paraId="00000018" w14:textId="77777777" w:rsidR="00BE7634" w:rsidRDefault="0034757F">
      <w:pPr>
        <w:pBdr>
          <w:top w:val="nil"/>
          <w:left w:val="nil"/>
          <w:bottom w:val="nil"/>
          <w:right w:val="nil"/>
          <w:between w:val="nil"/>
        </w:pBdr>
        <w:spacing w:after="0" w:line="240" w:lineRule="auto"/>
        <w:ind w:firstLine="708"/>
        <w:jc w:val="both"/>
        <w:rPr>
          <w:rFonts w:eastAsia="Times New Roman"/>
          <w:color w:val="000000"/>
        </w:rPr>
      </w:pPr>
      <w:r>
        <w:t>„(1) Škodou malou sa rozumie škoda prevyšujúca sumu 500 eur. Škodou väčšou sa rozumie škoda prevyšujúca sumu 5 000 eur. Značnou škodou sa rozumie škoda prevyšujúca sumu 50 000 eur. Škodou veľkého rozsahu sa rozumie škoda prevyšujúca sumu 250 000 eur. Škodou mimoriadneho rozsahu sa rozumie škoda prevyšujúca sumu 1 000 000 eur. Tieto hľadiská sa použijú rovnako na určenie výšky prospechu, hodnoty veci a rozsahu činu. Pri škode, rozsahu, prospechu prevyšujúceho sumu 1 000 000 eur sa dolná hranica trestnej sadz</w:t>
      </w:r>
      <w:r>
        <w:t>by zvyšuje o polovicu“.</w:t>
      </w:r>
    </w:p>
    <w:p w14:paraId="00000019" w14:textId="77777777" w:rsidR="00BE7634" w:rsidRDefault="00BE7634">
      <w:pPr>
        <w:spacing w:after="0" w:line="240" w:lineRule="auto"/>
        <w:jc w:val="both"/>
        <w:rPr>
          <w:highlight w:val="white"/>
        </w:rPr>
      </w:pPr>
    </w:p>
    <w:p w14:paraId="0000001A" w14:textId="77777777" w:rsidR="00BE7634" w:rsidRDefault="00BE7634">
      <w:pPr>
        <w:spacing w:after="0" w:line="240" w:lineRule="auto"/>
        <w:jc w:val="both"/>
        <w:rPr>
          <w:highlight w:val="white"/>
        </w:rPr>
      </w:pPr>
    </w:p>
    <w:p w14:paraId="0000001B" w14:textId="77777777" w:rsidR="00BE7634" w:rsidRDefault="0034757F">
      <w:pPr>
        <w:spacing w:after="0"/>
        <w:jc w:val="center"/>
        <w:rPr>
          <w:b/>
        </w:rPr>
      </w:pPr>
      <w:r>
        <w:rPr>
          <w:b/>
        </w:rPr>
        <w:lastRenderedPageBreak/>
        <w:t>Čl. II</w:t>
      </w:r>
    </w:p>
    <w:p w14:paraId="0000001C" w14:textId="77777777" w:rsidR="00BE7634" w:rsidRDefault="00BE7634">
      <w:pPr>
        <w:pBdr>
          <w:top w:val="nil"/>
          <w:left w:val="nil"/>
          <w:bottom w:val="nil"/>
          <w:right w:val="nil"/>
          <w:between w:val="nil"/>
        </w:pBdr>
        <w:spacing w:after="0"/>
        <w:ind w:left="720"/>
        <w:rPr>
          <w:rFonts w:eastAsia="Times New Roman"/>
          <w:color w:val="000000"/>
        </w:rPr>
      </w:pPr>
    </w:p>
    <w:p w14:paraId="0000001D" w14:textId="77777777" w:rsidR="00BE7634" w:rsidRDefault="0034757F">
      <w:pPr>
        <w:pBdr>
          <w:top w:val="nil"/>
          <w:left w:val="nil"/>
          <w:bottom w:val="nil"/>
          <w:right w:val="nil"/>
          <w:between w:val="nil"/>
        </w:pBdr>
        <w:ind w:left="720"/>
        <w:rPr>
          <w:rFonts w:eastAsia="Times New Roman"/>
          <w:color w:val="000000"/>
        </w:rPr>
      </w:pPr>
      <w:r>
        <w:rPr>
          <w:rFonts w:eastAsia="Times New Roman"/>
          <w:color w:val="000000"/>
        </w:rPr>
        <w:t xml:space="preserve">Tento zákon nadobúda účinnosť </w:t>
      </w:r>
      <w:r>
        <w:t>dňom vyhlásenia</w:t>
      </w:r>
      <w:r>
        <w:rPr>
          <w:rFonts w:eastAsia="Times New Roman"/>
          <w:color w:val="000000"/>
        </w:rPr>
        <w:t>.</w:t>
      </w:r>
    </w:p>
    <w:sectPr w:rsidR="00BE7634">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AD1B6" w14:textId="77777777" w:rsidR="0034757F" w:rsidRDefault="0034757F">
      <w:pPr>
        <w:spacing w:after="0" w:line="240" w:lineRule="auto"/>
      </w:pPr>
      <w:r>
        <w:separator/>
      </w:r>
    </w:p>
  </w:endnote>
  <w:endnote w:type="continuationSeparator" w:id="0">
    <w:p w14:paraId="50E7FB05" w14:textId="77777777" w:rsidR="0034757F" w:rsidRDefault="00347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359A25F-AA97-43C8-A3E8-7E03E8290E4D}"/>
    <w:embedBold r:id="rId2" w:fontKey="{6DFB89DC-6A76-4160-A51A-A5AABF354741}"/>
    <w:embedItalic r:id="rId3" w:fontKey="{9B9364EF-040C-4B7A-9F15-748C4C204D2C}"/>
  </w:font>
  <w:font w:name="Segoe UI">
    <w:panose1 w:val="020B0502040204020203"/>
    <w:charset w:val="00"/>
    <w:family w:val="roman"/>
    <w:notTrueType/>
    <w:pitch w:val="default"/>
    <w:embedRegular r:id="rId4" w:fontKey="{370D89BC-A52A-4235-AC5A-1D7AEABBD0A9}"/>
  </w:font>
  <w:font w:name="Georgia">
    <w:panose1 w:val="02040502050405020303"/>
    <w:charset w:val="EE"/>
    <w:family w:val="roman"/>
    <w:pitch w:val="variable"/>
    <w:sig w:usb0="00000287" w:usb1="00000000" w:usb2="00000000" w:usb3="00000000" w:csb0="0000009F" w:csb1="00000000"/>
    <w:embedRegular r:id="rId5" w:fontKey="{F1CCCD4E-F95F-4976-B6AD-B0727A02BACA}"/>
    <w:embedItalic r:id="rId6" w:fontKey="{3FDBDF67-768B-4982-8C4E-A9B7599C5B01}"/>
  </w:font>
  <w:font w:name="Arial Narrow">
    <w:panose1 w:val="020B0606020202030204"/>
    <w:charset w:val="EE"/>
    <w:family w:val="swiss"/>
    <w:pitch w:val="variable"/>
    <w:sig w:usb0="00000287" w:usb1="00000800" w:usb2="00000000" w:usb3="00000000" w:csb0="0000009F" w:csb1="00000000"/>
    <w:embedRegular r:id="rId7" w:fontKey="{A3960F56-5DBC-4CF0-B0A5-9519AF5818A1}"/>
  </w:font>
  <w:font w:name="Calibri Light">
    <w:panose1 w:val="020F0302020204030204"/>
    <w:charset w:val="EE"/>
    <w:family w:val="swiss"/>
    <w:pitch w:val="variable"/>
    <w:sig w:usb0="E4002EFF" w:usb1="C200247B" w:usb2="00000009" w:usb3="00000000" w:csb0="000001FF" w:csb1="00000000"/>
    <w:embedRegular r:id="rId8" w:fontKey="{8D75C46A-2DAB-4A02-B4D4-F672F6046C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E" w14:textId="77777777" w:rsidR="00BE7634" w:rsidRDefault="00BE7634">
    <w:pPr>
      <w:pBdr>
        <w:top w:val="nil"/>
        <w:left w:val="nil"/>
        <w:bottom w:val="nil"/>
        <w:right w:val="nil"/>
        <w:between w:val="nil"/>
      </w:pBdr>
      <w:tabs>
        <w:tab w:val="center" w:pos="4536"/>
        <w:tab w:val="right" w:pos="9072"/>
      </w:tabs>
      <w:spacing w:after="0" w:line="240" w:lineRule="auto"/>
      <w:jc w:val="center"/>
      <w:rPr>
        <w:rFonts w:eastAsia="Times New Roman"/>
        <w:color w:val="000000"/>
      </w:rPr>
    </w:pPr>
  </w:p>
  <w:p w14:paraId="0000001F" w14:textId="77777777" w:rsidR="00BE7634" w:rsidRDefault="00BE7634">
    <w:pPr>
      <w:pBdr>
        <w:top w:val="nil"/>
        <w:left w:val="nil"/>
        <w:bottom w:val="nil"/>
        <w:right w:val="nil"/>
        <w:between w:val="nil"/>
      </w:pBdr>
      <w:tabs>
        <w:tab w:val="center" w:pos="4536"/>
        <w:tab w:val="right" w:pos="9072"/>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30681" w14:textId="77777777" w:rsidR="0034757F" w:rsidRDefault="0034757F">
      <w:pPr>
        <w:spacing w:after="0" w:line="240" w:lineRule="auto"/>
      </w:pPr>
      <w:r>
        <w:separator/>
      </w:r>
    </w:p>
  </w:footnote>
  <w:footnote w:type="continuationSeparator" w:id="0">
    <w:p w14:paraId="1ED26710" w14:textId="77777777" w:rsidR="0034757F" w:rsidRDefault="003475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634"/>
    <w:rsid w:val="0034757F"/>
    <w:rsid w:val="005920E5"/>
    <w:rsid w:val="00BE763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BB85AAD-68CF-40BF-9551-4AAE06AC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eastAsiaTheme="minorHAnsi"/>
      <w:lang w:eastAsia="en-US"/>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Textbubliny">
    <w:name w:val="Balloon Text"/>
    <w:basedOn w:val="Normlny"/>
    <w:link w:val="TextbublinyChar"/>
    <w:uiPriority w:val="99"/>
    <w:semiHidden/>
    <w:unhideWhenUsed/>
    <w:qFormat/>
    <w:pPr>
      <w:spacing w:after="0" w:line="240" w:lineRule="auto"/>
    </w:pPr>
    <w:rPr>
      <w:rFonts w:ascii="Segoe UI" w:hAnsi="Segoe UI" w:cs="Segoe UI"/>
      <w:sz w:val="18"/>
      <w:szCs w:val="18"/>
    </w:rPr>
  </w:style>
  <w:style w:type="character" w:styleId="Odkaznakomentr">
    <w:name w:val="annotation reference"/>
    <w:basedOn w:val="Predvolenpsmoodseku"/>
    <w:uiPriority w:val="99"/>
    <w:semiHidden/>
    <w:unhideWhenUsed/>
    <w:qFormat/>
    <w:rPr>
      <w:sz w:val="16"/>
      <w:szCs w:val="16"/>
    </w:rPr>
  </w:style>
  <w:style w:type="paragraph" w:styleId="Textkomentra">
    <w:name w:val="annotation text"/>
    <w:basedOn w:val="Normlny"/>
    <w:link w:val="TextkomentraChar"/>
    <w:uiPriority w:val="99"/>
    <w:unhideWhenUsed/>
    <w:qFormat/>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Pr>
      <w:b/>
      <w:bCs/>
    </w:rPr>
  </w:style>
  <w:style w:type="paragraph" w:styleId="Pta">
    <w:name w:val="footer"/>
    <w:basedOn w:val="Normlny"/>
    <w:link w:val="PtaChar"/>
    <w:uiPriority w:val="99"/>
    <w:unhideWhenUsed/>
    <w:qFormat/>
    <w:pPr>
      <w:tabs>
        <w:tab w:val="center" w:pos="4536"/>
        <w:tab w:val="right" w:pos="9072"/>
      </w:tabs>
      <w:spacing w:after="0" w:line="240" w:lineRule="auto"/>
    </w:pPr>
  </w:style>
  <w:style w:type="paragraph" w:styleId="Hlavika">
    <w:name w:val="header"/>
    <w:basedOn w:val="Normlny"/>
    <w:link w:val="HlavikaChar"/>
    <w:uiPriority w:val="99"/>
    <w:unhideWhenUsed/>
    <w:qFormat/>
    <w:pPr>
      <w:tabs>
        <w:tab w:val="center" w:pos="4536"/>
        <w:tab w:val="right" w:pos="9072"/>
      </w:tabs>
      <w:spacing w:after="0" w:line="240" w:lineRule="auto"/>
    </w:pPr>
  </w:style>
  <w:style w:type="character" w:styleId="PremennHTML">
    <w:name w:val="HTML Variable"/>
    <w:basedOn w:val="Predvolenpsmoodseku"/>
    <w:uiPriority w:val="99"/>
    <w:semiHidden/>
    <w:unhideWhenUsed/>
    <w:qFormat/>
    <w:rPr>
      <w:i/>
      <w:iCs/>
    </w:rPr>
  </w:style>
  <w:style w:type="character" w:styleId="Hypertextovprepojenie">
    <w:name w:val="Hyperlink"/>
    <w:basedOn w:val="Predvolenpsmoodseku"/>
    <w:uiPriority w:val="99"/>
    <w:unhideWhenUsed/>
    <w:qFormat/>
    <w:rPr>
      <w:color w:val="0000FF"/>
      <w:u w:val="single"/>
    </w:rPr>
  </w:style>
  <w:style w:type="paragraph" w:styleId="Normlnywebov">
    <w:name w:val="Normal (Web)"/>
    <w:basedOn w:val="Normlny"/>
    <w:uiPriority w:val="99"/>
    <w:semiHidden/>
    <w:unhideWhenUsed/>
    <w:qFormat/>
    <w:pPr>
      <w:spacing w:before="100" w:beforeAutospacing="1" w:after="100" w:afterAutospacing="1" w:line="240" w:lineRule="auto"/>
    </w:pPr>
    <w:rPr>
      <w:rFonts w:eastAsia="Times New Roman"/>
      <w:lang w:eastAsia="sk-SK"/>
    </w:rPr>
  </w:style>
  <w:style w:type="table" w:styleId="Mriekatabuky">
    <w:name w:val="Table Grid"/>
    <w:basedOn w:val="Normlnatabuka"/>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pPr>
      <w:ind w:left="720"/>
      <w:contextualSpacing/>
    </w:pPr>
  </w:style>
  <w:style w:type="character" w:customStyle="1" w:styleId="HlavikaChar">
    <w:name w:val="Hlavička Char"/>
    <w:basedOn w:val="Predvolenpsmoodseku"/>
    <w:link w:val="Hlavika"/>
    <w:uiPriority w:val="99"/>
    <w:qFormat/>
  </w:style>
  <w:style w:type="character" w:customStyle="1" w:styleId="PtaChar">
    <w:name w:val="Päta Char"/>
    <w:basedOn w:val="Predvolenpsmoodseku"/>
    <w:link w:val="Pta"/>
    <w:uiPriority w:val="99"/>
    <w:qFormat/>
  </w:style>
  <w:style w:type="character" w:customStyle="1" w:styleId="TextbublinyChar">
    <w:name w:val="Text bubliny Char"/>
    <w:basedOn w:val="Predvolenpsmoodseku"/>
    <w:link w:val="Textbubliny"/>
    <w:uiPriority w:val="99"/>
    <w:semiHidden/>
    <w:qFormat/>
    <w:rPr>
      <w:rFonts w:ascii="Segoe UI" w:hAnsi="Segoe UI" w:cs="Segoe UI"/>
      <w:sz w:val="18"/>
      <w:szCs w:val="18"/>
    </w:rPr>
  </w:style>
  <w:style w:type="character" w:customStyle="1" w:styleId="TextkomentraChar">
    <w:name w:val="Text komentára Char"/>
    <w:basedOn w:val="Predvolenpsmoodseku"/>
    <w:link w:val="Textkomentra"/>
    <w:uiPriority w:val="99"/>
    <w:qFormat/>
    <w:rPr>
      <w:sz w:val="20"/>
      <w:szCs w:val="20"/>
    </w:rPr>
  </w:style>
  <w:style w:type="character" w:customStyle="1" w:styleId="PredmetkomentraChar">
    <w:name w:val="Predmet komentára Char"/>
    <w:basedOn w:val="TextkomentraChar"/>
    <w:link w:val="Predmetkomentra"/>
    <w:uiPriority w:val="99"/>
    <w:semiHidden/>
    <w:qFormat/>
    <w:rPr>
      <w:b/>
      <w:bCs/>
      <w:sz w:val="20"/>
      <w:szCs w:val="20"/>
    </w:rPr>
  </w:style>
  <w:style w:type="paragraph" w:customStyle="1" w:styleId="Zkladntext">
    <w:name w:val="Základní text"/>
    <w:qFormat/>
    <w:pPr>
      <w:widowControl w:val="0"/>
      <w:snapToGrid w:val="0"/>
      <w:spacing w:after="0" w:line="240" w:lineRule="auto"/>
    </w:pPr>
    <w:rPr>
      <w:color w:val="000000"/>
      <w:szCs w:val="20"/>
    </w:rPr>
  </w:style>
  <w:style w:type="character" w:customStyle="1" w:styleId="ams">
    <w:name w:val="ams"/>
    <w:basedOn w:val="Predvolenpsmoodseku"/>
    <w:qFormat/>
  </w:style>
  <w:style w:type="character" w:customStyle="1" w:styleId="Nevyrieenzmienka1">
    <w:name w:val="Nevyriešená zmienka1"/>
    <w:basedOn w:val="Predvolenpsmoodseku"/>
    <w:uiPriority w:val="99"/>
    <w:semiHidden/>
    <w:unhideWhenUsed/>
    <w:qFormat/>
    <w:rPr>
      <w:color w:val="605E5C"/>
      <w:shd w:val="clear" w:color="auto" w:fill="E1DFDD"/>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mPu7TTJjVgS1kiwXrOBs9uSgw==">CgMxLjAyCGguZ2pkZ3hzMgloLjMwajB6bGw4AHIhMWlCS05fT2ZtQ1FtWWxyV3RONWl3cFJidWw4bmZFT2xv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2182</Characters>
  <Application>Microsoft Office Word</Application>
  <DocSecurity>0</DocSecurity>
  <Lines>54</Lines>
  <Paragraphs>15</Paragraphs>
  <ScaleCrop>false</ScaleCrop>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2020</dc:creator>
  <cp:lastModifiedBy>Andrej Pitonak</cp:lastModifiedBy>
  <cp:revision>2</cp:revision>
  <dcterms:created xsi:type="dcterms:W3CDTF">2024-08-23T12:49:00Z</dcterms:created>
  <dcterms:modified xsi:type="dcterms:W3CDTF">2024-08-23T12:49:00Z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67b883a947a55f32f99670069239464e4955b67c2b49755eb1e844023292452c</vt:lpwstr>
  </property>
  <property fmtid="{D5CDD505-2E9C-101B-9397-08002B2CF9AE}" pid="3" name="KSOProductBuildVer">
    <vt:lpwstr>1033-12.2.0.17562</vt:lpwstr>
  </property>
  <property fmtid="{D5CDD505-2E9C-101B-9397-08002B2CF9AE}" pid="4" name="ICV">
    <vt:lpwstr>B1CE382E19B64D3EA6EB564E598A651A_12</vt:lpwstr>
  </property>
</Properties>
</file>