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36D28" w14:textId="77777777" w:rsidR="004A1363" w:rsidRDefault="006B7A03">
      <w:pPr>
        <w:spacing w:after="0"/>
        <w:ind w:firstLine="708"/>
        <w:jc w:val="center"/>
        <w:rPr>
          <w:b/>
        </w:rPr>
      </w:pPr>
      <w:r>
        <w:rPr>
          <w:b/>
        </w:rPr>
        <w:t>D ô v o d o v á   s p r á v a</w:t>
      </w:r>
    </w:p>
    <w:p w14:paraId="19C36D29" w14:textId="77777777" w:rsidR="004A1363" w:rsidRDefault="004A1363">
      <w:pPr>
        <w:spacing w:after="0"/>
        <w:ind w:firstLine="708"/>
        <w:jc w:val="center"/>
        <w:rPr>
          <w:b/>
        </w:rPr>
      </w:pPr>
    </w:p>
    <w:p w14:paraId="19C36D2A" w14:textId="77777777" w:rsidR="004A1363" w:rsidRDefault="006B7A03">
      <w:pPr>
        <w:numPr>
          <w:ilvl w:val="0"/>
          <w:numId w:val="1"/>
        </w:numPr>
        <w:pBdr>
          <w:top w:val="nil"/>
          <w:left w:val="nil"/>
          <w:bottom w:val="nil"/>
          <w:right w:val="nil"/>
          <w:between w:val="nil"/>
        </w:pBdr>
        <w:spacing w:after="0"/>
        <w:jc w:val="both"/>
        <w:rPr>
          <w:b/>
          <w:color w:val="000000"/>
        </w:rPr>
      </w:pPr>
      <w:r>
        <w:rPr>
          <w:b/>
          <w:color w:val="000000"/>
        </w:rPr>
        <w:t xml:space="preserve">Všeobecná časť </w:t>
      </w:r>
    </w:p>
    <w:p w14:paraId="19C36D2B" w14:textId="77777777" w:rsidR="004A1363" w:rsidRDefault="004A1363">
      <w:pPr>
        <w:spacing w:after="0" w:line="240" w:lineRule="auto"/>
        <w:ind w:firstLine="709"/>
        <w:jc w:val="both"/>
      </w:pPr>
    </w:p>
    <w:p w14:paraId="19C36D2C" w14:textId="77777777" w:rsidR="004A1363" w:rsidRDefault="006B7A03">
      <w:pPr>
        <w:ind w:firstLine="708"/>
        <w:jc w:val="both"/>
      </w:pPr>
      <w:r>
        <w:rPr>
          <w:color w:val="000000"/>
        </w:rPr>
        <w:t>Návrh zákona, ktorým sa mení zákon Slovenskej národnej rady č. 372/1990 Zb. o priestupkoch v znení neskorších predpisov,</w:t>
      </w:r>
      <w:r>
        <w:rPr>
          <w:b/>
          <w:color w:val="000000"/>
        </w:rPr>
        <w:t xml:space="preserve"> </w:t>
      </w:r>
      <w:r>
        <w:t xml:space="preserve">predkladajú na rokovanie Národnej rady Slovenskej republiky poslanci Národnej rady Slovenskej republiky Mária Kolíková, Marián Viskupič, Juraj Krúpa, Vladimíra </w:t>
      </w:r>
      <w:proofErr w:type="spellStart"/>
      <w:r>
        <w:t>Marcinková</w:t>
      </w:r>
      <w:proofErr w:type="spellEnd"/>
      <w:r>
        <w:t xml:space="preserve">, Ondrej Dostál a Jana </w:t>
      </w:r>
      <w:proofErr w:type="spellStart"/>
      <w:r>
        <w:t>Bittó</w:t>
      </w:r>
      <w:proofErr w:type="spellEnd"/>
      <w:r>
        <w:t xml:space="preserve"> </w:t>
      </w:r>
      <w:proofErr w:type="spellStart"/>
      <w:r>
        <w:t>Cigániková</w:t>
      </w:r>
      <w:proofErr w:type="spellEnd"/>
      <w:r>
        <w:t>.</w:t>
      </w:r>
    </w:p>
    <w:p w14:paraId="19C36D2D" w14:textId="3B402318" w:rsidR="004A1363" w:rsidRDefault="006B7A03">
      <w:pPr>
        <w:shd w:val="clear" w:color="auto" w:fill="FFFFFF"/>
        <w:spacing w:after="0" w:line="240" w:lineRule="auto"/>
        <w:ind w:firstLine="709"/>
        <w:jc w:val="both"/>
        <w:rPr>
          <w:b/>
        </w:rPr>
      </w:pPr>
      <w:r>
        <w:rPr>
          <w:b/>
        </w:rPr>
        <w:t xml:space="preserve">Cieľom navrhovanej právnej úpravy je zvýšiť hornú hranicu pokuty za priestupky </w:t>
      </w:r>
      <w:r w:rsidR="00A529D3">
        <w:rPr>
          <w:b/>
        </w:rPr>
        <w:t>proti</w:t>
      </w:r>
      <w:r>
        <w:rPr>
          <w:b/>
        </w:rPr>
        <w:t xml:space="preserve"> majetku z 331 eur na 2000 eur podľa vzoru Českej republiky, a to v súvislosti s novelou </w:t>
      </w:r>
      <w:r w:rsidR="00221876">
        <w:rPr>
          <w:b/>
        </w:rPr>
        <w:t>T</w:t>
      </w:r>
      <w:r>
        <w:rPr>
          <w:b/>
        </w:rPr>
        <w:t>restného zákona účinnou od 6. augusta 2024.</w:t>
      </w:r>
    </w:p>
    <w:p w14:paraId="19C36D2E" w14:textId="77777777" w:rsidR="004A1363" w:rsidRDefault="004A1363">
      <w:pPr>
        <w:shd w:val="clear" w:color="auto" w:fill="FFFFFF"/>
        <w:spacing w:after="0" w:line="240" w:lineRule="auto"/>
        <w:ind w:firstLine="709"/>
        <w:jc w:val="both"/>
        <w:rPr>
          <w:b/>
        </w:rPr>
      </w:pPr>
    </w:p>
    <w:p w14:paraId="19C36D2F" w14:textId="5E765665" w:rsidR="004A1363" w:rsidRDefault="006B7A03">
      <w:pPr>
        <w:shd w:val="clear" w:color="auto" w:fill="FFFFFF"/>
        <w:spacing w:after="0" w:line="240" w:lineRule="auto"/>
        <w:ind w:firstLine="709"/>
        <w:jc w:val="both"/>
      </w:pPr>
      <w:r>
        <w:t xml:space="preserve">Novelou </w:t>
      </w:r>
      <w:r w:rsidR="00221876">
        <w:t>T</w:t>
      </w:r>
      <w:r>
        <w:t xml:space="preserve">restného zákona č. 40/2024 Z. z., ktorá nadobudla v spojení s nálezom Ústavného súdu č. 402/2023 Z. z. účinnosť dňa 6. augusta 2024, došlo k zavedeniu právnej úpravy, podľa ktorej sa v § 125 ods. 1 zvýšila hranica výšky malej škody z doterajších 266 eur na 700 eur. Zároveň došlo k zrušeniu ustanovenia § 212 ods. 1 písm. g) zákona č. 300/2005 Z. z. </w:t>
      </w:r>
      <w:r w:rsidR="00050769">
        <w:t>T</w:t>
      </w:r>
      <w:r>
        <w:t>restný zákon, podľa ktorého bolo trestným činom aj také konanie, kde došlo k odcudzeniu cudzej veci aj nižšej hodnoty než 266 eur, ak bol páchateľ za obdobný čin v predchádzajúcich dvanástich mesiacoch postihnutý. Zároveň však nedošlo k zmene ustanovenia § 50 ods. 2 zákona Slovenskej národnej rady č. 372/1990 Zb. o priestupkoch, ktorý upravuje maximálnu sankciu za priestupky proti majetku vo výške 331 eur.</w:t>
      </w:r>
    </w:p>
    <w:p w14:paraId="19C36D30" w14:textId="77777777" w:rsidR="004A1363" w:rsidRDefault="004A1363">
      <w:pPr>
        <w:shd w:val="clear" w:color="auto" w:fill="FFFFFF"/>
        <w:spacing w:after="0" w:line="240" w:lineRule="auto"/>
        <w:ind w:firstLine="709"/>
        <w:jc w:val="both"/>
      </w:pPr>
    </w:p>
    <w:p w14:paraId="19C36D31" w14:textId="7AE10D2D" w:rsidR="004A1363" w:rsidRDefault="006B7A03">
      <w:pPr>
        <w:shd w:val="clear" w:color="auto" w:fill="FFFFFF"/>
        <w:spacing w:after="0" w:line="240" w:lineRule="auto"/>
        <w:ind w:firstLine="709"/>
        <w:jc w:val="both"/>
      </w:pPr>
      <w:r>
        <w:t xml:space="preserve">V dôsledku toho nastala situácia, keď za krádež (a niektoré ďalšie skutky proti majetku), pri ktorých hodnota škody nepresahuje výšku 700 eur, nejde o trestný čin, a to ani ak by bol tento skutok spáchaný opakovane (riešením však určite nie je znovuzavedenie tzv. </w:t>
      </w:r>
      <w:proofErr w:type="spellStart"/>
      <w:r>
        <w:t>horalkového</w:t>
      </w:r>
      <w:proofErr w:type="spellEnd"/>
      <w:r>
        <w:t xml:space="preserve"> trestného činu), ale len o priestupok, za ktorý hrozí neprimerane nízka sankcia, a to len v maximálnej výške 331 eur. Takáto sankcia nezodpovedá spoločenskej nebezpečnosti uvedeného konania, nemá odstrašujúci účinok na páchateľa ani v minimálnej miere, ba dokonca môže nabádať k páchaniu trestnej činnosti. Z krátkej praxe aplikácie novely trestného zákona účinnej od 6. augusta 2024 je medializovaný zvýšený počet krádeží v supermarketoch a na iných miestach (komplexná analýza nebola doposiaľ urobená).</w:t>
      </w:r>
    </w:p>
    <w:p w14:paraId="19C36D32" w14:textId="77777777" w:rsidR="004A1363" w:rsidRDefault="004A1363">
      <w:pPr>
        <w:shd w:val="clear" w:color="auto" w:fill="FFFFFF"/>
        <w:spacing w:after="0" w:line="240" w:lineRule="auto"/>
        <w:ind w:firstLine="709"/>
        <w:jc w:val="both"/>
      </w:pPr>
    </w:p>
    <w:p w14:paraId="19C36D33" w14:textId="77777777" w:rsidR="004A1363" w:rsidRDefault="006B7A03">
      <w:pPr>
        <w:shd w:val="clear" w:color="auto" w:fill="FFFFFF"/>
        <w:spacing w:after="0" w:line="240" w:lineRule="auto"/>
        <w:ind w:firstLine="709"/>
        <w:jc w:val="both"/>
      </w:pPr>
      <w:r>
        <w:t xml:space="preserve">Navrhujeme preto primerané zvýšenie hornej hranice pokuty za priestupok proti majetku zo súčasných 331 eur na 2000 eur, a to po vzore Českej republiky (§ 8 </w:t>
      </w:r>
      <w:proofErr w:type="spellStart"/>
      <w:r>
        <w:t>odst</w:t>
      </w:r>
      <w:proofErr w:type="spellEnd"/>
      <w:r>
        <w:t xml:space="preserve">. 4 zákona č. 251/2016 </w:t>
      </w:r>
      <w:proofErr w:type="spellStart"/>
      <w:r>
        <w:t>Sb</w:t>
      </w:r>
      <w:proofErr w:type="spellEnd"/>
      <w:r>
        <w:t xml:space="preserve">. o </w:t>
      </w:r>
      <w:proofErr w:type="spellStart"/>
      <w:r>
        <w:t>některých</w:t>
      </w:r>
      <w:proofErr w:type="spellEnd"/>
      <w:r>
        <w:t xml:space="preserve"> </w:t>
      </w:r>
      <w:proofErr w:type="spellStart"/>
      <w:r>
        <w:t>přestupcích</w:t>
      </w:r>
      <w:proofErr w:type="spellEnd"/>
      <w:r>
        <w:t xml:space="preserve">). </w:t>
      </w:r>
    </w:p>
    <w:p w14:paraId="19C36D34" w14:textId="77777777" w:rsidR="004A1363" w:rsidRDefault="004A1363">
      <w:pPr>
        <w:shd w:val="clear" w:color="auto" w:fill="FFFFFF"/>
        <w:spacing w:after="0" w:line="240" w:lineRule="auto"/>
        <w:ind w:firstLine="709"/>
        <w:jc w:val="both"/>
      </w:pPr>
    </w:p>
    <w:p w14:paraId="19C36D35" w14:textId="77777777" w:rsidR="004A1363" w:rsidRDefault="006B7A03">
      <w:pPr>
        <w:shd w:val="clear" w:color="auto" w:fill="FFFFFF"/>
        <w:spacing w:after="0" w:line="240" w:lineRule="auto"/>
        <w:ind w:firstLine="709"/>
        <w:jc w:val="both"/>
      </w:pPr>
      <w:r>
        <w:t>Túto právnu úpravu reflektujúcu zásadné zmeny v trestnej politike aj na úrovni priestupkového práva by mali sprevádzať aj dostatočné kapacity priestupkových orgánov s ohľadom na rozsiahlosť prepadu skutkov, ktoré boli pred zásadnou zmenou trestnej politiky trestnými činmi.</w:t>
      </w:r>
    </w:p>
    <w:p w14:paraId="19C36D36" w14:textId="77777777" w:rsidR="004A1363" w:rsidRDefault="004A1363">
      <w:pPr>
        <w:shd w:val="clear" w:color="auto" w:fill="FFFFFF"/>
        <w:spacing w:after="0" w:line="240" w:lineRule="auto"/>
        <w:ind w:firstLine="709"/>
        <w:jc w:val="both"/>
        <w:rPr>
          <w:color w:val="000000"/>
        </w:rPr>
      </w:pPr>
    </w:p>
    <w:p w14:paraId="19C36D37" w14:textId="77777777" w:rsidR="004A1363" w:rsidRDefault="006B7A03">
      <w:pPr>
        <w:shd w:val="clear" w:color="auto" w:fill="FFFFFF"/>
        <w:spacing w:after="0" w:line="240" w:lineRule="auto"/>
        <w:ind w:firstLine="709"/>
        <w:jc w:val="both"/>
        <w:rPr>
          <w:color w:val="000000"/>
        </w:rPr>
      </w:pPr>
      <w:r>
        <w:rPr>
          <w:color w:val="000000"/>
        </w:rPr>
        <w:t xml:space="preserve">Predložený návrh zákona nebude mať vplyv na rozpočet verejnej správy ani na  podnikateľské prostredie. Predložený návrh zákona nebude mať sociálne vplyvy, ani vplyvy na životné prostredie a informatizáciu spoločnosti. Návrh zákona taktiež nebude mať vplyv na manželstvo, rodičovstvo a rodinu a ani na služby verejnej správy pre občana. </w:t>
      </w:r>
    </w:p>
    <w:p w14:paraId="19C36D38" w14:textId="77777777" w:rsidR="004A1363" w:rsidRDefault="004A1363">
      <w:pPr>
        <w:spacing w:after="0" w:line="240" w:lineRule="auto"/>
        <w:ind w:firstLine="709"/>
        <w:jc w:val="both"/>
        <w:rPr>
          <w:color w:val="000000"/>
        </w:rPr>
      </w:pPr>
    </w:p>
    <w:p w14:paraId="19C36D39" w14:textId="77777777" w:rsidR="004A1363" w:rsidRDefault="006B7A03">
      <w:pPr>
        <w:spacing w:after="0" w:line="240" w:lineRule="auto"/>
        <w:ind w:firstLine="709"/>
        <w:jc w:val="both"/>
        <w:rPr>
          <w:color w:val="000000"/>
        </w:rPr>
      </w:pPr>
      <w:r>
        <w:rPr>
          <w:color w:val="000000"/>
        </w:rPr>
        <w:t xml:space="preserve">Návrh zákona je v súlade s Ústavou Slovenskej republiky, ústavnými zákonmi a ostatnými všeobecne záväznými právnymi predpismi Slovenskej republiky, medzinárodnými </w:t>
      </w:r>
      <w:r>
        <w:rPr>
          <w:color w:val="000000"/>
        </w:rPr>
        <w:lastRenderedPageBreak/>
        <w:t>zmluvami a inými medzinárodnými dokumentmi, ktorými je Slovenská republika viazaná, ako aj s právom Európskej únie.</w:t>
      </w:r>
    </w:p>
    <w:p w14:paraId="19C36D3A" w14:textId="77777777" w:rsidR="004A1363" w:rsidRDefault="004A1363">
      <w:pPr>
        <w:spacing w:after="0" w:line="240" w:lineRule="auto"/>
        <w:ind w:firstLine="709"/>
        <w:jc w:val="both"/>
        <w:rPr>
          <w:color w:val="000000"/>
        </w:rPr>
      </w:pPr>
    </w:p>
    <w:p w14:paraId="19C36D3B" w14:textId="77777777" w:rsidR="004A1363" w:rsidRDefault="004A1363">
      <w:pPr>
        <w:spacing w:after="0" w:line="240" w:lineRule="auto"/>
        <w:ind w:firstLine="709"/>
        <w:jc w:val="both"/>
        <w:rPr>
          <w:color w:val="FF0000"/>
        </w:rPr>
      </w:pPr>
    </w:p>
    <w:p w14:paraId="19C36D3C" w14:textId="77777777" w:rsidR="004A1363" w:rsidRDefault="004A1363">
      <w:pPr>
        <w:pBdr>
          <w:top w:val="nil"/>
          <w:left w:val="nil"/>
          <w:bottom w:val="nil"/>
          <w:right w:val="nil"/>
          <w:between w:val="nil"/>
        </w:pBdr>
        <w:jc w:val="both"/>
        <w:rPr>
          <w:b/>
        </w:rPr>
      </w:pPr>
    </w:p>
    <w:p w14:paraId="19C36D3D" w14:textId="77777777" w:rsidR="004A1363" w:rsidRDefault="006B7A03">
      <w:pPr>
        <w:pBdr>
          <w:top w:val="nil"/>
          <w:left w:val="nil"/>
          <w:bottom w:val="nil"/>
          <w:right w:val="nil"/>
          <w:between w:val="nil"/>
        </w:pBdr>
        <w:ind w:left="1068"/>
        <w:jc w:val="both"/>
        <w:rPr>
          <w:b/>
        </w:rPr>
      </w:pPr>
      <w:r>
        <w:br w:type="page"/>
      </w:r>
    </w:p>
    <w:p w14:paraId="19C36D3E" w14:textId="77777777" w:rsidR="004A1363" w:rsidRDefault="006B7A03">
      <w:pPr>
        <w:numPr>
          <w:ilvl w:val="0"/>
          <w:numId w:val="1"/>
        </w:numPr>
        <w:pBdr>
          <w:top w:val="nil"/>
          <w:left w:val="nil"/>
          <w:bottom w:val="nil"/>
          <w:right w:val="nil"/>
          <w:between w:val="nil"/>
        </w:pBdr>
        <w:jc w:val="both"/>
        <w:rPr>
          <w:b/>
          <w:color w:val="000000"/>
        </w:rPr>
      </w:pPr>
      <w:r>
        <w:rPr>
          <w:b/>
          <w:color w:val="000000"/>
        </w:rPr>
        <w:lastRenderedPageBreak/>
        <w:t xml:space="preserve">Osobitná časť </w:t>
      </w:r>
    </w:p>
    <w:p w14:paraId="19C36D3F" w14:textId="77777777" w:rsidR="004A1363" w:rsidRDefault="006B7A03">
      <w:pPr>
        <w:shd w:val="clear" w:color="auto" w:fill="FFFFFF"/>
        <w:spacing w:after="0" w:line="240" w:lineRule="auto"/>
        <w:ind w:left="372" w:firstLine="348"/>
        <w:jc w:val="both"/>
        <w:rPr>
          <w:b/>
        </w:rPr>
      </w:pPr>
      <w:r>
        <w:rPr>
          <w:b/>
        </w:rPr>
        <w:t>K čl. I</w:t>
      </w:r>
    </w:p>
    <w:p w14:paraId="19C36D40" w14:textId="77777777" w:rsidR="004A1363" w:rsidRDefault="004A1363">
      <w:pPr>
        <w:shd w:val="clear" w:color="auto" w:fill="FFFFFF"/>
        <w:spacing w:after="0" w:line="240" w:lineRule="auto"/>
        <w:ind w:left="372" w:firstLine="348"/>
        <w:jc w:val="both"/>
        <w:rPr>
          <w:b/>
        </w:rPr>
      </w:pPr>
    </w:p>
    <w:p w14:paraId="19C36D41" w14:textId="77777777" w:rsidR="004A1363" w:rsidRDefault="006B7A03">
      <w:pPr>
        <w:shd w:val="clear" w:color="auto" w:fill="FFFFFF"/>
        <w:spacing w:after="0" w:line="240" w:lineRule="auto"/>
        <w:ind w:firstLine="708"/>
        <w:jc w:val="both"/>
      </w:pPr>
      <w:r>
        <w:t xml:space="preserve">V súvislosti s novelou trestného zákona č. 40/2024 Z. z., ktorá nadobudla v spojení s nálezom Ústavného súdu č. 402/2023 Z. z. účinnosť dňa 6. augusta 2024, došlo k zavedeniu právnej úpravy, podľa ktorej sa v § 125 ods. 1 zvýšila hranica výšky malej škody z doterajších 266 eur na 700 eur. Zároveň došlo k zrušeniu ustanovenia § 212 ods. 1 písm. g) zákona č. 300/2005 Z. z. trestný zákon, podľa ktorého bolo trestným činom aj také konanie, kde došlo k odcudzeniu cudzej veci aj nižšej hodnoty než 266 eur, ak bol páchateľ za obdobný čin v predchádzajúcich dvanástich mesiacoch postihnutý. Uvedené vypustenie tzv. </w:t>
      </w:r>
      <w:proofErr w:type="spellStart"/>
      <w:r>
        <w:t>horalkového</w:t>
      </w:r>
      <w:proofErr w:type="spellEnd"/>
      <w:r>
        <w:t xml:space="preserve"> trestného činu považujeme za jednoznačne správne. V dôsledku toho však nastala situácia, keď za krádež (a niektoré ďalšie skutky proti majetku), pri ktorých hodnota škody je už aj vo vyšších sumách, teda aj od 500 eur do výšky 700 eur, ide len o priestupok, za ktorý hrozí neprimerane nízka sankcia, a to len v maximálnej výške 331 eur. Navrhuje sa preto po vzore Českej republiky (§ 8 </w:t>
      </w:r>
      <w:proofErr w:type="spellStart"/>
      <w:r>
        <w:t>odst</w:t>
      </w:r>
      <w:proofErr w:type="spellEnd"/>
      <w:r>
        <w:t xml:space="preserve">. 4 zákona č. 251/2016 </w:t>
      </w:r>
      <w:proofErr w:type="spellStart"/>
      <w:r>
        <w:t>Sb</w:t>
      </w:r>
      <w:proofErr w:type="spellEnd"/>
      <w:r>
        <w:t xml:space="preserve">. o </w:t>
      </w:r>
      <w:proofErr w:type="spellStart"/>
      <w:r>
        <w:t>některých</w:t>
      </w:r>
      <w:proofErr w:type="spellEnd"/>
      <w:r>
        <w:t xml:space="preserve"> </w:t>
      </w:r>
      <w:proofErr w:type="spellStart"/>
      <w:r>
        <w:t>přestupcích</w:t>
      </w:r>
      <w:proofErr w:type="spellEnd"/>
      <w:r>
        <w:t>) zvýšenie hornej hranice pokuty za priestupok proti majetku zo súčasných 331 eur na 2000 eur.</w:t>
      </w:r>
    </w:p>
    <w:p w14:paraId="19C36D42" w14:textId="77777777" w:rsidR="004A1363" w:rsidRDefault="004A1363">
      <w:pPr>
        <w:shd w:val="clear" w:color="auto" w:fill="FFFFFF"/>
        <w:spacing w:after="0" w:line="240" w:lineRule="auto"/>
        <w:ind w:firstLine="708"/>
        <w:jc w:val="both"/>
      </w:pPr>
    </w:p>
    <w:p w14:paraId="19C36D43" w14:textId="77777777" w:rsidR="004A1363" w:rsidRDefault="006B7A03">
      <w:pPr>
        <w:shd w:val="clear" w:color="auto" w:fill="FFFFFF"/>
        <w:spacing w:after="0" w:line="240" w:lineRule="auto"/>
        <w:ind w:left="372" w:firstLine="348"/>
        <w:jc w:val="both"/>
        <w:rPr>
          <w:b/>
        </w:rPr>
      </w:pPr>
      <w:r>
        <w:rPr>
          <w:b/>
        </w:rPr>
        <w:t>K čl. II</w:t>
      </w:r>
    </w:p>
    <w:p w14:paraId="19C36D44" w14:textId="77777777" w:rsidR="004A1363" w:rsidRDefault="004A1363">
      <w:pPr>
        <w:shd w:val="clear" w:color="auto" w:fill="FFFFFF"/>
        <w:spacing w:after="0" w:line="240" w:lineRule="auto"/>
        <w:jc w:val="both"/>
      </w:pPr>
    </w:p>
    <w:p w14:paraId="19C36D45" w14:textId="7CDD411F" w:rsidR="004A1363" w:rsidRDefault="006B7A03">
      <w:pPr>
        <w:shd w:val="clear" w:color="auto" w:fill="FFFFFF"/>
        <w:spacing w:after="0" w:line="240" w:lineRule="auto"/>
        <w:jc w:val="both"/>
      </w:pPr>
      <w:r>
        <w:tab/>
        <w:t xml:space="preserve">Nadobudnutie účinnosti predloženého návrhu zákona sa navrhuje </w:t>
      </w:r>
      <w:r w:rsidR="008E62AC">
        <w:t>dňom vyhláseni</w:t>
      </w:r>
      <w:r w:rsidR="003B01FE">
        <w:t xml:space="preserve">a. </w:t>
      </w:r>
    </w:p>
    <w:p w14:paraId="19C36D46" w14:textId="77777777" w:rsidR="004A1363" w:rsidRDefault="004A1363">
      <w:pPr>
        <w:shd w:val="clear" w:color="auto" w:fill="FFFFFF"/>
        <w:spacing w:after="0" w:line="240" w:lineRule="auto"/>
        <w:jc w:val="both"/>
        <w:rPr>
          <w:b/>
        </w:rPr>
      </w:pPr>
    </w:p>
    <w:sectPr w:rsidR="004A1363">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EA54A" w14:textId="77777777" w:rsidR="00C82240" w:rsidRDefault="00C82240">
      <w:pPr>
        <w:spacing w:after="0" w:line="240" w:lineRule="auto"/>
      </w:pPr>
      <w:r>
        <w:separator/>
      </w:r>
    </w:p>
  </w:endnote>
  <w:endnote w:type="continuationSeparator" w:id="0">
    <w:p w14:paraId="500C2BD5" w14:textId="77777777" w:rsidR="00C82240" w:rsidRDefault="00C8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36D4B" w14:textId="77777777" w:rsidR="004A1363" w:rsidRDefault="004A1363">
    <w:pPr>
      <w:pBdr>
        <w:top w:val="nil"/>
        <w:left w:val="nil"/>
        <w:bottom w:val="nil"/>
        <w:right w:val="nil"/>
        <w:between w:val="nil"/>
      </w:pBdr>
      <w:tabs>
        <w:tab w:val="center" w:pos="4536"/>
        <w:tab w:val="right" w:pos="9072"/>
      </w:tabs>
      <w:spacing w:after="0" w:line="240" w:lineRule="auto"/>
      <w:jc w:val="center"/>
      <w:rPr>
        <w:color w:val="000000"/>
      </w:rPr>
    </w:pPr>
  </w:p>
  <w:p w14:paraId="19C36D4C" w14:textId="77777777" w:rsidR="004A1363" w:rsidRDefault="004A136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B232" w14:textId="77777777" w:rsidR="00C82240" w:rsidRDefault="00C82240">
      <w:pPr>
        <w:spacing w:after="0" w:line="240" w:lineRule="auto"/>
      </w:pPr>
      <w:r>
        <w:separator/>
      </w:r>
    </w:p>
  </w:footnote>
  <w:footnote w:type="continuationSeparator" w:id="0">
    <w:p w14:paraId="3B464A4B" w14:textId="77777777" w:rsidR="00C82240" w:rsidRDefault="00C82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36DC8"/>
    <w:multiLevelType w:val="multilevel"/>
    <w:tmpl w:val="DCE86A78"/>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66906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63"/>
    <w:rsid w:val="00050769"/>
    <w:rsid w:val="0012796E"/>
    <w:rsid w:val="001475D2"/>
    <w:rsid w:val="00221876"/>
    <w:rsid w:val="003B01FE"/>
    <w:rsid w:val="0040680B"/>
    <w:rsid w:val="004A1363"/>
    <w:rsid w:val="00564B40"/>
    <w:rsid w:val="006B7A03"/>
    <w:rsid w:val="008E62AC"/>
    <w:rsid w:val="009C1F96"/>
    <w:rsid w:val="00A529D3"/>
    <w:rsid w:val="00C82240"/>
    <w:rsid w:val="00D40511"/>
    <w:rsid w:val="00E82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6D28"/>
  <w15:docId w15:val="{6815ABFE-387F-4877-A260-4DA8B34B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eastAsia="en-US"/>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pPr>
      <w:tabs>
        <w:tab w:val="center" w:pos="4536"/>
        <w:tab w:val="right" w:pos="9072"/>
      </w:tabs>
      <w:spacing w:after="0" w:line="240" w:lineRule="auto"/>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semiHidden/>
    <w:unhideWhenUsed/>
    <w:rPr>
      <w:color w:val="0000FF"/>
      <w:u w:val="single"/>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Revzia">
    <w:name w:val="Revision"/>
    <w:hidden/>
    <w:uiPriority w:val="99"/>
    <w:semiHidden/>
    <w:rsid w:val="00A529D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5UwA19vOZNqU5ph9t48yWFKDjg==">CgMxLjA4AHIhMTNidVlhUlRiRXZ1Q0kxVlhSQnliRFpkUjdoRVNHX1J2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3809</Characters>
  <Application>Microsoft Office Word</Application>
  <DocSecurity>0</DocSecurity>
  <Lines>74</Lines>
  <Paragraphs>15</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10</cp:revision>
  <dcterms:created xsi:type="dcterms:W3CDTF">2024-08-23T11:29:00Z</dcterms:created>
  <dcterms:modified xsi:type="dcterms:W3CDTF">2024-08-23T12:21:00Z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E296C90EBEE145EEA4EBD55E521A73F6_12</vt:lpwstr>
  </property>
</Properties>
</file>