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Dôvodová správa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A. Všeobecná časť</w:t>
      </w:r>
    </w:p>
    <w:p w:rsidR="00000000" w:rsidDel="00000000" w:rsidP="00000000" w:rsidRDefault="00000000" w:rsidRPr="00000000" w14:paraId="00000004">
      <w:pPr>
        <w:tabs>
          <w:tab w:val="left" w:leader="none" w:pos="1095"/>
        </w:tabs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09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Návrh zákona,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ktorým sa mení a dopĺňa zákon č. 595/2003 Z. z. o dani z príjmov v znení neskorších predpisov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(ďalej len „návrh zákona“) predkladajú na rokovanie Národnej rady Slovenskej republiky poslanci Národnej rady Slovenskej republiky Michal Truban, Ivan Štefunko, Ján Hargaš a poslankyňa Národnej rady Slovenskej republiky Darina Luščíková.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Návrh zákona reflektuje na problém so splatnosťami pohľadávok, ktorý sa v posledných rokoch v období vyššej inflácie a nárastu úrokových sadzieb naďalej prehlbuje. Podľa informácií z Európskeho platobného reportu za rok 2024 až 55 % dlžníkov neplatí načas, čo ovplyvňuje finančné toky v spoločnostiach. V slovenských firmách rastie trend vyvíjania tlaku na vlastných dodávateľov ohľadom predlžovania platobných lehôt, pričom až v 61 % opýtaných podnikov aj reálne došlo k nutnosti oddialenia splatností. Tento negatívny trend sa dokonca významnejšie dotýka veľkých nadnárodných korporácií. Súčasne narastá tendencia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skracovať doby splatnosti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svojim zákazníkom a klientom. Tieto opatrenia pôsobia pre subjekty ako ochranný mechanizmus v pretrvávajúcej zložitej makroekonomickej situácii.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Ďalším negatívnym faktorom je, že v priemere viac ako 10 hodín týždenne (73 pracovných dní v roku) musia spoločnosti stráviť zabezpečovaním oneskorených platieb namiesto zameriavania sa na svoju podnikateľskú činnosť. Dokonca tretina opýtaných podnikov potvrdila, že meškajúce platby im bránia v investíciách do rastu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 nedobytné pohľadávky tvoria až v 14 %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Pre viac ako pätinu podnikov predstavujú nedobytné pohľadávky narastajúci problém.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Problémy v posúvaných splatnostiach, či v najhoršom prípade nerealizovaných platbách sú jedným z dôvodov negatívneho trendu zániku spoločností. Podľa údajov spoločnosti Slovak Credit Bureau (CRIF) počet firemných bankrotov na Slovensku za prvých 5 mesiacov roka 2024 narástol o viac ako 9 % v porovnaní s rovnakým obdobím roka 2023. Počas posledných 12 mesiacov bolo vyhlásených 333 konkurzov, čo je o takmer 16 % viac než od júna 2022 do mája 2023. Povolené reštrukturalizácie medziročne narástli o 31 %.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Cieľom návrhu zákona je zaviesť možnosť rýchlejšieho odpisu nedobytnej pohľadávky a jej príslušenstva, ktoré bolo zahrnuté do zdaniteľných príjmov, a tým aspoň čiastočne zmierniť negatívne dopady na subjekty, ktoré sa dostali do tejto situácie bez vlastného zavinenia.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 potrebné však zdôrazňovať a podporovať aj ďalšie opatrenia medzi ktoré patrí napríklad požadovanie zálohových platieb, overovanie bonity, úverové poistenie, či bankové záruky. Využívanie agentúr pre správu a vymáhanie pohľadávok alebo poistenia je na Slovensku stále málo rozšírené. Podniky taktiež považujú za nevyhnutné zavádzanie umelej inteligencie a nových platobných technológií pri riadení platieb a posudzovaní bonity klienta.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 súčasnosti tvorba opravnej položky, pri ktorej je riziko, že ju dlžník úplne alebo čiastočne nezaplatí a bola v minulosti zahrnutá do zdaniteľných príjmov, je možná po 360 dňoch po splatnosti do výšky 20 %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nesplatene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j hodnoty pohľadávky, po 720 dňoch do výšky 50 % a až po 1 080 dňoch je možné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celú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hodnotu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pohľadávky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zahrnúť do výdavkov.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Úprava znenia zákona spočíva v rozšírení zahrnutia opravných položiek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 pohľadávkam, pri ktorých je riziko, že nebudú zaplatené a opravných položiek bánk k pohľadávkam z úverov pri ich zahnutí do daňových výdavkov.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Daňové subjekty si budú môcť takúto nedobytnú pohľadávku celú zahrnúť do výdavkov už po 720 dňoch po splatnosti.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Tvorba opravnej položky k pohľadávkam sa uzná za daňový výdavok až do výšky 50 % jej menovitej hodnoty, ak od splatnosti pohľadávky uplynula doba dlhšia ako 360 dní, resp. až do výšky 100 % po 720 dňoch.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Možnosť úplného odpisu pohľadávky aj neskôr zostáva zachovaná, čím predkladatelia nechávajú väčšiu voľnosť subjektom zvoliť si stratégiu, ktorá je pre nich výhodnejšia. Rovnaký princíp bude uplatňovaný aj na príslušenstvo k pohľadávkam.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Predkladaný návrh zákona je v súlade s Ústavou Slovenskej republiky, ústavnými zákonmi a ostatnými všeobecne záväznými právnymi predpismi Slovenskej republiky, nálezmi Ústavného súdu Slovenskej republiky, medzinárodnými zmluvami a inými medzinárodnými dokumentami, ktorými je Slovenská republika viazaná, ako aj v súlade s právom Európskej únie.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Návrh zákona predpokladá pozitívne vplyvy na podnikateľské prostredie a sociálne vplyvy, nepredpokladá vplyvy na rozpočet verejnej správy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informatizáciu spoločnosti, životné prostredie, či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vplyvy na služby verejnej správy pre občana, a ani vplyvy na manželstvo, rodičovstvo a rodinu.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B. Osobitná časť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K čl. I.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K bodu 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Novela zákona umožní bankám si zahrnúť do daňových výdavkov tvorbu opravnej položky až do výšky 50 % z nesplateného úveru, ak od splatnosti uplynula doba dlhšia ako 360 dní a po uplynutí 720 dní bude možné takúto pohľadávku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zahrnúť do daňových výdavkov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 celej výške.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K bodu 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Navrhovaná úprava umožní tvorbu opravnej položky k pohľadávke, pri ktorej je riziko, že ju dlžník úplne alebo čiastočne nezaplatí a bola zahrnutá do zdaniteľných príjmov, a to až do výšky 50 % jej menovitej hodnoty, ak od jej splatnosti ubehlo viac ako 360 dní a až do výšky 100 % po uplynutí 720 dní.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K bodu 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Rozširuje sa možnosť tvorby opravnej položky k príslušenstvu pohľadávky rovnakým spôsobom ako pri pohľadávkach, a to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až do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výšk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50 % po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uplynutí 360 dní po splatnosti a do výšky 100 %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 720 dňoch po splatnosti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K bodu 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Prechodné ustanovenia umožňujú tieto opatrenia v danom znení použiť prvýkrát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 zdaňovacom období roka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2025. Ak už existujúca pohľadávka alebo jej príslušenstvo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nebolo čiastočne alebo úplne splatené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je možné v tomto prípade postupovať podľa nového znenia, pričom už vytvorené opravné položky sa nesmú spätne upravovať.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K čl. II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Účinnosť predkladanej novely zákona sa navrhuje od 1. januára 2025.</w:t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 w:val="1"/>
    <w:unhideWhenUsed w:val="1"/>
    <w:rPr>
      <w:sz w:val="16"/>
      <w:szCs w:val="16"/>
    </w:rPr>
  </w:style>
  <w:style w:type="character" w:styleId="awspan" w:customStyle="1">
    <w:name w:val="awspan"/>
    <w:basedOn w:val="Predvolenpsmoodseku"/>
    <w:rsid w:val="00414243"/>
  </w:style>
  <w:style w:type="paragraph" w:styleId="Odsekzoznamu">
    <w:name w:val="List Paragraph"/>
    <w:basedOn w:val="Normlny"/>
    <w:uiPriority w:val="34"/>
    <w:qFormat w:val="1"/>
    <w:rsid w:val="00CD2862"/>
    <w:pPr>
      <w:ind w:left="720"/>
      <w:contextualSpacing w:val="1"/>
    </w:pPr>
    <w:rPr>
      <w:rFonts w:asciiTheme="minorHAnsi" w:cstheme="minorBidi" w:eastAsiaTheme="minorHAnsi" w:hAnsiTheme="minorHAnsi"/>
      <w:kern w:val="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2Gu6h41fr0zz1tosAW+hbYFq1g==">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2024-08-22T12:39:00Z</dcterms:created>
</cp:coreProperties>
</file>