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NÁRODNÁ RADA SLOVENSKEJ REPUBLIKY </w:t>
      </w:r>
    </w:p>
    <w:p w:rsidR="00000000" w:rsidDel="00000000" w:rsidP="00000000" w:rsidRDefault="00000000" w:rsidRPr="00000000" w14:paraId="00000002">
      <w:pPr>
        <w:pBdr>
          <w:bottom w:color="000000" w:space="3" w:sz="12" w:val="single"/>
        </w:pBdr>
        <w:jc w:val="center"/>
        <w:rPr/>
      </w:pPr>
      <w:r w:rsidDel="00000000" w:rsidR="00000000" w:rsidRPr="00000000">
        <w:rPr>
          <w:rtl w:val="0"/>
        </w:rPr>
        <w:t xml:space="preserve">IX. volebné obdobie</w:t>
      </w:r>
    </w:p>
    <w:p w:rsidR="00000000" w:rsidDel="00000000" w:rsidP="00000000" w:rsidRDefault="00000000" w:rsidRPr="00000000" w14:paraId="00000003">
      <w:pPr>
        <w:jc w:val="center"/>
        <w:rPr>
          <w:highlight w:val="yellow"/>
        </w:rPr>
      </w:pPr>
      <w:r w:rsidDel="00000000" w:rsidR="00000000" w:rsidRPr="00000000">
        <w:rPr>
          <w:rtl w:val="0"/>
        </w:rPr>
      </w:r>
    </w:p>
    <w:p w:rsidR="00000000" w:rsidDel="00000000" w:rsidP="00000000" w:rsidRDefault="00000000" w:rsidRPr="00000000" w14:paraId="00000004">
      <w:pPr>
        <w:spacing w:before="120" w:lineRule="auto"/>
        <w:jc w:val="center"/>
        <w:rPr>
          <w:b w:val="1"/>
        </w:rPr>
      </w:pPr>
      <w:r w:rsidDel="00000000" w:rsidR="00000000" w:rsidRPr="00000000">
        <w:rPr>
          <w:rtl w:val="0"/>
        </w:rPr>
      </w:r>
    </w:p>
    <w:p w:rsidR="00000000" w:rsidDel="00000000" w:rsidP="00000000" w:rsidRDefault="00000000" w:rsidRPr="00000000" w14:paraId="00000005">
      <w:pPr>
        <w:spacing w:before="120" w:lineRule="auto"/>
        <w:jc w:val="center"/>
        <w:rPr/>
      </w:pPr>
      <w:r w:rsidDel="00000000" w:rsidR="00000000" w:rsidRPr="00000000">
        <w:rPr>
          <w:rtl w:val="0"/>
        </w:rPr>
        <w:t xml:space="preserve">Návrh </w:t>
      </w:r>
    </w:p>
    <w:p w:rsidR="00000000" w:rsidDel="00000000" w:rsidP="00000000" w:rsidRDefault="00000000" w:rsidRPr="00000000" w14:paraId="00000006">
      <w:pPr>
        <w:spacing w:before="120" w:lineRule="auto"/>
        <w:jc w:val="center"/>
        <w:rPr>
          <w:b w:val="1"/>
        </w:rPr>
      </w:pPr>
      <w:r w:rsidDel="00000000" w:rsidR="00000000" w:rsidRPr="00000000">
        <w:rPr>
          <w:rtl w:val="0"/>
        </w:rPr>
      </w:r>
    </w:p>
    <w:p w:rsidR="00000000" w:rsidDel="00000000" w:rsidP="00000000" w:rsidRDefault="00000000" w:rsidRPr="00000000" w14:paraId="00000007">
      <w:pPr>
        <w:spacing w:before="120" w:lineRule="auto"/>
        <w:jc w:val="center"/>
        <w:rPr/>
      </w:pPr>
      <w:r w:rsidDel="00000000" w:rsidR="00000000" w:rsidRPr="00000000">
        <w:rPr>
          <w:b w:val="1"/>
          <w:smallCaps w:val="1"/>
          <w:rtl w:val="0"/>
        </w:rPr>
        <w:t xml:space="preserve">ZÁKON</w:t>
      </w:r>
      <w:r w:rsidDel="00000000" w:rsidR="00000000" w:rsidRPr="00000000">
        <w:rPr>
          <w:rtl w:val="0"/>
        </w:rPr>
      </w:r>
    </w:p>
    <w:p w:rsidR="00000000" w:rsidDel="00000000" w:rsidP="00000000" w:rsidRDefault="00000000" w:rsidRPr="00000000" w14:paraId="00000008">
      <w:pPr>
        <w:spacing w:before="120" w:lineRule="auto"/>
        <w:jc w:val="center"/>
        <w:rPr/>
      </w:pPr>
      <w:r w:rsidDel="00000000" w:rsidR="00000000" w:rsidRPr="00000000">
        <w:rPr>
          <w:rtl w:val="0"/>
        </w:rPr>
      </w:r>
    </w:p>
    <w:p w:rsidR="00000000" w:rsidDel="00000000" w:rsidP="00000000" w:rsidRDefault="00000000" w:rsidRPr="00000000" w14:paraId="00000009">
      <w:pPr>
        <w:spacing w:before="120" w:lineRule="auto"/>
        <w:jc w:val="center"/>
        <w:rPr/>
      </w:pPr>
      <w:r w:rsidDel="00000000" w:rsidR="00000000" w:rsidRPr="00000000">
        <w:rPr>
          <w:rtl w:val="0"/>
        </w:rPr>
        <w:t xml:space="preserve">z ... 2024,</w:t>
      </w:r>
    </w:p>
    <w:p w:rsidR="00000000" w:rsidDel="00000000" w:rsidP="00000000" w:rsidRDefault="00000000" w:rsidRPr="00000000" w14:paraId="0000000A">
      <w:pPr>
        <w:spacing w:before="120" w:lineRule="auto"/>
        <w:jc w:val="cente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ktorým sa mení a dopĺňa zákon č. 595/2003 Z. z. o dani z príjmov v znení neskorších predpisov</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Národná rada Slovenskej republiky sa uzniesla na tomto zákone:</w:t>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tl w:val="0"/>
        </w:rPr>
        <w:t xml:space="preserve">Čl. I</w:t>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a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a zákona č. 87/2024 Z. z. sa mení a dopĺňa takto:</w:t>
      </w:r>
    </w:p>
    <w:p w:rsidR="00000000" w:rsidDel="00000000" w:rsidP="00000000" w:rsidRDefault="00000000" w:rsidRPr="00000000" w14:paraId="00000012">
      <w:pPr>
        <w:jc w:val="both"/>
        <w:rPr>
          <w:color w:val="000000"/>
        </w:rPr>
      </w:pPr>
      <w:r w:rsidDel="00000000" w:rsidR="00000000" w:rsidRPr="00000000">
        <w:rPr>
          <w:rtl w:val="0"/>
        </w:rPr>
      </w:r>
    </w:p>
    <w:p w:rsidR="00000000" w:rsidDel="00000000" w:rsidP="00000000" w:rsidRDefault="00000000" w:rsidRPr="00000000" w14:paraId="00000013">
      <w:pPr>
        <w:numPr>
          <w:ilvl w:val="0"/>
          <w:numId w:val="1"/>
        </w:numPr>
        <w:ind w:left="425.19685039370086" w:hanging="360"/>
        <w:jc w:val="both"/>
        <w:rPr>
          <w:u w:val="none"/>
        </w:rPr>
      </w:pPr>
      <w:r w:rsidDel="00000000" w:rsidR="00000000" w:rsidRPr="00000000">
        <w:rPr>
          <w:rtl w:val="0"/>
        </w:rPr>
        <w:t xml:space="preserve">V § 20 odsek 4 znie:</w:t>
      </w:r>
    </w:p>
    <w:p w:rsidR="00000000" w:rsidDel="00000000" w:rsidP="00000000" w:rsidRDefault="00000000" w:rsidRPr="00000000" w14:paraId="00000014">
      <w:pPr>
        <w:ind w:left="420" w:firstLine="0"/>
        <w:jc w:val="both"/>
        <w:rPr/>
      </w:pPr>
      <w:r w:rsidDel="00000000" w:rsidR="00000000" w:rsidRPr="00000000">
        <w:rPr>
          <w:rtl w:val="0"/>
        </w:rPr>
        <w:t xml:space="preserve">„(4) Banky a pobočky zahraničných bánk</w:t>
      </w:r>
      <w:r w:rsidDel="00000000" w:rsidR="00000000" w:rsidRPr="00000000">
        <w:rPr>
          <w:vertAlign w:val="superscript"/>
          <w:rtl w:val="0"/>
        </w:rPr>
        <w:t xml:space="preserve">94</w:t>
      </w:r>
      <w:r w:rsidDel="00000000" w:rsidR="00000000" w:rsidRPr="00000000">
        <w:rPr>
          <w:rtl w:val="0"/>
        </w:rPr>
        <w:t xml:space="preserve">) a Exportno-importná banka Slovenskej republiky</w:t>
      </w:r>
      <w:r w:rsidDel="00000000" w:rsidR="00000000" w:rsidRPr="00000000">
        <w:rPr>
          <w:vertAlign w:val="superscript"/>
          <w:rtl w:val="0"/>
        </w:rPr>
        <w:t xml:space="preserve">95</w:t>
      </w:r>
      <w:r w:rsidDel="00000000" w:rsidR="00000000" w:rsidRPr="00000000">
        <w:rPr>
          <w:rtl w:val="0"/>
        </w:rPr>
        <w:t xml:space="preserve">) môžu zahrnúť do daňových výdavkov tvorbu opravnej položky podľa odseku 6 k pohľadávke z nesplateného úveru, ktorý nie je krytý hodnotou zabezpečenia, ak od splatnosti pohľadávky, na ktorú je tvorená opravná položka, uplynula doba dlhšia ako</w:t>
      </w:r>
    </w:p>
    <w:p w:rsidR="00000000" w:rsidDel="00000000" w:rsidP="00000000" w:rsidRDefault="00000000" w:rsidRPr="00000000" w14:paraId="00000015">
      <w:pPr>
        <w:ind w:left="420" w:firstLine="0"/>
        <w:jc w:val="both"/>
        <w:rPr/>
      </w:pPr>
      <w:r w:rsidDel="00000000" w:rsidR="00000000" w:rsidRPr="00000000">
        <w:rPr>
          <w:rtl w:val="0"/>
        </w:rPr>
        <w:t xml:space="preserve">a) 360 dní, najviac do výšky 50 % z nesplateného úveru, ktorý nie je krytý hodnotou zabezpečenia,</w:t>
      </w:r>
    </w:p>
    <w:p w:rsidR="00000000" w:rsidDel="00000000" w:rsidP="00000000" w:rsidRDefault="00000000" w:rsidRPr="00000000" w14:paraId="00000016">
      <w:pPr>
        <w:ind w:left="420" w:firstLine="0"/>
        <w:jc w:val="both"/>
        <w:rPr/>
      </w:pPr>
      <w:r w:rsidDel="00000000" w:rsidR="00000000" w:rsidRPr="00000000">
        <w:rPr>
          <w:rtl w:val="0"/>
        </w:rPr>
        <w:t xml:space="preserve">b) 720 dní, najviac do výšky 100 % z nesplateného úveru, ktorý nie je krytý hodnotou zabezpečenia.“.</w:t>
      </w:r>
    </w:p>
    <w:p w:rsidR="00000000" w:rsidDel="00000000" w:rsidP="00000000" w:rsidRDefault="00000000" w:rsidRPr="00000000" w14:paraId="00000017">
      <w:pPr>
        <w:ind w:left="720" w:firstLine="0"/>
        <w:jc w:val="both"/>
        <w:rPr/>
      </w:pPr>
      <w:r w:rsidDel="00000000" w:rsidR="00000000" w:rsidRPr="00000000">
        <w:rPr>
          <w:rtl w:val="0"/>
        </w:rPr>
        <w:t xml:space="preserve"> </w:t>
      </w:r>
    </w:p>
    <w:p w:rsidR="00000000" w:rsidDel="00000000" w:rsidP="00000000" w:rsidRDefault="00000000" w:rsidRPr="00000000" w14:paraId="00000018">
      <w:pPr>
        <w:numPr>
          <w:ilvl w:val="0"/>
          <w:numId w:val="1"/>
        </w:numPr>
        <w:ind w:left="425.19685039370086" w:hanging="360"/>
        <w:jc w:val="both"/>
        <w:rPr>
          <w:u w:val="none"/>
        </w:rPr>
      </w:pPr>
      <w:r w:rsidDel="00000000" w:rsidR="00000000" w:rsidRPr="00000000">
        <w:rPr>
          <w:rtl w:val="0"/>
        </w:rPr>
        <w:t xml:space="preserve">V § 20 odsek 14 znie:</w:t>
      </w:r>
    </w:p>
    <w:p w:rsidR="00000000" w:rsidDel="00000000" w:rsidP="00000000" w:rsidRDefault="00000000" w:rsidRPr="00000000" w14:paraId="00000019">
      <w:pPr>
        <w:ind w:left="420" w:firstLine="0"/>
        <w:jc w:val="both"/>
        <w:rPr/>
      </w:pPr>
      <w:r w:rsidDel="00000000" w:rsidR="00000000" w:rsidRPr="00000000">
        <w:rPr>
          <w:rtl w:val="0"/>
        </w:rPr>
        <w:t xml:space="preserve">„(14) Tvorba opravnej položky k pohľadávke, pri ktorej je riziko, že ju dlžník úplne alebo čiastočne nezaplatí, ktorá bola zahrnutá do zdaniteľných príjmov, alebo ak ide o daňovníka, ktorý vykonáva obchodnú činnosť spočívajúcu v poskytovaní spotrebiteľských úverov,</w:t>
      </w:r>
      <w:r w:rsidDel="00000000" w:rsidR="00000000" w:rsidRPr="00000000">
        <w:rPr>
          <w:vertAlign w:val="superscript"/>
          <w:rtl w:val="0"/>
        </w:rPr>
        <w:t xml:space="preserve">102</w:t>
      </w:r>
      <w:r w:rsidDel="00000000" w:rsidR="00000000" w:rsidRPr="00000000">
        <w:rPr>
          <w:rtl w:val="0"/>
        </w:rPr>
        <w:t xml:space="preserve">) aj tvorba opravnej položky na časť pohľadávky vzťahujúcej sa na istinu a úrok zahrnutý do príjmov zo spotrebiteľského úveru, ak od splatnosti pohľadávky uplynula doba dlhšia ako</w:t>
      </w:r>
    </w:p>
    <w:p w:rsidR="00000000" w:rsidDel="00000000" w:rsidP="00000000" w:rsidRDefault="00000000" w:rsidRPr="00000000" w14:paraId="0000001A">
      <w:pPr>
        <w:ind w:left="420" w:firstLine="0"/>
        <w:jc w:val="both"/>
        <w:rPr/>
      </w:pPr>
      <w:r w:rsidDel="00000000" w:rsidR="00000000" w:rsidRPr="00000000">
        <w:rPr>
          <w:rtl w:val="0"/>
        </w:rPr>
        <w:t xml:space="preserve">a) 360 dní, sa zahrnie do výdavkov do výšky 50 % menovitej hodnoty pohľadávky alebo jej nesplatenej časti bez príslušenstva,</w:t>
      </w:r>
    </w:p>
    <w:p w:rsidR="00000000" w:rsidDel="00000000" w:rsidP="00000000" w:rsidRDefault="00000000" w:rsidRPr="00000000" w14:paraId="0000001B">
      <w:pPr>
        <w:ind w:left="420" w:firstLine="0"/>
        <w:jc w:val="both"/>
        <w:rPr/>
      </w:pPr>
      <w:r w:rsidDel="00000000" w:rsidR="00000000" w:rsidRPr="00000000">
        <w:rPr>
          <w:rtl w:val="0"/>
        </w:rPr>
        <w:t xml:space="preserve">b) 720 dní, sa zahrnie do výdavkov do výšky 100 % menovitej hodnoty pohľadávky alebo jej nesplatenej časti bez príslušenstva.“.</w:t>
      </w:r>
    </w:p>
    <w:p w:rsidR="00000000" w:rsidDel="00000000" w:rsidP="00000000" w:rsidRDefault="00000000" w:rsidRPr="00000000" w14:paraId="0000001C">
      <w:pPr>
        <w:ind w:left="420" w:firstLine="0"/>
        <w:jc w:val="both"/>
        <w:rPr/>
      </w:pPr>
      <w:r w:rsidDel="00000000" w:rsidR="00000000" w:rsidRPr="00000000">
        <w:rPr>
          <w:rtl w:val="0"/>
        </w:rPr>
        <w:t xml:space="preserve"> </w:t>
      </w:r>
    </w:p>
    <w:p w:rsidR="00000000" w:rsidDel="00000000" w:rsidP="00000000" w:rsidRDefault="00000000" w:rsidRPr="00000000" w14:paraId="0000001D">
      <w:pPr>
        <w:numPr>
          <w:ilvl w:val="0"/>
          <w:numId w:val="1"/>
        </w:numPr>
        <w:ind w:left="425.19685039370086" w:hanging="360"/>
        <w:jc w:val="both"/>
        <w:rPr>
          <w:u w:val="none"/>
        </w:rPr>
      </w:pPr>
      <w:r w:rsidDel="00000000" w:rsidR="00000000" w:rsidRPr="00000000">
        <w:rPr>
          <w:rtl w:val="0"/>
        </w:rPr>
        <w:t xml:space="preserve">V § 20 odsek 22 znie:</w:t>
      </w:r>
    </w:p>
    <w:p w:rsidR="00000000" w:rsidDel="00000000" w:rsidP="00000000" w:rsidRDefault="00000000" w:rsidRPr="00000000" w14:paraId="0000001E">
      <w:pPr>
        <w:ind w:left="420" w:firstLine="0"/>
        <w:jc w:val="both"/>
        <w:rPr/>
      </w:pPr>
      <w:r w:rsidDel="00000000" w:rsidR="00000000" w:rsidRPr="00000000">
        <w:rPr>
          <w:rtl w:val="0"/>
        </w:rPr>
        <w:t xml:space="preserve">„(22) Tvorba opravnej položky k príslušenstvu pohľadávky, pri ktorom je riziko, že ho dlžník úplne alebo čiastočne nezaplatí, ktoré bolo zahrnuté do zdaniteľných príjmov, ak od splatnosti pohľadávky, ku ktorej sa príslušenstvo viaže, alebo od splatnosti príslušenstva uplynula doba dlhšia ako</w:t>
      </w:r>
    </w:p>
    <w:p w:rsidR="00000000" w:rsidDel="00000000" w:rsidP="00000000" w:rsidRDefault="00000000" w:rsidRPr="00000000" w14:paraId="0000001F">
      <w:pPr>
        <w:ind w:left="420" w:firstLine="0"/>
        <w:jc w:val="both"/>
        <w:rPr/>
      </w:pPr>
      <w:r w:rsidDel="00000000" w:rsidR="00000000" w:rsidRPr="00000000">
        <w:rPr>
          <w:rtl w:val="0"/>
        </w:rPr>
        <w:t xml:space="preserve">a) 360 dní, sa zahrnie do výdavkov do výšky 50 % hodnoty príslušenstva alebo jeho neuhradenej časti, pričom takéto príslušenstvo je možné odpísať podľa § 19 ods. 2 písm. r),</w:t>
      </w:r>
    </w:p>
    <w:p w:rsidR="00000000" w:rsidDel="00000000" w:rsidP="00000000" w:rsidRDefault="00000000" w:rsidRPr="00000000" w14:paraId="00000020">
      <w:pPr>
        <w:ind w:left="420" w:firstLine="0"/>
        <w:jc w:val="both"/>
        <w:rPr/>
      </w:pPr>
      <w:r w:rsidDel="00000000" w:rsidR="00000000" w:rsidRPr="00000000">
        <w:rPr>
          <w:rtl w:val="0"/>
        </w:rPr>
        <w:t xml:space="preserve">b) 720 dní, sa zahrnie do výdavkov do výšky 100 % hodnoty príslušenstva alebo jeho neuhradenej časti, pričom takéto príslušenstvo je možné odpísať podľa § 19 ods. 2 písm. r).“.</w:t>
      </w:r>
    </w:p>
    <w:p w:rsidR="00000000" w:rsidDel="00000000" w:rsidP="00000000" w:rsidRDefault="00000000" w:rsidRPr="00000000" w14:paraId="00000021">
      <w:pPr>
        <w:jc w:val="both"/>
        <w:rPr/>
      </w:pPr>
      <w:r w:rsidDel="00000000" w:rsidR="00000000" w:rsidRPr="00000000">
        <w:rPr>
          <w:rtl w:val="0"/>
        </w:rPr>
        <w:t xml:space="preserve"> </w:t>
      </w:r>
    </w:p>
    <w:p w:rsidR="00000000" w:rsidDel="00000000" w:rsidP="00000000" w:rsidRDefault="00000000" w:rsidRPr="00000000" w14:paraId="00000022">
      <w:pPr>
        <w:numPr>
          <w:ilvl w:val="0"/>
          <w:numId w:val="1"/>
        </w:numPr>
        <w:spacing w:after="240" w:lineRule="auto"/>
        <w:ind w:left="425.19685039370086" w:hanging="360"/>
        <w:jc w:val="both"/>
        <w:rPr>
          <w:u w:val="none"/>
        </w:rPr>
      </w:pPr>
      <w:r w:rsidDel="00000000" w:rsidR="00000000" w:rsidRPr="00000000">
        <w:rPr>
          <w:rtl w:val="0"/>
        </w:rPr>
        <w:t xml:space="preserve">Za § 52zzza sa vkladá § 52zzzb, ktorý vrátane nadpisu znie:</w:t>
      </w:r>
    </w:p>
    <w:p w:rsidR="00000000" w:rsidDel="00000000" w:rsidP="00000000" w:rsidRDefault="00000000" w:rsidRPr="00000000" w14:paraId="00000023">
      <w:pPr>
        <w:jc w:val="center"/>
        <w:rPr>
          <w:b w:val="1"/>
        </w:rPr>
      </w:pPr>
      <w:r w:rsidDel="00000000" w:rsidR="00000000" w:rsidRPr="00000000">
        <w:rPr>
          <w:rtl w:val="0"/>
        </w:rPr>
        <w:t xml:space="preserve">„</w:t>
      </w:r>
      <w:r w:rsidDel="00000000" w:rsidR="00000000" w:rsidRPr="00000000">
        <w:rPr>
          <w:b w:val="1"/>
          <w:rtl w:val="0"/>
        </w:rPr>
        <w:t xml:space="preserve">§ 52zzzb</w:t>
      </w:r>
    </w:p>
    <w:p w:rsidR="00000000" w:rsidDel="00000000" w:rsidP="00000000" w:rsidRDefault="00000000" w:rsidRPr="00000000" w14:paraId="00000024">
      <w:pPr>
        <w:jc w:val="center"/>
        <w:rPr>
          <w:b w:val="1"/>
        </w:rPr>
      </w:pPr>
      <w:r w:rsidDel="00000000" w:rsidR="00000000" w:rsidRPr="00000000">
        <w:rPr>
          <w:b w:val="1"/>
          <w:rtl w:val="0"/>
        </w:rPr>
        <w:t xml:space="preserve">Prechodné ustanovenia k úpravám účinným od 1. januára 2025</w:t>
      </w:r>
    </w:p>
    <w:p w:rsidR="00000000" w:rsidDel="00000000" w:rsidP="00000000" w:rsidRDefault="00000000" w:rsidRPr="00000000" w14:paraId="00000025">
      <w:pPr>
        <w:jc w:val="both"/>
        <w:rPr/>
      </w:pPr>
      <w:r w:rsidDel="00000000" w:rsidR="00000000" w:rsidRPr="00000000">
        <w:rPr>
          <w:rtl w:val="0"/>
        </w:rPr>
        <w:t xml:space="preserve"> </w:t>
      </w:r>
    </w:p>
    <w:p w:rsidR="00000000" w:rsidDel="00000000" w:rsidP="00000000" w:rsidRDefault="00000000" w:rsidRPr="00000000" w14:paraId="00000026">
      <w:pPr>
        <w:ind w:left="420" w:firstLine="0"/>
        <w:jc w:val="both"/>
        <w:rPr/>
      </w:pPr>
      <w:r w:rsidDel="00000000" w:rsidR="00000000" w:rsidRPr="00000000">
        <w:rPr>
          <w:rtl w:val="0"/>
        </w:rPr>
        <w:t xml:space="preserve">(1) Ustanovenia § 20 ods. 4, 14 a 22 v znení účinnom od 1. januára 2025 sa prvýkrát použijú za zdaňovacie obdobie, ktoré sa začína 1. januára 2025.</w:t>
      </w:r>
    </w:p>
    <w:p w:rsidR="00000000" w:rsidDel="00000000" w:rsidP="00000000" w:rsidRDefault="00000000" w:rsidRPr="00000000" w14:paraId="00000027">
      <w:pPr>
        <w:ind w:left="420" w:firstLine="0"/>
        <w:jc w:val="both"/>
        <w:rPr/>
      </w:pPr>
      <w:r w:rsidDel="00000000" w:rsidR="00000000" w:rsidRPr="00000000">
        <w:rPr>
          <w:rtl w:val="0"/>
        </w:rPr>
        <w:t xml:space="preserve"> </w:t>
      </w:r>
    </w:p>
    <w:p w:rsidR="00000000" w:rsidDel="00000000" w:rsidP="00000000" w:rsidRDefault="00000000" w:rsidRPr="00000000" w14:paraId="00000028">
      <w:pPr>
        <w:ind w:left="420" w:firstLine="0"/>
        <w:jc w:val="both"/>
        <w:rPr/>
      </w:pPr>
      <w:r w:rsidDel="00000000" w:rsidR="00000000" w:rsidRPr="00000000">
        <w:rPr>
          <w:rtl w:val="0"/>
        </w:rPr>
        <w:t xml:space="preserve">(2) Ustanovenia § 20 ods. 4, 14 a 22 v znení účinnom od 1. januára 2025 sa použijú na pohľadávky vzniknuté po 31. decembri 2024, pričom ak sa daňovník rozhodne, môže ustanovenia § 20 ods. 4, 14 a 22 v znení účinnom od 1. januára 2025 použiť aj na pohľadávky vzniknuté do 31. decembra 2024, pričom už vytvorené opravné položky sa spätne neupravujú.“.</w:t>
      </w:r>
    </w:p>
    <w:p w:rsidR="00000000" w:rsidDel="00000000" w:rsidP="00000000" w:rsidRDefault="00000000" w:rsidRPr="00000000" w14:paraId="00000029">
      <w:pPr>
        <w:ind w:left="426" w:firstLine="0"/>
        <w:jc w:val="both"/>
        <w:rPr/>
      </w:pPr>
      <w:r w:rsidDel="00000000" w:rsidR="00000000" w:rsidRPr="00000000">
        <w:rPr>
          <w:rtl w:val="0"/>
        </w:rPr>
      </w:r>
    </w:p>
    <w:p w:rsidR="00000000" w:rsidDel="00000000" w:rsidP="00000000" w:rsidRDefault="00000000" w:rsidRPr="00000000" w14:paraId="0000002A">
      <w:pPr>
        <w:ind w:left="0" w:firstLine="0"/>
        <w:jc w:val="both"/>
        <w:rPr/>
      </w:pP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Čl. II</w:t>
      </w:r>
    </w:p>
    <w:p w:rsidR="00000000" w:rsidDel="00000000" w:rsidP="00000000" w:rsidRDefault="00000000" w:rsidRPr="00000000" w14:paraId="0000002C">
      <w:pPr>
        <w:jc w:val="center"/>
        <w:rPr>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Tento zákon nadobúda účinnosť 1. januára 2025.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footerReference r:id="rId7"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533F89"/>
    <w:rPr>
      <w:rFonts w:ascii="Times New Roman" w:cs="Times New Roman" w:eastAsia="Times New Roman" w:hAnsi="Times New Roman"/>
      <w:lang w:eastAsia="sk-SK"/>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PtaChar" w:customStyle="1">
    <w:name w:val="Päta Char"/>
    <w:basedOn w:val="Predvolenpsmoodseku"/>
    <w:link w:val="Pta"/>
    <w:uiPriority w:val="99"/>
    <w:qFormat w:val="1"/>
    <w:rsid w:val="00905FD0"/>
  </w:style>
  <w:style w:type="paragraph" w:styleId="Odsekzoznamu">
    <w:name w:val="List Paragraph"/>
    <w:basedOn w:val="Normlny"/>
    <w:link w:val="OdsekzoznamuChar"/>
    <w:uiPriority w:val="34"/>
    <w:qFormat w:val="1"/>
    <w:rsid w:val="00905FD0"/>
    <w:pPr>
      <w:suppressAutoHyphens w:val="1"/>
      <w:ind w:left="708"/>
    </w:pPr>
    <w:rPr>
      <w:rFonts w:ascii="Arial" w:hAnsi="Arial"/>
      <w:szCs w:val="20"/>
      <w:lang w:eastAsia="cs-CZ"/>
    </w:rPr>
  </w:style>
  <w:style w:type="paragraph" w:styleId="Pta">
    <w:name w:val="footer"/>
    <w:basedOn w:val="Normlny"/>
    <w:link w:val="PtaChar"/>
    <w:uiPriority w:val="99"/>
    <w:unhideWhenUsed w:val="1"/>
    <w:rsid w:val="00905FD0"/>
    <w:pPr>
      <w:tabs>
        <w:tab w:val="center" w:pos="4536"/>
        <w:tab w:val="right" w:pos="9072"/>
      </w:tabs>
      <w:suppressAutoHyphens w:val="1"/>
    </w:pPr>
    <w:rPr>
      <w:rFonts w:asciiTheme="minorHAnsi" w:cstheme="minorBidi" w:eastAsiaTheme="minorHAnsi" w:hAnsiTheme="minorHAnsi"/>
      <w:lang w:eastAsia="en-US"/>
    </w:rPr>
  </w:style>
  <w:style w:type="character" w:styleId="PtaChar1" w:customStyle="1">
    <w:name w:val="Päta Char1"/>
    <w:basedOn w:val="Predvolenpsmoodseku"/>
    <w:uiPriority w:val="99"/>
    <w:semiHidden w:val="1"/>
    <w:rsid w:val="00905FD0"/>
    <w:rPr>
      <w:sz w:val="22"/>
      <w:szCs w:val="22"/>
    </w:rPr>
  </w:style>
  <w:style w:type="paragraph" w:styleId="Bezriadkovania">
    <w:name w:val="No Spacing"/>
    <w:uiPriority w:val="1"/>
    <w:qFormat w:val="1"/>
    <w:rsid w:val="00905FD0"/>
    <w:rPr>
      <w:rFonts w:cs="Times New Roman" w:eastAsia="Times New Roman"/>
      <w:sz w:val="22"/>
      <w:szCs w:val="22"/>
    </w:rPr>
  </w:style>
  <w:style w:type="paragraph" w:styleId="Zkladntext">
    <w:name w:val="Body Text"/>
    <w:basedOn w:val="Normlny"/>
    <w:link w:val="ZkladntextChar"/>
    <w:uiPriority w:val="99"/>
    <w:rsid w:val="00905FD0"/>
    <w:pPr>
      <w:widowControl w:val="0"/>
      <w:autoSpaceDE w:val="0"/>
      <w:autoSpaceDN w:val="0"/>
      <w:adjustRightInd w:val="0"/>
      <w:jc w:val="both"/>
    </w:pPr>
    <w:rPr>
      <w:lang w:eastAsia="cs-CZ"/>
    </w:rPr>
  </w:style>
  <w:style w:type="character" w:styleId="ZkladntextChar" w:customStyle="1">
    <w:name w:val="Základný text Char"/>
    <w:basedOn w:val="Predvolenpsmoodseku"/>
    <w:link w:val="Zkladntext"/>
    <w:uiPriority w:val="99"/>
    <w:rsid w:val="00905FD0"/>
    <w:rPr>
      <w:rFonts w:ascii="Times New Roman" w:cs="Times New Roman" w:eastAsia="Times New Roman" w:hAnsi="Times New Roman"/>
      <w:lang w:eastAsia="cs-CZ"/>
    </w:rPr>
  </w:style>
  <w:style w:type="paragraph" w:styleId="Default" w:customStyle="1">
    <w:name w:val="Default"/>
    <w:uiPriority w:val="99"/>
    <w:rsid w:val="00905FD0"/>
    <w:pPr>
      <w:widowControl w:val="0"/>
      <w:autoSpaceDE w:val="0"/>
      <w:autoSpaceDN w:val="0"/>
      <w:adjustRightInd w:val="0"/>
    </w:pPr>
    <w:rPr>
      <w:rFonts w:ascii="Liberation Serif" w:cs="Liberation Serif" w:eastAsia="Times New Roman" w:hAnsi="Liberation Serif"/>
      <w:color w:val="000000"/>
      <w:kern w:val="2"/>
      <w:lang w:bidi="hi-IN" w:eastAsia="sk-SK"/>
    </w:rPr>
  </w:style>
  <w:style w:type="character" w:styleId="Hypertextovprepojenie">
    <w:name w:val="Hyperlink"/>
    <w:basedOn w:val="Predvolenpsmoodseku"/>
    <w:uiPriority w:val="99"/>
    <w:rsid w:val="00905FD0"/>
    <w:rPr>
      <w:rFonts w:cs="Times New Roman"/>
      <w:color w:val="0000ff"/>
      <w:u w:val="single"/>
      <w:rtl w:val="0"/>
      <w:cs w:val="0"/>
    </w:rPr>
  </w:style>
  <w:style w:type="paragraph" w:styleId="Revzia">
    <w:name w:val="Revision"/>
    <w:hidden w:val="1"/>
    <w:uiPriority w:val="99"/>
    <w:semiHidden w:val="1"/>
    <w:rsid w:val="00E16FC4"/>
    <w:rPr>
      <w:sz w:val="22"/>
      <w:szCs w:val="22"/>
    </w:rPr>
  </w:style>
  <w:style w:type="character" w:styleId="Odkaznakomentr">
    <w:name w:val="annotation reference"/>
    <w:basedOn w:val="Predvolenpsmoodseku"/>
    <w:uiPriority w:val="99"/>
    <w:semiHidden w:val="1"/>
    <w:unhideWhenUsed w:val="1"/>
    <w:rsid w:val="00BA123F"/>
    <w:rPr>
      <w:sz w:val="16"/>
      <w:szCs w:val="16"/>
    </w:rPr>
  </w:style>
  <w:style w:type="paragraph" w:styleId="Textkomentra">
    <w:name w:val="annotation text"/>
    <w:basedOn w:val="Normlny"/>
    <w:link w:val="TextkomentraChar"/>
    <w:uiPriority w:val="99"/>
    <w:unhideWhenUsed w:val="1"/>
    <w:rsid w:val="00BA123F"/>
    <w:pPr>
      <w:suppressAutoHyphens w:val="1"/>
      <w:spacing w:after="160"/>
    </w:pPr>
    <w:rPr>
      <w:rFonts w:asciiTheme="minorHAnsi" w:cstheme="minorBidi" w:eastAsiaTheme="minorHAnsi" w:hAnsiTheme="minorHAnsi"/>
      <w:sz w:val="20"/>
      <w:szCs w:val="20"/>
      <w:lang w:eastAsia="en-US"/>
    </w:rPr>
  </w:style>
  <w:style w:type="character" w:styleId="TextkomentraChar" w:customStyle="1">
    <w:name w:val="Text komentára Char"/>
    <w:basedOn w:val="Predvolenpsmoodseku"/>
    <w:link w:val="Textkomentra"/>
    <w:uiPriority w:val="99"/>
    <w:rsid w:val="00BA123F"/>
    <w:rPr>
      <w:sz w:val="20"/>
      <w:szCs w:val="20"/>
    </w:rPr>
  </w:style>
  <w:style w:type="paragraph" w:styleId="Predmetkomentra">
    <w:name w:val="annotation subject"/>
    <w:basedOn w:val="Textkomentra"/>
    <w:next w:val="Textkomentra"/>
    <w:link w:val="PredmetkomentraChar"/>
    <w:uiPriority w:val="99"/>
    <w:semiHidden w:val="1"/>
    <w:unhideWhenUsed w:val="1"/>
    <w:rsid w:val="00BA123F"/>
    <w:rPr>
      <w:b w:val="1"/>
      <w:bCs w:val="1"/>
    </w:rPr>
  </w:style>
  <w:style w:type="character" w:styleId="PredmetkomentraChar" w:customStyle="1">
    <w:name w:val="Predmet komentára Char"/>
    <w:basedOn w:val="TextkomentraChar"/>
    <w:link w:val="Predmetkomentra"/>
    <w:uiPriority w:val="99"/>
    <w:semiHidden w:val="1"/>
    <w:rsid w:val="00BA123F"/>
    <w:rPr>
      <w:b w:val="1"/>
      <w:bCs w:val="1"/>
      <w:sz w:val="20"/>
      <w:szCs w:val="20"/>
    </w:rPr>
  </w:style>
  <w:style w:type="character" w:styleId="Nevyrieenzmienka">
    <w:name w:val="Unresolved Mention"/>
    <w:basedOn w:val="Predvolenpsmoodseku"/>
    <w:uiPriority w:val="99"/>
    <w:semiHidden w:val="1"/>
    <w:unhideWhenUsed w:val="1"/>
    <w:rsid w:val="006175E8"/>
    <w:rPr>
      <w:color w:val="605e5c"/>
      <w:shd w:color="auto" w:fill="e1dfdd" w:val="clear"/>
    </w:rPr>
  </w:style>
  <w:style w:type="character" w:styleId="OdsekzoznamuChar" w:customStyle="1">
    <w:name w:val="Odsek zoznamu Char"/>
    <w:link w:val="Odsekzoznamu"/>
    <w:uiPriority w:val="34"/>
    <w:locked w:val="1"/>
    <w:rsid w:val="00324393"/>
    <w:rPr>
      <w:rFonts w:ascii="Arial" w:cs="Times New Roman" w:eastAsia="Times New Roman" w:hAnsi="Arial"/>
      <w:szCs w:val="20"/>
      <w:lang w:eastAsia="cs-CZ"/>
    </w:rPr>
  </w:style>
  <w:style w:type="table" w:styleId="Mriekatabuky">
    <w:name w:val="Table Grid"/>
    <w:basedOn w:val="Normlnatabuka"/>
    <w:uiPriority w:val="59"/>
    <w:rsid w:val="00324393"/>
    <w:rPr>
      <w:rFonts w:ascii="Arial Narrow" w:cs="Times New Roman" w:eastAsia="Times New Roman" w:hAnsi="Arial Narrow"/>
      <w:sz w:val="22"/>
      <w:szCs w:val="3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uitHypertextovPrepojenie">
    <w:name w:val="FollowedHyperlink"/>
    <w:basedOn w:val="Predvolenpsmoodseku"/>
    <w:uiPriority w:val="99"/>
    <w:semiHidden w:val="1"/>
    <w:unhideWhenUsed w:val="1"/>
    <w:rsid w:val="00C15A39"/>
    <w:rPr>
      <w:color w:val="954f72" w:themeColor="followedHyperlink"/>
      <w:u w:val="single"/>
    </w:rPr>
  </w:style>
  <w:style w:type="paragraph" w:styleId="Normlnywebov">
    <w:name w:val="Normal (Web)"/>
    <w:basedOn w:val="Normlny"/>
    <w:uiPriority w:val="99"/>
    <w:semiHidden w:val="1"/>
    <w:unhideWhenUsed w:val="1"/>
    <w:rsid w:val="00533F89"/>
    <w:pPr>
      <w:spacing w:after="100" w:afterAutospacing="1" w:before="100" w:beforeAutospacing="1"/>
    </w:pPr>
  </w:style>
  <w:style w:type="numbering" w:styleId="Aktulnyzoznam1" w:customStyle="1">
    <w:name w:val="Aktuálny zoznam1"/>
    <w:uiPriority w:val="99"/>
    <w:rsid w:val="00BC403A"/>
    <w:pPr>
      <w:numPr>
        <w:numId w:val="1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t8mh5XY4bbZ+NNyR1Yc4/zsAw==">CgMxLjA4AGopChRzdWdnZXN0LmRyZ2w0bW1qdW9idxIRRMOhxaFhIEJsYcWha292w6FqKQoUc3VnZ2VzdC4xd2pkZmtqZWgxb2MSEUTDocWhYSBCbGHFoWtvdsOhaikKFHN1Z2dlc3QuMTBxMnJoazNyY3RuEhFEw6HFoWEgQmxhxaFrb3bDoWopChRzdWdnZXN0LmZ4bWUydjdoOW5ucRIRRMOhxaFhIEJsYcWha292w6FqKQoUc3VnZ2VzdC53a3dqaW14bm1rdmwSEUTDocWhYSBCbGHFoWtvdsOhaikKFHN1Z2dlc3QubHAyd2Q5aGp0bWV4EhFEw6HFoWEgQmxhxaFrb3bDoWopChRzdWdnZXN0LnYxeHpmcDJxZGl6axIRRMOhxaFhIEJsYcWha292w6FqKQoUc3VnZ2VzdC5vM29hZGlqcWJtdzcSEUTDocWhYSBCbGHFoWtvdsOhaikKFHN1Z2dlc3QuMnRtYTBqemJuMXJwEhFEw6HFoWEgQmxhxaFrb3bDoWopChRzdWdnZXN0Lm1vMnpjaGlqYTM1dhIRRMOhxaFhIEJsYcWha292w6FqKQoUc3VnZ2VzdC5vZG9uYnVtMHd3dmQSEUTDocWhYSBCbGHFoWtvdsOhaikKFHN1Z2dlc3QucXprMHFkcWp3eWkxEhFEw6HFoWEgQmxhxaFrb3bDoXIhMWllakpaWHBWMlFEWVQ0MEVMUXc3dXh4V2dsc0ZiZ19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2024-08-14T12:15:00Z</dcterms:created>
  <dc:creator>Dáša Blašková</dc:creator>
</cp:coreProperties>
</file>