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0DEAD" w14:textId="77777777"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s p r á v a</w:t>
      </w:r>
    </w:p>
    <w:p w14:paraId="58DB869C" w14:textId="77777777" w:rsidR="00DD75B3" w:rsidRDefault="00DD75B3" w:rsidP="00DD75B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78C800DC" w14:textId="77777777" w:rsidR="00DD75B3" w:rsidRPr="00365558" w:rsidRDefault="00DD75B3" w:rsidP="00DD75B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D5F13B" w14:textId="77777777" w:rsidR="00DD75B3" w:rsidRPr="00314307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49944145" w14:textId="77777777" w:rsidR="00DD75B3" w:rsidRDefault="00DD75B3" w:rsidP="00DD75B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98CFED" w14:textId="77777777" w:rsidR="00DD75B3" w:rsidRPr="003E05A4" w:rsidRDefault="00DD75B3" w:rsidP="003E05A4">
      <w:pPr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E05A4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3E05A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sa mení a dopĺňa </w:t>
      </w:r>
      <w:r w:rsidR="00F40FAB" w:rsidRPr="003E05A4">
        <w:rPr>
          <w:rFonts w:ascii="Times New Roman" w:hAnsi="Times New Roman"/>
          <w:color w:val="000000"/>
          <w:sz w:val="24"/>
          <w:szCs w:val="24"/>
          <w:lang w:eastAsia="sk-SK"/>
        </w:rPr>
        <w:t>zákon č. 576/2004 Z. z. o zdravotnej starostlivosti, službách súvisiacich s poskytovaním zdravotnej starostlivosti a o zmene a doplnení niektorých zákonov</w:t>
      </w:r>
      <w:r w:rsidRPr="003E05A4">
        <w:rPr>
          <w:rFonts w:ascii="Times New Roman" w:hAnsi="Times New Roman"/>
          <w:sz w:val="24"/>
          <w:szCs w:val="24"/>
        </w:rPr>
        <w:t>, predklad</w:t>
      </w:r>
      <w:r w:rsidR="00F40FAB" w:rsidRPr="003E05A4">
        <w:rPr>
          <w:rFonts w:ascii="Times New Roman" w:hAnsi="Times New Roman"/>
          <w:sz w:val="24"/>
          <w:szCs w:val="24"/>
        </w:rPr>
        <w:t xml:space="preserve">á </w:t>
      </w:r>
      <w:r w:rsidRPr="003E05A4">
        <w:rPr>
          <w:rFonts w:ascii="Times New Roman" w:hAnsi="Times New Roman"/>
          <w:sz w:val="24"/>
          <w:szCs w:val="24"/>
          <w:shd w:val="clear" w:color="auto" w:fill="FFFFFF"/>
        </w:rPr>
        <w:t>na rokovanie Národnej rady Slovenskej republiky poslan</w:t>
      </w:r>
      <w:r w:rsidR="00F40FAB" w:rsidRPr="003E05A4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Pr="003E05A4">
        <w:rPr>
          <w:rFonts w:ascii="Times New Roman" w:hAnsi="Times New Roman"/>
          <w:sz w:val="24"/>
          <w:szCs w:val="24"/>
          <w:shd w:val="clear" w:color="auto" w:fill="FFFFFF"/>
        </w:rPr>
        <w:t xml:space="preserve">c Národnej rady Slovenskej republiky Peter </w:t>
      </w:r>
      <w:r w:rsidR="004823AA" w:rsidRPr="003E05A4">
        <w:rPr>
          <w:rFonts w:ascii="Times New Roman" w:hAnsi="Times New Roman"/>
          <w:sz w:val="24"/>
          <w:szCs w:val="24"/>
          <w:shd w:val="clear" w:color="auto" w:fill="FFFFFF"/>
        </w:rPr>
        <w:t>STACHURA</w:t>
      </w:r>
      <w:r w:rsidRPr="003E05A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C6DAB77" w14:textId="0EAB2E96" w:rsidR="00F40FAB" w:rsidRPr="003E05A4" w:rsidRDefault="00DD75B3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Cieľom návrhu zákona je 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zabezpečiť poskytovanie správnej zdravotnej starostlivosti</w:t>
      </w:r>
      <w:r w:rsidR="004B599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ktorej definícia sa dopĺňa aj o rešpektovanie hospodárnosti, nevyhnutnosti a zmysluplnosti poskytovanej zdravotnej starostlivosti. Návrh novely zákona vychádza zo základov medicínskej etiky, ktorá je postavená na štyroch princípoch – pomáhať, neškodiť, rešpektovať autonómiu pacienta a na spravodlivom rozdelení obmedzených zdrojov. Zároveň sa v návrhu upravuje aj podmienenie poskytovania </w:t>
      </w:r>
      <w:r w:rsidR="00DA3A9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správnej zdravotnej starostlivosti 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 súlade so </w:t>
      </w:r>
      <w:r w:rsidR="00DA3A9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zdravotníckymi 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štandard</w:t>
      </w:r>
      <w:r w:rsidR="00DA3A94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mi</w:t>
      </w:r>
      <w:r w:rsidR="00BE5143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29079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ktoré musia 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spĺňať kritériá kvality, aby prispievali k </w:t>
      </w:r>
      <w:r w:rsidR="00571CAF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zlepšovani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r w:rsidR="00571CAF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úrovne poskytovanej 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zdravotnej starostlivosti. </w:t>
      </w:r>
      <w:r w:rsidR="0029079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DA3A94">
        <w:rPr>
          <w:rFonts w:ascii="Times New Roman" w:hAnsi="Times New Roman"/>
          <w:bCs/>
          <w:sz w:val="24"/>
          <w:szCs w:val="24"/>
          <w:shd w:val="clear" w:color="auto" w:fill="FFFFFF"/>
        </w:rPr>
        <w:t>Z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abezpeč</w:t>
      </w:r>
      <w:r w:rsidR="0033116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í sa tým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vy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ššia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kvalit</w:t>
      </w:r>
      <w:r w:rsidR="0033116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, bezpečnosť, efektivit</w:t>
      </w:r>
      <w:r w:rsidR="0033116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právn</w:t>
      </w:r>
      <w:r w:rsidR="0033116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ochran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pacientov a optimalizáci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zdravotn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ého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systém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r w:rsidR="0029079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ako celku</w:t>
      </w:r>
      <w:r w:rsidR="00F40FA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</w:p>
    <w:p w14:paraId="7F6728A7" w14:textId="4E5C87C4" w:rsidR="0074618C" w:rsidRDefault="004823AA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Navrhovanou zmenou zákona </w:t>
      </w:r>
      <w:r w:rsidR="00950DB1">
        <w:rPr>
          <w:rFonts w:ascii="Times New Roman" w:hAnsi="Times New Roman"/>
          <w:bCs/>
          <w:sz w:val="24"/>
          <w:szCs w:val="24"/>
          <w:shd w:val="clear" w:color="auto" w:fill="FFFFFF"/>
        </w:rPr>
        <w:t>chceme docieliť, aby správna zdravotná starostlivosť vychádzala z</w:t>
      </w:r>
      <w:r w:rsidR="0055021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 individuálnych </w:t>
      </w:r>
      <w:r w:rsidR="00950DB1">
        <w:rPr>
          <w:rFonts w:ascii="Times New Roman" w:hAnsi="Times New Roman"/>
          <w:bCs/>
          <w:sz w:val="24"/>
          <w:szCs w:val="24"/>
          <w:shd w:val="clear" w:color="auto" w:fill="FFFFFF"/>
        </w:rPr>
        <w:t>potrieb pacienta</w:t>
      </w:r>
      <w:r w:rsidR="0055021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(nevyhnutnosť, zmysluplnosť) a zároveň aby rešpektovala spravodlivé rozdelenie obmedzených zdrojov v celom sektore zdravotníctva (optimálne využitie dostupných zdrojov). Cieľom je zamedziť poskytovaniu zdravotnej starostlivosti nad rámec potrieb pacienta</w:t>
      </w:r>
      <w:r w:rsidR="00B237F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(napríklad ak je postačujúci malý operačný výkon, vykonanie veľkej operácie z nemedicínskych dôvodov), zdravotnej starostlivosti, ktorá nie je zmysluplná (napríklad implantovanie defibrilátora pacientovi v terminálnom štádiu ochorenia) a rovnako zamedziť poskytovaniu zdravotnej starostlivosti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hradenej z verejného zdravotného poistenia</w:t>
      </w:r>
      <w:r w:rsidR="00B237F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ktorá presahuje hospodárske možnosti Slovenskej republiky a zároveň znižuje disponibilné zdroje pre ostatné zložky v sektore. </w:t>
      </w:r>
    </w:p>
    <w:p w14:paraId="73A7A16E" w14:textId="2EBA2356" w:rsidR="003545FC" w:rsidRDefault="00B237FE" w:rsidP="003545FC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Z pohľadu hospodárnosti a efektívnosti navrhujeme, aby aplikačná prax pri poskytovaní zdravotnej starostlivosti zohľadňovala aktuálne poznatky lekárskej vedy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ale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 cieľom dosiahnuť 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čo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najlepšie zdravotné výsledky 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celej spoločnosti,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s optimálnym využitím dostupných zdrojov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Teda aby jedna oblasť zdravotnej starostlivosti neprofitovala na úkor iných zložiek. Rovnako chceme posilniť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ohľad na nevyhnutnosť a zmysluplnosť poskyt</w:t>
      </w:r>
      <w:r w:rsidR="003545F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ovanej </w:t>
      </w:r>
      <w:r w:rsidR="003545FC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zdravotnej starostlivosti.</w:t>
      </w:r>
    </w:p>
    <w:p w14:paraId="33083100" w14:textId="305F91BB" w:rsidR="00550215" w:rsidRDefault="003545FC" w:rsidP="003545FC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Poskytovanie zdravotnej starostlivosti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je financované prevažne z verejných zdrojov, a preto je dôležité, aby sa tieto prostriedky využívali efektívne a s ohľadom na prínosy pre verejné zdravie.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Redukovanie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zbytočných výdavkov umož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ní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>, aby sa ušetrené prostriedky investovali do iných oblastí zdravotnej starostlivosti.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>Hospodárnosť zabezpeč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í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>, že sa vyhneme nadmernému využívaniu zdravotníckych služieb, nákladným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ale nepotrebným vyšetreniam alebo procedúram, čo môže viesť k plytvaniu zdrojmi bez skutočného prínosu pre pacientov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 E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>fektívne hospodárenie umož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ní</w:t>
      </w:r>
      <w:r w:rsidRPr="00036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rozšíriť zdravotnú starostlivosť na väčší počet pacientov, čím sa zvyšuje dostupnosť služieb pre celú populáciu.</w:t>
      </w:r>
      <w:r w:rsidR="00EC066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3137344C" w14:textId="3F01F9B4" w:rsidR="00030789" w:rsidRPr="003E05A4" w:rsidRDefault="00030789" w:rsidP="00030789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Medicínske š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tandard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y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prinášajú sumáciu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klinických odporúčaní, ktoré sú vedecky overené a podporené klinickou praxou. Ich cieľom je zaistiť, aby pacienti dostávali liečbu, ktorá je účinná, bezpečná a v súlade s aktuálnymi medicínskymi poznatkami. Dodržiavanie tohto systému štandardov minimalizuje riziko chýb, znižuje variabilitu  poskytovanej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zdravotnej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starostlivosti a zlepšuje celkové výsledky liečby.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Štandardizovaná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zdravotná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starostlivosť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tiež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zaisťuje efektívne využívanie zdrojov, čím prispieva k optimalizácii nákladov v zdravotníctve. </w:t>
      </w:r>
    </w:p>
    <w:p w14:paraId="6BF8A249" w14:textId="77777777" w:rsidR="003545FC" w:rsidRPr="003E05A4" w:rsidRDefault="003545FC" w:rsidP="003545FC">
      <w:pPr>
        <w:spacing w:after="120" w:line="276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kontexte dobrej medicínskej praxe sú odborné usmernenia (štandardné postupy) vhodným nástrojom na sumáciu aktuálnych lekárskych poznatkov a evidencie. Hoci cieľom tvorby usmernení (štandardných postupov) je šírenie nových poznatkov z vedy a výskumu,  niekedy môžu „predbehnúť dobu“ a nie sú celoplošne uskutočniteľné, respektíve nezohľadňujú odborné skúsenosti zdravotníka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individuálne potreby pacienta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alebo ekonomické možnosti krajiny, v ktorej sa majú uplatňovať.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Zároveň jednotlivé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štandardné postupy môžu mať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rôznorodú kvalitu spracovania, sú založené na veľmi rôznorodej evidencii toho ktorého poznatku a vyžadujú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si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pravidelnú aktualizáciu.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Aj preto je dôležité dbať na vysokú kvalitu štandardných postupov, na správnu metodiku ich tvorby a aktuálnosť. </w:t>
      </w:r>
    </w:p>
    <w:p w14:paraId="319179E5" w14:textId="5C4A3E1E" w:rsidR="00EC066D" w:rsidRPr="003E05A4" w:rsidRDefault="00EC066D" w:rsidP="00EC066D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Slovenská právna úprava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ktorá </w:t>
      </w:r>
      <w:r w:rsidR="0003078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viac menej 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zaväzuje poskytovateľov k dodržiavaniu odborných usmernení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bez rozdielu kvality ich tvorby, obsahu a aktuálnosti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, je v medzinárodnom porovnaní neštandardná. Odborné usmernenia napríklad v Nemeckej spolkovej republike vydáva Pracovná skupina vedeckých lekárskych spoločností (</w:t>
      </w:r>
      <w:proofErr w:type="spellStart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Arbeitsgemeinschaft</w:t>
      </w:r>
      <w:proofErr w:type="spellEnd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der </w:t>
      </w:r>
      <w:proofErr w:type="spellStart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Wissenschaftlichen</w:t>
      </w:r>
      <w:proofErr w:type="spellEnd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Medizinischen</w:t>
      </w:r>
      <w:proofErr w:type="spellEnd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Fachgesellschaften</w:t>
      </w:r>
      <w:proofErr w:type="spellEnd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) a de jure nie sú právne záväzné, čo potvrdil aj rozsudok Federálneho súdneho dvora z 15.04.2014  (VI ZR 382/12). V rozsudku sa píše, že odborné usmernenia, ktoré vydávajú odborné spoločnosti a asociácie sa nesmú stotožňovať s medicínskym štandardom, hoci v jednotlivých prípadoch vedia opísať medicínsky štandard v čase ich prijatia. Podobne nie sú právne záväzné ani odborné odporúčania, ktoré vydáva Národný inštitút pre </w:t>
      </w:r>
      <w:proofErr w:type="spellStart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excelentnosť</w:t>
      </w:r>
      <w:proofErr w:type="spellEnd"/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 oblasti zdravia a starostlivosti (NICE) v Spojenom kráľovstve.</w:t>
      </w:r>
      <w:r w:rsidR="0003078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5C4AF69B" w14:textId="43E9E4E6" w:rsidR="004823AA" w:rsidRPr="003E05A4" w:rsidRDefault="003545FC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S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ledovaným úmyslom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99759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tejto právnej úpravy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je</w:t>
      </w:r>
      <w:r w:rsidR="003E05A4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dosiahnutie menej defenzívnej medicíny,</w:t>
      </w:r>
      <w:r w:rsidR="0074618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ktorá 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môže </w:t>
      </w:r>
      <w:r w:rsidR="0074618C">
        <w:rPr>
          <w:rFonts w:ascii="Times New Roman" w:hAnsi="Times New Roman"/>
          <w:bCs/>
          <w:sz w:val="24"/>
          <w:szCs w:val="24"/>
          <w:shd w:val="clear" w:color="auto" w:fill="FFFFFF"/>
        </w:rPr>
        <w:t>nadväz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>ovať</w:t>
      </w:r>
      <w:r w:rsidR="0074618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dodržiavan</w:t>
      </w:r>
      <w:r w:rsidR="0074618C">
        <w:rPr>
          <w:rFonts w:ascii="Times New Roman" w:hAnsi="Times New Roman"/>
          <w:bCs/>
          <w:sz w:val="24"/>
          <w:szCs w:val="24"/>
          <w:shd w:val="clear" w:color="auto" w:fill="FFFFFF"/>
        </w:rPr>
        <w:t>ie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štandardov, ktoré nemajú dostatočnú evidenciu, </w:t>
      </w:r>
      <w:r w:rsidR="0074618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alebo 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>vznikli neštandardným spôsobom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respektíve stratili svoju aktuálnosť. Očakávame, že novela zákona prinesie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profesionalizáciu štandardov v budúcnosti, väčšiu koncentráciu na individuálne potreby pacienta, aproximáciu k medzinárodným štandardom, jasne formulované odporúčania podložené dôkazmi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>, t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lak na pravidelnú revíziu</w:t>
      </w:r>
      <w:r w:rsidR="004B3A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implementáciu</w:t>
      </w:r>
      <w:r w:rsidR="004823AA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štandardov.</w:t>
      </w:r>
    </w:p>
    <w:p w14:paraId="11ED5A29" w14:textId="77777777" w:rsidR="002A41D1" w:rsidRPr="003E05A4" w:rsidRDefault="002A41D1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Sledovaným účelom navrhovanej právnej úpravy je odstránenie hlavných problémov v rozsahu:</w:t>
      </w:r>
    </w:p>
    <w:p w14:paraId="59A8A172" w14:textId="77777777" w:rsidR="002A41D1" w:rsidRPr="003E05A4" w:rsidRDefault="002A41D1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 xml:space="preserve">A) Rôzna kvalita štandardov </w:t>
      </w:r>
    </w:p>
    <w:p w14:paraId="3546885A" w14:textId="3F79A94D" w:rsidR="002A41D1" w:rsidRPr="003E05A4" w:rsidRDefault="002A41D1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B) Rôzna kvalita odporúčaní</w:t>
      </w:r>
      <w:r w:rsidR="00412D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6DE9BAC9" w14:textId="77777777" w:rsidR="002A41D1" w:rsidRPr="003E05A4" w:rsidRDefault="002A41D1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-</w:t>
      </w: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C) Aktuálnosť štandardov</w:t>
      </w:r>
    </w:p>
    <w:p w14:paraId="005E006B" w14:textId="11703E73" w:rsidR="00B7454B" w:rsidRPr="003E05A4" w:rsidRDefault="002A41D1" w:rsidP="00B7454B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Preto navrhujeme, aby </w:t>
      </w:r>
      <w:r w:rsidR="00412D12">
        <w:rPr>
          <w:rFonts w:ascii="Times New Roman" w:hAnsi="Times New Roman"/>
          <w:bCs/>
          <w:sz w:val="24"/>
          <w:szCs w:val="24"/>
          <w:shd w:val="clear" w:color="auto" w:fill="FFFFFF"/>
        </w:rPr>
        <w:t>na základe tejto novely zákona Ministerstvo zdravotníctva vydalo novú vyhlášku, ktorá by jasne zadefinovala metodiku tvorby štandardov,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vrátane zákonných požiadaviek na vytvárané a už pripravené medicínske štandardy.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Zostavenie pracovnej skupiny,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respektíve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vedeckého výboru musí byť reprezentatívne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pri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in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t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erdisciplinárnych činnostiach musia byť obsiahnuté všetky dotknuté odborné spoločnosti.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Členovia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pracovnej skupiny,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resp.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vedeckého výboru mus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ia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zverejn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iť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svoj </w:t>
      </w:r>
      <w:r w:rsidR="00B7454B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prípadný konflikt záujmov. 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Pri tvorbe medicínskych štandardov je potrebné vychádzať z medzinárodných odporúčaní, so zohľadnením národných špecifík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princípu hospodárnosti, nevyhnutnosti a zmysluplnosti.   </w:t>
      </w:r>
    </w:p>
    <w:p w14:paraId="6A9C5223" w14:textId="026F9F97" w:rsidR="002A41D1" w:rsidRDefault="00571CAF" w:rsidP="007D3E1F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Podzákonná norma má ďalej rozdeliť aktuálne a novovytvorené </w:t>
      </w:r>
      <w:r w:rsidR="002A41D1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štandardné postup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y</w:t>
      </w:r>
      <w:r w:rsidR="002A41D1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podľa kvality a dodržiavania medzinárodných kritérií pri </w:t>
      </w:r>
      <w:r w:rsidR="009E2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ich </w:t>
      </w:r>
      <w:r w:rsidR="002A41D1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>tvorbe</w:t>
      </w:r>
      <w:r w:rsidR="009E277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 štandardy skupiny:</w:t>
      </w:r>
    </w:p>
    <w:p w14:paraId="20F0F15A" w14:textId="77777777" w:rsidR="00D70F1E" w:rsidRPr="003E05A4" w:rsidRDefault="00D70F1E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5704"/>
        <w:gridCol w:w="1835"/>
      </w:tblGrid>
      <w:tr w:rsidR="00556552" w:rsidRPr="00270390" w14:paraId="1EFCBF55" w14:textId="642392CB" w:rsidTr="007D3E1F">
        <w:tc>
          <w:tcPr>
            <w:tcW w:w="1526" w:type="dxa"/>
          </w:tcPr>
          <w:p w14:paraId="38CA46CE" w14:textId="0E32D4E5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Kvalita štandardu</w:t>
            </w:r>
          </w:p>
        </w:tc>
        <w:tc>
          <w:tcPr>
            <w:tcW w:w="5704" w:type="dxa"/>
          </w:tcPr>
          <w:p w14:paraId="430B2E51" w14:textId="4792978E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Definícia tvorby</w:t>
            </w:r>
          </w:p>
        </w:tc>
        <w:tc>
          <w:tcPr>
            <w:tcW w:w="1835" w:type="dxa"/>
          </w:tcPr>
          <w:p w14:paraId="43C357D4" w14:textId="34BE18B3" w:rsidR="00556552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Záväznosť</w:t>
            </w:r>
          </w:p>
        </w:tc>
      </w:tr>
      <w:tr w:rsidR="00556552" w:rsidRPr="00270390" w14:paraId="558F2F75" w14:textId="380D30F0" w:rsidTr="007D3E1F">
        <w:tc>
          <w:tcPr>
            <w:tcW w:w="1526" w:type="dxa"/>
          </w:tcPr>
          <w:p w14:paraId="1BAAD17A" w14:textId="1FE219A1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 xml:space="preserve">S1 </w:t>
            </w:r>
          </w:p>
        </w:tc>
        <w:tc>
          <w:tcPr>
            <w:tcW w:w="5704" w:type="dxa"/>
          </w:tcPr>
          <w:p w14:paraId="0332F936" w14:textId="77777777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>sú odporúčaniami expertných skupín</w:t>
            </w:r>
          </w:p>
        </w:tc>
        <w:tc>
          <w:tcPr>
            <w:tcW w:w="1835" w:type="dxa"/>
          </w:tcPr>
          <w:p w14:paraId="6D1B479E" w14:textId="579366DB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nízka</w:t>
            </w:r>
          </w:p>
        </w:tc>
      </w:tr>
      <w:tr w:rsidR="00556552" w:rsidRPr="00270390" w14:paraId="0719275B" w14:textId="4A976FD5" w:rsidTr="007D3E1F">
        <w:tc>
          <w:tcPr>
            <w:tcW w:w="1526" w:type="dxa"/>
          </w:tcPr>
          <w:p w14:paraId="711C871A" w14:textId="11AE4E91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 xml:space="preserve">S2k </w:t>
            </w:r>
          </w:p>
        </w:tc>
        <w:tc>
          <w:tcPr>
            <w:tcW w:w="5704" w:type="dxa"/>
          </w:tcPr>
          <w:p w14:paraId="6E77DAFE" w14:textId="77777777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>sú vypracované výborom/mi odborne kompetentnej spoločnosti, založené na štruktúrovanom konsenze relevantných expertov v danej oblasti</w:t>
            </w:r>
          </w:p>
        </w:tc>
        <w:tc>
          <w:tcPr>
            <w:tcW w:w="1835" w:type="dxa"/>
          </w:tcPr>
          <w:p w14:paraId="2EAA2CC0" w14:textId="6362908F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stredná</w:t>
            </w:r>
          </w:p>
        </w:tc>
      </w:tr>
      <w:tr w:rsidR="00556552" w:rsidRPr="00270390" w14:paraId="7C85D878" w14:textId="51838A94" w:rsidTr="007D3E1F">
        <w:tc>
          <w:tcPr>
            <w:tcW w:w="1526" w:type="dxa"/>
          </w:tcPr>
          <w:p w14:paraId="6B0782E1" w14:textId="1C2DB062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 xml:space="preserve">S2e </w:t>
            </w:r>
          </w:p>
        </w:tc>
        <w:tc>
          <w:tcPr>
            <w:tcW w:w="5704" w:type="dxa"/>
          </w:tcPr>
          <w:p w14:paraId="1A34F41E" w14:textId="77777777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>sú vypracované výborom/mi odborne kompetentnej spoločnosti, založené na systematickom zhromažďovaní dôkazov</w:t>
            </w:r>
          </w:p>
        </w:tc>
        <w:tc>
          <w:tcPr>
            <w:tcW w:w="1835" w:type="dxa"/>
          </w:tcPr>
          <w:p w14:paraId="3E683EE2" w14:textId="7090FC25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stredná</w:t>
            </w:r>
          </w:p>
        </w:tc>
      </w:tr>
      <w:tr w:rsidR="00556552" w:rsidRPr="003E05A4" w14:paraId="61BE3127" w14:textId="40414C41" w:rsidTr="007D3E1F">
        <w:tc>
          <w:tcPr>
            <w:tcW w:w="1526" w:type="dxa"/>
          </w:tcPr>
          <w:p w14:paraId="35CE6EED" w14:textId="5FDC72C6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>S3</w:t>
            </w:r>
          </w:p>
        </w:tc>
        <w:tc>
          <w:tcPr>
            <w:tcW w:w="5704" w:type="dxa"/>
          </w:tcPr>
          <w:p w14:paraId="4B825330" w14:textId="77777777" w:rsidR="00556552" w:rsidRPr="003E05A4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270390">
              <w:rPr>
                <w:rFonts w:ascii="Times New Roman" w:hAnsi="Times New Roman"/>
                <w:bCs/>
                <w:shd w:val="clear" w:color="auto" w:fill="FFFFFF"/>
              </w:rPr>
              <w:t>sú vypracované výborom/mi odborne kompetentnej spoločnosti, založené na dôkazoch a štruktúrovanom konsenze.</w:t>
            </w:r>
          </w:p>
        </w:tc>
        <w:tc>
          <w:tcPr>
            <w:tcW w:w="1835" w:type="dxa"/>
          </w:tcPr>
          <w:p w14:paraId="24171F86" w14:textId="54F99F2A" w:rsidR="00556552" w:rsidRPr="00270390" w:rsidRDefault="00556552" w:rsidP="00270390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vysoká</w:t>
            </w:r>
          </w:p>
        </w:tc>
      </w:tr>
    </w:tbl>
    <w:p w14:paraId="0C594F91" w14:textId="2BD0E96F" w:rsidR="002A41D1" w:rsidRPr="003E05A4" w:rsidRDefault="002A41D1" w:rsidP="003E05A4">
      <w:pPr>
        <w:spacing w:after="12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14:paraId="13A06F67" w14:textId="705BF7C4" w:rsidR="00453E1A" w:rsidRDefault="009E277C" w:rsidP="003E05A4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Zároveň 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má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metodika zadefinova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>ť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potrebu preferovať </w:t>
      </w:r>
      <w:r w:rsidR="00453E1A">
        <w:rPr>
          <w:rFonts w:ascii="Times New Roman" w:hAnsi="Times New Roman"/>
          <w:bCs/>
          <w:sz w:val="24"/>
          <w:szCs w:val="24"/>
          <w:shd w:val="clear" w:color="auto" w:fill="FFFFFF"/>
        </w:rPr>
        <w:t>klinicky relevantné témy a jasné odpovede na klinicky relevantné otázky, použiteľné v praxi. V rámci štandardu má byť zadefinovaný stupeň evidencie a odporúčanie pre klinickú prax:</w:t>
      </w:r>
    </w:p>
    <w:p w14:paraId="4C1A9E53" w14:textId="77777777" w:rsidR="00453E1A" w:rsidRDefault="00453E1A" w:rsidP="003E05A4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53E1A" w14:paraId="3E41982C" w14:textId="77777777" w:rsidTr="007D3E1F">
        <w:tc>
          <w:tcPr>
            <w:tcW w:w="1980" w:type="dxa"/>
          </w:tcPr>
          <w:p w14:paraId="3B9DA15E" w14:textId="2AB4310A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Stupeň evidencie</w:t>
            </w:r>
          </w:p>
        </w:tc>
        <w:tc>
          <w:tcPr>
            <w:tcW w:w="7080" w:type="dxa"/>
          </w:tcPr>
          <w:p w14:paraId="29445A1B" w14:textId="4186EFD3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Na základe</w:t>
            </w:r>
          </w:p>
        </w:tc>
      </w:tr>
      <w:tr w:rsidR="00453E1A" w14:paraId="28D71343" w14:textId="77777777" w:rsidTr="007D3E1F">
        <w:tc>
          <w:tcPr>
            <w:tcW w:w="1980" w:type="dxa"/>
          </w:tcPr>
          <w:p w14:paraId="7577AC11" w14:textId="226A1AEE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1a</w:t>
            </w:r>
          </w:p>
        </w:tc>
        <w:tc>
          <w:tcPr>
            <w:tcW w:w="7080" w:type="dxa"/>
          </w:tcPr>
          <w:p w14:paraId="0B111173" w14:textId="545A2E68" w:rsidR="00453E1A" w:rsidRDefault="006D33C7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Metaanalýz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randomizovaných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>, kontrolovaných štúdií</w:t>
            </w:r>
          </w:p>
        </w:tc>
      </w:tr>
      <w:tr w:rsidR="00453E1A" w14:paraId="7A40F889" w14:textId="77777777" w:rsidTr="007D3E1F">
        <w:tc>
          <w:tcPr>
            <w:tcW w:w="1980" w:type="dxa"/>
          </w:tcPr>
          <w:p w14:paraId="5E0ACACD" w14:textId="2083E620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1b</w:t>
            </w:r>
          </w:p>
        </w:tc>
        <w:tc>
          <w:tcPr>
            <w:tcW w:w="7080" w:type="dxa"/>
          </w:tcPr>
          <w:p w14:paraId="5F131607" w14:textId="7CD4A582" w:rsidR="00453E1A" w:rsidRDefault="006D33C7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Minimálne jednej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randomizovanej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kontrolovanej štúdie</w:t>
            </w:r>
          </w:p>
        </w:tc>
      </w:tr>
      <w:tr w:rsidR="00453E1A" w14:paraId="37D767EE" w14:textId="77777777" w:rsidTr="007D3E1F">
        <w:tc>
          <w:tcPr>
            <w:tcW w:w="1980" w:type="dxa"/>
          </w:tcPr>
          <w:p w14:paraId="298B927D" w14:textId="26C29FF5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2a</w:t>
            </w:r>
          </w:p>
        </w:tc>
        <w:tc>
          <w:tcPr>
            <w:tcW w:w="7080" w:type="dxa"/>
          </w:tcPr>
          <w:p w14:paraId="6A7F7C7B" w14:textId="4B39EC40" w:rsidR="00453E1A" w:rsidRDefault="006D33C7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Minimálne jednej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nerandomizovanej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kontrolovanej štúdie alebo systematického prehľadu z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nerandomizovanej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kohortovej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štúdie</w:t>
            </w:r>
          </w:p>
        </w:tc>
      </w:tr>
      <w:tr w:rsidR="00453E1A" w14:paraId="7011B6BB" w14:textId="77777777" w:rsidTr="007D3E1F">
        <w:tc>
          <w:tcPr>
            <w:tcW w:w="1980" w:type="dxa"/>
          </w:tcPr>
          <w:p w14:paraId="5DBAE8DB" w14:textId="10B9B603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2b</w:t>
            </w:r>
          </w:p>
        </w:tc>
        <w:tc>
          <w:tcPr>
            <w:tcW w:w="7080" w:type="dxa"/>
          </w:tcPr>
          <w:p w14:paraId="6683F9C4" w14:textId="1CF24025" w:rsidR="00453E1A" w:rsidRDefault="006D33C7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Minimálne jednej kvalitnej experimentálnej alebo </w:t>
            </w:r>
            <w:proofErr w:type="spellStart"/>
            <w:r>
              <w:rPr>
                <w:rFonts w:ascii="Times New Roman" w:hAnsi="Times New Roman"/>
                <w:bCs/>
                <w:shd w:val="clear" w:color="auto" w:fill="FFFFFF"/>
              </w:rPr>
              <w:t>kohortovej</w:t>
            </w:r>
            <w:proofErr w:type="spellEnd"/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štúdie </w:t>
            </w:r>
          </w:p>
        </w:tc>
      </w:tr>
      <w:tr w:rsidR="00453E1A" w14:paraId="4C239169" w14:textId="77777777" w:rsidTr="007D3E1F">
        <w:tc>
          <w:tcPr>
            <w:tcW w:w="1980" w:type="dxa"/>
          </w:tcPr>
          <w:p w14:paraId="729C1EAA" w14:textId="5E87EBDC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3a</w:t>
            </w:r>
          </w:p>
        </w:tc>
        <w:tc>
          <w:tcPr>
            <w:tcW w:w="7080" w:type="dxa"/>
          </w:tcPr>
          <w:p w14:paraId="6A514DD3" w14:textId="4393AA32" w:rsidR="00453E1A" w:rsidRDefault="006D33C7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Neexperimentálnych štúdií alebo systematického prehľadu prípadových štúdií</w:t>
            </w:r>
          </w:p>
        </w:tc>
      </w:tr>
      <w:tr w:rsidR="00453E1A" w14:paraId="73605970" w14:textId="77777777" w:rsidTr="007D3E1F">
        <w:tc>
          <w:tcPr>
            <w:tcW w:w="1980" w:type="dxa"/>
          </w:tcPr>
          <w:p w14:paraId="0B8E495B" w14:textId="5E70590C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3b</w:t>
            </w:r>
          </w:p>
        </w:tc>
        <w:tc>
          <w:tcPr>
            <w:tcW w:w="7080" w:type="dxa"/>
          </w:tcPr>
          <w:p w14:paraId="6CA0E439" w14:textId="31887B5B" w:rsidR="00453E1A" w:rsidRDefault="00D70F1E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Ojedinelých prípadových štúdií</w:t>
            </w:r>
          </w:p>
        </w:tc>
      </w:tr>
      <w:tr w:rsidR="00453E1A" w14:paraId="16801F39" w14:textId="77777777" w:rsidTr="007D3E1F">
        <w:tc>
          <w:tcPr>
            <w:tcW w:w="1980" w:type="dxa"/>
          </w:tcPr>
          <w:p w14:paraId="52540BC2" w14:textId="38FF1614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</w:t>
            </w:r>
          </w:p>
        </w:tc>
        <w:tc>
          <w:tcPr>
            <w:tcW w:w="7080" w:type="dxa"/>
          </w:tcPr>
          <w:p w14:paraId="7D53E4DE" w14:textId="26EAD3B8" w:rsidR="00453E1A" w:rsidRDefault="00D70F1E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Prípadových prehľadov, štúdií s metodickými nedostatkami</w:t>
            </w:r>
          </w:p>
        </w:tc>
      </w:tr>
      <w:tr w:rsidR="00453E1A" w14:paraId="284E7DE9" w14:textId="77777777" w:rsidTr="007D3E1F">
        <w:tc>
          <w:tcPr>
            <w:tcW w:w="1980" w:type="dxa"/>
          </w:tcPr>
          <w:p w14:paraId="4B9742CB" w14:textId="64F55DE7" w:rsidR="00453E1A" w:rsidRDefault="00453E1A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5</w:t>
            </w:r>
          </w:p>
        </w:tc>
        <w:tc>
          <w:tcPr>
            <w:tcW w:w="7080" w:type="dxa"/>
          </w:tcPr>
          <w:p w14:paraId="04EA370C" w14:textId="13422976" w:rsidR="00453E1A" w:rsidRDefault="00D70F1E" w:rsidP="003E05A4">
            <w:pPr>
              <w:spacing w:after="120" w:line="276" w:lineRule="auto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Názorov expertov</w:t>
            </w:r>
          </w:p>
        </w:tc>
      </w:tr>
    </w:tbl>
    <w:p w14:paraId="594E2EA3" w14:textId="537F3861" w:rsidR="002A41D1" w:rsidRPr="003E05A4" w:rsidRDefault="00453E1A" w:rsidP="003E05A4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 </w:t>
      </w:r>
      <w:r w:rsidR="002A41D1"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3118"/>
      </w:tblGrid>
      <w:tr w:rsidR="002A41D1" w:rsidRPr="003E05A4" w14:paraId="42725545" w14:textId="77777777" w:rsidTr="007D3E1F">
        <w:tc>
          <w:tcPr>
            <w:tcW w:w="1129" w:type="dxa"/>
          </w:tcPr>
          <w:p w14:paraId="27600F90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  <w:b/>
                <w:bCs/>
              </w:rPr>
            </w:pPr>
            <w:r w:rsidRPr="003E05A4">
              <w:rPr>
                <w:rFonts w:ascii="Times New Roman" w:hAnsi="Times New Roman"/>
                <w:b/>
                <w:bCs/>
              </w:rPr>
              <w:t>Symbol</w:t>
            </w:r>
          </w:p>
        </w:tc>
        <w:tc>
          <w:tcPr>
            <w:tcW w:w="2268" w:type="dxa"/>
          </w:tcPr>
          <w:p w14:paraId="2B41D3D1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  <w:b/>
                <w:bCs/>
              </w:rPr>
            </w:pPr>
            <w:r w:rsidRPr="003E05A4">
              <w:rPr>
                <w:rFonts w:ascii="Times New Roman" w:hAnsi="Times New Roman"/>
                <w:b/>
                <w:bCs/>
              </w:rPr>
              <w:t>Stupeň odporúčania</w:t>
            </w:r>
          </w:p>
        </w:tc>
        <w:tc>
          <w:tcPr>
            <w:tcW w:w="2552" w:type="dxa"/>
          </w:tcPr>
          <w:p w14:paraId="1767BDDD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  <w:b/>
                <w:bCs/>
              </w:rPr>
            </w:pPr>
            <w:r w:rsidRPr="003E05A4">
              <w:rPr>
                <w:rFonts w:ascii="Times New Roman" w:hAnsi="Times New Roman"/>
                <w:b/>
                <w:bCs/>
              </w:rPr>
              <w:t>Pomenovanie</w:t>
            </w:r>
          </w:p>
        </w:tc>
        <w:tc>
          <w:tcPr>
            <w:tcW w:w="3118" w:type="dxa"/>
          </w:tcPr>
          <w:p w14:paraId="01EB7EF6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  <w:b/>
                <w:bCs/>
              </w:rPr>
            </w:pPr>
            <w:r w:rsidRPr="003E05A4">
              <w:rPr>
                <w:rFonts w:ascii="Times New Roman" w:hAnsi="Times New Roman"/>
                <w:b/>
                <w:bCs/>
              </w:rPr>
              <w:t>Formulácia</w:t>
            </w:r>
          </w:p>
        </w:tc>
      </w:tr>
      <w:tr w:rsidR="002A41D1" w:rsidRPr="003E05A4" w14:paraId="3BEDAC30" w14:textId="77777777" w:rsidTr="007D3E1F">
        <w:tc>
          <w:tcPr>
            <w:tcW w:w="1129" w:type="dxa"/>
          </w:tcPr>
          <w:p w14:paraId="373E10DC" w14:textId="77777777" w:rsidR="002A41D1" w:rsidRPr="003E05A4" w:rsidRDefault="002A41D1" w:rsidP="003E05A4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sym w:font="Symbol" w:char="F0DD"/>
            </w:r>
            <w:r w:rsidRPr="003E05A4">
              <w:rPr>
                <w:rFonts w:ascii="Times New Roman" w:hAnsi="Times New Roman"/>
              </w:rPr>
              <w:sym w:font="Symbol" w:char="F0DD"/>
            </w:r>
            <w:r w:rsidRPr="003E05A4">
              <w:rPr>
                <w:rFonts w:ascii="Times New Roman" w:hAnsi="Times New Roman"/>
              </w:rPr>
              <w:t xml:space="preserve">   (</w:t>
            </w:r>
            <w:r w:rsidRPr="003E05A4">
              <w:rPr>
                <w:rFonts w:ascii="Times New Roman" w:hAnsi="Times New Roman"/>
              </w:rPr>
              <w:sym w:font="Symbol" w:char="F0DF"/>
            </w:r>
            <w:r w:rsidRPr="003E05A4">
              <w:rPr>
                <w:rFonts w:ascii="Times New Roman" w:hAnsi="Times New Roman"/>
              </w:rPr>
              <w:sym w:font="Symbol" w:char="F0DF"/>
            </w:r>
            <w:r w:rsidRPr="003E05A4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14:paraId="63199BC4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A</w:t>
            </w:r>
          </w:p>
        </w:tc>
        <w:tc>
          <w:tcPr>
            <w:tcW w:w="2552" w:type="dxa"/>
          </w:tcPr>
          <w:p w14:paraId="687991DB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Silné odporúčanie</w:t>
            </w:r>
          </w:p>
        </w:tc>
        <w:tc>
          <w:tcPr>
            <w:tcW w:w="3118" w:type="dxa"/>
          </w:tcPr>
          <w:p w14:paraId="1ADD6EBB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  <w:lang w:val="de-AT"/>
              </w:rPr>
            </w:pPr>
            <w:r w:rsidRPr="003E05A4">
              <w:rPr>
                <w:rFonts w:ascii="Times New Roman" w:hAnsi="Times New Roman"/>
              </w:rPr>
              <w:t>má sa</w:t>
            </w:r>
            <w:r w:rsidRPr="003E05A4">
              <w:rPr>
                <w:rFonts w:ascii="Times New Roman" w:hAnsi="Times New Roman"/>
                <w:lang w:val="de-AT"/>
              </w:rPr>
              <w:t>/</w:t>
            </w:r>
            <w:proofErr w:type="spellStart"/>
            <w:r w:rsidRPr="003E05A4">
              <w:rPr>
                <w:rFonts w:ascii="Times New Roman" w:hAnsi="Times New Roman"/>
                <w:lang w:val="de-AT"/>
              </w:rPr>
              <w:t>nemá</w:t>
            </w:r>
            <w:proofErr w:type="spellEnd"/>
            <w:r w:rsidRPr="003E05A4">
              <w:rPr>
                <w:rFonts w:ascii="Times New Roman" w:hAnsi="Times New Roman"/>
                <w:lang w:val="de-AT"/>
              </w:rPr>
              <w:t xml:space="preserve"> </w:t>
            </w:r>
            <w:proofErr w:type="spellStart"/>
            <w:r w:rsidRPr="003E05A4">
              <w:rPr>
                <w:rFonts w:ascii="Times New Roman" w:hAnsi="Times New Roman"/>
                <w:lang w:val="de-AT"/>
              </w:rPr>
              <w:t>sa</w:t>
            </w:r>
            <w:proofErr w:type="spellEnd"/>
          </w:p>
        </w:tc>
      </w:tr>
      <w:tr w:rsidR="002A41D1" w:rsidRPr="003E05A4" w14:paraId="1E69383D" w14:textId="77777777" w:rsidTr="007D3E1F">
        <w:tc>
          <w:tcPr>
            <w:tcW w:w="1129" w:type="dxa"/>
          </w:tcPr>
          <w:p w14:paraId="27F38661" w14:textId="77777777" w:rsidR="002A41D1" w:rsidRPr="003E05A4" w:rsidRDefault="002A41D1" w:rsidP="003E05A4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sym w:font="Symbol" w:char="F0DD"/>
            </w:r>
            <w:r w:rsidRPr="003E05A4">
              <w:rPr>
                <w:rFonts w:ascii="Times New Roman" w:hAnsi="Times New Roman"/>
              </w:rPr>
              <w:t xml:space="preserve">   (</w:t>
            </w:r>
            <w:r w:rsidRPr="003E05A4">
              <w:rPr>
                <w:rFonts w:ascii="Times New Roman" w:hAnsi="Times New Roman"/>
              </w:rPr>
              <w:sym w:font="Symbol" w:char="F0DF"/>
            </w:r>
            <w:r w:rsidRPr="003E05A4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14:paraId="44770204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B</w:t>
            </w:r>
          </w:p>
        </w:tc>
        <w:tc>
          <w:tcPr>
            <w:tcW w:w="2552" w:type="dxa"/>
          </w:tcPr>
          <w:p w14:paraId="249537EF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Odporúčanie</w:t>
            </w:r>
          </w:p>
        </w:tc>
        <w:tc>
          <w:tcPr>
            <w:tcW w:w="3118" w:type="dxa"/>
          </w:tcPr>
          <w:p w14:paraId="0B8F958F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malo by sa/nemalo by sa</w:t>
            </w:r>
          </w:p>
        </w:tc>
      </w:tr>
      <w:tr w:rsidR="002A41D1" w:rsidRPr="003E05A4" w14:paraId="2E58F4A4" w14:textId="77777777" w:rsidTr="007D3E1F">
        <w:tc>
          <w:tcPr>
            <w:tcW w:w="1129" w:type="dxa"/>
          </w:tcPr>
          <w:p w14:paraId="459F32DC" w14:textId="77777777" w:rsidR="002A41D1" w:rsidRPr="003E05A4" w:rsidRDefault="002A41D1" w:rsidP="003E05A4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sym w:font="Symbol" w:char="F0DB"/>
            </w:r>
          </w:p>
        </w:tc>
        <w:tc>
          <w:tcPr>
            <w:tcW w:w="2268" w:type="dxa"/>
          </w:tcPr>
          <w:p w14:paraId="076EEC54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0</w:t>
            </w:r>
          </w:p>
        </w:tc>
        <w:tc>
          <w:tcPr>
            <w:tcW w:w="2552" w:type="dxa"/>
          </w:tcPr>
          <w:p w14:paraId="456D1427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 xml:space="preserve">Odporúčanie otvorené </w:t>
            </w:r>
          </w:p>
        </w:tc>
        <w:tc>
          <w:tcPr>
            <w:tcW w:w="3118" w:type="dxa"/>
          </w:tcPr>
          <w:p w14:paraId="04AAFA82" w14:textId="77777777" w:rsidR="002A41D1" w:rsidRPr="003E05A4" w:rsidRDefault="002A41D1" w:rsidP="003E05A4">
            <w:pPr>
              <w:spacing w:after="120" w:line="276" w:lineRule="auto"/>
              <w:rPr>
                <w:rFonts w:ascii="Times New Roman" w:hAnsi="Times New Roman"/>
              </w:rPr>
            </w:pPr>
            <w:r w:rsidRPr="003E05A4">
              <w:rPr>
                <w:rFonts w:ascii="Times New Roman" w:hAnsi="Times New Roman"/>
              </w:rPr>
              <w:t>môže/nemusí sa vziať do úvahy</w:t>
            </w:r>
          </w:p>
        </w:tc>
      </w:tr>
    </w:tbl>
    <w:p w14:paraId="25ADFFE3" w14:textId="77777777" w:rsidR="002A41D1" w:rsidRPr="003E05A4" w:rsidRDefault="002A41D1" w:rsidP="003E05A4">
      <w:pPr>
        <w:spacing w:after="120" w:line="276" w:lineRule="auto"/>
        <w:ind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1F3E65CF" w14:textId="5F37B095" w:rsidR="002A41D1" w:rsidRDefault="002A41D1" w:rsidP="00571CAF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E05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Vedecké poznanie sa sústavne mení a dopĺňa, podobne aj odborné odporúčania sa môžu po istej dobe stať obsolentné.  Preto je nevyhnutné ich pravidelne revidovať a dopĺňať. 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Vo vyhláške musí byť preto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stanovená povinnosť zostavovateľa štandardu 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>jasne zadefinova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ť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čas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 ktorý je daný štandard v platnosti a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 Ministerstvo zdravotníctva 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musí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>mať</w:t>
      </w:r>
      <w:r w:rsidR="0055655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vytvorený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proces na pravidelnú revíziu </w:t>
      </w:r>
      <w:r w:rsidR="00571CA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 klinickú implementáciu </w:t>
      </w:r>
      <w:r w:rsidR="00B7454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vydaných štandardov.  </w:t>
      </w:r>
    </w:p>
    <w:p w14:paraId="3646BE78" w14:textId="0DBE4DF5" w:rsidR="00B7454B" w:rsidRPr="003E05A4" w:rsidRDefault="00571CAF" w:rsidP="007D3E1F">
      <w:pPr>
        <w:spacing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 uskutočnenie revízie doterajších štandardov a nastavenie tvorby nových sa navrhuje účinnosť novely tohoto zákona od 1.7.2025.</w:t>
      </w:r>
    </w:p>
    <w:p w14:paraId="5309FA11" w14:textId="58C1710A" w:rsidR="00DD75B3" w:rsidRPr="003E05A4" w:rsidRDefault="00DD75B3" w:rsidP="007D3E1F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8"/>
        <w:jc w:val="both"/>
      </w:pPr>
      <w:r w:rsidRPr="003E05A4">
        <w:t>Návrh zákona nepredpokladá žiadny vplyv na rozpočet verejnej správy,</w:t>
      </w:r>
      <w:r w:rsidR="00D6552B" w:rsidRPr="003E05A4">
        <w:t xml:space="preserve"> očakáva sa pozitívny vplyv v  sociálnej oblasti pre občana a zároveň nepredstavuje vplyv na </w:t>
      </w:r>
      <w:r w:rsidRPr="003E05A4">
        <w:t xml:space="preserve">podnikateľské prostredie, životné prostredie, informatizáciu, služby verejnej správy pre občana a ani na manželstvo, rodičovstvo a rodinu.   </w:t>
      </w:r>
    </w:p>
    <w:p w14:paraId="40CB443A" w14:textId="77777777" w:rsidR="00DD75B3" w:rsidRDefault="00DD75B3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3E05A4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  <w:bookmarkEnd w:id="0"/>
    </w:p>
    <w:p w14:paraId="7112D9B8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132479A3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358182CD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1027E064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5227C962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63BFC395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11B2A9D2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6BE87DC5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66C9B45E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613B9A1A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15999118" w14:textId="77777777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</w:pPr>
    </w:p>
    <w:p w14:paraId="61B69003" w14:textId="262EB46A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 w:rsidRPr="0052319E">
        <w:rPr>
          <w:b/>
          <w:bCs/>
        </w:rPr>
        <w:lastRenderedPageBreak/>
        <w:t>B. Osobitná časť</w:t>
      </w:r>
    </w:p>
    <w:p w14:paraId="0C0AC69A" w14:textId="5A1599FA" w:rsid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čl. I</w:t>
      </w:r>
    </w:p>
    <w:p w14:paraId="161A3FB4" w14:textId="77777777" w:rsidR="00A67603" w:rsidRDefault="0052319E" w:rsidP="00A67603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bodu 1 (§ 4 ods. 3):</w:t>
      </w:r>
    </w:p>
    <w:p w14:paraId="17183094" w14:textId="0A457201" w:rsidR="0052319E" w:rsidRPr="0059353A" w:rsidRDefault="00A67603" w:rsidP="0059353A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b/>
          <w:bCs/>
          <w:i/>
          <w:iCs/>
        </w:rPr>
      </w:pPr>
      <w:r w:rsidRPr="0059353A">
        <w:rPr>
          <w:i/>
          <w:iCs/>
        </w:rPr>
        <w:t xml:space="preserve">Legislatívne sa spresňuje a dopĺňa definícia poskytovania správnej zdravotnej starostlivosti s cieľom </w:t>
      </w:r>
      <w:r w:rsidRPr="0059353A">
        <w:rPr>
          <w:i/>
          <w:iCs/>
        </w:rPr>
        <w:t>optimáln</w:t>
      </w:r>
      <w:r w:rsidRPr="0059353A">
        <w:rPr>
          <w:i/>
          <w:iCs/>
        </w:rPr>
        <w:t>e</w:t>
      </w:r>
      <w:r w:rsidRPr="0059353A">
        <w:rPr>
          <w:i/>
          <w:iCs/>
        </w:rPr>
        <w:t xml:space="preserve"> využi</w:t>
      </w:r>
      <w:r w:rsidRPr="0059353A">
        <w:rPr>
          <w:i/>
          <w:iCs/>
        </w:rPr>
        <w:t>ť</w:t>
      </w:r>
      <w:r w:rsidRPr="0059353A">
        <w:rPr>
          <w:i/>
          <w:iCs/>
        </w:rPr>
        <w:t xml:space="preserve"> dostupn</w:t>
      </w:r>
      <w:r w:rsidRPr="0059353A">
        <w:rPr>
          <w:i/>
          <w:iCs/>
        </w:rPr>
        <w:t>é</w:t>
      </w:r>
      <w:r w:rsidRPr="0059353A">
        <w:rPr>
          <w:i/>
          <w:iCs/>
        </w:rPr>
        <w:t xml:space="preserve"> zdroj</w:t>
      </w:r>
      <w:r w:rsidRPr="0059353A">
        <w:rPr>
          <w:i/>
          <w:iCs/>
        </w:rPr>
        <w:t>e.</w:t>
      </w:r>
    </w:p>
    <w:p w14:paraId="480EFD29" w14:textId="2B836834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K bodu </w:t>
      </w:r>
      <w:r>
        <w:rPr>
          <w:b/>
          <w:bCs/>
        </w:rPr>
        <w:t>2</w:t>
      </w:r>
      <w:r>
        <w:rPr>
          <w:b/>
          <w:bCs/>
        </w:rPr>
        <w:t xml:space="preserve"> (§ 4 ods. </w:t>
      </w:r>
      <w:r>
        <w:rPr>
          <w:b/>
          <w:bCs/>
        </w:rPr>
        <w:t>6</w:t>
      </w:r>
      <w:r>
        <w:rPr>
          <w:b/>
          <w:bCs/>
        </w:rPr>
        <w:t>):</w:t>
      </w:r>
    </w:p>
    <w:p w14:paraId="74221675" w14:textId="52E356E4" w:rsidR="0052319E" w:rsidRPr="0059353A" w:rsidRDefault="0059353A" w:rsidP="0059353A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b/>
          <w:bCs/>
          <w:i/>
          <w:iCs/>
        </w:rPr>
      </w:pPr>
      <w:r w:rsidRPr="0059353A">
        <w:rPr>
          <w:i/>
          <w:iCs/>
        </w:rPr>
        <w:t xml:space="preserve">Legislatívne sa spresňuje a dopĺňa definícia poskytovania </w:t>
      </w:r>
      <w:r w:rsidRPr="0059353A">
        <w:rPr>
          <w:i/>
          <w:iCs/>
        </w:rPr>
        <w:t xml:space="preserve">ošetrovateľskej </w:t>
      </w:r>
      <w:r w:rsidRPr="0059353A">
        <w:rPr>
          <w:i/>
          <w:iCs/>
        </w:rPr>
        <w:t>starostlivosti s cieľom optimálne využiť dostupné zdroje.</w:t>
      </w:r>
    </w:p>
    <w:p w14:paraId="400C03F4" w14:textId="4631C7E9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K bodu 3 </w:t>
      </w:r>
      <w:r>
        <w:rPr>
          <w:b/>
          <w:bCs/>
        </w:rPr>
        <w:t xml:space="preserve">(§ 4 ods. </w:t>
      </w:r>
      <w:r>
        <w:rPr>
          <w:b/>
          <w:bCs/>
        </w:rPr>
        <w:t>8</w:t>
      </w:r>
      <w:r>
        <w:rPr>
          <w:b/>
          <w:bCs/>
        </w:rPr>
        <w:t>):</w:t>
      </w:r>
    </w:p>
    <w:p w14:paraId="19915601" w14:textId="103D4C50" w:rsidR="0052319E" w:rsidRPr="0059353A" w:rsidRDefault="0059353A" w:rsidP="0059353A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b/>
          <w:bCs/>
          <w:i/>
          <w:iCs/>
        </w:rPr>
      </w:pPr>
      <w:r w:rsidRPr="0059353A">
        <w:rPr>
          <w:i/>
          <w:iCs/>
        </w:rPr>
        <w:t xml:space="preserve">Legislatívne sa spresňuje a dopĺňa definícia poskytovania </w:t>
      </w:r>
      <w:r w:rsidRPr="0059353A">
        <w:rPr>
          <w:i/>
          <w:iCs/>
        </w:rPr>
        <w:t xml:space="preserve">najlepšej </w:t>
      </w:r>
      <w:r w:rsidRPr="0059353A">
        <w:rPr>
          <w:i/>
          <w:iCs/>
        </w:rPr>
        <w:t>zdravotnej starostlivosti s cieľom optimálne využiť dostupné zdroje.</w:t>
      </w:r>
    </w:p>
    <w:p w14:paraId="64B8F5F6" w14:textId="67BD2349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K bodu 4 </w:t>
      </w:r>
      <w:r>
        <w:rPr>
          <w:b/>
          <w:bCs/>
        </w:rPr>
        <w:t xml:space="preserve">(§ 4 ods. </w:t>
      </w:r>
      <w:r>
        <w:rPr>
          <w:b/>
          <w:bCs/>
        </w:rPr>
        <w:t>11</w:t>
      </w:r>
      <w:r>
        <w:rPr>
          <w:b/>
          <w:bCs/>
        </w:rPr>
        <w:t>):</w:t>
      </w:r>
    </w:p>
    <w:p w14:paraId="6B599682" w14:textId="4950759A" w:rsidR="0052319E" w:rsidRPr="0059353A" w:rsidRDefault="0059353A" w:rsidP="0059353A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b/>
          <w:bCs/>
          <w:i/>
          <w:iCs/>
        </w:rPr>
      </w:pPr>
      <w:r w:rsidRPr="0059353A">
        <w:rPr>
          <w:i/>
          <w:iCs/>
        </w:rPr>
        <w:t>Legislatívne sa spresňuje a dopĺňa definícia poskytovania najlepšej zdravotnej starostlivosti s cieľom optimálne využiť dostupné zdroje.</w:t>
      </w:r>
    </w:p>
    <w:p w14:paraId="0D3326C8" w14:textId="4EB1F644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bodu 5 (§ 10a ods. 2 písm. a/):</w:t>
      </w:r>
    </w:p>
    <w:p w14:paraId="42D1B071" w14:textId="0BD4BDCD" w:rsidR="0052319E" w:rsidRPr="0059353A" w:rsidRDefault="0059353A" w:rsidP="0059353A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i/>
          <w:iCs/>
        </w:rPr>
      </w:pPr>
      <w:r w:rsidRPr="0059353A">
        <w:rPr>
          <w:i/>
          <w:iCs/>
        </w:rPr>
        <w:t>Upravuje sa poskytovanie ošetrovateľskej starostlivosti s optimálnym využitím dostupných zdrojov</w:t>
      </w:r>
      <w:r>
        <w:rPr>
          <w:i/>
          <w:iCs/>
        </w:rPr>
        <w:t>.</w:t>
      </w:r>
    </w:p>
    <w:p w14:paraId="78859A81" w14:textId="1C415E21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bodu 6 (§ 10a ods. 6):</w:t>
      </w:r>
    </w:p>
    <w:p w14:paraId="6B24BFFE" w14:textId="7CA8D386" w:rsidR="0052319E" w:rsidRPr="0059353A" w:rsidRDefault="0059353A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i/>
          <w:iCs/>
        </w:rPr>
      </w:pPr>
      <w:r w:rsidRPr="0059353A">
        <w:rPr>
          <w:i/>
          <w:iCs/>
        </w:rPr>
        <w:t>Legislatívno-technické spresnenie.</w:t>
      </w:r>
    </w:p>
    <w:p w14:paraId="51BB0EB8" w14:textId="12C4E026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bodu 7 (§ 45 ods. 1 písm. c/):</w:t>
      </w:r>
    </w:p>
    <w:p w14:paraId="4173C6FB" w14:textId="77777777" w:rsidR="0059353A" w:rsidRPr="0059353A" w:rsidRDefault="0059353A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i/>
          <w:iCs/>
        </w:rPr>
      </w:pPr>
      <w:r w:rsidRPr="0059353A">
        <w:rPr>
          <w:i/>
          <w:iCs/>
        </w:rPr>
        <w:t>Legislatívne spresnenie Ministerstva zdravotníctva Slovenskej republiky vo vzťahu</w:t>
      </w:r>
    </w:p>
    <w:p w14:paraId="081FBCD4" w14:textId="11A570B7" w:rsidR="0052319E" w:rsidRPr="0059353A" w:rsidRDefault="0059353A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i/>
          <w:iCs/>
        </w:rPr>
      </w:pPr>
      <w:r w:rsidRPr="0059353A">
        <w:rPr>
          <w:i/>
          <w:iCs/>
        </w:rPr>
        <w:t>k štandardným postupom.</w:t>
      </w:r>
    </w:p>
    <w:p w14:paraId="27B3DD1A" w14:textId="761456EB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K čl. II</w:t>
      </w:r>
    </w:p>
    <w:p w14:paraId="061B679A" w14:textId="77777777" w:rsid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</w:rPr>
      </w:pPr>
    </w:p>
    <w:p w14:paraId="403F5661" w14:textId="2AC277A4" w:rsidR="0052319E" w:rsidRDefault="0052319E" w:rsidP="0059353A">
      <w:pPr>
        <w:ind w:left="708"/>
        <w:jc w:val="both"/>
        <w:rPr>
          <w:rFonts w:ascii="Arial" w:hAnsi="Arial" w:cs="Arial"/>
          <w:i/>
          <w:iCs/>
        </w:rPr>
      </w:pPr>
      <w:r w:rsidRPr="003830B8">
        <w:rPr>
          <w:rFonts w:ascii="Arial" w:hAnsi="Arial" w:cs="Arial"/>
          <w:i/>
          <w:iCs/>
        </w:rPr>
        <w:t xml:space="preserve">Vzhľadom </w:t>
      </w:r>
      <w:r>
        <w:rPr>
          <w:rFonts w:ascii="Arial" w:hAnsi="Arial" w:cs="Arial"/>
          <w:i/>
          <w:iCs/>
        </w:rPr>
        <w:t xml:space="preserve">na </w:t>
      </w:r>
      <w:r w:rsidRPr="003830B8">
        <w:rPr>
          <w:rFonts w:ascii="Arial" w:hAnsi="Arial" w:cs="Arial"/>
          <w:i/>
          <w:iCs/>
        </w:rPr>
        <w:t xml:space="preserve">dĺžku legislatívneho procesu a primeranú </w:t>
      </w:r>
      <w:proofErr w:type="spellStart"/>
      <w:r w:rsidRPr="003830B8">
        <w:rPr>
          <w:rFonts w:ascii="Arial" w:hAnsi="Arial" w:cs="Arial"/>
          <w:i/>
          <w:iCs/>
        </w:rPr>
        <w:t>legisvakančnú</w:t>
      </w:r>
      <w:proofErr w:type="spellEnd"/>
      <w:r w:rsidRPr="003830B8">
        <w:rPr>
          <w:rFonts w:ascii="Arial" w:hAnsi="Arial" w:cs="Arial"/>
          <w:i/>
          <w:iCs/>
        </w:rPr>
        <w:t xml:space="preserve"> dobu navrhuje sa účinnosť navrhovaného zákona  na 1. j</w:t>
      </w:r>
      <w:r>
        <w:rPr>
          <w:rFonts w:ascii="Arial" w:hAnsi="Arial" w:cs="Arial"/>
          <w:i/>
          <w:iCs/>
        </w:rPr>
        <w:t>úla</w:t>
      </w:r>
      <w:r w:rsidRPr="003830B8">
        <w:rPr>
          <w:rFonts w:ascii="Arial" w:hAnsi="Arial" w:cs="Arial"/>
          <w:i/>
          <w:iCs/>
        </w:rPr>
        <w:t xml:space="preserve"> 2025</w:t>
      </w:r>
      <w:r>
        <w:rPr>
          <w:rFonts w:ascii="Arial" w:hAnsi="Arial" w:cs="Arial"/>
          <w:i/>
          <w:iCs/>
        </w:rPr>
        <w:t>.</w:t>
      </w:r>
    </w:p>
    <w:p w14:paraId="282C3447" w14:textId="77777777" w:rsidR="0052319E" w:rsidRPr="0052319E" w:rsidRDefault="0052319E" w:rsidP="0052319E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  <w:iCs/>
        </w:rPr>
      </w:pPr>
    </w:p>
    <w:p w14:paraId="707EB5BD" w14:textId="77777777" w:rsidR="0052319E" w:rsidRPr="0052319E" w:rsidRDefault="0052319E" w:rsidP="003E05A4">
      <w:pPr>
        <w:pStyle w:val="title-doc-oj-reference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b/>
          <w:bCs/>
          <w:iCs/>
        </w:rPr>
      </w:pPr>
    </w:p>
    <w:sectPr w:rsidR="0052319E" w:rsidRPr="0052319E" w:rsidSect="009925E1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94E7C" w14:textId="77777777" w:rsidR="00D8182B" w:rsidRDefault="00D8182B">
      <w:pPr>
        <w:spacing w:after="0" w:line="240" w:lineRule="auto"/>
      </w:pPr>
      <w:r>
        <w:separator/>
      </w:r>
    </w:p>
  </w:endnote>
  <w:endnote w:type="continuationSeparator" w:id="0">
    <w:p w14:paraId="00F054B0" w14:textId="77777777" w:rsidR="00D8182B" w:rsidRDefault="00D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BC7A" w14:textId="77777777" w:rsidR="00334D57" w:rsidRPr="00A51353" w:rsidRDefault="00DD75B3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873D19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6A5D7EA4" w14:textId="77777777" w:rsidR="00334D57" w:rsidRPr="00A51353" w:rsidRDefault="00334D57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9FA3" w14:textId="77777777" w:rsidR="00D8182B" w:rsidRDefault="00D8182B">
      <w:pPr>
        <w:spacing w:after="0" w:line="240" w:lineRule="auto"/>
      </w:pPr>
      <w:r>
        <w:separator/>
      </w:r>
    </w:p>
  </w:footnote>
  <w:footnote w:type="continuationSeparator" w:id="0">
    <w:p w14:paraId="73692C5E" w14:textId="77777777" w:rsidR="00D8182B" w:rsidRDefault="00D8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14607">
    <w:abstractNumId w:val="0"/>
  </w:num>
  <w:num w:numId="2" w16cid:durableId="43294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B3"/>
    <w:rsid w:val="00006533"/>
    <w:rsid w:val="00030789"/>
    <w:rsid w:val="00036A8E"/>
    <w:rsid w:val="0007268E"/>
    <w:rsid w:val="001001F1"/>
    <w:rsid w:val="001A4DAE"/>
    <w:rsid w:val="0029079B"/>
    <w:rsid w:val="002A41D1"/>
    <w:rsid w:val="002C387A"/>
    <w:rsid w:val="0033116B"/>
    <w:rsid w:val="00334D57"/>
    <w:rsid w:val="003545FC"/>
    <w:rsid w:val="003E05A4"/>
    <w:rsid w:val="00412D12"/>
    <w:rsid w:val="00453E1A"/>
    <w:rsid w:val="004823AA"/>
    <w:rsid w:val="004B3AB1"/>
    <w:rsid w:val="004B5998"/>
    <w:rsid w:val="0052319E"/>
    <w:rsid w:val="00550215"/>
    <w:rsid w:val="00556552"/>
    <w:rsid w:val="00571CAF"/>
    <w:rsid w:val="0059353A"/>
    <w:rsid w:val="005A59E3"/>
    <w:rsid w:val="006B024B"/>
    <w:rsid w:val="006D33C7"/>
    <w:rsid w:val="00700FB5"/>
    <w:rsid w:val="00706785"/>
    <w:rsid w:val="0070741C"/>
    <w:rsid w:val="0074618C"/>
    <w:rsid w:val="007D3E1F"/>
    <w:rsid w:val="00803447"/>
    <w:rsid w:val="00873D19"/>
    <w:rsid w:val="00950DB1"/>
    <w:rsid w:val="009925E1"/>
    <w:rsid w:val="00997597"/>
    <w:rsid w:val="009E277C"/>
    <w:rsid w:val="00A67603"/>
    <w:rsid w:val="00A81CB8"/>
    <w:rsid w:val="00B1521F"/>
    <w:rsid w:val="00B237FE"/>
    <w:rsid w:val="00B47991"/>
    <w:rsid w:val="00B7454B"/>
    <w:rsid w:val="00BD4F44"/>
    <w:rsid w:val="00BE200F"/>
    <w:rsid w:val="00BE5143"/>
    <w:rsid w:val="00BE6AD7"/>
    <w:rsid w:val="00C80A81"/>
    <w:rsid w:val="00CD6BB8"/>
    <w:rsid w:val="00CE44A4"/>
    <w:rsid w:val="00D33D90"/>
    <w:rsid w:val="00D6552B"/>
    <w:rsid w:val="00D70F1E"/>
    <w:rsid w:val="00D8182B"/>
    <w:rsid w:val="00DA0E53"/>
    <w:rsid w:val="00DA3A94"/>
    <w:rsid w:val="00DD6EDD"/>
    <w:rsid w:val="00DD75B3"/>
    <w:rsid w:val="00DE553B"/>
    <w:rsid w:val="00DF09F2"/>
    <w:rsid w:val="00DF1D97"/>
    <w:rsid w:val="00EC066D"/>
    <w:rsid w:val="00EF1798"/>
    <w:rsid w:val="00F245BF"/>
    <w:rsid w:val="00F26A90"/>
    <w:rsid w:val="00F40FAB"/>
    <w:rsid w:val="00FA3D15"/>
    <w:rsid w:val="00F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C6D259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numbered list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A41D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B5998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1364</Words>
  <Characters>9290</Characters>
  <Application>Microsoft Office Word</Application>
  <DocSecurity>0</DocSecurity>
  <Lines>216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Národnej rady Slovenskej republiky</Company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LGP</cp:lastModifiedBy>
  <cp:revision>3</cp:revision>
  <cp:lastPrinted>2024-08-23T12:29:00Z</cp:lastPrinted>
  <dcterms:created xsi:type="dcterms:W3CDTF">2024-08-23T12:34:00Z</dcterms:created>
  <dcterms:modified xsi:type="dcterms:W3CDTF">2024-08-23T13:14:00Z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2f5b3b4cb264d6b4905a3f89026fa1853d21759c983fa8e50a102c5ce676bddf</vt:lpwstr>
  </property>
</Properties>
</file>