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49" w:lineRule="auto"/>
        <w:rPr/>
      </w:pPr>
      <w:r w:rsidDel="00000000" w:rsidR="00000000" w:rsidRPr="00000000">
        <w:rPr>
          <w:rtl w:val="0"/>
        </w:rPr>
        <w:t xml:space="preserve">NÁRODNÁ RADA SLOVENSKEJ REPUBLIKY  </w:t>
      </w:r>
    </w:p>
    <w:p w:rsidR="00000000" w:rsidDel="00000000" w:rsidP="00000000" w:rsidRDefault="00000000" w:rsidRPr="00000000" w14:paraId="00000002">
      <w:pPr>
        <w:spacing w:after="0" w:line="259" w:lineRule="auto"/>
        <w:jc w:val="center"/>
        <w:rPr/>
      </w:pPr>
      <w:r w:rsidDel="00000000" w:rsidR="00000000" w:rsidRPr="00000000">
        <w:rPr>
          <w:rtl w:val="0"/>
        </w:rPr>
        <w:t xml:space="preserve">IX. volebné obdobie </w:t>
      </w:r>
    </w:p>
    <w:p w:rsidR="00000000" w:rsidDel="00000000" w:rsidP="00000000" w:rsidRDefault="00000000" w:rsidRPr="00000000" w14:paraId="00000003">
      <w:pPr>
        <w:spacing w:line="259" w:lineRule="auto"/>
        <w:ind w:left="-29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5798185" cy="18288"/>
                <wp:effectExtent b="0" l="0" r="0" t="0"/>
                <wp:docPr id="18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46900" y="3770850"/>
                          <a:ext cx="5798185" cy="18288"/>
                          <a:chOff x="2446900" y="3770850"/>
                          <a:chExt cx="5798200" cy="18300"/>
                        </a:xfrm>
                      </wpg:grpSpPr>
                      <wpg:grpSp>
                        <wpg:cNvGrpSpPr/>
                        <wpg:grpSpPr>
                          <a:xfrm>
                            <a:off x="2446908" y="3770856"/>
                            <a:ext cx="5798185" cy="18288"/>
                            <a:chOff x="0" y="0"/>
                            <a:chExt cx="5798185" cy="1828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798175" cy="1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798185" cy="18288"/>
                            </a:xfrm>
                            <a:custGeom>
                              <a:rect b="b" l="l" r="r" t="t"/>
                              <a:pathLst>
                                <a:path extrusionOk="0" h="18288" w="5798185">
                                  <a:moveTo>
                                    <a:pt x="0" y="0"/>
                                  </a:moveTo>
                                  <a:lnTo>
                                    <a:pt x="5798185" y="0"/>
                                  </a:lnTo>
                                  <a:lnTo>
                                    <a:pt x="5798185" y="18288"/>
                                  </a:lnTo>
                                  <a:lnTo>
                                    <a:pt x="0" y="1828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98185" cy="18288"/>
                <wp:effectExtent b="0" l="0" r="0" t="0"/>
                <wp:docPr id="18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8185" cy="182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4" w:line="259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75" w:line="259" w:lineRule="auto"/>
        <w:ind w:left="0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39" w:line="259" w:lineRule="auto"/>
        <w:ind w:right="62"/>
        <w:jc w:val="center"/>
        <w:rPr/>
      </w:pPr>
      <w:r w:rsidDel="00000000" w:rsidR="00000000" w:rsidRPr="00000000">
        <w:rPr>
          <w:rtl w:val="0"/>
        </w:rPr>
        <w:t xml:space="preserve">Návrh  </w:t>
      </w:r>
    </w:p>
    <w:p w:rsidR="00000000" w:rsidDel="00000000" w:rsidP="00000000" w:rsidRDefault="00000000" w:rsidRPr="00000000" w14:paraId="00000007">
      <w:pPr>
        <w:spacing w:after="185" w:line="259" w:lineRule="auto"/>
        <w:ind w:left="0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3" w:line="270" w:lineRule="auto"/>
        <w:ind w:right="66"/>
        <w:jc w:val="center"/>
        <w:rPr/>
      </w:pPr>
      <w:r w:rsidDel="00000000" w:rsidR="00000000" w:rsidRPr="00000000">
        <w:rPr>
          <w:b w:val="1"/>
          <w:rtl w:val="0"/>
        </w:rPr>
        <w:t xml:space="preserve">ZÁKON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37" w:line="259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39" w:line="259" w:lineRule="auto"/>
        <w:ind w:right="58"/>
        <w:jc w:val="center"/>
        <w:rPr/>
      </w:pPr>
      <w:r w:rsidDel="00000000" w:rsidR="00000000" w:rsidRPr="00000000">
        <w:rPr>
          <w:rtl w:val="0"/>
        </w:rPr>
        <w:t xml:space="preserve">z ... 2024, </w:t>
      </w:r>
    </w:p>
    <w:p w:rsidR="00000000" w:rsidDel="00000000" w:rsidP="00000000" w:rsidRDefault="00000000" w:rsidRPr="00000000" w14:paraId="0000000B">
      <w:pPr>
        <w:spacing w:after="61" w:line="259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b w:val="1"/>
          <w:color w:val="242424"/>
        </w:rPr>
      </w:pPr>
      <w:r w:rsidDel="00000000" w:rsidR="00000000" w:rsidRPr="00000000">
        <w:rPr>
          <w:b w:val="1"/>
          <w:rtl w:val="0"/>
        </w:rPr>
        <w:t xml:space="preserve">ktorým sa mení a dopĺňa </w:t>
      </w:r>
      <w:r w:rsidDel="00000000" w:rsidR="00000000" w:rsidRPr="00000000">
        <w:rPr>
          <w:b w:val="1"/>
          <w:color w:val="242424"/>
          <w:rtl w:val="0"/>
        </w:rPr>
        <w:t xml:space="preserve">zákon </w:t>
      </w:r>
      <w:r w:rsidDel="00000000" w:rsidR="00000000" w:rsidRPr="00000000">
        <w:rPr>
          <w:b w:val="1"/>
          <w:color w:val="222222"/>
          <w:rtl w:val="0"/>
        </w:rPr>
        <w:t xml:space="preserve">č. 447/2008 Z. z. </w:t>
      </w:r>
      <w:r w:rsidDel="00000000" w:rsidR="00000000" w:rsidRPr="00000000">
        <w:rPr>
          <w:b w:val="1"/>
          <w:highlight w:val="white"/>
          <w:rtl w:val="0"/>
        </w:rPr>
        <w:t xml:space="preserve">o peňažných príspevkoch na kompenzáciu ťažkého zdravotného postihnutia a o zmene a doplnení niektorých zákonov v znení neskorších predpisov</w:t>
      </w:r>
      <w:r w:rsidDel="00000000" w:rsidR="00000000" w:rsidRPr="00000000">
        <w:rPr>
          <w:b w:val="1"/>
          <w:color w:val="2424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Rule="auto"/>
        <w:rPr>
          <w:b w:val="1"/>
          <w:color w:val="2424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" w:line="270" w:lineRule="auto"/>
        <w:ind w:left="0" w:right="67" w:firstLine="0"/>
        <w:jc w:val="left"/>
        <w:rPr/>
      </w:pPr>
      <w:r w:rsidDel="00000000" w:rsidR="00000000" w:rsidRPr="00000000">
        <w:rPr>
          <w:rtl w:val="0"/>
        </w:rPr>
        <w:t xml:space="preserve">Národná rada Slovenskej republiky sa uzniesla na tomto zákone: </w:t>
      </w:r>
    </w:p>
    <w:p w:rsidR="00000000" w:rsidDel="00000000" w:rsidP="00000000" w:rsidRDefault="00000000" w:rsidRPr="00000000" w14:paraId="0000000F">
      <w:pPr>
        <w:spacing w:after="266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pStyle w:val="Heading1"/>
        <w:rPr/>
      </w:pPr>
      <w:r w:rsidDel="00000000" w:rsidR="00000000" w:rsidRPr="00000000">
        <w:rPr>
          <w:rtl w:val="0"/>
        </w:rPr>
        <w:t xml:space="preserve">Čl. I </w:t>
      </w:r>
    </w:p>
    <w:p w:rsidR="00000000" w:rsidDel="00000000" w:rsidP="00000000" w:rsidRDefault="00000000" w:rsidRPr="00000000" w14:paraId="00000011">
      <w:pPr>
        <w:spacing w:after="16" w:line="259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Zákon </w:t>
      </w:r>
      <w:r w:rsidDel="00000000" w:rsidR="00000000" w:rsidRPr="00000000">
        <w:rPr>
          <w:color w:val="222222"/>
          <w:rtl w:val="0"/>
        </w:rPr>
        <w:t xml:space="preserve">č. 447/2008 Z.z. </w:t>
      </w:r>
      <w:r w:rsidDel="00000000" w:rsidR="00000000" w:rsidRPr="00000000">
        <w:rPr>
          <w:highlight w:val="white"/>
          <w:rtl w:val="0"/>
        </w:rPr>
        <w:t xml:space="preserve">o peňažných príspevkoch na kompenzáciu ťažkého zdravotného postihnutia a o zmene a doplnení niektorých zákonov</w:t>
      </w:r>
      <w:r w:rsidDel="00000000" w:rsidR="00000000" w:rsidRPr="00000000">
        <w:rPr>
          <w:color w:val="070707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v znení zákona č. 551/2010 Z. z., zákona č. 180/2011 Z. z., zákona č. 468/2011 Z. z., zákona č. 136/2013 Z. z., zákona č. 219/2014 Z. z., zákona č. 263/2014 Z. z., zákona č. 375/2014 Z. z., zákona č. 353/2015 Z. z., zákona č. 378/2015 Z. z., zákona č. 125/2016 Z. z., zákona č. 355/2016 Z. z., zákona č. 191/2018 Z. z., zákona č. 83/2019 Z. z., zákona č. 223/2019 Z. z., zákona č. 391/2019 Z. z., zákona č. 393/2019 Z. z., zákona č. 46/2020 Z. z., zákona č. 63/2020 Z. z., nálezu Ústavného súdu Slovenskej republiky č. 124/2020 Z. z., zákona č. 275/2020 Z. z., zákona č. 296/2020 Z. z., zákona č. 9/2021 Z. z., zákona č. 310/2021 Z. z., zákona č. 374/2021 Z. z., zákona č. 485/2021 Z. z., zákona č. 92/2022 Z. z., zákona č. 199/2022 Z. z., zákona č. 232/2022 Z. z., zákona č. 345/2022 Z. z., zákona č. 352/2022 Z. z., zákona č. 376/2022 Z. z., zákona č. 400/2022 Z. z., zákona č. 401/2022 Z. z., zákona č. 96/2023 Z. z., zákona č. 263/2023 Z. z., zákona č. 273/2023 Z. z., zákona č. 295/2023 Z. z., zákona č. 526/2023 Z. z. a zákona č. 87/2024 Z. z. sa mení a dopĺňa takto</w:t>
      </w:r>
      <w:r w:rsidDel="00000000" w:rsidR="00000000" w:rsidRPr="00000000">
        <w:rPr>
          <w:color w:val="070707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 § 40 </w:t>
      </w:r>
      <w:r w:rsidDel="00000000" w:rsidR="00000000" w:rsidRPr="00000000">
        <w:rPr>
          <w:highlight w:val="white"/>
          <w:rtl w:val="0"/>
        </w:rPr>
        <w:t xml:space="preserve">odsek 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znie: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,,(9) Ak je príjem fyzickej osoby s ťažkým zdravotným postihnutím, ktorá je nezaopatren</w:t>
      </w:r>
      <w:r w:rsidDel="00000000" w:rsidR="00000000" w:rsidRPr="00000000">
        <w:rPr>
          <w:highlight w:val="white"/>
          <w:rtl w:val="0"/>
        </w:rPr>
        <w:t xml:space="preserve">ým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dieťaťom,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highlight w:val="white"/>
            <w:vertAlign w:val="superscript"/>
            <w:rtl w:val="0"/>
          </w:rPr>
          <w:t xml:space="preserve">7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highlight w:val="white"/>
            <w:vertAlign w:val="baseline"/>
            <w:rtl w:val="0"/>
          </w:rPr>
          <w:t xml:space="preserve">)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  <w:rtl w:val="0"/>
        </w:rPr>
        <w:t xml:space="preserve"> vyšší ako </w:t>
      </w:r>
      <w:r w:rsidDel="00000000" w:rsidR="00000000" w:rsidRPr="00000000">
        <w:rPr>
          <w:highlight w:val="white"/>
          <w:rtl w:val="0"/>
        </w:rPr>
        <w:t xml:space="preserve">štvornásobok sumy životného minima pre jednu plnoletú fyzickú osobu ustanoveného osobitným predpisom,</w:t>
      </w:r>
      <w:r w:rsidDel="00000000" w:rsidR="00000000" w:rsidRPr="00000000">
        <w:rPr>
          <w:highlight w:val="white"/>
          <w:vertAlign w:val="superscript"/>
          <w:rtl w:val="0"/>
        </w:rPr>
        <w:t xml:space="preserve">29</w:t>
      </w:r>
      <w:r w:rsidDel="00000000" w:rsidR="00000000" w:rsidRPr="00000000">
        <w:rPr>
          <w:highlight w:val="white"/>
          <w:rtl w:val="0"/>
        </w:rPr>
        <w:t xml:space="preserve">) výška peňažného príspevku podľa odseku 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sa zníži o sumu </w:t>
      </w:r>
      <w:r w:rsidDel="00000000" w:rsidR="00000000" w:rsidRPr="00000000">
        <w:rPr>
          <w:highlight w:val="white"/>
          <w:rtl w:val="0"/>
        </w:rPr>
        <w:t xml:space="preserve">prevyšujúcu tento príjem.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right="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Za § 67p sa vkladá § 67r, ktorý vrátane nadpisu znie:</w:t>
      </w:r>
    </w:p>
    <w:p w:rsidR="00000000" w:rsidDel="00000000" w:rsidP="00000000" w:rsidRDefault="00000000" w:rsidRPr="00000000" w14:paraId="00000018">
      <w:pPr>
        <w:spacing w:after="0" w:line="240" w:lineRule="auto"/>
        <w:ind w:left="720" w:right="0" w:firstLine="0"/>
        <w:jc w:val="center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,,</w:t>
      </w:r>
      <w:r w:rsidDel="00000000" w:rsidR="00000000" w:rsidRPr="00000000">
        <w:rPr>
          <w:b w:val="1"/>
          <w:highlight w:val="white"/>
          <w:rtl w:val="0"/>
        </w:rPr>
        <w:t xml:space="preserve">§ 67r</w:t>
      </w:r>
    </w:p>
    <w:p w:rsidR="00000000" w:rsidDel="00000000" w:rsidP="00000000" w:rsidRDefault="00000000" w:rsidRPr="00000000" w14:paraId="00000019">
      <w:pPr>
        <w:spacing w:after="0" w:line="240" w:lineRule="auto"/>
        <w:ind w:left="720" w:right="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Prechodné ustanovenia k úpravám účinným od 1. januára 2025</w:t>
      </w:r>
    </w:p>
    <w:p w:rsidR="00000000" w:rsidDel="00000000" w:rsidP="00000000" w:rsidRDefault="00000000" w:rsidRPr="00000000" w14:paraId="0000001A">
      <w:pPr>
        <w:spacing w:after="0" w:line="240" w:lineRule="auto"/>
        <w:ind w:left="720" w:right="0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righ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(1) O zmene výšky peňažného príspevku na opatrovanie, na ktorý vznikol nárok pred 1. januárom 2025 a trvá aj po 31. decembri 2024, rozhodne príslušný orgán do 31. januára 2025.</w:t>
      </w:r>
    </w:p>
    <w:p w:rsidR="00000000" w:rsidDel="00000000" w:rsidP="00000000" w:rsidRDefault="00000000" w:rsidRPr="00000000" w14:paraId="0000001C">
      <w:pPr>
        <w:spacing w:after="0" w:line="240" w:lineRule="auto"/>
        <w:ind w:left="720" w:righ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(2) Konanie o peňažnom príspevku na opatrovanie začaté pred 1. januárom 2025, ktoré nebolo právoplatne skončené do 31. decembra 2024, sa dokončí podľa tohto zákona v znení účinnom od 1. januára 2025.“.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ind w:right="61"/>
        <w:rPr/>
      </w:pPr>
      <w:r w:rsidDel="00000000" w:rsidR="00000000" w:rsidRPr="00000000">
        <w:rPr>
          <w:rtl w:val="0"/>
        </w:rPr>
        <w:t xml:space="preserve">Čl. II </w:t>
      </w:r>
    </w:p>
    <w:p w:rsidR="00000000" w:rsidDel="00000000" w:rsidP="00000000" w:rsidRDefault="00000000" w:rsidRPr="00000000" w14:paraId="00000020">
      <w:pPr>
        <w:spacing w:after="23" w:line="259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718" w:right="51" w:firstLine="0"/>
        <w:rPr/>
      </w:pPr>
      <w:r w:rsidDel="00000000" w:rsidR="00000000" w:rsidRPr="00000000">
        <w:rPr>
          <w:rtl w:val="0"/>
        </w:rPr>
        <w:t xml:space="preserve">Tento zákon nadobúda účinnosť 1. januára 2025. </w:t>
      </w:r>
    </w:p>
    <w:sectPr>
      <w:pgSz w:h="16838" w:w="11906" w:orient="portrait"/>
      <w:pgMar w:bottom="1424" w:top="1465" w:left="1416" w:right="135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-SK"/>
      </w:rPr>
    </w:rPrDefault>
    <w:pPrDefault>
      <w:pPr>
        <w:spacing w:after="5" w:line="269" w:lineRule="auto"/>
        <w:ind w:left="10" w:right="65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" w:before="0" w:line="270" w:lineRule="auto"/>
      <w:ind w:left="10" w:right="63" w:hanging="1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pPr>
      <w:spacing w:after="5" w:line="269" w:lineRule="auto"/>
      <w:ind w:left="10" w:right="65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 w:val="1"/>
    <w:qFormat w:val="1"/>
    <w:pPr>
      <w:keepNext w:val="1"/>
      <w:keepLines w:val="1"/>
      <w:spacing w:after="1" w:line="270" w:lineRule="auto"/>
      <w:ind w:left="10" w:right="63" w:hanging="10"/>
      <w:jc w:val="center"/>
      <w:outlineLvl w:val="0"/>
    </w:pPr>
    <w:rPr>
      <w:rFonts w:ascii="Times New Roman" w:cs="Times New Roman" w:eastAsia="Times New Roman" w:hAnsi="Times New Roman"/>
      <w:b w:val="1"/>
      <w:color w:val="000000"/>
      <w:sz w:val="24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1Char" w:customStyle="1">
    <w:name w:val="Nadpis 1 Char"/>
    <w:link w:val="Nadpis1"/>
    <w:rPr>
      <w:rFonts w:ascii="Times New Roman" w:cs="Times New Roman" w:eastAsia="Times New Roman" w:hAnsi="Times New Roman"/>
      <w:b w:val="1"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lnywebov">
    <w:name w:val="Normal (Web)"/>
    <w:basedOn w:val="Normlny"/>
    <w:uiPriority w:val="99"/>
    <w:semiHidden w:val="1"/>
    <w:unhideWhenUsed w:val="1"/>
    <w:rsid w:val="0061323D"/>
    <w:pPr>
      <w:spacing w:after="100" w:afterAutospacing="1" w:before="100" w:before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textovprepojenie">
    <w:name w:val="Hyperlink"/>
    <w:basedOn w:val="Predvolenpsmoodseku"/>
    <w:uiPriority w:val="99"/>
    <w:semiHidden w:val="1"/>
    <w:unhideWhenUsed w:val="1"/>
    <w:rsid w:val="0061323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zakonypreludi.sk/zz/2008-447#f356844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zakonypreludi.sk/zz/2008-447#f3568448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7Qw8IBaboqf/RrrBtH9TEEAnA==">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2024-07-29T18:40:00Z</dcterms:created>
  <dc:creator>HP</dc:creator>
</cp:coreProperties>
</file>