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3D449BD6" w14:textId="77777777" w:rsidTr="00C5327D">
        <w:trPr>
          <w:trHeight w:val="534"/>
          <w:jc w:val="center"/>
        </w:trPr>
        <w:tc>
          <w:tcPr>
            <w:tcW w:w="5000" w:type="pct"/>
            <w:gridSpan w:val="3"/>
            <w:tcBorders>
              <w:bottom w:val="single" w:sz="4" w:space="0" w:color="auto"/>
            </w:tcBorders>
            <w:shd w:val="clear" w:color="auto" w:fill="808080" w:themeFill="background1" w:themeFillShade="80"/>
          </w:tcPr>
          <w:p w14:paraId="6A067A6A"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14:paraId="15931684"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46D38FE8"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0A448795" w14:textId="77777777" w:rsidTr="00C5327D">
        <w:trPr>
          <w:jc w:val="center"/>
        </w:trPr>
        <w:tc>
          <w:tcPr>
            <w:tcW w:w="5000" w:type="pct"/>
            <w:gridSpan w:val="3"/>
            <w:tcBorders>
              <w:bottom w:val="single" w:sz="4" w:space="0" w:color="auto"/>
            </w:tcBorders>
            <w:shd w:val="clear" w:color="auto" w:fill="A6A6A6" w:themeFill="background1" w:themeFillShade="A6"/>
          </w:tcPr>
          <w:p w14:paraId="0C1B3172"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010C5A3E" w14:textId="77777777" w:rsidTr="00C5327D">
        <w:trPr>
          <w:jc w:val="center"/>
        </w:trPr>
        <w:tc>
          <w:tcPr>
            <w:tcW w:w="5000" w:type="pct"/>
            <w:gridSpan w:val="3"/>
            <w:tcBorders>
              <w:bottom w:val="single" w:sz="4" w:space="0" w:color="auto"/>
            </w:tcBorders>
            <w:shd w:val="clear" w:color="auto" w:fill="F2F2F2"/>
          </w:tcPr>
          <w:p w14:paraId="02121635"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0AEA8FC7"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639A7253"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3720D15B"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6D6B8E2D" w14:textId="77777777" w:rsidTr="00C5327D">
        <w:trPr>
          <w:trHeight w:val="170"/>
          <w:jc w:val="center"/>
        </w:trPr>
        <w:tc>
          <w:tcPr>
            <w:tcW w:w="129" w:type="pct"/>
            <w:tcBorders>
              <w:top w:val="single" w:sz="4" w:space="0" w:color="auto"/>
              <w:bottom w:val="single" w:sz="4" w:space="0" w:color="auto"/>
            </w:tcBorders>
            <w:shd w:val="clear" w:color="auto" w:fill="DDDDDD"/>
            <w:vAlign w:val="center"/>
          </w:tcPr>
          <w:p w14:paraId="51EEA94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BE00D50"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1FBC1F38" w14:textId="77777777" w:rsidTr="00C5327D">
        <w:trPr>
          <w:trHeight w:val="759"/>
          <w:jc w:val="center"/>
        </w:trPr>
        <w:tc>
          <w:tcPr>
            <w:tcW w:w="129" w:type="pct"/>
            <w:tcBorders>
              <w:top w:val="single" w:sz="4" w:space="0" w:color="auto"/>
              <w:bottom w:val="single" w:sz="4" w:space="0" w:color="auto"/>
            </w:tcBorders>
            <w:shd w:val="clear" w:color="auto" w:fill="auto"/>
            <w:vAlign w:val="center"/>
          </w:tcPr>
          <w:p w14:paraId="523A4590"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208B90D6"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5402E52" w14:textId="77777777" w:rsidR="002644DE" w:rsidRPr="0057523E" w:rsidRDefault="008C2ED9" w:rsidP="004D38A3">
            <w:pPr>
              <w:spacing w:after="0" w:line="240" w:lineRule="auto"/>
              <w:contextualSpacing/>
              <w:jc w:val="both"/>
              <w:rPr>
                <w:rFonts w:ascii="Times New Roman" w:eastAsia="Calibri" w:hAnsi="Times New Roman" w:cs="Times New Roman"/>
                <w:sz w:val="20"/>
                <w:szCs w:val="20"/>
                <w:lang w:eastAsia="sk-SK"/>
              </w:rPr>
            </w:pPr>
            <w:r w:rsidRPr="0057523E">
              <w:rPr>
                <w:rFonts w:ascii="Times New Roman" w:eastAsia="Calibri" w:hAnsi="Times New Roman" w:cs="Times New Roman"/>
                <w:sz w:val="20"/>
                <w:szCs w:val="20"/>
                <w:lang w:eastAsia="sk-SK"/>
              </w:rPr>
              <w:t>Návrh predpokladá pozitívne vplyvy na hospodárenie domácnosti</w:t>
            </w:r>
            <w:r w:rsidR="00786CEC" w:rsidRPr="0057523E">
              <w:rPr>
                <w:rFonts w:ascii="Times New Roman" w:eastAsia="Calibri" w:hAnsi="Times New Roman" w:cs="Times New Roman"/>
                <w:sz w:val="20"/>
                <w:szCs w:val="20"/>
                <w:lang w:eastAsia="sk-SK"/>
              </w:rPr>
              <w:t xml:space="preserve"> v roku 2026</w:t>
            </w:r>
            <w:r w:rsidRPr="0057523E">
              <w:rPr>
                <w:rFonts w:ascii="Times New Roman" w:eastAsia="Calibri" w:hAnsi="Times New Roman" w:cs="Times New Roman"/>
                <w:sz w:val="20"/>
                <w:szCs w:val="20"/>
                <w:lang w:eastAsia="sk-SK"/>
              </w:rPr>
              <w:t xml:space="preserve"> z dôvodu zvýšenia plynúceho pravidelného mesačného príjmu.</w:t>
            </w:r>
          </w:p>
          <w:p w14:paraId="2A3DCBB1" w14:textId="2246CD29" w:rsidR="009C7687" w:rsidRPr="002644DE" w:rsidRDefault="009C7687" w:rsidP="00B21FDC">
            <w:pPr>
              <w:spacing w:after="0" w:line="240" w:lineRule="auto"/>
              <w:contextualSpacing/>
              <w:jc w:val="both"/>
              <w:rPr>
                <w:rFonts w:ascii="Times New Roman" w:eastAsia="Calibri" w:hAnsi="Times New Roman" w:cs="Times New Roman"/>
                <w:sz w:val="20"/>
                <w:szCs w:val="20"/>
                <w:lang w:eastAsia="sk-SK"/>
              </w:rPr>
            </w:pPr>
            <w:r w:rsidRPr="0057523E">
              <w:rPr>
                <w:rFonts w:ascii="Times New Roman" w:eastAsia="Calibri" w:hAnsi="Times New Roman" w:cs="Times New Roman"/>
                <w:sz w:val="20"/>
                <w:szCs w:val="20"/>
                <w:lang w:eastAsia="sk-SK"/>
              </w:rPr>
              <w:t xml:space="preserve">Zvýšenie pravidelného príjmu môžu zaznamenať aj zamestnanci, na ktorých sa </w:t>
            </w:r>
            <w:r w:rsidR="00B21FDC">
              <w:rPr>
                <w:rFonts w:ascii="Times New Roman" w:eastAsia="Calibri" w:hAnsi="Times New Roman" w:cs="Times New Roman"/>
                <w:sz w:val="20"/>
                <w:szCs w:val="20"/>
                <w:lang w:eastAsia="sk-SK"/>
              </w:rPr>
              <w:t>bude aplikovať reprezentatívna kolektívna</w:t>
            </w:r>
            <w:r w:rsidRPr="0057523E">
              <w:rPr>
                <w:rFonts w:ascii="Times New Roman" w:eastAsia="Calibri" w:hAnsi="Times New Roman" w:cs="Times New Roman"/>
                <w:sz w:val="20"/>
                <w:szCs w:val="20"/>
                <w:lang w:eastAsia="sk-SK"/>
              </w:rPr>
              <w:t xml:space="preserve"> zmluvy vyššieho stupňa, ktorá bude garantovať daným zamestnancom vyšší príjem.</w:t>
            </w:r>
            <w:r>
              <w:rPr>
                <w:rFonts w:ascii="Times New Roman" w:eastAsia="Calibri" w:hAnsi="Times New Roman" w:cs="Times New Roman"/>
                <w:sz w:val="20"/>
                <w:szCs w:val="20"/>
                <w:lang w:eastAsia="sk-SK"/>
              </w:rPr>
              <w:t xml:space="preserve">  </w:t>
            </w:r>
          </w:p>
        </w:tc>
      </w:tr>
      <w:tr w:rsidR="002644DE" w:rsidRPr="002644DE" w14:paraId="16920E76" w14:textId="77777777" w:rsidTr="00C5327D">
        <w:trPr>
          <w:trHeight w:val="397"/>
          <w:jc w:val="center"/>
        </w:trPr>
        <w:tc>
          <w:tcPr>
            <w:tcW w:w="129" w:type="pct"/>
            <w:vMerge w:val="restart"/>
            <w:tcBorders>
              <w:top w:val="single" w:sz="4" w:space="0" w:color="auto"/>
            </w:tcBorders>
            <w:shd w:val="clear" w:color="auto" w:fill="auto"/>
            <w:vAlign w:val="center"/>
          </w:tcPr>
          <w:p w14:paraId="0F0659A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1A8FE0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4B264781" w14:textId="77777777" w:rsidR="002644DE" w:rsidRPr="002644DE" w:rsidRDefault="00636449" w:rsidP="008C2ED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r w:rsidR="008C2ED9">
              <w:rPr>
                <w:rFonts w:ascii="Times New Roman" w:eastAsia="Calibri" w:hAnsi="Times New Roman" w:cs="Times New Roman"/>
                <w:i/>
                <w:sz w:val="18"/>
                <w:szCs w:val="20"/>
                <w:lang w:eastAsia="sk-SK"/>
              </w:rPr>
              <w:t xml:space="preserve">: </w:t>
            </w:r>
            <w:r w:rsidR="008C2ED9" w:rsidRPr="0057523E">
              <w:rPr>
                <w:rFonts w:ascii="Times New Roman" w:eastAsia="Calibri" w:hAnsi="Times New Roman" w:cs="Times New Roman"/>
                <w:sz w:val="18"/>
                <w:szCs w:val="20"/>
                <w:lang w:eastAsia="sk-SK"/>
              </w:rPr>
              <w:t>zamestnanci so mzdou pod úrovňou navrhovanej minimálnej mzdy</w:t>
            </w:r>
          </w:p>
        </w:tc>
      </w:tr>
      <w:tr w:rsidR="002644DE" w:rsidRPr="002644DE" w14:paraId="1D48B6F3" w14:textId="77777777" w:rsidTr="00C5327D">
        <w:trPr>
          <w:trHeight w:val="397"/>
          <w:jc w:val="center"/>
        </w:trPr>
        <w:tc>
          <w:tcPr>
            <w:tcW w:w="129" w:type="pct"/>
            <w:vMerge/>
            <w:shd w:val="clear" w:color="auto" w:fill="auto"/>
            <w:vAlign w:val="center"/>
          </w:tcPr>
          <w:p w14:paraId="7C4187B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8FFDF20" w14:textId="77777777" w:rsidR="00CC5E8A"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r w:rsidR="00CC5E8A">
              <w:rPr>
                <w:rFonts w:ascii="Times New Roman" w:eastAsia="Calibri" w:hAnsi="Times New Roman" w:cs="Times New Roman"/>
                <w:i/>
                <w:sz w:val="18"/>
                <w:szCs w:val="20"/>
                <w:lang w:eastAsia="sk-SK"/>
              </w:rPr>
              <w:t>:</w:t>
            </w:r>
          </w:p>
          <w:p w14:paraId="0B1FCDA2" w14:textId="77777777" w:rsidR="00CC5E8A" w:rsidRPr="00EB7278" w:rsidRDefault="00CC5E8A" w:rsidP="00982A08">
            <w:pPr>
              <w:spacing w:after="0" w:line="240" w:lineRule="auto"/>
              <w:rPr>
                <w:rFonts w:ascii="Times New Roman" w:eastAsia="Calibri" w:hAnsi="Times New Roman" w:cs="Times New Roman"/>
                <w:sz w:val="18"/>
                <w:szCs w:val="20"/>
                <w:lang w:eastAsia="sk-SK"/>
              </w:rPr>
            </w:pPr>
            <w:r w:rsidRPr="00EB7278">
              <w:rPr>
                <w:rFonts w:ascii="Times New Roman" w:eastAsia="Calibri" w:hAnsi="Times New Roman" w:cs="Times New Roman"/>
                <w:color w:val="000000" w:themeColor="text1"/>
                <w:sz w:val="18"/>
                <w:szCs w:val="20"/>
                <w:lang w:eastAsia="sk-SK"/>
              </w:rPr>
              <w:t>zamestnanci poberajúci príplatky za prácu v sviatky, cez víkend a iné príplatky napojené na výšku minimálnej mzdy</w:t>
            </w:r>
          </w:p>
        </w:tc>
        <w:tc>
          <w:tcPr>
            <w:tcW w:w="3229" w:type="pct"/>
            <w:tcBorders>
              <w:top w:val="dotted" w:sz="4" w:space="0" w:color="auto"/>
            </w:tcBorders>
            <w:shd w:val="clear" w:color="auto" w:fill="auto"/>
          </w:tcPr>
          <w:p w14:paraId="5E206ED5" w14:textId="77777777" w:rsidR="009C7687" w:rsidRPr="009C7687"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r w:rsidR="009C7687" w:rsidRPr="0057523E">
              <w:rPr>
                <w:rFonts w:ascii="Times New Roman" w:eastAsia="Calibri" w:hAnsi="Times New Roman" w:cs="Times New Roman"/>
                <w:i/>
                <w:sz w:val="18"/>
                <w:szCs w:val="20"/>
                <w:lang w:eastAsia="sk-SK"/>
              </w:rPr>
              <w:t>: zamestnanci, na ktorých sa rozšíri pôsobnosť kolektívnej zmluvy vyššieho stupňa</w:t>
            </w:r>
          </w:p>
        </w:tc>
      </w:tr>
      <w:tr w:rsidR="002644DE" w:rsidRPr="002644DE" w14:paraId="6E06C822" w14:textId="77777777" w:rsidTr="00C5327D">
        <w:trPr>
          <w:trHeight w:val="454"/>
          <w:jc w:val="center"/>
        </w:trPr>
        <w:tc>
          <w:tcPr>
            <w:tcW w:w="129" w:type="pct"/>
            <w:tcBorders>
              <w:top w:val="dotted" w:sz="4" w:space="0" w:color="auto"/>
            </w:tcBorders>
            <w:shd w:val="clear" w:color="auto" w:fill="F2F2F2"/>
            <w:vAlign w:val="center"/>
          </w:tcPr>
          <w:p w14:paraId="099F4C6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3F425013"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2FE8D97B" w14:textId="77777777" w:rsidTr="00C5327D">
        <w:trPr>
          <w:trHeight w:val="680"/>
          <w:jc w:val="center"/>
        </w:trPr>
        <w:tc>
          <w:tcPr>
            <w:tcW w:w="129" w:type="pct"/>
            <w:vMerge w:val="restart"/>
            <w:tcBorders>
              <w:top w:val="dotted" w:sz="4" w:space="0" w:color="auto"/>
            </w:tcBorders>
            <w:shd w:val="clear" w:color="auto" w:fill="auto"/>
            <w:vAlign w:val="center"/>
          </w:tcPr>
          <w:p w14:paraId="1538BB6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3C798255"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1C89C7A7"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CBD2429"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2F213893" w14:textId="77777777" w:rsidR="002B7A35" w:rsidRDefault="002B7A35" w:rsidP="008C2ED9">
            <w:pPr>
              <w:spacing w:after="0" w:line="240" w:lineRule="auto"/>
              <w:rPr>
                <w:rFonts w:ascii="Times New Roman" w:eastAsia="Calibri" w:hAnsi="Times New Roman" w:cs="Times New Roman"/>
                <w:i/>
                <w:color w:val="FF0000"/>
                <w:sz w:val="18"/>
                <w:szCs w:val="20"/>
                <w:lang w:eastAsia="sk-SK"/>
              </w:rPr>
            </w:pPr>
          </w:p>
          <w:p w14:paraId="288426A9" w14:textId="128B463F" w:rsidR="00B3199C" w:rsidRPr="0057523E" w:rsidRDefault="00B3199C" w:rsidP="0057523E">
            <w:pPr>
              <w:spacing w:after="0" w:line="240" w:lineRule="auto"/>
              <w:jc w:val="both"/>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Modelový príklad:</w:t>
            </w:r>
            <w:r w:rsidR="00284464" w:rsidRPr="0057523E">
              <w:rPr>
                <w:rFonts w:ascii="Times New Roman" w:eastAsia="Calibri" w:hAnsi="Times New Roman" w:cs="Times New Roman"/>
                <w:i/>
                <w:sz w:val="18"/>
                <w:szCs w:val="20"/>
                <w:lang w:eastAsia="sk-SK"/>
              </w:rPr>
              <w:t xml:space="preserve"> bezdetný </w:t>
            </w:r>
            <w:r w:rsidRPr="0057523E">
              <w:rPr>
                <w:rFonts w:ascii="Times New Roman" w:eastAsia="Calibri" w:hAnsi="Times New Roman" w:cs="Times New Roman"/>
                <w:i/>
                <w:sz w:val="18"/>
                <w:szCs w:val="20"/>
                <w:lang w:eastAsia="sk-SK"/>
              </w:rPr>
              <w:t xml:space="preserve">zamestnanec zarábajúci v roku 2026 minimálnu mzdu vo výške 874 eur mesačne (podľa 57-percentnej automatickej valorizácie) </w:t>
            </w:r>
            <w:proofErr w:type="spellStart"/>
            <w:r w:rsidRPr="0057523E">
              <w:rPr>
                <w:rFonts w:ascii="Times New Roman" w:eastAsia="Calibri" w:hAnsi="Times New Roman" w:cs="Times New Roman"/>
                <w:i/>
                <w:sz w:val="18"/>
                <w:szCs w:val="20"/>
                <w:lang w:eastAsia="sk-SK"/>
              </w:rPr>
              <w:t>vs</w:t>
            </w:r>
            <w:proofErr w:type="spellEnd"/>
            <w:r w:rsidRPr="0057523E">
              <w:rPr>
                <w:rFonts w:ascii="Times New Roman" w:eastAsia="Calibri" w:hAnsi="Times New Roman" w:cs="Times New Roman"/>
                <w:i/>
                <w:sz w:val="18"/>
                <w:szCs w:val="20"/>
                <w:lang w:eastAsia="sk-SK"/>
              </w:rPr>
              <w:t xml:space="preserve">. vo výške 920 eur mesačne (podľa 60-percentnej automatickej valorizácie). </w:t>
            </w:r>
          </w:p>
          <w:p w14:paraId="70CBF144" w14:textId="77777777" w:rsidR="00B3199C" w:rsidRPr="0057523E" w:rsidRDefault="00B3199C" w:rsidP="008C2ED9">
            <w:pPr>
              <w:spacing w:after="0" w:line="240" w:lineRule="auto"/>
              <w:rPr>
                <w:rFonts w:ascii="Times New Roman" w:eastAsia="Calibri" w:hAnsi="Times New Roman" w:cs="Times New Roman"/>
                <w:i/>
                <w:sz w:val="18"/>
                <w:szCs w:val="20"/>
                <w:lang w:eastAsia="sk-SK"/>
              </w:rPr>
            </w:pPr>
          </w:p>
          <w:tbl>
            <w:tblPr>
              <w:tblStyle w:val="Mriekatabuky"/>
              <w:tblW w:w="0" w:type="auto"/>
              <w:jc w:val="center"/>
              <w:tblLayout w:type="fixed"/>
              <w:tblLook w:val="04A0" w:firstRow="1" w:lastRow="0" w:firstColumn="1" w:lastColumn="0" w:noHBand="0" w:noVBand="1"/>
            </w:tblPr>
            <w:tblGrid>
              <w:gridCol w:w="2403"/>
              <w:gridCol w:w="1509"/>
              <w:gridCol w:w="1509"/>
            </w:tblGrid>
            <w:tr w:rsidR="0057523E" w:rsidRPr="0057523E" w14:paraId="56E45414" w14:textId="77777777" w:rsidTr="00E37C8B">
              <w:trPr>
                <w:jc w:val="center"/>
              </w:trPr>
              <w:tc>
                <w:tcPr>
                  <w:tcW w:w="2403" w:type="dxa"/>
                </w:tcPr>
                <w:p w14:paraId="5AF3AFAB" w14:textId="77777777" w:rsidR="00E37C8B" w:rsidRPr="0057523E" w:rsidRDefault="00E37C8B" w:rsidP="00B3199C">
                  <w:pPr>
                    <w:jc w:val="center"/>
                    <w:rPr>
                      <w:rFonts w:ascii="Times New Roman" w:eastAsia="Calibri" w:hAnsi="Times New Roman" w:cs="Times New Roman"/>
                      <w:i/>
                      <w:sz w:val="18"/>
                      <w:szCs w:val="20"/>
                      <w:lang w:eastAsia="sk-SK"/>
                    </w:rPr>
                  </w:pPr>
                </w:p>
              </w:tc>
              <w:tc>
                <w:tcPr>
                  <w:tcW w:w="1509" w:type="dxa"/>
                </w:tcPr>
                <w:p w14:paraId="51A71799"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Minimálna mzda</w:t>
                  </w:r>
                </w:p>
                <w:p w14:paraId="124138AE"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874 eur mesačne</w:t>
                  </w:r>
                </w:p>
              </w:tc>
              <w:tc>
                <w:tcPr>
                  <w:tcW w:w="1509" w:type="dxa"/>
                </w:tcPr>
                <w:p w14:paraId="6B28147E"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Minimálna mzda</w:t>
                  </w:r>
                </w:p>
                <w:p w14:paraId="7BA72932"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920 eur mesačne</w:t>
                  </w:r>
                </w:p>
              </w:tc>
            </w:tr>
            <w:tr w:rsidR="0057523E" w:rsidRPr="0057523E" w14:paraId="1AA4F15F" w14:textId="77777777" w:rsidTr="00E37C8B">
              <w:trPr>
                <w:jc w:val="center"/>
              </w:trPr>
              <w:tc>
                <w:tcPr>
                  <w:tcW w:w="2403" w:type="dxa"/>
                </w:tcPr>
                <w:p w14:paraId="107A7948" w14:textId="77777777" w:rsidR="00E37C8B" w:rsidRPr="0057523E" w:rsidRDefault="00E37C8B" w:rsidP="008C2ED9">
                  <w:pP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Hrubá mzda</w:t>
                  </w:r>
                </w:p>
              </w:tc>
              <w:tc>
                <w:tcPr>
                  <w:tcW w:w="1509" w:type="dxa"/>
                </w:tcPr>
                <w:p w14:paraId="458B75DB"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874 €</w:t>
                  </w:r>
                </w:p>
              </w:tc>
              <w:tc>
                <w:tcPr>
                  <w:tcW w:w="1509" w:type="dxa"/>
                </w:tcPr>
                <w:p w14:paraId="12351CF7"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920 €</w:t>
                  </w:r>
                </w:p>
              </w:tc>
            </w:tr>
            <w:tr w:rsidR="0057523E" w:rsidRPr="0057523E" w14:paraId="163B20C9" w14:textId="77777777" w:rsidTr="00E37C8B">
              <w:trPr>
                <w:jc w:val="center"/>
              </w:trPr>
              <w:tc>
                <w:tcPr>
                  <w:tcW w:w="2403" w:type="dxa"/>
                </w:tcPr>
                <w:p w14:paraId="44CC817C" w14:textId="77777777" w:rsidR="00E37C8B" w:rsidRPr="0057523E" w:rsidRDefault="00E37C8B" w:rsidP="008C2ED9">
                  <w:pP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Sociálne odvody (9,4 %)</w:t>
                  </w:r>
                </w:p>
              </w:tc>
              <w:tc>
                <w:tcPr>
                  <w:tcW w:w="1509" w:type="dxa"/>
                </w:tcPr>
                <w:p w14:paraId="74903FD2"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82,15 €</w:t>
                  </w:r>
                </w:p>
              </w:tc>
              <w:tc>
                <w:tcPr>
                  <w:tcW w:w="1509" w:type="dxa"/>
                </w:tcPr>
                <w:p w14:paraId="5CED49F5"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86,48 €</w:t>
                  </w:r>
                </w:p>
              </w:tc>
            </w:tr>
            <w:tr w:rsidR="0057523E" w:rsidRPr="0057523E" w14:paraId="3B18BFC9" w14:textId="77777777" w:rsidTr="00E37C8B">
              <w:trPr>
                <w:jc w:val="center"/>
              </w:trPr>
              <w:tc>
                <w:tcPr>
                  <w:tcW w:w="2403" w:type="dxa"/>
                </w:tcPr>
                <w:p w14:paraId="75657E42" w14:textId="77777777" w:rsidR="00E37C8B" w:rsidRPr="0057523E" w:rsidRDefault="00E37C8B" w:rsidP="008C2ED9">
                  <w:pP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Zdravotné odvody (4 %)</w:t>
                  </w:r>
                </w:p>
              </w:tc>
              <w:tc>
                <w:tcPr>
                  <w:tcW w:w="1509" w:type="dxa"/>
                </w:tcPr>
                <w:p w14:paraId="51A98F81"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34,95 €</w:t>
                  </w:r>
                </w:p>
              </w:tc>
              <w:tc>
                <w:tcPr>
                  <w:tcW w:w="1509" w:type="dxa"/>
                </w:tcPr>
                <w:p w14:paraId="70F3267F"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36,80 €</w:t>
                  </w:r>
                </w:p>
              </w:tc>
            </w:tr>
            <w:tr w:rsidR="0057523E" w:rsidRPr="0057523E" w14:paraId="37B3B310" w14:textId="77777777" w:rsidTr="00E37C8B">
              <w:trPr>
                <w:jc w:val="center"/>
              </w:trPr>
              <w:tc>
                <w:tcPr>
                  <w:tcW w:w="2403" w:type="dxa"/>
                </w:tcPr>
                <w:p w14:paraId="3F82605B" w14:textId="77777777" w:rsidR="00E37C8B" w:rsidRPr="0057523E" w:rsidRDefault="00E37C8B" w:rsidP="008C2ED9">
                  <w:pP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Čiastkový základ dane</w:t>
                  </w:r>
                </w:p>
              </w:tc>
              <w:tc>
                <w:tcPr>
                  <w:tcW w:w="1509" w:type="dxa"/>
                </w:tcPr>
                <w:p w14:paraId="07B750D7"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756,90 €</w:t>
                  </w:r>
                </w:p>
              </w:tc>
              <w:tc>
                <w:tcPr>
                  <w:tcW w:w="1509" w:type="dxa"/>
                </w:tcPr>
                <w:p w14:paraId="1EA4EA0D" w14:textId="77777777" w:rsidR="00E37C8B" w:rsidRPr="0057523E" w:rsidRDefault="00E37C8B"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796,72 €</w:t>
                  </w:r>
                </w:p>
              </w:tc>
            </w:tr>
            <w:tr w:rsidR="0057523E" w:rsidRPr="0057523E" w14:paraId="0BA721D8" w14:textId="77777777" w:rsidTr="00E37C8B">
              <w:trPr>
                <w:jc w:val="center"/>
              </w:trPr>
              <w:tc>
                <w:tcPr>
                  <w:tcW w:w="2403" w:type="dxa"/>
                </w:tcPr>
                <w:p w14:paraId="03E94B73" w14:textId="77777777" w:rsidR="00E37C8B" w:rsidRPr="0057523E" w:rsidRDefault="00284464" w:rsidP="008C2ED9">
                  <w:pP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Nezdaniteľná časť základu dane</w:t>
                  </w:r>
                </w:p>
              </w:tc>
              <w:tc>
                <w:tcPr>
                  <w:tcW w:w="1509" w:type="dxa"/>
                </w:tcPr>
                <w:p w14:paraId="28003E11" w14:textId="77777777" w:rsidR="00E37C8B" w:rsidRPr="0057523E" w:rsidRDefault="00284464"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513,68 €</w:t>
                  </w:r>
                </w:p>
              </w:tc>
              <w:tc>
                <w:tcPr>
                  <w:tcW w:w="1509" w:type="dxa"/>
                </w:tcPr>
                <w:p w14:paraId="2C59CA00" w14:textId="77777777" w:rsidR="00E37C8B" w:rsidRPr="0057523E" w:rsidRDefault="00284464"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513,68 €</w:t>
                  </w:r>
                </w:p>
              </w:tc>
            </w:tr>
            <w:tr w:rsidR="0057523E" w:rsidRPr="0057523E" w14:paraId="7F4BBD2E" w14:textId="77777777" w:rsidTr="00E37C8B">
              <w:trPr>
                <w:jc w:val="center"/>
              </w:trPr>
              <w:tc>
                <w:tcPr>
                  <w:tcW w:w="2403" w:type="dxa"/>
                </w:tcPr>
                <w:p w14:paraId="25CA05A8" w14:textId="77777777" w:rsidR="00E37C8B" w:rsidRPr="0057523E" w:rsidRDefault="00284464" w:rsidP="008C2ED9">
                  <w:pP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Základ dane</w:t>
                  </w:r>
                </w:p>
              </w:tc>
              <w:tc>
                <w:tcPr>
                  <w:tcW w:w="1509" w:type="dxa"/>
                </w:tcPr>
                <w:p w14:paraId="5247BB9F" w14:textId="77777777" w:rsidR="00E37C8B" w:rsidRPr="0057523E" w:rsidRDefault="00284464"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243,22 €</w:t>
                  </w:r>
                </w:p>
              </w:tc>
              <w:tc>
                <w:tcPr>
                  <w:tcW w:w="1509" w:type="dxa"/>
                </w:tcPr>
                <w:p w14:paraId="24F5A871" w14:textId="77777777" w:rsidR="00E37C8B" w:rsidRPr="0057523E" w:rsidRDefault="00284464"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283,04 €</w:t>
                  </w:r>
                </w:p>
              </w:tc>
            </w:tr>
            <w:tr w:rsidR="0057523E" w:rsidRPr="0057523E" w14:paraId="1BCEBCB0" w14:textId="77777777" w:rsidTr="00E37C8B">
              <w:trPr>
                <w:jc w:val="center"/>
              </w:trPr>
              <w:tc>
                <w:tcPr>
                  <w:tcW w:w="2403" w:type="dxa"/>
                </w:tcPr>
                <w:p w14:paraId="17A58E84" w14:textId="77777777" w:rsidR="00E37C8B" w:rsidRPr="0057523E" w:rsidRDefault="00284464" w:rsidP="008C2ED9">
                  <w:pP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Daň z príjmu fyzickej osoby</w:t>
                  </w:r>
                </w:p>
              </w:tc>
              <w:tc>
                <w:tcPr>
                  <w:tcW w:w="1509" w:type="dxa"/>
                </w:tcPr>
                <w:p w14:paraId="45591AB8" w14:textId="77777777" w:rsidR="00E37C8B" w:rsidRPr="0057523E" w:rsidRDefault="00284464" w:rsidP="00284464">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46,21 €</w:t>
                  </w:r>
                </w:p>
              </w:tc>
              <w:tc>
                <w:tcPr>
                  <w:tcW w:w="1509" w:type="dxa"/>
                </w:tcPr>
                <w:p w14:paraId="0662EA9A" w14:textId="77777777" w:rsidR="00E37C8B" w:rsidRPr="0057523E" w:rsidRDefault="00284464"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53,78 €</w:t>
                  </w:r>
                </w:p>
              </w:tc>
            </w:tr>
            <w:tr w:rsidR="0057523E" w:rsidRPr="0057523E" w14:paraId="23E22F4B" w14:textId="77777777" w:rsidTr="00E37C8B">
              <w:trPr>
                <w:jc w:val="center"/>
              </w:trPr>
              <w:tc>
                <w:tcPr>
                  <w:tcW w:w="2403" w:type="dxa"/>
                </w:tcPr>
                <w:p w14:paraId="65295BE4" w14:textId="77777777" w:rsidR="00284464" w:rsidRPr="0057523E" w:rsidRDefault="00284464" w:rsidP="008C2ED9">
                  <w:pP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Čistá mzda</w:t>
                  </w:r>
                </w:p>
              </w:tc>
              <w:tc>
                <w:tcPr>
                  <w:tcW w:w="1509" w:type="dxa"/>
                </w:tcPr>
                <w:p w14:paraId="7EB71D41" w14:textId="77777777" w:rsidR="00284464" w:rsidRPr="0057523E" w:rsidRDefault="00284464" w:rsidP="00284464">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710,69 €</w:t>
                  </w:r>
                </w:p>
              </w:tc>
              <w:tc>
                <w:tcPr>
                  <w:tcW w:w="1509" w:type="dxa"/>
                </w:tcPr>
                <w:p w14:paraId="51EA483D" w14:textId="77777777" w:rsidR="00284464" w:rsidRPr="0057523E" w:rsidRDefault="00284464" w:rsidP="00E37C8B">
                  <w:pPr>
                    <w:jc w:val="center"/>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742,94 €</w:t>
                  </w:r>
                </w:p>
              </w:tc>
            </w:tr>
          </w:tbl>
          <w:p w14:paraId="373D0FA3" w14:textId="77777777" w:rsidR="00B3199C" w:rsidRPr="0057523E" w:rsidRDefault="00B3199C" w:rsidP="008C2ED9">
            <w:pPr>
              <w:spacing w:after="0" w:line="240" w:lineRule="auto"/>
              <w:rPr>
                <w:rFonts w:ascii="Times New Roman" w:eastAsia="Calibri" w:hAnsi="Times New Roman" w:cs="Times New Roman"/>
                <w:i/>
                <w:sz w:val="18"/>
                <w:szCs w:val="20"/>
                <w:lang w:eastAsia="sk-SK"/>
              </w:rPr>
            </w:pPr>
          </w:p>
          <w:p w14:paraId="3C8DAD51" w14:textId="77777777" w:rsidR="00C00982" w:rsidRPr="0057523E" w:rsidRDefault="00284464" w:rsidP="0057523E">
            <w:pPr>
              <w:spacing w:after="0" w:line="240" w:lineRule="auto"/>
              <w:jc w:val="both"/>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60-percentná automatická valorizácia minimálnej mzdy povedie v prípade bezdetného zamestnanca, ktorý ju zarába, v roku 2026 k nárastu čistej mzdy o 32,25 € v porovnaní s 57-percentnou valorizáciou.</w:t>
            </w:r>
          </w:p>
          <w:tbl>
            <w:tblPr>
              <w:tblW w:w="4280" w:type="dxa"/>
              <w:tblLayout w:type="fixed"/>
              <w:tblCellMar>
                <w:left w:w="70" w:type="dxa"/>
                <w:right w:w="70" w:type="dxa"/>
              </w:tblCellMar>
              <w:tblLook w:val="04A0" w:firstRow="1" w:lastRow="0" w:firstColumn="1" w:lastColumn="0" w:noHBand="0" w:noVBand="1"/>
            </w:tblPr>
            <w:tblGrid>
              <w:gridCol w:w="1120"/>
              <w:gridCol w:w="1120"/>
              <w:gridCol w:w="1120"/>
              <w:gridCol w:w="920"/>
            </w:tblGrid>
            <w:tr w:rsidR="0057523E" w:rsidRPr="0057523E" w14:paraId="70CF0DDE" w14:textId="77777777" w:rsidTr="00E37C8B">
              <w:trPr>
                <w:trHeight w:val="310"/>
              </w:trPr>
              <w:tc>
                <w:tcPr>
                  <w:tcW w:w="1120" w:type="dxa"/>
                  <w:tcBorders>
                    <w:top w:val="nil"/>
                    <w:left w:val="nil"/>
                    <w:bottom w:val="nil"/>
                    <w:right w:val="nil"/>
                  </w:tcBorders>
                  <w:shd w:val="clear" w:color="auto" w:fill="auto"/>
                  <w:noWrap/>
                  <w:vAlign w:val="bottom"/>
                </w:tcPr>
                <w:p w14:paraId="223ED2BF" w14:textId="77777777" w:rsidR="00E37C8B" w:rsidRPr="0057523E" w:rsidRDefault="00E37C8B" w:rsidP="0057523E">
                  <w:pPr>
                    <w:spacing w:after="0" w:line="240" w:lineRule="auto"/>
                    <w:jc w:val="both"/>
                    <w:rPr>
                      <w:rFonts w:ascii="Times New Roman" w:eastAsia="Times New Roman" w:hAnsi="Times New Roman" w:cs="Times New Roman"/>
                      <w:sz w:val="24"/>
                      <w:szCs w:val="24"/>
                      <w:lang w:eastAsia="sk-SK"/>
                    </w:rPr>
                  </w:pPr>
                </w:p>
              </w:tc>
              <w:tc>
                <w:tcPr>
                  <w:tcW w:w="1120" w:type="dxa"/>
                  <w:tcBorders>
                    <w:top w:val="nil"/>
                    <w:left w:val="nil"/>
                    <w:bottom w:val="nil"/>
                    <w:right w:val="nil"/>
                  </w:tcBorders>
                  <w:shd w:val="clear" w:color="auto" w:fill="auto"/>
                  <w:noWrap/>
                  <w:vAlign w:val="bottom"/>
                </w:tcPr>
                <w:p w14:paraId="5F27A674" w14:textId="77777777" w:rsidR="00E37C8B" w:rsidRPr="0057523E" w:rsidRDefault="00E37C8B" w:rsidP="0057523E">
                  <w:pPr>
                    <w:spacing w:after="0" w:line="240" w:lineRule="auto"/>
                    <w:jc w:val="both"/>
                    <w:rPr>
                      <w:rFonts w:ascii="Times New Roman" w:eastAsia="Times New Roman" w:hAnsi="Times New Roman" w:cs="Times New Roman"/>
                      <w:sz w:val="24"/>
                      <w:szCs w:val="24"/>
                      <w:lang w:eastAsia="sk-SK"/>
                    </w:rPr>
                  </w:pPr>
                </w:p>
              </w:tc>
              <w:tc>
                <w:tcPr>
                  <w:tcW w:w="1120" w:type="dxa"/>
                  <w:tcBorders>
                    <w:top w:val="nil"/>
                    <w:left w:val="nil"/>
                    <w:bottom w:val="nil"/>
                    <w:right w:val="nil"/>
                  </w:tcBorders>
                  <w:shd w:val="clear" w:color="auto" w:fill="auto"/>
                  <w:noWrap/>
                  <w:vAlign w:val="bottom"/>
                </w:tcPr>
                <w:p w14:paraId="0F298B68" w14:textId="77777777" w:rsidR="00E37C8B" w:rsidRPr="0057523E" w:rsidRDefault="00E37C8B" w:rsidP="0057523E">
                  <w:pPr>
                    <w:spacing w:after="0" w:line="240" w:lineRule="auto"/>
                    <w:jc w:val="both"/>
                    <w:rPr>
                      <w:rFonts w:ascii="Times New Roman" w:eastAsia="Times New Roman" w:hAnsi="Times New Roman" w:cs="Times New Roman"/>
                      <w:sz w:val="24"/>
                      <w:szCs w:val="24"/>
                      <w:lang w:eastAsia="sk-SK"/>
                    </w:rPr>
                  </w:pPr>
                </w:p>
              </w:tc>
              <w:tc>
                <w:tcPr>
                  <w:tcW w:w="920" w:type="dxa"/>
                  <w:tcBorders>
                    <w:top w:val="nil"/>
                    <w:left w:val="nil"/>
                    <w:bottom w:val="nil"/>
                    <w:right w:val="nil"/>
                  </w:tcBorders>
                  <w:shd w:val="clear" w:color="auto" w:fill="auto"/>
                  <w:noWrap/>
                  <w:vAlign w:val="bottom"/>
                </w:tcPr>
                <w:p w14:paraId="47D5D166" w14:textId="77777777" w:rsidR="00E37C8B" w:rsidRPr="0057523E" w:rsidRDefault="00E37C8B" w:rsidP="0057523E">
                  <w:pPr>
                    <w:spacing w:after="0" w:line="240" w:lineRule="auto"/>
                    <w:jc w:val="both"/>
                    <w:rPr>
                      <w:rFonts w:ascii="Times New Roman" w:eastAsia="Times New Roman" w:hAnsi="Times New Roman" w:cs="Times New Roman"/>
                      <w:sz w:val="24"/>
                      <w:szCs w:val="24"/>
                      <w:lang w:eastAsia="sk-SK"/>
                    </w:rPr>
                  </w:pPr>
                </w:p>
              </w:tc>
            </w:tr>
          </w:tbl>
          <w:p w14:paraId="5253F95B" w14:textId="77777777" w:rsidR="00E37C8B" w:rsidRPr="0057523E" w:rsidRDefault="00E37C8B" w:rsidP="0057523E">
            <w:pPr>
              <w:spacing w:after="0" w:line="240" w:lineRule="auto"/>
              <w:jc w:val="both"/>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 xml:space="preserve">Vyššie uvedený výpočet predpokladá vývoj životného minima podľa nízkopríjmovej inflácie </w:t>
            </w:r>
            <w:proofErr w:type="spellStart"/>
            <w:r w:rsidRPr="0057523E">
              <w:rPr>
                <w:rFonts w:ascii="Times New Roman" w:eastAsia="Calibri" w:hAnsi="Times New Roman" w:cs="Times New Roman"/>
                <w:i/>
                <w:sz w:val="18"/>
                <w:szCs w:val="20"/>
                <w:lang w:eastAsia="sk-SK"/>
              </w:rPr>
              <w:t>predikovanej</w:t>
            </w:r>
            <w:proofErr w:type="spellEnd"/>
            <w:r w:rsidRPr="0057523E">
              <w:rPr>
                <w:rFonts w:ascii="Times New Roman" w:eastAsia="Calibri" w:hAnsi="Times New Roman" w:cs="Times New Roman"/>
                <w:i/>
                <w:sz w:val="18"/>
                <w:szCs w:val="20"/>
                <w:lang w:eastAsia="sk-SK"/>
              </w:rPr>
              <w:t xml:space="preserve"> v </w:t>
            </w:r>
            <w:proofErr w:type="spellStart"/>
            <w:r w:rsidRPr="0057523E">
              <w:rPr>
                <w:rFonts w:ascii="Times New Roman" w:eastAsia="Calibri" w:hAnsi="Times New Roman" w:cs="Times New Roman"/>
                <w:i/>
                <w:sz w:val="18"/>
                <w:szCs w:val="20"/>
                <w:lang w:eastAsia="sk-SK"/>
              </w:rPr>
              <w:t>makroprognóze</w:t>
            </w:r>
            <w:proofErr w:type="spellEnd"/>
            <w:r w:rsidRPr="0057523E">
              <w:rPr>
                <w:rFonts w:ascii="Times New Roman" w:eastAsia="Calibri" w:hAnsi="Times New Roman" w:cs="Times New Roman"/>
                <w:i/>
                <w:sz w:val="18"/>
                <w:szCs w:val="20"/>
                <w:lang w:eastAsia="sk-SK"/>
              </w:rPr>
              <w:t xml:space="preserve"> IFP (MF SR) z februára 2024. Podľa tejto prognózy by v júli 2026 malo byť životné minimum na úrovni 293,53 eur. Nezdaniteľná časť základu dane tak bude na úrovni 21-násobku tohto životného minima – teda 6</w:t>
            </w:r>
            <w:r w:rsidR="00284464" w:rsidRPr="0057523E">
              <w:rPr>
                <w:rFonts w:ascii="Times New Roman" w:eastAsia="Calibri" w:hAnsi="Times New Roman" w:cs="Times New Roman"/>
                <w:i/>
                <w:sz w:val="18"/>
                <w:szCs w:val="20"/>
                <w:lang w:eastAsia="sk-SK"/>
              </w:rPr>
              <w:t xml:space="preserve"> </w:t>
            </w:r>
            <w:r w:rsidRPr="0057523E">
              <w:rPr>
                <w:rFonts w:ascii="Times New Roman" w:eastAsia="Calibri" w:hAnsi="Times New Roman" w:cs="Times New Roman"/>
                <w:i/>
                <w:sz w:val="18"/>
                <w:szCs w:val="20"/>
                <w:lang w:eastAsia="sk-SK"/>
              </w:rPr>
              <w:t>164</w:t>
            </w:r>
            <w:r w:rsidR="00284464" w:rsidRPr="0057523E">
              <w:rPr>
                <w:rFonts w:ascii="Times New Roman" w:eastAsia="Calibri" w:hAnsi="Times New Roman" w:cs="Times New Roman"/>
                <w:i/>
                <w:sz w:val="18"/>
                <w:szCs w:val="20"/>
                <w:lang w:eastAsia="sk-SK"/>
              </w:rPr>
              <w:t>,13 eur ročne, alebo 513,68 eur mesačne.</w:t>
            </w:r>
          </w:p>
          <w:p w14:paraId="7A91EDB3" w14:textId="77777777" w:rsidR="00E37C8B" w:rsidRPr="0057523E" w:rsidRDefault="00E37C8B" w:rsidP="0057523E">
            <w:pPr>
              <w:spacing w:after="0" w:line="240" w:lineRule="auto"/>
              <w:jc w:val="both"/>
              <w:rPr>
                <w:rFonts w:ascii="Times New Roman" w:eastAsia="Calibri" w:hAnsi="Times New Roman" w:cs="Times New Roman"/>
                <w:i/>
                <w:sz w:val="18"/>
                <w:szCs w:val="20"/>
                <w:lang w:eastAsia="sk-SK"/>
              </w:rPr>
            </w:pPr>
          </w:p>
          <w:p w14:paraId="4B58DD78" w14:textId="77777777" w:rsidR="00C00982" w:rsidRPr="0057523E" w:rsidRDefault="00C00982" w:rsidP="0057523E">
            <w:pPr>
              <w:spacing w:after="0" w:line="240" w:lineRule="auto"/>
              <w:jc w:val="both"/>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 xml:space="preserve">Nárast hrubej mzdy v dôsledku zvýšenia minimálnej mzdy sa v roku 2026 dotkne </w:t>
            </w:r>
            <w:r w:rsidRPr="0057523E">
              <w:rPr>
                <w:rFonts w:ascii="Times New Roman" w:eastAsia="Calibri" w:hAnsi="Times New Roman" w:cs="Times New Roman"/>
                <w:b/>
                <w:bCs/>
                <w:i/>
                <w:sz w:val="18"/>
                <w:szCs w:val="20"/>
                <w:lang w:eastAsia="sk-SK"/>
              </w:rPr>
              <w:t>164 750 zamestnancov</w:t>
            </w:r>
            <w:r w:rsidRPr="0057523E">
              <w:rPr>
                <w:rFonts w:ascii="Times New Roman" w:eastAsia="Calibri" w:hAnsi="Times New Roman" w:cs="Times New Roman"/>
                <w:i/>
                <w:sz w:val="18"/>
                <w:szCs w:val="20"/>
                <w:lang w:eastAsia="sk-SK"/>
              </w:rPr>
              <w:t xml:space="preserve"> (spolu v podnikateľskom aj nepodnikateľskom sektore). Priemerný nárast mesačnej hrubej mzdy pre týchto zamestnancov bude vo výške 41 eur.</w:t>
            </w:r>
            <w:r w:rsidR="00E37C8B" w:rsidRPr="0057523E">
              <w:rPr>
                <w:rFonts w:ascii="Times New Roman" w:eastAsia="Calibri" w:hAnsi="Times New Roman" w:cs="Times New Roman"/>
                <w:i/>
                <w:sz w:val="18"/>
                <w:szCs w:val="20"/>
                <w:lang w:eastAsia="sk-SK"/>
              </w:rPr>
              <w:t xml:space="preserve"> </w:t>
            </w:r>
          </w:p>
          <w:p w14:paraId="2B351EBC" w14:textId="77777777" w:rsidR="00C00982" w:rsidRPr="002644DE" w:rsidRDefault="00C00982" w:rsidP="008C2ED9">
            <w:pPr>
              <w:spacing w:after="0" w:line="240" w:lineRule="auto"/>
              <w:rPr>
                <w:rFonts w:ascii="Times New Roman" w:eastAsia="Calibri" w:hAnsi="Times New Roman" w:cs="Times New Roman"/>
                <w:sz w:val="20"/>
                <w:szCs w:val="20"/>
                <w:lang w:eastAsia="sk-SK"/>
              </w:rPr>
            </w:pPr>
          </w:p>
        </w:tc>
      </w:tr>
      <w:tr w:rsidR="002644DE" w:rsidRPr="002644DE" w14:paraId="532B276C" w14:textId="77777777" w:rsidTr="00C5327D">
        <w:trPr>
          <w:trHeight w:val="680"/>
          <w:jc w:val="center"/>
        </w:trPr>
        <w:tc>
          <w:tcPr>
            <w:tcW w:w="129" w:type="pct"/>
            <w:vMerge/>
            <w:shd w:val="clear" w:color="auto" w:fill="auto"/>
            <w:vAlign w:val="center"/>
          </w:tcPr>
          <w:p w14:paraId="12EC0C9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4ABCC95" w14:textId="77777777" w:rsidR="002644DE" w:rsidRPr="0057523E" w:rsidRDefault="00636449" w:rsidP="002644DE">
            <w:pPr>
              <w:spacing w:after="0" w:line="240" w:lineRule="auto"/>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Ovplyvnená skupina č. 3</w:t>
            </w:r>
          </w:p>
          <w:p w14:paraId="4DD42DCB" w14:textId="77777777" w:rsidR="00F67460" w:rsidRPr="0057523E" w:rsidRDefault="00F67460" w:rsidP="002644DE">
            <w:pPr>
              <w:spacing w:after="0" w:line="240" w:lineRule="auto"/>
              <w:rPr>
                <w:rFonts w:ascii="Times New Roman" w:eastAsia="Calibri" w:hAnsi="Times New Roman" w:cs="Times New Roman"/>
                <w:i/>
                <w:sz w:val="18"/>
                <w:szCs w:val="20"/>
                <w:lang w:eastAsia="sk-SK"/>
              </w:rPr>
            </w:pPr>
          </w:p>
          <w:p w14:paraId="5FEDB164" w14:textId="77777777" w:rsidR="00CC5E8A" w:rsidRPr="0057523E" w:rsidRDefault="00F67460" w:rsidP="002644DE">
            <w:pPr>
              <w:spacing w:after="0" w:line="240" w:lineRule="auto"/>
              <w:rPr>
                <w:rFonts w:ascii="Times New Roman" w:eastAsia="Calibri" w:hAnsi="Times New Roman" w:cs="Times New Roman"/>
                <w:i/>
                <w:sz w:val="18"/>
                <w:szCs w:val="20"/>
                <w:lang w:eastAsia="sk-SK"/>
              </w:rPr>
            </w:pPr>
            <w:r w:rsidRPr="0057523E">
              <w:rPr>
                <w:rFonts w:ascii="Times New Roman" w:eastAsia="Calibri" w:hAnsi="Times New Roman" w:cs="Times New Roman"/>
                <w:i/>
                <w:sz w:val="18"/>
                <w:szCs w:val="20"/>
                <w:lang w:eastAsia="sk-SK"/>
              </w:rPr>
              <w:t xml:space="preserve">Nárast príplatkov a mzdových kompenzácií v dôsledku zvýšenia minimálnej mzdy sa v roku 2026 dotkne </w:t>
            </w:r>
            <w:r w:rsidRPr="0057523E">
              <w:rPr>
                <w:rFonts w:ascii="Times New Roman" w:eastAsia="Calibri" w:hAnsi="Times New Roman" w:cs="Times New Roman"/>
                <w:i/>
                <w:sz w:val="18"/>
                <w:szCs w:val="20"/>
                <w:lang w:eastAsia="sk-SK"/>
              </w:rPr>
              <w:lastRenderedPageBreak/>
              <w:t xml:space="preserve">610 708 zamestnancov (spolu v podnikateľskom aj nepodnikateľskom sektore). Priemerný nárast takýchto mesačných príplatkov mzdy pre týchto zamestnancov bude vo výške 1,89 eur. </w:t>
            </w:r>
          </w:p>
        </w:tc>
        <w:tc>
          <w:tcPr>
            <w:tcW w:w="3229" w:type="pct"/>
            <w:tcBorders>
              <w:top w:val="dotted" w:sz="4" w:space="0" w:color="auto"/>
            </w:tcBorders>
            <w:shd w:val="clear" w:color="auto" w:fill="auto"/>
          </w:tcPr>
          <w:p w14:paraId="3CBB31B4"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lastRenderedPageBreak/>
              <w:t>Ovplyvnená skupina č. 2</w:t>
            </w:r>
          </w:p>
          <w:p w14:paraId="746EA133" w14:textId="77DE188B" w:rsidR="009C7687" w:rsidRPr="002644DE" w:rsidRDefault="009C7687" w:rsidP="004D38A3">
            <w:pPr>
              <w:spacing w:after="0" w:line="240" w:lineRule="auto"/>
              <w:jc w:val="both"/>
              <w:rPr>
                <w:rFonts w:ascii="Times New Roman" w:eastAsia="Calibri" w:hAnsi="Times New Roman" w:cs="Times New Roman"/>
                <w:sz w:val="20"/>
                <w:szCs w:val="20"/>
                <w:lang w:eastAsia="sk-SK"/>
              </w:rPr>
            </w:pPr>
            <w:r w:rsidRPr="0057523E">
              <w:rPr>
                <w:rFonts w:ascii="Times New Roman" w:eastAsia="Calibri" w:hAnsi="Times New Roman" w:cs="Times New Roman"/>
                <w:sz w:val="20"/>
                <w:szCs w:val="20"/>
                <w:lang w:eastAsia="sk-SK"/>
              </w:rPr>
              <w:t xml:space="preserve">vopred nie je možné predpokladať </w:t>
            </w:r>
            <w:r w:rsidR="00B21FDC">
              <w:rPr>
                <w:rFonts w:ascii="Times New Roman" w:eastAsia="Calibri" w:hAnsi="Times New Roman" w:cs="Times New Roman"/>
                <w:sz w:val="20"/>
                <w:szCs w:val="20"/>
                <w:lang w:eastAsia="sk-SK"/>
              </w:rPr>
              <w:t xml:space="preserve">či vôbec a </w:t>
            </w:r>
            <w:r w:rsidRPr="0057523E">
              <w:rPr>
                <w:rFonts w:ascii="Times New Roman" w:eastAsia="Calibri" w:hAnsi="Times New Roman" w:cs="Times New Roman"/>
                <w:sz w:val="20"/>
                <w:szCs w:val="20"/>
                <w:lang w:eastAsia="sk-SK"/>
              </w:rPr>
              <w:t>aká</w:t>
            </w:r>
            <w:r w:rsidR="00B21FDC">
              <w:rPr>
                <w:rFonts w:ascii="Times New Roman" w:eastAsia="Calibri" w:hAnsi="Times New Roman" w:cs="Times New Roman"/>
                <w:sz w:val="20"/>
                <w:szCs w:val="20"/>
                <w:lang w:eastAsia="sk-SK"/>
              </w:rPr>
              <w:t xml:space="preserve"> reprezentatívna</w:t>
            </w:r>
            <w:r w:rsidRPr="0057523E">
              <w:rPr>
                <w:rFonts w:ascii="Times New Roman" w:eastAsia="Calibri" w:hAnsi="Times New Roman" w:cs="Times New Roman"/>
                <w:sz w:val="20"/>
                <w:szCs w:val="20"/>
                <w:lang w:eastAsia="sk-SK"/>
              </w:rPr>
              <w:t xml:space="preserve"> kolektívna zmluva vyššieho stupňa a s </w:t>
            </w:r>
            <w:r w:rsidR="00B21FDC">
              <w:rPr>
                <w:rFonts w:ascii="Times New Roman" w:eastAsia="Calibri" w:hAnsi="Times New Roman" w:cs="Times New Roman"/>
                <w:sz w:val="20"/>
                <w:szCs w:val="20"/>
                <w:lang w:eastAsia="sk-SK"/>
              </w:rPr>
              <w:t>akými podmienkami bude aplikovaná aj na zamestnanca</w:t>
            </w:r>
            <w:r w:rsidRPr="0057523E">
              <w:rPr>
                <w:rFonts w:ascii="Times New Roman" w:eastAsia="Calibri" w:hAnsi="Times New Roman" w:cs="Times New Roman"/>
                <w:sz w:val="20"/>
                <w:szCs w:val="20"/>
                <w:lang w:eastAsia="sk-SK"/>
              </w:rPr>
              <w:t>, preto nie je možné tento vplyv kvantifikovať</w:t>
            </w:r>
            <w:r w:rsidR="00B21FDC">
              <w:rPr>
                <w:rFonts w:ascii="Times New Roman" w:eastAsia="Calibri" w:hAnsi="Times New Roman" w:cs="Times New Roman"/>
                <w:sz w:val="20"/>
                <w:szCs w:val="20"/>
                <w:lang w:eastAsia="sk-SK"/>
              </w:rPr>
              <w:t xml:space="preserve">. </w:t>
            </w:r>
          </w:p>
        </w:tc>
      </w:tr>
      <w:tr w:rsidR="002644DE" w:rsidRPr="002644DE" w14:paraId="7909559C" w14:textId="77777777" w:rsidTr="00C5327D">
        <w:trPr>
          <w:trHeight w:val="397"/>
          <w:jc w:val="center"/>
        </w:trPr>
        <w:tc>
          <w:tcPr>
            <w:tcW w:w="129" w:type="pct"/>
            <w:tcBorders>
              <w:top w:val="dotted" w:sz="4" w:space="0" w:color="auto"/>
            </w:tcBorders>
            <w:shd w:val="clear" w:color="auto" w:fill="auto"/>
            <w:vAlign w:val="center"/>
          </w:tcPr>
          <w:p w14:paraId="39944AD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0908674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226E358E"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490F259" w14:textId="77777777" w:rsidTr="00C5327D">
        <w:trPr>
          <w:trHeight w:val="170"/>
          <w:jc w:val="center"/>
        </w:trPr>
        <w:tc>
          <w:tcPr>
            <w:tcW w:w="129" w:type="pct"/>
            <w:tcBorders>
              <w:top w:val="nil"/>
              <w:bottom w:val="single" w:sz="4" w:space="0" w:color="auto"/>
            </w:tcBorders>
            <w:shd w:val="clear" w:color="auto" w:fill="F2F2F2"/>
            <w:vAlign w:val="center"/>
          </w:tcPr>
          <w:p w14:paraId="7626376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3327923A"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10219D01"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4E997071" w14:textId="77777777" w:rsidTr="00C5327D">
        <w:trPr>
          <w:trHeight w:val="759"/>
          <w:jc w:val="center"/>
        </w:trPr>
        <w:tc>
          <w:tcPr>
            <w:tcW w:w="129" w:type="pct"/>
            <w:tcBorders>
              <w:top w:val="single" w:sz="4" w:space="0" w:color="auto"/>
              <w:bottom w:val="single" w:sz="4" w:space="0" w:color="auto"/>
            </w:tcBorders>
            <w:shd w:val="clear" w:color="auto" w:fill="auto"/>
            <w:vAlign w:val="center"/>
          </w:tcPr>
          <w:p w14:paraId="77AE290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6F68021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04265BB9" w14:textId="77777777" w:rsidR="002644DE" w:rsidRPr="00045E7F" w:rsidRDefault="008C2ED9" w:rsidP="0057523E">
            <w:pPr>
              <w:spacing w:after="0" w:line="240" w:lineRule="auto"/>
              <w:jc w:val="both"/>
              <w:rPr>
                <w:rFonts w:ascii="Times New Roman" w:eastAsia="Calibri" w:hAnsi="Times New Roman" w:cs="Times New Roman"/>
                <w:sz w:val="20"/>
                <w:szCs w:val="20"/>
                <w:lang w:eastAsia="sk-SK"/>
              </w:rPr>
            </w:pPr>
            <w:r w:rsidRPr="00045E7F">
              <w:rPr>
                <w:rFonts w:ascii="Times New Roman" w:eastAsia="Calibri" w:hAnsi="Times New Roman" w:cs="Times New Roman"/>
                <w:sz w:val="20"/>
                <w:szCs w:val="20"/>
                <w:lang w:eastAsia="sk-SK"/>
              </w:rPr>
              <w:t xml:space="preserve">Návrh predpokladá pozitívne vplyvy </w:t>
            </w:r>
            <w:r w:rsidR="00786CEC">
              <w:rPr>
                <w:rFonts w:ascii="Times New Roman" w:eastAsia="Calibri" w:hAnsi="Times New Roman" w:cs="Times New Roman"/>
                <w:sz w:val="20"/>
                <w:szCs w:val="20"/>
                <w:lang w:eastAsia="sk-SK"/>
              </w:rPr>
              <w:t xml:space="preserve">v roku 2026 </w:t>
            </w:r>
            <w:r w:rsidRPr="00045E7F">
              <w:rPr>
                <w:rFonts w:ascii="Times New Roman" w:eastAsia="Calibri" w:hAnsi="Times New Roman" w:cs="Times New Roman"/>
                <w:sz w:val="20"/>
                <w:szCs w:val="20"/>
                <w:lang w:eastAsia="sk-SK"/>
              </w:rPr>
              <w:t xml:space="preserve">na </w:t>
            </w:r>
            <w:r w:rsidR="00093B42" w:rsidRPr="00045E7F">
              <w:rPr>
                <w:rFonts w:ascii="Times New Roman" w:eastAsia="Calibri" w:hAnsi="Times New Roman" w:cs="Times New Roman"/>
                <w:sz w:val="20"/>
                <w:szCs w:val="20"/>
                <w:lang w:eastAsia="sk-SK"/>
              </w:rPr>
              <w:t>príjmy</w:t>
            </w:r>
            <w:r w:rsidRPr="00045E7F">
              <w:rPr>
                <w:rFonts w:ascii="Times New Roman" w:eastAsia="Calibri" w:hAnsi="Times New Roman" w:cs="Times New Roman"/>
                <w:sz w:val="20"/>
                <w:szCs w:val="20"/>
                <w:lang w:eastAsia="sk-SK"/>
              </w:rPr>
              <w:t xml:space="preserve"> nízkopríjmových domácnosti, ktorých </w:t>
            </w:r>
            <w:r w:rsidR="00C50ED3" w:rsidRPr="00045E7F">
              <w:rPr>
                <w:rFonts w:ascii="Times New Roman" w:eastAsia="Calibri" w:hAnsi="Times New Roman" w:cs="Times New Roman"/>
                <w:sz w:val="20"/>
                <w:szCs w:val="20"/>
                <w:lang w:eastAsia="sk-SK"/>
              </w:rPr>
              <w:t>pracovné príj</w:t>
            </w:r>
            <w:r w:rsidRPr="00045E7F">
              <w:rPr>
                <w:rFonts w:ascii="Times New Roman" w:eastAsia="Calibri" w:hAnsi="Times New Roman" w:cs="Times New Roman"/>
                <w:sz w:val="20"/>
                <w:szCs w:val="20"/>
                <w:lang w:eastAsia="sk-SK"/>
              </w:rPr>
              <w:t>m</w:t>
            </w:r>
            <w:r w:rsidR="00C50ED3" w:rsidRPr="00045E7F">
              <w:rPr>
                <w:rFonts w:ascii="Times New Roman" w:eastAsia="Calibri" w:hAnsi="Times New Roman" w:cs="Times New Roman"/>
                <w:sz w:val="20"/>
                <w:szCs w:val="20"/>
                <w:lang w:eastAsia="sk-SK"/>
              </w:rPr>
              <w:t>y</w:t>
            </w:r>
            <w:r w:rsidR="00786CEC">
              <w:rPr>
                <w:rFonts w:ascii="Times New Roman" w:eastAsia="Calibri" w:hAnsi="Times New Roman" w:cs="Times New Roman"/>
                <w:sz w:val="20"/>
                <w:szCs w:val="20"/>
                <w:lang w:eastAsia="sk-SK"/>
              </w:rPr>
              <w:t xml:space="preserve"> člena alebo členov domácnosti </w:t>
            </w:r>
            <w:r w:rsidR="00C50ED3" w:rsidRPr="00045E7F">
              <w:rPr>
                <w:rFonts w:ascii="Times New Roman" w:eastAsia="Calibri" w:hAnsi="Times New Roman" w:cs="Times New Roman"/>
                <w:sz w:val="20"/>
                <w:szCs w:val="20"/>
                <w:lang w:eastAsia="sk-SK"/>
              </w:rPr>
              <w:t xml:space="preserve">sa </w:t>
            </w:r>
            <w:r w:rsidR="00786CEC">
              <w:rPr>
                <w:rFonts w:ascii="Times New Roman" w:eastAsia="Calibri" w:hAnsi="Times New Roman" w:cs="Times New Roman"/>
                <w:sz w:val="20"/>
                <w:szCs w:val="20"/>
                <w:lang w:eastAsia="sk-SK"/>
              </w:rPr>
              <w:t xml:space="preserve">v roku 2026 budú pohybovať pod úrovňou navrhovanej </w:t>
            </w:r>
            <w:r w:rsidRPr="00045E7F">
              <w:rPr>
                <w:rFonts w:ascii="Times New Roman" w:eastAsia="Calibri" w:hAnsi="Times New Roman" w:cs="Times New Roman"/>
                <w:sz w:val="20"/>
                <w:szCs w:val="20"/>
                <w:lang w:eastAsia="sk-SK"/>
              </w:rPr>
              <w:t>minimálnej mzdy</w:t>
            </w:r>
            <w:r w:rsidR="00C50ED3" w:rsidRPr="00045E7F">
              <w:rPr>
                <w:rFonts w:ascii="Times New Roman" w:eastAsia="Calibri" w:hAnsi="Times New Roman" w:cs="Times New Roman"/>
                <w:sz w:val="20"/>
                <w:szCs w:val="20"/>
                <w:lang w:eastAsia="sk-SK"/>
              </w:rPr>
              <w:t xml:space="preserve"> (</w:t>
            </w:r>
            <w:r w:rsidR="00786CEC">
              <w:rPr>
                <w:rFonts w:ascii="Times New Roman" w:eastAsia="Calibri" w:hAnsi="Times New Roman" w:cs="Times New Roman"/>
                <w:sz w:val="20"/>
                <w:szCs w:val="20"/>
                <w:lang w:eastAsia="sk-SK"/>
              </w:rPr>
              <w:t>mesačnej alebo hodinovej v prípade čiastkových úväzkov alebo dohôd o vykonaní práce</w:t>
            </w:r>
            <w:r w:rsidR="00C50ED3" w:rsidRPr="00045E7F">
              <w:rPr>
                <w:rFonts w:ascii="Times New Roman" w:eastAsia="Calibri" w:hAnsi="Times New Roman" w:cs="Times New Roman"/>
                <w:sz w:val="20"/>
                <w:szCs w:val="20"/>
                <w:lang w:eastAsia="sk-SK"/>
              </w:rPr>
              <w:t>)</w:t>
            </w:r>
            <w:r w:rsidRPr="00045E7F">
              <w:rPr>
                <w:rFonts w:ascii="Times New Roman" w:eastAsia="Calibri" w:hAnsi="Times New Roman" w:cs="Times New Roman"/>
                <w:sz w:val="20"/>
                <w:szCs w:val="20"/>
                <w:lang w:eastAsia="sk-SK"/>
              </w:rPr>
              <w:t xml:space="preserve"> a</w:t>
            </w:r>
            <w:r w:rsidR="00C50ED3" w:rsidRPr="00045E7F">
              <w:rPr>
                <w:rFonts w:ascii="Times New Roman" w:eastAsia="Calibri" w:hAnsi="Times New Roman" w:cs="Times New Roman"/>
                <w:sz w:val="20"/>
                <w:szCs w:val="20"/>
                <w:lang w:eastAsia="sk-SK"/>
              </w:rPr>
              <w:t xml:space="preserve"> zároveň</w:t>
            </w:r>
            <w:r w:rsidR="00786CEC">
              <w:rPr>
                <w:rFonts w:ascii="Times New Roman" w:eastAsia="Calibri" w:hAnsi="Times New Roman" w:cs="Times New Roman"/>
                <w:sz w:val="20"/>
                <w:szCs w:val="20"/>
                <w:lang w:eastAsia="sk-SK"/>
              </w:rPr>
              <w:t> budú ohrození</w:t>
            </w:r>
            <w:r w:rsidRPr="00045E7F">
              <w:rPr>
                <w:rFonts w:ascii="Times New Roman" w:eastAsia="Calibri" w:hAnsi="Times New Roman" w:cs="Times New Roman"/>
                <w:sz w:val="20"/>
                <w:szCs w:val="20"/>
                <w:lang w:eastAsia="sk-SK"/>
              </w:rPr>
              <w:t xml:space="preserve"> chudobou</w:t>
            </w:r>
            <w:r w:rsidR="00045E7F" w:rsidRPr="00045E7F">
              <w:rPr>
                <w:rFonts w:ascii="Times New Roman" w:eastAsia="Calibri" w:hAnsi="Times New Roman" w:cs="Times New Roman"/>
                <w:sz w:val="20"/>
                <w:szCs w:val="20"/>
                <w:lang w:eastAsia="sk-SK"/>
              </w:rPr>
              <w:t xml:space="preserve"> t. j. ich celkový disponibilný ekvivalentný </w:t>
            </w:r>
            <w:r w:rsidR="00786CEC">
              <w:rPr>
                <w:rFonts w:ascii="Times New Roman" w:eastAsia="Calibri" w:hAnsi="Times New Roman" w:cs="Times New Roman"/>
                <w:sz w:val="20"/>
                <w:szCs w:val="20"/>
                <w:lang w:eastAsia="sk-SK"/>
              </w:rPr>
              <w:t>príjem bude</w:t>
            </w:r>
            <w:r w:rsidR="00045E7F" w:rsidRPr="00045E7F">
              <w:rPr>
                <w:rFonts w:ascii="Times New Roman" w:eastAsia="Calibri" w:hAnsi="Times New Roman" w:cs="Times New Roman"/>
                <w:sz w:val="20"/>
                <w:szCs w:val="20"/>
                <w:lang w:eastAsia="sk-SK"/>
              </w:rPr>
              <w:t xml:space="preserve"> nižší ako hranica rizika chudoby.</w:t>
            </w:r>
            <w:r w:rsidR="00C5327D">
              <w:rPr>
                <w:rFonts w:ascii="Times New Roman" w:eastAsia="Calibri" w:hAnsi="Times New Roman" w:cs="Times New Roman"/>
                <w:sz w:val="20"/>
                <w:szCs w:val="20"/>
                <w:lang w:eastAsia="sk-SK"/>
              </w:rPr>
              <w:t xml:space="preserve"> </w:t>
            </w:r>
          </w:p>
        </w:tc>
      </w:tr>
      <w:tr w:rsidR="002644DE" w:rsidRPr="002644DE" w14:paraId="5A980FE3" w14:textId="77777777" w:rsidTr="00C5327D">
        <w:trPr>
          <w:trHeight w:val="397"/>
          <w:jc w:val="center"/>
        </w:trPr>
        <w:tc>
          <w:tcPr>
            <w:tcW w:w="129" w:type="pct"/>
            <w:vMerge w:val="restart"/>
            <w:tcBorders>
              <w:top w:val="single" w:sz="4" w:space="0" w:color="auto"/>
            </w:tcBorders>
            <w:shd w:val="clear" w:color="auto" w:fill="auto"/>
            <w:vAlign w:val="center"/>
          </w:tcPr>
          <w:p w14:paraId="6F7B8DA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1F5D0A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E535FAD" w14:textId="77777777" w:rsidR="002644DE" w:rsidRDefault="00636449" w:rsidP="00093B42">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r w:rsidR="008C2ED9">
              <w:rPr>
                <w:rFonts w:ascii="Times New Roman" w:eastAsia="Calibri" w:hAnsi="Times New Roman" w:cs="Times New Roman"/>
                <w:i/>
                <w:sz w:val="18"/>
                <w:szCs w:val="20"/>
                <w:lang w:eastAsia="sk-SK"/>
              </w:rPr>
              <w:t xml:space="preserve">: </w:t>
            </w:r>
          </w:p>
          <w:p w14:paraId="5F8A602A" w14:textId="77777777" w:rsidR="00093B42" w:rsidRPr="002644DE" w:rsidRDefault="00093B42" w:rsidP="00786CEC">
            <w:pPr>
              <w:spacing w:after="0" w:line="240" w:lineRule="auto"/>
              <w:rPr>
                <w:rFonts w:ascii="Times New Roman" w:eastAsia="Calibri" w:hAnsi="Times New Roman" w:cs="Times New Roman"/>
                <w:i/>
                <w:sz w:val="18"/>
                <w:szCs w:val="20"/>
                <w:lang w:eastAsia="sk-SK"/>
              </w:rPr>
            </w:pPr>
            <w:r w:rsidRPr="00005149">
              <w:rPr>
                <w:rFonts w:ascii="Times New Roman" w:eastAsia="Calibri" w:hAnsi="Times New Roman" w:cs="Times New Roman"/>
                <w:sz w:val="20"/>
                <w:szCs w:val="20"/>
                <w:lang w:eastAsia="sk-SK"/>
              </w:rPr>
              <w:t xml:space="preserve">Jednotlivci a domácnosti s pracovnými </w:t>
            </w:r>
            <w:r w:rsidR="00005149" w:rsidRPr="00005149">
              <w:rPr>
                <w:rFonts w:ascii="Times New Roman" w:eastAsia="Calibri" w:hAnsi="Times New Roman" w:cs="Times New Roman"/>
                <w:sz w:val="20"/>
                <w:szCs w:val="20"/>
                <w:lang w:eastAsia="sk-SK"/>
              </w:rPr>
              <w:t xml:space="preserve">príjmami </w:t>
            </w:r>
            <w:r w:rsidR="00786CEC">
              <w:rPr>
                <w:rFonts w:ascii="Times New Roman" w:eastAsia="Calibri" w:hAnsi="Times New Roman" w:cs="Times New Roman"/>
                <w:sz w:val="20"/>
                <w:szCs w:val="20"/>
                <w:lang w:eastAsia="sk-SK"/>
              </w:rPr>
              <w:t>pod úrovňou navrhovanej</w:t>
            </w:r>
            <w:r w:rsidR="00005149" w:rsidRPr="00005149">
              <w:rPr>
                <w:rFonts w:ascii="Times New Roman" w:eastAsia="Calibri" w:hAnsi="Times New Roman" w:cs="Times New Roman"/>
                <w:sz w:val="20"/>
                <w:szCs w:val="20"/>
                <w:lang w:eastAsia="sk-SK"/>
              </w:rPr>
              <w:t xml:space="preserve"> minimálnej mzdy (mesačnej alebo hodinovej)</w:t>
            </w:r>
            <w:r w:rsidR="00045E7F" w:rsidRPr="00005149">
              <w:rPr>
                <w:rFonts w:ascii="Times New Roman" w:eastAsia="Calibri" w:hAnsi="Times New Roman" w:cs="Times New Roman"/>
                <w:sz w:val="20"/>
                <w:szCs w:val="20"/>
                <w:lang w:eastAsia="sk-SK"/>
              </w:rPr>
              <w:t xml:space="preserve">, </w:t>
            </w:r>
            <w:r w:rsidR="00786CEC">
              <w:rPr>
                <w:rFonts w:ascii="Times New Roman" w:eastAsia="Calibri" w:hAnsi="Times New Roman" w:cs="Times New Roman"/>
                <w:sz w:val="20"/>
                <w:szCs w:val="20"/>
                <w:lang w:eastAsia="sk-SK"/>
              </w:rPr>
              <w:t xml:space="preserve">a </w:t>
            </w:r>
            <w:r w:rsidR="00045E7F" w:rsidRPr="00005149">
              <w:rPr>
                <w:rFonts w:ascii="Times New Roman" w:eastAsia="Calibri" w:hAnsi="Times New Roman" w:cs="Times New Roman"/>
                <w:sz w:val="20"/>
                <w:szCs w:val="20"/>
                <w:lang w:eastAsia="sk-SK"/>
              </w:rPr>
              <w:t>zároveň v riziku chudoby</w:t>
            </w:r>
            <w:r w:rsidR="00005149">
              <w:rPr>
                <w:rFonts w:ascii="Times New Roman" w:eastAsia="Calibri" w:hAnsi="Times New Roman" w:cs="Times New Roman"/>
                <w:sz w:val="20"/>
                <w:szCs w:val="20"/>
                <w:lang w:eastAsia="sk-SK"/>
              </w:rPr>
              <w:t>.</w:t>
            </w:r>
          </w:p>
        </w:tc>
      </w:tr>
      <w:tr w:rsidR="002644DE" w:rsidRPr="002644DE" w14:paraId="0296AC3F" w14:textId="77777777" w:rsidTr="00C5327D">
        <w:trPr>
          <w:trHeight w:val="397"/>
          <w:jc w:val="center"/>
        </w:trPr>
        <w:tc>
          <w:tcPr>
            <w:tcW w:w="129" w:type="pct"/>
            <w:vMerge/>
            <w:shd w:val="clear" w:color="auto" w:fill="auto"/>
            <w:vAlign w:val="center"/>
          </w:tcPr>
          <w:p w14:paraId="16A64F2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53692C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9A8FA4A"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84CAB62" w14:textId="77777777" w:rsidTr="00C5327D">
        <w:trPr>
          <w:trHeight w:val="397"/>
          <w:jc w:val="center"/>
        </w:trPr>
        <w:tc>
          <w:tcPr>
            <w:tcW w:w="129" w:type="pct"/>
            <w:tcBorders>
              <w:top w:val="dotted" w:sz="4" w:space="0" w:color="auto"/>
            </w:tcBorders>
            <w:shd w:val="clear" w:color="auto" w:fill="F2F2F2"/>
            <w:vAlign w:val="center"/>
          </w:tcPr>
          <w:p w14:paraId="695AABAD"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678EDE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58870F2B" w14:textId="77777777" w:rsidTr="00C5327D">
        <w:trPr>
          <w:trHeight w:val="680"/>
          <w:jc w:val="center"/>
        </w:trPr>
        <w:tc>
          <w:tcPr>
            <w:tcW w:w="129" w:type="pct"/>
            <w:vMerge w:val="restart"/>
            <w:tcBorders>
              <w:top w:val="dotted" w:sz="4" w:space="0" w:color="auto"/>
            </w:tcBorders>
            <w:shd w:val="clear" w:color="auto" w:fill="auto"/>
            <w:vAlign w:val="center"/>
          </w:tcPr>
          <w:p w14:paraId="3057CC5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3346AAED"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9181BF7"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CF5B2B6"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309CC08B" w14:textId="6B99EF27" w:rsidR="00411A04" w:rsidRDefault="00411A04" w:rsidP="0057523E">
            <w:pPr>
              <w:spacing w:after="0" w:line="240" w:lineRule="auto"/>
              <w:jc w:val="both"/>
              <w:rPr>
                <w:rFonts w:ascii="Times New Roman" w:hAnsi="Times New Roman"/>
                <w:iCs/>
                <w:sz w:val="20"/>
                <w:szCs w:val="20"/>
              </w:rPr>
            </w:pPr>
            <w:r w:rsidRPr="0057523E">
              <w:rPr>
                <w:rFonts w:ascii="Times New Roman" w:hAnsi="Times New Roman"/>
                <w:iCs/>
                <w:sz w:val="20"/>
                <w:szCs w:val="20"/>
              </w:rPr>
              <w:t xml:space="preserve">Rast príjmu konkrétneho zamestnanca bude závisieť od počtu odpracovaných hodín v prípade čiastkových úväzkov alebo dohôd vykonávaných mimo pracovného pomeru. </w:t>
            </w:r>
            <w:r w:rsidR="00E3276B" w:rsidRPr="0057523E">
              <w:rPr>
                <w:rFonts w:ascii="Times New Roman" w:hAnsi="Times New Roman"/>
                <w:iCs/>
                <w:sz w:val="20"/>
                <w:szCs w:val="20"/>
              </w:rPr>
              <w:t>V dôsledku zmeny z 57-percentnej automatickej valorizácie na 60-percentnú sa h</w:t>
            </w:r>
            <w:r w:rsidR="00642F74" w:rsidRPr="0057523E">
              <w:rPr>
                <w:rFonts w:ascii="Times New Roman" w:hAnsi="Times New Roman"/>
                <w:iCs/>
                <w:sz w:val="20"/>
                <w:szCs w:val="20"/>
              </w:rPr>
              <w:t>odinová minimálna mzda</w:t>
            </w:r>
            <w:r w:rsidR="00E3276B" w:rsidRPr="0057523E">
              <w:rPr>
                <w:rFonts w:ascii="Times New Roman" w:hAnsi="Times New Roman"/>
                <w:iCs/>
                <w:sz w:val="20"/>
                <w:szCs w:val="20"/>
              </w:rPr>
              <w:t xml:space="preserve"> v roku 2026 zvýši o 0,264 eur.</w:t>
            </w:r>
          </w:p>
          <w:p w14:paraId="0B78AD2C" w14:textId="77777777" w:rsidR="004D38A3" w:rsidRPr="0057523E" w:rsidRDefault="004D38A3" w:rsidP="0057523E">
            <w:pPr>
              <w:spacing w:after="0" w:line="240" w:lineRule="auto"/>
              <w:jc w:val="both"/>
              <w:rPr>
                <w:rFonts w:ascii="Times New Roman" w:hAnsi="Times New Roman"/>
                <w:iCs/>
                <w:sz w:val="20"/>
                <w:szCs w:val="20"/>
              </w:rPr>
            </w:pPr>
          </w:p>
          <w:p w14:paraId="08935B15" w14:textId="476237DE" w:rsidR="00411A04" w:rsidRDefault="00B03EF1" w:rsidP="0057523E">
            <w:pPr>
              <w:spacing w:after="0" w:line="240" w:lineRule="auto"/>
              <w:jc w:val="both"/>
              <w:rPr>
                <w:rFonts w:ascii="Times New Roman" w:hAnsi="Times New Roman"/>
                <w:iCs/>
                <w:sz w:val="20"/>
                <w:szCs w:val="20"/>
              </w:rPr>
            </w:pPr>
            <w:r w:rsidRPr="0057523E">
              <w:rPr>
                <w:rFonts w:ascii="Times New Roman" w:hAnsi="Times New Roman"/>
                <w:iCs/>
                <w:sz w:val="20"/>
                <w:szCs w:val="20"/>
              </w:rPr>
              <w:t>Podľa EU SILC</w:t>
            </w:r>
            <w:r w:rsidR="00411A04" w:rsidRPr="0057523E">
              <w:rPr>
                <w:rFonts w:ascii="Times New Roman" w:hAnsi="Times New Roman"/>
                <w:iCs/>
                <w:sz w:val="20"/>
                <w:szCs w:val="20"/>
              </w:rPr>
              <w:t xml:space="preserve"> 2022 bolo </w:t>
            </w:r>
            <w:r w:rsidR="00DD5A61" w:rsidRPr="0057523E">
              <w:rPr>
                <w:rFonts w:ascii="Times New Roman" w:hAnsi="Times New Roman"/>
                <w:iCs/>
                <w:sz w:val="20"/>
                <w:szCs w:val="20"/>
              </w:rPr>
              <w:t xml:space="preserve">až </w:t>
            </w:r>
            <w:r w:rsidRPr="0057523E">
              <w:rPr>
                <w:rFonts w:ascii="Times New Roman" w:hAnsi="Times New Roman"/>
                <w:iCs/>
                <w:sz w:val="20"/>
                <w:szCs w:val="20"/>
              </w:rPr>
              <w:t>7,1</w:t>
            </w:r>
            <w:r w:rsidR="00411A04" w:rsidRPr="0057523E">
              <w:rPr>
                <w:rFonts w:ascii="Times New Roman" w:hAnsi="Times New Roman"/>
                <w:iCs/>
                <w:sz w:val="20"/>
                <w:szCs w:val="20"/>
              </w:rPr>
              <w:t xml:space="preserve"> % pracujúcich</w:t>
            </w:r>
            <w:r w:rsidR="00DD5A61" w:rsidRPr="0057523E">
              <w:rPr>
                <w:rFonts w:ascii="Times New Roman" w:hAnsi="Times New Roman"/>
                <w:iCs/>
                <w:sz w:val="20"/>
                <w:szCs w:val="20"/>
              </w:rPr>
              <w:t xml:space="preserve"> ohrozených chudobou</w:t>
            </w:r>
            <w:r w:rsidR="00411A04" w:rsidRPr="0057523E">
              <w:rPr>
                <w:rFonts w:ascii="Times New Roman" w:hAnsi="Times New Roman"/>
                <w:iCs/>
                <w:sz w:val="20"/>
                <w:szCs w:val="20"/>
              </w:rPr>
              <w:t xml:space="preserve">. </w:t>
            </w:r>
            <w:r w:rsidR="00DD5A61" w:rsidRPr="0057523E">
              <w:rPr>
                <w:rFonts w:ascii="Times New Roman" w:hAnsi="Times New Roman"/>
                <w:iCs/>
                <w:sz w:val="20"/>
                <w:szCs w:val="20"/>
              </w:rPr>
              <w:t xml:space="preserve">Častejšie ohrození chudobou boli </w:t>
            </w:r>
            <w:r w:rsidR="00411A04" w:rsidRPr="0057523E">
              <w:rPr>
                <w:rFonts w:ascii="Times New Roman" w:hAnsi="Times New Roman"/>
                <w:iCs/>
                <w:sz w:val="20"/>
                <w:szCs w:val="20"/>
              </w:rPr>
              <w:t xml:space="preserve">pracujúci na čiastočné úväzky ako aj </w:t>
            </w:r>
            <w:r w:rsidR="00802154" w:rsidRPr="00802154">
              <w:rPr>
                <w:rFonts w:ascii="Times New Roman" w:hAnsi="Times New Roman"/>
                <w:iCs/>
                <w:sz w:val="20"/>
                <w:szCs w:val="20"/>
              </w:rPr>
              <w:t>zamestnanci s pracovným pomerom na určitú dobu a zamestnanci pracujúci na niektorú z dohôd o prácach vykonávaných mimo pracovného pomeru</w:t>
            </w:r>
            <w:r w:rsidR="00411A04" w:rsidRPr="0057523E">
              <w:rPr>
                <w:rFonts w:ascii="Times New Roman" w:hAnsi="Times New Roman"/>
                <w:iCs/>
                <w:sz w:val="20"/>
                <w:szCs w:val="20"/>
              </w:rPr>
              <w:t>.</w:t>
            </w:r>
            <w:r w:rsidR="00B455FA" w:rsidRPr="0057523E">
              <w:rPr>
                <w:rFonts w:ascii="Times New Roman" w:hAnsi="Times New Roman"/>
                <w:iCs/>
                <w:sz w:val="20"/>
                <w:szCs w:val="20"/>
              </w:rPr>
              <w:t xml:space="preserve"> Nie všetci pracujúci ohrození chudobou majú zárobky na úrovni minimálnej mzdy.</w:t>
            </w:r>
          </w:p>
          <w:p w14:paraId="1E0621F5" w14:textId="77777777" w:rsidR="004D38A3" w:rsidRPr="0057523E" w:rsidRDefault="004D38A3" w:rsidP="0057523E">
            <w:pPr>
              <w:spacing w:after="0" w:line="240" w:lineRule="auto"/>
              <w:jc w:val="both"/>
              <w:rPr>
                <w:rFonts w:ascii="Times New Roman" w:eastAsia="Calibri" w:hAnsi="Times New Roman" w:cs="Times New Roman"/>
                <w:i/>
                <w:sz w:val="18"/>
                <w:szCs w:val="20"/>
                <w:lang w:eastAsia="sk-SK"/>
              </w:rPr>
            </w:pPr>
          </w:p>
          <w:p w14:paraId="35855E7F" w14:textId="71E6A580" w:rsidR="003D79CD" w:rsidRPr="003D79CD" w:rsidRDefault="00C5327D" w:rsidP="004D38A3">
            <w:pPr>
              <w:spacing w:after="0" w:line="240" w:lineRule="auto"/>
              <w:jc w:val="both"/>
              <w:rPr>
                <w:rFonts w:ascii="Times New Roman" w:hAnsi="Times New Roman"/>
                <w:iCs/>
                <w:sz w:val="20"/>
                <w:szCs w:val="20"/>
              </w:rPr>
            </w:pPr>
            <w:r w:rsidRPr="0057523E">
              <w:rPr>
                <w:rFonts w:ascii="Times New Roman" w:hAnsi="Times New Roman"/>
                <w:iCs/>
                <w:sz w:val="20"/>
                <w:szCs w:val="20"/>
              </w:rPr>
              <w:t xml:space="preserve">V riziku chudoby sa nachádzajú </w:t>
            </w:r>
            <w:r w:rsidR="00A54965" w:rsidRPr="0057523E">
              <w:rPr>
                <w:rFonts w:ascii="Times New Roman" w:hAnsi="Times New Roman"/>
                <w:iCs/>
                <w:sz w:val="20"/>
                <w:szCs w:val="20"/>
              </w:rPr>
              <w:t xml:space="preserve">okrem iných aj </w:t>
            </w:r>
            <w:r w:rsidRPr="0057523E">
              <w:rPr>
                <w:rFonts w:ascii="Times New Roman" w:hAnsi="Times New Roman"/>
                <w:iCs/>
                <w:sz w:val="20"/>
                <w:szCs w:val="20"/>
              </w:rPr>
              <w:t>prí</w:t>
            </w:r>
            <w:r w:rsidR="00DD5A61" w:rsidRPr="0057523E">
              <w:rPr>
                <w:rFonts w:ascii="Times New Roman" w:hAnsi="Times New Roman"/>
                <w:iCs/>
                <w:sz w:val="20"/>
                <w:szCs w:val="20"/>
              </w:rPr>
              <w:t>jemcovia pomoci v hmotnej núdzi s príjmom z pracovnej činnosti.</w:t>
            </w:r>
            <w:r w:rsidRPr="0057523E">
              <w:rPr>
                <w:rFonts w:ascii="Times New Roman" w:hAnsi="Times New Roman"/>
                <w:iCs/>
                <w:sz w:val="20"/>
                <w:szCs w:val="20"/>
              </w:rPr>
              <w:t xml:space="preserve"> V januári 2024 sa v systéme pomoci v hmotnej núdzi nachádzalo 4 543 osôb s príjmom z pracovnej činnosti. Väčšinou išlo o</w:t>
            </w:r>
            <w:r w:rsidR="00DD5A61" w:rsidRPr="0057523E">
              <w:rPr>
                <w:rFonts w:ascii="Times New Roman" w:hAnsi="Times New Roman"/>
                <w:iCs/>
                <w:sz w:val="20"/>
                <w:szCs w:val="20"/>
              </w:rPr>
              <w:t xml:space="preserve"> veľmi </w:t>
            </w:r>
            <w:r w:rsidRPr="0057523E">
              <w:rPr>
                <w:rFonts w:ascii="Times New Roman" w:hAnsi="Times New Roman"/>
                <w:iCs/>
                <w:sz w:val="20"/>
                <w:szCs w:val="20"/>
              </w:rPr>
              <w:t>nízke príjmy pod úrovňou súčasnej minimálnej mzdy</w:t>
            </w:r>
            <w:r w:rsidR="00A54965" w:rsidRPr="0057523E">
              <w:rPr>
                <w:rFonts w:ascii="Times New Roman" w:hAnsi="Times New Roman"/>
                <w:iCs/>
                <w:sz w:val="20"/>
                <w:szCs w:val="20"/>
              </w:rPr>
              <w:t xml:space="preserve"> (najviac z dohôd o pracovnej činnosti)</w:t>
            </w:r>
            <w:r w:rsidRPr="0057523E">
              <w:rPr>
                <w:rFonts w:ascii="Times New Roman" w:hAnsi="Times New Roman"/>
                <w:iCs/>
                <w:sz w:val="20"/>
                <w:szCs w:val="20"/>
              </w:rPr>
              <w:t>. Viac ako polovica z nich (55 %) žila v úplných rodinách s deťmi, 18 % v neúplných rodinách s deťmi, 16 % bolo jednotlivcov a 11 dvojíc bez detí.</w:t>
            </w:r>
          </w:p>
        </w:tc>
      </w:tr>
      <w:tr w:rsidR="002644DE" w:rsidRPr="002644DE" w14:paraId="23582B3A" w14:textId="77777777" w:rsidTr="00C5327D">
        <w:trPr>
          <w:trHeight w:val="680"/>
          <w:jc w:val="center"/>
        </w:trPr>
        <w:tc>
          <w:tcPr>
            <w:tcW w:w="129" w:type="pct"/>
            <w:vMerge/>
            <w:shd w:val="clear" w:color="auto" w:fill="auto"/>
            <w:vAlign w:val="center"/>
          </w:tcPr>
          <w:p w14:paraId="505DC71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8AB17AB"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16B7C6F4"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3871E53E" w14:textId="77777777" w:rsidTr="00C5327D">
        <w:trPr>
          <w:trHeight w:val="350"/>
          <w:jc w:val="center"/>
        </w:trPr>
        <w:tc>
          <w:tcPr>
            <w:tcW w:w="129" w:type="pct"/>
            <w:tcBorders>
              <w:top w:val="dotted" w:sz="4" w:space="0" w:color="auto"/>
              <w:bottom w:val="single" w:sz="4" w:space="0" w:color="auto"/>
            </w:tcBorders>
            <w:shd w:val="clear" w:color="auto" w:fill="auto"/>
            <w:vAlign w:val="center"/>
          </w:tcPr>
          <w:p w14:paraId="087F067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0C27FE7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55AD38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947D0D5" w14:textId="77777777" w:rsidTr="00C5327D">
        <w:trPr>
          <w:trHeight w:val="170"/>
          <w:jc w:val="center"/>
        </w:trPr>
        <w:tc>
          <w:tcPr>
            <w:tcW w:w="129" w:type="pct"/>
            <w:tcBorders>
              <w:top w:val="single" w:sz="4" w:space="0" w:color="auto"/>
              <w:bottom w:val="single" w:sz="4" w:space="0" w:color="auto"/>
            </w:tcBorders>
            <w:shd w:val="clear" w:color="auto" w:fill="DDDDDD"/>
            <w:vAlign w:val="center"/>
          </w:tcPr>
          <w:p w14:paraId="0474577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7E4C1ED5"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6DAAA240" w14:textId="77777777" w:rsidTr="00C5327D">
        <w:trPr>
          <w:trHeight w:val="759"/>
          <w:jc w:val="center"/>
        </w:trPr>
        <w:tc>
          <w:tcPr>
            <w:tcW w:w="129" w:type="pct"/>
            <w:tcBorders>
              <w:top w:val="single" w:sz="4" w:space="0" w:color="auto"/>
              <w:bottom w:val="single" w:sz="4" w:space="0" w:color="auto"/>
            </w:tcBorders>
            <w:shd w:val="clear" w:color="auto" w:fill="auto"/>
            <w:vAlign w:val="center"/>
          </w:tcPr>
          <w:p w14:paraId="6323542B"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5D60D8D3"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676B035F"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F6D42DC" w14:textId="77777777" w:rsidR="002644DE" w:rsidRPr="002644DE" w:rsidRDefault="008C2ED9" w:rsidP="008C2ED9">
            <w:pPr>
              <w:spacing w:after="0" w:line="240" w:lineRule="auto"/>
              <w:contextualSpacing/>
              <w:rPr>
                <w:rFonts w:ascii="Times New Roman" w:eastAsia="Calibri" w:hAnsi="Times New Roman" w:cs="Times New Roman"/>
                <w:sz w:val="20"/>
                <w:szCs w:val="20"/>
                <w:lang w:eastAsia="sk-SK"/>
              </w:rPr>
            </w:pPr>
            <w:r w:rsidRPr="00802154">
              <w:rPr>
                <w:rFonts w:ascii="Times New Roman" w:eastAsia="Calibri" w:hAnsi="Times New Roman" w:cs="Times New Roman"/>
                <w:sz w:val="20"/>
                <w:szCs w:val="20"/>
                <w:lang w:eastAsia="sk-SK"/>
              </w:rPr>
              <w:t>Bez vplyvu</w:t>
            </w:r>
          </w:p>
        </w:tc>
      </w:tr>
      <w:tr w:rsidR="002644DE" w:rsidRPr="002644DE" w14:paraId="2A8E0B7A" w14:textId="77777777" w:rsidTr="00C5327D">
        <w:trPr>
          <w:trHeight w:val="397"/>
          <w:jc w:val="center"/>
        </w:trPr>
        <w:tc>
          <w:tcPr>
            <w:tcW w:w="129" w:type="pct"/>
            <w:vMerge w:val="restart"/>
            <w:tcBorders>
              <w:top w:val="single" w:sz="4" w:space="0" w:color="auto"/>
            </w:tcBorders>
            <w:shd w:val="clear" w:color="auto" w:fill="auto"/>
            <w:vAlign w:val="center"/>
          </w:tcPr>
          <w:p w14:paraId="461F512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3A79588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5C46FE1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D232610" w14:textId="77777777" w:rsidTr="00C5327D">
        <w:trPr>
          <w:trHeight w:val="397"/>
          <w:jc w:val="center"/>
        </w:trPr>
        <w:tc>
          <w:tcPr>
            <w:tcW w:w="129" w:type="pct"/>
            <w:vMerge/>
            <w:tcBorders>
              <w:bottom w:val="single" w:sz="4" w:space="0" w:color="auto"/>
            </w:tcBorders>
            <w:shd w:val="clear" w:color="auto" w:fill="auto"/>
            <w:vAlign w:val="center"/>
          </w:tcPr>
          <w:p w14:paraId="265B025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0C7688B9"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3A67DA0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1A715C5" w14:textId="77777777" w:rsidTr="00C5327D">
        <w:trPr>
          <w:trHeight w:val="397"/>
          <w:jc w:val="center"/>
        </w:trPr>
        <w:tc>
          <w:tcPr>
            <w:tcW w:w="129" w:type="pct"/>
            <w:tcBorders>
              <w:top w:val="single" w:sz="4" w:space="0" w:color="auto"/>
            </w:tcBorders>
            <w:shd w:val="clear" w:color="auto" w:fill="F2F2F2"/>
            <w:vAlign w:val="center"/>
          </w:tcPr>
          <w:p w14:paraId="08781B8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02C4596B"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5D57FA21" w14:textId="77777777" w:rsidTr="00C5327D">
        <w:trPr>
          <w:trHeight w:val="680"/>
          <w:jc w:val="center"/>
        </w:trPr>
        <w:tc>
          <w:tcPr>
            <w:tcW w:w="129" w:type="pct"/>
            <w:vMerge w:val="restart"/>
            <w:tcBorders>
              <w:top w:val="dotted" w:sz="4" w:space="0" w:color="auto"/>
            </w:tcBorders>
            <w:shd w:val="clear" w:color="auto" w:fill="auto"/>
            <w:vAlign w:val="center"/>
          </w:tcPr>
          <w:p w14:paraId="41FAED6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52715F4E"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62620E99"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6D6E68F"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49062493" w14:textId="77777777" w:rsidTr="00C5327D">
        <w:trPr>
          <w:trHeight w:val="680"/>
          <w:jc w:val="center"/>
        </w:trPr>
        <w:tc>
          <w:tcPr>
            <w:tcW w:w="129" w:type="pct"/>
            <w:vMerge/>
            <w:shd w:val="clear" w:color="auto" w:fill="auto"/>
            <w:vAlign w:val="center"/>
          </w:tcPr>
          <w:p w14:paraId="1323995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7BE2772"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4FC2AE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FE40469" w14:textId="77777777" w:rsidTr="00C5327D">
        <w:trPr>
          <w:trHeight w:val="397"/>
          <w:jc w:val="center"/>
        </w:trPr>
        <w:tc>
          <w:tcPr>
            <w:tcW w:w="129" w:type="pct"/>
            <w:tcBorders>
              <w:top w:val="dotted" w:sz="4" w:space="0" w:color="auto"/>
            </w:tcBorders>
            <w:shd w:val="clear" w:color="auto" w:fill="auto"/>
            <w:vAlign w:val="center"/>
          </w:tcPr>
          <w:p w14:paraId="0BB5FAA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F5D13E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10D0A8AF"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1FF40FF5" w14:textId="77777777" w:rsidTr="00C5327D">
        <w:trPr>
          <w:trHeight w:val="227"/>
          <w:jc w:val="center"/>
        </w:trPr>
        <w:tc>
          <w:tcPr>
            <w:tcW w:w="129" w:type="pct"/>
            <w:tcBorders>
              <w:top w:val="nil"/>
              <w:bottom w:val="single" w:sz="4" w:space="0" w:color="auto"/>
            </w:tcBorders>
            <w:shd w:val="clear" w:color="auto" w:fill="F2F2F2"/>
            <w:vAlign w:val="center"/>
          </w:tcPr>
          <w:p w14:paraId="598A0AE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1FD058A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16E6666D"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2A199DE6" w14:textId="77777777" w:rsidTr="00C5327D">
        <w:trPr>
          <w:trHeight w:val="759"/>
          <w:jc w:val="center"/>
        </w:trPr>
        <w:tc>
          <w:tcPr>
            <w:tcW w:w="129" w:type="pct"/>
            <w:tcBorders>
              <w:top w:val="single" w:sz="4" w:space="0" w:color="auto"/>
              <w:bottom w:val="single" w:sz="4" w:space="0" w:color="auto"/>
            </w:tcBorders>
            <w:shd w:val="clear" w:color="auto" w:fill="auto"/>
            <w:vAlign w:val="center"/>
          </w:tcPr>
          <w:p w14:paraId="7114F1D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4B8F662E"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74FC3DB" w14:textId="77777777" w:rsidR="002644DE" w:rsidRPr="002644DE" w:rsidRDefault="008C2ED9" w:rsidP="002644DE">
            <w:pPr>
              <w:spacing w:after="0" w:line="240" w:lineRule="auto"/>
              <w:rPr>
                <w:rFonts w:ascii="Times New Roman" w:eastAsia="Calibri" w:hAnsi="Times New Roman" w:cs="Times New Roman"/>
                <w:sz w:val="20"/>
                <w:szCs w:val="20"/>
                <w:lang w:eastAsia="sk-SK"/>
              </w:rPr>
            </w:pPr>
            <w:r w:rsidRPr="004071FE">
              <w:rPr>
                <w:rFonts w:ascii="Times New Roman" w:eastAsia="Calibri" w:hAnsi="Times New Roman" w:cs="Times New Roman"/>
                <w:sz w:val="20"/>
                <w:szCs w:val="20"/>
                <w:lang w:eastAsia="sk-SK"/>
              </w:rPr>
              <w:t>Bez vplyvu</w:t>
            </w:r>
          </w:p>
        </w:tc>
      </w:tr>
      <w:tr w:rsidR="002644DE" w:rsidRPr="002644DE" w14:paraId="52F38E64" w14:textId="77777777" w:rsidTr="00C5327D">
        <w:trPr>
          <w:trHeight w:val="397"/>
          <w:jc w:val="center"/>
        </w:trPr>
        <w:tc>
          <w:tcPr>
            <w:tcW w:w="129" w:type="pct"/>
            <w:vMerge w:val="restart"/>
            <w:tcBorders>
              <w:top w:val="single" w:sz="4" w:space="0" w:color="auto"/>
            </w:tcBorders>
            <w:shd w:val="clear" w:color="auto" w:fill="auto"/>
            <w:vAlign w:val="center"/>
          </w:tcPr>
          <w:p w14:paraId="33CB454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182D0AD6"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13057203"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0ABF4674" w14:textId="77777777" w:rsidTr="00C5327D">
        <w:trPr>
          <w:trHeight w:val="397"/>
          <w:jc w:val="center"/>
        </w:trPr>
        <w:tc>
          <w:tcPr>
            <w:tcW w:w="129" w:type="pct"/>
            <w:vMerge/>
            <w:shd w:val="clear" w:color="auto" w:fill="auto"/>
            <w:vAlign w:val="center"/>
          </w:tcPr>
          <w:p w14:paraId="64AA801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C011CE4"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1BE408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558D81BB" w14:textId="77777777" w:rsidTr="00C5327D">
        <w:trPr>
          <w:trHeight w:val="454"/>
          <w:jc w:val="center"/>
        </w:trPr>
        <w:tc>
          <w:tcPr>
            <w:tcW w:w="129" w:type="pct"/>
            <w:tcBorders>
              <w:top w:val="dotted" w:sz="4" w:space="0" w:color="auto"/>
            </w:tcBorders>
            <w:shd w:val="clear" w:color="auto" w:fill="F2F2F2"/>
            <w:vAlign w:val="center"/>
          </w:tcPr>
          <w:p w14:paraId="66FE92D3"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4F539BD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79DFBAA0" w14:textId="77777777" w:rsidTr="00C5327D">
        <w:trPr>
          <w:trHeight w:val="680"/>
          <w:jc w:val="center"/>
        </w:trPr>
        <w:tc>
          <w:tcPr>
            <w:tcW w:w="129" w:type="pct"/>
            <w:vMerge w:val="restart"/>
            <w:tcBorders>
              <w:top w:val="dotted" w:sz="4" w:space="0" w:color="auto"/>
            </w:tcBorders>
            <w:shd w:val="clear" w:color="auto" w:fill="auto"/>
            <w:vAlign w:val="center"/>
          </w:tcPr>
          <w:p w14:paraId="30B6D6D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715D1C98"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1C1EE44A"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828A21A"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0099B64" w14:textId="77777777" w:rsidTr="00C5327D">
        <w:trPr>
          <w:trHeight w:val="680"/>
          <w:jc w:val="center"/>
        </w:trPr>
        <w:tc>
          <w:tcPr>
            <w:tcW w:w="129" w:type="pct"/>
            <w:vMerge/>
            <w:shd w:val="clear" w:color="auto" w:fill="auto"/>
            <w:vAlign w:val="center"/>
          </w:tcPr>
          <w:p w14:paraId="17077DA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56BDD9D"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6218C2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32F3D765" w14:textId="77777777" w:rsidTr="00C5327D">
        <w:trPr>
          <w:trHeight w:val="454"/>
          <w:jc w:val="center"/>
        </w:trPr>
        <w:tc>
          <w:tcPr>
            <w:tcW w:w="129" w:type="pct"/>
            <w:tcBorders>
              <w:top w:val="dotted" w:sz="4" w:space="0" w:color="auto"/>
              <w:bottom w:val="single" w:sz="4" w:space="0" w:color="auto"/>
            </w:tcBorders>
            <w:shd w:val="clear" w:color="auto" w:fill="auto"/>
            <w:vAlign w:val="center"/>
          </w:tcPr>
          <w:p w14:paraId="7B9B172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07D42C7B"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1BB212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4F9B0BD7" w14:textId="77777777" w:rsidR="002644DE" w:rsidRPr="002644DE" w:rsidRDefault="002644DE" w:rsidP="002644DE">
      <w:r w:rsidRPr="002644DE">
        <w:br w:type="page"/>
      </w:r>
    </w:p>
    <w:p w14:paraId="0A222242" w14:textId="77777777" w:rsidR="002644DE" w:rsidRPr="002644DE" w:rsidRDefault="002644DE" w:rsidP="002644DE">
      <w:pPr>
        <w:sectPr w:rsidR="002644DE" w:rsidRPr="002644DE" w:rsidSect="00C5327D">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512E11A0" w14:textId="77777777" w:rsidTr="00C5327D">
        <w:trPr>
          <w:trHeight w:val="339"/>
          <w:jc w:val="center"/>
        </w:trPr>
        <w:tc>
          <w:tcPr>
            <w:tcW w:w="4998" w:type="pct"/>
            <w:gridSpan w:val="4"/>
            <w:tcBorders>
              <w:bottom w:val="single" w:sz="4" w:space="0" w:color="auto"/>
            </w:tcBorders>
            <w:shd w:val="clear" w:color="auto" w:fill="D9D9D9"/>
          </w:tcPr>
          <w:p w14:paraId="5A88E7B6"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0E19BC96" w14:textId="77777777" w:rsidTr="00C5327D">
        <w:trPr>
          <w:trHeight w:val="290"/>
          <w:jc w:val="center"/>
        </w:trPr>
        <w:tc>
          <w:tcPr>
            <w:tcW w:w="4998" w:type="pct"/>
            <w:gridSpan w:val="4"/>
            <w:tcBorders>
              <w:bottom w:val="single" w:sz="4" w:space="0" w:color="auto"/>
            </w:tcBorders>
            <w:shd w:val="clear" w:color="auto" w:fill="F2F2F2"/>
            <w:vAlign w:val="center"/>
          </w:tcPr>
          <w:p w14:paraId="6F66FF2A"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5D57D881"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79BD0D75" w14:textId="77777777" w:rsidTr="00C5327D">
        <w:tblPrEx>
          <w:tblBorders>
            <w:top w:val="none" w:sz="0" w:space="0" w:color="auto"/>
            <w:bottom w:val="none" w:sz="0" w:space="0" w:color="auto"/>
          </w:tblBorders>
        </w:tblPrEx>
        <w:trPr>
          <w:trHeight w:val="557"/>
          <w:jc w:val="center"/>
        </w:trPr>
        <w:tc>
          <w:tcPr>
            <w:tcW w:w="180" w:type="pct"/>
            <w:shd w:val="clear" w:color="auto" w:fill="auto"/>
            <w:vAlign w:val="center"/>
          </w:tcPr>
          <w:p w14:paraId="0C64734E"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04A81C48"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4051985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154D7B6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5883CA5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52F5BCE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385DA3B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7B5E989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7710D56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5BD70C9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640B87D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29668A9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5DE05E2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03891C6C"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3E140053" w14:textId="77777777" w:rsidR="00B544B9" w:rsidRPr="00CC4710" w:rsidRDefault="00B544B9" w:rsidP="00F05B6E">
            <w:pPr>
              <w:spacing w:after="0" w:line="240" w:lineRule="auto"/>
              <w:jc w:val="both"/>
              <w:rPr>
                <w:rFonts w:ascii="Times New Roman" w:eastAsia="Calibri" w:hAnsi="Times New Roman" w:cs="Times New Roman"/>
                <w:sz w:val="20"/>
                <w:szCs w:val="20"/>
                <w:lang w:eastAsia="sk-SK"/>
              </w:rPr>
            </w:pPr>
            <w:r w:rsidRPr="00CC4710">
              <w:rPr>
                <w:rFonts w:ascii="Times New Roman" w:eastAsia="Calibri" w:hAnsi="Times New Roman" w:cs="Times New Roman"/>
                <w:sz w:val="20"/>
                <w:szCs w:val="20"/>
                <w:lang w:eastAsia="sk-SK"/>
              </w:rPr>
              <w:t>Návrh zákona upravuje stanovovanie primeraných minimálnych miezd, čo by malo zabezpečiť zlepšenie životných a pracovných podmienok zamestnancov. Podľa predloženého návrhu zákona bude potrebné v záujme dosiahnutia dôstojnej životnej úrovne, zníženia chudoby zamestnancov, a tiež podpory sociálnej súdržnosti, a vzostupnej sociálnej konvergencie a zníženia rozdielov v odmeňovaní žien a mužov v stanovených intervaloch vyhodnocovať primeranosť sumy minimálnej mzdy, pričom bude potrebné brať do úvahy aspoň kúpnu silu minimálnej mzdy, všeobecnú úroveň miezd a ich distribúciu, mieru rastu miezd, dlhodobú úroveň národnej produktivity a jej vývoj.</w:t>
            </w:r>
          </w:p>
          <w:p w14:paraId="205D469F" w14:textId="77777777" w:rsidR="002644DE" w:rsidRPr="00CC4710" w:rsidRDefault="002644DE" w:rsidP="00F05B6E">
            <w:pPr>
              <w:spacing w:after="0" w:line="240" w:lineRule="auto"/>
              <w:jc w:val="both"/>
              <w:rPr>
                <w:rFonts w:ascii="Times New Roman" w:eastAsia="Calibri" w:hAnsi="Times New Roman" w:cs="Times New Roman"/>
                <w:sz w:val="20"/>
                <w:szCs w:val="20"/>
                <w:lang w:eastAsia="sk-SK"/>
              </w:rPr>
            </w:pPr>
          </w:p>
          <w:p w14:paraId="356B0CC4" w14:textId="77777777" w:rsidR="002644DE" w:rsidRPr="00CC4710" w:rsidRDefault="00F05B6E" w:rsidP="00F05B6E">
            <w:pPr>
              <w:spacing w:after="0" w:line="240" w:lineRule="auto"/>
              <w:jc w:val="both"/>
              <w:rPr>
                <w:rFonts w:ascii="Times New Roman" w:eastAsia="Calibri" w:hAnsi="Times New Roman" w:cs="Times New Roman"/>
                <w:sz w:val="20"/>
                <w:szCs w:val="20"/>
                <w:lang w:eastAsia="sk-SK"/>
              </w:rPr>
            </w:pPr>
            <w:r w:rsidRPr="00CC4710">
              <w:rPr>
                <w:rFonts w:ascii="Times New Roman" w:eastAsia="Calibri" w:hAnsi="Times New Roman" w:cs="Times New Roman"/>
                <w:sz w:val="20"/>
                <w:szCs w:val="20"/>
                <w:lang w:eastAsia="sk-SK"/>
              </w:rPr>
              <w:t xml:space="preserve">Zvyšovanie miery pokrytia kolektívnym vyjednávaním o mzdách až na 80 % zo všetkých zamestnancov, ktorých pracovné podmienky môžu byť upravené kolektívnymi zmluvami môže prispieť k uľahčeniu výkonu práva na kolektívne vyjednávanie. </w:t>
            </w:r>
          </w:p>
          <w:p w14:paraId="66D58E39" w14:textId="77777777" w:rsidR="009C7687" w:rsidRPr="00CC4710" w:rsidRDefault="009C7687" w:rsidP="00F05B6E">
            <w:pPr>
              <w:spacing w:after="0" w:line="240" w:lineRule="auto"/>
              <w:jc w:val="both"/>
              <w:rPr>
                <w:rFonts w:ascii="Times New Roman" w:eastAsia="Calibri" w:hAnsi="Times New Roman" w:cs="Times New Roman"/>
                <w:sz w:val="20"/>
                <w:szCs w:val="20"/>
                <w:lang w:eastAsia="sk-SK"/>
              </w:rPr>
            </w:pPr>
          </w:p>
          <w:p w14:paraId="29BE0470" w14:textId="0010D246" w:rsidR="009C7687" w:rsidRPr="002644DE" w:rsidRDefault="00B21FDC" w:rsidP="00F05B6E">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Aplikovanie reprezentatívnej</w:t>
            </w:r>
            <w:r w:rsidR="009C7687" w:rsidRPr="00CC4710">
              <w:rPr>
                <w:rFonts w:ascii="Times New Roman" w:eastAsia="Calibri" w:hAnsi="Times New Roman" w:cs="Times New Roman"/>
                <w:sz w:val="20"/>
                <w:szCs w:val="20"/>
                <w:lang w:eastAsia="sk-SK"/>
              </w:rPr>
              <w:t xml:space="preserve"> kolektívnej zmluvy vyššieho stupňa na ďalších zamestnancov môže dotknutým zamestnancom zabezpečiť lepšie pracovné podmienky vrátane mzdových podmienok.</w:t>
            </w:r>
          </w:p>
        </w:tc>
      </w:tr>
      <w:tr w:rsidR="002644DE" w:rsidRPr="002644DE" w14:paraId="2064A228" w14:textId="77777777" w:rsidTr="00C5327D">
        <w:trPr>
          <w:jc w:val="center"/>
        </w:trPr>
        <w:tc>
          <w:tcPr>
            <w:tcW w:w="180" w:type="pct"/>
            <w:tcBorders>
              <w:bottom w:val="single" w:sz="4" w:space="0" w:color="auto"/>
            </w:tcBorders>
            <w:shd w:val="clear" w:color="auto" w:fill="F2F2F2"/>
            <w:vAlign w:val="center"/>
          </w:tcPr>
          <w:p w14:paraId="64BA3A5D"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575DDB2C"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46AE1B93"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53310534" w14:textId="77777777" w:rsidTr="00C5327D">
        <w:tblPrEx>
          <w:tblBorders>
            <w:top w:val="none" w:sz="0" w:space="0" w:color="auto"/>
          </w:tblBorders>
        </w:tblPrEx>
        <w:trPr>
          <w:trHeight w:val="677"/>
          <w:jc w:val="center"/>
        </w:trPr>
        <w:tc>
          <w:tcPr>
            <w:tcW w:w="179" w:type="pct"/>
            <w:shd w:val="clear" w:color="auto" w:fill="auto"/>
            <w:vAlign w:val="center"/>
          </w:tcPr>
          <w:p w14:paraId="4FADA482"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538CF01C"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60E436B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2E12F9F2"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290B83F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39D3814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0212C6F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2567296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01AD099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6655281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6BF0C6F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0F0DC7D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1EB7B84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09245DD9" w14:textId="77777777" w:rsidR="002644DE" w:rsidRPr="002644DE" w:rsidRDefault="002644DE" w:rsidP="002644DE">
            <w:pPr>
              <w:spacing w:after="0" w:line="240" w:lineRule="auto"/>
              <w:rPr>
                <w:rFonts w:ascii="Times New Roman" w:eastAsia="Calibri" w:hAnsi="Times New Roman" w:cs="Times New Roman"/>
                <w:sz w:val="20"/>
                <w:lang w:eastAsia="sk-SK"/>
              </w:rPr>
            </w:pPr>
          </w:p>
        </w:tc>
      </w:tr>
    </w:tbl>
    <w:p w14:paraId="1AA17EA6" w14:textId="77777777" w:rsidR="002644DE" w:rsidRPr="002644DE" w:rsidRDefault="002644DE" w:rsidP="002644DE">
      <w:pPr>
        <w:sectPr w:rsidR="002644DE" w:rsidRPr="002644DE" w:rsidSect="00C5327D">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54E8E861" w14:textId="77777777" w:rsidTr="00C5327D">
        <w:trPr>
          <w:jc w:val="center"/>
        </w:trPr>
        <w:tc>
          <w:tcPr>
            <w:tcW w:w="5000" w:type="pct"/>
            <w:gridSpan w:val="3"/>
            <w:shd w:val="clear" w:color="auto" w:fill="D9D9D9"/>
          </w:tcPr>
          <w:p w14:paraId="40846937"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32C544B0"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5A0BC9E3" w14:textId="77777777" w:rsidTr="00C5327D">
        <w:trPr>
          <w:jc w:val="center"/>
        </w:trPr>
        <w:tc>
          <w:tcPr>
            <w:tcW w:w="132" w:type="pct"/>
            <w:tcBorders>
              <w:bottom w:val="single" w:sz="4" w:space="0" w:color="auto"/>
            </w:tcBorders>
            <w:shd w:val="clear" w:color="auto" w:fill="F2F2F2"/>
            <w:vAlign w:val="center"/>
          </w:tcPr>
          <w:p w14:paraId="0627C648"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3EEE60FE"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42F0ACCA" w14:textId="77777777" w:rsidTr="00C5327D">
        <w:trPr>
          <w:trHeight w:val="928"/>
          <w:jc w:val="center"/>
        </w:trPr>
        <w:tc>
          <w:tcPr>
            <w:tcW w:w="132" w:type="pct"/>
            <w:tcBorders>
              <w:top w:val="nil"/>
              <w:bottom w:val="nil"/>
            </w:tcBorders>
            <w:shd w:val="clear" w:color="auto" w:fill="auto"/>
          </w:tcPr>
          <w:p w14:paraId="114CEC99" w14:textId="77777777" w:rsidR="002644DE" w:rsidRPr="002644DE" w:rsidRDefault="002644DE" w:rsidP="002644DE">
            <w:pPr>
              <w:spacing w:after="0" w:line="240" w:lineRule="auto"/>
              <w:rPr>
                <w:rFonts w:ascii="Times New Roman" w:eastAsia="Calibri" w:hAnsi="Times New Roman" w:cs="Times New Roman"/>
                <w:sz w:val="20"/>
              </w:rPr>
            </w:pPr>
          </w:p>
          <w:p w14:paraId="4F1D68F9" w14:textId="77777777" w:rsidR="002644DE" w:rsidRPr="002644DE" w:rsidRDefault="002644DE" w:rsidP="002644DE">
            <w:pPr>
              <w:spacing w:after="0" w:line="240" w:lineRule="auto"/>
              <w:rPr>
                <w:rFonts w:ascii="Times New Roman" w:eastAsia="Calibri" w:hAnsi="Times New Roman" w:cs="Times New Roman"/>
                <w:i/>
                <w:sz w:val="20"/>
              </w:rPr>
            </w:pPr>
          </w:p>
          <w:p w14:paraId="3650E58F" w14:textId="77777777" w:rsidR="002644DE" w:rsidRPr="002644DE" w:rsidRDefault="002644DE" w:rsidP="002644DE">
            <w:pPr>
              <w:spacing w:after="0" w:line="240" w:lineRule="auto"/>
              <w:rPr>
                <w:rFonts w:ascii="Times New Roman" w:eastAsia="Calibri" w:hAnsi="Times New Roman" w:cs="Times New Roman"/>
                <w:i/>
                <w:sz w:val="20"/>
              </w:rPr>
            </w:pPr>
          </w:p>
          <w:p w14:paraId="58837544"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46369522" w14:textId="77777777" w:rsidR="002644DE" w:rsidRPr="002644DE" w:rsidRDefault="002644DE" w:rsidP="002644DE">
            <w:pPr>
              <w:spacing w:after="0" w:line="240" w:lineRule="auto"/>
              <w:rPr>
                <w:rFonts w:ascii="Times New Roman" w:eastAsia="Calibri" w:hAnsi="Times New Roman" w:cs="Times New Roman"/>
                <w:i/>
                <w:sz w:val="20"/>
              </w:rPr>
            </w:pPr>
          </w:p>
          <w:p w14:paraId="3704149D" w14:textId="77777777" w:rsidR="002644DE" w:rsidRPr="002644DE" w:rsidRDefault="002644DE" w:rsidP="002644DE">
            <w:pPr>
              <w:spacing w:after="0" w:line="240" w:lineRule="auto"/>
              <w:rPr>
                <w:rFonts w:ascii="Times New Roman" w:eastAsia="Calibri" w:hAnsi="Times New Roman" w:cs="Times New Roman"/>
                <w:i/>
                <w:sz w:val="20"/>
              </w:rPr>
            </w:pPr>
          </w:p>
          <w:p w14:paraId="3297AE04"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7FFBA744" w14:textId="77777777" w:rsidR="002644DE" w:rsidRPr="009B3573" w:rsidRDefault="009B3573" w:rsidP="002644DE">
            <w:pPr>
              <w:rPr>
                <w:rFonts w:ascii="Times New Roman" w:eastAsia="Calibri" w:hAnsi="Times New Roman" w:cs="Times New Roman"/>
                <w:sz w:val="20"/>
                <w:szCs w:val="18"/>
              </w:rPr>
            </w:pPr>
            <w:r w:rsidRPr="00CF2C25">
              <w:rPr>
                <w:rFonts w:ascii="Times New Roman" w:eastAsia="Calibri" w:hAnsi="Times New Roman" w:cs="Times New Roman"/>
                <w:sz w:val="20"/>
                <w:szCs w:val="18"/>
              </w:rPr>
              <w:t>Bez vplyvu</w:t>
            </w:r>
          </w:p>
          <w:p w14:paraId="744CD768"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146E6F10" w14:textId="77777777" w:rsidTr="00C5327D">
        <w:trPr>
          <w:trHeight w:val="345"/>
          <w:jc w:val="center"/>
        </w:trPr>
        <w:tc>
          <w:tcPr>
            <w:tcW w:w="132" w:type="pct"/>
            <w:tcBorders>
              <w:bottom w:val="single" w:sz="4" w:space="0" w:color="auto"/>
            </w:tcBorders>
            <w:shd w:val="clear" w:color="auto" w:fill="F2F2F2"/>
            <w:vAlign w:val="center"/>
          </w:tcPr>
          <w:p w14:paraId="26218C8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701944B9"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0B3FB2BF" w14:textId="77777777" w:rsidTr="00C5327D">
        <w:tblPrEx>
          <w:tblBorders>
            <w:top w:val="none" w:sz="0" w:space="0" w:color="auto"/>
            <w:bottom w:val="none" w:sz="0" w:space="0" w:color="auto"/>
          </w:tblBorders>
        </w:tblPrEx>
        <w:trPr>
          <w:trHeight w:val="372"/>
          <w:jc w:val="center"/>
        </w:trPr>
        <w:tc>
          <w:tcPr>
            <w:tcW w:w="132" w:type="pct"/>
            <w:shd w:val="clear" w:color="auto" w:fill="auto"/>
            <w:vAlign w:val="center"/>
          </w:tcPr>
          <w:p w14:paraId="6BA7640B"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0FB5F2C9"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522FB500" w14:textId="77777777"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14:paraId="175A97F0" w14:textId="77777777" w:rsidTr="00C5327D">
        <w:tblPrEx>
          <w:tblBorders>
            <w:top w:val="none" w:sz="0" w:space="0" w:color="auto"/>
            <w:bottom w:val="none" w:sz="0" w:space="0" w:color="auto"/>
          </w:tblBorders>
        </w:tblPrEx>
        <w:trPr>
          <w:trHeight w:val="371"/>
          <w:jc w:val="center"/>
        </w:trPr>
        <w:tc>
          <w:tcPr>
            <w:tcW w:w="132" w:type="pct"/>
            <w:shd w:val="clear" w:color="auto" w:fill="auto"/>
            <w:vAlign w:val="center"/>
          </w:tcPr>
          <w:p w14:paraId="25B8F28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433CCDC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0EB02A7C" w14:textId="77777777" w:rsidR="002644DE" w:rsidRPr="00DD5A61" w:rsidRDefault="00DD5A61" w:rsidP="00CC4710">
            <w:pPr>
              <w:spacing w:after="0" w:line="240" w:lineRule="auto"/>
              <w:jc w:val="both"/>
              <w:rPr>
                <w:rFonts w:ascii="Times New Roman" w:eastAsia="Calibri" w:hAnsi="Times New Roman" w:cs="Times New Roman"/>
                <w:sz w:val="20"/>
                <w:szCs w:val="20"/>
              </w:rPr>
            </w:pPr>
            <w:r w:rsidRPr="004071FE">
              <w:rPr>
                <w:rFonts w:ascii="Times New Roman" w:hAnsi="Times New Roman"/>
                <w:sz w:val="20"/>
                <w:szCs w:val="20"/>
              </w:rPr>
              <w:t>Nakoľko zvýšenie sumy minimálnej mzdy sa týka zamestnancov v povolaniach s nízkym priemerným zárobkom a so mzdou na úrovni minimálnej mzdy, ktoré sú početnejšie zastúpené ženami, zvýšenie minimálnej mzdy bude mať mierny vplyv aj na zníženie rozdielov v mzdách mužov a žien.</w:t>
            </w:r>
          </w:p>
        </w:tc>
      </w:tr>
      <w:tr w:rsidR="002644DE" w:rsidRPr="002644DE" w14:paraId="6531E725" w14:textId="77777777" w:rsidTr="00C5327D">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0983913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1766488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49F8B483"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4883347F" w14:textId="77777777" w:rsidTr="00C5327D">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467D635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5357CAF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A12CDA2"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6E67A082"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1885813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54BA89F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134BE662"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61D1F7AB"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4F17528E"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4CC6FFF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095622D6" w14:textId="77777777" w:rsidR="002644DE" w:rsidRPr="002644DE" w:rsidRDefault="002644DE" w:rsidP="002644DE">
            <w:pPr>
              <w:spacing w:after="0" w:line="240" w:lineRule="auto"/>
              <w:rPr>
                <w:rFonts w:ascii="Times New Roman" w:eastAsia="Calibri" w:hAnsi="Times New Roman" w:cs="Times New Roman"/>
                <w:sz w:val="20"/>
              </w:rPr>
            </w:pPr>
          </w:p>
        </w:tc>
      </w:tr>
    </w:tbl>
    <w:p w14:paraId="6C81D449"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C5327D">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32622015" w14:textId="77777777" w:rsidTr="00C5327D">
        <w:trPr>
          <w:jc w:val="center"/>
        </w:trPr>
        <w:tc>
          <w:tcPr>
            <w:tcW w:w="5000" w:type="pct"/>
            <w:gridSpan w:val="3"/>
            <w:shd w:val="clear" w:color="auto" w:fill="D9D9D9"/>
          </w:tcPr>
          <w:p w14:paraId="4BB9E0CA"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34F1915B"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2358B2AF" w14:textId="77777777" w:rsidTr="00C5327D">
        <w:trPr>
          <w:trHeight w:val="287"/>
          <w:jc w:val="center"/>
        </w:trPr>
        <w:tc>
          <w:tcPr>
            <w:tcW w:w="129" w:type="pct"/>
            <w:tcBorders>
              <w:top w:val="nil"/>
              <w:bottom w:val="single" w:sz="4" w:space="0" w:color="auto"/>
            </w:tcBorders>
            <w:shd w:val="clear" w:color="auto" w:fill="F2F2F2"/>
            <w:vAlign w:val="center"/>
          </w:tcPr>
          <w:p w14:paraId="79759F2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306810C9"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3427C916" w14:textId="77777777" w:rsidTr="00C5327D">
        <w:trPr>
          <w:trHeight w:val="567"/>
          <w:jc w:val="center"/>
        </w:trPr>
        <w:tc>
          <w:tcPr>
            <w:tcW w:w="129" w:type="pct"/>
            <w:tcBorders>
              <w:top w:val="nil"/>
              <w:bottom w:val="single" w:sz="4" w:space="0" w:color="auto"/>
            </w:tcBorders>
            <w:shd w:val="clear" w:color="auto" w:fill="FFFFFF"/>
            <w:vAlign w:val="center"/>
          </w:tcPr>
          <w:p w14:paraId="1CCB97E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498E3DF9"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70EC4BE0" w14:textId="77777777" w:rsidR="002644DE" w:rsidRPr="002644DE" w:rsidRDefault="009B3573" w:rsidP="002644DE">
            <w:pPr>
              <w:spacing w:after="0" w:line="240" w:lineRule="auto"/>
              <w:rPr>
                <w:rFonts w:ascii="Times New Roman" w:eastAsia="Calibri" w:hAnsi="Times New Roman" w:cs="Times New Roman"/>
                <w:sz w:val="20"/>
                <w:szCs w:val="18"/>
              </w:rPr>
            </w:pPr>
            <w:r w:rsidRPr="004071FE">
              <w:rPr>
                <w:rFonts w:ascii="Times New Roman" w:eastAsia="Calibri" w:hAnsi="Times New Roman" w:cs="Times New Roman"/>
                <w:sz w:val="20"/>
                <w:szCs w:val="18"/>
              </w:rPr>
              <w:t>Bez vplyvu</w:t>
            </w:r>
          </w:p>
        </w:tc>
      </w:tr>
      <w:tr w:rsidR="002644DE" w:rsidRPr="002644DE" w14:paraId="745B0440" w14:textId="77777777" w:rsidTr="00C5327D">
        <w:trPr>
          <w:trHeight w:val="270"/>
          <w:jc w:val="center"/>
        </w:trPr>
        <w:tc>
          <w:tcPr>
            <w:tcW w:w="129" w:type="pct"/>
            <w:tcBorders>
              <w:bottom w:val="single" w:sz="4" w:space="0" w:color="auto"/>
            </w:tcBorders>
            <w:shd w:val="clear" w:color="auto" w:fill="F2F2F2"/>
            <w:vAlign w:val="center"/>
          </w:tcPr>
          <w:p w14:paraId="755A1C7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1D0217E2"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7B55ABE8" w14:textId="77777777" w:rsidTr="00C5327D">
        <w:trPr>
          <w:trHeight w:val="454"/>
          <w:jc w:val="center"/>
        </w:trPr>
        <w:tc>
          <w:tcPr>
            <w:tcW w:w="129" w:type="pct"/>
            <w:tcBorders>
              <w:bottom w:val="single" w:sz="4" w:space="0" w:color="auto"/>
            </w:tcBorders>
            <w:shd w:val="clear" w:color="auto" w:fill="FFFFFF"/>
            <w:vAlign w:val="center"/>
          </w:tcPr>
          <w:p w14:paraId="62BF129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573846A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24FC3A4F" w14:textId="77777777" w:rsidR="002644DE" w:rsidRPr="00C4182B" w:rsidRDefault="00C4182B" w:rsidP="00CC4710">
            <w:pPr>
              <w:spacing w:after="0" w:line="240" w:lineRule="auto"/>
              <w:jc w:val="both"/>
              <w:rPr>
                <w:rFonts w:ascii="Times New Roman" w:eastAsia="Calibri" w:hAnsi="Times New Roman" w:cs="Times New Roman"/>
                <w:sz w:val="20"/>
                <w:szCs w:val="20"/>
              </w:rPr>
            </w:pPr>
            <w:r w:rsidRPr="004071FE">
              <w:rPr>
                <w:rFonts w:ascii="Times New Roman" w:hAnsi="Times New Roman"/>
                <w:sz w:val="20"/>
                <w:szCs w:val="20"/>
              </w:rPr>
              <w:t xml:space="preserve">Nie je možné úplne vylúčiť negatívny vplyv na zamestnanosť v odvetviach s nízkymi priemernými mzdami, napr. v odvetví ubytovacích a stravovacích služieb. </w:t>
            </w:r>
            <w:r w:rsidRPr="004071FE">
              <w:rPr>
                <w:rFonts w:ascii="Times New Roman" w:hAnsi="Times New Roman"/>
                <w:bCs/>
                <w:iCs/>
                <w:sz w:val="20"/>
                <w:szCs w:val="20"/>
              </w:rPr>
              <w:t>P</w:t>
            </w:r>
            <w:r w:rsidRPr="004071FE">
              <w:rPr>
                <w:rFonts w:ascii="Times New Roman" w:hAnsi="Times New Roman"/>
                <w:bCs/>
                <w:sz w:val="20"/>
                <w:szCs w:val="20"/>
              </w:rPr>
              <w:t>redpokladá sa však, že celkový negatívny vplyv na zamestnanosť bude zanedbateľný.</w:t>
            </w:r>
          </w:p>
        </w:tc>
      </w:tr>
      <w:tr w:rsidR="002644DE" w:rsidRPr="002644DE" w14:paraId="2A8D3B10" w14:textId="77777777" w:rsidTr="00C5327D">
        <w:trPr>
          <w:trHeight w:val="248"/>
          <w:jc w:val="center"/>
        </w:trPr>
        <w:tc>
          <w:tcPr>
            <w:tcW w:w="129" w:type="pct"/>
            <w:tcBorders>
              <w:bottom w:val="single" w:sz="4" w:space="0" w:color="auto"/>
            </w:tcBorders>
            <w:shd w:val="clear" w:color="auto" w:fill="F2F2F2"/>
            <w:vAlign w:val="center"/>
          </w:tcPr>
          <w:p w14:paraId="20B0E0D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3CAF423F"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4183B9F3" w14:textId="77777777" w:rsidTr="00C5327D">
        <w:trPr>
          <w:trHeight w:val="209"/>
          <w:jc w:val="center"/>
        </w:trPr>
        <w:tc>
          <w:tcPr>
            <w:tcW w:w="129" w:type="pct"/>
            <w:tcBorders>
              <w:bottom w:val="single" w:sz="4" w:space="0" w:color="auto"/>
            </w:tcBorders>
            <w:shd w:val="clear" w:color="auto" w:fill="FFFFFF"/>
            <w:vAlign w:val="center"/>
          </w:tcPr>
          <w:p w14:paraId="071F95E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61C7790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3C7A7914" w14:textId="77777777" w:rsidR="002644DE" w:rsidRPr="004071FE" w:rsidRDefault="00C4182B" w:rsidP="00CC4710">
            <w:pPr>
              <w:spacing w:after="0" w:line="240" w:lineRule="auto"/>
              <w:jc w:val="both"/>
              <w:rPr>
                <w:rFonts w:ascii="Times New Roman" w:eastAsia="Calibri" w:hAnsi="Times New Roman" w:cs="Times New Roman"/>
                <w:sz w:val="20"/>
                <w:szCs w:val="18"/>
              </w:rPr>
            </w:pPr>
            <w:r w:rsidRPr="004071FE">
              <w:rPr>
                <w:rFonts w:ascii="Times New Roman" w:eastAsia="Calibri" w:hAnsi="Times New Roman" w:cs="Times New Roman"/>
                <w:sz w:val="20"/>
                <w:szCs w:val="18"/>
              </w:rPr>
              <w:t xml:space="preserve">Nie je preto možné úplne vylúčiť ani negatívny vplyv zvýšenia sumy minimálnej mzdy na dopyt po práci, a to najmä nízko kvalifikovaných zamestnancov v regiónoch s nízkou priemernou mzdou. </w:t>
            </w:r>
            <w:r w:rsidRPr="004071FE">
              <w:rPr>
                <w:rFonts w:ascii="Times New Roman" w:hAnsi="Times New Roman"/>
                <w:bCs/>
                <w:iCs/>
                <w:sz w:val="20"/>
                <w:szCs w:val="20"/>
              </w:rPr>
              <w:t>P</w:t>
            </w:r>
            <w:r w:rsidRPr="004071FE">
              <w:rPr>
                <w:rFonts w:ascii="Times New Roman" w:hAnsi="Times New Roman"/>
                <w:bCs/>
                <w:sz w:val="20"/>
                <w:szCs w:val="20"/>
              </w:rPr>
              <w:t>redpokladá sa však, že celkový negatívny vplyv na zamestnanosť bude zanedbateľný.</w:t>
            </w:r>
          </w:p>
        </w:tc>
      </w:tr>
      <w:tr w:rsidR="002644DE" w:rsidRPr="002644DE" w14:paraId="43D61395" w14:textId="77777777" w:rsidTr="00C5327D">
        <w:trPr>
          <w:trHeight w:val="208"/>
          <w:jc w:val="center"/>
        </w:trPr>
        <w:tc>
          <w:tcPr>
            <w:tcW w:w="129" w:type="pct"/>
            <w:tcBorders>
              <w:bottom w:val="single" w:sz="4" w:space="0" w:color="auto"/>
            </w:tcBorders>
            <w:shd w:val="clear" w:color="auto" w:fill="F2F2F2"/>
            <w:vAlign w:val="center"/>
          </w:tcPr>
          <w:p w14:paraId="7581764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02A30A7D"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25D2B2BE" w14:textId="77777777" w:rsidTr="00C5327D">
        <w:trPr>
          <w:trHeight w:val="794"/>
          <w:jc w:val="center"/>
        </w:trPr>
        <w:tc>
          <w:tcPr>
            <w:tcW w:w="129" w:type="pct"/>
            <w:tcBorders>
              <w:bottom w:val="single" w:sz="4" w:space="0" w:color="auto"/>
            </w:tcBorders>
            <w:shd w:val="clear" w:color="auto" w:fill="FFFFFF"/>
            <w:vAlign w:val="center"/>
          </w:tcPr>
          <w:p w14:paraId="06BA217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2DA3612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6FD3A7A1" w14:textId="77777777" w:rsidR="002644DE" w:rsidRPr="00CC4710" w:rsidRDefault="00DD5A61" w:rsidP="00CC4710">
            <w:pPr>
              <w:spacing w:after="0" w:line="240" w:lineRule="auto"/>
              <w:jc w:val="both"/>
              <w:rPr>
                <w:rFonts w:ascii="Times New Roman" w:eastAsia="Calibri" w:hAnsi="Times New Roman" w:cs="Times New Roman"/>
                <w:sz w:val="20"/>
                <w:szCs w:val="20"/>
              </w:rPr>
            </w:pPr>
            <w:r w:rsidRPr="00CC4710">
              <w:rPr>
                <w:rFonts w:ascii="Times New Roman" w:hAnsi="Times New Roman"/>
                <w:sz w:val="20"/>
                <w:szCs w:val="20"/>
              </w:rPr>
              <w:t>V dôsledku zvýšenia minimálnej mzdy zamestnanca, ako spodnej hranice celkového nároku na mzdu môže kladne vplývať na motiváciu nezamestnaných osôb prijať prácu za mzdu na úrovni minimálnej mzdy.</w:t>
            </w:r>
          </w:p>
        </w:tc>
      </w:tr>
      <w:tr w:rsidR="002644DE" w:rsidRPr="002644DE" w14:paraId="0398FE52" w14:textId="77777777" w:rsidTr="00C5327D">
        <w:trPr>
          <w:trHeight w:val="324"/>
          <w:jc w:val="center"/>
        </w:trPr>
        <w:tc>
          <w:tcPr>
            <w:tcW w:w="129" w:type="pct"/>
            <w:tcBorders>
              <w:bottom w:val="single" w:sz="4" w:space="0" w:color="auto"/>
            </w:tcBorders>
            <w:shd w:val="clear" w:color="auto" w:fill="F2F2F2"/>
            <w:vAlign w:val="center"/>
          </w:tcPr>
          <w:p w14:paraId="1F1FE231"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25352A00"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055C12FF" w14:textId="77777777" w:rsidTr="00C5327D">
        <w:trPr>
          <w:trHeight w:val="216"/>
          <w:jc w:val="center"/>
        </w:trPr>
        <w:tc>
          <w:tcPr>
            <w:tcW w:w="129" w:type="pct"/>
            <w:tcBorders>
              <w:bottom w:val="single" w:sz="4" w:space="0" w:color="auto"/>
            </w:tcBorders>
            <w:shd w:val="clear" w:color="auto" w:fill="FFFFFF"/>
            <w:vAlign w:val="center"/>
          </w:tcPr>
          <w:p w14:paraId="1F614BB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72A32AC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78AC4EE8"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2E55B5A3" w14:textId="77777777" w:rsidTr="00C5327D">
        <w:trPr>
          <w:trHeight w:val="219"/>
          <w:jc w:val="center"/>
        </w:trPr>
        <w:tc>
          <w:tcPr>
            <w:tcW w:w="129" w:type="pct"/>
            <w:tcBorders>
              <w:bottom w:val="single" w:sz="4" w:space="0" w:color="auto"/>
            </w:tcBorders>
            <w:shd w:val="clear" w:color="auto" w:fill="F2F2F2"/>
            <w:vAlign w:val="center"/>
          </w:tcPr>
          <w:p w14:paraId="385165B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25B8670A"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799FD16B" w14:textId="77777777" w:rsidTr="00C5327D">
        <w:trPr>
          <w:trHeight w:val="497"/>
          <w:jc w:val="center"/>
        </w:trPr>
        <w:tc>
          <w:tcPr>
            <w:tcW w:w="129" w:type="pct"/>
            <w:tcBorders>
              <w:bottom w:val="single" w:sz="4" w:space="0" w:color="auto"/>
            </w:tcBorders>
            <w:shd w:val="clear" w:color="auto" w:fill="FFFFFF"/>
            <w:vAlign w:val="center"/>
          </w:tcPr>
          <w:p w14:paraId="2926013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320A3E8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4E0D91D1" w14:textId="77777777" w:rsidR="002644DE" w:rsidRPr="002644DE" w:rsidRDefault="00C4182B" w:rsidP="00CC4710">
            <w:pPr>
              <w:spacing w:after="0" w:line="240" w:lineRule="auto"/>
              <w:jc w:val="both"/>
              <w:rPr>
                <w:rFonts w:ascii="Times New Roman" w:eastAsia="Calibri" w:hAnsi="Times New Roman" w:cs="Times New Roman"/>
                <w:sz w:val="20"/>
                <w:szCs w:val="18"/>
              </w:rPr>
            </w:pPr>
            <w:r w:rsidRPr="004071FE">
              <w:rPr>
                <w:rFonts w:ascii="Times New Roman" w:hAnsi="Times New Roman"/>
                <w:sz w:val="20"/>
                <w:szCs w:val="20"/>
              </w:rPr>
              <w:t>Nie je možné úplne vylúčiť negatívny vplyv na absolventov s nízkou kvalifikáciou pre zaradenie sa do pracovného procesu v regiónoch s nízkou priemernou mzdou. Predpokladá sa, že negatívny vplyv bude zanedbateľný.</w:t>
            </w:r>
          </w:p>
        </w:tc>
      </w:tr>
    </w:tbl>
    <w:p w14:paraId="160802D2" w14:textId="77777777" w:rsidR="00C5327D" w:rsidRDefault="00C5327D" w:rsidP="00CC4710">
      <w:pPr>
        <w:spacing w:after="0" w:line="240" w:lineRule="auto"/>
        <w:outlineLvl w:val="0"/>
      </w:pPr>
    </w:p>
    <w:sectPr w:rsidR="00C532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28C3C" w14:textId="77777777" w:rsidR="00CC7011" w:rsidRDefault="00CC7011" w:rsidP="002644DE">
      <w:pPr>
        <w:spacing w:after="0" w:line="240" w:lineRule="auto"/>
      </w:pPr>
      <w:r>
        <w:separator/>
      </w:r>
    </w:p>
  </w:endnote>
  <w:endnote w:type="continuationSeparator" w:id="0">
    <w:p w14:paraId="22A548FE" w14:textId="77777777" w:rsidR="00CC7011" w:rsidRDefault="00CC7011"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775248"/>
      <w:docPartObj>
        <w:docPartGallery w:val="Page Numbers (Bottom of Page)"/>
        <w:docPartUnique/>
      </w:docPartObj>
    </w:sdtPr>
    <w:sdtEndPr/>
    <w:sdtContent>
      <w:p w14:paraId="51E6591D" w14:textId="57D1D90C" w:rsidR="00A10F8E" w:rsidRDefault="00A10F8E">
        <w:pPr>
          <w:pStyle w:val="Pta"/>
          <w:jc w:val="center"/>
        </w:pPr>
        <w:r>
          <w:fldChar w:fldCharType="begin"/>
        </w:r>
        <w:r>
          <w:instrText>PAGE   \* MERGEFORMAT</w:instrText>
        </w:r>
        <w:r>
          <w:fldChar w:fldCharType="separate"/>
        </w:r>
        <w:r w:rsidR="00C420EC">
          <w:rPr>
            <w:noProof/>
          </w:rPr>
          <w:t>3</w:t>
        </w:r>
        <w:r>
          <w:fldChar w:fldCharType="end"/>
        </w:r>
      </w:p>
    </w:sdtContent>
  </w:sdt>
  <w:p w14:paraId="4FE28F24" w14:textId="631258D2" w:rsidR="00E37C8B" w:rsidRPr="001D6749" w:rsidRDefault="00E37C8B">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32971"/>
      <w:docPartObj>
        <w:docPartGallery w:val="Page Numbers (Bottom of Page)"/>
        <w:docPartUnique/>
      </w:docPartObj>
    </w:sdtPr>
    <w:sdtEndPr/>
    <w:sdtContent>
      <w:p w14:paraId="22476ED3" w14:textId="080A82ED" w:rsidR="00A10F8E" w:rsidRDefault="00A10F8E">
        <w:pPr>
          <w:pStyle w:val="Pta"/>
          <w:jc w:val="center"/>
        </w:pPr>
        <w:r>
          <w:fldChar w:fldCharType="begin"/>
        </w:r>
        <w:r>
          <w:instrText>PAGE   \* MERGEFORMAT</w:instrText>
        </w:r>
        <w:r>
          <w:fldChar w:fldCharType="separate"/>
        </w:r>
        <w:r w:rsidR="00C420EC">
          <w:rPr>
            <w:noProof/>
          </w:rPr>
          <w:t>6</w:t>
        </w:r>
        <w:r>
          <w:fldChar w:fldCharType="end"/>
        </w:r>
      </w:p>
    </w:sdtContent>
  </w:sdt>
  <w:p w14:paraId="27941EEB" w14:textId="0E31A9B0" w:rsidR="00E37C8B" w:rsidRPr="001D6749" w:rsidRDefault="00E37C8B">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EAB41" w14:textId="77777777" w:rsidR="00CC7011" w:rsidRDefault="00CC7011" w:rsidP="002644DE">
      <w:pPr>
        <w:spacing w:after="0" w:line="240" w:lineRule="auto"/>
      </w:pPr>
      <w:r>
        <w:separator/>
      </w:r>
    </w:p>
  </w:footnote>
  <w:footnote w:type="continuationSeparator" w:id="0">
    <w:p w14:paraId="1BFFE5FD" w14:textId="77777777" w:rsidR="00CC7011" w:rsidRDefault="00CC7011"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6618" w14:textId="77777777" w:rsidR="00E37C8B" w:rsidRPr="00433C47" w:rsidRDefault="00E37C8B"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5149"/>
    <w:rsid w:val="00045E7F"/>
    <w:rsid w:val="00060EEC"/>
    <w:rsid w:val="00062A5D"/>
    <w:rsid w:val="00093B42"/>
    <w:rsid w:val="000C43A8"/>
    <w:rsid w:val="001808B7"/>
    <w:rsid w:val="001A3E1D"/>
    <w:rsid w:val="002644DE"/>
    <w:rsid w:val="00282B44"/>
    <w:rsid w:val="00284464"/>
    <w:rsid w:val="002B7A35"/>
    <w:rsid w:val="002E024A"/>
    <w:rsid w:val="0036791C"/>
    <w:rsid w:val="00382021"/>
    <w:rsid w:val="003D79CD"/>
    <w:rsid w:val="0040256B"/>
    <w:rsid w:val="004071FE"/>
    <w:rsid w:val="00411A04"/>
    <w:rsid w:val="00433C47"/>
    <w:rsid w:val="004444C3"/>
    <w:rsid w:val="00480A41"/>
    <w:rsid w:val="004D38A3"/>
    <w:rsid w:val="0057523E"/>
    <w:rsid w:val="005F4AA7"/>
    <w:rsid w:val="00636449"/>
    <w:rsid w:val="00642F74"/>
    <w:rsid w:val="006A72CF"/>
    <w:rsid w:val="006E45CE"/>
    <w:rsid w:val="00760A38"/>
    <w:rsid w:val="00765CC6"/>
    <w:rsid w:val="00786CEC"/>
    <w:rsid w:val="007B60E5"/>
    <w:rsid w:val="007E57E7"/>
    <w:rsid w:val="007F58AE"/>
    <w:rsid w:val="007F6319"/>
    <w:rsid w:val="00802154"/>
    <w:rsid w:val="008801B5"/>
    <w:rsid w:val="008C2ED9"/>
    <w:rsid w:val="009477BF"/>
    <w:rsid w:val="0095188C"/>
    <w:rsid w:val="00953DAC"/>
    <w:rsid w:val="00982A08"/>
    <w:rsid w:val="009B3573"/>
    <w:rsid w:val="009B5F3B"/>
    <w:rsid w:val="009C7687"/>
    <w:rsid w:val="009E09F7"/>
    <w:rsid w:val="00A10F8E"/>
    <w:rsid w:val="00A54965"/>
    <w:rsid w:val="00A60BD0"/>
    <w:rsid w:val="00A9062A"/>
    <w:rsid w:val="00B03EF1"/>
    <w:rsid w:val="00B21FDC"/>
    <w:rsid w:val="00B3199C"/>
    <w:rsid w:val="00B455FA"/>
    <w:rsid w:val="00B544B9"/>
    <w:rsid w:val="00BC0320"/>
    <w:rsid w:val="00BD0EF0"/>
    <w:rsid w:val="00BD141A"/>
    <w:rsid w:val="00BD1855"/>
    <w:rsid w:val="00C00982"/>
    <w:rsid w:val="00C4182B"/>
    <w:rsid w:val="00C420EC"/>
    <w:rsid w:val="00C50ED3"/>
    <w:rsid w:val="00C5327D"/>
    <w:rsid w:val="00CC4710"/>
    <w:rsid w:val="00CC5E8A"/>
    <w:rsid w:val="00CC7011"/>
    <w:rsid w:val="00CF2C25"/>
    <w:rsid w:val="00D04EFF"/>
    <w:rsid w:val="00D86878"/>
    <w:rsid w:val="00DD3CE8"/>
    <w:rsid w:val="00DD5A61"/>
    <w:rsid w:val="00E177BA"/>
    <w:rsid w:val="00E3276B"/>
    <w:rsid w:val="00E37C8B"/>
    <w:rsid w:val="00EB7278"/>
    <w:rsid w:val="00F05B6E"/>
    <w:rsid w:val="00F12996"/>
    <w:rsid w:val="00F55E30"/>
    <w:rsid w:val="00F67460"/>
    <w:rsid w:val="00FB0C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0A4E"/>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table" w:styleId="Mriekatabuky">
    <w:name w:val="Table Grid"/>
    <w:basedOn w:val="Normlnatabuka"/>
    <w:uiPriority w:val="39"/>
    <w:rsid w:val="00B31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21FD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1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7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4573B1F-B712-4AE9-9128-E29108E4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2631</Words>
  <Characters>14998</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Toman Jozef</cp:lastModifiedBy>
  <cp:revision>2</cp:revision>
  <cp:lastPrinted>2024-03-07T13:20:00Z</cp:lastPrinted>
  <dcterms:created xsi:type="dcterms:W3CDTF">2024-04-26T08:40:00Z</dcterms:created>
  <dcterms:modified xsi:type="dcterms:W3CDTF">2024-04-26T08:40:00Z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