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5A283"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22516163" w14:textId="4FE5F545" w:rsidR="00054C41" w:rsidRPr="009C0612"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9C0612" w:rsidRPr="00343D9F">
        <w:rPr>
          <w:rFonts w:ascii="Times New Roman" w:eastAsia="Calibri" w:hAnsi="Times New Roman" w:cs="Times New Roman"/>
          <w:sz w:val="24"/>
          <w:szCs w:val="24"/>
        </w:rPr>
        <w:t xml:space="preserve"> </w:t>
      </w:r>
      <w:bookmarkStart w:id="0" w:name="_GoBack"/>
      <w:bookmarkEnd w:id="0"/>
      <w:r w:rsidR="00343D9F" w:rsidRPr="00343D9F">
        <w:rPr>
          <w:rFonts w:ascii="Times New Roman" w:eastAsia="Calibri" w:hAnsi="Times New Roman" w:cs="Times New Roman"/>
          <w:sz w:val="24"/>
          <w:szCs w:val="24"/>
        </w:rPr>
        <w:t>Vládny n</w:t>
      </w:r>
      <w:r w:rsidR="009C0612" w:rsidRPr="00343D9F">
        <w:rPr>
          <w:rFonts w:ascii="Times New Roman" w:eastAsia="Calibri" w:hAnsi="Times New Roman" w:cs="Times New Roman"/>
          <w:bCs/>
          <w:sz w:val="24"/>
          <w:szCs w:val="24"/>
        </w:rPr>
        <w:t>á</w:t>
      </w:r>
      <w:r w:rsidR="009C0612" w:rsidRPr="009C0612">
        <w:rPr>
          <w:rFonts w:ascii="Times New Roman" w:eastAsia="Calibri" w:hAnsi="Times New Roman" w:cs="Times New Roman"/>
          <w:bCs/>
          <w:sz w:val="24"/>
          <w:szCs w:val="24"/>
        </w:rPr>
        <w:t xml:space="preserve">vrh zákona, ktorým sa mení a dopĺňa zákon č. 663/2007 Z. z. o minimálnej mzde v znení neskorších predpisov a ktorým sa menia a dopĺňajú niektoré zákony   </w:t>
      </w:r>
    </w:p>
    <w:p w14:paraId="2711DC2C" w14:textId="24BC50BC" w:rsidR="00054C41" w:rsidRPr="009C0612" w:rsidRDefault="00054C41" w:rsidP="00054C41">
      <w:pPr>
        <w:jc w:val="both"/>
        <w:rPr>
          <w:rFonts w:ascii="Times New Roman" w:eastAsia="Calibri" w:hAnsi="Times New Roman" w:cs="Times New Roman"/>
          <w:bCs/>
          <w:sz w:val="24"/>
          <w:szCs w:val="24"/>
        </w:rPr>
      </w:pPr>
      <w:r w:rsidRPr="001F1B43">
        <w:rPr>
          <w:rFonts w:ascii="Times New Roman" w:eastAsia="Calibri" w:hAnsi="Times New Roman" w:cs="Times New Roman"/>
          <w:b/>
          <w:sz w:val="24"/>
          <w:szCs w:val="24"/>
        </w:rPr>
        <w:t>Predkladateľ:</w:t>
      </w:r>
      <w:r w:rsidR="009C0612">
        <w:rPr>
          <w:rFonts w:ascii="Times New Roman" w:eastAsia="Calibri" w:hAnsi="Times New Roman" w:cs="Times New Roman"/>
          <w:b/>
          <w:sz w:val="24"/>
          <w:szCs w:val="24"/>
        </w:rPr>
        <w:t xml:space="preserve"> </w:t>
      </w:r>
      <w:r w:rsidR="009C0612" w:rsidRPr="009C0612">
        <w:rPr>
          <w:rFonts w:ascii="Times New Roman" w:eastAsia="Calibri" w:hAnsi="Times New Roman" w:cs="Times New Roman"/>
          <w:bCs/>
          <w:sz w:val="24"/>
          <w:szCs w:val="24"/>
        </w:rPr>
        <w:t>Ministerstvo</w:t>
      </w:r>
      <w:r w:rsidR="008D197E">
        <w:rPr>
          <w:rFonts w:ascii="Times New Roman" w:eastAsia="Calibri" w:hAnsi="Times New Roman" w:cs="Times New Roman"/>
          <w:bCs/>
          <w:sz w:val="24"/>
          <w:szCs w:val="24"/>
        </w:rPr>
        <w:t xml:space="preserve"> práce, sociálnych vecí a rodiny Slovenskej republiky</w:t>
      </w:r>
      <w:r w:rsidR="009C0612" w:rsidRPr="009C0612">
        <w:rPr>
          <w:rFonts w:ascii="Times New Roman" w:eastAsia="Calibri" w:hAnsi="Times New Roman" w:cs="Times New Roman"/>
          <w:bCs/>
          <w:sz w:val="24"/>
          <w:szCs w:val="24"/>
        </w:rPr>
        <w:t xml:space="preserve"> </w:t>
      </w:r>
    </w:p>
    <w:p w14:paraId="73384937" w14:textId="77777777" w:rsidR="00054C41" w:rsidRPr="001F1B43" w:rsidRDefault="00054C41" w:rsidP="00054C41">
      <w:pPr>
        <w:jc w:val="both"/>
        <w:rPr>
          <w:rFonts w:ascii="Times New Roman" w:eastAsia="Calibri" w:hAnsi="Times New Roman" w:cs="Times New Roman"/>
          <w:b/>
          <w:sz w:val="24"/>
          <w:szCs w:val="24"/>
        </w:rPr>
      </w:pPr>
    </w:p>
    <w:p w14:paraId="515DBCE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1A77DC61"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14:paraId="74CF9C31" w14:textId="77777777" w:rsidTr="003A3124">
        <w:trPr>
          <w:trHeight w:val="270"/>
        </w:trPr>
        <w:tc>
          <w:tcPr>
            <w:tcW w:w="146" w:type="dxa"/>
            <w:tcBorders>
              <w:top w:val="nil"/>
              <w:left w:val="nil"/>
              <w:bottom w:val="nil"/>
              <w:right w:val="nil"/>
            </w:tcBorders>
            <w:shd w:val="clear" w:color="auto" w:fill="auto"/>
            <w:noWrap/>
            <w:vAlign w:val="bottom"/>
            <w:hideMark/>
          </w:tcPr>
          <w:p w14:paraId="034E36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6A850EB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0D937DC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E4CCAE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130FEB3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4BE54FF"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14:paraId="7BEF3D83" w14:textId="77777777" w:rsidTr="00804BC8">
        <w:trPr>
          <w:gridAfter w:val="2"/>
          <w:wAfter w:w="583" w:type="dxa"/>
          <w:trHeight w:val="451"/>
        </w:trPr>
        <w:tc>
          <w:tcPr>
            <w:tcW w:w="146" w:type="dxa"/>
            <w:tcBorders>
              <w:top w:val="nil"/>
              <w:left w:val="nil"/>
              <w:bottom w:val="nil"/>
              <w:right w:val="nil"/>
            </w:tcBorders>
            <w:shd w:val="clear" w:color="auto" w:fill="auto"/>
            <w:noWrap/>
            <w:vAlign w:val="bottom"/>
            <w:hideMark/>
          </w:tcPr>
          <w:p w14:paraId="5BA7F0A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C8CD7A" w14:textId="77777777"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67F96BD" w14:textId="77777777" w:rsidR="00C929AE" w:rsidRPr="00F169FD" w:rsidRDefault="00C929AE" w:rsidP="00C929AE">
            <w:pPr>
              <w:spacing w:after="0" w:line="240" w:lineRule="auto"/>
              <w:jc w:val="center"/>
              <w:rPr>
                <w:rFonts w:ascii="Times New Roman" w:eastAsia="Times New Roman" w:hAnsi="Times New Roman" w:cs="Times New Roman"/>
                <w:b/>
                <w:bCs/>
                <w:color w:val="000000"/>
                <w:sz w:val="24"/>
                <w:szCs w:val="24"/>
                <w:lang w:eastAsia="sk-SK"/>
              </w:rPr>
            </w:pPr>
            <w:r w:rsidRPr="00F169FD">
              <w:rPr>
                <w:rFonts w:ascii="Times New Roman" w:eastAsia="Times New Roman" w:hAnsi="Times New Roman" w:cs="Times New Roman"/>
                <w:b/>
                <w:bCs/>
                <w:color w:val="000000"/>
                <w:sz w:val="24"/>
                <w:szCs w:val="24"/>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7C6AD32" w14:textId="77777777" w:rsidR="00C929AE" w:rsidRPr="00F169FD" w:rsidRDefault="00C929AE" w:rsidP="00C929AE">
            <w:pPr>
              <w:spacing w:after="0" w:line="240" w:lineRule="auto"/>
              <w:jc w:val="center"/>
              <w:rPr>
                <w:rFonts w:ascii="Times New Roman" w:eastAsia="Times New Roman" w:hAnsi="Times New Roman" w:cs="Times New Roman"/>
                <w:b/>
                <w:bCs/>
                <w:color w:val="000000"/>
                <w:sz w:val="24"/>
                <w:szCs w:val="24"/>
                <w:lang w:eastAsia="sk-SK"/>
              </w:rPr>
            </w:pPr>
            <w:r w:rsidRPr="00F169FD">
              <w:rPr>
                <w:rFonts w:ascii="Times New Roman" w:eastAsia="Times New Roman" w:hAnsi="Times New Roman" w:cs="Times New Roman"/>
                <w:b/>
                <w:bCs/>
                <w:color w:val="000000"/>
                <w:sz w:val="24"/>
                <w:szCs w:val="24"/>
                <w:lang w:eastAsia="sk-SK"/>
              </w:rPr>
              <w:t>Zníženie nákladov v € na PP</w:t>
            </w:r>
          </w:p>
        </w:tc>
      </w:tr>
      <w:tr w:rsidR="00E20B11" w:rsidRPr="00C929AE" w14:paraId="0F790483" w14:textId="77777777" w:rsidTr="00842211">
        <w:trPr>
          <w:gridAfter w:val="2"/>
          <w:wAfter w:w="583" w:type="dxa"/>
          <w:trHeight w:val="600"/>
        </w:trPr>
        <w:tc>
          <w:tcPr>
            <w:tcW w:w="146" w:type="dxa"/>
            <w:tcBorders>
              <w:top w:val="nil"/>
              <w:left w:val="nil"/>
              <w:bottom w:val="nil"/>
              <w:right w:val="nil"/>
            </w:tcBorders>
            <w:shd w:val="clear" w:color="auto" w:fill="auto"/>
            <w:noWrap/>
            <w:vAlign w:val="bottom"/>
            <w:hideMark/>
          </w:tcPr>
          <w:p w14:paraId="2417CF71" w14:textId="77777777" w:rsidR="00E20B11" w:rsidRPr="00C929AE" w:rsidRDefault="00E20B11" w:rsidP="00E20B11">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07DD77A" w14:textId="77777777" w:rsidR="00E20B11" w:rsidRPr="00C929AE" w:rsidRDefault="00E20B11" w:rsidP="00E20B11">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C929AE">
              <w:rPr>
                <w:rFonts w:ascii="Times New Roman" w:eastAsia="Times New Roman" w:hAnsi="Times New Roman" w:cs="Times New Roman"/>
                <w:b/>
                <w:bCs/>
                <w:i/>
                <w:iCs/>
                <w:color w:val="000000"/>
                <w:sz w:val="20"/>
                <w:szCs w:val="20"/>
                <w:lang w:eastAsia="sk-SK"/>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hideMark/>
          </w:tcPr>
          <w:p w14:paraId="36C02A5A" w14:textId="22E28FF3" w:rsidR="00E20B11" w:rsidRPr="00E20B11" w:rsidRDefault="00E20B11" w:rsidP="00E20B11">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0</w:t>
            </w:r>
          </w:p>
        </w:tc>
        <w:tc>
          <w:tcPr>
            <w:tcW w:w="2622" w:type="dxa"/>
            <w:gridSpan w:val="3"/>
            <w:tcBorders>
              <w:top w:val="single" w:sz="4" w:space="0" w:color="auto"/>
              <w:left w:val="nil"/>
              <w:bottom w:val="single" w:sz="4" w:space="0" w:color="auto"/>
              <w:right w:val="single" w:sz="8" w:space="0" w:color="000000"/>
            </w:tcBorders>
            <w:shd w:val="clear" w:color="000000" w:fill="92D050"/>
            <w:hideMark/>
          </w:tcPr>
          <w:p w14:paraId="0525A008" w14:textId="20BB9728" w:rsidR="00E20B11" w:rsidRPr="00E20B11" w:rsidRDefault="00E20B11" w:rsidP="00E20B11">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0</w:t>
            </w:r>
          </w:p>
        </w:tc>
      </w:tr>
      <w:tr w:rsidR="00E20B11" w:rsidRPr="00C929AE" w14:paraId="37B64D12" w14:textId="77777777" w:rsidTr="00842211">
        <w:trPr>
          <w:gridAfter w:val="2"/>
          <w:wAfter w:w="583" w:type="dxa"/>
          <w:trHeight w:val="420"/>
        </w:trPr>
        <w:tc>
          <w:tcPr>
            <w:tcW w:w="146" w:type="dxa"/>
            <w:tcBorders>
              <w:top w:val="nil"/>
              <w:left w:val="nil"/>
              <w:bottom w:val="nil"/>
              <w:right w:val="nil"/>
            </w:tcBorders>
            <w:shd w:val="clear" w:color="auto" w:fill="auto"/>
            <w:noWrap/>
            <w:vAlign w:val="bottom"/>
            <w:hideMark/>
          </w:tcPr>
          <w:p w14:paraId="30AED282" w14:textId="77777777" w:rsidR="00E20B11" w:rsidRPr="00C929AE" w:rsidRDefault="00E20B11" w:rsidP="00E20B11">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3DCE928E" w14:textId="77777777" w:rsidR="00E20B11" w:rsidRPr="00C929AE" w:rsidRDefault="00E20B11" w:rsidP="00E20B11">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hideMark/>
          </w:tcPr>
          <w:p w14:paraId="38D91672" w14:textId="131F2ADB" w:rsidR="00E20B11" w:rsidRPr="00E20B11" w:rsidRDefault="00E20B11" w:rsidP="00E20B11">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110 536 764</w:t>
            </w:r>
          </w:p>
        </w:tc>
        <w:tc>
          <w:tcPr>
            <w:tcW w:w="2622" w:type="dxa"/>
            <w:gridSpan w:val="3"/>
            <w:tcBorders>
              <w:top w:val="single" w:sz="4" w:space="0" w:color="auto"/>
              <w:left w:val="nil"/>
              <w:bottom w:val="single" w:sz="4" w:space="0" w:color="auto"/>
              <w:right w:val="single" w:sz="8" w:space="0" w:color="000000"/>
            </w:tcBorders>
            <w:shd w:val="clear" w:color="000000" w:fill="92D050"/>
            <w:hideMark/>
          </w:tcPr>
          <w:p w14:paraId="7B3EEA7A" w14:textId="1B13F04F" w:rsidR="00E20B11" w:rsidRPr="00E20B11" w:rsidRDefault="00E20B11" w:rsidP="00E20B11">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0</w:t>
            </w:r>
          </w:p>
        </w:tc>
      </w:tr>
      <w:tr w:rsidR="00E20B11" w:rsidRPr="00C929AE" w14:paraId="21231540" w14:textId="77777777" w:rsidTr="00842211">
        <w:trPr>
          <w:gridAfter w:val="2"/>
          <w:wAfter w:w="583" w:type="dxa"/>
          <w:trHeight w:val="435"/>
        </w:trPr>
        <w:tc>
          <w:tcPr>
            <w:tcW w:w="146" w:type="dxa"/>
            <w:tcBorders>
              <w:top w:val="nil"/>
              <w:left w:val="nil"/>
              <w:bottom w:val="nil"/>
              <w:right w:val="nil"/>
            </w:tcBorders>
            <w:shd w:val="clear" w:color="auto" w:fill="auto"/>
            <w:noWrap/>
            <w:vAlign w:val="bottom"/>
            <w:hideMark/>
          </w:tcPr>
          <w:p w14:paraId="67B78407" w14:textId="77777777" w:rsidR="00E20B11" w:rsidRPr="00C929AE" w:rsidRDefault="00E20B11" w:rsidP="00E20B11">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650EE3E" w14:textId="52C52C9B" w:rsidR="00E20B11" w:rsidRPr="00C929AE" w:rsidRDefault="00E20B11" w:rsidP="00E20B11">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hideMark/>
          </w:tcPr>
          <w:p w14:paraId="69D07100" w14:textId="268151C8" w:rsidR="00E20B11" w:rsidRPr="00E20B11" w:rsidRDefault="00E20B11" w:rsidP="00E20B11">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0</w:t>
            </w:r>
          </w:p>
        </w:tc>
        <w:tc>
          <w:tcPr>
            <w:tcW w:w="2622" w:type="dxa"/>
            <w:gridSpan w:val="3"/>
            <w:tcBorders>
              <w:top w:val="single" w:sz="4" w:space="0" w:color="auto"/>
              <w:left w:val="nil"/>
              <w:bottom w:val="single" w:sz="4" w:space="0" w:color="auto"/>
              <w:right w:val="single" w:sz="8" w:space="0" w:color="000000"/>
            </w:tcBorders>
            <w:shd w:val="clear" w:color="000000" w:fill="92D050"/>
            <w:hideMark/>
          </w:tcPr>
          <w:p w14:paraId="7C8BFAD7" w14:textId="77B9E21C" w:rsidR="00E20B11" w:rsidRPr="00E20B11" w:rsidRDefault="00E20B11" w:rsidP="00E20B11">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0</w:t>
            </w:r>
          </w:p>
        </w:tc>
      </w:tr>
      <w:tr w:rsidR="00E20B11" w:rsidRPr="00C929AE" w14:paraId="280383DA" w14:textId="77777777" w:rsidTr="00842211">
        <w:trPr>
          <w:gridAfter w:val="2"/>
          <w:wAfter w:w="583" w:type="dxa"/>
          <w:trHeight w:val="480"/>
        </w:trPr>
        <w:tc>
          <w:tcPr>
            <w:tcW w:w="146" w:type="dxa"/>
            <w:tcBorders>
              <w:top w:val="nil"/>
              <w:left w:val="nil"/>
              <w:bottom w:val="nil"/>
              <w:right w:val="nil"/>
            </w:tcBorders>
            <w:shd w:val="clear" w:color="auto" w:fill="auto"/>
            <w:noWrap/>
            <w:vAlign w:val="bottom"/>
            <w:hideMark/>
          </w:tcPr>
          <w:p w14:paraId="59F2F790" w14:textId="77777777" w:rsidR="00E20B11" w:rsidRPr="00C929AE" w:rsidRDefault="00E20B11" w:rsidP="00E20B11">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9103BCF" w14:textId="0543F070" w:rsidR="00E20B11" w:rsidRPr="00C929AE" w:rsidRDefault="00E20B11" w:rsidP="00E20B11">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Pr>
                <w:rFonts w:ascii="Times New Roman" w:eastAsia="Times New Roman" w:hAnsi="Times New Roman" w:cs="Times New Roman"/>
                <w:b/>
                <w:bCs/>
                <w:i/>
                <w:iCs/>
                <w:color w:val="000000"/>
                <w:sz w:val="20"/>
                <w:szCs w:val="20"/>
                <w:lang w:eastAsia="sk-SK"/>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hideMark/>
          </w:tcPr>
          <w:p w14:paraId="5ED34EA3" w14:textId="5514D8C4" w:rsidR="00E20B11" w:rsidRPr="00E20B11" w:rsidRDefault="00E20B11" w:rsidP="00E20B11">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0</w:t>
            </w:r>
          </w:p>
        </w:tc>
        <w:tc>
          <w:tcPr>
            <w:tcW w:w="2622" w:type="dxa"/>
            <w:gridSpan w:val="3"/>
            <w:tcBorders>
              <w:top w:val="single" w:sz="4" w:space="0" w:color="auto"/>
              <w:left w:val="nil"/>
              <w:bottom w:val="single" w:sz="4" w:space="0" w:color="auto"/>
              <w:right w:val="single" w:sz="8" w:space="0" w:color="000000"/>
            </w:tcBorders>
            <w:shd w:val="clear" w:color="000000" w:fill="92D050"/>
            <w:hideMark/>
          </w:tcPr>
          <w:p w14:paraId="6B7CA645" w14:textId="18F84A6B" w:rsidR="00E20B11" w:rsidRPr="00E20B11" w:rsidRDefault="00E20B11" w:rsidP="00E20B11">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0</w:t>
            </w:r>
          </w:p>
        </w:tc>
      </w:tr>
      <w:tr w:rsidR="00E20B11" w:rsidRPr="00C929AE" w14:paraId="547BC8DA" w14:textId="77777777" w:rsidTr="00842211">
        <w:trPr>
          <w:gridAfter w:val="2"/>
          <w:wAfter w:w="583" w:type="dxa"/>
          <w:trHeight w:val="480"/>
        </w:trPr>
        <w:tc>
          <w:tcPr>
            <w:tcW w:w="146" w:type="dxa"/>
            <w:tcBorders>
              <w:top w:val="nil"/>
              <w:left w:val="nil"/>
              <w:bottom w:val="nil"/>
              <w:right w:val="nil"/>
            </w:tcBorders>
            <w:shd w:val="clear" w:color="auto" w:fill="auto"/>
            <w:noWrap/>
            <w:vAlign w:val="bottom"/>
          </w:tcPr>
          <w:p w14:paraId="29E6137F" w14:textId="77777777" w:rsidR="00E20B11" w:rsidRPr="00C929AE" w:rsidRDefault="00E20B11" w:rsidP="00E20B11">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7A86A5AE" w14:textId="77777777" w:rsidR="00E20B11" w:rsidRPr="00C929AE" w:rsidRDefault="00E20B11" w:rsidP="00E20B11">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tcPr>
          <w:p w14:paraId="1A8F0D68" w14:textId="5911E1FA" w:rsidR="00E20B11" w:rsidRPr="00E20B11" w:rsidRDefault="00E20B11" w:rsidP="00E20B11">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0</w:t>
            </w:r>
          </w:p>
        </w:tc>
        <w:tc>
          <w:tcPr>
            <w:tcW w:w="2622" w:type="dxa"/>
            <w:gridSpan w:val="3"/>
            <w:tcBorders>
              <w:top w:val="single" w:sz="4" w:space="0" w:color="auto"/>
              <w:left w:val="nil"/>
              <w:bottom w:val="single" w:sz="4" w:space="0" w:color="auto"/>
              <w:right w:val="single" w:sz="8" w:space="0" w:color="000000"/>
            </w:tcBorders>
            <w:shd w:val="clear" w:color="000000" w:fill="92D050"/>
          </w:tcPr>
          <w:p w14:paraId="7D0218BB" w14:textId="7570FE31" w:rsidR="00E20B11" w:rsidRPr="00E20B11" w:rsidRDefault="00E20B11" w:rsidP="00E20B11">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0</w:t>
            </w:r>
          </w:p>
        </w:tc>
      </w:tr>
      <w:tr w:rsidR="00E20B11" w:rsidRPr="00C929AE" w14:paraId="10B7BDC5" w14:textId="77777777" w:rsidTr="00842211">
        <w:trPr>
          <w:gridAfter w:val="2"/>
          <w:wAfter w:w="583" w:type="dxa"/>
          <w:trHeight w:val="600"/>
        </w:trPr>
        <w:tc>
          <w:tcPr>
            <w:tcW w:w="146" w:type="dxa"/>
            <w:tcBorders>
              <w:top w:val="nil"/>
              <w:left w:val="nil"/>
              <w:bottom w:val="nil"/>
              <w:right w:val="nil"/>
            </w:tcBorders>
            <w:shd w:val="clear" w:color="auto" w:fill="auto"/>
            <w:noWrap/>
            <w:vAlign w:val="bottom"/>
            <w:hideMark/>
          </w:tcPr>
          <w:p w14:paraId="2BD5240B" w14:textId="77777777" w:rsidR="00E20B11" w:rsidRPr="00C929AE" w:rsidRDefault="00E20B11" w:rsidP="00E20B11">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2AD49376" w14:textId="77777777" w:rsidR="00E20B11" w:rsidRPr="00C929AE" w:rsidRDefault="00E20B11" w:rsidP="00E20B11">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hideMark/>
          </w:tcPr>
          <w:p w14:paraId="3829EB10" w14:textId="1A4B37B3" w:rsidR="00E20B11" w:rsidRPr="00E20B11" w:rsidRDefault="00E20B11" w:rsidP="00E20B11">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110 536 764</w:t>
            </w:r>
          </w:p>
        </w:tc>
        <w:tc>
          <w:tcPr>
            <w:tcW w:w="2622" w:type="dxa"/>
            <w:gridSpan w:val="3"/>
            <w:tcBorders>
              <w:top w:val="single" w:sz="4" w:space="0" w:color="auto"/>
              <w:left w:val="nil"/>
              <w:bottom w:val="single" w:sz="8" w:space="0" w:color="auto"/>
              <w:right w:val="single" w:sz="8" w:space="0" w:color="000000"/>
            </w:tcBorders>
            <w:shd w:val="clear" w:color="000000" w:fill="92D050"/>
            <w:hideMark/>
          </w:tcPr>
          <w:p w14:paraId="3B2B8C72" w14:textId="1033738F" w:rsidR="00E20B11" w:rsidRPr="00E20B11" w:rsidRDefault="00E20B11" w:rsidP="00E20B11">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0</w:t>
            </w:r>
          </w:p>
        </w:tc>
      </w:tr>
      <w:tr w:rsidR="00C929AE" w:rsidRPr="00C929AE" w14:paraId="3B916623" w14:textId="77777777" w:rsidTr="003A3124">
        <w:trPr>
          <w:trHeight w:val="270"/>
        </w:trPr>
        <w:tc>
          <w:tcPr>
            <w:tcW w:w="146" w:type="dxa"/>
            <w:tcBorders>
              <w:top w:val="nil"/>
              <w:left w:val="nil"/>
              <w:bottom w:val="nil"/>
              <w:right w:val="nil"/>
            </w:tcBorders>
            <w:shd w:val="clear" w:color="auto" w:fill="auto"/>
            <w:noWrap/>
            <w:vAlign w:val="bottom"/>
            <w:hideMark/>
          </w:tcPr>
          <w:p w14:paraId="73F7E59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082EAB9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01799773" w14:textId="77777777" w:rsidR="00C929AE" w:rsidRPr="00F169FD" w:rsidRDefault="00C929AE" w:rsidP="00C929AE">
            <w:pPr>
              <w:spacing w:after="0" w:line="240" w:lineRule="auto"/>
              <w:rPr>
                <w:rFonts w:ascii="Times New Roman" w:eastAsia="Times New Roman" w:hAnsi="Times New Roman" w:cs="Times New Roman"/>
                <w:i/>
                <w:iCs/>
                <w:color w:val="000000"/>
                <w:sz w:val="24"/>
                <w:szCs w:val="24"/>
                <w:lang w:eastAsia="sk-SK"/>
              </w:rPr>
            </w:pPr>
          </w:p>
        </w:tc>
        <w:tc>
          <w:tcPr>
            <w:tcW w:w="160" w:type="dxa"/>
            <w:tcBorders>
              <w:top w:val="nil"/>
              <w:left w:val="nil"/>
              <w:bottom w:val="nil"/>
              <w:right w:val="nil"/>
            </w:tcBorders>
            <w:shd w:val="clear" w:color="auto" w:fill="auto"/>
            <w:vAlign w:val="center"/>
            <w:hideMark/>
          </w:tcPr>
          <w:p w14:paraId="30B3D738" w14:textId="77777777" w:rsidR="00C929AE" w:rsidRPr="00F169FD" w:rsidRDefault="00C929AE" w:rsidP="00C929AE">
            <w:pPr>
              <w:spacing w:after="0" w:line="240" w:lineRule="auto"/>
              <w:rPr>
                <w:rFonts w:ascii="Times New Roman" w:eastAsia="Times New Roman" w:hAnsi="Times New Roman" w:cs="Times New Roman"/>
                <w:i/>
                <w:iCs/>
                <w:color w:val="000000"/>
                <w:sz w:val="24"/>
                <w:szCs w:val="24"/>
                <w:lang w:eastAsia="sk-SK"/>
              </w:rPr>
            </w:pPr>
          </w:p>
        </w:tc>
        <w:tc>
          <w:tcPr>
            <w:tcW w:w="2716" w:type="dxa"/>
            <w:gridSpan w:val="2"/>
            <w:tcBorders>
              <w:top w:val="nil"/>
              <w:left w:val="nil"/>
              <w:bottom w:val="nil"/>
              <w:right w:val="nil"/>
            </w:tcBorders>
            <w:shd w:val="clear" w:color="auto" w:fill="auto"/>
            <w:vAlign w:val="center"/>
            <w:hideMark/>
          </w:tcPr>
          <w:p w14:paraId="7E543AE9" w14:textId="77777777" w:rsidR="00C929AE" w:rsidRPr="00F169FD" w:rsidRDefault="00C929AE" w:rsidP="00C929AE">
            <w:pPr>
              <w:spacing w:after="0" w:line="240" w:lineRule="auto"/>
              <w:rPr>
                <w:rFonts w:ascii="Times New Roman" w:eastAsia="Times New Roman" w:hAnsi="Times New Roman" w:cs="Times New Roman"/>
                <w:i/>
                <w:iCs/>
                <w:color w:val="000000"/>
                <w:sz w:val="24"/>
                <w:szCs w:val="24"/>
                <w:lang w:eastAsia="sk-SK"/>
              </w:rPr>
            </w:pPr>
          </w:p>
        </w:tc>
        <w:tc>
          <w:tcPr>
            <w:tcW w:w="160" w:type="dxa"/>
            <w:tcBorders>
              <w:top w:val="nil"/>
              <w:left w:val="nil"/>
              <w:bottom w:val="nil"/>
              <w:right w:val="nil"/>
            </w:tcBorders>
            <w:shd w:val="clear" w:color="auto" w:fill="auto"/>
            <w:vAlign w:val="center"/>
            <w:hideMark/>
          </w:tcPr>
          <w:p w14:paraId="0064F180"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2849A6C" w14:textId="77777777" w:rsidTr="00804BC8">
        <w:trPr>
          <w:gridAfter w:val="2"/>
          <w:wAfter w:w="583" w:type="dxa"/>
          <w:trHeight w:val="412"/>
        </w:trPr>
        <w:tc>
          <w:tcPr>
            <w:tcW w:w="146" w:type="dxa"/>
            <w:tcBorders>
              <w:top w:val="nil"/>
              <w:left w:val="nil"/>
              <w:bottom w:val="nil"/>
              <w:right w:val="nil"/>
            </w:tcBorders>
            <w:shd w:val="clear" w:color="auto" w:fill="auto"/>
            <w:noWrap/>
            <w:vAlign w:val="bottom"/>
            <w:hideMark/>
          </w:tcPr>
          <w:p w14:paraId="54080DC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048073" w14:textId="77777777"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BC0A5BA" w14:textId="77777777" w:rsidR="00C929AE" w:rsidRPr="00F169FD" w:rsidRDefault="00C929AE" w:rsidP="00C929AE">
            <w:pPr>
              <w:spacing w:after="0" w:line="240" w:lineRule="auto"/>
              <w:jc w:val="center"/>
              <w:rPr>
                <w:rFonts w:ascii="Times New Roman" w:eastAsia="Times New Roman" w:hAnsi="Times New Roman" w:cs="Times New Roman"/>
                <w:b/>
                <w:bCs/>
                <w:color w:val="000000"/>
                <w:sz w:val="24"/>
                <w:szCs w:val="24"/>
                <w:lang w:eastAsia="sk-SK"/>
              </w:rPr>
            </w:pPr>
            <w:r w:rsidRPr="00F169FD">
              <w:rPr>
                <w:rFonts w:ascii="Times New Roman" w:eastAsia="Times New Roman" w:hAnsi="Times New Roman" w:cs="Times New Roman"/>
                <w:b/>
                <w:bCs/>
                <w:color w:val="000000"/>
                <w:sz w:val="24"/>
                <w:szCs w:val="24"/>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8A2A444" w14:textId="77777777" w:rsidR="00C929AE" w:rsidRPr="00F169FD" w:rsidRDefault="00C929AE" w:rsidP="00C929AE">
            <w:pPr>
              <w:spacing w:after="0" w:line="240" w:lineRule="auto"/>
              <w:jc w:val="center"/>
              <w:rPr>
                <w:rFonts w:ascii="Times New Roman" w:eastAsia="Times New Roman" w:hAnsi="Times New Roman" w:cs="Times New Roman"/>
                <w:b/>
                <w:bCs/>
                <w:color w:val="000000"/>
                <w:sz w:val="24"/>
                <w:szCs w:val="24"/>
                <w:lang w:eastAsia="sk-SK"/>
              </w:rPr>
            </w:pPr>
            <w:r w:rsidRPr="00F169FD">
              <w:rPr>
                <w:rFonts w:ascii="Times New Roman" w:eastAsia="Times New Roman" w:hAnsi="Times New Roman" w:cs="Times New Roman"/>
                <w:b/>
                <w:bCs/>
                <w:color w:val="000000"/>
                <w:sz w:val="24"/>
                <w:szCs w:val="24"/>
                <w:lang w:eastAsia="sk-SK"/>
              </w:rPr>
              <w:t>Zníženie nákladov v € na PP</w:t>
            </w:r>
          </w:p>
        </w:tc>
      </w:tr>
      <w:tr w:rsidR="00F169FD" w:rsidRPr="00C929AE" w14:paraId="26126FD6" w14:textId="77777777" w:rsidTr="00842211">
        <w:trPr>
          <w:gridAfter w:val="2"/>
          <w:wAfter w:w="583" w:type="dxa"/>
          <w:trHeight w:val="840"/>
        </w:trPr>
        <w:tc>
          <w:tcPr>
            <w:tcW w:w="146" w:type="dxa"/>
            <w:tcBorders>
              <w:top w:val="nil"/>
              <w:left w:val="nil"/>
              <w:bottom w:val="nil"/>
              <w:right w:val="nil"/>
            </w:tcBorders>
            <w:shd w:val="clear" w:color="auto" w:fill="auto"/>
            <w:noWrap/>
            <w:vAlign w:val="bottom"/>
            <w:hideMark/>
          </w:tcPr>
          <w:p w14:paraId="4424F348" w14:textId="77777777" w:rsidR="00F169FD" w:rsidRPr="00C929AE" w:rsidRDefault="00F169FD" w:rsidP="00F169F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895E706" w14:textId="77777777" w:rsidR="00F169FD" w:rsidRPr="00C929AE" w:rsidRDefault="00F169FD" w:rsidP="00F169FD">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Pr="00C929AE">
              <w:rPr>
                <w:rFonts w:ascii="Times New Roman" w:eastAsia="Times New Roman" w:hAnsi="Times New Roman" w:cs="Times New Roman"/>
                <w:b/>
                <w:bCs/>
                <w:i/>
                <w:iCs/>
                <w:color w:val="000000"/>
                <w:sz w:val="20"/>
                <w:szCs w:val="20"/>
                <w:lang w:eastAsia="sk-SK"/>
              </w:rPr>
              <w:t>. Úplná harmonizácia práva EÚ</w:t>
            </w:r>
            <w:r w:rsidRPr="00C929AE">
              <w:rPr>
                <w:rFonts w:ascii="Times New Roman" w:eastAsia="Times New Roman" w:hAnsi="Times New Roman" w:cs="Times New Roman"/>
                <w:b/>
                <w:bCs/>
                <w:i/>
                <w:iCs/>
                <w:color w:val="000000"/>
                <w:sz w:val="20"/>
                <w:szCs w:val="20"/>
                <w:lang w:eastAsia="sk-SK"/>
              </w:rPr>
              <w:br/>
            </w:r>
            <w:r w:rsidRPr="00C929A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C929AE">
              <w:rPr>
                <w:rFonts w:ascii="Times New Roman" w:eastAsia="Times New Roman" w:hAnsi="Times New Roman" w:cs="Times New Roman"/>
                <w:i/>
                <w:iCs/>
                <w:color w:val="000000"/>
                <w:sz w:val="16"/>
                <w:szCs w:val="16"/>
                <w:lang w:eastAsia="sk-SK"/>
              </w:rPr>
              <w:t>externality</w:t>
            </w:r>
            <w:proofErr w:type="spellEnd"/>
            <w:r w:rsidRPr="00C929AE">
              <w:rPr>
                <w:rFonts w:ascii="Times New Roman" w:eastAsia="Times New Roman" w:hAnsi="Times New Roman" w:cs="Times New Roman"/>
                <w:i/>
                <w:iCs/>
                <w:color w:val="000000"/>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hideMark/>
          </w:tcPr>
          <w:p w14:paraId="1B3ECF9E" w14:textId="7FC9B679" w:rsidR="00E20B11" w:rsidRPr="00E20B11" w:rsidRDefault="00E20B11" w:rsidP="00E20B11">
            <w:pPr>
              <w:jc w:val="center"/>
              <w:rPr>
                <w:rFonts w:ascii="Times New Roman" w:hAnsi="Times New Roman" w:cs="Times New Roman"/>
                <w:b/>
                <w:bCs/>
                <w:color w:val="000000"/>
                <w:sz w:val="24"/>
                <w:szCs w:val="24"/>
              </w:rPr>
            </w:pPr>
            <w:r w:rsidRPr="00E20B11">
              <w:rPr>
                <w:rFonts w:ascii="Times New Roman" w:hAnsi="Times New Roman" w:cs="Times New Roman"/>
                <w:b/>
                <w:bCs/>
                <w:color w:val="000000"/>
                <w:sz w:val="24"/>
                <w:szCs w:val="24"/>
              </w:rPr>
              <w:t>110 536 764</w:t>
            </w:r>
          </w:p>
          <w:p w14:paraId="09CCB12B" w14:textId="25D23DA6" w:rsidR="00F169FD" w:rsidRPr="00E20B11" w:rsidRDefault="00F169FD" w:rsidP="00F169FD">
            <w:pPr>
              <w:spacing w:after="0" w:line="240" w:lineRule="auto"/>
              <w:jc w:val="center"/>
              <w:rPr>
                <w:rFonts w:ascii="Times New Roman" w:eastAsia="Times New Roman" w:hAnsi="Times New Roman" w:cs="Times New Roman"/>
                <w:b/>
                <w:bCs/>
                <w:color w:val="000000"/>
                <w:sz w:val="24"/>
                <w:szCs w:val="24"/>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hideMark/>
          </w:tcPr>
          <w:p w14:paraId="0CB565E3" w14:textId="697F2281" w:rsidR="00F169FD" w:rsidRPr="00E20B11" w:rsidRDefault="00F169FD" w:rsidP="00F169FD">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0</w:t>
            </w:r>
          </w:p>
        </w:tc>
      </w:tr>
      <w:tr w:rsidR="00F169FD" w:rsidRPr="00C929AE" w14:paraId="2B062396" w14:textId="77777777" w:rsidTr="00842211">
        <w:trPr>
          <w:gridAfter w:val="2"/>
          <w:wAfter w:w="583" w:type="dxa"/>
          <w:trHeight w:val="486"/>
        </w:trPr>
        <w:tc>
          <w:tcPr>
            <w:tcW w:w="146" w:type="dxa"/>
            <w:tcBorders>
              <w:top w:val="nil"/>
              <w:left w:val="nil"/>
              <w:bottom w:val="nil"/>
              <w:right w:val="nil"/>
            </w:tcBorders>
            <w:shd w:val="clear" w:color="auto" w:fill="auto"/>
            <w:noWrap/>
            <w:vAlign w:val="bottom"/>
            <w:hideMark/>
          </w:tcPr>
          <w:p w14:paraId="2C592B53" w14:textId="77777777" w:rsidR="00F169FD" w:rsidRPr="00C929AE" w:rsidRDefault="00F169FD" w:rsidP="00F169F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3DFED09" w14:textId="77777777" w:rsidR="00F169FD" w:rsidRPr="00C929AE" w:rsidRDefault="00F169FD" w:rsidP="00F169FD">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Pr="00C929AE">
              <w:rPr>
                <w:rFonts w:ascii="Times New Roman" w:eastAsia="Times New Roman" w:hAnsi="Times New Roman" w:cs="Times New Roman"/>
                <w:b/>
                <w:bCs/>
                <w:i/>
                <w:iCs/>
                <w:color w:val="000000"/>
                <w:sz w:val="20"/>
                <w:szCs w:val="20"/>
                <w:lang w:eastAsia="sk-SK"/>
              </w:rPr>
              <w:t xml:space="preserve">. </w:t>
            </w:r>
            <w:proofErr w:type="spellStart"/>
            <w:r w:rsidRPr="00C929AE">
              <w:rPr>
                <w:rFonts w:ascii="Times New Roman" w:eastAsia="Times New Roman" w:hAnsi="Times New Roman" w:cs="Times New Roman"/>
                <w:b/>
                <w:bCs/>
                <w:i/>
                <w:iCs/>
                <w:color w:val="000000"/>
                <w:sz w:val="20"/>
                <w:szCs w:val="20"/>
                <w:lang w:eastAsia="sk-SK"/>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hideMark/>
          </w:tcPr>
          <w:p w14:paraId="709562F6" w14:textId="4C8F7367" w:rsidR="00F169FD" w:rsidRPr="00E20B11" w:rsidRDefault="00F169FD" w:rsidP="00F169FD">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0</w:t>
            </w:r>
          </w:p>
        </w:tc>
        <w:tc>
          <w:tcPr>
            <w:tcW w:w="2622" w:type="dxa"/>
            <w:gridSpan w:val="3"/>
            <w:tcBorders>
              <w:top w:val="single" w:sz="4" w:space="0" w:color="auto"/>
              <w:left w:val="nil"/>
              <w:bottom w:val="single" w:sz="8" w:space="0" w:color="auto"/>
              <w:right w:val="single" w:sz="8" w:space="0" w:color="000000"/>
            </w:tcBorders>
            <w:shd w:val="clear" w:color="000000" w:fill="92D050"/>
            <w:hideMark/>
          </w:tcPr>
          <w:p w14:paraId="2E025867" w14:textId="7BD7C1D2" w:rsidR="00F169FD" w:rsidRPr="00E20B11" w:rsidRDefault="00F169FD" w:rsidP="00F169FD">
            <w:pPr>
              <w:spacing w:after="0" w:line="240" w:lineRule="auto"/>
              <w:jc w:val="center"/>
              <w:rPr>
                <w:rFonts w:ascii="Times New Roman" w:eastAsia="Times New Roman" w:hAnsi="Times New Roman" w:cs="Times New Roman"/>
                <w:b/>
                <w:bCs/>
                <w:color w:val="000000"/>
                <w:sz w:val="24"/>
                <w:szCs w:val="24"/>
                <w:lang w:eastAsia="sk-SK"/>
              </w:rPr>
            </w:pPr>
            <w:r w:rsidRPr="00E20B11">
              <w:rPr>
                <w:rFonts w:ascii="Times New Roman" w:hAnsi="Times New Roman" w:cs="Times New Roman"/>
                <w:sz w:val="24"/>
                <w:szCs w:val="24"/>
              </w:rPr>
              <w:t>0</w:t>
            </w:r>
          </w:p>
        </w:tc>
      </w:tr>
      <w:tr w:rsidR="00C929AE" w:rsidRPr="00C929AE" w14:paraId="665D2803" w14:textId="77777777" w:rsidTr="003A3124">
        <w:trPr>
          <w:trHeight w:val="360"/>
        </w:trPr>
        <w:tc>
          <w:tcPr>
            <w:tcW w:w="146" w:type="dxa"/>
            <w:tcBorders>
              <w:top w:val="nil"/>
              <w:left w:val="nil"/>
              <w:bottom w:val="nil"/>
              <w:right w:val="nil"/>
            </w:tcBorders>
            <w:shd w:val="clear" w:color="auto" w:fill="auto"/>
            <w:noWrap/>
            <w:vAlign w:val="bottom"/>
            <w:hideMark/>
          </w:tcPr>
          <w:p w14:paraId="259005D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213DB6F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57A20198" w14:textId="77777777" w:rsidR="00C929AE" w:rsidRPr="00F169FD" w:rsidRDefault="00C929AE" w:rsidP="00C929AE">
            <w:pPr>
              <w:spacing w:after="0" w:line="240" w:lineRule="auto"/>
              <w:rPr>
                <w:rFonts w:ascii="Times New Roman" w:eastAsia="Times New Roman" w:hAnsi="Times New Roman" w:cs="Times New Roman"/>
                <w:i/>
                <w:iCs/>
                <w:color w:val="000000"/>
                <w:sz w:val="24"/>
                <w:szCs w:val="24"/>
                <w:lang w:eastAsia="sk-SK"/>
              </w:rPr>
            </w:pPr>
          </w:p>
        </w:tc>
        <w:tc>
          <w:tcPr>
            <w:tcW w:w="160" w:type="dxa"/>
            <w:tcBorders>
              <w:top w:val="nil"/>
              <w:left w:val="nil"/>
              <w:bottom w:val="nil"/>
              <w:right w:val="nil"/>
            </w:tcBorders>
            <w:shd w:val="clear" w:color="auto" w:fill="auto"/>
            <w:vAlign w:val="center"/>
            <w:hideMark/>
          </w:tcPr>
          <w:p w14:paraId="7D23FD74" w14:textId="77777777" w:rsidR="00C929AE" w:rsidRPr="00F169FD" w:rsidRDefault="00C929AE" w:rsidP="00C929AE">
            <w:pPr>
              <w:spacing w:after="0" w:line="240" w:lineRule="auto"/>
              <w:rPr>
                <w:rFonts w:ascii="Times New Roman" w:eastAsia="Times New Roman" w:hAnsi="Times New Roman" w:cs="Times New Roman"/>
                <w:i/>
                <w:iCs/>
                <w:color w:val="000000"/>
                <w:sz w:val="24"/>
                <w:szCs w:val="24"/>
                <w:lang w:eastAsia="sk-SK"/>
              </w:rPr>
            </w:pPr>
          </w:p>
        </w:tc>
        <w:tc>
          <w:tcPr>
            <w:tcW w:w="2716" w:type="dxa"/>
            <w:gridSpan w:val="2"/>
            <w:tcBorders>
              <w:top w:val="nil"/>
              <w:left w:val="nil"/>
              <w:bottom w:val="nil"/>
              <w:right w:val="nil"/>
            </w:tcBorders>
            <w:shd w:val="clear" w:color="auto" w:fill="auto"/>
            <w:vAlign w:val="center"/>
            <w:hideMark/>
          </w:tcPr>
          <w:p w14:paraId="68BF5827" w14:textId="77777777" w:rsidR="00C929AE" w:rsidRPr="00F169FD" w:rsidRDefault="00C929AE" w:rsidP="00C929AE">
            <w:pPr>
              <w:spacing w:after="0" w:line="240" w:lineRule="auto"/>
              <w:rPr>
                <w:rFonts w:ascii="Times New Roman" w:eastAsia="Times New Roman" w:hAnsi="Times New Roman" w:cs="Times New Roman"/>
                <w:i/>
                <w:iCs/>
                <w:color w:val="000000"/>
                <w:sz w:val="24"/>
                <w:szCs w:val="24"/>
                <w:lang w:eastAsia="sk-SK"/>
              </w:rPr>
            </w:pPr>
          </w:p>
        </w:tc>
        <w:tc>
          <w:tcPr>
            <w:tcW w:w="160" w:type="dxa"/>
            <w:tcBorders>
              <w:top w:val="nil"/>
              <w:left w:val="nil"/>
              <w:bottom w:val="nil"/>
              <w:right w:val="nil"/>
            </w:tcBorders>
            <w:shd w:val="clear" w:color="auto" w:fill="auto"/>
            <w:vAlign w:val="center"/>
            <w:hideMark/>
          </w:tcPr>
          <w:p w14:paraId="0FA5CAAE"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78385C8"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1ED4DAC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D9B60B"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sidR="00FC121B">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4929B536" w14:textId="77777777" w:rsidR="00C929AE" w:rsidRPr="00F169FD" w:rsidRDefault="00C929AE" w:rsidP="00C929AE">
            <w:pPr>
              <w:spacing w:after="0" w:line="240" w:lineRule="auto"/>
              <w:jc w:val="center"/>
              <w:rPr>
                <w:rFonts w:ascii="Times New Roman" w:eastAsia="Times New Roman" w:hAnsi="Times New Roman" w:cs="Times New Roman"/>
                <w:color w:val="000000"/>
                <w:sz w:val="24"/>
                <w:szCs w:val="24"/>
                <w:lang w:eastAsia="sk-SK"/>
              </w:rPr>
            </w:pPr>
            <w:r w:rsidRPr="00F169FD">
              <w:rPr>
                <w:rFonts w:ascii="Times New Roman" w:eastAsia="Times New Roman" w:hAnsi="Times New Roman" w:cs="Times New Roman"/>
                <w:color w:val="000000"/>
                <w:sz w:val="24"/>
                <w:szCs w:val="24"/>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019C410" w14:textId="77777777" w:rsidR="00C929AE" w:rsidRPr="00F169FD" w:rsidRDefault="00C929AE" w:rsidP="00C929AE">
            <w:pPr>
              <w:spacing w:after="0" w:line="240" w:lineRule="auto"/>
              <w:jc w:val="center"/>
              <w:rPr>
                <w:rFonts w:ascii="Times New Roman" w:eastAsia="Times New Roman" w:hAnsi="Times New Roman" w:cs="Times New Roman"/>
                <w:color w:val="000000"/>
                <w:sz w:val="24"/>
                <w:szCs w:val="24"/>
                <w:lang w:eastAsia="sk-SK"/>
              </w:rPr>
            </w:pPr>
            <w:r w:rsidRPr="00F169FD">
              <w:rPr>
                <w:rFonts w:ascii="Times New Roman" w:eastAsia="Times New Roman" w:hAnsi="Times New Roman" w:cs="Times New Roman"/>
                <w:color w:val="000000"/>
                <w:sz w:val="24"/>
                <w:szCs w:val="24"/>
                <w:lang w:eastAsia="sk-SK"/>
              </w:rPr>
              <w:t>OUT</w:t>
            </w:r>
          </w:p>
        </w:tc>
      </w:tr>
      <w:tr w:rsidR="00F169FD" w:rsidRPr="00C929AE" w14:paraId="4C7053DD" w14:textId="77777777" w:rsidTr="00842211">
        <w:trPr>
          <w:gridAfter w:val="2"/>
          <w:wAfter w:w="583" w:type="dxa"/>
          <w:trHeight w:val="390"/>
        </w:trPr>
        <w:tc>
          <w:tcPr>
            <w:tcW w:w="146" w:type="dxa"/>
            <w:tcBorders>
              <w:top w:val="nil"/>
              <w:left w:val="nil"/>
              <w:bottom w:val="nil"/>
              <w:right w:val="nil"/>
            </w:tcBorders>
            <w:shd w:val="clear" w:color="auto" w:fill="auto"/>
            <w:noWrap/>
            <w:vAlign w:val="bottom"/>
            <w:hideMark/>
          </w:tcPr>
          <w:p w14:paraId="6BB0400A" w14:textId="77777777" w:rsidR="00F169FD" w:rsidRPr="00C929AE" w:rsidRDefault="00F169FD" w:rsidP="00F169F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395BF89" w14:textId="3C21B0B5" w:rsidR="00F169FD" w:rsidRPr="00751DA9" w:rsidRDefault="00F169FD" w:rsidP="00F169FD">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hideMark/>
          </w:tcPr>
          <w:p w14:paraId="02E1C703" w14:textId="10147687" w:rsidR="00F169FD" w:rsidRPr="00F169FD" w:rsidRDefault="00F169FD" w:rsidP="00F169FD">
            <w:pPr>
              <w:spacing w:after="0" w:line="240" w:lineRule="auto"/>
              <w:jc w:val="center"/>
              <w:rPr>
                <w:rFonts w:ascii="Times New Roman" w:eastAsia="Times New Roman" w:hAnsi="Times New Roman" w:cs="Times New Roman"/>
                <w:b/>
                <w:bCs/>
                <w:color w:val="000000"/>
                <w:sz w:val="24"/>
                <w:szCs w:val="24"/>
                <w:lang w:eastAsia="sk-SK"/>
              </w:rPr>
            </w:pPr>
            <w:r w:rsidRPr="00F169FD">
              <w:rPr>
                <w:rFonts w:ascii="Times New Roman" w:hAnsi="Times New Roman" w:cs="Times New Roman"/>
                <w:sz w:val="24"/>
                <w:szCs w:val="24"/>
              </w:rPr>
              <w:t>0</w:t>
            </w:r>
          </w:p>
        </w:tc>
        <w:tc>
          <w:tcPr>
            <w:tcW w:w="2622" w:type="dxa"/>
            <w:gridSpan w:val="3"/>
            <w:tcBorders>
              <w:top w:val="single" w:sz="4" w:space="0" w:color="auto"/>
              <w:left w:val="nil"/>
              <w:bottom w:val="single" w:sz="8" w:space="0" w:color="auto"/>
              <w:right w:val="single" w:sz="8" w:space="0" w:color="000000"/>
            </w:tcBorders>
            <w:shd w:val="clear" w:color="000000" w:fill="92D050"/>
            <w:hideMark/>
          </w:tcPr>
          <w:p w14:paraId="2A9C6235" w14:textId="1EFE7777" w:rsidR="00F169FD" w:rsidRPr="00F169FD" w:rsidRDefault="00F169FD" w:rsidP="00F169FD">
            <w:pPr>
              <w:spacing w:after="0" w:line="240" w:lineRule="auto"/>
              <w:jc w:val="center"/>
              <w:rPr>
                <w:rFonts w:ascii="Times New Roman" w:eastAsia="Times New Roman" w:hAnsi="Times New Roman" w:cs="Times New Roman"/>
                <w:b/>
                <w:bCs/>
                <w:color w:val="000000"/>
                <w:sz w:val="24"/>
                <w:szCs w:val="24"/>
                <w:lang w:eastAsia="sk-SK"/>
              </w:rPr>
            </w:pPr>
            <w:r w:rsidRPr="00F169FD">
              <w:rPr>
                <w:rFonts w:ascii="Times New Roman" w:hAnsi="Times New Roman" w:cs="Times New Roman"/>
                <w:sz w:val="24"/>
                <w:szCs w:val="24"/>
              </w:rPr>
              <w:t>0</w:t>
            </w:r>
          </w:p>
        </w:tc>
      </w:tr>
    </w:tbl>
    <w:p w14:paraId="0C4E102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440A305E" w14:textId="62E0C473" w:rsidR="00462975" w:rsidRPr="00136790" w:rsidRDefault="00462975" w:rsidP="00054C41">
      <w:pPr>
        <w:rPr>
          <w:rFonts w:ascii="Times New Roman" w:eastAsia="Calibri" w:hAnsi="Times New Roman" w:cs="Times New Roman"/>
          <w:i/>
          <w:iCs/>
          <w:color w:val="000000" w:themeColor="text1"/>
          <w:sz w:val="24"/>
          <w:szCs w:val="24"/>
        </w:rPr>
      </w:pPr>
      <w:r w:rsidRPr="00136790">
        <w:rPr>
          <w:rFonts w:ascii="Times New Roman" w:eastAsia="Calibri" w:hAnsi="Times New Roman" w:cs="Times New Roman"/>
          <w:i/>
          <w:iCs/>
          <w:color w:val="000000" w:themeColor="text1"/>
          <w:sz w:val="24"/>
          <w:szCs w:val="24"/>
        </w:rPr>
        <w:lastRenderedPageBreak/>
        <w:t>Pozn. náklady v prípade systému reprezentatívnych kolektívnych zmlúv vyššieho stupňa nemožno kvantifikovať (viď. ďalej).</w:t>
      </w:r>
    </w:p>
    <w:p w14:paraId="29CDFA2A" w14:textId="72550E15"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DE6ACB" w:rsidRPr="000A6B7F" w14:paraId="58E6573D" w14:textId="77777777" w:rsidTr="00751DA9">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C62EA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0A6B7F">
              <w:rPr>
                <w:rFonts w:ascii="Times New Roman" w:eastAsia="Times New Roman" w:hAnsi="Times New Roman" w:cs="Times New Roman"/>
                <w:b/>
                <w:bCs/>
                <w:color w:val="000000"/>
                <w:sz w:val="20"/>
                <w:szCs w:val="20"/>
                <w:lang w:eastAsia="sk-SK"/>
              </w:rPr>
              <w:t>P.č</w:t>
            </w:r>
            <w:proofErr w:type="spellEnd"/>
            <w:r w:rsidRPr="000A6B7F">
              <w:rPr>
                <w:rFonts w:ascii="Times New Roman" w:eastAsia="Times New Roman" w:hAnsi="Times New Roman" w:cs="Times New Roman"/>
                <w:b/>
                <w:bCs/>
                <w:color w:val="000000"/>
                <w:sz w:val="20"/>
                <w:szCs w:val="20"/>
                <w:lang w:eastAsia="sk-SK"/>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F95606"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w:t>
            </w:r>
            <w:proofErr w:type="spellStart"/>
            <w:r>
              <w:rPr>
                <w:rFonts w:ascii="Times New Roman" w:eastAsia="Times New Roman" w:hAnsi="Times New Roman" w:cs="Times New Roman"/>
                <w:b/>
                <w:bCs/>
                <w:color w:val="000000"/>
                <w:sz w:val="20"/>
                <w:szCs w:val="20"/>
                <w:lang w:eastAsia="sk-SK"/>
              </w:rPr>
              <w:t>goldplatngom</w:t>
            </w:r>
            <w:proofErr w:type="spellEnd"/>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8660057"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C27F37A"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sidR="00D114ED">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B4826A" w14:textId="77777777" w:rsidR="00DE6AC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 xml:space="preserve">/EÚ úplná </w:t>
            </w:r>
            <w:proofErr w:type="spellStart"/>
            <w:r w:rsidRPr="000A6B7F">
              <w:rPr>
                <w:rFonts w:ascii="Times New Roman" w:eastAsia="Times New Roman" w:hAnsi="Times New Roman" w:cs="Times New Roman"/>
                <w:color w:val="000000"/>
                <w:sz w:val="20"/>
                <w:szCs w:val="20"/>
                <w:lang w:eastAsia="sk-SK"/>
              </w:rPr>
              <w:t>harm</w:t>
            </w:r>
            <w:proofErr w:type="spellEnd"/>
            <w:r w:rsidRPr="000A6B7F">
              <w:rPr>
                <w:rFonts w:ascii="Times New Roman" w:eastAsia="Times New Roman" w:hAnsi="Times New Roman" w:cs="Times New Roman"/>
                <w:color w:val="000000"/>
                <w:sz w:val="20"/>
                <w:szCs w:val="20"/>
                <w:lang w:eastAsia="sk-SK"/>
              </w:rPr>
              <w:t>./</w:t>
            </w:r>
          </w:p>
          <w:p w14:paraId="3EFBCFFC" w14:textId="77777777" w:rsidR="00DE6ACB" w:rsidRPr="000A6B7F"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color w:val="000000"/>
                <w:sz w:val="20"/>
                <w:szCs w:val="20"/>
                <w:lang w:eastAsia="sk-SK"/>
              </w:rPr>
              <w:t>G</w:t>
            </w:r>
            <w:r w:rsidR="00DE6ACB" w:rsidRPr="000A6B7F">
              <w:rPr>
                <w:rFonts w:ascii="Times New Roman" w:eastAsia="Times New Roman" w:hAnsi="Times New Roman" w:cs="Times New Roman"/>
                <w:color w:val="000000"/>
                <w:sz w:val="20"/>
                <w:szCs w:val="20"/>
                <w:lang w:eastAsia="sk-SK"/>
              </w:rPr>
              <w:t>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66C838"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1BE5B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Kategória </w:t>
            </w:r>
            <w:proofErr w:type="spellStart"/>
            <w:r w:rsidRPr="000A6B7F">
              <w:rPr>
                <w:rFonts w:ascii="Times New Roman" w:eastAsia="Times New Roman" w:hAnsi="Times New Roman" w:cs="Times New Roman"/>
                <w:b/>
                <w:bCs/>
                <w:color w:val="000000"/>
                <w:sz w:val="20"/>
                <w:szCs w:val="20"/>
                <w:lang w:eastAsia="sk-SK"/>
              </w:rPr>
              <w:t>dotk</w:t>
            </w:r>
            <w:proofErr w:type="spellEnd"/>
            <w:r w:rsidRPr="000A6B7F">
              <w:rPr>
                <w:rFonts w:ascii="Times New Roman" w:eastAsia="Times New Roman" w:hAnsi="Times New Roman" w:cs="Times New Roman"/>
                <w:b/>
                <w:bCs/>
                <w:color w:val="000000"/>
                <w:sz w:val="20"/>
                <w:szCs w:val="20"/>
                <w:lang w:eastAsia="sk-SK"/>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92B87" w14:textId="77777777" w:rsidR="00D114ED"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14:paraId="7A177F6E" w14:textId="6CE16312" w:rsidR="00DE6ACB" w:rsidRPr="0089589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w:t>
            </w:r>
            <w:r w:rsidR="00DE6ACB" w:rsidRPr="00895898">
              <w:rPr>
                <w:rFonts w:ascii="Times New Roman" w:eastAsia="Times New Roman" w:hAnsi="Times New Roman" w:cs="Times New Roman"/>
                <w:b/>
                <w:bCs/>
                <w:color w:val="000000"/>
                <w:sz w:val="20"/>
                <w:szCs w:val="20"/>
                <w:lang w:eastAsia="sk-SK"/>
              </w:rPr>
              <w:t xml:space="preserve"> subjektov </w:t>
            </w:r>
            <w:r w:rsidR="00047C70">
              <w:rPr>
                <w:rFonts w:ascii="Times New Roman" w:eastAsia="Times New Roman" w:hAnsi="Times New Roman" w:cs="Times New Roman"/>
                <w:b/>
                <w:bCs/>
                <w:color w:val="000000"/>
                <w:sz w:val="20"/>
                <w:szCs w:val="20"/>
                <w:lang w:eastAsia="sk-SK"/>
              </w:rPr>
              <w:t>spolu</w:t>
            </w:r>
            <w:r w:rsidR="00DE6ACB"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80914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531801"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Vplyv na </w:t>
            </w:r>
            <w:proofErr w:type="spellStart"/>
            <w:r>
              <w:rPr>
                <w:rFonts w:ascii="Times New Roman" w:eastAsia="Times New Roman" w:hAnsi="Times New Roman" w:cs="Times New Roman"/>
                <w:b/>
                <w:bCs/>
                <w:color w:val="000000"/>
                <w:sz w:val="20"/>
                <w:szCs w:val="20"/>
                <w:lang w:eastAsia="sk-SK"/>
              </w:rPr>
              <w:t>kateg</w:t>
            </w:r>
            <w:proofErr w:type="spellEnd"/>
            <w:r>
              <w:rPr>
                <w:rFonts w:ascii="Times New Roman" w:eastAsia="Times New Roman" w:hAnsi="Times New Roman" w:cs="Times New Roman"/>
                <w:b/>
                <w:bCs/>
                <w:color w:val="000000"/>
                <w:sz w:val="20"/>
                <w:szCs w:val="20"/>
                <w:lang w:eastAsia="sk-SK"/>
              </w:rPr>
              <w:t xml:space="preserve">. </w:t>
            </w: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CCC0E6" w14:textId="77777777" w:rsidR="00DE6ACB" w:rsidRPr="0089589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14:paraId="3110E590" w14:textId="77777777" w:rsidR="00DE6ACB" w:rsidRPr="0089589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14:paraId="70438D04"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85CC22"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14:paraId="29F533F5"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D6FE4B"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6B5D74">
              <w:rPr>
                <w:rFonts w:ascii="Times New Roman" w:eastAsia="Times New Roman" w:hAnsi="Times New Roman" w:cs="Times New Roman"/>
                <w:b/>
                <w:bCs/>
                <w:color w:val="000000"/>
                <w:sz w:val="18"/>
                <w:szCs w:val="18"/>
                <w:lang w:eastAsia="sk-SK"/>
              </w:rPr>
              <w:t>Goldplating</w:t>
            </w:r>
            <w:proofErr w:type="spellEnd"/>
            <w:r w:rsidRPr="006B5D74">
              <w:rPr>
                <w:rFonts w:ascii="Times New Roman" w:eastAsia="Times New Roman" w:hAnsi="Times New Roman" w:cs="Times New Roman"/>
                <w:b/>
                <w:bCs/>
                <w:color w:val="000000"/>
                <w:sz w:val="18"/>
                <w:szCs w:val="18"/>
                <w:lang w:eastAsia="sk-SK"/>
              </w:rPr>
              <w:t xml:space="preserve"> celkom</w:t>
            </w:r>
          </w:p>
        </w:tc>
      </w:tr>
      <w:tr w:rsidR="00900B9A" w:rsidRPr="00895898" w14:paraId="609FED73" w14:textId="77777777" w:rsidTr="00852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7ADB0C1" w14:textId="2BAECA9B" w:rsidR="00900B9A" w:rsidRPr="00F43D0F" w:rsidRDefault="00900B9A" w:rsidP="00900B9A">
            <w:pPr>
              <w:spacing w:after="0" w:line="240" w:lineRule="auto"/>
              <w:rPr>
                <w:rFonts w:ascii="Times New Roman" w:eastAsia="Times New Roman" w:hAnsi="Times New Roman" w:cs="Times New Roman"/>
                <w:sz w:val="20"/>
                <w:szCs w:val="20"/>
                <w:lang w:eastAsia="sk-SK"/>
              </w:rPr>
            </w:pPr>
            <w:r w:rsidRPr="00F43D0F">
              <w:rPr>
                <w:rFonts w:ascii="Times New Roman" w:eastAsia="Times New Roman" w:hAnsi="Times New Roman" w:cs="Times New Roman"/>
                <w:sz w:val="20"/>
                <w:szCs w:val="20"/>
                <w:lang w:eastAsia="sk-SK"/>
              </w:rPr>
              <w:t>1.</w:t>
            </w:r>
          </w:p>
        </w:tc>
        <w:tc>
          <w:tcPr>
            <w:tcW w:w="1740" w:type="dxa"/>
            <w:shd w:val="clear" w:color="auto" w:fill="auto"/>
          </w:tcPr>
          <w:p w14:paraId="7D629DAC" w14:textId="5EF53874" w:rsidR="00900B9A" w:rsidRPr="00F43D0F" w:rsidRDefault="00900B9A" w:rsidP="00F43D0F">
            <w:pPr>
              <w:spacing w:after="0" w:line="240" w:lineRule="auto"/>
              <w:rPr>
                <w:rFonts w:ascii="Times New Roman" w:eastAsia="Times New Roman" w:hAnsi="Times New Roman" w:cs="Times New Roman"/>
                <w:sz w:val="20"/>
                <w:szCs w:val="20"/>
                <w:lang w:eastAsia="sk-SK"/>
              </w:rPr>
            </w:pPr>
            <w:r w:rsidRPr="00F43D0F">
              <w:rPr>
                <w:rFonts w:ascii="Times New Roman" w:hAnsi="Times New Roman" w:cs="Times New Roman"/>
                <w:sz w:val="20"/>
                <w:szCs w:val="20"/>
              </w:rPr>
              <w:t>zvýšenie podielu mesačnej minimálnej mzdy na nasledujúci kalendárny rok zo sumy priemernej mesačnej nominálnej mzdy zamestn</w:t>
            </w:r>
            <w:r w:rsidR="00F43D0F">
              <w:rPr>
                <w:rFonts w:ascii="Times New Roman" w:hAnsi="Times New Roman" w:cs="Times New Roman"/>
                <w:sz w:val="20"/>
                <w:szCs w:val="20"/>
              </w:rPr>
              <w:t>a</w:t>
            </w:r>
            <w:r w:rsidRPr="00F43D0F">
              <w:rPr>
                <w:rFonts w:ascii="Times New Roman" w:hAnsi="Times New Roman" w:cs="Times New Roman"/>
                <w:sz w:val="20"/>
                <w:szCs w:val="20"/>
              </w:rPr>
              <w:t>nca v národnom hospodárstve, ktorý dva roky predchádza kalendárnemu roku, na ktorý sa určuje suma mesačnej minimálnej mzdy a to z 57 % na 60% - doplatky do výšky minimálnej mzdy</w:t>
            </w:r>
            <w:r w:rsidR="00B653A4">
              <w:rPr>
                <w:rFonts w:ascii="Times New Roman" w:hAnsi="Times New Roman" w:cs="Times New Roman"/>
                <w:sz w:val="20"/>
                <w:szCs w:val="20"/>
              </w:rPr>
              <w:t>, plus sociálne a zdravotné odvody</w:t>
            </w:r>
          </w:p>
        </w:tc>
        <w:tc>
          <w:tcPr>
            <w:tcW w:w="992" w:type="dxa"/>
          </w:tcPr>
          <w:p w14:paraId="4B47CD37" w14:textId="716C8087" w:rsidR="00900B9A" w:rsidRPr="00900B9A" w:rsidRDefault="00900B9A" w:rsidP="00900B9A">
            <w:pPr>
              <w:spacing w:after="0" w:line="240" w:lineRule="auto"/>
              <w:rPr>
                <w:rFonts w:ascii="Times New Roman" w:eastAsia="Times New Roman" w:hAnsi="Times New Roman" w:cs="Times New Roman"/>
                <w:sz w:val="20"/>
                <w:szCs w:val="20"/>
                <w:lang w:eastAsia="sk-SK"/>
              </w:rPr>
            </w:pPr>
            <w:r w:rsidRPr="00900B9A">
              <w:rPr>
                <w:rFonts w:ascii="Times New Roman" w:hAnsi="Times New Roman" w:cs="Times New Roman"/>
                <w:sz w:val="20"/>
                <w:szCs w:val="20"/>
              </w:rPr>
              <w:t>663/2007 Z. z.</w:t>
            </w:r>
          </w:p>
        </w:tc>
        <w:tc>
          <w:tcPr>
            <w:tcW w:w="1134" w:type="dxa"/>
          </w:tcPr>
          <w:p w14:paraId="1C988908" w14:textId="6A8BAD3B" w:rsidR="00900B9A" w:rsidRPr="00900B9A" w:rsidRDefault="00900B9A" w:rsidP="00900B9A">
            <w:pPr>
              <w:spacing w:after="0" w:line="240" w:lineRule="auto"/>
              <w:rPr>
                <w:rFonts w:ascii="Times New Roman" w:eastAsia="Times New Roman" w:hAnsi="Times New Roman" w:cs="Times New Roman"/>
                <w:sz w:val="20"/>
                <w:szCs w:val="20"/>
                <w:lang w:eastAsia="sk-SK"/>
              </w:rPr>
            </w:pPr>
            <w:r w:rsidRPr="00900B9A">
              <w:rPr>
                <w:rFonts w:ascii="Times New Roman" w:hAnsi="Times New Roman" w:cs="Times New Roman"/>
                <w:sz w:val="20"/>
                <w:szCs w:val="20"/>
              </w:rPr>
              <w:t>§ 8</w:t>
            </w:r>
          </w:p>
        </w:tc>
        <w:tc>
          <w:tcPr>
            <w:tcW w:w="1843" w:type="dxa"/>
            <w:shd w:val="clear" w:color="auto" w:fill="auto"/>
          </w:tcPr>
          <w:p w14:paraId="22CDA76A" w14:textId="0B81A9BF" w:rsidR="00900B9A" w:rsidRPr="00900B9A" w:rsidRDefault="00900B9A" w:rsidP="00900B9A">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900B9A">
              <w:rPr>
                <w:rFonts w:ascii="Times New Roman" w:hAnsi="Times New Roman" w:cs="Times New Roman"/>
                <w:sz w:val="20"/>
                <w:szCs w:val="20"/>
              </w:rPr>
              <w:t>2. EÚ úplná harmonizácia</w:t>
            </w:r>
          </w:p>
        </w:tc>
        <w:tc>
          <w:tcPr>
            <w:tcW w:w="992" w:type="dxa"/>
          </w:tcPr>
          <w:p w14:paraId="469C4721" w14:textId="0859BACA" w:rsidR="00900B9A" w:rsidRPr="00900B9A" w:rsidRDefault="00900B9A" w:rsidP="00900B9A">
            <w:pPr>
              <w:spacing w:after="0" w:line="240" w:lineRule="auto"/>
              <w:rPr>
                <w:rFonts w:ascii="Times New Roman" w:eastAsia="Times New Roman" w:hAnsi="Times New Roman" w:cs="Times New Roman"/>
                <w:color w:val="000000"/>
                <w:sz w:val="20"/>
                <w:szCs w:val="20"/>
                <w:lang w:eastAsia="sk-SK"/>
              </w:rPr>
            </w:pPr>
            <w:r w:rsidRPr="00900B9A">
              <w:rPr>
                <w:rFonts w:ascii="Times New Roman" w:hAnsi="Times New Roman" w:cs="Times New Roman"/>
                <w:sz w:val="20"/>
                <w:szCs w:val="20"/>
              </w:rPr>
              <w:t>01.01.25</w:t>
            </w:r>
          </w:p>
        </w:tc>
        <w:tc>
          <w:tcPr>
            <w:tcW w:w="1160" w:type="dxa"/>
            <w:shd w:val="clear" w:color="auto" w:fill="auto"/>
            <w:noWrap/>
          </w:tcPr>
          <w:p w14:paraId="74618A9C" w14:textId="755F85E9" w:rsidR="00900B9A" w:rsidRPr="00900B9A" w:rsidRDefault="00900B9A" w:rsidP="00900B9A">
            <w:pPr>
              <w:spacing w:after="0" w:line="240" w:lineRule="auto"/>
              <w:rPr>
                <w:rFonts w:ascii="Times New Roman" w:eastAsia="Times New Roman" w:hAnsi="Times New Roman" w:cs="Times New Roman"/>
                <w:color w:val="000000"/>
                <w:sz w:val="20"/>
                <w:szCs w:val="20"/>
                <w:lang w:eastAsia="sk-SK"/>
              </w:rPr>
            </w:pPr>
            <w:r w:rsidRPr="00900B9A">
              <w:rPr>
                <w:rFonts w:ascii="Times New Roman" w:hAnsi="Times New Roman" w:cs="Times New Roman"/>
                <w:sz w:val="20"/>
                <w:szCs w:val="20"/>
              </w:rPr>
              <w:t>zamestnávatelia</w:t>
            </w:r>
          </w:p>
        </w:tc>
        <w:tc>
          <w:tcPr>
            <w:tcW w:w="1108" w:type="dxa"/>
          </w:tcPr>
          <w:p w14:paraId="5D0F89C4" w14:textId="7F59B2D2" w:rsidR="00900B9A" w:rsidRPr="00900B9A" w:rsidRDefault="00900B9A" w:rsidP="00900B9A">
            <w:pPr>
              <w:spacing w:after="0" w:line="240" w:lineRule="auto"/>
              <w:rPr>
                <w:rFonts w:ascii="Times New Roman" w:eastAsia="Times New Roman" w:hAnsi="Times New Roman" w:cs="Times New Roman"/>
                <w:sz w:val="20"/>
                <w:szCs w:val="20"/>
                <w:lang w:eastAsia="sk-SK"/>
              </w:rPr>
            </w:pPr>
            <w:r w:rsidRPr="00900B9A">
              <w:rPr>
                <w:rFonts w:ascii="Times New Roman" w:hAnsi="Times New Roman" w:cs="Times New Roman"/>
                <w:sz w:val="20"/>
                <w:szCs w:val="20"/>
              </w:rPr>
              <w:t xml:space="preserve"> 34 301 </w:t>
            </w:r>
          </w:p>
        </w:tc>
        <w:tc>
          <w:tcPr>
            <w:tcW w:w="851" w:type="dxa"/>
            <w:shd w:val="clear" w:color="auto" w:fill="auto"/>
            <w:noWrap/>
          </w:tcPr>
          <w:p w14:paraId="38251139" w14:textId="183E89E7" w:rsidR="00900B9A" w:rsidRPr="00900B9A" w:rsidRDefault="00900B9A" w:rsidP="00900B9A">
            <w:pPr>
              <w:spacing w:after="0" w:line="240" w:lineRule="auto"/>
              <w:rPr>
                <w:rFonts w:ascii="Times New Roman" w:eastAsia="Times New Roman" w:hAnsi="Times New Roman" w:cs="Times New Roman"/>
                <w:sz w:val="20"/>
                <w:szCs w:val="20"/>
                <w:lang w:eastAsia="sk-SK"/>
              </w:rPr>
            </w:pPr>
            <w:r w:rsidRPr="00900B9A">
              <w:rPr>
                <w:rFonts w:ascii="Times New Roman" w:hAnsi="Times New Roman" w:cs="Times New Roman"/>
                <w:sz w:val="20"/>
                <w:szCs w:val="20"/>
              </w:rPr>
              <w:t>2 892</w:t>
            </w:r>
          </w:p>
        </w:tc>
        <w:tc>
          <w:tcPr>
            <w:tcW w:w="843" w:type="dxa"/>
            <w:shd w:val="clear" w:color="auto" w:fill="auto"/>
            <w:noWrap/>
          </w:tcPr>
          <w:p w14:paraId="01129C91" w14:textId="6D7F87A0" w:rsidR="00900B9A" w:rsidRPr="00900B9A" w:rsidRDefault="00900B9A" w:rsidP="00900B9A">
            <w:pPr>
              <w:spacing w:after="0" w:line="240" w:lineRule="auto"/>
              <w:rPr>
                <w:rFonts w:ascii="Times New Roman" w:eastAsia="Times New Roman" w:hAnsi="Times New Roman" w:cs="Times New Roman"/>
                <w:color w:val="000000"/>
                <w:sz w:val="20"/>
                <w:szCs w:val="20"/>
                <w:lang w:eastAsia="sk-SK"/>
              </w:rPr>
            </w:pPr>
            <w:r w:rsidRPr="00900B9A">
              <w:rPr>
                <w:rFonts w:ascii="Times New Roman" w:hAnsi="Times New Roman" w:cs="Times New Roman"/>
                <w:sz w:val="20"/>
                <w:szCs w:val="20"/>
              </w:rPr>
              <w:t>99 198 492</w:t>
            </w:r>
          </w:p>
        </w:tc>
        <w:tc>
          <w:tcPr>
            <w:tcW w:w="1000" w:type="dxa"/>
            <w:shd w:val="clear" w:color="auto" w:fill="auto"/>
            <w:noWrap/>
          </w:tcPr>
          <w:p w14:paraId="420D0685" w14:textId="4DDA9467" w:rsidR="00900B9A" w:rsidRPr="00900B9A" w:rsidRDefault="00900B9A" w:rsidP="00900B9A">
            <w:pPr>
              <w:spacing w:after="0" w:line="240" w:lineRule="auto"/>
              <w:rPr>
                <w:rFonts w:ascii="Times New Roman" w:eastAsia="Times New Roman" w:hAnsi="Times New Roman" w:cs="Times New Roman"/>
                <w:sz w:val="20"/>
                <w:szCs w:val="20"/>
                <w:highlight w:val="yellow"/>
                <w:lang w:eastAsia="sk-SK"/>
              </w:rPr>
            </w:pPr>
            <w:r w:rsidRPr="00900B9A">
              <w:rPr>
                <w:rFonts w:ascii="Times New Roman" w:hAnsi="Times New Roman" w:cs="Times New Roman"/>
                <w:sz w:val="20"/>
                <w:szCs w:val="20"/>
              </w:rPr>
              <w:t>In (zvyšuje náklady)</w:t>
            </w:r>
          </w:p>
        </w:tc>
        <w:tc>
          <w:tcPr>
            <w:tcW w:w="708" w:type="dxa"/>
            <w:shd w:val="clear" w:color="auto" w:fill="auto"/>
            <w:noWrap/>
            <w:vAlign w:val="center"/>
          </w:tcPr>
          <w:p w14:paraId="08BFFDBA" w14:textId="77777777" w:rsidR="00900B9A" w:rsidRPr="00900B9A"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8758C9B"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r>
      <w:tr w:rsidR="00900B9A" w:rsidRPr="00895898" w14:paraId="022095BC" w14:textId="77777777" w:rsidTr="00852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2653821" w14:textId="037B09CF" w:rsidR="00900B9A" w:rsidRPr="00F43D0F" w:rsidRDefault="00900B9A" w:rsidP="00900B9A">
            <w:pPr>
              <w:spacing w:after="0" w:line="240" w:lineRule="auto"/>
              <w:rPr>
                <w:rFonts w:ascii="Times New Roman" w:eastAsia="Times New Roman" w:hAnsi="Times New Roman" w:cs="Times New Roman"/>
                <w:sz w:val="20"/>
                <w:szCs w:val="20"/>
                <w:lang w:eastAsia="sk-SK"/>
              </w:rPr>
            </w:pPr>
            <w:r w:rsidRPr="00F43D0F">
              <w:rPr>
                <w:rFonts w:ascii="Times New Roman" w:eastAsia="Times New Roman" w:hAnsi="Times New Roman" w:cs="Times New Roman"/>
                <w:sz w:val="20"/>
                <w:szCs w:val="20"/>
                <w:lang w:eastAsia="sk-SK"/>
              </w:rPr>
              <w:lastRenderedPageBreak/>
              <w:t>2.</w:t>
            </w:r>
          </w:p>
        </w:tc>
        <w:tc>
          <w:tcPr>
            <w:tcW w:w="1740" w:type="dxa"/>
            <w:shd w:val="clear" w:color="auto" w:fill="auto"/>
          </w:tcPr>
          <w:p w14:paraId="302744A6" w14:textId="59A333A9" w:rsidR="00900B9A" w:rsidRPr="00F43D0F" w:rsidRDefault="00900B9A" w:rsidP="002D1CFC">
            <w:pPr>
              <w:spacing w:after="0" w:line="240" w:lineRule="auto"/>
              <w:rPr>
                <w:rFonts w:ascii="Times New Roman" w:eastAsia="Times New Roman" w:hAnsi="Times New Roman" w:cs="Times New Roman"/>
                <w:sz w:val="20"/>
                <w:szCs w:val="20"/>
                <w:lang w:eastAsia="sk-SK"/>
              </w:rPr>
            </w:pPr>
            <w:r w:rsidRPr="00F43D0F">
              <w:rPr>
                <w:rFonts w:ascii="Times New Roman" w:hAnsi="Times New Roman" w:cs="Times New Roman"/>
                <w:sz w:val="20"/>
                <w:szCs w:val="20"/>
              </w:rPr>
              <w:t>zvýšenie podielu mesačnej minimálnej mzdy na nasledujúci kalendárny rok zo sumy priemernej mesačnej nominálnej mzdy zamestn</w:t>
            </w:r>
            <w:r w:rsidR="00F43D0F">
              <w:rPr>
                <w:rFonts w:ascii="Times New Roman" w:hAnsi="Times New Roman" w:cs="Times New Roman"/>
                <w:sz w:val="20"/>
                <w:szCs w:val="20"/>
              </w:rPr>
              <w:t>a</w:t>
            </w:r>
            <w:r w:rsidRPr="00F43D0F">
              <w:rPr>
                <w:rFonts w:ascii="Times New Roman" w:hAnsi="Times New Roman" w:cs="Times New Roman"/>
                <w:sz w:val="20"/>
                <w:szCs w:val="20"/>
              </w:rPr>
              <w:t xml:space="preserve">nca v národnom hospodárstve, ktorý dva roky predchádza kalendárnemu roku, na ktorý sa určuje suma mesačnej minimálnej mzdy a to z 57 % na 60% - navýšenie </w:t>
            </w:r>
            <w:r w:rsidR="0083550A">
              <w:rPr>
                <w:rFonts w:ascii="Times New Roman" w:hAnsi="Times New Roman" w:cs="Times New Roman"/>
                <w:sz w:val="20"/>
                <w:szCs w:val="20"/>
              </w:rPr>
              <w:t>mzdových zvýhodnení</w:t>
            </w:r>
            <w:r w:rsidR="00D75812">
              <w:rPr>
                <w:rFonts w:ascii="Times New Roman" w:hAnsi="Times New Roman" w:cs="Times New Roman"/>
                <w:sz w:val="20"/>
                <w:szCs w:val="20"/>
              </w:rPr>
              <w:t xml:space="preserve"> naviazaných na minimálnu mzdu</w:t>
            </w:r>
          </w:p>
        </w:tc>
        <w:tc>
          <w:tcPr>
            <w:tcW w:w="992" w:type="dxa"/>
          </w:tcPr>
          <w:p w14:paraId="6D81551D" w14:textId="13298DBF" w:rsidR="00900B9A" w:rsidRPr="00900B9A" w:rsidRDefault="00900B9A" w:rsidP="00900B9A">
            <w:pPr>
              <w:spacing w:after="0" w:line="240" w:lineRule="auto"/>
              <w:rPr>
                <w:rFonts w:ascii="Times New Roman" w:eastAsia="Times New Roman" w:hAnsi="Times New Roman" w:cs="Times New Roman"/>
                <w:sz w:val="20"/>
                <w:szCs w:val="20"/>
                <w:lang w:eastAsia="sk-SK"/>
              </w:rPr>
            </w:pPr>
            <w:r w:rsidRPr="00900B9A">
              <w:rPr>
                <w:rFonts w:ascii="Times New Roman" w:hAnsi="Times New Roman" w:cs="Times New Roman"/>
                <w:sz w:val="20"/>
                <w:szCs w:val="20"/>
              </w:rPr>
              <w:t>663/2007 Z. z.</w:t>
            </w:r>
          </w:p>
        </w:tc>
        <w:tc>
          <w:tcPr>
            <w:tcW w:w="1134" w:type="dxa"/>
          </w:tcPr>
          <w:p w14:paraId="15AB3E50" w14:textId="3C2F94EE" w:rsidR="00900B9A" w:rsidRPr="00900B9A" w:rsidRDefault="00900B9A" w:rsidP="00900B9A">
            <w:pPr>
              <w:spacing w:after="0" w:line="240" w:lineRule="auto"/>
              <w:rPr>
                <w:rFonts w:ascii="Times New Roman" w:eastAsia="Times New Roman" w:hAnsi="Times New Roman" w:cs="Times New Roman"/>
                <w:sz w:val="20"/>
                <w:szCs w:val="20"/>
                <w:lang w:eastAsia="sk-SK"/>
              </w:rPr>
            </w:pPr>
            <w:r w:rsidRPr="00900B9A">
              <w:rPr>
                <w:rFonts w:ascii="Times New Roman" w:hAnsi="Times New Roman" w:cs="Times New Roman"/>
                <w:sz w:val="20"/>
                <w:szCs w:val="20"/>
              </w:rPr>
              <w:t>§ 8</w:t>
            </w:r>
          </w:p>
        </w:tc>
        <w:tc>
          <w:tcPr>
            <w:tcW w:w="1843" w:type="dxa"/>
            <w:shd w:val="clear" w:color="auto" w:fill="auto"/>
          </w:tcPr>
          <w:p w14:paraId="65823171" w14:textId="08713F50" w:rsidR="00900B9A" w:rsidRPr="00900B9A" w:rsidDel="00801596" w:rsidRDefault="00900B9A" w:rsidP="00900B9A">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900B9A">
              <w:rPr>
                <w:rFonts w:ascii="Times New Roman" w:hAnsi="Times New Roman" w:cs="Times New Roman"/>
                <w:sz w:val="20"/>
                <w:szCs w:val="20"/>
              </w:rPr>
              <w:t>2. EÚ úplná harmonizácia</w:t>
            </w:r>
          </w:p>
        </w:tc>
        <w:tc>
          <w:tcPr>
            <w:tcW w:w="992" w:type="dxa"/>
          </w:tcPr>
          <w:p w14:paraId="4EAFA699" w14:textId="7B969329" w:rsidR="00900B9A" w:rsidRPr="00900B9A" w:rsidRDefault="00900B9A" w:rsidP="00900B9A">
            <w:pPr>
              <w:spacing w:after="0" w:line="240" w:lineRule="auto"/>
              <w:rPr>
                <w:rFonts w:ascii="Times New Roman" w:eastAsia="Times New Roman" w:hAnsi="Times New Roman" w:cs="Times New Roman"/>
                <w:color w:val="000000"/>
                <w:sz w:val="20"/>
                <w:szCs w:val="20"/>
                <w:lang w:eastAsia="sk-SK"/>
              </w:rPr>
            </w:pPr>
            <w:r w:rsidRPr="00900B9A">
              <w:rPr>
                <w:rFonts w:ascii="Times New Roman" w:hAnsi="Times New Roman" w:cs="Times New Roman"/>
                <w:sz w:val="20"/>
                <w:szCs w:val="20"/>
              </w:rPr>
              <w:t>01.01.25</w:t>
            </w:r>
          </w:p>
        </w:tc>
        <w:tc>
          <w:tcPr>
            <w:tcW w:w="1160" w:type="dxa"/>
            <w:shd w:val="clear" w:color="auto" w:fill="auto"/>
            <w:noWrap/>
          </w:tcPr>
          <w:p w14:paraId="439720A9" w14:textId="5A988773" w:rsidR="00900B9A" w:rsidRPr="00900B9A" w:rsidRDefault="00900B9A" w:rsidP="00900B9A">
            <w:pPr>
              <w:spacing w:after="0" w:line="240" w:lineRule="auto"/>
              <w:rPr>
                <w:rFonts w:ascii="Times New Roman" w:eastAsia="Times New Roman" w:hAnsi="Times New Roman" w:cs="Times New Roman"/>
                <w:color w:val="000000"/>
                <w:sz w:val="20"/>
                <w:szCs w:val="20"/>
                <w:lang w:eastAsia="sk-SK"/>
              </w:rPr>
            </w:pPr>
            <w:r w:rsidRPr="00900B9A">
              <w:rPr>
                <w:rFonts w:ascii="Times New Roman" w:hAnsi="Times New Roman" w:cs="Times New Roman"/>
                <w:sz w:val="20"/>
                <w:szCs w:val="20"/>
              </w:rPr>
              <w:t>zamestnávatelia</w:t>
            </w:r>
          </w:p>
        </w:tc>
        <w:tc>
          <w:tcPr>
            <w:tcW w:w="1108" w:type="dxa"/>
          </w:tcPr>
          <w:p w14:paraId="17CCCE83" w14:textId="289134D9" w:rsidR="00900B9A" w:rsidRPr="00900B9A" w:rsidRDefault="00900B9A" w:rsidP="00900B9A">
            <w:pPr>
              <w:spacing w:after="0" w:line="240" w:lineRule="auto"/>
              <w:rPr>
                <w:rFonts w:ascii="Times New Roman" w:eastAsia="Times New Roman" w:hAnsi="Times New Roman" w:cs="Times New Roman"/>
                <w:sz w:val="20"/>
                <w:szCs w:val="20"/>
                <w:lang w:eastAsia="sk-SK"/>
              </w:rPr>
            </w:pPr>
            <w:r w:rsidRPr="00900B9A">
              <w:rPr>
                <w:rFonts w:ascii="Times New Roman" w:hAnsi="Times New Roman" w:cs="Times New Roman"/>
                <w:sz w:val="20"/>
                <w:szCs w:val="20"/>
              </w:rPr>
              <w:t xml:space="preserve"> 21 474 </w:t>
            </w:r>
          </w:p>
        </w:tc>
        <w:tc>
          <w:tcPr>
            <w:tcW w:w="851" w:type="dxa"/>
            <w:shd w:val="clear" w:color="auto" w:fill="auto"/>
            <w:noWrap/>
          </w:tcPr>
          <w:p w14:paraId="271B2646" w14:textId="65A53C26" w:rsidR="00900B9A" w:rsidRPr="00900B9A" w:rsidRDefault="00900B9A" w:rsidP="00900B9A">
            <w:pPr>
              <w:spacing w:after="0" w:line="240" w:lineRule="auto"/>
              <w:rPr>
                <w:rFonts w:ascii="Times New Roman" w:eastAsia="Times New Roman" w:hAnsi="Times New Roman" w:cs="Times New Roman"/>
                <w:sz w:val="20"/>
                <w:szCs w:val="20"/>
                <w:lang w:eastAsia="sk-SK"/>
              </w:rPr>
            </w:pPr>
            <w:r w:rsidRPr="00900B9A">
              <w:rPr>
                <w:rFonts w:ascii="Times New Roman" w:hAnsi="Times New Roman" w:cs="Times New Roman"/>
                <w:sz w:val="20"/>
                <w:szCs w:val="20"/>
              </w:rPr>
              <w:t>528</w:t>
            </w:r>
          </w:p>
        </w:tc>
        <w:tc>
          <w:tcPr>
            <w:tcW w:w="843" w:type="dxa"/>
            <w:shd w:val="clear" w:color="auto" w:fill="auto"/>
            <w:noWrap/>
          </w:tcPr>
          <w:p w14:paraId="57980520" w14:textId="0F017D69" w:rsidR="00900B9A" w:rsidRPr="00900B9A" w:rsidRDefault="00900B9A" w:rsidP="00900B9A">
            <w:pPr>
              <w:spacing w:after="0" w:line="240" w:lineRule="auto"/>
              <w:rPr>
                <w:rFonts w:ascii="Times New Roman" w:eastAsia="Times New Roman" w:hAnsi="Times New Roman" w:cs="Times New Roman"/>
                <w:color w:val="000000"/>
                <w:sz w:val="20"/>
                <w:szCs w:val="20"/>
                <w:lang w:eastAsia="sk-SK"/>
              </w:rPr>
            </w:pPr>
            <w:r w:rsidRPr="00900B9A">
              <w:rPr>
                <w:rFonts w:ascii="Times New Roman" w:hAnsi="Times New Roman" w:cs="Times New Roman"/>
                <w:sz w:val="20"/>
                <w:szCs w:val="20"/>
              </w:rPr>
              <w:t>11 338 272</w:t>
            </w:r>
          </w:p>
        </w:tc>
        <w:tc>
          <w:tcPr>
            <w:tcW w:w="1000" w:type="dxa"/>
            <w:shd w:val="clear" w:color="auto" w:fill="auto"/>
            <w:noWrap/>
          </w:tcPr>
          <w:p w14:paraId="7E097137" w14:textId="4734E56F" w:rsidR="00900B9A" w:rsidRPr="00900B9A" w:rsidRDefault="00900B9A" w:rsidP="00900B9A">
            <w:pPr>
              <w:spacing w:after="0" w:line="240" w:lineRule="auto"/>
              <w:rPr>
                <w:rFonts w:ascii="Times New Roman" w:eastAsia="Times New Roman" w:hAnsi="Times New Roman" w:cs="Times New Roman"/>
                <w:sz w:val="20"/>
                <w:szCs w:val="20"/>
                <w:lang w:eastAsia="sk-SK"/>
              </w:rPr>
            </w:pPr>
            <w:r w:rsidRPr="00900B9A">
              <w:rPr>
                <w:rFonts w:ascii="Times New Roman" w:hAnsi="Times New Roman" w:cs="Times New Roman"/>
                <w:sz w:val="20"/>
                <w:szCs w:val="20"/>
              </w:rPr>
              <w:t>In (zvyšuje náklady)</w:t>
            </w:r>
          </w:p>
        </w:tc>
        <w:tc>
          <w:tcPr>
            <w:tcW w:w="708" w:type="dxa"/>
            <w:shd w:val="clear" w:color="auto" w:fill="auto"/>
            <w:noWrap/>
            <w:vAlign w:val="center"/>
          </w:tcPr>
          <w:p w14:paraId="4B494DF4" w14:textId="77777777" w:rsidR="00900B9A" w:rsidRPr="00900B9A"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64076F6"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r>
      <w:tr w:rsidR="00900B9A" w:rsidRPr="00895898" w14:paraId="4D05B96D"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71D0305"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6F09B9B9"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992" w:type="dxa"/>
          </w:tcPr>
          <w:p w14:paraId="6326D60E"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134" w:type="dxa"/>
          </w:tcPr>
          <w:p w14:paraId="63EECDFF"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5B619397" w14:textId="77777777" w:rsidR="00900B9A" w:rsidDel="00801596" w:rsidRDefault="00900B9A" w:rsidP="00900B9A">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967ED88"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331066E7"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08" w:type="dxa"/>
          </w:tcPr>
          <w:p w14:paraId="1748865C"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5457341D"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30771B52"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645FEA02"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4EA14B08"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CC858DC"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r>
      <w:tr w:rsidR="00900B9A" w:rsidRPr="00895898" w14:paraId="48195AE8"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FA76BB4"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04DBC1D2"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992" w:type="dxa"/>
          </w:tcPr>
          <w:p w14:paraId="7DA73847"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134" w:type="dxa"/>
          </w:tcPr>
          <w:p w14:paraId="1326F554"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589E62F8" w14:textId="77777777" w:rsidR="00900B9A" w:rsidDel="00801596" w:rsidRDefault="00900B9A" w:rsidP="00900B9A">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F479A8F"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09015152"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08" w:type="dxa"/>
          </w:tcPr>
          <w:p w14:paraId="12996373"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2188F025"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1D718C37"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281CEC7A"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78A8DDA2"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14B7D7A"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r>
      <w:tr w:rsidR="00900B9A" w:rsidRPr="00895898" w14:paraId="7D495C88"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FC148DB"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0514BEF2"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992" w:type="dxa"/>
          </w:tcPr>
          <w:p w14:paraId="07EE0509"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134" w:type="dxa"/>
          </w:tcPr>
          <w:p w14:paraId="5143E9CF"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356D853D" w14:textId="77777777" w:rsidR="00900B9A" w:rsidDel="00801596" w:rsidRDefault="00900B9A" w:rsidP="00900B9A">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59D433C"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3D2938FA"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08" w:type="dxa"/>
          </w:tcPr>
          <w:p w14:paraId="717BA309"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2F2A96C4"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0FE6B8D8"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214DEF91"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45EC50E3"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5E7EBAF"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r>
      <w:tr w:rsidR="00900B9A" w:rsidRPr="00895898" w14:paraId="67FD2956"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26FC3F2"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14BCDC2E"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992" w:type="dxa"/>
          </w:tcPr>
          <w:p w14:paraId="2C578C35"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134" w:type="dxa"/>
          </w:tcPr>
          <w:p w14:paraId="35AAA047"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6DD38128" w14:textId="77777777" w:rsidR="00900B9A" w:rsidDel="00801596" w:rsidRDefault="00900B9A" w:rsidP="00900B9A">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660ED2AA"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61B4BCC4"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08" w:type="dxa"/>
          </w:tcPr>
          <w:p w14:paraId="6DBA9274"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29915185"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46F12C04"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2D3260FB"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00BF5AA0"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8044CA5"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r>
      <w:tr w:rsidR="00900B9A" w:rsidRPr="00895898" w14:paraId="26381EED"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627B3E9"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6C2DF285"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992" w:type="dxa"/>
          </w:tcPr>
          <w:p w14:paraId="39BDC257"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134" w:type="dxa"/>
          </w:tcPr>
          <w:p w14:paraId="3FD55E58"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77912E88" w14:textId="77777777" w:rsidR="00900B9A" w:rsidDel="00801596" w:rsidRDefault="00900B9A" w:rsidP="00900B9A">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17B30C13"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4AE2E156"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08" w:type="dxa"/>
          </w:tcPr>
          <w:p w14:paraId="7CEB6F10"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6F10BC4F"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70151A82"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74A6D825"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3FBF0B70" w14:textId="77777777" w:rsidR="00900B9A" w:rsidRPr="00895898" w:rsidRDefault="00900B9A" w:rsidP="00900B9A">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F26953E" w14:textId="77777777" w:rsidR="00900B9A" w:rsidRPr="00895898" w:rsidRDefault="00900B9A" w:rsidP="00900B9A">
            <w:pPr>
              <w:spacing w:after="0" w:line="240" w:lineRule="auto"/>
              <w:rPr>
                <w:rFonts w:ascii="Times New Roman" w:eastAsia="Times New Roman" w:hAnsi="Times New Roman" w:cs="Times New Roman"/>
                <w:sz w:val="20"/>
                <w:szCs w:val="20"/>
                <w:lang w:eastAsia="sk-SK"/>
              </w:rPr>
            </w:pPr>
          </w:p>
        </w:tc>
      </w:tr>
    </w:tbl>
    <w:p w14:paraId="520734CD" w14:textId="77777777" w:rsidR="00054C41" w:rsidRPr="00895898" w:rsidRDefault="00054C41" w:rsidP="00054C41">
      <w:pPr>
        <w:jc w:val="both"/>
        <w:rPr>
          <w:rFonts w:ascii="Times New Roman" w:eastAsia="Calibri" w:hAnsi="Times New Roman" w:cs="Times New Roman"/>
          <w:i/>
        </w:rPr>
      </w:pPr>
    </w:p>
    <w:p w14:paraId="798179FB"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77318665"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41FDC667" w14:textId="668FE7AA"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5A348D95" w14:textId="666DF69D" w:rsidR="00D51F07" w:rsidRPr="00D51F07" w:rsidRDefault="00D51F07" w:rsidP="002F0231">
      <w:pPr>
        <w:spacing w:after="40" w:line="240" w:lineRule="auto"/>
        <w:ind w:left="2124" w:hanging="2120"/>
        <w:jc w:val="both"/>
        <w:rPr>
          <w:rFonts w:ascii="Times New Roman" w:eastAsia="Times New Roman" w:hAnsi="Times New Roman" w:cs="Times New Roman"/>
          <w:sz w:val="24"/>
          <w:szCs w:val="24"/>
          <w:u w:val="single"/>
          <w:lang w:eastAsia="sk-SK"/>
        </w:rPr>
      </w:pPr>
      <w:r w:rsidRPr="00D51F07">
        <w:rPr>
          <w:rFonts w:ascii="Times New Roman" w:eastAsia="Times New Roman" w:hAnsi="Times New Roman" w:cs="Times New Roman"/>
          <w:sz w:val="24"/>
          <w:szCs w:val="24"/>
          <w:u w:val="single"/>
          <w:lang w:eastAsia="sk-SK"/>
        </w:rPr>
        <w:t>Minimálna mzda</w:t>
      </w:r>
    </w:p>
    <w:p w14:paraId="3178850F" w14:textId="77777777" w:rsidR="00D51F07" w:rsidRDefault="00D51F07" w:rsidP="002F0231">
      <w:pPr>
        <w:spacing w:after="40" w:line="240" w:lineRule="auto"/>
        <w:ind w:left="2124" w:hanging="2120"/>
        <w:jc w:val="both"/>
        <w:rPr>
          <w:rFonts w:ascii="Times New Roman" w:eastAsia="Times New Roman" w:hAnsi="Times New Roman" w:cs="Times New Roman"/>
          <w:b/>
          <w:sz w:val="24"/>
          <w:szCs w:val="24"/>
          <w:lang w:eastAsia="sk-SK"/>
        </w:rPr>
      </w:pPr>
    </w:p>
    <w:p w14:paraId="2EF38446" w14:textId="52EEE29D" w:rsidR="00852355" w:rsidRPr="00E133F3" w:rsidRDefault="00852355" w:rsidP="002F0231">
      <w:pPr>
        <w:spacing w:after="40" w:line="240" w:lineRule="auto"/>
        <w:ind w:left="2124" w:hanging="2120"/>
        <w:jc w:val="both"/>
        <w:rPr>
          <w:rFonts w:ascii="Times New Roman" w:eastAsia="Times New Roman" w:hAnsi="Times New Roman" w:cs="Times New Roman"/>
          <w:b/>
          <w:sz w:val="24"/>
          <w:szCs w:val="24"/>
          <w:lang w:eastAsia="sk-SK"/>
        </w:rPr>
      </w:pPr>
      <w:r w:rsidRPr="00E133F3">
        <w:rPr>
          <w:rFonts w:ascii="Times New Roman" w:eastAsia="Times New Roman" w:hAnsi="Times New Roman" w:cs="Times New Roman"/>
          <w:b/>
          <w:sz w:val="24"/>
          <w:szCs w:val="24"/>
          <w:lang w:eastAsia="sk-SK"/>
        </w:rPr>
        <w:t xml:space="preserve">Zdroj údajov: </w:t>
      </w:r>
    </w:p>
    <w:p w14:paraId="4F263431" w14:textId="77777777" w:rsidR="00852355" w:rsidRPr="00E133F3" w:rsidRDefault="00852355" w:rsidP="002F0231">
      <w:pPr>
        <w:pStyle w:val="Odsekzoznamu"/>
        <w:numPr>
          <w:ilvl w:val="0"/>
          <w:numId w:val="16"/>
        </w:numPr>
        <w:spacing w:after="40" w:line="240" w:lineRule="auto"/>
        <w:jc w:val="both"/>
        <w:rPr>
          <w:rFonts w:ascii="Times New Roman" w:eastAsia="Times New Roman" w:hAnsi="Times New Roman" w:cs="Times New Roman"/>
          <w:sz w:val="24"/>
          <w:szCs w:val="24"/>
          <w:lang w:eastAsia="sk-SK"/>
        </w:rPr>
      </w:pPr>
      <w:r w:rsidRPr="00E133F3">
        <w:rPr>
          <w:rFonts w:ascii="Times New Roman" w:eastAsia="Times New Roman" w:hAnsi="Times New Roman" w:cs="Times New Roman"/>
          <w:sz w:val="24"/>
          <w:szCs w:val="24"/>
          <w:lang w:eastAsia="sk-SK"/>
        </w:rPr>
        <w:t>výberové štatistické zisťovanie, štvrťročný výkaz o cene práce ISCP (MPSVR SR) 1-04, údaje za 1. štvrťrok 2022</w:t>
      </w:r>
    </w:p>
    <w:p w14:paraId="07AD0F93" w14:textId="77777777" w:rsidR="00852355" w:rsidRPr="00E133F3" w:rsidRDefault="00852355" w:rsidP="002F0231">
      <w:pPr>
        <w:pStyle w:val="Odsekzoznamu"/>
        <w:numPr>
          <w:ilvl w:val="0"/>
          <w:numId w:val="16"/>
        </w:numPr>
        <w:spacing w:after="40" w:line="240" w:lineRule="auto"/>
        <w:jc w:val="both"/>
        <w:rPr>
          <w:rFonts w:ascii="Times New Roman" w:eastAsia="Times New Roman" w:hAnsi="Times New Roman" w:cs="Times New Roman"/>
          <w:sz w:val="24"/>
          <w:szCs w:val="24"/>
          <w:lang w:eastAsia="sk-SK"/>
        </w:rPr>
      </w:pPr>
      <w:r w:rsidRPr="00E133F3">
        <w:rPr>
          <w:rFonts w:ascii="Times New Roman" w:eastAsia="Times New Roman" w:hAnsi="Times New Roman" w:cs="Times New Roman"/>
          <w:sz w:val="24"/>
          <w:szCs w:val="24"/>
          <w:lang w:eastAsia="sk-SK"/>
        </w:rPr>
        <w:t>makroekonomická prognóza Inštitútu finančnej politiky (IFP) Ministerstva financií SR, február 2024</w:t>
      </w:r>
    </w:p>
    <w:p w14:paraId="0E9116A1" w14:textId="2287ADD5" w:rsidR="00A77EE4" w:rsidRPr="00E133F3" w:rsidRDefault="00A77EE4" w:rsidP="002F0231">
      <w:pPr>
        <w:spacing w:after="40"/>
        <w:jc w:val="both"/>
        <w:rPr>
          <w:rFonts w:ascii="Times New Roman" w:eastAsia="Calibri" w:hAnsi="Times New Roman" w:cs="Times New Roman"/>
          <w:bCs/>
          <w:iCs/>
          <w:sz w:val="24"/>
          <w:szCs w:val="24"/>
        </w:rPr>
      </w:pPr>
      <w:r w:rsidRPr="00E133F3">
        <w:rPr>
          <w:rFonts w:ascii="Times New Roman" w:eastAsia="Calibri" w:hAnsi="Times New Roman" w:cs="Times New Roman"/>
          <w:bCs/>
          <w:iCs/>
          <w:sz w:val="24"/>
          <w:szCs w:val="24"/>
        </w:rPr>
        <w:t xml:space="preserve">Hodnoty predstavujú dopad na zamestnávateľov v podnikateľskej sfére v roku 2026. </w:t>
      </w:r>
      <w:r w:rsidR="00237974" w:rsidRPr="00E133F3">
        <w:rPr>
          <w:rFonts w:ascii="Times New Roman" w:eastAsia="Calibri" w:hAnsi="Times New Roman" w:cs="Times New Roman"/>
          <w:bCs/>
          <w:iCs/>
          <w:sz w:val="24"/>
          <w:szCs w:val="24"/>
        </w:rPr>
        <w:t xml:space="preserve">Počty zamestnávateľov sú odhadnuté z  výberového zisťovania ISCP, pričom na určenie ich počtu sa používajú </w:t>
      </w:r>
      <w:proofErr w:type="spellStart"/>
      <w:r w:rsidR="00237974" w:rsidRPr="00E133F3">
        <w:rPr>
          <w:rFonts w:ascii="Times New Roman" w:eastAsia="Calibri" w:hAnsi="Times New Roman" w:cs="Times New Roman"/>
          <w:bCs/>
          <w:iCs/>
          <w:sz w:val="24"/>
          <w:szCs w:val="24"/>
        </w:rPr>
        <w:t>dopočtové</w:t>
      </w:r>
      <w:proofErr w:type="spellEnd"/>
      <w:r w:rsidR="00237974" w:rsidRPr="00E133F3">
        <w:rPr>
          <w:rFonts w:ascii="Times New Roman" w:eastAsia="Calibri" w:hAnsi="Times New Roman" w:cs="Times New Roman"/>
          <w:bCs/>
          <w:iCs/>
          <w:sz w:val="24"/>
          <w:szCs w:val="24"/>
        </w:rPr>
        <w:t xml:space="preserve"> koeficienty (uvedené ako váhy jednotlivcov v </w:t>
      </w:r>
      <w:proofErr w:type="spellStart"/>
      <w:r w:rsidR="00237974" w:rsidRPr="00E133F3">
        <w:rPr>
          <w:rFonts w:ascii="Times New Roman" w:eastAsia="Calibri" w:hAnsi="Times New Roman" w:cs="Times New Roman"/>
          <w:bCs/>
          <w:iCs/>
          <w:sz w:val="24"/>
          <w:szCs w:val="24"/>
        </w:rPr>
        <w:t>mikrodátach</w:t>
      </w:r>
      <w:proofErr w:type="spellEnd"/>
      <w:r w:rsidR="00237974" w:rsidRPr="00E133F3">
        <w:rPr>
          <w:rFonts w:ascii="Times New Roman" w:eastAsia="Calibri" w:hAnsi="Times New Roman" w:cs="Times New Roman"/>
          <w:bCs/>
          <w:iCs/>
          <w:sz w:val="24"/>
          <w:szCs w:val="24"/>
        </w:rPr>
        <w:t xml:space="preserve">). Pri odhade sa využíva skutočnosť, že váhy sú identické pre všetkých zamestnancov rovnakého zamestnávateľa. </w:t>
      </w:r>
      <w:proofErr w:type="spellStart"/>
      <w:r w:rsidR="00237974" w:rsidRPr="00E133F3">
        <w:rPr>
          <w:rFonts w:ascii="Times New Roman" w:eastAsia="Calibri" w:hAnsi="Times New Roman" w:cs="Times New Roman"/>
          <w:bCs/>
          <w:iCs/>
          <w:sz w:val="24"/>
          <w:szCs w:val="24"/>
        </w:rPr>
        <w:t>Dopočtový</w:t>
      </w:r>
      <w:proofErr w:type="spellEnd"/>
      <w:r w:rsidR="00237974" w:rsidRPr="00E133F3">
        <w:rPr>
          <w:rFonts w:ascii="Times New Roman" w:eastAsia="Calibri" w:hAnsi="Times New Roman" w:cs="Times New Roman"/>
          <w:bCs/>
          <w:iCs/>
          <w:sz w:val="24"/>
          <w:szCs w:val="24"/>
        </w:rPr>
        <w:t xml:space="preserve"> koeficient, ktorý je použitý pre zamestnancov rovnakého podnikateľského subjektu, je tak možné interpretovať aj ako váhu daného zamestnávateľa.</w:t>
      </w:r>
    </w:p>
    <w:p w14:paraId="40E4DE0E" w14:textId="512E72F2" w:rsidR="00B653A4" w:rsidRPr="00E133F3" w:rsidRDefault="00B653A4" w:rsidP="002F0231">
      <w:pPr>
        <w:spacing w:after="40"/>
        <w:jc w:val="both"/>
        <w:rPr>
          <w:rFonts w:ascii="Times New Roman" w:eastAsia="Calibri" w:hAnsi="Times New Roman" w:cs="Times New Roman"/>
          <w:b/>
          <w:bCs/>
          <w:iCs/>
          <w:sz w:val="24"/>
          <w:szCs w:val="24"/>
        </w:rPr>
      </w:pPr>
      <w:r w:rsidRPr="00E133F3">
        <w:rPr>
          <w:rFonts w:ascii="Times New Roman" w:eastAsia="Calibri" w:hAnsi="Times New Roman" w:cs="Times New Roman"/>
          <w:b/>
          <w:bCs/>
          <w:iCs/>
          <w:sz w:val="24"/>
          <w:szCs w:val="24"/>
        </w:rPr>
        <w:t>Doplatky do výšky minimálnej mzdy, plus sociálne a zdravotné odvody – výpočet:</w:t>
      </w:r>
    </w:p>
    <w:p w14:paraId="61BEEE20" w14:textId="1B92D777" w:rsidR="00B653A4" w:rsidRPr="00E133F3" w:rsidRDefault="00027DA2" w:rsidP="002F0231">
      <w:pPr>
        <w:pStyle w:val="Odsekzoznamu"/>
        <w:numPr>
          <w:ilvl w:val="0"/>
          <w:numId w:val="16"/>
        </w:numPr>
        <w:spacing w:after="40"/>
        <w:jc w:val="both"/>
        <w:rPr>
          <w:rFonts w:ascii="Times New Roman" w:eastAsia="Calibri" w:hAnsi="Times New Roman" w:cs="Times New Roman"/>
          <w:bCs/>
          <w:iCs/>
          <w:sz w:val="24"/>
          <w:szCs w:val="24"/>
        </w:rPr>
      </w:pPr>
      <w:proofErr w:type="spellStart"/>
      <w:r w:rsidRPr="00E133F3">
        <w:rPr>
          <w:rFonts w:ascii="Times New Roman" w:eastAsia="Calibri" w:hAnsi="Times New Roman" w:cs="Times New Roman"/>
          <w:bCs/>
          <w:iCs/>
          <w:sz w:val="24"/>
          <w:szCs w:val="24"/>
        </w:rPr>
        <w:t>Mikrosimulácia</w:t>
      </w:r>
      <w:proofErr w:type="spellEnd"/>
      <w:r w:rsidRPr="00E133F3">
        <w:rPr>
          <w:rFonts w:ascii="Times New Roman" w:eastAsia="Calibri" w:hAnsi="Times New Roman" w:cs="Times New Roman"/>
          <w:bCs/>
          <w:iCs/>
          <w:sz w:val="24"/>
          <w:szCs w:val="24"/>
        </w:rPr>
        <w:t xml:space="preserve"> pomocou dát z ISCP 1-04 aplikovaná na subjekty súkromného sektora vedie k nasledujúcim ročným od</w:t>
      </w:r>
      <w:r w:rsidR="0001311F" w:rsidRPr="00E133F3">
        <w:rPr>
          <w:rFonts w:ascii="Times New Roman" w:eastAsia="Calibri" w:hAnsi="Times New Roman" w:cs="Times New Roman"/>
          <w:bCs/>
          <w:iCs/>
          <w:sz w:val="24"/>
          <w:szCs w:val="24"/>
        </w:rPr>
        <w:t xml:space="preserve">hadom zvýšenia nákladov na mzdy a </w:t>
      </w:r>
      <w:r w:rsidRPr="00E133F3">
        <w:rPr>
          <w:rFonts w:ascii="Times New Roman" w:eastAsia="Calibri" w:hAnsi="Times New Roman" w:cs="Times New Roman"/>
          <w:bCs/>
          <w:iCs/>
          <w:sz w:val="24"/>
          <w:szCs w:val="24"/>
        </w:rPr>
        <w:t>odvody</w:t>
      </w:r>
      <w:r w:rsidR="0001311F" w:rsidRPr="00E133F3">
        <w:rPr>
          <w:rFonts w:ascii="Times New Roman" w:eastAsia="Calibri" w:hAnsi="Times New Roman" w:cs="Times New Roman"/>
          <w:bCs/>
          <w:iCs/>
          <w:sz w:val="24"/>
          <w:szCs w:val="24"/>
        </w:rPr>
        <w:t xml:space="preserve"> (v EUR)</w:t>
      </w:r>
      <w:r w:rsidRPr="00E133F3">
        <w:rPr>
          <w:rFonts w:ascii="Times New Roman" w:eastAsia="Calibri" w:hAnsi="Times New Roman" w:cs="Times New Roman"/>
          <w:bCs/>
          <w:iCs/>
          <w:sz w:val="24"/>
          <w:szCs w:val="24"/>
        </w:rPr>
        <w:t>:</w:t>
      </w:r>
    </w:p>
    <w:tbl>
      <w:tblPr>
        <w:tblStyle w:val="Mriekatabuky"/>
        <w:tblW w:w="0" w:type="auto"/>
        <w:tblInd w:w="4" w:type="dxa"/>
        <w:tblLook w:val="04A0" w:firstRow="1" w:lastRow="0" w:firstColumn="1" w:lastColumn="0" w:noHBand="0" w:noVBand="1"/>
      </w:tblPr>
      <w:tblGrid>
        <w:gridCol w:w="4529"/>
        <w:gridCol w:w="4529"/>
      </w:tblGrid>
      <w:tr w:rsidR="00E133F3" w:rsidRPr="00E133F3" w14:paraId="7ADBF90A" w14:textId="77777777" w:rsidTr="00027DA2">
        <w:tc>
          <w:tcPr>
            <w:tcW w:w="4529" w:type="dxa"/>
            <w:vAlign w:val="bottom"/>
          </w:tcPr>
          <w:p w14:paraId="2ADE41DB" w14:textId="136504D2" w:rsidR="00027DA2" w:rsidRPr="00E133F3" w:rsidRDefault="00027DA2" w:rsidP="002F0231">
            <w:pPr>
              <w:spacing w:after="40"/>
              <w:jc w:val="both"/>
              <w:rPr>
                <w:rFonts w:ascii="Times New Roman" w:eastAsia="Calibri" w:hAnsi="Times New Roman" w:cs="Times New Roman"/>
                <w:b/>
                <w:bCs/>
                <w:iCs/>
                <w:sz w:val="24"/>
                <w:szCs w:val="24"/>
              </w:rPr>
            </w:pPr>
            <w:r w:rsidRPr="00E133F3">
              <w:rPr>
                <w:rFonts w:ascii="Times New Roman" w:hAnsi="Times New Roman" w:cs="Times New Roman"/>
                <w:b/>
                <w:sz w:val="24"/>
                <w:szCs w:val="24"/>
              </w:rPr>
              <w:t>Vplyv na súkromný sektor:</w:t>
            </w:r>
          </w:p>
        </w:tc>
        <w:tc>
          <w:tcPr>
            <w:tcW w:w="4529" w:type="dxa"/>
            <w:vAlign w:val="bottom"/>
          </w:tcPr>
          <w:p w14:paraId="2B9128EE" w14:textId="77777777" w:rsidR="00027DA2" w:rsidRPr="00E133F3" w:rsidRDefault="00027DA2" w:rsidP="002F0231">
            <w:pPr>
              <w:spacing w:after="40"/>
              <w:jc w:val="both"/>
              <w:rPr>
                <w:rFonts w:ascii="Times New Roman" w:eastAsia="Calibri" w:hAnsi="Times New Roman" w:cs="Times New Roman"/>
                <w:bCs/>
                <w:iCs/>
                <w:sz w:val="24"/>
                <w:szCs w:val="24"/>
              </w:rPr>
            </w:pPr>
          </w:p>
        </w:tc>
      </w:tr>
      <w:tr w:rsidR="00E133F3" w:rsidRPr="00E133F3" w14:paraId="15F2FCDE" w14:textId="77777777" w:rsidTr="00027DA2">
        <w:tc>
          <w:tcPr>
            <w:tcW w:w="4529" w:type="dxa"/>
            <w:vAlign w:val="bottom"/>
          </w:tcPr>
          <w:p w14:paraId="63EDF8E1" w14:textId="47EF7F20" w:rsidR="00027DA2" w:rsidRPr="00E133F3" w:rsidRDefault="00027DA2" w:rsidP="002F0231">
            <w:pPr>
              <w:pStyle w:val="Odsekzoznamu"/>
              <w:numPr>
                <w:ilvl w:val="0"/>
                <w:numId w:val="16"/>
              </w:numPr>
              <w:spacing w:after="40"/>
              <w:jc w:val="both"/>
              <w:rPr>
                <w:rFonts w:ascii="Times New Roman" w:eastAsia="Calibri" w:hAnsi="Times New Roman" w:cs="Times New Roman"/>
                <w:bCs/>
                <w:iCs/>
                <w:sz w:val="24"/>
                <w:szCs w:val="24"/>
              </w:rPr>
            </w:pPr>
            <w:r w:rsidRPr="00E133F3">
              <w:rPr>
                <w:rFonts w:ascii="Times New Roman" w:hAnsi="Times New Roman" w:cs="Times New Roman"/>
                <w:sz w:val="24"/>
                <w:szCs w:val="24"/>
              </w:rPr>
              <w:t>zvýšené náklady na sociálne poistenie do Sociálnej poisťovne</w:t>
            </w:r>
          </w:p>
        </w:tc>
        <w:tc>
          <w:tcPr>
            <w:tcW w:w="4529" w:type="dxa"/>
            <w:vAlign w:val="bottom"/>
          </w:tcPr>
          <w:p w14:paraId="3B71C082" w14:textId="51DC1F62" w:rsidR="00027DA2" w:rsidRPr="00E133F3" w:rsidRDefault="00027DA2" w:rsidP="002F0231">
            <w:pPr>
              <w:spacing w:after="40"/>
              <w:jc w:val="center"/>
              <w:rPr>
                <w:rFonts w:ascii="Times New Roman" w:eastAsia="Calibri" w:hAnsi="Times New Roman" w:cs="Times New Roman"/>
                <w:bCs/>
                <w:iCs/>
                <w:sz w:val="24"/>
                <w:szCs w:val="24"/>
              </w:rPr>
            </w:pPr>
            <w:r w:rsidRPr="00E133F3">
              <w:rPr>
                <w:rFonts w:ascii="Times New Roman" w:hAnsi="Times New Roman" w:cs="Times New Roman"/>
                <w:sz w:val="24"/>
                <w:szCs w:val="24"/>
              </w:rPr>
              <w:t>20 620 934</w:t>
            </w:r>
          </w:p>
        </w:tc>
      </w:tr>
      <w:tr w:rsidR="00E133F3" w:rsidRPr="00E133F3" w14:paraId="3BB8C589" w14:textId="77777777" w:rsidTr="00027DA2">
        <w:tc>
          <w:tcPr>
            <w:tcW w:w="4529" w:type="dxa"/>
            <w:vAlign w:val="bottom"/>
          </w:tcPr>
          <w:p w14:paraId="20531501" w14:textId="2ECF2C2F" w:rsidR="00027DA2" w:rsidRPr="00E133F3" w:rsidRDefault="00027DA2" w:rsidP="002F0231">
            <w:pPr>
              <w:pStyle w:val="Odsekzoznamu"/>
              <w:numPr>
                <w:ilvl w:val="0"/>
                <w:numId w:val="16"/>
              </w:numPr>
              <w:spacing w:after="40"/>
              <w:jc w:val="both"/>
              <w:rPr>
                <w:rFonts w:ascii="Times New Roman" w:eastAsia="Calibri" w:hAnsi="Times New Roman" w:cs="Times New Roman"/>
                <w:bCs/>
                <w:iCs/>
                <w:sz w:val="24"/>
                <w:szCs w:val="24"/>
              </w:rPr>
            </w:pPr>
            <w:r w:rsidRPr="00E133F3">
              <w:rPr>
                <w:rFonts w:ascii="Times New Roman" w:hAnsi="Times New Roman" w:cs="Times New Roman"/>
                <w:sz w:val="24"/>
                <w:szCs w:val="24"/>
              </w:rPr>
              <w:t xml:space="preserve">zvýšené </w:t>
            </w:r>
            <w:r w:rsidRPr="008A5B2B">
              <w:rPr>
                <w:rFonts w:ascii="Times New Roman" w:hAnsi="Times New Roman" w:cs="Times New Roman"/>
                <w:sz w:val="24"/>
                <w:szCs w:val="24"/>
              </w:rPr>
              <w:t xml:space="preserve">náklady na zdravotné poistenie do </w:t>
            </w:r>
            <w:r w:rsidR="008A5B2B" w:rsidRPr="008A5B2B">
              <w:rPr>
                <w:rFonts w:ascii="Times New Roman" w:hAnsi="Times New Roman" w:cs="Times New Roman"/>
                <w:sz w:val="24"/>
                <w:szCs w:val="24"/>
              </w:rPr>
              <w:t xml:space="preserve">zdravotných </w:t>
            </w:r>
            <w:r w:rsidRPr="008A5B2B">
              <w:rPr>
                <w:rFonts w:ascii="Times New Roman" w:hAnsi="Times New Roman" w:cs="Times New Roman"/>
                <w:sz w:val="24"/>
                <w:szCs w:val="24"/>
              </w:rPr>
              <w:t>poisťov</w:t>
            </w:r>
            <w:r w:rsidR="00E24775">
              <w:rPr>
                <w:rFonts w:ascii="Times New Roman" w:hAnsi="Times New Roman" w:cs="Times New Roman"/>
                <w:sz w:val="24"/>
                <w:szCs w:val="24"/>
              </w:rPr>
              <w:t>n</w:t>
            </w:r>
            <w:r w:rsidR="008A5B2B" w:rsidRPr="008A5B2B">
              <w:rPr>
                <w:rFonts w:ascii="Times New Roman" w:hAnsi="Times New Roman" w:cs="Times New Roman"/>
                <w:sz w:val="24"/>
                <w:szCs w:val="24"/>
              </w:rPr>
              <w:t>í</w:t>
            </w:r>
          </w:p>
        </w:tc>
        <w:tc>
          <w:tcPr>
            <w:tcW w:w="4529" w:type="dxa"/>
            <w:vAlign w:val="bottom"/>
          </w:tcPr>
          <w:p w14:paraId="2E5987BA" w14:textId="77539861" w:rsidR="00027DA2" w:rsidRPr="00E133F3" w:rsidRDefault="00027DA2" w:rsidP="002F0231">
            <w:pPr>
              <w:spacing w:after="40"/>
              <w:jc w:val="center"/>
              <w:rPr>
                <w:rFonts w:ascii="Times New Roman" w:eastAsia="Calibri" w:hAnsi="Times New Roman" w:cs="Times New Roman"/>
                <w:bCs/>
                <w:iCs/>
                <w:sz w:val="24"/>
                <w:szCs w:val="24"/>
              </w:rPr>
            </w:pPr>
            <w:r w:rsidRPr="00E133F3">
              <w:rPr>
                <w:rFonts w:ascii="Times New Roman" w:hAnsi="Times New Roman" w:cs="Times New Roman"/>
                <w:sz w:val="24"/>
                <w:szCs w:val="24"/>
              </w:rPr>
              <w:t>9 001 201</w:t>
            </w:r>
          </w:p>
        </w:tc>
      </w:tr>
      <w:tr w:rsidR="00E133F3" w:rsidRPr="00E133F3" w14:paraId="2C1BBB71" w14:textId="77777777" w:rsidTr="00027DA2">
        <w:tc>
          <w:tcPr>
            <w:tcW w:w="4529" w:type="dxa"/>
            <w:vAlign w:val="bottom"/>
          </w:tcPr>
          <w:p w14:paraId="25DB889F" w14:textId="5BAEDF97" w:rsidR="00027DA2" w:rsidRPr="00E133F3" w:rsidRDefault="00027DA2" w:rsidP="002F0231">
            <w:pPr>
              <w:pStyle w:val="Odsekzoznamu"/>
              <w:numPr>
                <w:ilvl w:val="0"/>
                <w:numId w:val="16"/>
              </w:numPr>
              <w:spacing w:after="40"/>
              <w:jc w:val="both"/>
              <w:rPr>
                <w:rFonts w:ascii="Times New Roman" w:eastAsia="Calibri" w:hAnsi="Times New Roman" w:cs="Times New Roman"/>
                <w:bCs/>
                <w:iCs/>
                <w:sz w:val="24"/>
                <w:szCs w:val="24"/>
              </w:rPr>
            </w:pPr>
            <w:r w:rsidRPr="00E133F3">
              <w:rPr>
                <w:rFonts w:ascii="Times New Roman" w:hAnsi="Times New Roman" w:cs="Times New Roman"/>
                <w:sz w:val="24"/>
                <w:szCs w:val="24"/>
              </w:rPr>
              <w:t>doplatky do minimálnej mzdy</w:t>
            </w:r>
          </w:p>
        </w:tc>
        <w:tc>
          <w:tcPr>
            <w:tcW w:w="4529" w:type="dxa"/>
            <w:vAlign w:val="bottom"/>
          </w:tcPr>
          <w:p w14:paraId="72150989" w14:textId="592C8AEF" w:rsidR="00027DA2" w:rsidRPr="00E133F3" w:rsidRDefault="00027DA2" w:rsidP="002F0231">
            <w:pPr>
              <w:spacing w:after="40"/>
              <w:jc w:val="center"/>
              <w:rPr>
                <w:rFonts w:ascii="Times New Roman" w:eastAsia="Calibri" w:hAnsi="Times New Roman" w:cs="Times New Roman"/>
                <w:bCs/>
                <w:iCs/>
                <w:sz w:val="24"/>
                <w:szCs w:val="24"/>
              </w:rPr>
            </w:pPr>
            <w:r w:rsidRPr="00E133F3">
              <w:rPr>
                <w:rFonts w:ascii="Times New Roman" w:hAnsi="Times New Roman" w:cs="Times New Roman"/>
                <w:sz w:val="24"/>
                <w:szCs w:val="24"/>
              </w:rPr>
              <w:t>69 549 335</w:t>
            </w:r>
          </w:p>
        </w:tc>
      </w:tr>
    </w:tbl>
    <w:p w14:paraId="1259B981" w14:textId="5D414D63" w:rsidR="0001311F" w:rsidRPr="00E133F3" w:rsidRDefault="0001311F" w:rsidP="002F0231">
      <w:pPr>
        <w:pStyle w:val="Odsekzoznamu"/>
        <w:numPr>
          <w:ilvl w:val="0"/>
          <w:numId w:val="16"/>
        </w:numPr>
        <w:spacing w:after="40"/>
        <w:jc w:val="both"/>
        <w:rPr>
          <w:rFonts w:ascii="Times New Roman" w:eastAsia="Calibri" w:hAnsi="Times New Roman" w:cs="Times New Roman"/>
          <w:bCs/>
          <w:iCs/>
          <w:sz w:val="24"/>
          <w:szCs w:val="24"/>
        </w:rPr>
      </w:pPr>
      <w:r w:rsidRPr="00E133F3">
        <w:rPr>
          <w:rFonts w:ascii="Times New Roman" w:eastAsia="Calibri" w:hAnsi="Times New Roman" w:cs="Times New Roman"/>
          <w:bCs/>
          <w:iCs/>
          <w:sz w:val="24"/>
          <w:szCs w:val="24"/>
        </w:rPr>
        <w:t xml:space="preserve">Počet dotknutých subjektov (34 301) odráža počet podnikateľských subjektov, ktorým sa v dôsledku zavedenia 60-percentnej automatickej valorizácie zvýšia náklady na mzdy zamestnancov, ktorí zarábajú (novú) minimálnu mzdu. </w:t>
      </w:r>
    </w:p>
    <w:p w14:paraId="7F54730F" w14:textId="2365E20B" w:rsidR="0001311F" w:rsidRPr="00E133F3" w:rsidRDefault="002F0231" w:rsidP="002F0231">
      <w:pPr>
        <w:spacing w:after="40"/>
        <w:ind w:left="4"/>
        <w:jc w:val="both"/>
        <w:rPr>
          <w:rFonts w:ascii="Times New Roman" w:eastAsia="Calibri" w:hAnsi="Times New Roman" w:cs="Times New Roman"/>
          <w:b/>
          <w:bCs/>
          <w:iCs/>
          <w:sz w:val="24"/>
          <w:szCs w:val="24"/>
        </w:rPr>
      </w:pPr>
      <w:r w:rsidRPr="00E133F3">
        <w:rPr>
          <w:rFonts w:ascii="Times New Roman" w:eastAsia="Calibri" w:hAnsi="Times New Roman" w:cs="Times New Roman"/>
          <w:b/>
          <w:bCs/>
          <w:iCs/>
          <w:sz w:val="24"/>
          <w:szCs w:val="24"/>
        </w:rPr>
        <w:t>N</w:t>
      </w:r>
      <w:r w:rsidR="0001311F" w:rsidRPr="00E133F3">
        <w:rPr>
          <w:rFonts w:ascii="Times New Roman" w:eastAsia="Calibri" w:hAnsi="Times New Roman" w:cs="Times New Roman"/>
          <w:b/>
          <w:bCs/>
          <w:iCs/>
          <w:sz w:val="24"/>
          <w:szCs w:val="24"/>
        </w:rPr>
        <w:t xml:space="preserve">avýšenie </w:t>
      </w:r>
      <w:r w:rsidR="008A5B2B">
        <w:rPr>
          <w:rFonts w:ascii="Times New Roman" w:eastAsia="Calibri" w:hAnsi="Times New Roman" w:cs="Times New Roman"/>
          <w:b/>
          <w:bCs/>
          <w:iCs/>
          <w:sz w:val="24"/>
          <w:szCs w:val="24"/>
        </w:rPr>
        <w:t>mzdových zvýhodnení</w:t>
      </w:r>
      <w:r w:rsidR="0001311F" w:rsidRPr="00E133F3">
        <w:rPr>
          <w:rFonts w:ascii="Times New Roman" w:eastAsia="Calibri" w:hAnsi="Times New Roman" w:cs="Times New Roman"/>
          <w:b/>
          <w:bCs/>
          <w:iCs/>
          <w:sz w:val="24"/>
          <w:szCs w:val="24"/>
        </w:rPr>
        <w:t xml:space="preserve"> </w:t>
      </w:r>
      <w:r w:rsidR="007340E6">
        <w:rPr>
          <w:rFonts w:ascii="Times New Roman" w:eastAsia="Calibri" w:hAnsi="Times New Roman" w:cs="Times New Roman"/>
          <w:b/>
          <w:bCs/>
          <w:iCs/>
          <w:sz w:val="24"/>
          <w:szCs w:val="24"/>
        </w:rPr>
        <w:t>naviazaných na minimálnu mzdu</w:t>
      </w:r>
      <w:r w:rsidR="0001311F" w:rsidRPr="00E133F3">
        <w:rPr>
          <w:rFonts w:ascii="Times New Roman" w:eastAsia="Calibri" w:hAnsi="Times New Roman" w:cs="Times New Roman"/>
          <w:b/>
          <w:bCs/>
          <w:iCs/>
          <w:sz w:val="24"/>
          <w:szCs w:val="24"/>
        </w:rPr>
        <w:t>– výpočet:</w:t>
      </w:r>
    </w:p>
    <w:p w14:paraId="1329C855" w14:textId="52E96215" w:rsidR="0001311F" w:rsidRPr="00E133F3" w:rsidRDefault="0001311F" w:rsidP="002F0231">
      <w:pPr>
        <w:pStyle w:val="Odsekzoznamu"/>
        <w:numPr>
          <w:ilvl w:val="0"/>
          <w:numId w:val="16"/>
        </w:numPr>
        <w:spacing w:after="40"/>
        <w:jc w:val="both"/>
        <w:rPr>
          <w:rFonts w:ascii="Times New Roman" w:eastAsia="Calibri" w:hAnsi="Times New Roman" w:cs="Times New Roman"/>
          <w:bCs/>
          <w:iCs/>
          <w:sz w:val="24"/>
          <w:szCs w:val="24"/>
        </w:rPr>
      </w:pPr>
      <w:proofErr w:type="spellStart"/>
      <w:r w:rsidRPr="00E133F3">
        <w:rPr>
          <w:rFonts w:ascii="Times New Roman" w:eastAsia="Calibri" w:hAnsi="Times New Roman" w:cs="Times New Roman"/>
          <w:bCs/>
          <w:iCs/>
          <w:sz w:val="24"/>
          <w:szCs w:val="24"/>
        </w:rPr>
        <w:t>Mikrosimulácia</w:t>
      </w:r>
      <w:proofErr w:type="spellEnd"/>
      <w:r w:rsidRPr="00E133F3">
        <w:rPr>
          <w:rFonts w:ascii="Times New Roman" w:eastAsia="Calibri" w:hAnsi="Times New Roman" w:cs="Times New Roman"/>
          <w:bCs/>
          <w:iCs/>
          <w:sz w:val="24"/>
          <w:szCs w:val="24"/>
        </w:rPr>
        <w:t xml:space="preserve"> pomocou dát z ISCP 1-04 aplikovaná na subjekty súkromného sektora vedie k nasledujúcim ročn</w:t>
      </w:r>
      <w:r w:rsidR="00E133F3" w:rsidRPr="00E133F3">
        <w:rPr>
          <w:rFonts w:ascii="Times New Roman" w:eastAsia="Calibri" w:hAnsi="Times New Roman" w:cs="Times New Roman"/>
          <w:bCs/>
          <w:iCs/>
          <w:sz w:val="24"/>
          <w:szCs w:val="24"/>
        </w:rPr>
        <w:t>ý</w:t>
      </w:r>
      <w:r w:rsidRPr="00E133F3">
        <w:rPr>
          <w:rFonts w:ascii="Times New Roman" w:eastAsia="Calibri" w:hAnsi="Times New Roman" w:cs="Times New Roman"/>
          <w:bCs/>
          <w:iCs/>
          <w:sz w:val="24"/>
          <w:szCs w:val="24"/>
        </w:rPr>
        <w:t>m odhadom zvýšenia nákladov na príplatky naviazané na zmenu minimálnej mzdy o 11 228 751 eur.</w:t>
      </w:r>
    </w:p>
    <w:p w14:paraId="071A61AF" w14:textId="725ED5F4" w:rsidR="0001311F" w:rsidRPr="00E133F3" w:rsidRDefault="0001311F" w:rsidP="002F0231">
      <w:pPr>
        <w:pStyle w:val="Odsekzoznamu"/>
        <w:numPr>
          <w:ilvl w:val="0"/>
          <w:numId w:val="16"/>
        </w:numPr>
        <w:spacing w:after="40"/>
        <w:jc w:val="both"/>
        <w:rPr>
          <w:rFonts w:ascii="Times New Roman" w:eastAsia="Calibri" w:hAnsi="Times New Roman" w:cs="Times New Roman"/>
          <w:b/>
          <w:bCs/>
          <w:iCs/>
          <w:sz w:val="24"/>
          <w:szCs w:val="24"/>
        </w:rPr>
      </w:pPr>
      <w:r w:rsidRPr="00E133F3">
        <w:rPr>
          <w:rFonts w:ascii="Times New Roman" w:eastAsia="Calibri" w:hAnsi="Times New Roman" w:cs="Times New Roman"/>
          <w:bCs/>
          <w:iCs/>
          <w:sz w:val="24"/>
          <w:szCs w:val="24"/>
        </w:rPr>
        <w:t>Počet dotknutých subjektov (</w:t>
      </w:r>
      <w:r w:rsidR="002D4C6B" w:rsidRPr="00E133F3">
        <w:rPr>
          <w:rFonts w:ascii="Times New Roman" w:eastAsia="Calibri" w:hAnsi="Times New Roman" w:cs="Times New Roman"/>
          <w:bCs/>
          <w:iCs/>
          <w:sz w:val="24"/>
          <w:szCs w:val="24"/>
        </w:rPr>
        <w:t>21 474)</w:t>
      </w:r>
      <w:r w:rsidR="00675022" w:rsidRPr="00E133F3">
        <w:rPr>
          <w:rFonts w:ascii="Times New Roman" w:eastAsia="Calibri" w:hAnsi="Times New Roman" w:cs="Times New Roman"/>
          <w:bCs/>
          <w:iCs/>
          <w:sz w:val="24"/>
          <w:szCs w:val="24"/>
        </w:rPr>
        <w:t xml:space="preserve"> odráža počet podnikateľských subjektov, ktoré svojim zamestnancov vyplácali príplatky s výškou naviazanou na výšku minimálnej mzdy. Zavedenie 60-percentnej valorizácie povedie k zvýšeniu nákladov týchto subjektov za predpokladu nezmenenej štruktúry a frekvencie príplatkov v budúcnosti.</w:t>
      </w:r>
    </w:p>
    <w:p w14:paraId="3D725B06" w14:textId="795B8E96" w:rsidR="00BB14B1" w:rsidRPr="00E133F3" w:rsidRDefault="002F0231" w:rsidP="007925E5">
      <w:pPr>
        <w:ind w:left="708" w:hanging="708"/>
        <w:jc w:val="both"/>
        <w:rPr>
          <w:rFonts w:ascii="Times New Roman" w:eastAsia="Calibri" w:hAnsi="Times New Roman" w:cs="Times New Roman"/>
          <w:bCs/>
          <w:iCs/>
          <w:sz w:val="24"/>
          <w:szCs w:val="24"/>
        </w:rPr>
      </w:pPr>
      <w:r w:rsidRPr="00E133F3">
        <w:rPr>
          <w:rFonts w:ascii="Times New Roman" w:eastAsia="Calibri" w:hAnsi="Times New Roman" w:cs="Times New Roman"/>
          <w:b/>
          <w:bCs/>
          <w:iCs/>
          <w:sz w:val="24"/>
          <w:szCs w:val="24"/>
        </w:rPr>
        <w:t xml:space="preserve">Pozn.: </w:t>
      </w:r>
      <w:r w:rsidR="007925E5" w:rsidRPr="00E133F3">
        <w:rPr>
          <w:rFonts w:ascii="Times New Roman" w:eastAsia="Calibri" w:hAnsi="Times New Roman" w:cs="Times New Roman"/>
          <w:b/>
          <w:bCs/>
          <w:iCs/>
          <w:sz w:val="24"/>
          <w:szCs w:val="24"/>
        </w:rPr>
        <w:tab/>
      </w:r>
      <w:r w:rsidRPr="00E133F3">
        <w:rPr>
          <w:rFonts w:ascii="Times New Roman" w:eastAsia="Calibri" w:hAnsi="Times New Roman" w:cs="Times New Roman"/>
          <w:bCs/>
          <w:iCs/>
          <w:sz w:val="24"/>
          <w:szCs w:val="24"/>
        </w:rPr>
        <w:t>Rozdiely medzi celkovými nákladmi v Tabuľke č. 2 a v časti 3.1.3 sú dôsledkom zaokrúhľovania.</w:t>
      </w:r>
    </w:p>
    <w:p w14:paraId="63CCECC9" w14:textId="2DF18D9C" w:rsidR="00462975" w:rsidRPr="00136790" w:rsidRDefault="00462975" w:rsidP="00462975">
      <w:pPr>
        <w:spacing w:after="0" w:line="240" w:lineRule="auto"/>
        <w:jc w:val="both"/>
        <w:rPr>
          <w:rFonts w:ascii="Times New Roman" w:eastAsia="Calibri" w:hAnsi="Times New Roman" w:cs="Times New Roman"/>
          <w:bCs/>
          <w:i/>
          <w:color w:val="000000" w:themeColor="text1"/>
          <w:sz w:val="24"/>
          <w:szCs w:val="24"/>
          <w:u w:val="single"/>
        </w:rPr>
      </w:pPr>
      <w:r w:rsidRPr="00136790">
        <w:rPr>
          <w:rFonts w:ascii="Times New Roman" w:eastAsia="Calibri" w:hAnsi="Times New Roman" w:cs="Times New Roman"/>
          <w:bCs/>
          <w:i/>
          <w:color w:val="000000" w:themeColor="text1"/>
          <w:sz w:val="24"/>
          <w:szCs w:val="24"/>
          <w:u w:val="single"/>
        </w:rPr>
        <w:lastRenderedPageBreak/>
        <w:t>Reprezentatívne kolektívne zmluvy vyššieho stupňa</w:t>
      </w:r>
    </w:p>
    <w:p w14:paraId="449106A8" w14:textId="681421AF" w:rsidR="00462975" w:rsidRPr="00136790" w:rsidRDefault="00462975" w:rsidP="00462975">
      <w:pPr>
        <w:spacing w:after="0" w:line="240" w:lineRule="auto"/>
        <w:jc w:val="both"/>
        <w:rPr>
          <w:rFonts w:ascii="Times New Roman" w:hAnsi="Times New Roman" w:cs="Times New Roman"/>
          <w:color w:val="000000" w:themeColor="text1"/>
          <w:sz w:val="24"/>
          <w:szCs w:val="24"/>
        </w:rPr>
      </w:pPr>
    </w:p>
    <w:p w14:paraId="675D35F3" w14:textId="55F8D589" w:rsidR="00462975" w:rsidRPr="00136790" w:rsidRDefault="00462975" w:rsidP="00462975">
      <w:pPr>
        <w:spacing w:after="0" w:line="240" w:lineRule="auto"/>
        <w:jc w:val="both"/>
        <w:rPr>
          <w:rFonts w:ascii="Times New Roman" w:hAnsi="Times New Roman" w:cs="Times New Roman"/>
          <w:color w:val="000000" w:themeColor="text1"/>
          <w:sz w:val="24"/>
          <w:szCs w:val="24"/>
        </w:rPr>
      </w:pPr>
      <w:r w:rsidRPr="00136790">
        <w:rPr>
          <w:rFonts w:ascii="Times New Roman" w:hAnsi="Times New Roman" w:cs="Times New Roman"/>
          <w:color w:val="000000" w:themeColor="text1"/>
          <w:sz w:val="24"/>
          <w:szCs w:val="24"/>
        </w:rPr>
        <w:t>Ak bude v Zbierke zákonov SR oznámené, že bola uzatvorená reprezentatívna kolektívna zmluva vyššieho stupňa (§ 7, § 9a navrhované</w:t>
      </w:r>
      <w:r w:rsidR="0069409D" w:rsidRPr="00136790">
        <w:rPr>
          <w:rFonts w:ascii="Times New Roman" w:hAnsi="Times New Roman" w:cs="Times New Roman"/>
          <w:color w:val="000000" w:themeColor="text1"/>
          <w:sz w:val="24"/>
          <w:szCs w:val="24"/>
        </w:rPr>
        <w:t>ho</w:t>
      </w:r>
      <w:r w:rsidRPr="00136790">
        <w:rPr>
          <w:rFonts w:ascii="Times New Roman" w:hAnsi="Times New Roman" w:cs="Times New Roman"/>
          <w:color w:val="000000" w:themeColor="text1"/>
          <w:sz w:val="24"/>
          <w:szCs w:val="24"/>
        </w:rPr>
        <w:t xml:space="preserve"> zákona č. 2/1991 Zb. o kolektívnom vyjednávaní), dotknutý zamestnávateľ musí pri uplatňovaní pracovných podmienok brať do úvahy aj jej obsah. Či sa </w:t>
      </w:r>
      <w:r w:rsidR="0069409D" w:rsidRPr="00136790">
        <w:rPr>
          <w:rFonts w:ascii="Times New Roman" w:hAnsi="Times New Roman" w:cs="Times New Roman"/>
          <w:color w:val="000000" w:themeColor="text1"/>
          <w:sz w:val="24"/>
          <w:szCs w:val="24"/>
        </w:rPr>
        <w:t xml:space="preserve">ho </w:t>
      </w:r>
      <w:r w:rsidRPr="00136790">
        <w:rPr>
          <w:rFonts w:ascii="Times New Roman" w:hAnsi="Times New Roman" w:cs="Times New Roman"/>
          <w:color w:val="000000" w:themeColor="text1"/>
          <w:sz w:val="24"/>
          <w:szCs w:val="24"/>
        </w:rPr>
        <w:t>obsah dotkne priamo, závisí aj obsahu pracovných podmienok, ktoré u seba uplatňuje.</w:t>
      </w:r>
    </w:p>
    <w:p w14:paraId="39F1ED06" w14:textId="77777777" w:rsidR="00462975" w:rsidRPr="00136790" w:rsidRDefault="00462975" w:rsidP="00462975">
      <w:pPr>
        <w:spacing w:after="0" w:line="240" w:lineRule="auto"/>
        <w:jc w:val="both"/>
        <w:rPr>
          <w:rFonts w:ascii="Times New Roman" w:hAnsi="Times New Roman" w:cs="Times New Roman"/>
          <w:color w:val="000000" w:themeColor="text1"/>
          <w:sz w:val="24"/>
          <w:szCs w:val="24"/>
        </w:rPr>
      </w:pPr>
    </w:p>
    <w:p w14:paraId="63D32E87" w14:textId="77777777" w:rsidR="00136790" w:rsidRPr="00136790" w:rsidRDefault="00136790" w:rsidP="00136790">
      <w:pPr>
        <w:spacing w:after="0" w:line="240" w:lineRule="auto"/>
        <w:jc w:val="both"/>
        <w:rPr>
          <w:rFonts w:ascii="Times New Roman" w:hAnsi="Times New Roman" w:cs="Times New Roman"/>
          <w:color w:val="000000" w:themeColor="text1"/>
          <w:sz w:val="24"/>
          <w:szCs w:val="24"/>
        </w:rPr>
      </w:pPr>
      <w:r w:rsidRPr="00136790">
        <w:rPr>
          <w:rFonts w:ascii="Times New Roman" w:hAnsi="Times New Roman" w:cs="Times New Roman"/>
          <w:color w:val="000000" w:themeColor="text1"/>
          <w:sz w:val="24"/>
          <w:szCs w:val="24"/>
        </w:rPr>
        <w:t xml:space="preserve">V priebehu roku 2020 boli v Zbierke zákonov SR zverejnené dva oznamy – č. 219/2020 Z. z. a č. 255/2020 Z. z.  o reprezentatívnych kolektívnych zmluvách vyššieho stupňa (ďalej len „KZVS“); niektoré KZVS mohli byť reprezentatívne aj na základe skorších oznamov (č. 249/2019 Z. z., č. 160/2019 Z. z.); (pozn. od 1. marca 2021 bola právna úprava zrušená): </w:t>
      </w:r>
    </w:p>
    <w:p w14:paraId="1E76AE16" w14:textId="77777777" w:rsidR="00462975" w:rsidRPr="00136790" w:rsidRDefault="00462975" w:rsidP="00462975">
      <w:pPr>
        <w:spacing w:after="0" w:line="240" w:lineRule="auto"/>
        <w:jc w:val="both"/>
        <w:rPr>
          <w:rFonts w:ascii="Times New Roman" w:hAnsi="Times New Roman" w:cs="Times New Roman"/>
          <w:color w:val="000000" w:themeColor="text1"/>
          <w:sz w:val="24"/>
          <w:szCs w:val="24"/>
        </w:rPr>
      </w:pPr>
    </w:p>
    <w:p w14:paraId="4A013FBC" w14:textId="77777777" w:rsidR="00462975" w:rsidRPr="00136790" w:rsidRDefault="00462975" w:rsidP="00462975">
      <w:p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136790">
        <w:rPr>
          <w:rFonts w:ascii="Times New Roman" w:eastAsia="Times New Roman" w:hAnsi="Times New Roman" w:cs="Times New Roman"/>
          <w:color w:val="000000" w:themeColor="text1"/>
          <w:sz w:val="24"/>
          <w:szCs w:val="24"/>
          <w:lang w:eastAsia="sk-SK"/>
        </w:rPr>
        <w:t xml:space="preserve">1. Kolektívna zmluva vyššieho stupňa uzatvorená 29. februára 2012 medzi Zväzom stavebných podnikateľov Slovenska a Integrovaným odborovým zväzom v znení Dodatku č. 1 z 19. februára 2013, Dodatku č. 2 z 21. februára 2014, Dodatku č. 3 z 24. marca 2015, Dodatku č. 4 z 29. marca 2016, Dodatku č. 5 z 28. augusta 2017, Dodatku č. 6 z 19. apríla 2018, Dodatku č. 7 z 28. marca 2019 a Dodatku č. 8 z 31. marca 2020 s účinnosťou od 1. marca 2012 do 31. decembra 2021 </w:t>
      </w:r>
    </w:p>
    <w:p w14:paraId="2CF6DC8D" w14:textId="77777777" w:rsidR="00462975" w:rsidRPr="00313D1C" w:rsidRDefault="00462975" w:rsidP="00462975">
      <w:p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p>
    <w:p w14:paraId="1577CB1E" w14:textId="77777777" w:rsidR="00462975" w:rsidRPr="00313D1C" w:rsidRDefault="00462975" w:rsidP="00462975">
      <w:p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 xml:space="preserve">- úroveň divízie: </w:t>
      </w:r>
    </w:p>
    <w:p w14:paraId="2FB7F2B9" w14:textId="77777777" w:rsidR="00462975" w:rsidRPr="00313D1C" w:rsidRDefault="00462975" w:rsidP="00462975">
      <w:pPr>
        <w:pStyle w:val="Odsekzoznamu"/>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 xml:space="preserve">41 – výstavba budov, </w:t>
      </w:r>
    </w:p>
    <w:p w14:paraId="3EE77F38" w14:textId="792FE943" w:rsidR="00462975" w:rsidRPr="00313D1C" w:rsidRDefault="00462975" w:rsidP="00462975">
      <w:pPr>
        <w:pStyle w:val="Odsekzoznamu"/>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42 – inžinierske stavby</w:t>
      </w:r>
      <w:r w:rsidR="00490BFC" w:rsidRPr="00313D1C">
        <w:rPr>
          <w:rFonts w:ascii="Times New Roman" w:eastAsia="Times New Roman" w:hAnsi="Times New Roman" w:cs="Times New Roman"/>
          <w:color w:val="000000" w:themeColor="text1"/>
          <w:sz w:val="24"/>
          <w:szCs w:val="24"/>
          <w:lang w:eastAsia="sk-SK"/>
        </w:rPr>
        <w:t>,</w:t>
      </w:r>
      <w:r w:rsidRPr="00313D1C">
        <w:rPr>
          <w:rFonts w:ascii="Times New Roman" w:eastAsia="Times New Roman" w:hAnsi="Times New Roman" w:cs="Times New Roman"/>
          <w:color w:val="000000" w:themeColor="text1"/>
          <w:sz w:val="24"/>
          <w:szCs w:val="24"/>
          <w:lang w:eastAsia="sk-SK"/>
        </w:rPr>
        <w:t xml:space="preserve"> </w:t>
      </w:r>
    </w:p>
    <w:p w14:paraId="52086348" w14:textId="77777777" w:rsidR="00462975" w:rsidRPr="00313D1C" w:rsidRDefault="00462975" w:rsidP="00462975">
      <w:pPr>
        <w:pStyle w:val="Odsekzoznamu"/>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 xml:space="preserve">43 – špecializované stavebné práce. </w:t>
      </w:r>
    </w:p>
    <w:p w14:paraId="26D59620" w14:textId="77777777" w:rsidR="00462975" w:rsidRPr="00313D1C" w:rsidRDefault="00462975" w:rsidP="00462975">
      <w:p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p>
    <w:p w14:paraId="6AED22B6" w14:textId="77777777" w:rsidR="00462975" w:rsidRPr="00313D1C" w:rsidRDefault="00462975" w:rsidP="00462975">
      <w:p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 xml:space="preserve">2. Kolektívna zmluva vyššieho stupňa na roky 2018 – 2022 uzatvorená 31. mája 2018 v znení Dodatku č. 1 s účinnosťou od 1. mája 2019 a v znení Dodatku č. 2 s účinnosťou od 1. mája 2020 medzi Odborovým zväzom KOVO a Zväzom elektrotechnického priemyslu Slovenskej republiky </w:t>
      </w:r>
    </w:p>
    <w:p w14:paraId="26599F33" w14:textId="77777777" w:rsidR="00462975" w:rsidRPr="00313D1C" w:rsidRDefault="00462975" w:rsidP="00462975">
      <w:p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p>
    <w:p w14:paraId="573D1D66" w14:textId="06E6C13C" w:rsidR="00462975" w:rsidRPr="00313D1C" w:rsidRDefault="00462975" w:rsidP="00462975">
      <w:p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w:t>
      </w:r>
      <w:r w:rsidR="0069409D" w:rsidRPr="00313D1C">
        <w:rPr>
          <w:rFonts w:ascii="Times New Roman" w:eastAsia="Times New Roman" w:hAnsi="Times New Roman" w:cs="Times New Roman"/>
          <w:color w:val="000000" w:themeColor="text1"/>
          <w:sz w:val="24"/>
          <w:szCs w:val="24"/>
          <w:lang w:eastAsia="sk-SK"/>
        </w:rPr>
        <w:t xml:space="preserve"> </w:t>
      </w:r>
      <w:r w:rsidRPr="00313D1C">
        <w:rPr>
          <w:rFonts w:ascii="Times New Roman" w:eastAsia="Times New Roman" w:hAnsi="Times New Roman" w:cs="Times New Roman"/>
          <w:color w:val="000000" w:themeColor="text1"/>
          <w:sz w:val="24"/>
          <w:szCs w:val="24"/>
          <w:lang w:eastAsia="sk-SK"/>
        </w:rPr>
        <w:t>úroveň skupín:</w:t>
      </w:r>
    </w:p>
    <w:p w14:paraId="5E9DC2E5" w14:textId="77777777" w:rsidR="00462975" w:rsidRPr="00313D1C" w:rsidRDefault="00462975" w:rsidP="00462975">
      <w:pPr>
        <w:pStyle w:val="Odsekzoznamu"/>
        <w:numPr>
          <w:ilvl w:val="0"/>
          <w:numId w:val="18"/>
        </w:num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 xml:space="preserve">27.1 – výroba elektrických motorov, generátorov, transformátorov a elektrických distribučných a kontrolných zariadení, </w:t>
      </w:r>
    </w:p>
    <w:p w14:paraId="654ABA29" w14:textId="60C131DD" w:rsidR="00462975" w:rsidRPr="00313D1C" w:rsidRDefault="00462975" w:rsidP="00462975">
      <w:pPr>
        <w:pStyle w:val="Odsekzoznamu"/>
        <w:numPr>
          <w:ilvl w:val="0"/>
          <w:numId w:val="18"/>
        </w:num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27.3 – výroba drôtov a elektroinštalačných zariadení</w:t>
      </w:r>
      <w:r w:rsidR="00490BFC" w:rsidRPr="00313D1C">
        <w:rPr>
          <w:rFonts w:ascii="Times New Roman" w:eastAsia="Times New Roman" w:hAnsi="Times New Roman" w:cs="Times New Roman"/>
          <w:color w:val="000000" w:themeColor="text1"/>
          <w:sz w:val="24"/>
          <w:szCs w:val="24"/>
          <w:lang w:eastAsia="sk-SK"/>
        </w:rPr>
        <w:t>,</w:t>
      </w:r>
      <w:r w:rsidRPr="00313D1C">
        <w:rPr>
          <w:rFonts w:ascii="Times New Roman" w:eastAsia="Times New Roman" w:hAnsi="Times New Roman" w:cs="Times New Roman"/>
          <w:color w:val="000000" w:themeColor="text1"/>
          <w:sz w:val="24"/>
          <w:szCs w:val="24"/>
          <w:lang w:eastAsia="sk-SK"/>
        </w:rPr>
        <w:t xml:space="preserve"> </w:t>
      </w:r>
    </w:p>
    <w:p w14:paraId="7ED4911B" w14:textId="77777777" w:rsidR="00462975" w:rsidRPr="00313D1C" w:rsidRDefault="00462975" w:rsidP="00462975">
      <w:pPr>
        <w:pStyle w:val="Odsekzoznamu"/>
        <w:numPr>
          <w:ilvl w:val="0"/>
          <w:numId w:val="18"/>
        </w:num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27.4 – výroba elektrických svietidiel.</w:t>
      </w:r>
    </w:p>
    <w:p w14:paraId="3BCFAD53" w14:textId="77777777" w:rsidR="00462975" w:rsidRPr="00313D1C" w:rsidRDefault="00462975" w:rsidP="00462975">
      <w:p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p>
    <w:p w14:paraId="29390E03" w14:textId="77777777" w:rsidR="00462975" w:rsidRPr="00313D1C" w:rsidRDefault="00462975" w:rsidP="00462975">
      <w:p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 xml:space="preserve">3. Kolektívna zmluva vyššieho stupňa uzatvorená 1. apríla 2018 medzi Odborovým zväzom KOVO, Nezávislými kresťanskými odbormi Slovenska a Zväzom hutníctva, ťažobného priemyslu a geológie Slovenskej republiky v znení Dodatku č. 1 s účinnosťou od 1. februára 2019 a Dodatku č. 2 s účinnosťou od 1. apríla 2020 do 31. marca 2021 </w:t>
      </w:r>
    </w:p>
    <w:p w14:paraId="0CDB6029" w14:textId="77777777" w:rsidR="00462975" w:rsidRPr="00313D1C" w:rsidRDefault="00462975" w:rsidP="00462975">
      <w:p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p>
    <w:p w14:paraId="5704BAEB" w14:textId="77777777" w:rsidR="00462975" w:rsidRPr="00313D1C" w:rsidRDefault="00462975" w:rsidP="00462975">
      <w:p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 úroveň skupín:</w:t>
      </w:r>
    </w:p>
    <w:p w14:paraId="6B83A1C9" w14:textId="77777777" w:rsidR="00462975" w:rsidRPr="00313D1C" w:rsidRDefault="00462975" w:rsidP="00462975">
      <w:pPr>
        <w:pStyle w:val="Odsekzoznamu"/>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 xml:space="preserve">23.5 – výroba cementu, vápna a sadry, </w:t>
      </w:r>
    </w:p>
    <w:p w14:paraId="33E282BF" w14:textId="77777777" w:rsidR="00462975" w:rsidRPr="00313D1C" w:rsidRDefault="00462975" w:rsidP="00462975">
      <w:pPr>
        <w:pStyle w:val="Odsekzoznamu"/>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 xml:space="preserve">24.1 – výroba surového železa a ocele a ferozliatin, </w:t>
      </w:r>
    </w:p>
    <w:p w14:paraId="13BEB46D" w14:textId="77777777" w:rsidR="00462975" w:rsidRPr="00313D1C" w:rsidRDefault="00462975" w:rsidP="00462975">
      <w:pPr>
        <w:pStyle w:val="Odsekzoznamu"/>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 xml:space="preserve">24.4 – výroba drahých a ostatných neželezných kovov, </w:t>
      </w:r>
    </w:p>
    <w:p w14:paraId="161C87AD" w14:textId="6CF5A1CB" w:rsidR="00462975" w:rsidRPr="00313D1C" w:rsidRDefault="00462975" w:rsidP="00462975">
      <w:pPr>
        <w:pStyle w:val="Odsekzoznamu"/>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33.1 – oprava kovových konštrukcií, strojov a</w:t>
      </w:r>
      <w:r w:rsidR="00490BFC" w:rsidRPr="00313D1C">
        <w:rPr>
          <w:rFonts w:ascii="Times New Roman" w:eastAsia="Times New Roman" w:hAnsi="Times New Roman" w:cs="Times New Roman"/>
          <w:color w:val="000000" w:themeColor="text1"/>
          <w:sz w:val="24"/>
          <w:szCs w:val="24"/>
          <w:lang w:eastAsia="sk-SK"/>
        </w:rPr>
        <w:t> </w:t>
      </w:r>
      <w:r w:rsidRPr="00313D1C">
        <w:rPr>
          <w:rFonts w:ascii="Times New Roman" w:eastAsia="Times New Roman" w:hAnsi="Times New Roman" w:cs="Times New Roman"/>
          <w:color w:val="000000" w:themeColor="text1"/>
          <w:sz w:val="24"/>
          <w:szCs w:val="24"/>
          <w:lang w:eastAsia="sk-SK"/>
        </w:rPr>
        <w:t>prístrojov</w:t>
      </w:r>
      <w:r w:rsidR="00490BFC" w:rsidRPr="00313D1C">
        <w:rPr>
          <w:rFonts w:ascii="Times New Roman" w:eastAsia="Times New Roman" w:hAnsi="Times New Roman" w:cs="Times New Roman"/>
          <w:color w:val="000000" w:themeColor="text1"/>
          <w:sz w:val="24"/>
          <w:szCs w:val="24"/>
          <w:lang w:eastAsia="sk-SK"/>
        </w:rPr>
        <w:t>,</w:t>
      </w:r>
      <w:r w:rsidRPr="00313D1C">
        <w:rPr>
          <w:rFonts w:ascii="Times New Roman" w:eastAsia="Times New Roman" w:hAnsi="Times New Roman" w:cs="Times New Roman"/>
          <w:color w:val="000000" w:themeColor="text1"/>
          <w:sz w:val="24"/>
          <w:szCs w:val="24"/>
          <w:lang w:eastAsia="sk-SK"/>
        </w:rPr>
        <w:t xml:space="preserve"> </w:t>
      </w:r>
    </w:p>
    <w:p w14:paraId="5F8DB5A9" w14:textId="77777777" w:rsidR="00462975" w:rsidRPr="00313D1C" w:rsidRDefault="00462975" w:rsidP="00462975">
      <w:pPr>
        <w:pStyle w:val="Odsekzoznamu"/>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r w:rsidRPr="00313D1C">
        <w:rPr>
          <w:rFonts w:ascii="Times New Roman" w:eastAsia="Times New Roman" w:hAnsi="Times New Roman" w:cs="Times New Roman"/>
          <w:color w:val="000000" w:themeColor="text1"/>
          <w:sz w:val="24"/>
          <w:szCs w:val="24"/>
          <w:lang w:eastAsia="sk-SK"/>
        </w:rPr>
        <w:t>82.9 – pomocné obchodné činnosti i. n.</w:t>
      </w:r>
    </w:p>
    <w:p w14:paraId="5A7F0EFA" w14:textId="77777777" w:rsidR="00462975" w:rsidRPr="00313D1C" w:rsidRDefault="00462975" w:rsidP="00462975">
      <w:pPr>
        <w:spacing w:after="0" w:line="240" w:lineRule="auto"/>
        <w:rPr>
          <w:rFonts w:ascii="Times New Roman" w:hAnsi="Times New Roman" w:cs="Times New Roman"/>
          <w:color w:val="000000" w:themeColor="text1"/>
          <w:sz w:val="24"/>
          <w:szCs w:val="24"/>
        </w:rPr>
      </w:pPr>
    </w:p>
    <w:p w14:paraId="576E6CF4" w14:textId="77777777" w:rsidR="00462975" w:rsidRPr="00313D1C" w:rsidRDefault="00462975" w:rsidP="00490BFC">
      <w:pPr>
        <w:spacing w:after="0" w:line="240" w:lineRule="auto"/>
        <w:jc w:val="both"/>
        <w:rPr>
          <w:rFonts w:ascii="Times New Roman" w:hAnsi="Times New Roman" w:cs="Times New Roman"/>
          <w:color w:val="000000" w:themeColor="text1"/>
          <w:sz w:val="24"/>
          <w:szCs w:val="24"/>
          <w:shd w:val="clear" w:color="auto" w:fill="FFFFFF"/>
        </w:rPr>
      </w:pPr>
      <w:r w:rsidRPr="00313D1C">
        <w:rPr>
          <w:rFonts w:ascii="Times New Roman" w:hAnsi="Times New Roman" w:cs="Times New Roman"/>
          <w:color w:val="000000" w:themeColor="text1"/>
          <w:sz w:val="24"/>
          <w:szCs w:val="24"/>
          <w:shd w:val="clear" w:color="auto" w:fill="FFFFFF"/>
        </w:rPr>
        <w:t xml:space="preserve">4.  Kolektívna zmluva vyššieho stupňa na roky 2019 – 2022 uzatvorená 2. mája 2019 medzi Odborovým zväzom KOVO a Zväzom sklárskeho priemyslu Slovenskej republiky s </w:t>
      </w:r>
      <w:r w:rsidRPr="00313D1C">
        <w:rPr>
          <w:rFonts w:ascii="Times New Roman" w:hAnsi="Times New Roman" w:cs="Times New Roman"/>
          <w:color w:val="000000" w:themeColor="text1"/>
          <w:sz w:val="24"/>
          <w:szCs w:val="24"/>
          <w:shd w:val="clear" w:color="auto" w:fill="FFFFFF"/>
        </w:rPr>
        <w:lastRenderedPageBreak/>
        <w:t>účinnosťou od 1. mája 2019 do 30. apríla 2022, v znení Dodatku č. 1 s účinnosťou od 1. marca 2020</w:t>
      </w:r>
    </w:p>
    <w:p w14:paraId="4256A834" w14:textId="77777777" w:rsidR="00462975" w:rsidRPr="00313D1C" w:rsidRDefault="00462975" w:rsidP="00462975">
      <w:pPr>
        <w:spacing w:after="0" w:line="240" w:lineRule="auto"/>
        <w:rPr>
          <w:rFonts w:ascii="Times New Roman" w:hAnsi="Times New Roman" w:cs="Times New Roman"/>
          <w:color w:val="000000" w:themeColor="text1"/>
          <w:sz w:val="24"/>
          <w:szCs w:val="24"/>
          <w:shd w:val="clear" w:color="auto" w:fill="FFFFFF"/>
        </w:rPr>
      </w:pPr>
      <w:r w:rsidRPr="00313D1C">
        <w:rPr>
          <w:rFonts w:ascii="Times New Roman" w:hAnsi="Times New Roman" w:cs="Times New Roman"/>
          <w:color w:val="000000" w:themeColor="text1"/>
          <w:sz w:val="24"/>
          <w:szCs w:val="24"/>
          <w:shd w:val="clear" w:color="auto" w:fill="FFFFFF"/>
        </w:rPr>
        <w:t>- úroveň skupín:</w:t>
      </w:r>
    </w:p>
    <w:p w14:paraId="117FAB62" w14:textId="747C3187" w:rsidR="00462975" w:rsidRPr="00313D1C" w:rsidRDefault="00462975" w:rsidP="00462975">
      <w:pPr>
        <w:pStyle w:val="Odsekzoznamu"/>
        <w:numPr>
          <w:ilvl w:val="0"/>
          <w:numId w:val="20"/>
        </w:numPr>
        <w:spacing w:after="0" w:line="240" w:lineRule="auto"/>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shd w:val="clear" w:color="auto" w:fill="FFFFFF"/>
        </w:rPr>
        <w:t>23.1 – výroba skla a výrobkov zo skla</w:t>
      </w:r>
      <w:r w:rsidR="00490BFC" w:rsidRPr="00313D1C">
        <w:rPr>
          <w:rFonts w:ascii="Times New Roman" w:hAnsi="Times New Roman" w:cs="Times New Roman"/>
          <w:color w:val="000000" w:themeColor="text1"/>
          <w:sz w:val="24"/>
          <w:szCs w:val="24"/>
          <w:shd w:val="clear" w:color="auto" w:fill="FFFFFF"/>
        </w:rPr>
        <w:t>,</w:t>
      </w:r>
      <w:r w:rsidRPr="00313D1C">
        <w:rPr>
          <w:rFonts w:ascii="Times New Roman" w:hAnsi="Times New Roman" w:cs="Times New Roman"/>
          <w:color w:val="000000" w:themeColor="text1"/>
          <w:sz w:val="24"/>
          <w:szCs w:val="24"/>
          <w:shd w:val="clear" w:color="auto" w:fill="FFFFFF"/>
        </w:rPr>
        <w:t xml:space="preserve"> </w:t>
      </w:r>
    </w:p>
    <w:p w14:paraId="69DE95EE" w14:textId="77777777" w:rsidR="00462975" w:rsidRPr="00313D1C" w:rsidRDefault="00462975" w:rsidP="00462975">
      <w:pPr>
        <w:pStyle w:val="Odsekzoznamu"/>
        <w:numPr>
          <w:ilvl w:val="0"/>
          <w:numId w:val="20"/>
        </w:numPr>
        <w:spacing w:after="0" w:line="240" w:lineRule="auto"/>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shd w:val="clear" w:color="auto" w:fill="FFFFFF"/>
        </w:rPr>
        <w:t>23.9 – výroba brúsnych výrobkov a nekovových minerálnych výrobkov i. n.</w:t>
      </w:r>
    </w:p>
    <w:p w14:paraId="1B2AC8AB" w14:textId="77777777" w:rsidR="00462975" w:rsidRPr="00313D1C" w:rsidRDefault="00462975" w:rsidP="0069409D">
      <w:pPr>
        <w:spacing w:after="0" w:line="240" w:lineRule="auto"/>
        <w:jc w:val="both"/>
        <w:rPr>
          <w:rFonts w:ascii="Times New Roman" w:hAnsi="Times New Roman" w:cs="Times New Roman"/>
          <w:color w:val="000000" w:themeColor="text1"/>
          <w:sz w:val="24"/>
          <w:szCs w:val="24"/>
        </w:rPr>
      </w:pPr>
    </w:p>
    <w:p w14:paraId="3089260B" w14:textId="06D808CF" w:rsidR="0069409D" w:rsidRPr="00313D1C" w:rsidRDefault="0069409D" w:rsidP="0069409D">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Zoznam všetkých KZVS je zverejnený na stránke ministerstva:</w:t>
      </w:r>
    </w:p>
    <w:p w14:paraId="28D6A758" w14:textId="3A1FE4D1" w:rsidR="0069409D" w:rsidRPr="00313D1C" w:rsidRDefault="0069409D" w:rsidP="0069409D">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https://www.employment.gov.sk/sk/praca-zamestnanost/vztah-zamestnanca-zamestnavatela/kolektivne-pracovnopravne-vztahy/kolektivne-zmluvy/zoznam-kolektivnych-zmluv-vyssieho-stupna/</w:t>
      </w:r>
    </w:p>
    <w:p w14:paraId="7DE90E34" w14:textId="77777777" w:rsidR="0069409D" w:rsidRPr="00313D1C" w:rsidRDefault="0069409D" w:rsidP="00490BFC">
      <w:pPr>
        <w:spacing w:after="0" w:line="240" w:lineRule="auto"/>
        <w:jc w:val="both"/>
        <w:rPr>
          <w:color w:val="000000" w:themeColor="text1"/>
        </w:rPr>
      </w:pPr>
    </w:p>
    <w:p w14:paraId="4DA06BB9" w14:textId="260AD37F" w:rsidR="00462975" w:rsidRPr="00313D1C" w:rsidRDefault="00462975" w:rsidP="00490BFC">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Predkladateľ nevie odhadnúť</w:t>
      </w:r>
      <w:r w:rsidR="00490BFC" w:rsidRPr="00313D1C">
        <w:rPr>
          <w:rFonts w:ascii="Times New Roman" w:hAnsi="Times New Roman" w:cs="Times New Roman"/>
          <w:color w:val="000000" w:themeColor="text1"/>
          <w:sz w:val="24"/>
          <w:szCs w:val="24"/>
        </w:rPr>
        <w:t xml:space="preserve"> ani </w:t>
      </w:r>
      <w:r w:rsidRPr="00313D1C">
        <w:rPr>
          <w:rFonts w:ascii="Times New Roman" w:hAnsi="Times New Roman" w:cs="Times New Roman"/>
          <w:color w:val="000000" w:themeColor="text1"/>
          <w:sz w:val="24"/>
          <w:szCs w:val="24"/>
        </w:rPr>
        <w:t>okruh dotknutých subjektov (zamestnávateľov)</w:t>
      </w:r>
      <w:r w:rsidR="00490BFC" w:rsidRPr="00313D1C">
        <w:rPr>
          <w:rFonts w:ascii="Times New Roman" w:hAnsi="Times New Roman" w:cs="Times New Roman"/>
          <w:color w:val="000000" w:themeColor="text1"/>
          <w:sz w:val="24"/>
          <w:szCs w:val="24"/>
        </w:rPr>
        <w:t xml:space="preserve"> a ani konkrétny rozsah dopadov</w:t>
      </w:r>
      <w:r w:rsidRPr="00313D1C">
        <w:rPr>
          <w:rFonts w:ascii="Times New Roman" w:hAnsi="Times New Roman" w:cs="Times New Roman"/>
          <w:color w:val="000000" w:themeColor="text1"/>
          <w:sz w:val="24"/>
          <w:szCs w:val="24"/>
        </w:rPr>
        <w:t xml:space="preserve">, </w:t>
      </w:r>
      <w:r w:rsidR="00490BFC" w:rsidRPr="00313D1C">
        <w:rPr>
          <w:rFonts w:ascii="Times New Roman" w:hAnsi="Times New Roman" w:cs="Times New Roman"/>
          <w:color w:val="000000" w:themeColor="text1"/>
          <w:sz w:val="24"/>
          <w:szCs w:val="24"/>
        </w:rPr>
        <w:t>vzhľadom na veľký počet</w:t>
      </w:r>
      <w:r w:rsidRPr="00313D1C">
        <w:rPr>
          <w:rFonts w:ascii="Times New Roman" w:hAnsi="Times New Roman" w:cs="Times New Roman"/>
          <w:color w:val="000000" w:themeColor="text1"/>
          <w:sz w:val="24"/>
          <w:szCs w:val="24"/>
        </w:rPr>
        <w:t xml:space="preserve"> premenných:</w:t>
      </w:r>
    </w:p>
    <w:p w14:paraId="3AE28AA0" w14:textId="710F08E7" w:rsidR="00136790" w:rsidRPr="00313D1C" w:rsidRDefault="00136790" w:rsidP="00136790">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1. uzatvorenie KZVS – aj v odvetví, kde bola uzatvorená predtým KZVS môže nastať situácia, že nová KZVS nebude uzatvorená,</w:t>
      </w:r>
    </w:p>
    <w:p w14:paraId="375453BA" w14:textId="517CA27D" w:rsidR="00462975" w:rsidRPr="00313D1C" w:rsidRDefault="00462975"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 xml:space="preserve">2. </w:t>
      </w:r>
      <w:r w:rsidR="00490BFC" w:rsidRPr="00313D1C">
        <w:rPr>
          <w:rFonts w:ascii="Times New Roman" w:hAnsi="Times New Roman" w:cs="Times New Roman"/>
          <w:color w:val="000000" w:themeColor="text1"/>
          <w:sz w:val="24"/>
          <w:szCs w:val="24"/>
        </w:rPr>
        <w:t>napriek tomu, že by</w:t>
      </w:r>
      <w:r w:rsidRPr="00313D1C">
        <w:rPr>
          <w:rFonts w:ascii="Times New Roman" w:hAnsi="Times New Roman" w:cs="Times New Roman"/>
          <w:color w:val="000000" w:themeColor="text1"/>
          <w:sz w:val="24"/>
          <w:szCs w:val="24"/>
        </w:rPr>
        <w:t xml:space="preserve"> KZVS mohla byť reprezentatívna, nebude oznámená MPSVR SR</w:t>
      </w:r>
      <w:r w:rsidR="0069409D" w:rsidRPr="00313D1C">
        <w:rPr>
          <w:rFonts w:ascii="Times New Roman" w:hAnsi="Times New Roman" w:cs="Times New Roman"/>
          <w:color w:val="000000" w:themeColor="text1"/>
          <w:sz w:val="24"/>
          <w:szCs w:val="24"/>
        </w:rPr>
        <w:t>,</w:t>
      </w:r>
      <w:r w:rsidRPr="00313D1C">
        <w:rPr>
          <w:rFonts w:ascii="Times New Roman" w:hAnsi="Times New Roman" w:cs="Times New Roman"/>
          <w:color w:val="000000" w:themeColor="text1"/>
          <w:sz w:val="24"/>
          <w:szCs w:val="24"/>
        </w:rPr>
        <w:t xml:space="preserve"> a teda sa neuplatní režim reprezentatívnej KZVS</w:t>
      </w:r>
      <w:r w:rsidR="0069409D" w:rsidRPr="00313D1C">
        <w:rPr>
          <w:rFonts w:ascii="Times New Roman" w:hAnsi="Times New Roman" w:cs="Times New Roman"/>
          <w:color w:val="000000" w:themeColor="text1"/>
          <w:sz w:val="24"/>
          <w:szCs w:val="24"/>
        </w:rPr>
        <w:t xml:space="preserve"> (vo viacerých odvetviach v minulosti neboli oznamované reprezentatívne KZVS)</w:t>
      </w:r>
      <w:r w:rsidRPr="00313D1C">
        <w:rPr>
          <w:rFonts w:ascii="Times New Roman" w:hAnsi="Times New Roman" w:cs="Times New Roman"/>
          <w:color w:val="000000" w:themeColor="text1"/>
          <w:sz w:val="24"/>
          <w:szCs w:val="24"/>
        </w:rPr>
        <w:t>,</w:t>
      </w:r>
    </w:p>
    <w:p w14:paraId="14298649" w14:textId="182FF00B" w:rsidR="00490BFC" w:rsidRPr="00313D1C" w:rsidRDefault="00490BFC"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 xml:space="preserve">3. KZVS sa uzatvára pre divízie alebo skupiny, pričom sa vychádza z SK NACE klasifikácie a v  prílohe </w:t>
      </w:r>
      <w:r w:rsidR="0069409D" w:rsidRPr="00313D1C">
        <w:rPr>
          <w:rFonts w:ascii="Times New Roman" w:hAnsi="Times New Roman" w:cs="Times New Roman"/>
          <w:color w:val="000000" w:themeColor="text1"/>
          <w:sz w:val="24"/>
          <w:szCs w:val="24"/>
        </w:rPr>
        <w:t xml:space="preserve">KZVS sa </w:t>
      </w:r>
      <w:r w:rsidRPr="00313D1C">
        <w:rPr>
          <w:rFonts w:ascii="Times New Roman" w:hAnsi="Times New Roman" w:cs="Times New Roman"/>
          <w:color w:val="000000" w:themeColor="text1"/>
          <w:sz w:val="24"/>
          <w:szCs w:val="24"/>
        </w:rPr>
        <w:t>uvádza zoznam zamestnávateľ</w:t>
      </w:r>
      <w:r w:rsidR="0069409D" w:rsidRPr="00313D1C">
        <w:rPr>
          <w:rFonts w:ascii="Times New Roman" w:hAnsi="Times New Roman" w:cs="Times New Roman"/>
          <w:color w:val="000000" w:themeColor="text1"/>
          <w:sz w:val="24"/>
          <w:szCs w:val="24"/>
        </w:rPr>
        <w:t>ov</w:t>
      </w:r>
      <w:r w:rsidRPr="00313D1C">
        <w:rPr>
          <w:rFonts w:ascii="Times New Roman" w:hAnsi="Times New Roman" w:cs="Times New Roman"/>
          <w:color w:val="000000" w:themeColor="text1"/>
          <w:sz w:val="24"/>
          <w:szCs w:val="24"/>
        </w:rPr>
        <w:t xml:space="preserve">, za ktorých </w:t>
      </w:r>
      <w:r w:rsidR="0069409D" w:rsidRPr="00313D1C">
        <w:rPr>
          <w:rFonts w:ascii="Times New Roman" w:hAnsi="Times New Roman" w:cs="Times New Roman"/>
          <w:color w:val="000000" w:themeColor="text1"/>
          <w:sz w:val="24"/>
          <w:szCs w:val="24"/>
        </w:rPr>
        <w:t xml:space="preserve">je </w:t>
      </w:r>
      <w:r w:rsidRPr="00313D1C">
        <w:rPr>
          <w:rFonts w:ascii="Times New Roman" w:hAnsi="Times New Roman" w:cs="Times New Roman"/>
          <w:color w:val="000000" w:themeColor="text1"/>
          <w:sz w:val="24"/>
          <w:szCs w:val="24"/>
        </w:rPr>
        <w:t>uzatvorená (pričom zoznam sa v čase môže meniť v závislosti od záujmu zamestnávateľ</w:t>
      </w:r>
      <w:r w:rsidR="0069409D" w:rsidRPr="00313D1C">
        <w:rPr>
          <w:rFonts w:ascii="Times New Roman" w:hAnsi="Times New Roman" w:cs="Times New Roman"/>
          <w:color w:val="000000" w:themeColor="text1"/>
          <w:sz w:val="24"/>
          <w:szCs w:val="24"/>
        </w:rPr>
        <w:t>a</w:t>
      </w:r>
      <w:r w:rsidRPr="00313D1C">
        <w:rPr>
          <w:rFonts w:ascii="Times New Roman" w:hAnsi="Times New Roman" w:cs="Times New Roman"/>
          <w:color w:val="000000" w:themeColor="text1"/>
          <w:sz w:val="24"/>
          <w:szCs w:val="24"/>
        </w:rPr>
        <w:t xml:space="preserve"> – člena združenia byť viazaný KZVS – čo môže ovplyvniť aj určenie skupiny/divízie KZVS, zmena zaradenia zamestnávateľa v rámci SK NACE klasifikácie, čo môže ovplyvniť aj určenie skupiny/divízie KZVS),</w:t>
      </w:r>
    </w:p>
    <w:p w14:paraId="391CE521" w14:textId="2C5D6EDE" w:rsidR="00462975" w:rsidRPr="00313D1C" w:rsidRDefault="00490BFC"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4</w:t>
      </w:r>
      <w:r w:rsidR="00462975" w:rsidRPr="00313D1C">
        <w:rPr>
          <w:rFonts w:ascii="Times New Roman" w:hAnsi="Times New Roman" w:cs="Times New Roman"/>
          <w:color w:val="000000" w:themeColor="text1"/>
          <w:sz w:val="24"/>
          <w:szCs w:val="24"/>
        </w:rPr>
        <w:t xml:space="preserve">. uzatvorená KZVS môže byť reprezentatívna len pre niektoré divízie alebo skupiny hoci pokrýva aj ďalšie </w:t>
      </w:r>
      <w:r w:rsidRPr="00313D1C">
        <w:rPr>
          <w:rFonts w:ascii="Times New Roman" w:hAnsi="Times New Roman" w:cs="Times New Roman"/>
          <w:color w:val="000000" w:themeColor="text1"/>
          <w:sz w:val="24"/>
          <w:szCs w:val="24"/>
        </w:rPr>
        <w:t>divízie</w:t>
      </w:r>
      <w:r w:rsidR="0069409D" w:rsidRPr="00313D1C">
        <w:rPr>
          <w:rFonts w:ascii="Times New Roman" w:hAnsi="Times New Roman" w:cs="Times New Roman"/>
          <w:color w:val="000000" w:themeColor="text1"/>
          <w:sz w:val="24"/>
          <w:szCs w:val="24"/>
        </w:rPr>
        <w:t xml:space="preserve"> a skupiny</w:t>
      </w:r>
      <w:r w:rsidR="00462975" w:rsidRPr="00313D1C">
        <w:rPr>
          <w:rFonts w:ascii="Times New Roman" w:hAnsi="Times New Roman" w:cs="Times New Roman"/>
          <w:color w:val="000000" w:themeColor="text1"/>
          <w:sz w:val="24"/>
          <w:szCs w:val="24"/>
        </w:rPr>
        <w:t>,</w:t>
      </w:r>
    </w:p>
    <w:p w14:paraId="248F05AC" w14:textId="33953082" w:rsidR="00462975" w:rsidRPr="00313D1C" w:rsidRDefault="00490BFC"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5</w:t>
      </w:r>
      <w:r w:rsidR="00462975" w:rsidRPr="00313D1C">
        <w:rPr>
          <w:rFonts w:ascii="Times New Roman" w:hAnsi="Times New Roman" w:cs="Times New Roman"/>
          <w:color w:val="000000" w:themeColor="text1"/>
          <w:sz w:val="24"/>
          <w:szCs w:val="24"/>
        </w:rPr>
        <w:t>. oznámená KZVS bude podľa posúdenia tripartitnej komisie reprezentatívn</w:t>
      </w:r>
      <w:r w:rsidRPr="00313D1C">
        <w:rPr>
          <w:rFonts w:ascii="Times New Roman" w:hAnsi="Times New Roman" w:cs="Times New Roman"/>
          <w:color w:val="000000" w:themeColor="text1"/>
          <w:sz w:val="24"/>
          <w:szCs w:val="24"/>
        </w:rPr>
        <w:t>a</w:t>
      </w:r>
      <w:r w:rsidR="00462975" w:rsidRPr="00313D1C">
        <w:rPr>
          <w:rFonts w:ascii="Times New Roman" w:hAnsi="Times New Roman" w:cs="Times New Roman"/>
          <w:color w:val="000000" w:themeColor="text1"/>
          <w:sz w:val="24"/>
          <w:szCs w:val="24"/>
        </w:rPr>
        <w:t xml:space="preserve"> v menšom než navrhovanom rozsahu,</w:t>
      </w:r>
    </w:p>
    <w:p w14:paraId="7D72BC42" w14:textId="5727E962" w:rsidR="002E62E8" w:rsidRPr="00313D1C" w:rsidRDefault="002E62E8"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6. KZVS nie sú homogénne ale majú rôzny obsah aj v kontexte odvetvia, pre ktoré sú uzatvorené,</w:t>
      </w:r>
    </w:p>
    <w:p w14:paraId="1DD9536E" w14:textId="42007A4A" w:rsidR="00462975" w:rsidRPr="00313D1C" w:rsidRDefault="002E62E8"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7</w:t>
      </w:r>
      <w:r w:rsidR="00462975" w:rsidRPr="00313D1C">
        <w:rPr>
          <w:rFonts w:ascii="Times New Roman" w:hAnsi="Times New Roman" w:cs="Times New Roman"/>
          <w:color w:val="000000" w:themeColor="text1"/>
          <w:sz w:val="24"/>
          <w:szCs w:val="24"/>
        </w:rPr>
        <w:t>. zamestnávateľ môže spadať pod jednu z výnimiek podľa § 7a</w:t>
      </w:r>
      <w:r w:rsidR="0069409D" w:rsidRPr="00313D1C">
        <w:rPr>
          <w:rFonts w:ascii="Times New Roman" w:hAnsi="Times New Roman" w:cs="Times New Roman"/>
          <w:color w:val="000000" w:themeColor="text1"/>
          <w:sz w:val="24"/>
          <w:szCs w:val="24"/>
        </w:rPr>
        <w:t xml:space="preserve"> návrhu zákona</w:t>
      </w:r>
      <w:r w:rsidR="00462975" w:rsidRPr="00313D1C">
        <w:rPr>
          <w:rFonts w:ascii="Times New Roman" w:hAnsi="Times New Roman" w:cs="Times New Roman"/>
          <w:color w:val="000000" w:themeColor="text1"/>
          <w:sz w:val="24"/>
          <w:szCs w:val="24"/>
        </w:rPr>
        <w:t xml:space="preserve"> (napr. kritérium zamestnávania menšieho počtu zamestnancov ako </w:t>
      </w:r>
      <w:r w:rsidR="00C47437" w:rsidRPr="00313D1C">
        <w:rPr>
          <w:rFonts w:ascii="Times New Roman" w:hAnsi="Times New Roman" w:cs="Times New Roman"/>
          <w:color w:val="000000" w:themeColor="text1"/>
          <w:sz w:val="24"/>
          <w:szCs w:val="24"/>
        </w:rPr>
        <w:t xml:space="preserve"> 20 – uvedené </w:t>
      </w:r>
      <w:r w:rsidR="00462975" w:rsidRPr="00313D1C">
        <w:rPr>
          <w:rFonts w:ascii="Times New Roman" w:hAnsi="Times New Roman" w:cs="Times New Roman"/>
          <w:color w:val="000000" w:themeColor="text1"/>
          <w:sz w:val="24"/>
          <w:szCs w:val="24"/>
        </w:rPr>
        <w:t>spĺňa 80</w:t>
      </w:r>
      <w:r w:rsidR="00136790" w:rsidRPr="00313D1C">
        <w:rPr>
          <w:rFonts w:ascii="Times New Roman" w:hAnsi="Times New Roman" w:cs="Times New Roman"/>
          <w:color w:val="000000" w:themeColor="text1"/>
          <w:sz w:val="24"/>
          <w:szCs w:val="24"/>
        </w:rPr>
        <w:t xml:space="preserve"> </w:t>
      </w:r>
      <w:r w:rsidR="00462975" w:rsidRPr="00313D1C">
        <w:rPr>
          <w:rFonts w:ascii="Times New Roman" w:hAnsi="Times New Roman" w:cs="Times New Roman"/>
          <w:color w:val="000000" w:themeColor="text1"/>
          <w:sz w:val="24"/>
          <w:szCs w:val="24"/>
        </w:rPr>
        <w:t>% až 85 % zamestnávateľov</w:t>
      </w:r>
      <w:r w:rsidR="00490BFC" w:rsidRPr="00313D1C">
        <w:rPr>
          <w:rFonts w:ascii="Times New Roman" w:hAnsi="Times New Roman" w:cs="Times New Roman"/>
          <w:color w:val="000000" w:themeColor="text1"/>
          <w:sz w:val="24"/>
          <w:szCs w:val="24"/>
        </w:rPr>
        <w:t>, vykonávanie podnikateľskej činnosti menej ako 24 mesiacov</w:t>
      </w:r>
      <w:r w:rsidRPr="00313D1C">
        <w:rPr>
          <w:rFonts w:ascii="Times New Roman" w:hAnsi="Times New Roman" w:cs="Times New Roman"/>
          <w:color w:val="000000" w:themeColor="text1"/>
          <w:sz w:val="24"/>
          <w:szCs w:val="24"/>
        </w:rPr>
        <w:t>) – vo všeobecnosti údaje k § 7a neexistujú alebo nie sú dostupné s výnimkou počtu zamestnávateľov zamestnávajúcich menej ako 20 zamestnancov.</w:t>
      </w:r>
    </w:p>
    <w:p w14:paraId="3562626D" w14:textId="37BBB31F" w:rsidR="00462975" w:rsidRPr="00313D1C" w:rsidRDefault="002E62E8"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8</w:t>
      </w:r>
      <w:r w:rsidR="00462975" w:rsidRPr="00313D1C">
        <w:rPr>
          <w:rFonts w:ascii="Times New Roman" w:hAnsi="Times New Roman" w:cs="Times New Roman"/>
          <w:color w:val="000000" w:themeColor="text1"/>
          <w:sz w:val="24"/>
          <w:szCs w:val="24"/>
        </w:rPr>
        <w:t>. zamestnávateľ môže byť zmluvnou stranou KZVS, ktorá je reprezentatívna (napr. KZVS v stavebníctve od 80 až 100 subjektov pokrytých KZVS), a teda sa na neho už vzťahujú podmienky KZVS,</w:t>
      </w:r>
    </w:p>
    <w:p w14:paraId="1CB857B8" w14:textId="7B2C0E0E" w:rsidR="002E62E8" w:rsidRPr="00313D1C" w:rsidRDefault="002E62E8"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9</w:t>
      </w:r>
      <w:r w:rsidR="00462975" w:rsidRPr="00313D1C">
        <w:rPr>
          <w:rFonts w:ascii="Times New Roman" w:hAnsi="Times New Roman" w:cs="Times New Roman"/>
          <w:color w:val="000000" w:themeColor="text1"/>
          <w:sz w:val="24"/>
          <w:szCs w:val="24"/>
        </w:rPr>
        <w:t>. zamestnávateľ môže byť zmluvnou stranou inej KZVS</w:t>
      </w:r>
      <w:r w:rsidR="00490BFC" w:rsidRPr="00313D1C">
        <w:rPr>
          <w:rFonts w:ascii="Times New Roman" w:hAnsi="Times New Roman" w:cs="Times New Roman"/>
          <w:color w:val="000000" w:themeColor="text1"/>
          <w:sz w:val="24"/>
          <w:szCs w:val="24"/>
        </w:rPr>
        <w:t xml:space="preserve"> (a teda sa na neho aplikuje výnimka podľa § 7a návrhu zákona)</w:t>
      </w:r>
      <w:r w:rsidR="00462975" w:rsidRPr="00313D1C">
        <w:rPr>
          <w:rFonts w:ascii="Times New Roman" w:hAnsi="Times New Roman" w:cs="Times New Roman"/>
          <w:color w:val="000000" w:themeColor="text1"/>
          <w:sz w:val="24"/>
          <w:szCs w:val="24"/>
        </w:rPr>
        <w:t>,</w:t>
      </w:r>
    </w:p>
    <w:p w14:paraId="736D4951" w14:textId="455E2BC9" w:rsidR="00462975" w:rsidRPr="00313D1C" w:rsidRDefault="002E62E8"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10</w:t>
      </w:r>
      <w:r w:rsidR="00462975" w:rsidRPr="00313D1C">
        <w:rPr>
          <w:rFonts w:ascii="Times New Roman" w:hAnsi="Times New Roman" w:cs="Times New Roman"/>
          <w:color w:val="000000" w:themeColor="text1"/>
          <w:sz w:val="24"/>
          <w:szCs w:val="24"/>
        </w:rPr>
        <w:t xml:space="preserve">. obsah KZVS – práva a povinností - zamestnávateľ môže mať pracovné podmienky (cez pracovné zmluvy, kolektívne zmluvy) nastavené výhodnejšie ako ustanovuje </w:t>
      </w:r>
      <w:r w:rsidR="00490BFC" w:rsidRPr="00313D1C">
        <w:rPr>
          <w:rFonts w:ascii="Times New Roman" w:hAnsi="Times New Roman" w:cs="Times New Roman"/>
          <w:color w:val="000000" w:themeColor="text1"/>
          <w:sz w:val="24"/>
          <w:szCs w:val="24"/>
        </w:rPr>
        <w:t>KZVS.</w:t>
      </w:r>
    </w:p>
    <w:p w14:paraId="42A28C3B" w14:textId="1AA9EA8F" w:rsidR="00462975" w:rsidRPr="00313D1C" w:rsidRDefault="00462975" w:rsidP="00462975">
      <w:pPr>
        <w:spacing w:after="0" w:line="240" w:lineRule="auto"/>
        <w:jc w:val="both"/>
        <w:rPr>
          <w:rFonts w:ascii="Times New Roman" w:hAnsi="Times New Roman" w:cs="Times New Roman"/>
          <w:color w:val="000000" w:themeColor="text1"/>
          <w:sz w:val="24"/>
          <w:szCs w:val="24"/>
        </w:rPr>
      </w:pPr>
    </w:p>
    <w:p w14:paraId="039838EF" w14:textId="3A003203" w:rsidR="002E62E8" w:rsidRPr="00313D1C" w:rsidRDefault="002E62E8"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 xml:space="preserve">Negatívny vplyv: Zamestnávatelia budú povinní plniť záväzky z reprezentatívnej KZVS Plnenie záväzkov z reprezentatívnej KZVS  môže mať vplyv na hospodárenie právnických osôb a môže spôsobiť mierne zvýšenie ich nákladových položiek. Keďže KZVS sú spravidla dohodnuté len mierne nad úrovňou právnych predpisov a v zákone o kolektívnom vyjednávaní sú ustanovené výnimky zo záväznosti, ako aj z dôvodu, že reprezentatívna KZVS sa nebude dotýkať zamestnávateľov, ktorí kolektívne vyjednávajú a  poskytujú vyššie benefity ako ustanovuje reprezentatívna  KZVS, negatívny dopad sa bude týkať obmedzeného okruhu </w:t>
      </w:r>
      <w:r w:rsidRPr="00313D1C">
        <w:rPr>
          <w:rFonts w:ascii="Times New Roman" w:hAnsi="Times New Roman" w:cs="Times New Roman"/>
          <w:color w:val="000000" w:themeColor="text1"/>
          <w:sz w:val="24"/>
          <w:szCs w:val="24"/>
        </w:rPr>
        <w:lastRenderedPageBreak/>
        <w:t>zamestnávateľov (napr. výnimka je aj pre zamestnávateľa s počtom zamestnancov menej ako 20).</w:t>
      </w:r>
    </w:p>
    <w:p w14:paraId="69EA04AC" w14:textId="6692B0C0" w:rsidR="002E62E8" w:rsidRPr="00313D1C" w:rsidRDefault="002E62E8" w:rsidP="00462975">
      <w:pPr>
        <w:spacing w:after="0" w:line="240" w:lineRule="auto"/>
        <w:jc w:val="both"/>
        <w:rPr>
          <w:rFonts w:ascii="Times New Roman" w:hAnsi="Times New Roman" w:cs="Times New Roman"/>
          <w:color w:val="000000" w:themeColor="text1"/>
          <w:sz w:val="24"/>
          <w:szCs w:val="24"/>
        </w:rPr>
      </w:pPr>
    </w:p>
    <w:p w14:paraId="0B81656D" w14:textId="23B5A32B" w:rsidR="002E62E8" w:rsidRPr="00313D1C" w:rsidRDefault="002E62E8" w:rsidP="002E62E8">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Pozitívny vplyv: Zamestnávatelia, ktorí budú povinní plniť reprezentatívnu KZVS si v konkurenčnom prostredí  nebudú môcť vytvárať  v odvetví alebo v časti odvetvia, kde je takáto KZVS uzatvorená lepšie konkurenčné podmienky  cez nižšie minimálne sociálne nároky, ktoré by poskytovali svojim zamestnancom.</w:t>
      </w:r>
    </w:p>
    <w:p w14:paraId="4441C523" w14:textId="17C204E2" w:rsidR="002E62E8" w:rsidRPr="00313D1C" w:rsidRDefault="002E62E8" w:rsidP="00462975">
      <w:pPr>
        <w:spacing w:after="0" w:line="240" w:lineRule="auto"/>
        <w:jc w:val="both"/>
        <w:rPr>
          <w:color w:val="000000" w:themeColor="text1"/>
          <w:sz w:val="24"/>
          <w:szCs w:val="24"/>
        </w:rPr>
      </w:pPr>
    </w:p>
    <w:p w14:paraId="094212EB" w14:textId="77777777" w:rsidR="002E62E8" w:rsidRPr="00313D1C" w:rsidRDefault="002E62E8" w:rsidP="00462975">
      <w:pPr>
        <w:spacing w:after="0" w:line="240" w:lineRule="auto"/>
        <w:jc w:val="both"/>
        <w:rPr>
          <w:color w:val="000000" w:themeColor="text1"/>
          <w:sz w:val="24"/>
          <w:szCs w:val="24"/>
        </w:rPr>
      </w:pPr>
    </w:p>
    <w:p w14:paraId="46076D44" w14:textId="748463E4" w:rsidR="00490BFC" w:rsidRPr="00313D1C" w:rsidRDefault="00462975"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b/>
          <w:i/>
          <w:color w:val="000000" w:themeColor="text1"/>
          <w:sz w:val="24"/>
          <w:szCs w:val="24"/>
        </w:rPr>
        <w:t>Príklad – analýza konkrétnej kolektívne</w:t>
      </w:r>
      <w:r w:rsidR="00490BFC" w:rsidRPr="00313D1C">
        <w:rPr>
          <w:rFonts w:ascii="Times New Roman" w:hAnsi="Times New Roman" w:cs="Times New Roman"/>
          <w:b/>
          <w:i/>
          <w:color w:val="000000" w:themeColor="text1"/>
          <w:sz w:val="24"/>
          <w:szCs w:val="24"/>
        </w:rPr>
        <w:t>j zmluvy (hutníctvo):</w:t>
      </w:r>
      <w:r w:rsidRPr="00313D1C">
        <w:rPr>
          <w:rFonts w:ascii="Times New Roman" w:hAnsi="Times New Roman" w:cs="Times New Roman"/>
          <w:color w:val="000000" w:themeColor="text1"/>
          <w:sz w:val="24"/>
          <w:szCs w:val="24"/>
        </w:rPr>
        <w:t xml:space="preserve"> </w:t>
      </w:r>
    </w:p>
    <w:p w14:paraId="77B18DA5" w14:textId="77777777" w:rsidR="00490BFC" w:rsidRPr="00313D1C" w:rsidRDefault="00490BFC" w:rsidP="00462975">
      <w:pPr>
        <w:spacing w:after="0" w:line="240" w:lineRule="auto"/>
        <w:jc w:val="both"/>
        <w:rPr>
          <w:rFonts w:ascii="Times New Roman" w:hAnsi="Times New Roman" w:cs="Times New Roman"/>
          <w:color w:val="000000" w:themeColor="text1"/>
          <w:sz w:val="24"/>
          <w:szCs w:val="24"/>
        </w:rPr>
      </w:pPr>
    </w:p>
    <w:p w14:paraId="5F88BF04" w14:textId="77777777" w:rsidR="00490BFC" w:rsidRPr="00313D1C" w:rsidRDefault="00462975"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 xml:space="preserve">Kolektívna zmluva vyššieho stupňa </w:t>
      </w:r>
      <w:r w:rsidR="00490BFC" w:rsidRPr="00313D1C">
        <w:rPr>
          <w:rFonts w:ascii="Times New Roman" w:hAnsi="Times New Roman" w:cs="Times New Roman"/>
          <w:color w:val="000000" w:themeColor="text1"/>
          <w:sz w:val="24"/>
          <w:szCs w:val="24"/>
        </w:rPr>
        <w:t xml:space="preserve">je </w:t>
      </w:r>
      <w:r w:rsidRPr="00313D1C">
        <w:rPr>
          <w:rFonts w:ascii="Times New Roman" w:hAnsi="Times New Roman" w:cs="Times New Roman"/>
          <w:color w:val="000000" w:themeColor="text1"/>
          <w:sz w:val="24"/>
          <w:szCs w:val="24"/>
        </w:rPr>
        <w:t>uzatvorená medzi Odborovým zväzom KOVO a Zväzom hutníctva, ťažobného priemyslu a geológie Slovenskej republiky na roky 2023 – 2026 v znení dodatku č. 1</w:t>
      </w:r>
      <w:r w:rsidR="00490BFC" w:rsidRPr="00313D1C">
        <w:rPr>
          <w:rFonts w:ascii="Times New Roman" w:hAnsi="Times New Roman" w:cs="Times New Roman"/>
          <w:color w:val="000000" w:themeColor="text1"/>
          <w:sz w:val="24"/>
          <w:szCs w:val="24"/>
        </w:rPr>
        <w:t xml:space="preserve">. Táto KZVS podľa prílohy čl. 1 pokrýva 5 subjektov: </w:t>
      </w:r>
      <w:r w:rsidRPr="00313D1C">
        <w:rPr>
          <w:rFonts w:ascii="Times New Roman" w:hAnsi="Times New Roman" w:cs="Times New Roman"/>
          <w:color w:val="000000" w:themeColor="text1"/>
          <w:sz w:val="24"/>
          <w:szCs w:val="24"/>
        </w:rPr>
        <w:t xml:space="preserve"> 1 v divízii 23</w:t>
      </w:r>
      <w:r w:rsidR="00490BFC" w:rsidRPr="00313D1C">
        <w:rPr>
          <w:rFonts w:ascii="Times New Roman" w:hAnsi="Times New Roman" w:cs="Times New Roman"/>
          <w:color w:val="000000" w:themeColor="text1"/>
          <w:sz w:val="24"/>
          <w:szCs w:val="24"/>
        </w:rPr>
        <w:t xml:space="preserve"> (skupina 23.5)</w:t>
      </w:r>
      <w:r w:rsidRPr="00313D1C">
        <w:rPr>
          <w:rFonts w:ascii="Times New Roman" w:hAnsi="Times New Roman" w:cs="Times New Roman"/>
          <w:color w:val="000000" w:themeColor="text1"/>
          <w:sz w:val="24"/>
          <w:szCs w:val="24"/>
        </w:rPr>
        <w:t>, troch v divízii 24</w:t>
      </w:r>
      <w:r w:rsidR="00490BFC" w:rsidRPr="00313D1C">
        <w:rPr>
          <w:rFonts w:ascii="Times New Roman" w:hAnsi="Times New Roman" w:cs="Times New Roman"/>
          <w:color w:val="000000" w:themeColor="text1"/>
          <w:sz w:val="24"/>
          <w:szCs w:val="24"/>
        </w:rPr>
        <w:t xml:space="preserve"> (skupina 24.4. a 24.1)</w:t>
      </w:r>
      <w:r w:rsidRPr="00313D1C">
        <w:rPr>
          <w:rFonts w:ascii="Times New Roman" w:hAnsi="Times New Roman" w:cs="Times New Roman"/>
          <w:color w:val="000000" w:themeColor="text1"/>
          <w:sz w:val="24"/>
          <w:szCs w:val="24"/>
        </w:rPr>
        <w:t>, 1 v divízii 33</w:t>
      </w:r>
      <w:r w:rsidR="00490BFC" w:rsidRPr="00313D1C">
        <w:rPr>
          <w:rFonts w:ascii="Times New Roman" w:hAnsi="Times New Roman" w:cs="Times New Roman"/>
          <w:color w:val="000000" w:themeColor="text1"/>
          <w:sz w:val="24"/>
          <w:szCs w:val="24"/>
        </w:rPr>
        <w:t xml:space="preserve"> (skupina 33.1)</w:t>
      </w:r>
      <w:r w:rsidRPr="00313D1C">
        <w:rPr>
          <w:rFonts w:ascii="Times New Roman" w:hAnsi="Times New Roman" w:cs="Times New Roman"/>
          <w:color w:val="000000" w:themeColor="text1"/>
          <w:sz w:val="24"/>
          <w:szCs w:val="24"/>
        </w:rPr>
        <w:t xml:space="preserve">. </w:t>
      </w:r>
    </w:p>
    <w:p w14:paraId="319BB611" w14:textId="77777777" w:rsidR="00490BFC" w:rsidRPr="00313D1C" w:rsidRDefault="00490BFC" w:rsidP="00462975">
      <w:pPr>
        <w:spacing w:after="0" w:line="240" w:lineRule="auto"/>
        <w:jc w:val="both"/>
        <w:rPr>
          <w:rFonts w:ascii="Times New Roman" w:hAnsi="Times New Roman" w:cs="Times New Roman"/>
          <w:color w:val="000000" w:themeColor="text1"/>
          <w:sz w:val="24"/>
          <w:szCs w:val="24"/>
        </w:rPr>
      </w:pPr>
    </w:p>
    <w:p w14:paraId="09C0A779" w14:textId="77777777" w:rsidR="00490BFC" w:rsidRPr="00313D1C" w:rsidRDefault="00462975"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KZVS je</w:t>
      </w:r>
      <w:r w:rsidR="00490BFC" w:rsidRPr="00313D1C">
        <w:rPr>
          <w:rFonts w:ascii="Times New Roman" w:hAnsi="Times New Roman" w:cs="Times New Roman"/>
          <w:color w:val="000000" w:themeColor="text1"/>
          <w:sz w:val="24"/>
          <w:szCs w:val="24"/>
        </w:rPr>
        <w:t xml:space="preserve"> podľa čl. 3 KZVS uzatvorená </w:t>
      </w:r>
      <w:r w:rsidRPr="00313D1C">
        <w:rPr>
          <w:rFonts w:ascii="Times New Roman" w:hAnsi="Times New Roman" w:cs="Times New Roman"/>
          <w:color w:val="000000" w:themeColor="text1"/>
          <w:sz w:val="24"/>
          <w:szCs w:val="24"/>
        </w:rPr>
        <w:t>pre skupiny: 23.5, 24.1, 24.4, 24.5, 25.9</w:t>
      </w:r>
      <w:r w:rsidR="00490BFC" w:rsidRPr="00313D1C">
        <w:rPr>
          <w:rFonts w:ascii="Times New Roman" w:hAnsi="Times New Roman" w:cs="Times New Roman"/>
          <w:color w:val="000000" w:themeColor="text1"/>
          <w:sz w:val="24"/>
          <w:szCs w:val="24"/>
        </w:rPr>
        <w:t xml:space="preserve"> a </w:t>
      </w:r>
      <w:r w:rsidRPr="00313D1C">
        <w:rPr>
          <w:rFonts w:ascii="Times New Roman" w:hAnsi="Times New Roman" w:cs="Times New Roman"/>
          <w:color w:val="000000" w:themeColor="text1"/>
          <w:sz w:val="24"/>
          <w:szCs w:val="24"/>
        </w:rPr>
        <w:t xml:space="preserve">33.1. </w:t>
      </w:r>
    </w:p>
    <w:p w14:paraId="507FC0B1" w14:textId="0332E7C0" w:rsidR="00490BFC" w:rsidRPr="00313D1C" w:rsidRDefault="00490BFC" w:rsidP="00462975">
      <w:pPr>
        <w:spacing w:after="0" w:line="240" w:lineRule="auto"/>
        <w:jc w:val="both"/>
        <w:rPr>
          <w:rFonts w:ascii="Times New Roman" w:hAnsi="Times New Roman" w:cs="Times New Roman"/>
          <w:color w:val="000000" w:themeColor="text1"/>
          <w:sz w:val="24"/>
          <w:szCs w:val="24"/>
        </w:rPr>
      </w:pPr>
    </w:p>
    <w:p w14:paraId="52F15F5B" w14:textId="2C808499" w:rsidR="00490BFC" w:rsidRPr="00313D1C" w:rsidRDefault="00490BFC"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Z hľadiska obsahu:</w:t>
      </w:r>
    </w:p>
    <w:p w14:paraId="2A0EF368" w14:textId="77777777" w:rsidR="00C47437" w:rsidRPr="00313D1C" w:rsidRDefault="00462975"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 xml:space="preserve">KZVS v čl.  4 až 11 </w:t>
      </w:r>
      <w:r w:rsidR="00490BFC" w:rsidRPr="00313D1C">
        <w:rPr>
          <w:rFonts w:ascii="Times New Roman" w:hAnsi="Times New Roman" w:cs="Times New Roman"/>
          <w:color w:val="000000" w:themeColor="text1"/>
          <w:sz w:val="24"/>
          <w:szCs w:val="24"/>
        </w:rPr>
        <w:t xml:space="preserve">upravuje </w:t>
      </w:r>
      <w:r w:rsidRPr="00313D1C">
        <w:rPr>
          <w:rFonts w:ascii="Times New Roman" w:hAnsi="Times New Roman" w:cs="Times New Roman"/>
          <w:color w:val="000000" w:themeColor="text1"/>
          <w:sz w:val="24"/>
          <w:szCs w:val="24"/>
        </w:rPr>
        <w:t xml:space="preserve">všeobecné pravidlá (čl. 4 – zákaz diskriminácie,  čl. 5 </w:t>
      </w:r>
      <w:r w:rsidR="00490BFC" w:rsidRPr="00313D1C">
        <w:rPr>
          <w:rFonts w:ascii="Times New Roman" w:hAnsi="Times New Roman" w:cs="Times New Roman"/>
          <w:color w:val="000000" w:themeColor="text1"/>
          <w:sz w:val="24"/>
          <w:szCs w:val="24"/>
        </w:rPr>
        <w:t xml:space="preserve">–  </w:t>
      </w:r>
      <w:r w:rsidRPr="00313D1C">
        <w:rPr>
          <w:rFonts w:ascii="Times New Roman" w:hAnsi="Times New Roman" w:cs="Times New Roman"/>
          <w:color w:val="000000" w:themeColor="text1"/>
          <w:sz w:val="24"/>
          <w:szCs w:val="24"/>
        </w:rPr>
        <w:t>ochrana volených odborových funkcionárov, čl. 6 – práva a povinnosti zamestnancov, odborov a zamestnávateľov, čl. 7 – právo na spolurozhodovanie, čl. 8 – právo na prerokovanie, čl. 9 – právo na informovanie, čl. 10 – kontrolná činnosť, čl. 11 – materiálne, technické a organizačné zabezpečenie odborových organizácií u zamestnávateľa). V prípade týchto ustanovení nejde o ustanovenia, ktoré by zamestnávateľ nevedel splniť, často bez akejkoľvek zmeny svojich postupov</w:t>
      </w:r>
      <w:r w:rsidR="00C47437" w:rsidRPr="00313D1C">
        <w:rPr>
          <w:rFonts w:ascii="Times New Roman" w:hAnsi="Times New Roman" w:cs="Times New Roman"/>
          <w:color w:val="000000" w:themeColor="text1"/>
          <w:sz w:val="24"/>
          <w:szCs w:val="24"/>
        </w:rPr>
        <w:t>, resp. môže ísť o usmernenie aj tohto zamestnávateľa, aby pri svojom postupe zvážil aj ďalšie skutočnosti</w:t>
      </w:r>
      <w:r w:rsidRPr="00313D1C">
        <w:rPr>
          <w:rFonts w:ascii="Times New Roman" w:hAnsi="Times New Roman" w:cs="Times New Roman"/>
          <w:color w:val="000000" w:themeColor="text1"/>
          <w:sz w:val="24"/>
          <w:szCs w:val="24"/>
        </w:rPr>
        <w:t xml:space="preserve">. </w:t>
      </w:r>
    </w:p>
    <w:p w14:paraId="1316A360" w14:textId="77777777" w:rsidR="00C47437" w:rsidRPr="00313D1C" w:rsidRDefault="00C47437" w:rsidP="00462975">
      <w:pPr>
        <w:spacing w:after="0" w:line="240" w:lineRule="auto"/>
        <w:jc w:val="both"/>
        <w:rPr>
          <w:rFonts w:ascii="Times New Roman" w:hAnsi="Times New Roman" w:cs="Times New Roman"/>
          <w:color w:val="000000" w:themeColor="text1"/>
          <w:sz w:val="24"/>
          <w:szCs w:val="24"/>
        </w:rPr>
      </w:pPr>
    </w:p>
    <w:p w14:paraId="2CEE6C95" w14:textId="77777777" w:rsidR="00C47437" w:rsidRPr="00313D1C" w:rsidRDefault="00462975"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 xml:space="preserve">Čl. 12 upravuje niektoré pravidlá o politike zamestnanosti (napr. aj limit občanov </w:t>
      </w:r>
      <w:r w:rsidR="00490BFC" w:rsidRPr="00313D1C">
        <w:rPr>
          <w:rFonts w:ascii="Times New Roman" w:hAnsi="Times New Roman" w:cs="Times New Roman"/>
          <w:color w:val="000000" w:themeColor="text1"/>
          <w:sz w:val="24"/>
          <w:szCs w:val="24"/>
        </w:rPr>
        <w:t xml:space="preserve">z </w:t>
      </w:r>
      <w:r w:rsidRPr="00313D1C">
        <w:rPr>
          <w:rFonts w:ascii="Times New Roman" w:hAnsi="Times New Roman" w:cs="Times New Roman"/>
          <w:color w:val="000000" w:themeColor="text1"/>
          <w:sz w:val="24"/>
          <w:szCs w:val="24"/>
        </w:rPr>
        <w:t xml:space="preserve">tretích štátov, ale odkazuje sa na podnikovú kolektívnu zmluvu alebo dohodu so zástupcami zamestnancov, ochrana starších zamestnancov pred prepustením – ale na báze zváženia), čl. 13 - pracovný pomer a obsah pracovnej zmluvy, čl. 14 – skončenie pracovného pomeru, čl. 15 </w:t>
      </w:r>
      <w:r w:rsidR="00490BFC" w:rsidRPr="00313D1C">
        <w:rPr>
          <w:rFonts w:ascii="Times New Roman" w:hAnsi="Times New Roman" w:cs="Times New Roman"/>
          <w:color w:val="000000" w:themeColor="text1"/>
          <w:sz w:val="24"/>
          <w:szCs w:val="24"/>
        </w:rPr>
        <w:t xml:space="preserve">– </w:t>
      </w:r>
      <w:r w:rsidRPr="00313D1C">
        <w:rPr>
          <w:rFonts w:ascii="Times New Roman" w:hAnsi="Times New Roman" w:cs="Times New Roman"/>
          <w:color w:val="000000" w:themeColor="text1"/>
          <w:sz w:val="24"/>
          <w:szCs w:val="24"/>
        </w:rPr>
        <w:t xml:space="preserve"> kvalifikácia, rekvalifikácia, čl. 16 – obťažovanie na pracovisku. V prípade týchto ustanovení nejde o ustanovenia, ktoré by zamestnávateľ nevedel splniť, často bez akejkoľvek zmeny svojich postupov</w:t>
      </w:r>
      <w:r w:rsidR="00C47437" w:rsidRPr="00313D1C">
        <w:rPr>
          <w:rFonts w:ascii="Times New Roman" w:hAnsi="Times New Roman" w:cs="Times New Roman"/>
          <w:color w:val="000000" w:themeColor="text1"/>
          <w:sz w:val="24"/>
          <w:szCs w:val="24"/>
        </w:rPr>
        <w:t>, resp. môže ísť o usmernenie aj tohto zamestnávateľa, aby pri svojom postupe zvážil aj ďalšie skutočnosti</w:t>
      </w:r>
      <w:r w:rsidRPr="00313D1C">
        <w:rPr>
          <w:rFonts w:ascii="Times New Roman" w:hAnsi="Times New Roman" w:cs="Times New Roman"/>
          <w:color w:val="000000" w:themeColor="text1"/>
          <w:sz w:val="24"/>
          <w:szCs w:val="24"/>
        </w:rPr>
        <w:t xml:space="preserve">. </w:t>
      </w:r>
    </w:p>
    <w:p w14:paraId="4AF9316A" w14:textId="77777777" w:rsidR="00C47437" w:rsidRPr="00313D1C" w:rsidRDefault="00C47437" w:rsidP="00462975">
      <w:pPr>
        <w:spacing w:after="0" w:line="240" w:lineRule="auto"/>
        <w:jc w:val="both"/>
        <w:rPr>
          <w:rFonts w:ascii="Times New Roman" w:hAnsi="Times New Roman" w:cs="Times New Roman"/>
          <w:color w:val="000000" w:themeColor="text1"/>
          <w:sz w:val="24"/>
          <w:szCs w:val="24"/>
        </w:rPr>
      </w:pPr>
    </w:p>
    <w:p w14:paraId="70EA8B2C" w14:textId="6E463284" w:rsidR="00462975" w:rsidRPr="00313D1C" w:rsidRDefault="00462975"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Čl. 17 sa týka dovolenky na zotavenie a pracovného voľna (napr. niektoré dodatočné voľná nad rámec zákon</w:t>
      </w:r>
      <w:r w:rsidR="00136790" w:rsidRPr="00313D1C">
        <w:rPr>
          <w:rFonts w:ascii="Times New Roman" w:hAnsi="Times New Roman" w:cs="Times New Roman"/>
          <w:color w:val="000000" w:themeColor="text1"/>
          <w:sz w:val="24"/>
          <w:szCs w:val="24"/>
        </w:rPr>
        <w:t>a</w:t>
      </w:r>
      <w:r w:rsidRPr="00313D1C">
        <w:rPr>
          <w:rFonts w:ascii="Times New Roman" w:hAnsi="Times New Roman" w:cs="Times New Roman"/>
          <w:color w:val="000000" w:themeColor="text1"/>
          <w:sz w:val="24"/>
          <w:szCs w:val="24"/>
        </w:rPr>
        <w:t xml:space="preserve"> pri životných situáciách alebo pre určité osoby</w:t>
      </w:r>
      <w:r w:rsidR="00490BFC" w:rsidRPr="00313D1C">
        <w:rPr>
          <w:rFonts w:ascii="Times New Roman" w:hAnsi="Times New Roman" w:cs="Times New Roman"/>
          <w:color w:val="000000" w:themeColor="text1"/>
          <w:sz w:val="24"/>
          <w:szCs w:val="24"/>
        </w:rPr>
        <w:t xml:space="preserve"> – čo je často prax u zamestnávateľov</w:t>
      </w:r>
      <w:r w:rsidRPr="00313D1C">
        <w:rPr>
          <w:rFonts w:ascii="Times New Roman" w:hAnsi="Times New Roman" w:cs="Times New Roman"/>
          <w:color w:val="000000" w:themeColor="text1"/>
          <w:sz w:val="24"/>
          <w:szCs w:val="24"/>
        </w:rPr>
        <w:t>)</w:t>
      </w:r>
      <w:r w:rsidR="00490BFC" w:rsidRPr="00313D1C">
        <w:rPr>
          <w:rFonts w:ascii="Times New Roman" w:hAnsi="Times New Roman" w:cs="Times New Roman"/>
          <w:color w:val="000000" w:themeColor="text1"/>
          <w:sz w:val="24"/>
          <w:szCs w:val="24"/>
        </w:rPr>
        <w:t>. Č</w:t>
      </w:r>
      <w:r w:rsidRPr="00313D1C">
        <w:rPr>
          <w:rFonts w:ascii="Times New Roman" w:hAnsi="Times New Roman" w:cs="Times New Roman"/>
          <w:color w:val="000000" w:themeColor="text1"/>
          <w:sz w:val="24"/>
          <w:szCs w:val="24"/>
        </w:rPr>
        <w:t xml:space="preserve">l. 18 </w:t>
      </w:r>
      <w:r w:rsidR="00490BFC" w:rsidRPr="00313D1C">
        <w:rPr>
          <w:rFonts w:ascii="Times New Roman" w:hAnsi="Times New Roman" w:cs="Times New Roman"/>
          <w:color w:val="000000" w:themeColor="text1"/>
          <w:sz w:val="24"/>
          <w:szCs w:val="24"/>
        </w:rPr>
        <w:t xml:space="preserve">sa týka </w:t>
      </w:r>
      <w:r w:rsidRPr="00313D1C">
        <w:rPr>
          <w:rFonts w:ascii="Times New Roman" w:hAnsi="Times New Roman" w:cs="Times New Roman"/>
          <w:color w:val="000000" w:themeColor="text1"/>
          <w:sz w:val="24"/>
          <w:szCs w:val="24"/>
        </w:rPr>
        <w:t>pracovného stresu, čl. 19 – pracovného času (40 hodín týždenne</w:t>
      </w:r>
      <w:r w:rsidR="00C47437" w:rsidRPr="00313D1C">
        <w:rPr>
          <w:rFonts w:ascii="Times New Roman" w:hAnsi="Times New Roman" w:cs="Times New Roman"/>
          <w:color w:val="000000" w:themeColor="text1"/>
          <w:sz w:val="24"/>
          <w:szCs w:val="24"/>
        </w:rPr>
        <w:t xml:space="preserve"> – možnosť v podnikovej kolektívnej zmluve dohodnúť menej</w:t>
      </w:r>
      <w:r w:rsidRPr="00313D1C">
        <w:rPr>
          <w:rFonts w:ascii="Times New Roman" w:hAnsi="Times New Roman" w:cs="Times New Roman"/>
          <w:color w:val="000000" w:themeColor="text1"/>
          <w:sz w:val="24"/>
          <w:szCs w:val="24"/>
        </w:rPr>
        <w:t xml:space="preserve">). Čl. 20 – 27 sa týkajú sociálnej oblasti (čl. 20 – zdravotnej starostlivosti, čl. 21 </w:t>
      </w:r>
      <w:r w:rsidR="00490BFC" w:rsidRPr="00313D1C">
        <w:rPr>
          <w:rFonts w:ascii="Times New Roman" w:hAnsi="Times New Roman" w:cs="Times New Roman"/>
          <w:color w:val="000000" w:themeColor="text1"/>
          <w:sz w:val="24"/>
          <w:szCs w:val="24"/>
        </w:rPr>
        <w:t xml:space="preserve">– </w:t>
      </w:r>
      <w:r w:rsidRPr="00313D1C">
        <w:rPr>
          <w:rFonts w:ascii="Times New Roman" w:hAnsi="Times New Roman" w:cs="Times New Roman"/>
          <w:color w:val="000000" w:themeColor="text1"/>
          <w:sz w:val="24"/>
          <w:szCs w:val="24"/>
        </w:rPr>
        <w:t xml:space="preserve">  stravovania zamestnancov, čl. 22 – odchodu do starobného dôchodku, čl. 23 – peňažnej výpomoci pri úmrtí zamestnanca, čl. 24 – sociálneho fondu, čl. 25 – D</w:t>
      </w:r>
      <w:r w:rsidR="00490BFC" w:rsidRPr="00313D1C">
        <w:rPr>
          <w:rFonts w:ascii="Times New Roman" w:hAnsi="Times New Roman" w:cs="Times New Roman"/>
          <w:color w:val="000000" w:themeColor="text1"/>
          <w:sz w:val="24"/>
          <w:szCs w:val="24"/>
        </w:rPr>
        <w:t>D</w:t>
      </w:r>
      <w:r w:rsidRPr="00313D1C">
        <w:rPr>
          <w:rFonts w:ascii="Times New Roman" w:hAnsi="Times New Roman" w:cs="Times New Roman"/>
          <w:color w:val="000000" w:themeColor="text1"/>
          <w:sz w:val="24"/>
          <w:szCs w:val="24"/>
        </w:rPr>
        <w:t>S, čl. 26 – ostatných sociálnych služieb, čl. 27 – cestovných náhrad). Čl. 28 – 40 sa týkajú odmeňovania (upravuje</w:t>
      </w:r>
      <w:r w:rsidR="00490BFC" w:rsidRPr="00313D1C">
        <w:rPr>
          <w:rFonts w:ascii="Times New Roman" w:hAnsi="Times New Roman" w:cs="Times New Roman"/>
          <w:color w:val="000000" w:themeColor="text1"/>
          <w:sz w:val="24"/>
          <w:szCs w:val="24"/>
        </w:rPr>
        <w:t xml:space="preserve"> sa</w:t>
      </w:r>
      <w:r w:rsidRPr="00313D1C">
        <w:rPr>
          <w:rFonts w:ascii="Times New Roman" w:hAnsi="Times New Roman" w:cs="Times New Roman"/>
          <w:color w:val="000000" w:themeColor="text1"/>
          <w:sz w:val="24"/>
          <w:szCs w:val="24"/>
        </w:rPr>
        <w:t xml:space="preserve"> osobitný 12. stupňový tarifný systém – stupnica minimálnych mzdových taríf začína sumou 750 eur a končí sumou 1237</w:t>
      </w:r>
      <w:r w:rsidR="002430DE" w:rsidRPr="00313D1C">
        <w:rPr>
          <w:rFonts w:ascii="Times New Roman" w:hAnsi="Times New Roman" w:cs="Times New Roman"/>
          <w:color w:val="000000" w:themeColor="text1"/>
          <w:sz w:val="24"/>
          <w:szCs w:val="24"/>
        </w:rPr>
        <w:t>,-</w:t>
      </w:r>
      <w:r w:rsidRPr="00313D1C">
        <w:rPr>
          <w:rFonts w:ascii="Times New Roman" w:hAnsi="Times New Roman" w:cs="Times New Roman"/>
          <w:color w:val="000000" w:themeColor="text1"/>
          <w:sz w:val="24"/>
          <w:szCs w:val="24"/>
        </w:rPr>
        <w:t xml:space="preserve"> eur</w:t>
      </w:r>
      <w:r w:rsidR="002430DE" w:rsidRPr="00313D1C">
        <w:rPr>
          <w:rFonts w:ascii="Times New Roman" w:hAnsi="Times New Roman" w:cs="Times New Roman"/>
          <w:color w:val="000000" w:themeColor="text1"/>
          <w:sz w:val="24"/>
          <w:szCs w:val="24"/>
        </w:rPr>
        <w:t>, jednotlivé mzdové zvýhodnenie</w:t>
      </w:r>
      <w:r w:rsidR="00490BFC" w:rsidRPr="00313D1C">
        <w:rPr>
          <w:rFonts w:ascii="Times New Roman" w:hAnsi="Times New Roman" w:cs="Times New Roman"/>
          <w:color w:val="000000" w:themeColor="text1"/>
          <w:sz w:val="24"/>
          <w:szCs w:val="24"/>
        </w:rPr>
        <w:t>)</w:t>
      </w:r>
      <w:r w:rsidR="002430DE" w:rsidRPr="00313D1C">
        <w:rPr>
          <w:rFonts w:ascii="Times New Roman" w:hAnsi="Times New Roman" w:cs="Times New Roman"/>
          <w:color w:val="000000" w:themeColor="text1"/>
          <w:sz w:val="24"/>
          <w:szCs w:val="24"/>
        </w:rPr>
        <w:t>.  Č</w:t>
      </w:r>
      <w:r w:rsidRPr="00313D1C">
        <w:rPr>
          <w:rFonts w:ascii="Times New Roman" w:hAnsi="Times New Roman" w:cs="Times New Roman"/>
          <w:color w:val="000000" w:themeColor="text1"/>
          <w:sz w:val="24"/>
          <w:szCs w:val="24"/>
        </w:rPr>
        <w:t xml:space="preserve">l. 41 – 46 </w:t>
      </w:r>
      <w:r w:rsidR="002430DE" w:rsidRPr="00313D1C">
        <w:rPr>
          <w:rFonts w:ascii="Times New Roman" w:hAnsi="Times New Roman" w:cs="Times New Roman"/>
          <w:color w:val="000000" w:themeColor="text1"/>
          <w:sz w:val="24"/>
          <w:szCs w:val="24"/>
        </w:rPr>
        <w:t>sa týkajú ochrany práce a č</w:t>
      </w:r>
      <w:r w:rsidRPr="00313D1C">
        <w:rPr>
          <w:rFonts w:ascii="Times New Roman" w:hAnsi="Times New Roman" w:cs="Times New Roman"/>
          <w:color w:val="000000" w:themeColor="text1"/>
          <w:sz w:val="24"/>
          <w:szCs w:val="24"/>
        </w:rPr>
        <w:t>l. 47 sa týka sťažnosti zamestnancov a predchádzaniu súdnym sporom.</w:t>
      </w:r>
    </w:p>
    <w:p w14:paraId="70EA0BB8" w14:textId="11E6B1B8" w:rsidR="00462975" w:rsidRPr="00313D1C" w:rsidRDefault="00462975" w:rsidP="00462975">
      <w:pPr>
        <w:spacing w:after="0" w:line="240" w:lineRule="auto"/>
        <w:jc w:val="both"/>
        <w:rPr>
          <w:rFonts w:ascii="Times New Roman" w:hAnsi="Times New Roman" w:cs="Times New Roman"/>
          <w:color w:val="000000" w:themeColor="text1"/>
          <w:sz w:val="24"/>
          <w:szCs w:val="24"/>
        </w:rPr>
      </w:pPr>
      <w:r w:rsidRPr="00313D1C">
        <w:rPr>
          <w:rFonts w:ascii="Times New Roman" w:hAnsi="Times New Roman" w:cs="Times New Roman"/>
          <w:color w:val="000000" w:themeColor="text1"/>
          <w:sz w:val="24"/>
          <w:szCs w:val="24"/>
        </w:rPr>
        <w:t xml:space="preserve">Aplikáciou tejto </w:t>
      </w:r>
      <w:r w:rsidR="002430DE" w:rsidRPr="00313D1C">
        <w:rPr>
          <w:rFonts w:ascii="Times New Roman" w:hAnsi="Times New Roman" w:cs="Times New Roman"/>
          <w:color w:val="000000" w:themeColor="text1"/>
          <w:sz w:val="24"/>
          <w:szCs w:val="24"/>
        </w:rPr>
        <w:t>KZVS</w:t>
      </w:r>
      <w:r w:rsidRPr="00313D1C">
        <w:rPr>
          <w:rFonts w:ascii="Times New Roman" w:hAnsi="Times New Roman" w:cs="Times New Roman"/>
          <w:color w:val="000000" w:themeColor="text1"/>
          <w:sz w:val="24"/>
          <w:szCs w:val="24"/>
        </w:rPr>
        <w:t xml:space="preserve"> by došlo k rozšíreniu ochrany</w:t>
      </w:r>
      <w:r w:rsidR="00C47437" w:rsidRPr="00313D1C">
        <w:rPr>
          <w:rFonts w:ascii="Times New Roman" w:hAnsi="Times New Roman" w:cs="Times New Roman"/>
          <w:color w:val="000000" w:themeColor="text1"/>
          <w:sz w:val="24"/>
          <w:szCs w:val="24"/>
        </w:rPr>
        <w:t>, resp. k zlepšeniu postavenia zamestnancov</w:t>
      </w:r>
      <w:r w:rsidRPr="00313D1C">
        <w:rPr>
          <w:rFonts w:ascii="Times New Roman" w:hAnsi="Times New Roman" w:cs="Times New Roman"/>
          <w:color w:val="000000" w:themeColor="text1"/>
          <w:sz w:val="24"/>
          <w:szCs w:val="24"/>
        </w:rPr>
        <w:t xml:space="preserve"> v niektorých oblastiach</w:t>
      </w:r>
      <w:r w:rsidR="002430DE" w:rsidRPr="00313D1C">
        <w:rPr>
          <w:rFonts w:ascii="Times New Roman" w:hAnsi="Times New Roman" w:cs="Times New Roman"/>
          <w:color w:val="000000" w:themeColor="text1"/>
          <w:sz w:val="24"/>
          <w:szCs w:val="24"/>
        </w:rPr>
        <w:t xml:space="preserve"> (za vyššie uvedených predpokladov)</w:t>
      </w:r>
      <w:r w:rsidRPr="00313D1C">
        <w:rPr>
          <w:rFonts w:ascii="Times New Roman" w:hAnsi="Times New Roman" w:cs="Times New Roman"/>
          <w:color w:val="000000" w:themeColor="text1"/>
          <w:sz w:val="24"/>
          <w:szCs w:val="24"/>
        </w:rPr>
        <w:t>.</w:t>
      </w:r>
      <w:r w:rsidR="00C47437" w:rsidRPr="00313D1C">
        <w:rPr>
          <w:rFonts w:ascii="Times New Roman" w:hAnsi="Times New Roman" w:cs="Times New Roman"/>
          <w:color w:val="000000" w:themeColor="text1"/>
          <w:sz w:val="24"/>
          <w:szCs w:val="24"/>
        </w:rPr>
        <w:t xml:space="preserve"> V mnohých </w:t>
      </w:r>
      <w:r w:rsidR="00C47437" w:rsidRPr="00313D1C">
        <w:rPr>
          <w:rFonts w:ascii="Times New Roman" w:hAnsi="Times New Roman" w:cs="Times New Roman"/>
          <w:color w:val="000000" w:themeColor="text1"/>
          <w:sz w:val="24"/>
          <w:szCs w:val="24"/>
        </w:rPr>
        <w:lastRenderedPageBreak/>
        <w:t>prípadoch však nejde o zvýšenie nákladov zamestnávateľa ale o usmernenie jeho postupu, resp. zváženie iných možností.</w:t>
      </w:r>
    </w:p>
    <w:p w14:paraId="7CEDFEB2" w14:textId="77777777" w:rsidR="00462975" w:rsidRPr="00313D1C" w:rsidRDefault="00462975" w:rsidP="00462975">
      <w:pPr>
        <w:spacing w:after="0" w:line="240" w:lineRule="auto"/>
        <w:jc w:val="both"/>
        <w:rPr>
          <w:rFonts w:ascii="Times New Roman" w:eastAsia="Calibri" w:hAnsi="Times New Roman" w:cs="Times New Roman"/>
          <w:b/>
          <w:bCs/>
          <w:i/>
          <w:color w:val="000000" w:themeColor="text1"/>
          <w:sz w:val="24"/>
          <w:szCs w:val="24"/>
          <w:u w:val="single"/>
        </w:rPr>
      </w:pPr>
    </w:p>
    <w:p w14:paraId="1B45ABC1" w14:textId="77777777" w:rsidR="00462975" w:rsidRPr="00313D1C" w:rsidRDefault="00462975" w:rsidP="00512BA7">
      <w:pPr>
        <w:jc w:val="both"/>
        <w:rPr>
          <w:rFonts w:ascii="Times New Roman" w:eastAsia="Calibri" w:hAnsi="Times New Roman" w:cs="Times New Roman"/>
          <w:b/>
          <w:bCs/>
          <w:i/>
          <w:color w:val="000000" w:themeColor="text1"/>
          <w:sz w:val="24"/>
          <w:szCs w:val="24"/>
          <w:u w:val="single"/>
        </w:rPr>
      </w:pPr>
    </w:p>
    <w:p w14:paraId="0EB298DB" w14:textId="31295F9C"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749EC593"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0A0E8534"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A18C579" w14:textId="0633763E"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535CABE4" w14:textId="77777777"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2216529B" w14:textId="77777777" w:rsidR="00912AC9" w:rsidRDefault="00912AC9" w:rsidP="00054C41">
      <w:pPr>
        <w:jc w:val="both"/>
        <w:rPr>
          <w:rFonts w:ascii="Times New Roman" w:eastAsia="Calibri" w:hAnsi="Times New Roman" w:cs="Times New Roman"/>
          <w:bCs/>
          <w:i/>
          <w:iCs/>
          <w:color w:val="000000"/>
          <w:sz w:val="24"/>
          <w:szCs w:val="24"/>
          <w:highlight w:val="green"/>
        </w:rPr>
      </w:pPr>
    </w:p>
    <w:p w14:paraId="39D55FBC" w14:textId="44B0C09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49C6776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DDE940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EE2084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178FF6D3" w14:textId="445BB568" w:rsidR="00054C41" w:rsidRDefault="00054C41" w:rsidP="00054C41">
      <w:pPr>
        <w:spacing w:after="0"/>
        <w:jc w:val="both"/>
        <w:rPr>
          <w:rFonts w:ascii="Times New Roman" w:eastAsia="Calibri" w:hAnsi="Times New Roman" w:cs="Times New Roman"/>
          <w:i/>
          <w:sz w:val="24"/>
          <w:szCs w:val="24"/>
        </w:rPr>
      </w:pPr>
    </w:p>
    <w:p w14:paraId="7F67B2D0" w14:textId="3138F39B" w:rsidR="00422ECB" w:rsidRPr="002933B9" w:rsidRDefault="00F37699" w:rsidP="002933B9">
      <w:pPr>
        <w:spacing w:after="0"/>
        <w:jc w:val="both"/>
        <w:rPr>
          <w:rFonts w:ascii="Times New Roman" w:eastAsia="Calibri" w:hAnsi="Times New Roman" w:cs="Times New Roman"/>
          <w:sz w:val="24"/>
          <w:szCs w:val="24"/>
        </w:rPr>
      </w:pPr>
      <w:r w:rsidRPr="00E133F3">
        <w:rPr>
          <w:rFonts w:ascii="Times New Roman" w:eastAsia="Calibri" w:hAnsi="Times New Roman" w:cs="Times New Roman"/>
          <w:sz w:val="24"/>
          <w:szCs w:val="24"/>
        </w:rPr>
        <w:t>Konzultácie s podnikateľskými subjektami prebiehali od 21. novembra 2023. Podnikateľské subjekty boli o spustení konzultácií informované prostredníctvom predbežnej informácie PI/2023/319 zverejnenej na portáli Slov-Lex (</w:t>
      </w:r>
      <w:hyperlink r:id="rId12" w:history="1">
        <w:r w:rsidRPr="00E133F3">
          <w:rPr>
            <w:rStyle w:val="Hypertextovprepojenie"/>
            <w:rFonts w:ascii="Times New Roman" w:eastAsia="Calibri" w:hAnsi="Times New Roman" w:cs="Times New Roman"/>
            <w:sz w:val="24"/>
            <w:szCs w:val="24"/>
          </w:rPr>
          <w:t>https://www.slov-lex.sk/legislativne-procesy/SK/PI/2023/319</w:t>
        </w:r>
      </w:hyperlink>
      <w:r w:rsidRPr="00E133F3">
        <w:rPr>
          <w:rFonts w:ascii="Times New Roman" w:eastAsia="Calibri" w:hAnsi="Times New Roman" w:cs="Times New Roman"/>
          <w:sz w:val="24"/>
          <w:szCs w:val="24"/>
        </w:rPr>
        <w:t>), ako aj zverejnením odkazu na prebiehajúce konzultácie na webovom sídle Ministerstva hospodárstva SR (</w:t>
      </w:r>
      <w:hyperlink r:id="rId13" w:history="1">
        <w:r w:rsidRPr="00E133F3">
          <w:rPr>
            <w:rStyle w:val="Hypertextovprepojenie"/>
            <w:rFonts w:ascii="Times New Roman" w:eastAsia="Calibri" w:hAnsi="Times New Roman" w:cs="Times New Roman"/>
            <w:sz w:val="24"/>
            <w:szCs w:val="24"/>
          </w:rPr>
          <w:t>https://www.mhsr.sk/podnikatelske-prostredie/jednotna-metodika/prebiehajuce-konzultacie-a-predbezne-informacie</w:t>
        </w:r>
      </w:hyperlink>
      <w:r w:rsidRPr="00E133F3">
        <w:rPr>
          <w:rFonts w:ascii="Times New Roman" w:eastAsia="Calibri" w:hAnsi="Times New Roman" w:cs="Times New Roman"/>
          <w:sz w:val="24"/>
          <w:szCs w:val="24"/>
        </w:rPr>
        <w:t xml:space="preserve">). Podnikateľské subjekty mali možnosť zapojiť sa do prípravy </w:t>
      </w:r>
      <w:r w:rsidR="00F24C7F" w:rsidRPr="00E133F3">
        <w:rPr>
          <w:rFonts w:ascii="Times New Roman" w:eastAsia="Calibri" w:hAnsi="Times New Roman" w:cs="Times New Roman"/>
          <w:sz w:val="24"/>
          <w:szCs w:val="24"/>
        </w:rPr>
        <w:t xml:space="preserve">právneho predpisu v termíne do 20. decembra 2023. Za podnikateľské subjekty prejavila záujem o konzultácie Asociácia priemyselných zväzov a dopravy. Konzultácie boli realizované formou osobného stretnutia zástupcov APZD so zástupcami MPSVR SR dňa 17. januára 2024. Zo strany APZD </w:t>
      </w:r>
      <w:r w:rsidR="00422ECB" w:rsidRPr="00E133F3">
        <w:rPr>
          <w:rFonts w:ascii="Times New Roman" w:eastAsia="Calibri" w:hAnsi="Times New Roman" w:cs="Times New Roman"/>
          <w:sz w:val="24"/>
          <w:szCs w:val="24"/>
        </w:rPr>
        <w:t>boli vznesené</w:t>
      </w:r>
      <w:r w:rsidR="002933B9">
        <w:rPr>
          <w:rFonts w:ascii="Times New Roman" w:eastAsia="Calibri" w:hAnsi="Times New Roman" w:cs="Times New Roman"/>
          <w:sz w:val="24"/>
          <w:szCs w:val="24"/>
        </w:rPr>
        <w:t xml:space="preserve"> aj niektoré</w:t>
      </w:r>
      <w:r w:rsidR="00422ECB" w:rsidRPr="00E133F3">
        <w:rPr>
          <w:rFonts w:ascii="Times New Roman" w:eastAsia="Calibri" w:hAnsi="Times New Roman" w:cs="Times New Roman"/>
          <w:sz w:val="24"/>
          <w:szCs w:val="24"/>
        </w:rPr>
        <w:t xml:space="preserve"> </w:t>
      </w:r>
      <w:r w:rsidR="002933B9">
        <w:rPr>
          <w:rFonts w:ascii="Times New Roman" w:eastAsia="Calibri" w:hAnsi="Times New Roman" w:cs="Times New Roman"/>
          <w:sz w:val="24"/>
          <w:szCs w:val="24"/>
        </w:rPr>
        <w:t xml:space="preserve">ďalšie </w:t>
      </w:r>
      <w:r w:rsidR="00422ECB" w:rsidRPr="00E133F3">
        <w:rPr>
          <w:rFonts w:ascii="Times New Roman" w:eastAsia="Calibri" w:hAnsi="Times New Roman" w:cs="Times New Roman"/>
          <w:sz w:val="24"/>
          <w:szCs w:val="24"/>
        </w:rPr>
        <w:t xml:space="preserve">požiadavky nad rámec zamýšľanej právnej úpravy novely zákona o minimálnej mzde a smerovali k novelizácií Zákonníka práce. </w:t>
      </w:r>
      <w:r w:rsidR="002933B9">
        <w:rPr>
          <w:rFonts w:ascii="Times New Roman" w:eastAsia="Calibri" w:hAnsi="Times New Roman" w:cs="Times New Roman"/>
          <w:sz w:val="24"/>
          <w:szCs w:val="24"/>
        </w:rPr>
        <w:t>Návrhy APZD nebolo možné v tejto fáze akceptovať, keďže sa netýkajú okruhu právnych predpisov, ktoré sa navrhuje novelizovať (napr. išlo o úpravu</w:t>
      </w:r>
      <w:r w:rsidR="00422ECB" w:rsidRPr="002933B9">
        <w:rPr>
          <w:rFonts w:ascii="Times New Roman" w:eastAsia="Calibri" w:hAnsi="Times New Roman" w:cs="Times New Roman"/>
          <w:sz w:val="24"/>
          <w:szCs w:val="24"/>
        </w:rPr>
        <w:t xml:space="preserve"> v oblasti mzdových zvýhodnení za prácu – diskusia o inom spôsobe určovania ich výšky, diskusia o redukcii počtu mzdových zvýhodnení,</w:t>
      </w:r>
      <w:r w:rsidR="002933B9">
        <w:rPr>
          <w:rFonts w:ascii="Times New Roman" w:eastAsia="Calibri" w:hAnsi="Times New Roman" w:cs="Times New Roman"/>
          <w:sz w:val="24"/>
          <w:szCs w:val="24"/>
        </w:rPr>
        <w:t xml:space="preserve"> </w:t>
      </w:r>
      <w:r w:rsidR="00422ECB" w:rsidRPr="002933B9">
        <w:rPr>
          <w:rFonts w:ascii="Times New Roman" w:eastAsia="Calibri" w:hAnsi="Times New Roman" w:cs="Times New Roman"/>
          <w:sz w:val="24"/>
          <w:szCs w:val="24"/>
        </w:rPr>
        <w:t>zamedzenie súbehu mzdových zvýhodnení za prácu,</w:t>
      </w:r>
      <w:r w:rsidR="002933B9">
        <w:rPr>
          <w:rFonts w:ascii="Times New Roman" w:eastAsia="Calibri" w:hAnsi="Times New Roman" w:cs="Times New Roman"/>
          <w:sz w:val="24"/>
          <w:szCs w:val="24"/>
        </w:rPr>
        <w:t xml:space="preserve"> </w:t>
      </w:r>
      <w:r w:rsidR="00CF0621" w:rsidRPr="002933B9">
        <w:rPr>
          <w:rFonts w:ascii="Times New Roman" w:eastAsia="Calibri" w:hAnsi="Times New Roman" w:cs="Times New Roman"/>
          <w:sz w:val="24"/>
          <w:szCs w:val="24"/>
        </w:rPr>
        <w:t>riešenie daňovo – odvodového zaťaženia práce</w:t>
      </w:r>
      <w:r w:rsidR="002933B9">
        <w:rPr>
          <w:rFonts w:ascii="Times New Roman" w:eastAsia="Calibri" w:hAnsi="Times New Roman" w:cs="Times New Roman"/>
          <w:sz w:val="24"/>
          <w:szCs w:val="24"/>
        </w:rPr>
        <w:t>)</w:t>
      </w:r>
      <w:r w:rsidR="00CF0621" w:rsidRPr="002933B9">
        <w:rPr>
          <w:rFonts w:ascii="Times New Roman" w:eastAsia="Calibri" w:hAnsi="Times New Roman" w:cs="Times New Roman"/>
          <w:sz w:val="24"/>
          <w:szCs w:val="24"/>
        </w:rPr>
        <w:t xml:space="preserve">. </w:t>
      </w:r>
      <w:r w:rsidR="00422ECB" w:rsidRPr="002933B9">
        <w:rPr>
          <w:rFonts w:ascii="Times New Roman" w:eastAsia="Calibri" w:hAnsi="Times New Roman" w:cs="Times New Roman"/>
          <w:sz w:val="24"/>
          <w:szCs w:val="24"/>
        </w:rPr>
        <w:t xml:space="preserve"> </w:t>
      </w:r>
    </w:p>
    <w:p w14:paraId="3DB98B03" w14:textId="2DDBAB20" w:rsidR="00F24C7F" w:rsidRDefault="00F24C7F" w:rsidP="00F24C7F">
      <w:pPr>
        <w:spacing w:after="0"/>
        <w:jc w:val="both"/>
        <w:rPr>
          <w:rFonts w:ascii="Times New Roman" w:eastAsia="Calibri" w:hAnsi="Times New Roman" w:cs="Times New Roman"/>
          <w:sz w:val="24"/>
          <w:szCs w:val="24"/>
        </w:rPr>
      </w:pPr>
    </w:p>
    <w:p w14:paraId="08FCAD96" w14:textId="77777777" w:rsidR="00054C41" w:rsidRPr="00D8247C" w:rsidRDefault="00054C41" w:rsidP="00054C41">
      <w:pPr>
        <w:spacing w:after="0"/>
        <w:jc w:val="both"/>
        <w:rPr>
          <w:rFonts w:ascii="Times New Roman" w:eastAsia="Calibri" w:hAnsi="Times New Roman" w:cs="Times New Roman"/>
          <w:i/>
          <w:sz w:val="24"/>
          <w:szCs w:val="24"/>
        </w:rPr>
      </w:pPr>
    </w:p>
    <w:p w14:paraId="609C066C"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2FE6393B" w14:textId="0E130D1C" w:rsidR="004601B4" w:rsidRPr="0090303E" w:rsidRDefault="00054C41" w:rsidP="00054C41">
      <w:pPr>
        <w:spacing w:after="0"/>
        <w:jc w:val="both"/>
        <w:rPr>
          <w:rFonts w:ascii="Times New Roman" w:eastAsia="Calibri" w:hAnsi="Times New Roman" w:cs="Times New Roman"/>
          <w:b/>
          <w:sz w:val="24"/>
          <w:szCs w:val="24"/>
        </w:rPr>
      </w:pPr>
      <w:r w:rsidRPr="00D8247C">
        <w:rPr>
          <w:rFonts w:ascii="Times New Roman" w:eastAsia="Calibri" w:hAnsi="Times New Roman" w:cs="Times New Roman"/>
          <w:i/>
          <w:sz w:val="24"/>
          <w:szCs w:val="24"/>
        </w:rPr>
        <w:t xml:space="preserve">Dochádza k vytvoreniu </w:t>
      </w:r>
      <w:r w:rsidRPr="0090303E">
        <w:rPr>
          <w:rFonts w:ascii="Times New Roman" w:eastAsia="Calibri" w:hAnsi="Times New Roman" w:cs="Times New Roman"/>
          <w:i/>
          <w:sz w:val="24"/>
          <w:szCs w:val="24"/>
        </w:rPr>
        <w:t xml:space="preserve">resp. k zmene bariér na trhu? </w:t>
      </w:r>
      <w:r w:rsidR="004601B4" w:rsidRPr="0090303E">
        <w:rPr>
          <w:rFonts w:ascii="Times New Roman" w:eastAsia="Calibri" w:hAnsi="Times New Roman" w:cs="Times New Roman"/>
          <w:i/>
          <w:sz w:val="24"/>
          <w:szCs w:val="24"/>
        </w:rPr>
        <w:t xml:space="preserve">- </w:t>
      </w:r>
      <w:r w:rsidR="004601B4" w:rsidRPr="0090303E">
        <w:rPr>
          <w:rFonts w:ascii="Times New Roman" w:eastAsia="Calibri" w:hAnsi="Times New Roman" w:cs="Times New Roman"/>
          <w:b/>
          <w:sz w:val="24"/>
          <w:szCs w:val="24"/>
        </w:rPr>
        <w:t>Nedochádza</w:t>
      </w:r>
    </w:p>
    <w:p w14:paraId="705A2091" w14:textId="7D82D98B" w:rsidR="004601B4" w:rsidRPr="0090303E" w:rsidRDefault="00054C41" w:rsidP="00054C41">
      <w:pPr>
        <w:spacing w:after="0"/>
        <w:jc w:val="both"/>
        <w:rPr>
          <w:rFonts w:ascii="Times New Roman" w:eastAsia="Calibri" w:hAnsi="Times New Roman" w:cs="Times New Roman"/>
          <w:b/>
          <w:sz w:val="24"/>
          <w:szCs w:val="24"/>
        </w:rPr>
      </w:pPr>
      <w:r w:rsidRPr="0090303E">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90303E">
        <w:rPr>
          <w:rFonts w:ascii="Times New Roman" w:eastAsia="Calibri" w:hAnsi="Times New Roman" w:cs="Times New Roman"/>
          <w:i/>
          <w:sz w:val="24"/>
          <w:szCs w:val="24"/>
        </w:rPr>
        <w:t>mikro</w:t>
      </w:r>
      <w:proofErr w:type="spellEnd"/>
      <w:r w:rsidRPr="0090303E">
        <w:rPr>
          <w:rFonts w:ascii="Times New Roman" w:eastAsia="Calibri" w:hAnsi="Times New Roman" w:cs="Times New Roman"/>
          <w:i/>
          <w:sz w:val="24"/>
          <w:szCs w:val="24"/>
        </w:rPr>
        <w:t xml:space="preserve">, malé a stredné podniky tzv. MSP)? </w:t>
      </w:r>
      <w:r w:rsidR="004601B4" w:rsidRPr="0090303E">
        <w:rPr>
          <w:rFonts w:ascii="Times New Roman" w:eastAsia="Calibri" w:hAnsi="Times New Roman" w:cs="Times New Roman"/>
          <w:i/>
          <w:sz w:val="24"/>
          <w:szCs w:val="24"/>
        </w:rPr>
        <w:t xml:space="preserve">- </w:t>
      </w:r>
      <w:r w:rsidR="004601B4" w:rsidRPr="0090303E">
        <w:rPr>
          <w:rFonts w:ascii="Times New Roman" w:eastAsia="Calibri" w:hAnsi="Times New Roman" w:cs="Times New Roman"/>
          <w:b/>
          <w:sz w:val="24"/>
          <w:szCs w:val="24"/>
        </w:rPr>
        <w:t>Nebude</w:t>
      </w:r>
    </w:p>
    <w:p w14:paraId="2481F281" w14:textId="39C41B8F" w:rsidR="004601B4" w:rsidRPr="0090303E" w:rsidRDefault="00054C41" w:rsidP="00054C41">
      <w:pPr>
        <w:spacing w:after="0"/>
        <w:jc w:val="both"/>
        <w:rPr>
          <w:rFonts w:ascii="Times New Roman" w:eastAsia="Calibri" w:hAnsi="Times New Roman" w:cs="Times New Roman"/>
          <w:b/>
          <w:sz w:val="24"/>
          <w:szCs w:val="24"/>
        </w:rPr>
      </w:pPr>
      <w:r w:rsidRPr="0090303E">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r w:rsidR="004601B4" w:rsidRPr="0090303E">
        <w:rPr>
          <w:rFonts w:ascii="Times New Roman" w:eastAsia="Calibri" w:hAnsi="Times New Roman" w:cs="Times New Roman"/>
          <w:i/>
          <w:sz w:val="24"/>
          <w:szCs w:val="24"/>
        </w:rPr>
        <w:t xml:space="preserve"> -</w:t>
      </w:r>
      <w:r w:rsidR="004601B4" w:rsidRPr="0090303E">
        <w:rPr>
          <w:rFonts w:ascii="Times New Roman" w:eastAsia="Calibri" w:hAnsi="Times New Roman" w:cs="Times New Roman"/>
          <w:b/>
          <w:sz w:val="24"/>
          <w:szCs w:val="24"/>
        </w:rPr>
        <w:t>Neovplyvňuje</w:t>
      </w:r>
    </w:p>
    <w:p w14:paraId="0D074838" w14:textId="580581A8" w:rsidR="00054C41" w:rsidRPr="0090303E" w:rsidRDefault="00054C41" w:rsidP="00054C41">
      <w:pPr>
        <w:spacing w:after="0"/>
        <w:jc w:val="both"/>
        <w:rPr>
          <w:rFonts w:ascii="Times New Roman" w:eastAsia="Calibri" w:hAnsi="Times New Roman" w:cs="Times New Roman"/>
          <w:b/>
          <w:sz w:val="24"/>
          <w:szCs w:val="24"/>
        </w:rPr>
      </w:pPr>
      <w:r w:rsidRPr="0090303E">
        <w:rPr>
          <w:rFonts w:ascii="Times New Roman" w:eastAsia="Calibri" w:hAnsi="Times New Roman" w:cs="Times New Roman"/>
          <w:i/>
          <w:sz w:val="24"/>
          <w:szCs w:val="24"/>
        </w:rPr>
        <w:t xml:space="preserve">Ovplyvní dostupnosť základných zdrojov (financie, pracovná sila, suroviny, mechanizmy, energie atď.)? </w:t>
      </w:r>
      <w:r w:rsidR="004601B4" w:rsidRPr="0090303E">
        <w:rPr>
          <w:rFonts w:ascii="Times New Roman" w:eastAsia="Calibri" w:hAnsi="Times New Roman" w:cs="Times New Roman"/>
          <w:i/>
          <w:sz w:val="24"/>
          <w:szCs w:val="24"/>
        </w:rPr>
        <w:t xml:space="preserve">- </w:t>
      </w:r>
      <w:r w:rsidR="004601B4" w:rsidRPr="0090303E">
        <w:rPr>
          <w:rFonts w:ascii="Times New Roman" w:eastAsia="Calibri" w:hAnsi="Times New Roman" w:cs="Times New Roman"/>
          <w:b/>
          <w:sz w:val="24"/>
          <w:szCs w:val="24"/>
        </w:rPr>
        <w:t>Neovplyvní</w:t>
      </w:r>
    </w:p>
    <w:p w14:paraId="6B6A3793" w14:textId="0C893FEF" w:rsidR="007259CB" w:rsidRDefault="007259CB" w:rsidP="00054C41">
      <w:pPr>
        <w:spacing w:after="0"/>
        <w:jc w:val="both"/>
        <w:rPr>
          <w:rFonts w:ascii="Times New Roman" w:eastAsia="Calibri" w:hAnsi="Times New Roman" w:cs="Times New Roman"/>
          <w:i/>
          <w:sz w:val="24"/>
          <w:szCs w:val="24"/>
        </w:rPr>
      </w:pPr>
      <w:r w:rsidRPr="0090303E">
        <w:rPr>
          <w:rFonts w:ascii="Times New Roman" w:eastAsia="Calibri" w:hAnsi="Times New Roman" w:cs="Times New Roman"/>
          <w:i/>
          <w:sz w:val="24"/>
          <w:szCs w:val="24"/>
        </w:rPr>
        <w:t>Ovplyvňuje zmena regulácie inovácie, vedu a výskum?</w:t>
      </w:r>
      <w:r w:rsidR="004601B4" w:rsidRPr="0090303E">
        <w:rPr>
          <w:rFonts w:ascii="Times New Roman" w:eastAsia="Calibri" w:hAnsi="Times New Roman" w:cs="Times New Roman"/>
          <w:i/>
          <w:sz w:val="24"/>
          <w:szCs w:val="24"/>
        </w:rPr>
        <w:t xml:space="preserve"> - </w:t>
      </w:r>
      <w:r w:rsidR="004601B4" w:rsidRPr="0090303E">
        <w:rPr>
          <w:rFonts w:ascii="Times New Roman" w:eastAsia="Calibri" w:hAnsi="Times New Roman" w:cs="Times New Roman"/>
          <w:b/>
          <w:sz w:val="24"/>
          <w:szCs w:val="24"/>
        </w:rPr>
        <w:t>Neovplyvňuje</w:t>
      </w:r>
    </w:p>
    <w:p w14:paraId="64E2FB2F" w14:textId="77777777"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72CB32C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681465" w14:textId="77777777" w:rsidR="00054C41" w:rsidRPr="00D8247C" w:rsidRDefault="00054C41" w:rsidP="00054C41">
      <w:pPr>
        <w:spacing w:after="0"/>
        <w:jc w:val="both"/>
        <w:rPr>
          <w:rFonts w:ascii="Times New Roman" w:eastAsia="Calibri" w:hAnsi="Times New Roman" w:cs="Times New Roman"/>
          <w:i/>
          <w:sz w:val="24"/>
          <w:szCs w:val="24"/>
        </w:rPr>
      </w:pPr>
    </w:p>
    <w:p w14:paraId="4BE35CB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781D8E71" w:rsidR="00054C41" w:rsidRPr="00D8247C" w:rsidRDefault="003E3CCC"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sdt>
                <w:sdtPr>
                  <w:rPr>
                    <w:rFonts w:ascii="Times New Roman" w:eastAsia="Times New Roman" w:hAnsi="Times New Roman" w:cs="Times New Roman"/>
                    <w:iCs/>
                    <w:sz w:val="20"/>
                    <w:szCs w:val="20"/>
                    <w:lang w:eastAsia="sk-SK"/>
                  </w:rPr>
                  <w:id w:val="-728150331"/>
                  <w14:checkbox>
                    <w14:checked w14:val="1"/>
                    <w14:checkedState w14:val="2612" w14:font="MS Gothic"/>
                    <w14:uncheckedState w14:val="2610" w14:font="MS Gothic"/>
                  </w14:checkbox>
                </w:sdtPr>
                <w:sdtEndPr/>
                <w:sdtContent>
                  <w:r w:rsidR="009F0267" w:rsidRPr="00A367BF">
                    <w:rPr>
                      <w:rFonts w:ascii="MS Gothic" w:eastAsia="MS Gothic" w:hAnsi="MS Gothic" w:cs="Times New Roman" w:hint="eastAsia"/>
                      <w:iCs/>
                      <w:sz w:val="20"/>
                      <w:szCs w:val="20"/>
                      <w:lang w:eastAsia="sk-SK"/>
                    </w:rPr>
                    <w:t>☒</w:t>
                  </w:r>
                </w:sdtContent>
              </w:sdt>
              <w:r w:rsidR="009F0267" w:rsidRPr="00A367BF">
                <w:rPr>
                  <w:rFonts w:ascii="Times New Roman" w:eastAsia="Calibri" w:hAnsi="Times New Roman" w:cs="Times New Roman"/>
                  <w:iCs/>
                  <w:sz w:val="24"/>
                  <w:szCs w:val="24"/>
                </w:rPr>
                <w:t xml:space="preserve"> </w:t>
              </w:r>
              <w:sdt>
                <w:sdtPr>
                  <w:rPr>
                    <w:rFonts w:ascii="Times New Roman" w:eastAsia="Calibri" w:hAnsi="Times New Roman" w:cs="Times New Roman"/>
                    <w:iCs/>
                    <w:sz w:val="24"/>
                    <w:szCs w:val="24"/>
                  </w:rPr>
                  <w:id w:val="-2120669143"/>
                </w:sdtPr>
                <w:sdtEndPr>
                  <w:rPr>
                    <w:bCs/>
                  </w:rPr>
                </w:sdtEndPr>
                <w:sdtContent>
                  <w:sdt>
                    <w:sdtPr>
                      <w:rPr>
                        <w:rFonts w:ascii="Times New Roman" w:eastAsia="Calibri" w:hAnsi="Times New Roman" w:cs="Times New Roman"/>
                        <w:bCs/>
                        <w:iCs/>
                        <w:sz w:val="24"/>
                        <w:szCs w:val="24"/>
                      </w:rPr>
                      <w:id w:val="-314804394"/>
                      <w:showingPlcHdr/>
                    </w:sdtPr>
                    <w:sdtEndPr/>
                    <w:sdtContent>
                      <w:r w:rsidR="009F0267" w:rsidRPr="00A367BF">
                        <w:rPr>
                          <w:rFonts w:ascii="Times New Roman" w:eastAsia="Calibri" w:hAnsi="Times New Roman" w:cs="Times New Roman"/>
                          <w:bCs/>
                          <w:iCs/>
                          <w:sz w:val="24"/>
                          <w:szCs w:val="24"/>
                        </w:rPr>
                        <w:t xml:space="preserve">     </w:t>
                      </w:r>
                    </w:sdtContent>
                  </w:sdt>
                </w:sdtContent>
              </w:sdt>
              <w:r w:rsidR="009F0267" w:rsidRPr="009D313B">
                <w:rPr>
                  <w:rFonts w:ascii="Times New Roman" w:eastAsia="Calibri" w:hAnsi="Times New Roman" w:cs="Times New Roman"/>
                  <w:b/>
                  <w:iCs/>
                  <w:sz w:val="24"/>
                  <w:szCs w:val="24"/>
                </w:rPr>
                <w:t>nemení</w:t>
              </w:r>
              <w:r w:rsidR="009F0267" w:rsidRPr="00D8247C">
                <w:rPr>
                  <w:rFonts w:ascii="Segoe UI Symbol" w:eastAsia="Calibri" w:hAnsi="Segoe UI Symbol" w:cs="Segoe UI Symbol"/>
                  <w:i/>
                  <w:sz w:val="24"/>
                  <w:szCs w:val="24"/>
                </w:rPr>
                <w:t xml:space="preserve"> </w:t>
              </w:r>
            </w:sdtContent>
          </w:sdt>
        </w:sdtContent>
      </w:sdt>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327BF48A" w14:textId="77777777" w:rsidR="00054C41" w:rsidRPr="00D8247C" w:rsidRDefault="00054C41" w:rsidP="00054C41">
      <w:pPr>
        <w:spacing w:after="0"/>
        <w:jc w:val="both"/>
        <w:rPr>
          <w:rFonts w:ascii="Times New Roman" w:eastAsia="Calibri" w:hAnsi="Times New Roman" w:cs="Times New Roman"/>
          <w:i/>
          <w:sz w:val="24"/>
          <w:szCs w:val="24"/>
        </w:rPr>
      </w:pPr>
    </w:p>
    <w:p w14:paraId="5861187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D8247C" w:rsidRDefault="00054C41" w:rsidP="00054C41">
      <w:pPr>
        <w:spacing w:after="0"/>
        <w:jc w:val="both"/>
        <w:rPr>
          <w:rFonts w:ascii="Times New Roman" w:eastAsia="Calibri" w:hAnsi="Times New Roman" w:cs="Times New Roman"/>
          <w:i/>
          <w:sz w:val="24"/>
          <w:szCs w:val="24"/>
        </w:rPr>
      </w:pPr>
    </w:p>
    <w:p w14:paraId="0B272AB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89FA80A" w14:textId="5F9BA8E1" w:rsidR="00054C41" w:rsidRPr="00D8247C" w:rsidRDefault="003E3CCC"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sdt>
                <w:sdtPr>
                  <w:rPr>
                    <w:rFonts w:ascii="Times New Roman" w:eastAsia="Times New Roman" w:hAnsi="Times New Roman" w:cs="Times New Roman"/>
                    <w:iCs/>
                    <w:sz w:val="20"/>
                    <w:szCs w:val="20"/>
                    <w:lang w:eastAsia="sk-SK"/>
                  </w:rPr>
                  <w:id w:val="-1716114981"/>
                  <w14:checkbox>
                    <w14:checked w14:val="1"/>
                    <w14:checkedState w14:val="2612" w14:font="MS Gothic"/>
                    <w14:uncheckedState w14:val="2610" w14:font="MS Gothic"/>
                  </w14:checkbox>
                </w:sdtPr>
                <w:sdtEndPr/>
                <w:sdtContent>
                  <w:r w:rsidR="009F0267" w:rsidRPr="00A367BF">
                    <w:rPr>
                      <w:rFonts w:ascii="MS Gothic" w:eastAsia="MS Gothic" w:hAnsi="MS Gothic" w:cs="Times New Roman" w:hint="eastAsia"/>
                      <w:iCs/>
                      <w:sz w:val="20"/>
                      <w:szCs w:val="20"/>
                      <w:lang w:eastAsia="sk-SK"/>
                    </w:rPr>
                    <w:t>☒</w:t>
                  </w:r>
                </w:sdtContent>
              </w:sdt>
              <w:r w:rsidR="009F0267" w:rsidRPr="00A367BF">
                <w:rPr>
                  <w:rFonts w:ascii="Times New Roman" w:eastAsia="Calibri" w:hAnsi="Times New Roman" w:cs="Times New Roman"/>
                  <w:iCs/>
                  <w:sz w:val="24"/>
                  <w:szCs w:val="24"/>
                </w:rPr>
                <w:t xml:space="preserve"> </w:t>
              </w:r>
              <w:sdt>
                <w:sdtPr>
                  <w:rPr>
                    <w:rFonts w:ascii="Times New Roman" w:eastAsia="Calibri" w:hAnsi="Times New Roman" w:cs="Times New Roman"/>
                    <w:iCs/>
                    <w:sz w:val="24"/>
                    <w:szCs w:val="24"/>
                  </w:rPr>
                  <w:id w:val="384381150"/>
                </w:sdtPr>
                <w:sdtEndPr>
                  <w:rPr>
                    <w:bCs/>
                  </w:rPr>
                </w:sdtEndPr>
                <w:sdtContent>
                  <w:sdt>
                    <w:sdtPr>
                      <w:rPr>
                        <w:rFonts w:ascii="Times New Roman" w:eastAsia="Calibri" w:hAnsi="Times New Roman" w:cs="Times New Roman"/>
                        <w:bCs/>
                        <w:iCs/>
                        <w:sz w:val="24"/>
                        <w:szCs w:val="24"/>
                      </w:rPr>
                      <w:id w:val="-166636781"/>
                      <w:showingPlcHdr/>
                    </w:sdtPr>
                    <w:sdtEndPr/>
                    <w:sdtContent>
                      <w:r w:rsidR="009F0267" w:rsidRPr="00A367BF">
                        <w:rPr>
                          <w:rFonts w:ascii="Times New Roman" w:eastAsia="Calibri" w:hAnsi="Times New Roman" w:cs="Times New Roman"/>
                          <w:bCs/>
                          <w:iCs/>
                          <w:sz w:val="24"/>
                          <w:szCs w:val="24"/>
                        </w:rPr>
                        <w:t xml:space="preserve">     </w:t>
                      </w:r>
                    </w:sdtContent>
                  </w:sdt>
                </w:sdtContent>
              </w:sdt>
              <w:r w:rsidR="009F0267" w:rsidRPr="009D313B">
                <w:rPr>
                  <w:rFonts w:ascii="Times New Roman" w:eastAsia="Calibri" w:hAnsi="Times New Roman" w:cs="Times New Roman"/>
                  <w:b/>
                  <w:iCs/>
                  <w:sz w:val="24"/>
                  <w:szCs w:val="24"/>
                </w:rPr>
                <w:t>nemení</w:t>
              </w:r>
              <w:r w:rsidR="009F0267" w:rsidRPr="00D8247C">
                <w:rPr>
                  <w:rFonts w:ascii="Segoe UI Symbol" w:eastAsia="Calibri" w:hAnsi="Segoe UI Symbol" w:cs="Segoe UI Symbol"/>
                  <w:i/>
                  <w:sz w:val="24"/>
                  <w:szCs w:val="24"/>
                </w:rPr>
                <w:t xml:space="preserve"> </w:t>
              </w:r>
            </w:sdtContent>
          </w:sdt>
        </w:sdtContent>
      </w:sdt>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1FFE92DA" w14:textId="77777777" w:rsidR="00054C41" w:rsidRPr="00D8247C" w:rsidRDefault="00054C41" w:rsidP="00054C41">
      <w:pPr>
        <w:spacing w:after="0"/>
        <w:jc w:val="both"/>
        <w:rPr>
          <w:rFonts w:ascii="Times New Roman" w:eastAsia="Calibri" w:hAnsi="Times New Roman" w:cs="Times New Roman"/>
          <w:i/>
          <w:sz w:val="24"/>
          <w:szCs w:val="24"/>
        </w:rPr>
      </w:pPr>
    </w:p>
    <w:p w14:paraId="04547B8F" w14:textId="77777777" w:rsidR="00054C41" w:rsidRDefault="00054C41" w:rsidP="00054C41">
      <w:pPr>
        <w:spacing w:after="0"/>
        <w:jc w:val="both"/>
        <w:rPr>
          <w:rFonts w:ascii="Times New Roman" w:eastAsia="Calibri" w:hAnsi="Times New Roman" w:cs="Times New Roman"/>
          <w:i/>
          <w:sz w:val="24"/>
          <w:szCs w:val="24"/>
        </w:rPr>
      </w:pPr>
    </w:p>
    <w:p w14:paraId="3814BF91" w14:textId="77777777" w:rsidR="00E30D85" w:rsidRPr="00D8247C" w:rsidRDefault="00E30D85" w:rsidP="00054C41">
      <w:pPr>
        <w:spacing w:after="0"/>
        <w:jc w:val="both"/>
        <w:rPr>
          <w:rFonts w:ascii="Times New Roman" w:eastAsia="Calibri" w:hAnsi="Times New Roman" w:cs="Times New Roman"/>
          <w:i/>
          <w:sz w:val="24"/>
          <w:szCs w:val="24"/>
        </w:rPr>
      </w:pPr>
    </w:p>
    <w:p w14:paraId="0F05F45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27C9A0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 xml:space="preserve">Ak má materiál vplyvy na PP, ktoré nemožno zaradiť do predchádzajúcich častí, či už pozitívne alebo negatívne, tu ich uveďte.  Patria sem: </w:t>
      </w:r>
    </w:p>
    <w:p w14:paraId="312EF81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77777777"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656A83C3" w14:textId="463FB301" w:rsidR="00B21D1F" w:rsidRPr="002C085B" w:rsidRDefault="00B21D1F" w:rsidP="00871110">
      <w:pPr>
        <w:spacing w:after="0" w:line="240" w:lineRule="auto"/>
        <w:rPr>
          <w:rFonts w:ascii="Times New Roman" w:eastAsia="Times New Roman" w:hAnsi="Times New Roman" w:cs="Times New Roman"/>
          <w:b/>
          <w:sz w:val="24"/>
          <w:szCs w:val="24"/>
          <w:lang w:eastAsia="sk-SK"/>
        </w:rPr>
      </w:pPr>
    </w:p>
    <w:p w14:paraId="14C3027C" w14:textId="7279CA82" w:rsidR="00D51F07" w:rsidRPr="002C085B" w:rsidRDefault="00D51F07" w:rsidP="002C085B">
      <w:pPr>
        <w:spacing w:after="0" w:line="240" w:lineRule="auto"/>
        <w:jc w:val="both"/>
        <w:rPr>
          <w:rFonts w:ascii="Times New Roman" w:eastAsia="Times New Roman" w:hAnsi="Times New Roman" w:cs="Times New Roman"/>
          <w:sz w:val="24"/>
          <w:szCs w:val="24"/>
          <w:u w:val="single"/>
          <w:lang w:eastAsia="sk-SK"/>
        </w:rPr>
      </w:pPr>
      <w:r w:rsidRPr="002C085B">
        <w:rPr>
          <w:rFonts w:ascii="Times New Roman" w:eastAsia="Times New Roman" w:hAnsi="Times New Roman" w:cs="Times New Roman"/>
          <w:sz w:val="24"/>
          <w:szCs w:val="24"/>
          <w:u w:val="single"/>
          <w:lang w:eastAsia="sk-SK"/>
        </w:rPr>
        <w:t>Minimálna mzda</w:t>
      </w:r>
    </w:p>
    <w:p w14:paraId="455AD3FD" w14:textId="77777777" w:rsidR="00D51F07" w:rsidRPr="002C085B" w:rsidRDefault="00D51F07" w:rsidP="002C085B">
      <w:pPr>
        <w:spacing w:after="0" w:line="240" w:lineRule="auto"/>
        <w:jc w:val="both"/>
        <w:rPr>
          <w:rFonts w:ascii="Times New Roman" w:eastAsia="Times New Roman" w:hAnsi="Times New Roman" w:cs="Times New Roman"/>
          <w:b/>
          <w:sz w:val="24"/>
          <w:szCs w:val="24"/>
          <w:lang w:eastAsia="sk-SK"/>
        </w:rPr>
      </w:pPr>
    </w:p>
    <w:p w14:paraId="7344B4D7" w14:textId="5F8EF68E" w:rsidR="00871110" w:rsidRPr="00E133F3" w:rsidRDefault="00871110" w:rsidP="002C085B">
      <w:pPr>
        <w:spacing w:after="0" w:line="240" w:lineRule="auto"/>
        <w:jc w:val="both"/>
        <w:rPr>
          <w:rFonts w:ascii="Times New Roman" w:hAnsi="Times New Roman" w:cs="Times New Roman"/>
          <w:sz w:val="24"/>
          <w:szCs w:val="24"/>
        </w:rPr>
      </w:pPr>
      <w:r w:rsidRPr="002C085B">
        <w:rPr>
          <w:rFonts w:ascii="Times New Roman" w:hAnsi="Times New Roman" w:cs="Times New Roman"/>
          <w:sz w:val="24"/>
          <w:szCs w:val="24"/>
        </w:rPr>
        <w:t xml:space="preserve">Zvýšenie nákladov zamestnávateľov môže vzniknúť aj z dôvodu potreby poskytnúť doplatok k odmene fyzickej osobe, ktorá pre zamestnávateľa </w:t>
      </w:r>
      <w:r w:rsidRPr="002C085B">
        <w:rPr>
          <w:rFonts w:ascii="Times New Roman" w:hAnsi="Times New Roman" w:cs="Times New Roman"/>
          <w:b/>
          <w:bCs/>
          <w:sz w:val="24"/>
          <w:szCs w:val="24"/>
        </w:rPr>
        <w:t>vykonáva prácu na základe niektorej z dohôd o prácach vykonávaných</w:t>
      </w:r>
      <w:r w:rsidRPr="00E133F3">
        <w:rPr>
          <w:rFonts w:ascii="Times New Roman" w:hAnsi="Times New Roman" w:cs="Times New Roman"/>
          <w:b/>
          <w:bCs/>
          <w:sz w:val="24"/>
          <w:szCs w:val="24"/>
        </w:rPr>
        <w:t xml:space="preserve"> mimo pracovného pomeru</w:t>
      </w:r>
      <w:r w:rsidRPr="00E133F3">
        <w:rPr>
          <w:rFonts w:ascii="Times New Roman" w:hAnsi="Times New Roman" w:cs="Times New Roman"/>
          <w:sz w:val="24"/>
          <w:szCs w:val="24"/>
        </w:rPr>
        <w:t xml:space="preserve"> v prípade, ak by výška poskytnutej odmeny v prepočte na odpracovanú hodinu nedosiahla sumu hodinovej minimálnej mzdy. Rozsah tohto vplyvu nie je možné odhadnúť pre nedostatok relevantných údajov o výške odmien za prácu „na dohodu“ v prepočte na odpracovanú hodinu.</w:t>
      </w:r>
    </w:p>
    <w:p w14:paraId="48C93916" w14:textId="77777777" w:rsidR="006C0C2A" w:rsidRDefault="006C0C2A" w:rsidP="002C085B">
      <w:pPr>
        <w:spacing w:after="0" w:line="240" w:lineRule="auto"/>
        <w:jc w:val="both"/>
        <w:rPr>
          <w:rFonts w:ascii="Times New Roman" w:hAnsi="Times New Roman" w:cs="Times New Roman"/>
          <w:sz w:val="24"/>
          <w:szCs w:val="24"/>
        </w:rPr>
      </w:pPr>
    </w:p>
    <w:p w14:paraId="2DDAA2D4" w14:textId="5457D668" w:rsidR="00871110" w:rsidRPr="00E133F3" w:rsidRDefault="00871110" w:rsidP="002C085B">
      <w:pPr>
        <w:spacing w:after="0" w:line="240" w:lineRule="auto"/>
        <w:jc w:val="both"/>
        <w:rPr>
          <w:rFonts w:ascii="Times New Roman" w:hAnsi="Times New Roman" w:cs="Times New Roman"/>
          <w:sz w:val="24"/>
          <w:szCs w:val="24"/>
        </w:rPr>
      </w:pPr>
      <w:r w:rsidRPr="00E133F3">
        <w:rPr>
          <w:rFonts w:ascii="Times New Roman" w:hAnsi="Times New Roman" w:cs="Times New Roman"/>
          <w:sz w:val="24"/>
          <w:szCs w:val="24"/>
        </w:rPr>
        <w:t>Z dôvodu zvýšeného maloobchodného obratu a príjmov z predaja tovaru možno očakávať aj pozitívne vplyvy na podnikateľské prostredie.</w:t>
      </w:r>
    </w:p>
    <w:p w14:paraId="4E86F726" w14:textId="77777777" w:rsidR="003B2DD4" w:rsidRPr="003B2DD4" w:rsidRDefault="003B2DD4" w:rsidP="003B2DD4">
      <w:pPr>
        <w:spacing w:after="0" w:line="240" w:lineRule="auto"/>
        <w:jc w:val="both"/>
        <w:rPr>
          <w:rFonts w:ascii="Times New Roman" w:eastAsia="Calibri" w:hAnsi="Times New Roman" w:cs="Times New Roman"/>
          <w:color w:val="000000"/>
          <w:sz w:val="24"/>
          <w:szCs w:val="24"/>
          <w:highlight w:val="green"/>
          <w:lang w:eastAsia="sk-SK"/>
        </w:rPr>
      </w:pPr>
    </w:p>
    <w:p w14:paraId="6F55A860" w14:textId="77777777" w:rsidR="003B2DD4" w:rsidRDefault="003B2DD4" w:rsidP="00047C10">
      <w:pPr>
        <w:jc w:val="both"/>
        <w:rPr>
          <w:rFonts w:ascii="Times New Roman" w:eastAsia="Calibri" w:hAnsi="Times New Roman" w:cs="Times New Roman"/>
          <w:color w:val="000000"/>
          <w:sz w:val="20"/>
          <w:szCs w:val="20"/>
          <w:lang w:eastAsia="sk-SK"/>
        </w:rPr>
      </w:pPr>
    </w:p>
    <w:sectPr w:rsidR="003B2DD4"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09A86" w14:textId="77777777" w:rsidR="003E3CCC" w:rsidRDefault="003E3CCC" w:rsidP="00054C41">
      <w:pPr>
        <w:spacing w:after="0" w:line="240" w:lineRule="auto"/>
      </w:pPr>
      <w:r>
        <w:separator/>
      </w:r>
    </w:p>
  </w:endnote>
  <w:endnote w:type="continuationSeparator" w:id="0">
    <w:p w14:paraId="47A64118" w14:textId="77777777" w:rsidR="003E3CCC" w:rsidRDefault="003E3CCC"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778877"/>
      <w:docPartObj>
        <w:docPartGallery w:val="Page Numbers (Bottom of Page)"/>
        <w:docPartUnique/>
      </w:docPartObj>
    </w:sdtPr>
    <w:sdtEndPr/>
    <w:sdtContent>
      <w:p w14:paraId="3CE55A2B" w14:textId="0D440A54" w:rsidR="00C40AC5" w:rsidRDefault="00C40AC5">
        <w:pPr>
          <w:pStyle w:val="Pta"/>
          <w:jc w:val="center"/>
        </w:pPr>
        <w:r>
          <w:fldChar w:fldCharType="begin"/>
        </w:r>
        <w:r>
          <w:instrText>PAGE   \* MERGEFORMAT</w:instrText>
        </w:r>
        <w:r>
          <w:fldChar w:fldCharType="separate"/>
        </w:r>
        <w:r w:rsidR="00343D9F">
          <w:rPr>
            <w:noProof/>
          </w:rPr>
          <w:t>1</w:t>
        </w:r>
        <w:r>
          <w:fldChar w:fldCharType="end"/>
        </w:r>
      </w:p>
    </w:sdtContent>
  </w:sdt>
  <w:p w14:paraId="20FE6A4A" w14:textId="77777777" w:rsidR="0069409D" w:rsidRDefault="006940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9C32B" w14:textId="77777777" w:rsidR="003E3CCC" w:rsidRDefault="003E3CCC" w:rsidP="00054C41">
      <w:pPr>
        <w:spacing w:after="0" w:line="240" w:lineRule="auto"/>
      </w:pPr>
      <w:r>
        <w:separator/>
      </w:r>
    </w:p>
  </w:footnote>
  <w:footnote w:type="continuationSeparator" w:id="0">
    <w:p w14:paraId="0EECABD1" w14:textId="77777777" w:rsidR="003E3CCC" w:rsidRDefault="003E3CCC" w:rsidP="00054C41">
      <w:pPr>
        <w:spacing w:after="0" w:line="240" w:lineRule="auto"/>
      </w:pPr>
      <w:r>
        <w:continuationSeparator/>
      </w:r>
    </w:p>
  </w:footnote>
  <w:footnote w:id="1">
    <w:p w14:paraId="6CC680CB" w14:textId="6BF8CDC6" w:rsidR="0069409D" w:rsidRPr="000A6B7F" w:rsidRDefault="0069409D"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1647D7DF" w14:textId="77777777" w:rsidR="0069409D" w:rsidRPr="00804BC8" w:rsidRDefault="0069409D"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5D313DAF" w14:textId="77777777" w:rsidR="0069409D" w:rsidRDefault="0069409D"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8E6B" w14:textId="678D4904" w:rsidR="0069409D" w:rsidRPr="006045CB" w:rsidRDefault="0069409D"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14:paraId="4B2D726A" w14:textId="77777777" w:rsidR="0069409D" w:rsidRPr="006045CB" w:rsidRDefault="0069409D"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B4D0133"/>
    <w:multiLevelType w:val="hybridMultilevel"/>
    <w:tmpl w:val="062C43C2"/>
    <w:lvl w:ilvl="0" w:tplc="2CEE18C8">
      <w:start w:val="10"/>
      <w:numFmt w:val="bullet"/>
      <w:lvlText w:val="-"/>
      <w:lvlJc w:val="left"/>
      <w:pPr>
        <w:ind w:left="364" w:hanging="360"/>
      </w:pPr>
      <w:rPr>
        <w:rFonts w:ascii="Times New Roman" w:eastAsia="Times New Roman" w:hAnsi="Times New Roman" w:cs="Times New Roman" w:hint="default"/>
      </w:rPr>
    </w:lvl>
    <w:lvl w:ilvl="1" w:tplc="041B0003">
      <w:start w:val="1"/>
      <w:numFmt w:val="bullet"/>
      <w:lvlText w:val="o"/>
      <w:lvlJc w:val="left"/>
      <w:pPr>
        <w:ind w:left="1084" w:hanging="360"/>
      </w:pPr>
      <w:rPr>
        <w:rFonts w:ascii="Courier New" w:hAnsi="Courier New" w:cs="Courier New" w:hint="default"/>
      </w:rPr>
    </w:lvl>
    <w:lvl w:ilvl="2" w:tplc="041B0005">
      <w:start w:val="1"/>
      <w:numFmt w:val="bullet"/>
      <w:lvlText w:val=""/>
      <w:lvlJc w:val="left"/>
      <w:pPr>
        <w:ind w:left="1804" w:hanging="360"/>
      </w:pPr>
      <w:rPr>
        <w:rFonts w:ascii="Wingdings" w:hAnsi="Wingdings" w:hint="default"/>
      </w:rPr>
    </w:lvl>
    <w:lvl w:ilvl="3" w:tplc="041B0001" w:tentative="1">
      <w:start w:val="1"/>
      <w:numFmt w:val="bullet"/>
      <w:lvlText w:val=""/>
      <w:lvlJc w:val="left"/>
      <w:pPr>
        <w:ind w:left="2524" w:hanging="360"/>
      </w:pPr>
      <w:rPr>
        <w:rFonts w:ascii="Symbol" w:hAnsi="Symbol" w:hint="default"/>
      </w:rPr>
    </w:lvl>
    <w:lvl w:ilvl="4" w:tplc="041B0003" w:tentative="1">
      <w:start w:val="1"/>
      <w:numFmt w:val="bullet"/>
      <w:lvlText w:val="o"/>
      <w:lvlJc w:val="left"/>
      <w:pPr>
        <w:ind w:left="3244" w:hanging="360"/>
      </w:pPr>
      <w:rPr>
        <w:rFonts w:ascii="Courier New" w:hAnsi="Courier New" w:cs="Courier New" w:hint="default"/>
      </w:rPr>
    </w:lvl>
    <w:lvl w:ilvl="5" w:tplc="041B0005" w:tentative="1">
      <w:start w:val="1"/>
      <w:numFmt w:val="bullet"/>
      <w:lvlText w:val=""/>
      <w:lvlJc w:val="left"/>
      <w:pPr>
        <w:ind w:left="3964" w:hanging="360"/>
      </w:pPr>
      <w:rPr>
        <w:rFonts w:ascii="Wingdings" w:hAnsi="Wingdings" w:hint="default"/>
      </w:rPr>
    </w:lvl>
    <w:lvl w:ilvl="6" w:tplc="041B0001" w:tentative="1">
      <w:start w:val="1"/>
      <w:numFmt w:val="bullet"/>
      <w:lvlText w:val=""/>
      <w:lvlJc w:val="left"/>
      <w:pPr>
        <w:ind w:left="4684" w:hanging="360"/>
      </w:pPr>
      <w:rPr>
        <w:rFonts w:ascii="Symbol" w:hAnsi="Symbol" w:hint="default"/>
      </w:rPr>
    </w:lvl>
    <w:lvl w:ilvl="7" w:tplc="041B0003" w:tentative="1">
      <w:start w:val="1"/>
      <w:numFmt w:val="bullet"/>
      <w:lvlText w:val="o"/>
      <w:lvlJc w:val="left"/>
      <w:pPr>
        <w:ind w:left="5404" w:hanging="360"/>
      </w:pPr>
      <w:rPr>
        <w:rFonts w:ascii="Courier New" w:hAnsi="Courier New" w:cs="Courier New" w:hint="default"/>
      </w:rPr>
    </w:lvl>
    <w:lvl w:ilvl="8" w:tplc="041B0005" w:tentative="1">
      <w:start w:val="1"/>
      <w:numFmt w:val="bullet"/>
      <w:lvlText w:val=""/>
      <w:lvlJc w:val="left"/>
      <w:pPr>
        <w:ind w:left="6124" w:hanging="360"/>
      </w:pPr>
      <w:rPr>
        <w:rFonts w:ascii="Wingdings" w:hAnsi="Wingdings" w:hint="default"/>
      </w:rPr>
    </w:lvl>
  </w:abstractNum>
  <w:abstractNum w:abstractNumId="4"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1C6107D"/>
    <w:multiLevelType w:val="hybridMultilevel"/>
    <w:tmpl w:val="576EA4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31C141B"/>
    <w:multiLevelType w:val="hybridMultilevel"/>
    <w:tmpl w:val="FC3AD386"/>
    <w:lvl w:ilvl="0" w:tplc="7AA8FDF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7191060"/>
    <w:multiLevelType w:val="hybridMultilevel"/>
    <w:tmpl w:val="CF38363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9" w15:restartNumberingAfterBreak="0">
    <w:nsid w:val="5982151A"/>
    <w:multiLevelType w:val="hybridMultilevel"/>
    <w:tmpl w:val="7B8C35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7236FEA"/>
    <w:multiLevelType w:val="hybridMultilevel"/>
    <w:tmpl w:val="7B224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15"/>
  </w:num>
  <w:num w:numId="3">
    <w:abstractNumId w:val="16"/>
  </w:num>
  <w:num w:numId="4">
    <w:abstractNumId w:val="14"/>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
  </w:num>
  <w:num w:numId="11">
    <w:abstractNumId w:val="6"/>
  </w:num>
  <w:num w:numId="12">
    <w:abstractNumId w:val="0"/>
  </w:num>
  <w:num w:numId="13">
    <w:abstractNumId w:val="17"/>
  </w:num>
  <w:num w:numId="14">
    <w:abstractNumId w:val="10"/>
  </w:num>
  <w:num w:numId="15">
    <w:abstractNumId w:val="7"/>
  </w:num>
  <w:num w:numId="16">
    <w:abstractNumId w:val="3"/>
  </w:num>
  <w:num w:numId="17">
    <w:abstractNumId w:val="12"/>
  </w:num>
  <w:num w:numId="18">
    <w:abstractNumId w:val="9"/>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1311F"/>
    <w:rsid w:val="0002425A"/>
    <w:rsid w:val="00024EE4"/>
    <w:rsid w:val="00027DA2"/>
    <w:rsid w:val="00047C10"/>
    <w:rsid w:val="00047C70"/>
    <w:rsid w:val="00050AAB"/>
    <w:rsid w:val="00054A53"/>
    <w:rsid w:val="00054C41"/>
    <w:rsid w:val="00060DA1"/>
    <w:rsid w:val="00061E85"/>
    <w:rsid w:val="000670C3"/>
    <w:rsid w:val="000820E0"/>
    <w:rsid w:val="00091A43"/>
    <w:rsid w:val="0009490E"/>
    <w:rsid w:val="000A6B7F"/>
    <w:rsid w:val="000C5419"/>
    <w:rsid w:val="000C5E9A"/>
    <w:rsid w:val="000D15F0"/>
    <w:rsid w:val="000F17D6"/>
    <w:rsid w:val="0011003B"/>
    <w:rsid w:val="001133DA"/>
    <w:rsid w:val="00126A2B"/>
    <w:rsid w:val="00136790"/>
    <w:rsid w:val="00142154"/>
    <w:rsid w:val="001476A4"/>
    <w:rsid w:val="00162C6C"/>
    <w:rsid w:val="0016512E"/>
    <w:rsid w:val="0018715C"/>
    <w:rsid w:val="001A1561"/>
    <w:rsid w:val="001A4F32"/>
    <w:rsid w:val="001B4C03"/>
    <w:rsid w:val="001C7B91"/>
    <w:rsid w:val="001D1083"/>
    <w:rsid w:val="001D3FA0"/>
    <w:rsid w:val="001D432A"/>
    <w:rsid w:val="001E24E8"/>
    <w:rsid w:val="001E53CB"/>
    <w:rsid w:val="001F1298"/>
    <w:rsid w:val="00207F43"/>
    <w:rsid w:val="002232D3"/>
    <w:rsid w:val="00225A83"/>
    <w:rsid w:val="00231B8F"/>
    <w:rsid w:val="00237974"/>
    <w:rsid w:val="002430DE"/>
    <w:rsid w:val="0025216E"/>
    <w:rsid w:val="00270EA5"/>
    <w:rsid w:val="002712B9"/>
    <w:rsid w:val="00284B8C"/>
    <w:rsid w:val="002916CA"/>
    <w:rsid w:val="002933B9"/>
    <w:rsid w:val="0029483F"/>
    <w:rsid w:val="002A4B4C"/>
    <w:rsid w:val="002C085B"/>
    <w:rsid w:val="002C2FC0"/>
    <w:rsid w:val="002D1CFC"/>
    <w:rsid w:val="002D4C6B"/>
    <w:rsid w:val="002E62E8"/>
    <w:rsid w:val="002F0231"/>
    <w:rsid w:val="002F7158"/>
    <w:rsid w:val="00302A17"/>
    <w:rsid w:val="00313D1C"/>
    <w:rsid w:val="003148FA"/>
    <w:rsid w:val="00314D25"/>
    <w:rsid w:val="00315BE2"/>
    <w:rsid w:val="003160E4"/>
    <w:rsid w:val="003322EE"/>
    <w:rsid w:val="00337630"/>
    <w:rsid w:val="00340CFD"/>
    <w:rsid w:val="003413D5"/>
    <w:rsid w:val="00342621"/>
    <w:rsid w:val="00343D9F"/>
    <w:rsid w:val="00357F22"/>
    <w:rsid w:val="0036748D"/>
    <w:rsid w:val="00376039"/>
    <w:rsid w:val="0038255E"/>
    <w:rsid w:val="00391648"/>
    <w:rsid w:val="0039304E"/>
    <w:rsid w:val="0039334E"/>
    <w:rsid w:val="00394AD2"/>
    <w:rsid w:val="003A02AF"/>
    <w:rsid w:val="003A3124"/>
    <w:rsid w:val="003A686F"/>
    <w:rsid w:val="003B2DD4"/>
    <w:rsid w:val="003E3CCC"/>
    <w:rsid w:val="003E58B8"/>
    <w:rsid w:val="003F06D7"/>
    <w:rsid w:val="003F7D1C"/>
    <w:rsid w:val="00400224"/>
    <w:rsid w:val="00400BA5"/>
    <w:rsid w:val="00407633"/>
    <w:rsid w:val="00410E62"/>
    <w:rsid w:val="00414FA7"/>
    <w:rsid w:val="00420090"/>
    <w:rsid w:val="00422ECB"/>
    <w:rsid w:val="004239D1"/>
    <w:rsid w:val="00445638"/>
    <w:rsid w:val="00446432"/>
    <w:rsid w:val="00446512"/>
    <w:rsid w:val="00456154"/>
    <w:rsid w:val="004601B4"/>
    <w:rsid w:val="00462975"/>
    <w:rsid w:val="00466D7A"/>
    <w:rsid w:val="0048237B"/>
    <w:rsid w:val="00484D16"/>
    <w:rsid w:val="004872F3"/>
    <w:rsid w:val="00490BFC"/>
    <w:rsid w:val="00491853"/>
    <w:rsid w:val="004A14CD"/>
    <w:rsid w:val="004A2C6B"/>
    <w:rsid w:val="004D0817"/>
    <w:rsid w:val="004D20CB"/>
    <w:rsid w:val="004D65B2"/>
    <w:rsid w:val="004D681D"/>
    <w:rsid w:val="004E2324"/>
    <w:rsid w:val="004F63E6"/>
    <w:rsid w:val="00506D2C"/>
    <w:rsid w:val="005103DA"/>
    <w:rsid w:val="00511F8F"/>
    <w:rsid w:val="00512BA7"/>
    <w:rsid w:val="00515726"/>
    <w:rsid w:val="00562527"/>
    <w:rsid w:val="00562A1E"/>
    <w:rsid w:val="00563427"/>
    <w:rsid w:val="00581EB9"/>
    <w:rsid w:val="005B4E6E"/>
    <w:rsid w:val="005B56E4"/>
    <w:rsid w:val="005C04D4"/>
    <w:rsid w:val="005C795C"/>
    <w:rsid w:val="005D0E50"/>
    <w:rsid w:val="005D39D8"/>
    <w:rsid w:val="005E43BA"/>
    <w:rsid w:val="0061097B"/>
    <w:rsid w:val="0061612F"/>
    <w:rsid w:val="006177C8"/>
    <w:rsid w:val="0062600A"/>
    <w:rsid w:val="00632C51"/>
    <w:rsid w:val="0063777D"/>
    <w:rsid w:val="00643358"/>
    <w:rsid w:val="00646084"/>
    <w:rsid w:val="006564C3"/>
    <w:rsid w:val="006578CB"/>
    <w:rsid w:val="00675022"/>
    <w:rsid w:val="0069409D"/>
    <w:rsid w:val="006A4E85"/>
    <w:rsid w:val="006A60C0"/>
    <w:rsid w:val="006A712F"/>
    <w:rsid w:val="006B5D74"/>
    <w:rsid w:val="006C0C2A"/>
    <w:rsid w:val="006C25BE"/>
    <w:rsid w:val="006C4E0A"/>
    <w:rsid w:val="006C66B9"/>
    <w:rsid w:val="006D7AD8"/>
    <w:rsid w:val="006F1D57"/>
    <w:rsid w:val="0070364C"/>
    <w:rsid w:val="00710EDF"/>
    <w:rsid w:val="00711765"/>
    <w:rsid w:val="00721E04"/>
    <w:rsid w:val="0072221D"/>
    <w:rsid w:val="0072357C"/>
    <w:rsid w:val="007259CB"/>
    <w:rsid w:val="00726031"/>
    <w:rsid w:val="007340E6"/>
    <w:rsid w:val="00751DA9"/>
    <w:rsid w:val="00755E69"/>
    <w:rsid w:val="007648EE"/>
    <w:rsid w:val="0077106D"/>
    <w:rsid w:val="00780ACC"/>
    <w:rsid w:val="00787A11"/>
    <w:rsid w:val="007925E5"/>
    <w:rsid w:val="00796732"/>
    <w:rsid w:val="00797B40"/>
    <w:rsid w:val="007A09F2"/>
    <w:rsid w:val="007A0C9D"/>
    <w:rsid w:val="007A1AD0"/>
    <w:rsid w:val="007B40FB"/>
    <w:rsid w:val="007B62AF"/>
    <w:rsid w:val="007E24B2"/>
    <w:rsid w:val="007E2DA4"/>
    <w:rsid w:val="007E6815"/>
    <w:rsid w:val="007E7632"/>
    <w:rsid w:val="007F1C84"/>
    <w:rsid w:val="007F4579"/>
    <w:rsid w:val="007F6BA0"/>
    <w:rsid w:val="00801596"/>
    <w:rsid w:val="00804BC8"/>
    <w:rsid w:val="00806E23"/>
    <w:rsid w:val="00807981"/>
    <w:rsid w:val="00823F5A"/>
    <w:rsid w:val="0083550A"/>
    <w:rsid w:val="00842211"/>
    <w:rsid w:val="00845D3B"/>
    <w:rsid w:val="00852355"/>
    <w:rsid w:val="008634E9"/>
    <w:rsid w:val="00871110"/>
    <w:rsid w:val="00875B67"/>
    <w:rsid w:val="00877E05"/>
    <w:rsid w:val="008801B5"/>
    <w:rsid w:val="00880578"/>
    <w:rsid w:val="00882407"/>
    <w:rsid w:val="008920C3"/>
    <w:rsid w:val="00894052"/>
    <w:rsid w:val="008A5B2B"/>
    <w:rsid w:val="008A7B87"/>
    <w:rsid w:val="008B08B3"/>
    <w:rsid w:val="008B4AA1"/>
    <w:rsid w:val="008C1C71"/>
    <w:rsid w:val="008D197E"/>
    <w:rsid w:val="008E1AD0"/>
    <w:rsid w:val="008E315F"/>
    <w:rsid w:val="008E6B82"/>
    <w:rsid w:val="008F6ADE"/>
    <w:rsid w:val="00900B9A"/>
    <w:rsid w:val="0090303E"/>
    <w:rsid w:val="0091269B"/>
    <w:rsid w:val="00912AC9"/>
    <w:rsid w:val="00923C0C"/>
    <w:rsid w:val="009273CF"/>
    <w:rsid w:val="0095170D"/>
    <w:rsid w:val="00952CF6"/>
    <w:rsid w:val="00960413"/>
    <w:rsid w:val="00981995"/>
    <w:rsid w:val="00981C7F"/>
    <w:rsid w:val="00985515"/>
    <w:rsid w:val="0098739F"/>
    <w:rsid w:val="00990813"/>
    <w:rsid w:val="0099544D"/>
    <w:rsid w:val="00997513"/>
    <w:rsid w:val="009A0E2C"/>
    <w:rsid w:val="009A4D56"/>
    <w:rsid w:val="009B1F04"/>
    <w:rsid w:val="009C0612"/>
    <w:rsid w:val="009E09F7"/>
    <w:rsid w:val="009E2D5C"/>
    <w:rsid w:val="009E3E44"/>
    <w:rsid w:val="009E4651"/>
    <w:rsid w:val="009F0267"/>
    <w:rsid w:val="009F4175"/>
    <w:rsid w:val="009F66A4"/>
    <w:rsid w:val="009F6C80"/>
    <w:rsid w:val="00A000DA"/>
    <w:rsid w:val="00A1736E"/>
    <w:rsid w:val="00A216DF"/>
    <w:rsid w:val="00A33F2C"/>
    <w:rsid w:val="00A50EE3"/>
    <w:rsid w:val="00A56105"/>
    <w:rsid w:val="00A7622F"/>
    <w:rsid w:val="00A77EE4"/>
    <w:rsid w:val="00A83E11"/>
    <w:rsid w:val="00A94A0F"/>
    <w:rsid w:val="00AA1383"/>
    <w:rsid w:val="00AA28F9"/>
    <w:rsid w:val="00AA3C6D"/>
    <w:rsid w:val="00AB102F"/>
    <w:rsid w:val="00AB57C4"/>
    <w:rsid w:val="00B0647B"/>
    <w:rsid w:val="00B11CF5"/>
    <w:rsid w:val="00B209FA"/>
    <w:rsid w:val="00B21D1F"/>
    <w:rsid w:val="00B2279B"/>
    <w:rsid w:val="00B410BA"/>
    <w:rsid w:val="00B43116"/>
    <w:rsid w:val="00B43D68"/>
    <w:rsid w:val="00B44A3A"/>
    <w:rsid w:val="00B510AD"/>
    <w:rsid w:val="00B5600C"/>
    <w:rsid w:val="00B653A4"/>
    <w:rsid w:val="00B66E33"/>
    <w:rsid w:val="00B72FB1"/>
    <w:rsid w:val="00B82D19"/>
    <w:rsid w:val="00B953DA"/>
    <w:rsid w:val="00BA19B0"/>
    <w:rsid w:val="00BB14B1"/>
    <w:rsid w:val="00BB3870"/>
    <w:rsid w:val="00BB45A7"/>
    <w:rsid w:val="00BB72AE"/>
    <w:rsid w:val="00BD0EF7"/>
    <w:rsid w:val="00BD3F6C"/>
    <w:rsid w:val="00BD6778"/>
    <w:rsid w:val="00C01599"/>
    <w:rsid w:val="00C048D1"/>
    <w:rsid w:val="00C05563"/>
    <w:rsid w:val="00C11132"/>
    <w:rsid w:val="00C115B9"/>
    <w:rsid w:val="00C12FDD"/>
    <w:rsid w:val="00C145AA"/>
    <w:rsid w:val="00C14655"/>
    <w:rsid w:val="00C21399"/>
    <w:rsid w:val="00C40AC5"/>
    <w:rsid w:val="00C446E2"/>
    <w:rsid w:val="00C47437"/>
    <w:rsid w:val="00C535F5"/>
    <w:rsid w:val="00C560C4"/>
    <w:rsid w:val="00C63823"/>
    <w:rsid w:val="00C6748F"/>
    <w:rsid w:val="00C74337"/>
    <w:rsid w:val="00C75DC8"/>
    <w:rsid w:val="00C8251F"/>
    <w:rsid w:val="00C929AE"/>
    <w:rsid w:val="00CA4344"/>
    <w:rsid w:val="00CA6348"/>
    <w:rsid w:val="00CB1232"/>
    <w:rsid w:val="00CB17A0"/>
    <w:rsid w:val="00CC3B7D"/>
    <w:rsid w:val="00CD0E9D"/>
    <w:rsid w:val="00CD5AE4"/>
    <w:rsid w:val="00CD5E86"/>
    <w:rsid w:val="00CE3B21"/>
    <w:rsid w:val="00CF0621"/>
    <w:rsid w:val="00CF4D09"/>
    <w:rsid w:val="00D005F2"/>
    <w:rsid w:val="00D03A8E"/>
    <w:rsid w:val="00D114ED"/>
    <w:rsid w:val="00D2251C"/>
    <w:rsid w:val="00D25938"/>
    <w:rsid w:val="00D3032C"/>
    <w:rsid w:val="00D31A3B"/>
    <w:rsid w:val="00D51F07"/>
    <w:rsid w:val="00D5309D"/>
    <w:rsid w:val="00D631FA"/>
    <w:rsid w:val="00D71064"/>
    <w:rsid w:val="00D75812"/>
    <w:rsid w:val="00D811BB"/>
    <w:rsid w:val="00D82356"/>
    <w:rsid w:val="00D84EEE"/>
    <w:rsid w:val="00D84EFF"/>
    <w:rsid w:val="00D90A61"/>
    <w:rsid w:val="00D946EF"/>
    <w:rsid w:val="00D95553"/>
    <w:rsid w:val="00DA3DEB"/>
    <w:rsid w:val="00DC355F"/>
    <w:rsid w:val="00DD1E4C"/>
    <w:rsid w:val="00DE331A"/>
    <w:rsid w:val="00DE6ACB"/>
    <w:rsid w:val="00DF02CE"/>
    <w:rsid w:val="00DF1462"/>
    <w:rsid w:val="00E030DA"/>
    <w:rsid w:val="00E133F3"/>
    <w:rsid w:val="00E20B11"/>
    <w:rsid w:val="00E214C0"/>
    <w:rsid w:val="00E24775"/>
    <w:rsid w:val="00E3009D"/>
    <w:rsid w:val="00E30D85"/>
    <w:rsid w:val="00E444EB"/>
    <w:rsid w:val="00E77A69"/>
    <w:rsid w:val="00E81A42"/>
    <w:rsid w:val="00E961E8"/>
    <w:rsid w:val="00E96244"/>
    <w:rsid w:val="00E96DE0"/>
    <w:rsid w:val="00EB2BEC"/>
    <w:rsid w:val="00EB74BF"/>
    <w:rsid w:val="00EC0704"/>
    <w:rsid w:val="00EC508B"/>
    <w:rsid w:val="00ED6B5D"/>
    <w:rsid w:val="00EE4C99"/>
    <w:rsid w:val="00F153D7"/>
    <w:rsid w:val="00F1599C"/>
    <w:rsid w:val="00F169FD"/>
    <w:rsid w:val="00F2433F"/>
    <w:rsid w:val="00F244DC"/>
    <w:rsid w:val="00F24C7F"/>
    <w:rsid w:val="00F37699"/>
    <w:rsid w:val="00F378F4"/>
    <w:rsid w:val="00F43D0F"/>
    <w:rsid w:val="00F47912"/>
    <w:rsid w:val="00F541B6"/>
    <w:rsid w:val="00F57702"/>
    <w:rsid w:val="00F61361"/>
    <w:rsid w:val="00F613E8"/>
    <w:rsid w:val="00F74D3C"/>
    <w:rsid w:val="00F74FC9"/>
    <w:rsid w:val="00F827F3"/>
    <w:rsid w:val="00F91F47"/>
    <w:rsid w:val="00FA4F36"/>
    <w:rsid w:val="00FA6FFE"/>
    <w:rsid w:val="00FC121B"/>
    <w:rsid w:val="00FD3DFB"/>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character" w:styleId="Hypertextovprepojenie">
    <w:name w:val="Hyperlink"/>
    <w:basedOn w:val="Predvolenpsmoodseku"/>
    <w:uiPriority w:val="99"/>
    <w:unhideWhenUsed/>
    <w:rsid w:val="00F376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309746317">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578902940">
      <w:bodyDiv w:val="1"/>
      <w:marLeft w:val="0"/>
      <w:marRight w:val="0"/>
      <w:marTop w:val="0"/>
      <w:marBottom w:val="0"/>
      <w:divBdr>
        <w:top w:val="none" w:sz="0" w:space="0" w:color="auto"/>
        <w:left w:val="none" w:sz="0" w:space="0" w:color="auto"/>
        <w:bottom w:val="none" w:sz="0" w:space="0" w:color="auto"/>
        <w:right w:val="none" w:sz="0" w:space="0" w:color="auto"/>
      </w:divBdr>
    </w:div>
    <w:div w:id="580287748">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21970353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hsr.sk/podnikatelske-prostredie/jednotna-metodika/prebiehajuce-konzultacie-a-predbezne-informaci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lov-lex.sk/legislativne-procesy/SK/PI/2023/31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9_analyza_podnikatelske_prostredie"/>
    <f:field ref="objsubject" par="" edit="true" text=""/>
    <f:field ref="objcreatedby" par="" text="Fscclone"/>
    <f:field ref="objcreatedat" par="" text="16.4.2024 1:05:03"/>
    <f:field ref="objchangedby" par="" text="Fscclone"/>
    <f:field ref="objmodifiedat" par="" text="16.4.2024 1:07:2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A930EAE-BEFC-4BA6-BE03-DEE76640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3271</Words>
  <Characters>18645</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Pavlikova Katarina</dc:creator>
  <cp:lastModifiedBy>Vároš Juraj</cp:lastModifiedBy>
  <cp:revision>4</cp:revision>
  <cp:lastPrinted>2024-03-08T10:22:00Z</cp:lastPrinted>
  <dcterms:created xsi:type="dcterms:W3CDTF">2024-04-19T12:39:00Z</dcterms:created>
  <dcterms:modified xsi:type="dcterms:W3CDTF">2024-08-20T09:48:00Z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&lt;p&gt;Správa o účasti verejnosti k Predbežnej informácií k návrhu zákona, ktorým sa mení a&amp;nbsp;dopĺňa zákon č. 663/2007 Z. z. o&amp;nbsp;minimálnej mzde v&amp;nbsp;znení neskorších predpisov a&amp;nbsp;ktorým sa menia a&amp;nbsp;dopĺňajú niektoré zákona&lt;/p&gt;&lt;p&gt;Predbežná inf</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Odmena za prácu_x000d_
Kolektívne pracovno-právne vzťahy_x000d_
Cestovné náhrady</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Lýdia Ďurannová</vt:lpwstr>
  </property>
  <property fmtid="{D5CDD505-2E9C-101B-9397-08002B2CF9AE}" pid="12" name="FSC#SKEDITIONSLOVLEX@103.510:zodppredkladatel">
    <vt:lpwstr>Mgr. Erik Tomáš</vt:lpwstr>
  </property>
  <property fmtid="{D5CDD505-2E9C-101B-9397-08002B2CF9AE}" pid="13" name="FSC#SKEDITIONSLOVLEX@103.510:dalsipredkladatel">
    <vt:lpwstr/>
  </property>
  <property fmtid="{D5CDD505-2E9C-101B-9397-08002B2CF9AE}" pid="14" name="FSC#SKEDITIONSLOVLEX@103.510:nazovpredpis">
    <vt:lpwstr>, ktorým sa mení a dopĺňa zákon č. 663/2007 Z. z. o minimálnej mzde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vt:lpwstr>
  </property>
  <property fmtid="{D5CDD505-2E9C-101B-9397-08002B2CF9AE}" pid="23" name="FSC#SKEDITIONSLOVLEX@103.510:plnynazovpredpis">
    <vt:lpwstr> Zákon, ktorým sa mení a dopĺňa zákon č. 663/2007 Z. z. o minimálnej mzde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19457/2024-M_OdVPA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LP/2024/130</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v  čl. 79, čl. 151 a čl. 153 Zmluvy o fungovaní Európskej únie v platnom znení,_x000d_
- v čl. 23, 27, 28 a 31 Charty základných práv Európskej únie;</vt:lpwstr>
  </property>
  <property fmtid="{D5CDD505-2E9C-101B-9397-08002B2CF9AE}" pid="47" name="FSC#SKEDITIONSLOVLEX@103.510:AttrStrListDocPropSekundarneLegPravoPO">
    <vt:lpwstr>- smernica Európskeho parlamentu a Rady (EÚ) 2022/2041 z 19. októbra 2022 o primeraných minimálnych mzdách v Európskej únii (Ú. v. EÚ L 275, 25.10.2022), gestor zodpovedný za prebratie smernice – Ministerstvo práce, sociálnych vecí a rodiny SR;</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upravený</vt:lpwstr>
  </property>
  <property fmtid="{D5CDD505-2E9C-101B-9397-08002B2CF9AE}" pid="52" name="FSC#SKEDITIONSLOVLEX@103.510:AttrStrListDocPropLehotaPrebratieSmernice">
    <vt:lpwstr>Lehota na prebratie smernice Európskeho parlamentu a Rady (EÚ) 2022/2041 z 19. októbra 2022 o primeraných minimálnych mzdách v Európskej únii je do 15. novembra 2024.</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nezačalo žiadne konanie o porušení podľa čl. 258 až 260 Zmluvy o fungovaní Európskej únie v súvislosti so smernicou (EÚ) 2022/2041.</vt:lpwstr>
  </property>
  <property fmtid="{D5CDD505-2E9C-101B-9397-08002B2CF9AE}" pid="55" name="FSC#SKEDITIONSLOVLEX@103.510:AttrStrListDocPropInfoUzPreberanePP">
    <vt:lpwstr>- zákonom č. 663/2007 Z. z. o minimálnej mzde v znení neskorších predpisov (kritéria minimálnej mzdy – automat, periodicita zvyšovania, zapojenie sociálnych partnerov),_x000d_
- zákonom č. 2/1991 Zb. o kolektívnom vyjednávaní v znení neskorších predpisov (pravi</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práce, sociálnych vecí a rodiny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Erik Tomáš_x000d_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 dopĺňa zákon č. 663/2007 Z. z. o&amp;nbsp;minimálnej mzde v znení neskorších predpisov&amp;nbsp; a ktorým sa menia a dopĺňajú niektoré zákony (ďalej len „návrh zákona“) sa predkladá na základe Plánu legislatívnych úloh vlády Slov</vt:lpwstr>
  </property>
  <property fmtid="{D5CDD505-2E9C-101B-9397-08002B2CF9AE}" pid="150" name="FSC#SKEDITIONSLOVLEX@103.510:vytvorenedna">
    <vt:lpwstr>16. 4. 2024</vt:lpwstr>
  </property>
  <property fmtid="{D5CDD505-2E9C-101B-9397-08002B2CF9AE}" pid="151" name="FSC#COOSYSTEM@1.1:Container">
    <vt:lpwstr>COO.2145.1000.3.6129043</vt:lpwstr>
  </property>
  <property fmtid="{D5CDD505-2E9C-101B-9397-08002B2CF9AE}" pid="152" name="FSC#FSCFOLIO@1.1001:docpropproject">
    <vt:lpwstr/>
  </property>
</Properties>
</file>