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041C0" w14:textId="77777777" w:rsidR="00E33493" w:rsidRPr="00AE695A" w:rsidRDefault="00E33493" w:rsidP="00AE69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Osobitná časť</w:t>
      </w:r>
    </w:p>
    <w:p w14:paraId="76A0D25A" w14:textId="2E72A3AB" w:rsidR="001E052D" w:rsidRPr="00AE695A" w:rsidRDefault="001E052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040873" w14:textId="75245273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E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K čl. </w:t>
      </w:r>
      <w:r w:rsidR="00C7177C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1D6258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AE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zákon o cestovných náhradách</w:t>
      </w:r>
    </w:p>
    <w:p w14:paraId="13C526E8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7240F7" w14:textId="34478AFA" w:rsidR="00E33493" w:rsidRPr="00AE695A" w:rsidRDefault="00AA7276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K b</w:t>
      </w:r>
      <w:r w:rsidR="005B5898" w:rsidRPr="00AE695A">
        <w:rPr>
          <w:rFonts w:ascii="Times New Roman" w:hAnsi="Times New Roman"/>
          <w:b/>
          <w:color w:val="000000" w:themeColor="text1"/>
          <w:sz w:val="24"/>
          <w:szCs w:val="24"/>
        </w:rPr>
        <w:t>od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om</w:t>
      </w:r>
      <w:r w:rsidR="005B5898" w:rsidRPr="00AE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 až </w:t>
      </w:r>
      <w:r w:rsidR="00E33493" w:rsidRPr="00AE695A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a</w:t>
      </w:r>
      <w:r w:rsidR="00E33493" w:rsidRPr="00AE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22F11" w:rsidRPr="00AE695A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</w:p>
    <w:p w14:paraId="7332FD6C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311332" w14:textId="3D8975A5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</w:rPr>
        <w:t>Legislatívno-technická zmena. Z dôvodu zmien vykonaných v § 8</w:t>
      </w:r>
      <w:r w:rsidR="005B5898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 (oznamovanie súm stravného a súm základnej náhrady v Zbierke zákonov SR)</w:t>
      </w:r>
      <w:r w:rsidRPr="00AE695A">
        <w:rPr>
          <w:rFonts w:ascii="Times New Roman" w:hAnsi="Times New Roman"/>
          <w:color w:val="000000" w:themeColor="text1"/>
          <w:sz w:val="24"/>
          <w:szCs w:val="24"/>
        </w:rPr>
        <w:t>, navrhuje sa upraviť pojmy aj v ostatných ustanoveniach zákona</w:t>
      </w:r>
      <w:r w:rsidR="003C3A02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F21E0AB" w14:textId="7F7B7E78" w:rsidR="00AA7276" w:rsidRPr="00AE695A" w:rsidRDefault="00AA7276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670E24" w14:textId="028392D7" w:rsidR="00AA7276" w:rsidRPr="00AE695A" w:rsidRDefault="00AA7276" w:rsidP="00AA727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K b</w:t>
      </w:r>
      <w:r w:rsidRPr="00AE695A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od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u 4</w:t>
      </w:r>
    </w:p>
    <w:p w14:paraId="3BF2B17C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8FBE82" w14:textId="393711CD" w:rsidR="00E33493" w:rsidRPr="00AE695A" w:rsidRDefault="00EC095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</w:rPr>
        <w:t>Novo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navrhované znenie § 7 v podstatnej časti vychádza z pôvodného znenia § 7 s doplnením pravidiel pre používanie </w:t>
      </w:r>
      <w:proofErr w:type="spellStart"/>
      <w:r w:rsidR="00E33493" w:rsidRPr="00AE695A">
        <w:rPr>
          <w:rFonts w:ascii="Times New Roman" w:hAnsi="Times New Roman"/>
          <w:color w:val="000000" w:themeColor="text1"/>
          <w:sz w:val="24"/>
          <w:szCs w:val="24"/>
        </w:rPr>
        <w:t>elektrovozidiel</w:t>
      </w:r>
      <w:proofErr w:type="spellEnd"/>
      <w:r w:rsidR="00E33493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(vozidla poháňaného 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len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elektrickou energiou)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 </w:t>
      </w:r>
      <w:proofErr w:type="spellStart"/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plug</w:t>
      </w:r>
      <w:proofErr w:type="spellEnd"/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-in hybridných vozidiel (vozidla poháňaného benzínom/</w:t>
      </w:r>
      <w:proofErr w:type="spellStart"/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dízlom</w:t>
      </w:r>
      <w:proofErr w:type="spellEnd"/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 kombinácii s elektrickou energiou, ktorá sa môže získať aj nabíjaním vozidla na rozdiel od hybridného vozidla, ktoré nemožno nabíjať zo si</w:t>
      </w:r>
      <w:r w:rsidR="00250E5B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te)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aktualizovanou terminológiou a s doplnením niektorých ďalších skutočností, ktoré priniesla prax v tejto oblasti od poslednej podstatnej zmeny. Vzhľadom na</w:t>
      </w:r>
      <w:r w:rsid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to, že ide o používanie súkromných vozidiel zamestnancov pri pracovných cestách, z dôvodu ochrany osobných údajov existujú aj niektoré obmedzenia, ktoré neumožňujú postupovať rovnakým spôsobom ako pri služobných vozidlách zamestnávateľa pri meraní skutočnej spotreby podľa zákona č. 595/2003 Z. z. o dani z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príjmov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 znení neskorších predpisov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a teda pravidlá v zákone sú podrobnejšie.</w:t>
      </w:r>
    </w:p>
    <w:p w14:paraId="6D8C609C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751A2B" w14:textId="342AD808" w:rsidR="00915C3B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Z dôvodu opakujúcich sa požiadaviek z praxe a s cieľom spresnenia práv zamestnanca a povinností zamestnávateľa, ako aj vo väzbe na otázky, ktoré </w:t>
      </w:r>
      <w:r w:rsidR="00CC67F9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navrhoval riešiť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Akčný plán pre rozvoj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elektromobility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(v kontexte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elektrovozidiel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zamestnávateľa používaných pri pracovnej ceste) a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existujúcu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prax, navrhuje sa spresniť právna úprava používania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elektrovozidla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zamestnanca, ktoré použije pri pracovnej ceste podľa § 7 zákona, pokiaľ ide o preukázanie a úhradu výdavkov, ktoré sa týkajú náhrady za spotrebované pohonné látky. V nadväznosti na uvedené sa navrhujú upraviť v § 7 pravidlá ohľadom zisťovania  spotreby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elektrovozidiel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preukazovania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jednotkovej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ceny elektrickej energie.</w:t>
      </w:r>
    </w:p>
    <w:p w14:paraId="1F4D3622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702279EF" w14:textId="6ED87E18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jednotlivých odsekoch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sa navrhuje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zosúladiť terminológiu s osobitnými predpismi v doprave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. Ide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napr. 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o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zákon č. 106/2018 Z. z. o prevádzke vozidiel v cestnej premávke a</w:t>
      </w:r>
      <w:r w:rsid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</w:t>
      </w:r>
      <w:r w:rsid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zmene a doplnení niektorých zákonov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znení neskorších predpisov 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pojmy ako motorové vozidlo, nemotorové vozidlo, cestné vozidlo, zvláštne vozidlo, kategórie vozidiel,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štvorkolka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doklad o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vozidle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zástupca výrobcu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  <w:r w:rsidR="001E052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Navrhuje sa použiť legislatívnu skratku vozidlo, pri ktorom ide o kombináciu pojmov motorové vozidlo a cestné vozidlo</w:t>
      </w:r>
      <w:r w:rsidR="008D7FA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podľa zákona </w:t>
      </w:r>
      <w:r w:rsidR="008D7FA8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č. 106/2018 Z. z.</w:t>
      </w:r>
    </w:p>
    <w:p w14:paraId="42DDFE81" w14:textId="597970CE" w:rsidR="00915C3B" w:rsidRPr="00AE695A" w:rsidRDefault="00915C3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2E975CA" w14:textId="49D9200F" w:rsidR="00915C3B" w:rsidRPr="00AE695A" w:rsidRDefault="00915C3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odseku 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sa navrhuje legislatívno-technicky spresniť, že za podmienok podľa ods. 12 zamestnancovi namiesto základnej náhrady a náhrady za spotrebované pohonné látky môže patriť náhrada za použitie vozidla v sume zodpovedajúcej cene cestovného lístka pravidel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nej verejnej dopravy (obsah odseku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12 sa nemení).</w:t>
      </w:r>
    </w:p>
    <w:p w14:paraId="75ACBFE1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7F4A16E4" w14:textId="01ACD2EF" w:rsidR="005D5E7C" w:rsidRPr="00AE695A" w:rsidRDefault="005D5E7C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odseku 4 sa navrhuje preformulovať znenie výpočtu náhrady za spotrebované pohonné látky, kde sa pri určení náhrady pri pracovnej ceste vychádza z jednotkovej ceny pohonnej látky (ods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ek</w:t>
      </w:r>
      <w:r w:rsid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5), </w:t>
      </w:r>
      <w:r w:rsidR="001E052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ktorá sa násobí spotrebou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(zisten</w:t>
      </w:r>
      <w:r w:rsidR="001E052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ou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na základe ods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ekov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6 až 10</w:t>
      </w:r>
      <w:r w:rsidR="001E052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 príslušného dokladu alebo na základe príslušnej skutočnosti, pričom ide spravidla o vymedzenie počtu litrov pohonnej látky na 100 km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) v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vzťahu ku každému (aj začatému) kilometru jazdy. Napríklad: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lastRenderedPageBreak/>
        <w:t>vozidlo má spotrebu 7 litrov na 100 kilometrov (v zmysle odseku 6 zvýšenú napr. o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10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%, t.</w:t>
      </w:r>
      <w:r w:rsidR="005B47A8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j. 7,7 litra), zamestnanec natankoval benzín za cenu 1,60 eura/liter a počas pracovnej cesty prešiel 170 km. Pôjde teda o vzorec 1,6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x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7,7/100 x 170 km = 20,944 eura. </w:t>
      </w:r>
      <w:r w:rsidR="00EE42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Podľa odseku 11 sa 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výsledná </w:t>
      </w:r>
      <w:r w:rsidR="00EE42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sum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</w:t>
      </w:r>
      <w:r w:rsidR="00EE42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E34CB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základnej </w:t>
      </w:r>
      <w:r w:rsidR="00EE42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náhrady za spotrebované látky zaokrúhľuje na najbližší eurocent nahor = 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náhrada</w:t>
      </w:r>
      <w:r w:rsidR="00EE42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bude 20,95 eura</w:t>
      </w:r>
      <w:r w:rsidR="00F340B5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</w:p>
    <w:p w14:paraId="585D2848" w14:textId="77777777" w:rsidR="005D5E7C" w:rsidRPr="00AE695A" w:rsidRDefault="005D5E7C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8DF2AF3" w14:textId="6F5051AE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odseku 5 sa navrhuje spresniť 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jednotkovú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cenu pohonnej látky v prípade, ak je pohonnou látkou elektrická energia; v tomto prípade sa navrhuje  za doklad o kúpe  považovať okrem dokladu napr. z nabíjacej stanice aj doklad od dodávateľa elektrickej energie, z ktorého možno odvodiť jednotkovú sadzbu za elektrickú energiu pre domácnosť, v ktorej zamestnanec vozidlo nabíjal. Ide napr. o sadzbu podľa zmluvných podmienok, za ktorú zamestnanec odoberá energiu v domácnosti (napr. v dome), kde si nabíja svoje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elektrovozidlo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Zákon sa neobmedzuje len na domácnosť zamestnanca, ale môže ísť napr. aj o domácnosť rodinného príslušníka. V praxi si strany môžu spresniť pravidlá ohľadom toho, kde zamestnanec môže alebo nemôže také vozidlo nabíjať.</w:t>
      </w:r>
    </w:p>
    <w:p w14:paraId="747F691E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56F0909E" w14:textId="20D1C2ED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kontexte odseku 5, ak zamestnanec nevie preukázať jednotkovú cenu</w:t>
      </w:r>
      <w:r w:rsidR="00FA08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pohonnej látky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dokladom o kúpe (v domácnosti, resp. aj z nabíjačky) možno využiť údaje zo Štatistického úradu SR, ktorý od 1. januára 2024 sleduje v rámci kategórie „Priemerné ceny pohonných látok v SR (týždenne)“, aj:</w:t>
      </w:r>
    </w:p>
    <w:p w14:paraId="65E8ECD1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Elektrická energia AC nabíjanie (eur / kWh)          </w:t>
      </w:r>
    </w:p>
    <w:p w14:paraId="33D1EB96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Elektrická energia DC nabíjanie (eur / kWh)          </w:t>
      </w:r>
    </w:p>
    <w:p w14:paraId="1747B548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Elektrická energia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ultra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nabíjanie (eur / kWh)</w:t>
      </w:r>
    </w:p>
    <w:p w14:paraId="35025230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t. j. nielen priemernú cenu – benzín, nafta, plyn (CNG, LNG).</w:t>
      </w:r>
    </w:p>
    <w:p w14:paraId="3517DCC5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F7D4988" w14:textId="5541A894" w:rsidR="005D5E7C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odseku 6 </w:t>
      </w:r>
      <w:r w:rsidR="00622F1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(a následne aj v odseku 9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resp. v odseku 10)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sa navrhuje určiť, aká spotreba sa má použiť pre výpočet náhrady za spotrebovanú elektrickú energiu 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(ako pohonnú látku)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prípade, ak sa pri pracovnej ceste použije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elektrovozidlo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. 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odseku 6 ide o spotrebu uvedenú v doklade o vozidle (ktorá sa nezapisuje povinne do dokladov o vozidle v časti emisie a spotreba, ale môže byť uvedená v ďalších úradných záznamo</w:t>
      </w:r>
      <w:r w:rsidR="00F340B5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ch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), v ods</w:t>
      </w:r>
      <w:r w:rsidR="00830D08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eku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9 ide </w:t>
      </w:r>
      <w:r w:rsidR="00B354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 spotrebu zistenú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meračom zabudovaným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vo vozidle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 v odseku 10 o</w:t>
      </w:r>
      <w:r w:rsidR="00B354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spotrebu preukázanú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inými dokladmi. </w:t>
      </w:r>
    </w:p>
    <w:p w14:paraId="347AC9B0" w14:textId="77777777" w:rsidR="005D5E7C" w:rsidRPr="00AE695A" w:rsidRDefault="005D5E7C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5983256" w14:textId="14B0701B" w:rsidR="00E33493" w:rsidRPr="00AE695A" w:rsidRDefault="005D5E7C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odseku 6 sa s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účasne navrhuje aj zvýšenie  spotreby uvedenej v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doklade o vozidle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podľa rôznych noriem o 10 %, čím sa spotreba uvedená v</w:t>
      </w:r>
      <w:r w:rsidR="00B354F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doklade o vozidle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zreálni so skutočnou spotrebou pohonnej látky. Pre porovnanie napr. zákon o dani z príjmov v § 19 ods. 2 písm. l) pre služobné vozidlá zvyšuje spotrebu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o 20 %, čím indikuje existujúce odchýlky od spotreby, ktorá sa zisťuje za osobitných podmienok a nie vždy je odrazom spotreby v reálne</w:t>
      </w:r>
      <w:r w:rsidR="00EC4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j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prevádzke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vozidla konkrétnou osobou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(na spotrebu vplýva aj zaťaženie vozidla, teplota, dopravná situácia, a</w:t>
      </w:r>
      <w:r w:rsidR="00F3405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pod.). Spotreby, ktoré už boli zvýšené podľa platného a účinného právneho stavu sa už nezvyšujú.</w:t>
      </w:r>
    </w:p>
    <w:p w14:paraId="1ACFFF6F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8871845" w14:textId="2C697C8B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odseku 6 sa zachovávajú aj pravidlá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o spotrebe,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ktoré 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platia pre staršie autá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podľa starších noriem 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[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písm. a) až písm. c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)</w:t>
      </w:r>
      <w:r w:rsidR="005D5E7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]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– ktoré sú stále v prevádzke [v prípade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nových aut ide o postup podľa písm. d)</w:t>
      </w:r>
      <w:r w:rsidR="00CD14F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]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. Pre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elektrovozidlá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 údajom o spotrebe v</w:t>
      </w:r>
      <w:r w:rsidR="004B5CEC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doklade o vozidle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(údaj nie je povinný) sa osobitne zavádza nové písmeno e). Vzhľadom na zvýšenú spotrebu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elektrovozidiel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pri vyšších rýchlostiach sa navrhuje zaviesť % zvýšenie (20</w:t>
      </w:r>
      <w:r w:rsid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%) pre jazdu po rýchlostnej ceste a diaľnici. </w:t>
      </w:r>
    </w:p>
    <w:p w14:paraId="31BAEBD4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AF5F8E8" w14:textId="4CA592E5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odseku 8 sa navrhuje upraviť postup výpočtu náhrady za spotrebované pohonné látky v prípade, ak je pohonnou látkou  elektrická energia, ktorá sa získava aj nabíjaním z elektrickej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lastRenderedPageBreak/>
        <w:t xml:space="preserve">siete (t. j. ide o tzv.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plug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-in hybrid vozidlo, kde elektrickú energiu možno získavať aj nabíjaním a nielen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rekuperáciou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; nejde teda o „obyčajné“ hybridné vozidlo) v kombinácii s inou pohonnou látkou a to obdobným spôsobom, ako sa postupuje v prípade, ak je pohonnou látkou plyn  alebo plyn v kombinácii s inou pohonnou látkou (odsek 7).</w:t>
      </w:r>
    </w:p>
    <w:p w14:paraId="795AD4C3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CA1400A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 odseku 9 sa navrhuje umožniť zamestnancovi preukázať spotrebu elektrickej energie aj meračom zabudovaným priamo v 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elektrovozidle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ktorým možno preukázateľne zistiť spotrebu elektrickej energie podobne ako je to v prípade § 19 zákona o dani z príjmov.</w:t>
      </w:r>
    </w:p>
    <w:p w14:paraId="41229B92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7B70501" w14:textId="6264C6A2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odseku 10 sa navrhujú spresniť spôsoby preukazovania spotreby pohonnej látky, vrátane spotreby elektrickej energie</w:t>
      </w:r>
      <w:r w:rsidR="00E3300F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ak ide o </w:t>
      </w:r>
      <w:proofErr w:type="spellStart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elektrovozidlo</w:t>
      </w:r>
      <w:proofErr w:type="spellEnd"/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 prípadoch, keď 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doklad o vozidle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údaje o spotrebe pohonnej látky a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údaj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o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spotrebe elektrickej energie  neuvádza (nie je to povinný údaj v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doklade o vozidle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a niektoré 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doklady o vozidle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spotrebu obsahujú ako doplnkový údaj), ako aj v prípadoch, ak je spotreba pohonnej látky alebo elektrickej energie v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doklade o vozidle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uvedená, ale táto spotreba nezodpovedá spotrebe uvedenej v odseku 6.</w:t>
      </w:r>
    </w:p>
    <w:p w14:paraId="368AD7D1" w14:textId="4EB9EA4C" w:rsidR="00F34053" w:rsidRPr="00AE695A" w:rsidRDefault="00F3405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7863769" w14:textId="2015E573" w:rsidR="00F34053" w:rsidRPr="00AE695A" w:rsidRDefault="00F3405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 cieľom zvýšiť predvídateľnosť podnikateľského prostredia a vzhľadom na to, že v </w:t>
      </w:r>
      <w:r w:rsidR="00D7444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§ 8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zákon</w:t>
      </w:r>
      <w:r w:rsidR="00D7444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je upravený automatický vzorec pre určenie súm stravného a súm základn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ej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náhrad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y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za používanie vozidla, navrhuje sa podobne ako pri sume minimálnej mzdy informovať zamestnávateľov a zamestnancov o zvýšených </w:t>
      </w:r>
      <w:r w:rsidR="00C15861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sumách </w:t>
      </w:r>
      <w:r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náhrad uverejnením oznamu v Zbierke zákonov SR v dostatočnom časovom predstihu.</w:t>
      </w:r>
    </w:p>
    <w:p w14:paraId="43085963" w14:textId="77777777" w:rsidR="008A65D5" w:rsidRPr="00AE695A" w:rsidRDefault="008A65D5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5A052E" w14:textId="1A439A6D" w:rsidR="00BF1D5B" w:rsidRPr="00AE695A" w:rsidRDefault="006A09D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</w:rPr>
        <w:t>Podľa platnej a účinnej právnej úpravy v § 8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sumy stravného zvyšujú vo väzbe na rast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kumulatívneho indexu cien jedál a nealkoholických nápojov v reštauračnom stravovaní 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 sumy základnej náhrady vo väzbe na rast kumulatívneho indexu cien položiek spojených s prevádzkou motorových vozidiel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(porovnávajú sa kalendárny mesiac, ktorý bol relev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antný pre posledné zvýšenie a príslušný kalendárny mesiac – zvýšenie nastane, ak percentuálny rast indexu je najmenej 5</w:t>
      </w:r>
      <w:r w:rsidR="00830D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%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Tieto sumy 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náhrad 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sú teda určované vo väzbe na automatickú indexáciu a ministerstvo o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potrebe valorizácie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 o výške valorizácie 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súm </w:t>
      </w:r>
      <w:r w:rsidR="005A4696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nerozhoduje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ale ak sú splnené podmienky, ministerstvo musí pripraviť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návrh opatrenia o sumách stravného</w:t>
      </w:r>
      <w:r w:rsidR="009E6021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 sumách základnej náhrady za používanie cestných motorových vozidiel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Vzhľadom na viaceré faktory</w:t>
      </w:r>
      <w:r w:rsidR="00D74447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(napr. povinné trvanie medzirezortného pripomienkového konania, predloženie zásadných pripomienok, periodicita zasadania tzv. malej legislatívnej rady vlády, publikačný čas v Zbierke zákonov SR, a pod.)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účinnosť opatren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í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vopred nie je presne daná, ale súvisí </w:t>
      </w:r>
      <w:r w:rsidR="003241C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 dĺžkou legislatívneho procesu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Ministerstvo sa teda v praxi stretáva s častými podnetmi zo strany zamestnávateľov a zamestnancov ohľadom toho, kedy bude opatrenie publikované v Zbierke zákonov</w:t>
      </w:r>
      <w:r w:rsidR="004151E4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SR</w:t>
      </w:r>
      <w:r w:rsidR="00BF1D5B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 kedy nadobudne účinnosť.</w:t>
      </w:r>
    </w:p>
    <w:p w14:paraId="428583DC" w14:textId="77777777" w:rsidR="00BF1D5B" w:rsidRPr="00AE695A" w:rsidRDefault="00BF1D5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7207A12" w14:textId="29A4AF15" w:rsidR="00BF1D5B" w:rsidRPr="00AE695A" w:rsidRDefault="00BF1D5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 rámci pripomienkového konania síce subjekty môžu predkladať pripomienky, ale ministerstvo nemôže akceptovať pripomienky požadujúce nezvýšenie súm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náhrad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vzhľadom na dopady, skoršie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/neskoršie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zvýšenie súm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náhrad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iné sumy stravného, apod., keďže ministerstvo je viazané zákonom. </w:t>
      </w:r>
    </w:p>
    <w:p w14:paraId="53F7D4A3" w14:textId="77777777" w:rsidR="00BF1D5B" w:rsidRPr="00AE695A" w:rsidRDefault="00BF1D5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446E449" w14:textId="3B9CAC49" w:rsidR="00A92090" w:rsidRPr="00AE695A" w:rsidRDefault="00BF1D5B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Navrhuje sa preto, aby ministerstvo sumy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náhrad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určené zákonom len oznamovalo v Zbierke zákonov </w:t>
      </w:r>
      <w:r w:rsidR="004151E4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SR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 aby účinnosť zmien bola nastavená predvídateľné, t. j. účinky nastanú k presne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určenému dátumu odo dňa </w:t>
      </w:r>
      <w:r w:rsidR="00131355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splnenia podmienok na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ich </w:t>
      </w:r>
      <w:r w:rsidR="00131355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zvýšenie.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Navrhovan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časov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odstup 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(tri mesiace)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vyplýva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zo skutočnosti, že údaje od Štatistického úradu SR za príslušný mesiac</w:t>
      </w:r>
      <w:r w:rsidR="00131355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sú k dispozícií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 určitým časovým odstupom (napr. údaje za január spravidla do konca februára)</w:t>
      </w:r>
      <w:r w:rsidR="00131355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 zároveň aj prax sa musí vedieť pri</w:t>
      </w:r>
      <w:r w:rsidR="00131355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praviť na zmenenú skutočnosť s časovým predstihom.</w:t>
      </w:r>
    </w:p>
    <w:p w14:paraId="647971FA" w14:textId="77777777" w:rsidR="00A92090" w:rsidRPr="00AE695A" w:rsidRDefault="00A92090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98CC3B6" w14:textId="77777777" w:rsidR="00A92090" w:rsidRPr="00AE695A" w:rsidRDefault="00A92090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Navrhovaný postup teda v niektorých parametroch kopíruje model oznamovania sumy minimálnej mzdy a súm minimálnych mzdových nárokov v Zbierke zákonov SR ako pomoc verejnosti s výpočtom presných súm, ktoré inak vyplývajú zo zákona.</w:t>
      </w:r>
    </w:p>
    <w:p w14:paraId="64263A05" w14:textId="70A522AE" w:rsidR="00A92090" w:rsidRPr="00AE695A" w:rsidRDefault="00A92090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5A551B8" w14:textId="2AB718F8" w:rsidR="00BF1D5B" w:rsidRPr="00AE695A" w:rsidRDefault="00D74447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Napríklad v prípade rastu indexu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cien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 najmenej 5</w:t>
      </w:r>
      <w:r w:rsidR="00830D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%, ktoré by nastalo v mesiaci január (t.</w:t>
      </w:r>
      <w:r w:rsid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j.</w:t>
      </w:r>
      <w:r w:rsid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index za príslušný kalendárny mesiac je index za január),  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sa danú skutočnosť ministerstvo,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ako aj verejnosť dozvie z údajov Štatistického úradu SR v priebehu druhej polovice mesiaca február. Následné ministerstvo oznámi v Zbierke zákonov SR príslušné sumy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náhrad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 dátum (deň – pôjde o vždy prvý deň v príslušnom kalendárnom mesiaci), od ktorého sa nové sumy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náhrad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uplatňujú (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t. j.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zamestnanec má právo na náhradu vo zvýšenej sume a zamestnávateľ je</w:t>
      </w:r>
      <w:r w:rsid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povinný mu ju poskytnúť vo zvýšenej sume). V tomto prípade pôjde o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1. apríl, čo je prvý deň kalendárneho mesiaca, ktorý je tretím kalendárnym mesiacom (t. j. február, marec, apríl) po kalendárnom mesiaci, v ktorom bola splnená podmienka (t. j. index za január narástol o najmenej 5</w:t>
      </w:r>
      <w:r w:rsid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60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%).</w:t>
      </w:r>
    </w:p>
    <w:p w14:paraId="3737D828" w14:textId="746C3878" w:rsidR="00DB6098" w:rsidRPr="00AE695A" w:rsidRDefault="00DB6098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6BF3E70" w14:textId="4D064D40" w:rsidR="00DB6098" w:rsidRPr="00AE695A" w:rsidRDefault="00DB6098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 účely posúdenia rastu sa porovnáva kumul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atívny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index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cien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 príslušný kalendárny mesiac (napr. za január 2025) s 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kumulatívnym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indexom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cien</w:t>
      </w:r>
      <w:r w:rsidR="00225183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za kalendárny mesiac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na základe ktorého sa sumy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náhrad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naposledy zvýšili. Percentuálny rast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kumulatívneho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indexu 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cien 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 premietne do nárastu sumy stravného a s</w:t>
      </w:r>
      <w:r w:rsidR="00A47D98"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úm</w:t>
      </w:r>
      <w:r w:rsidRPr="00AE69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základnej náhrady.</w:t>
      </w:r>
    </w:p>
    <w:p w14:paraId="1F1C84EC" w14:textId="77777777" w:rsidR="006A09DD" w:rsidRPr="00AE695A" w:rsidRDefault="006A09D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42416F8" w14:textId="4C7AF8E8" w:rsidR="00E33493" w:rsidRPr="00AE695A" w:rsidRDefault="00AA7276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K b</w:t>
      </w:r>
      <w:r w:rsidR="00E33493" w:rsidRPr="00AE695A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od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om</w:t>
      </w:r>
      <w:r w:rsidR="00E33493" w:rsidRPr="00AE695A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A92090" w:rsidRPr="00AE695A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5, 7</w:t>
      </w:r>
      <w:r w:rsidR="00A01CE8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 a</w:t>
      </w:r>
      <w:r w:rsidR="00A92090" w:rsidRPr="00AE695A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 8</w:t>
      </w:r>
      <w:r w:rsidR="001E052D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 </w:t>
      </w:r>
    </w:p>
    <w:p w14:paraId="1791FBA4" w14:textId="77777777" w:rsidR="00E33493" w:rsidRPr="00AE695A" w:rsidRDefault="00E33493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566F8A5C" w14:textId="4163D102" w:rsidR="00E33493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</w:rPr>
        <w:t>Legislatívno-technická zmena. Z dôvodu zmien vykonaných v § 7 ods. 1 a 2 – zavedenie legislatívnej skratky „vozidlo“, navrhuje sa upraviť pojmy aj v ostatných ustanoveniach zákona o cestovných náhradách.</w:t>
      </w:r>
    </w:p>
    <w:p w14:paraId="2D5608B4" w14:textId="11663681" w:rsidR="001E052D" w:rsidRDefault="001E052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4A8916" w14:textId="66179864" w:rsidR="00AA7276" w:rsidRPr="00AE695A" w:rsidRDefault="00AA7276" w:rsidP="00AA727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K b</w:t>
      </w:r>
      <w:r w:rsidRPr="00AE695A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od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u</w:t>
      </w:r>
      <w:r w:rsidRPr="00AE695A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="00A01CE8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9</w:t>
      </w:r>
    </w:p>
    <w:p w14:paraId="0DE860D4" w14:textId="5AC6FF7A" w:rsidR="00E33493" w:rsidRDefault="00E33493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CDB4343" w14:textId="4856EDB3" w:rsidR="001E052D" w:rsidRDefault="001E052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Cieľom prechodných ustanovení je vyriešiť otázku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1F43CEFA" w14:textId="24B7902A" w:rsidR="001E052D" w:rsidRDefault="001E052D" w:rsidP="00AE69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- postupu, ak dôjde k zmene príslušného indexu za mesiac september 2024, október 2024 alebo november 2024 (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verejne známe budú najskôr na konci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okt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óbra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novembra alebo decembra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2024), kde vzhľadom na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obvyklú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dĺžku legislatívneho procesu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pri vydaní opatrenia – približne tri  mesiace</w:t>
      </w:r>
      <w:r w:rsidR="006E7C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možno predpokladať, že ministerstvo nestihne vydať opatrenie na základe právnej úpravy účinnej do 31. decembra 2024 (a po tomto čase opatrenie nemôže vydať) – navrhovaný § 38h. V tomto prípade sa navrhuje ustanoviť, že ministerstvo opatrenie nevydá. Na uvedené ustanovenie potom nadväzuje navrhované ustanovenie § 38j, podľa ktorého ministerstvo bezodkladne zverejní oznam v Zbierke zákonov </w:t>
      </w:r>
      <w:r w:rsidR="006E7C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SR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 nadobudnutí účinnosti zákona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(t. j. na začiatku januára)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pričom zvýšené sumy sa 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uplatňujú od 1. februára 2025 vo väzbe na porovnanie relevantných indexov (index na základe, ktorého sa suma naposledy zvýšila opatrením a indexu, pri ktorom nastal nárast o 5 a viac %</w:t>
      </w:r>
      <w:r w:rsidR="006E7C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napr. ak to bol index za október 2024, tak bude relevantný tento index</w:t>
      </w:r>
      <w:r w:rsidR="00AE28B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).</w:t>
      </w:r>
    </w:p>
    <w:p w14:paraId="2D035B9D" w14:textId="42509403" w:rsidR="005B5898" w:rsidRPr="00AE695A" w:rsidRDefault="00AE28BC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</w:t>
      </w:r>
      <w:r w:rsidR="00E33493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právny stav od účinnosti novely zákona, t. j. v období od 1. </w:t>
      </w:r>
      <w:r w:rsidR="003C533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januára 2025 do účinnosti </w:t>
      </w:r>
      <w:r w:rsidR="00A9209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(uplatňovania) </w:t>
      </w:r>
      <w:r w:rsidR="003C533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prvej zmeny súm stravného</w:t>
      </w:r>
      <w:r w:rsidR="005B5898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resp. súm základnej náhrady</w:t>
      </w:r>
      <w:r w:rsidR="003C533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 keďže sa prechádza od vydávania podzákonného právneho predpisu k oznamovaniu údajov v Zbierke zákonov</w:t>
      </w:r>
      <w:r w:rsidR="004151E4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SR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2640F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</w:t>
      </w:r>
      <w:r w:rsidR="006E7C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navrhovaný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§ 38i</w:t>
      </w:r>
      <w:r w:rsidR="003C5337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  <w:r w:rsidR="00A9209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Navrhuje sa vychádzať z pôvodných opatrení, ktoré ostávajú platné a</w:t>
      </w:r>
      <w:r w:rsidR="002640F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 w:rsidR="00A9209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účinné</w:t>
      </w:r>
      <w:r w:rsidR="002640F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 w:rsidR="00A92090" w:rsidRPr="00AE695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 upravuje sa postup ako aplikovať novú terminológiu (od 1. januára 2025) v prípade opatrení používajúcich starú terminológiu (do 31. decembra 2025).</w:t>
      </w:r>
    </w:p>
    <w:p w14:paraId="78E29567" w14:textId="05128D0E" w:rsidR="001E052D" w:rsidRPr="00AE695A" w:rsidRDefault="001E052D" w:rsidP="00AE695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F67284" w14:textId="77777777" w:rsidR="00A01CE8" w:rsidRDefault="00A01CE8" w:rsidP="00AE69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9054BD" w14:textId="77777777" w:rsidR="00A01CE8" w:rsidRDefault="00A01CE8" w:rsidP="00AE69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74D5AD" w14:textId="3D63DFDF" w:rsidR="00E33493" w:rsidRPr="00AE695A" w:rsidRDefault="00C7177C" w:rsidP="00AE69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K čl. II</w:t>
      </w:r>
    </w:p>
    <w:p w14:paraId="393629A3" w14:textId="77777777" w:rsidR="00E33493" w:rsidRPr="00C7177C" w:rsidRDefault="00E33493" w:rsidP="00AE695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7176F10" w14:textId="3F81C159" w:rsidR="006037BB" w:rsidRPr="00AE695A" w:rsidRDefault="006037BB" w:rsidP="006037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Navrhuje sa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nadobudnutie účinnosti zákona 1. </w:t>
      </w:r>
      <w:r w:rsidR="00DC343A">
        <w:rPr>
          <w:rFonts w:ascii="Times New Roman" w:hAnsi="Times New Roman"/>
          <w:color w:val="000000" w:themeColor="text1"/>
          <w:sz w:val="24"/>
          <w:szCs w:val="24"/>
        </w:rPr>
        <w:t xml:space="preserve">decembra </w:t>
      </w:r>
      <w:r>
        <w:rPr>
          <w:rFonts w:ascii="Times New Roman" w:hAnsi="Times New Roman"/>
          <w:color w:val="000000" w:themeColor="text1"/>
          <w:sz w:val="24"/>
          <w:szCs w:val="24"/>
        </w:rPr>
        <w:t>2024</w:t>
      </w:r>
      <w:r w:rsidRPr="00AE6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okrem</w:t>
      </w:r>
      <w:r w:rsidRPr="006350D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prvého bodu </w:t>
      </w:r>
      <w:r w:rsidRPr="006350DA">
        <w:rPr>
          <w:rFonts w:ascii="Times New Roman" w:hAnsi="Times New Roman"/>
          <w:sz w:val="24"/>
          <w:szCs w:val="24"/>
        </w:rPr>
        <w:t xml:space="preserve">až </w:t>
      </w:r>
      <w:r>
        <w:rPr>
          <w:rFonts w:ascii="Times New Roman" w:hAnsi="Times New Roman"/>
          <w:sz w:val="24"/>
          <w:szCs w:val="24"/>
        </w:rPr>
        <w:t>ôsmeho bodu a</w:t>
      </w:r>
      <w:r w:rsidRPr="006350DA">
        <w:rPr>
          <w:rFonts w:ascii="Times New Roman" w:hAnsi="Times New Roman"/>
          <w:sz w:val="24"/>
          <w:szCs w:val="24"/>
        </w:rPr>
        <w:t xml:space="preserve"> § 38i a 38j </w:t>
      </w:r>
      <w:r>
        <w:rPr>
          <w:rFonts w:ascii="Times New Roman" w:hAnsi="Times New Roman"/>
          <w:sz w:val="24"/>
          <w:szCs w:val="24"/>
        </w:rPr>
        <w:t>v deviatom</w:t>
      </w:r>
      <w:r w:rsidRPr="006350DA">
        <w:rPr>
          <w:rFonts w:ascii="Times New Roman" w:hAnsi="Times New Roman"/>
          <w:sz w:val="24"/>
          <w:szCs w:val="24"/>
        </w:rPr>
        <w:t> bod</w:t>
      </w:r>
      <w:r>
        <w:rPr>
          <w:rFonts w:ascii="Times New Roman" w:hAnsi="Times New Roman"/>
          <w:sz w:val="24"/>
          <w:szCs w:val="24"/>
        </w:rPr>
        <w:t>e</w:t>
      </w:r>
      <w:r w:rsidRPr="006350DA">
        <w:rPr>
          <w:rFonts w:ascii="Times New Roman" w:hAnsi="Times New Roman"/>
          <w:sz w:val="24"/>
          <w:szCs w:val="24"/>
        </w:rPr>
        <w:t>, ktoré nadobúdajú účinnosť 1. januára 2025</w:t>
      </w:r>
      <w:r w:rsidRPr="00AE69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E8193F" w14:textId="3366E4EF" w:rsidR="00E33493" w:rsidRDefault="00E33493" w:rsidP="006037B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697F44" w14:textId="77777777" w:rsidR="00C04999" w:rsidRDefault="00C04999" w:rsidP="006037B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14:paraId="7B7DC0FB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4999">
        <w:rPr>
          <w:rFonts w:ascii="Times New Roman" w:eastAsia="Times New Roman" w:hAnsi="Times New Roman"/>
          <w:sz w:val="24"/>
          <w:szCs w:val="24"/>
        </w:rPr>
        <w:t>V Bratislave dňa 21. augusta 2024</w:t>
      </w:r>
    </w:p>
    <w:p w14:paraId="22615299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AA8357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D4638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BB33A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178C97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795280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EC395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4999">
        <w:rPr>
          <w:rFonts w:ascii="Times New Roman" w:eastAsia="Times New Roman" w:hAnsi="Times New Roman"/>
          <w:b/>
          <w:sz w:val="24"/>
          <w:szCs w:val="24"/>
        </w:rPr>
        <w:t>Robert Fico  v. r.</w:t>
      </w:r>
    </w:p>
    <w:p w14:paraId="0681DEC2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04999">
        <w:rPr>
          <w:rFonts w:ascii="Times New Roman" w:eastAsia="Times New Roman" w:hAnsi="Times New Roman"/>
          <w:sz w:val="24"/>
          <w:szCs w:val="24"/>
        </w:rPr>
        <w:t xml:space="preserve">predseda </w:t>
      </w:r>
      <w:r w:rsidRPr="00C04999">
        <w:rPr>
          <w:rFonts w:ascii="Times New Roman" w:hAnsi="Times New Roman"/>
          <w:sz w:val="24"/>
          <w:szCs w:val="24"/>
        </w:rPr>
        <w:t>vlády</w:t>
      </w:r>
    </w:p>
    <w:p w14:paraId="3F4B71B9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04999">
        <w:rPr>
          <w:rFonts w:ascii="Times New Roman" w:eastAsia="Times New Roman" w:hAnsi="Times New Roman"/>
          <w:sz w:val="24"/>
          <w:szCs w:val="24"/>
        </w:rPr>
        <w:t xml:space="preserve">Slovenskej </w:t>
      </w:r>
      <w:r w:rsidRPr="00C04999">
        <w:rPr>
          <w:rFonts w:ascii="Times New Roman" w:hAnsi="Times New Roman"/>
          <w:sz w:val="24"/>
          <w:szCs w:val="24"/>
        </w:rPr>
        <w:t>republiky</w:t>
      </w:r>
    </w:p>
    <w:p w14:paraId="4C56975B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F94D09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D16FA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37644F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1035B0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E89F0B" w14:textId="77777777" w:rsidR="00C04999" w:rsidRPr="00C04999" w:rsidRDefault="00C04999" w:rsidP="00C0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2A3771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4999">
        <w:rPr>
          <w:rFonts w:ascii="Times New Roman" w:eastAsia="Times New Roman" w:hAnsi="Times New Roman"/>
          <w:b/>
          <w:sz w:val="24"/>
          <w:szCs w:val="24"/>
        </w:rPr>
        <w:t>Erik Tomáš  v. r.</w:t>
      </w:r>
    </w:p>
    <w:p w14:paraId="359DF113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04999">
        <w:rPr>
          <w:rFonts w:ascii="Times New Roman" w:eastAsia="Times New Roman" w:hAnsi="Times New Roman"/>
          <w:sz w:val="24"/>
          <w:szCs w:val="24"/>
        </w:rPr>
        <w:t xml:space="preserve">minister práce, sociálnych </w:t>
      </w:r>
      <w:r w:rsidRPr="00C04999">
        <w:rPr>
          <w:rFonts w:ascii="Times New Roman" w:hAnsi="Times New Roman"/>
          <w:sz w:val="24"/>
          <w:szCs w:val="24"/>
        </w:rPr>
        <w:t>vecí</w:t>
      </w:r>
      <w:r w:rsidRPr="00C04999">
        <w:rPr>
          <w:rFonts w:ascii="Times New Roman" w:eastAsia="Times New Roman" w:hAnsi="Times New Roman"/>
          <w:sz w:val="24"/>
          <w:szCs w:val="24"/>
        </w:rPr>
        <w:t xml:space="preserve"> a rodiny</w:t>
      </w:r>
    </w:p>
    <w:p w14:paraId="073625AC" w14:textId="77777777" w:rsidR="00C04999" w:rsidRPr="00C04999" w:rsidRDefault="00C04999" w:rsidP="00C049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04999">
        <w:rPr>
          <w:rFonts w:ascii="Times New Roman" w:eastAsia="Times New Roman" w:hAnsi="Times New Roman"/>
          <w:sz w:val="24"/>
          <w:szCs w:val="24"/>
        </w:rPr>
        <w:t xml:space="preserve">Slovenskej </w:t>
      </w:r>
      <w:r w:rsidRPr="00C04999">
        <w:rPr>
          <w:rFonts w:ascii="Times New Roman" w:hAnsi="Times New Roman"/>
          <w:sz w:val="24"/>
          <w:szCs w:val="24"/>
        </w:rPr>
        <w:t>republiky</w:t>
      </w:r>
    </w:p>
    <w:p w14:paraId="021B800D" w14:textId="77777777" w:rsidR="00C04999" w:rsidRPr="00C7177C" w:rsidRDefault="00C04999" w:rsidP="006037B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C04999" w:rsidRPr="00C7177C" w:rsidSect="004259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33CE" w14:textId="77777777" w:rsidR="009F5707" w:rsidRDefault="009F5707" w:rsidP="00C03E68">
      <w:pPr>
        <w:spacing w:after="0" w:line="240" w:lineRule="auto"/>
      </w:pPr>
      <w:r>
        <w:separator/>
      </w:r>
    </w:p>
  </w:endnote>
  <w:endnote w:type="continuationSeparator" w:id="0">
    <w:p w14:paraId="38E66118" w14:textId="77777777" w:rsidR="009F5707" w:rsidRDefault="009F5707" w:rsidP="00C0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4082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D026F89" w14:textId="09486FC2" w:rsidR="00C03E68" w:rsidRPr="00C94B15" w:rsidRDefault="00C03E68">
        <w:pPr>
          <w:pStyle w:val="Pta"/>
          <w:jc w:val="center"/>
          <w:rPr>
            <w:rFonts w:ascii="Times New Roman" w:hAnsi="Times New Roman"/>
          </w:rPr>
        </w:pPr>
        <w:r w:rsidRPr="00C94B15">
          <w:rPr>
            <w:rFonts w:ascii="Times New Roman" w:hAnsi="Times New Roman"/>
          </w:rPr>
          <w:fldChar w:fldCharType="begin"/>
        </w:r>
        <w:r w:rsidRPr="00C94B15">
          <w:rPr>
            <w:rFonts w:ascii="Times New Roman" w:hAnsi="Times New Roman"/>
          </w:rPr>
          <w:instrText>PAGE   \* MERGEFORMAT</w:instrText>
        </w:r>
        <w:r w:rsidRPr="00C94B15">
          <w:rPr>
            <w:rFonts w:ascii="Times New Roman" w:hAnsi="Times New Roman"/>
          </w:rPr>
          <w:fldChar w:fldCharType="separate"/>
        </w:r>
        <w:r w:rsidR="00C04999">
          <w:rPr>
            <w:rFonts w:ascii="Times New Roman" w:hAnsi="Times New Roman"/>
            <w:noProof/>
          </w:rPr>
          <w:t>5</w:t>
        </w:r>
        <w:r w:rsidRPr="00C94B15">
          <w:rPr>
            <w:rFonts w:ascii="Times New Roman" w:hAnsi="Times New Roman"/>
          </w:rPr>
          <w:fldChar w:fldCharType="end"/>
        </w:r>
      </w:p>
    </w:sdtContent>
  </w:sdt>
  <w:p w14:paraId="389AE9EF" w14:textId="77777777" w:rsidR="00C03E68" w:rsidRDefault="00C03E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CE50" w14:textId="77777777" w:rsidR="009F5707" w:rsidRDefault="009F5707" w:rsidP="00C03E68">
      <w:pPr>
        <w:spacing w:after="0" w:line="240" w:lineRule="auto"/>
      </w:pPr>
      <w:r>
        <w:separator/>
      </w:r>
    </w:p>
  </w:footnote>
  <w:footnote w:type="continuationSeparator" w:id="0">
    <w:p w14:paraId="63B198C3" w14:textId="77777777" w:rsidR="009F5707" w:rsidRDefault="009F5707" w:rsidP="00C03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66F"/>
    <w:multiLevelType w:val="hybridMultilevel"/>
    <w:tmpl w:val="8A00AD2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671778"/>
    <w:multiLevelType w:val="hybridMultilevel"/>
    <w:tmpl w:val="9BA8F02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404A3E"/>
    <w:multiLevelType w:val="hybridMultilevel"/>
    <w:tmpl w:val="318C29E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387484C"/>
    <w:multiLevelType w:val="hybridMultilevel"/>
    <w:tmpl w:val="A2A41B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93"/>
    <w:rsid w:val="0004120E"/>
    <w:rsid w:val="0006069B"/>
    <w:rsid w:val="00076244"/>
    <w:rsid w:val="000809FF"/>
    <w:rsid w:val="000A2014"/>
    <w:rsid w:val="000C7018"/>
    <w:rsid w:val="000D1136"/>
    <w:rsid w:val="000F74F7"/>
    <w:rsid w:val="00131355"/>
    <w:rsid w:val="00164184"/>
    <w:rsid w:val="001D6258"/>
    <w:rsid w:val="001E052D"/>
    <w:rsid w:val="001E1C92"/>
    <w:rsid w:val="001F205B"/>
    <w:rsid w:val="00200B3D"/>
    <w:rsid w:val="00225183"/>
    <w:rsid w:val="00231DF3"/>
    <w:rsid w:val="0023343F"/>
    <w:rsid w:val="00250E5B"/>
    <w:rsid w:val="002640FE"/>
    <w:rsid w:val="00287CE5"/>
    <w:rsid w:val="002F68E0"/>
    <w:rsid w:val="00306F41"/>
    <w:rsid w:val="003133D7"/>
    <w:rsid w:val="003241C8"/>
    <w:rsid w:val="00356039"/>
    <w:rsid w:val="00392618"/>
    <w:rsid w:val="003C3A02"/>
    <w:rsid w:val="003C5337"/>
    <w:rsid w:val="004151E4"/>
    <w:rsid w:val="00420449"/>
    <w:rsid w:val="004B5CEC"/>
    <w:rsid w:val="004F1957"/>
    <w:rsid w:val="00524AB3"/>
    <w:rsid w:val="00561409"/>
    <w:rsid w:val="005646B8"/>
    <w:rsid w:val="005A4696"/>
    <w:rsid w:val="005B47A8"/>
    <w:rsid w:val="005B5898"/>
    <w:rsid w:val="005D5E7C"/>
    <w:rsid w:val="005E76E1"/>
    <w:rsid w:val="005F27C1"/>
    <w:rsid w:val="005F5FB2"/>
    <w:rsid w:val="006037BB"/>
    <w:rsid w:val="00622F11"/>
    <w:rsid w:val="006A09DD"/>
    <w:rsid w:val="006A6F5A"/>
    <w:rsid w:val="006C449A"/>
    <w:rsid w:val="006E7CAF"/>
    <w:rsid w:val="006F0155"/>
    <w:rsid w:val="006F4B34"/>
    <w:rsid w:val="00707A9C"/>
    <w:rsid w:val="007F3BAF"/>
    <w:rsid w:val="00830D08"/>
    <w:rsid w:val="008A3121"/>
    <w:rsid w:val="008A65D5"/>
    <w:rsid w:val="008B3CB4"/>
    <w:rsid w:val="008D7E31"/>
    <w:rsid w:val="008D7FA8"/>
    <w:rsid w:val="00915C3B"/>
    <w:rsid w:val="009C4241"/>
    <w:rsid w:val="009E6021"/>
    <w:rsid w:val="009F5707"/>
    <w:rsid w:val="00A01CE8"/>
    <w:rsid w:val="00A47D98"/>
    <w:rsid w:val="00A56762"/>
    <w:rsid w:val="00A92090"/>
    <w:rsid w:val="00A93286"/>
    <w:rsid w:val="00AA7276"/>
    <w:rsid w:val="00AB61C6"/>
    <w:rsid w:val="00AE28BC"/>
    <w:rsid w:val="00AE695A"/>
    <w:rsid w:val="00B17AAD"/>
    <w:rsid w:val="00B354F0"/>
    <w:rsid w:val="00B42EB4"/>
    <w:rsid w:val="00B949B8"/>
    <w:rsid w:val="00BF1D5B"/>
    <w:rsid w:val="00C03E68"/>
    <w:rsid w:val="00C04999"/>
    <w:rsid w:val="00C15861"/>
    <w:rsid w:val="00C25E87"/>
    <w:rsid w:val="00C42316"/>
    <w:rsid w:val="00C7177C"/>
    <w:rsid w:val="00C845F7"/>
    <w:rsid w:val="00C8639F"/>
    <w:rsid w:val="00C94B15"/>
    <w:rsid w:val="00CC2E49"/>
    <w:rsid w:val="00CC67F9"/>
    <w:rsid w:val="00CD0D1C"/>
    <w:rsid w:val="00CD14FC"/>
    <w:rsid w:val="00D03411"/>
    <w:rsid w:val="00D03B6B"/>
    <w:rsid w:val="00D20173"/>
    <w:rsid w:val="00D31CAC"/>
    <w:rsid w:val="00D74447"/>
    <w:rsid w:val="00D90DAD"/>
    <w:rsid w:val="00DB6098"/>
    <w:rsid w:val="00DC343A"/>
    <w:rsid w:val="00E3300F"/>
    <w:rsid w:val="00E33493"/>
    <w:rsid w:val="00E34CBC"/>
    <w:rsid w:val="00E41EC7"/>
    <w:rsid w:val="00E60C5E"/>
    <w:rsid w:val="00EB4AD4"/>
    <w:rsid w:val="00EC095D"/>
    <w:rsid w:val="00EC400F"/>
    <w:rsid w:val="00EE42F0"/>
    <w:rsid w:val="00F34053"/>
    <w:rsid w:val="00F340B5"/>
    <w:rsid w:val="00F6169D"/>
    <w:rsid w:val="00FA0821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F935"/>
  <w15:chartTrackingRefBased/>
  <w15:docId w15:val="{47D49BA1-15A4-49BD-8491-5146DC3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349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uiPriority w:val="99"/>
    <w:rsid w:val="00E33493"/>
    <w:rPr>
      <w:rFonts w:cs="Times New Roman"/>
    </w:rPr>
  </w:style>
  <w:style w:type="paragraph" w:styleId="Odsekzoznamu">
    <w:name w:val="List Paragraph"/>
    <w:basedOn w:val="Normlny"/>
    <w:uiPriority w:val="99"/>
    <w:qFormat/>
    <w:rsid w:val="00E33493"/>
    <w:pPr>
      <w:ind w:left="720"/>
      <w:contextualSpacing/>
    </w:pPr>
  </w:style>
  <w:style w:type="paragraph" w:customStyle="1" w:styleId="msonormal0">
    <w:name w:val="msonormal"/>
    <w:basedOn w:val="Normlny"/>
    <w:uiPriority w:val="99"/>
    <w:rsid w:val="00E33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E3349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33493"/>
    <w:pPr>
      <w:spacing w:after="0" w:line="240" w:lineRule="auto"/>
    </w:pPr>
    <w:rPr>
      <w:rFonts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3493"/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E3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493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rsid w:val="00E33493"/>
    <w:rPr>
      <w:rFonts w:cs="Times New Roman"/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3493"/>
    <w:pPr>
      <w:spacing w:after="160"/>
    </w:pPr>
    <w:rPr>
      <w:rFonts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3493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0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3E6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3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6F5F-2586-4394-8127-A671D0DE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Vároš Juraj</cp:lastModifiedBy>
  <cp:revision>18</cp:revision>
  <cp:lastPrinted>2024-04-26T07:27:00Z</cp:lastPrinted>
  <dcterms:created xsi:type="dcterms:W3CDTF">2024-04-26T06:24:00Z</dcterms:created>
  <dcterms:modified xsi:type="dcterms:W3CDTF">2024-08-20T12:53:00Z</dcterms:modified>
</cp:coreProperties>
</file>