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A72" w:rsidRPr="00F515AA" w:rsidRDefault="00924A72" w:rsidP="00CA43A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AA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924A72" w:rsidRDefault="00924A72" w:rsidP="00CA43A5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72"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:rsidR="00924A72" w:rsidRDefault="00924A72" w:rsidP="00CA43A5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A72" w:rsidRDefault="00924A72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A72" w:rsidRDefault="00CB4C8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405</w:t>
      </w:r>
    </w:p>
    <w:p w:rsidR="00924A72" w:rsidRDefault="00924A72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3A5" w:rsidRPr="00D6779B" w:rsidRDefault="00924A72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72">
        <w:rPr>
          <w:rFonts w:ascii="Times New Roman" w:hAnsi="Times New Roman" w:cs="Times New Roman"/>
          <w:b/>
          <w:sz w:val="24"/>
          <w:szCs w:val="24"/>
        </w:rPr>
        <w:t>VLÁDNY NÁV</w:t>
      </w:r>
      <w:bookmarkStart w:id="0" w:name="_GoBack"/>
      <w:bookmarkEnd w:id="0"/>
      <w:r w:rsidRPr="00924A72">
        <w:rPr>
          <w:rFonts w:ascii="Times New Roman" w:hAnsi="Times New Roman" w:cs="Times New Roman"/>
          <w:b/>
          <w:sz w:val="24"/>
          <w:szCs w:val="24"/>
        </w:rPr>
        <w:t>RH</w:t>
      </w:r>
    </w:p>
    <w:p w:rsidR="00924A72" w:rsidRDefault="00924A72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858" w:rsidRPr="00D6779B" w:rsidRDefault="00CA43A5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ZÁKON</w:t>
      </w:r>
    </w:p>
    <w:p w:rsidR="00CA43A5" w:rsidRPr="00D6779B" w:rsidRDefault="00CA43A5" w:rsidP="00CA43A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5858" w:rsidRPr="00924A72" w:rsidRDefault="0023585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72">
        <w:rPr>
          <w:rFonts w:ascii="Times New Roman" w:hAnsi="Times New Roman" w:cs="Times New Roman"/>
          <w:b/>
          <w:sz w:val="24"/>
          <w:szCs w:val="24"/>
        </w:rPr>
        <w:t>z ... 2024,</w:t>
      </w:r>
    </w:p>
    <w:p w:rsidR="00CA43A5" w:rsidRPr="00D6779B" w:rsidRDefault="00CA43A5" w:rsidP="00CA43A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515AA" w:rsidRDefault="0023585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 xml:space="preserve">ktorým sa mení a dopĺňa zákon Národnej rady Slovenskej republiky </w:t>
      </w:r>
    </w:p>
    <w:p w:rsidR="00F515AA" w:rsidRDefault="0023585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č. 171/1993 Z. z.</w:t>
      </w:r>
      <w:r w:rsidR="00CA43A5" w:rsidRPr="00D67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b/>
          <w:sz w:val="24"/>
          <w:szCs w:val="24"/>
        </w:rPr>
        <w:t>o Policajnom zbore v znení neskorších predpisov</w:t>
      </w:r>
    </w:p>
    <w:p w:rsidR="00235858" w:rsidRPr="00D6779B" w:rsidRDefault="0023585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a ktorým sa menia a dopĺňajú niektoré zákony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14613D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Národná rada Slovenskej republiky sa uzniesla na tomto zákone: 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986961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79B">
        <w:rPr>
          <w:rFonts w:ascii="Times New Roman" w:hAnsi="Times New Roman" w:cs="Times New Roman"/>
          <w:sz w:val="24"/>
          <w:szCs w:val="24"/>
        </w:rPr>
        <w:t xml:space="preserve">č. 490/2001 Z. z., zákona č. 48/2002 Z. z., zákona č. 182/2002 Z. z., zákona č. 422/2002 Z. z., zákona č. 155/2003 Z. z., zákona č. 166/2003 Z. z., zákona č. 458/2003 Z. z., zákona 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6779B">
        <w:rPr>
          <w:rFonts w:ascii="Times New Roman" w:hAnsi="Times New Roman" w:cs="Times New Roman"/>
          <w:sz w:val="24"/>
          <w:szCs w:val="24"/>
        </w:rPr>
        <w:t xml:space="preserve">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6779B">
        <w:rPr>
          <w:rFonts w:ascii="Times New Roman" w:hAnsi="Times New Roman" w:cs="Times New Roman"/>
          <w:sz w:val="24"/>
          <w:szCs w:val="24"/>
        </w:rPr>
        <w:t xml:space="preserve">č. 214/2009 Z. z., nálezu Ústavného súdu Slovenskej republiky č. 290/2009 Z. z., zákona 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779B">
        <w:rPr>
          <w:rFonts w:ascii="Times New Roman" w:hAnsi="Times New Roman" w:cs="Times New Roman"/>
          <w:sz w:val="24"/>
          <w:szCs w:val="24"/>
        </w:rPr>
        <w:t>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6779B">
        <w:rPr>
          <w:rFonts w:ascii="Times New Roman" w:hAnsi="Times New Roman" w:cs="Times New Roman"/>
          <w:sz w:val="24"/>
          <w:szCs w:val="24"/>
        </w:rPr>
        <w:t xml:space="preserve"> č. 35/2019 Z. z., zákona č. 395/2019 Z. z., zákona č. 217/2021 </w:t>
      </w:r>
      <w:r w:rsidR="00E84A77" w:rsidRPr="00D6779B">
        <w:rPr>
          <w:rFonts w:ascii="Times New Roman" w:hAnsi="Times New Roman" w:cs="Times New Roman"/>
          <w:sz w:val="24"/>
          <w:szCs w:val="24"/>
        </w:rPr>
        <w:t>Z. z., zákona č. 187/2022 Z. z.,</w:t>
      </w:r>
      <w:r w:rsidRPr="00D6779B">
        <w:rPr>
          <w:rFonts w:ascii="Times New Roman" w:hAnsi="Times New Roman" w:cs="Times New Roman"/>
          <w:sz w:val="24"/>
          <w:szCs w:val="24"/>
        </w:rPr>
        <w:t xml:space="preserve"> zákona č. 252/2022 Z. z. </w:t>
      </w:r>
      <w:r w:rsidR="00E84A77" w:rsidRPr="00D6779B">
        <w:rPr>
          <w:rFonts w:ascii="Times New Roman" w:hAnsi="Times New Roman" w:cs="Times New Roman"/>
          <w:sz w:val="24"/>
          <w:szCs w:val="24"/>
        </w:rPr>
        <w:t xml:space="preserve">a zákona č. 166/2024 Z. z. </w:t>
      </w:r>
      <w:r w:rsidRPr="00D6779B">
        <w:rPr>
          <w:rFonts w:ascii="Times New Roman" w:hAnsi="Times New Roman" w:cs="Times New Roman"/>
          <w:sz w:val="24"/>
          <w:szCs w:val="24"/>
        </w:rPr>
        <w:t>sa mení a dopĺňa takto: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4 sa dopĺňa odsekom 5, ktorý znie:</w:t>
      </w:r>
    </w:p>
    <w:p w:rsidR="00235858" w:rsidRPr="00D6779B" w:rsidRDefault="00235858" w:rsidP="00986961">
      <w:pPr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„(5) Útvarom Policajného zboru je aj úrad medzinárodnej policajnej spolupráce Prezídia Policajného zboru (ďalej len „úrad spolupráce“), ktorý </w:t>
      </w:r>
      <w:r w:rsidR="008A18A2" w:rsidRPr="00D6779B">
        <w:rPr>
          <w:rFonts w:ascii="Times New Roman" w:hAnsi="Times New Roman" w:cs="Times New Roman"/>
          <w:sz w:val="24"/>
          <w:szCs w:val="24"/>
        </w:rPr>
        <w:t xml:space="preserve">v postavení jednotného kontaktného miesta </w:t>
      </w:r>
      <w:r w:rsidRPr="00D6779B">
        <w:rPr>
          <w:rFonts w:ascii="Times New Roman" w:hAnsi="Times New Roman" w:cs="Times New Roman"/>
          <w:sz w:val="24"/>
          <w:szCs w:val="24"/>
        </w:rPr>
        <w:t>plní úlohy podľa piatej hlavy a iné úlohy urč</w:t>
      </w:r>
      <w:r w:rsidR="005340C7" w:rsidRPr="00D6779B">
        <w:rPr>
          <w:rFonts w:ascii="Times New Roman" w:hAnsi="Times New Roman" w:cs="Times New Roman"/>
          <w:sz w:val="24"/>
          <w:szCs w:val="24"/>
        </w:rPr>
        <w:t>ené podľa odseku 2. Organizačnými súčasťami</w:t>
      </w:r>
      <w:r w:rsidRPr="00D6779B">
        <w:rPr>
          <w:rFonts w:ascii="Times New Roman" w:hAnsi="Times New Roman" w:cs="Times New Roman"/>
          <w:sz w:val="24"/>
          <w:szCs w:val="24"/>
        </w:rPr>
        <w:t xml:space="preserve"> úradu spolupráce </w:t>
      </w:r>
      <w:r w:rsidR="005340C7" w:rsidRPr="00D6779B">
        <w:rPr>
          <w:rFonts w:ascii="Times New Roman" w:hAnsi="Times New Roman" w:cs="Times New Roman"/>
          <w:sz w:val="24"/>
          <w:szCs w:val="24"/>
        </w:rPr>
        <w:t>sú</w:t>
      </w:r>
      <w:r w:rsidRPr="00D6779B">
        <w:rPr>
          <w:rFonts w:ascii="Times New Roman" w:hAnsi="Times New Roman" w:cs="Times New Roman"/>
          <w:sz w:val="24"/>
          <w:szCs w:val="24"/>
        </w:rPr>
        <w:t xml:space="preserve"> národná ústredňa Europol, národná ústredňa In</w:t>
      </w:r>
      <w:r w:rsidR="005340C7" w:rsidRPr="00D6779B">
        <w:rPr>
          <w:rFonts w:ascii="Times New Roman" w:hAnsi="Times New Roman" w:cs="Times New Roman"/>
          <w:sz w:val="24"/>
          <w:szCs w:val="24"/>
        </w:rPr>
        <w:t>terpol, národná ústredňa SIRENE</w:t>
      </w:r>
      <w:r w:rsidRPr="00D6779B">
        <w:rPr>
          <w:rFonts w:ascii="Times New Roman" w:hAnsi="Times New Roman" w:cs="Times New Roman"/>
          <w:sz w:val="24"/>
          <w:szCs w:val="24"/>
        </w:rPr>
        <w:t xml:space="preserve"> a iné útvary určené podľa odseku 2.“.</w:t>
      </w:r>
    </w:p>
    <w:p w:rsidR="00235858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Default="00F515AA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Pr="00D6779B" w:rsidRDefault="00F515AA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726B0C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 xml:space="preserve">V </w:t>
      </w:r>
      <w:r w:rsidR="00235858" w:rsidRPr="00D6779B">
        <w:rPr>
          <w:rFonts w:ascii="Times New Roman" w:hAnsi="Times New Roman" w:cs="Times New Roman"/>
          <w:sz w:val="24"/>
          <w:szCs w:val="24"/>
        </w:rPr>
        <w:t>§ 69 odsek 1 znie:</w:t>
      </w:r>
    </w:p>
    <w:p w:rsidR="00235858" w:rsidRPr="00D6779B" w:rsidRDefault="00235858" w:rsidP="00986961">
      <w:pPr>
        <w:ind w:left="426" w:firstLine="28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„(1) Policajný zbor spracúva podľa tohto zákona a osobitn</w:t>
      </w:r>
      <w:r w:rsidR="00EF6728">
        <w:rPr>
          <w:rFonts w:ascii="Times New Roman" w:hAnsi="Times New Roman" w:cs="Times New Roman"/>
          <w:sz w:val="24"/>
          <w:szCs w:val="24"/>
        </w:rPr>
        <w:t>ých</w:t>
      </w:r>
      <w:r w:rsidRPr="00D6779B">
        <w:rPr>
          <w:rFonts w:ascii="Times New Roman" w:hAnsi="Times New Roman" w:cs="Times New Roman"/>
          <w:sz w:val="24"/>
          <w:szCs w:val="24"/>
        </w:rPr>
        <w:t xml:space="preserve"> predpis</w:t>
      </w:r>
      <w:r w:rsidR="00EF6728">
        <w:rPr>
          <w:rFonts w:ascii="Times New Roman" w:hAnsi="Times New Roman" w:cs="Times New Roman"/>
          <w:sz w:val="24"/>
          <w:szCs w:val="24"/>
        </w:rPr>
        <w:t>ov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11bc</w:t>
      </w:r>
      <w:r w:rsidRPr="00D6779B">
        <w:rPr>
          <w:rFonts w:ascii="Times New Roman" w:hAnsi="Times New Roman" w:cs="Times New Roman"/>
          <w:sz w:val="24"/>
          <w:szCs w:val="24"/>
        </w:rPr>
        <w:t>) informácie, osobné údaje, daktyloskopické údaje a snímky tvárí zhromaždené pri plnení úloh Policajného zboru vrátane informácií, osobných údajov, daktyloskopických údajov a snímok tvárí poskytnutých zo zahraničia v rozsahu nevyhnutnom  na ich plnenie.“.</w:t>
      </w:r>
    </w:p>
    <w:p w:rsidR="000A4F12" w:rsidRPr="00D6779B" w:rsidRDefault="000A4F12" w:rsidP="000A4F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F12" w:rsidRPr="00D6779B" w:rsidRDefault="000A4F12" w:rsidP="000A4F12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 odkazu 11bc znie:</w:t>
      </w:r>
    </w:p>
    <w:p w:rsidR="000A4F12" w:rsidRPr="00D6779B" w:rsidRDefault="000A4F12" w:rsidP="000A4F12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11bc</w:t>
      </w:r>
      <w:r w:rsidRPr="00D6779B">
        <w:rPr>
          <w:rFonts w:ascii="Times New Roman" w:hAnsi="Times New Roman" w:cs="Times New Roman"/>
          <w:sz w:val="24"/>
          <w:szCs w:val="24"/>
        </w:rPr>
        <w:t>) Nariadenie Európskeho parlamentu a Rady (EÚ) 2016/679 z 27. apríla 2016 o ochrane fyzických osôb pri spracúvaní osobných údajov a o voľnom pohybe takýchto údajov, ktorým sa zrušuje smernica 95/46/ES (všeobecné nariadenie o ochrane údajov) (Ú. v. EÚ L 119, 4. 5. 2016).</w:t>
      </w:r>
    </w:p>
    <w:p w:rsidR="000A4F12" w:rsidRPr="00D6779B" w:rsidRDefault="000A4F12" w:rsidP="000A4F12">
      <w:pPr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Zákon č. 18/2018 Z. z. o ochrane osobných údajov a o zmene a doplnení niektorých zákonov v znení neskorších predpisov.</w:t>
      </w:r>
      <w:r w:rsidR="00A10CF8" w:rsidRPr="00D6779B">
        <w:rPr>
          <w:rFonts w:ascii="Times New Roman" w:hAnsi="Times New Roman" w:cs="Times New Roman"/>
          <w:sz w:val="24"/>
          <w:szCs w:val="24"/>
        </w:rPr>
        <w:t>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 § 69 ods. 4 sa slovo „69da“ nahrádza slovom „69ga“.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69da sa vypúšťa.</w:t>
      </w:r>
    </w:p>
    <w:p w:rsidR="00CA43A5" w:rsidRPr="00D6779B" w:rsidRDefault="00CA43A5" w:rsidP="00CA43A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 odkazu 27e sa vypúšťa.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 štvrtú hlavu sa vkladá nová piata hlava, ktorá vrátane nadpisu znie: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„PIATA HLAVA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VÝMENA INFORMÁCII MEDZI ORGÁNMI PRESADZOVANIA PRÁVA ČLENSKÝCH ŠTÁTOV EURÓPSKEJ ÚNIE</w:t>
      </w:r>
    </w:p>
    <w:p w:rsidR="003C024C" w:rsidRPr="00D6779B" w:rsidRDefault="003C024C" w:rsidP="003C024C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C024C" w:rsidRPr="00D6779B" w:rsidRDefault="003C024C" w:rsidP="003C024C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Základné ustanovenia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69ga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EF6728" w:rsidP="00862834">
      <w:pPr>
        <w:pStyle w:val="Odsekzoznamu"/>
        <w:numPr>
          <w:ilvl w:val="0"/>
          <w:numId w:val="7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Ustanovenia tejto hlavy upravujú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výmenu informácií medzi členskými štátmi Európskej únie na účely predchádzania a odhaľovania trestných činov, za ktoré možno uložiť trest odňatia slobody v trvaní viac ako jeden rok, zisťovania páchateľov týchto trestných činov a vyšetrovania týchto trestných činov. </w:t>
      </w:r>
    </w:p>
    <w:p w:rsidR="00235858" w:rsidRPr="00D6779B" w:rsidRDefault="00235858" w:rsidP="00862834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EF6728" w:rsidP="00862834">
      <w:pPr>
        <w:pStyle w:val="Odsekzoznamu"/>
        <w:numPr>
          <w:ilvl w:val="0"/>
          <w:numId w:val="7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Ustanoveniami tejto hlavy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nie sú dotknuté osobitné predpisy o medzinárodnej policajnej alebo colnej spolupráci a medzinárodnej justičnej spolupráci v trestných veciach.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27eba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862834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862834" w:rsidP="00862834">
      <w:pPr>
        <w:pStyle w:val="Odsekzoznamu"/>
        <w:numPr>
          <w:ilvl w:val="0"/>
          <w:numId w:val="7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Na účely tejto hlavy sa z</w:t>
      </w:r>
      <w:r w:rsidR="00235858" w:rsidRPr="00D6779B">
        <w:rPr>
          <w:rFonts w:ascii="Times New Roman" w:hAnsi="Times New Roman" w:cs="Times New Roman"/>
          <w:sz w:val="24"/>
          <w:szCs w:val="24"/>
        </w:rPr>
        <w:t>a členský štát Európskej únie považuje aj tretí štát podľa medzinárodnej zmluvy.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27ea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862834" w:rsidRPr="00D6779B" w:rsidRDefault="00862834" w:rsidP="00862834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2834" w:rsidRPr="00D6779B" w:rsidRDefault="00862834" w:rsidP="00862834">
      <w:pPr>
        <w:pStyle w:val="Odsekzoznamu"/>
        <w:numPr>
          <w:ilvl w:val="0"/>
          <w:numId w:val="7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zabezpečuje plnenie úloh podľa tejto hlavy nepretržitým spôsobom.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</w:t>
      </w:r>
      <w:r w:rsidR="00671F37" w:rsidRPr="00D6779B">
        <w:rPr>
          <w:rFonts w:ascii="Times New Roman" w:hAnsi="Times New Roman" w:cs="Times New Roman"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sz w:val="24"/>
          <w:szCs w:val="24"/>
        </w:rPr>
        <w:t>69gb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B0C" w:rsidRPr="00D6779B" w:rsidRDefault="00726B0C" w:rsidP="00726B0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Na účely tejto hlavy sa rozumie</w:t>
      </w:r>
    </w:p>
    <w:p w:rsidR="00235858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i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nformáciou akýkoľvek obsah týkajúci sa jednej alebo viacerých osôb, skutočností alebo okolností, ktoré sú relevantné pre orgány presadzovania práva na účely </w:t>
      </w:r>
      <w:r w:rsidR="00A74349" w:rsidRPr="00D6779B">
        <w:rPr>
          <w:rFonts w:ascii="Times New Roman" w:hAnsi="Times New Roman" w:cs="Times New Roman"/>
          <w:sz w:val="24"/>
          <w:szCs w:val="24"/>
        </w:rPr>
        <w:t xml:space="preserve">plnenia 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ich úloh </w:t>
      </w:r>
      <w:r w:rsidR="00A74349" w:rsidRPr="00D6779B">
        <w:rPr>
          <w:rFonts w:ascii="Times New Roman" w:hAnsi="Times New Roman" w:cs="Times New Roman"/>
          <w:sz w:val="24"/>
          <w:szCs w:val="24"/>
        </w:rPr>
        <w:t xml:space="preserve">pri </w:t>
      </w:r>
      <w:r w:rsidR="00235858" w:rsidRPr="00D6779B">
        <w:rPr>
          <w:rFonts w:ascii="Times New Roman" w:hAnsi="Times New Roman" w:cs="Times New Roman"/>
          <w:sz w:val="24"/>
          <w:szCs w:val="24"/>
        </w:rPr>
        <w:t>predchádzan</w:t>
      </w:r>
      <w:r w:rsidR="00A74349" w:rsidRPr="00D6779B">
        <w:rPr>
          <w:rFonts w:ascii="Times New Roman" w:hAnsi="Times New Roman" w:cs="Times New Roman"/>
          <w:sz w:val="24"/>
          <w:szCs w:val="24"/>
        </w:rPr>
        <w:t xml:space="preserve">í </w:t>
      </w:r>
      <w:r w:rsidR="00235858" w:rsidRPr="00D6779B">
        <w:rPr>
          <w:rFonts w:ascii="Times New Roman" w:hAnsi="Times New Roman" w:cs="Times New Roman"/>
          <w:sz w:val="24"/>
          <w:szCs w:val="24"/>
        </w:rPr>
        <w:t>trestným činom, ich</w:t>
      </w:r>
      <w:r w:rsidRPr="00D6779B">
        <w:rPr>
          <w:rFonts w:ascii="Times New Roman" w:hAnsi="Times New Roman" w:cs="Times New Roman"/>
          <w:sz w:val="24"/>
          <w:szCs w:val="24"/>
        </w:rPr>
        <w:t xml:space="preserve"> odhaľovan</w:t>
      </w:r>
      <w:r w:rsidR="00A74349" w:rsidRPr="00D6779B">
        <w:rPr>
          <w:rFonts w:ascii="Times New Roman" w:hAnsi="Times New Roman" w:cs="Times New Roman"/>
          <w:sz w:val="24"/>
          <w:szCs w:val="24"/>
        </w:rPr>
        <w:t>í</w:t>
      </w:r>
      <w:r w:rsidRPr="00D6779B">
        <w:rPr>
          <w:rFonts w:ascii="Times New Roman" w:hAnsi="Times New Roman" w:cs="Times New Roman"/>
          <w:sz w:val="24"/>
          <w:szCs w:val="24"/>
        </w:rPr>
        <w:t xml:space="preserve"> alebo vyšetrovan</w:t>
      </w:r>
      <w:r w:rsidR="00A74349" w:rsidRPr="00D6779B">
        <w:rPr>
          <w:rFonts w:ascii="Times New Roman" w:hAnsi="Times New Roman" w:cs="Times New Roman"/>
          <w:sz w:val="24"/>
          <w:szCs w:val="24"/>
        </w:rPr>
        <w:t>í</w:t>
      </w:r>
      <w:r w:rsidRPr="00D6779B">
        <w:rPr>
          <w:rFonts w:ascii="Times New Roman" w:hAnsi="Times New Roman" w:cs="Times New Roman"/>
          <w:sz w:val="24"/>
          <w:szCs w:val="24"/>
        </w:rPr>
        <w:t>,</w:t>
      </w:r>
    </w:p>
    <w:p w:rsidR="00235858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dostupnou informáciou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sz w:val="24"/>
          <w:szCs w:val="24"/>
        </w:rPr>
        <w:t>priamo dostupná informácia a nepriamo dostupná informácia,</w:t>
      </w:r>
    </w:p>
    <w:p w:rsidR="00726B0C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priamo dostupnou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sz w:val="24"/>
          <w:szCs w:val="24"/>
        </w:rPr>
        <w:t>informáciou informácia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uchovávan</w:t>
      </w:r>
      <w:r w:rsidRPr="00D6779B">
        <w:rPr>
          <w:rFonts w:ascii="Times New Roman" w:hAnsi="Times New Roman" w:cs="Times New Roman"/>
          <w:sz w:val="24"/>
          <w:szCs w:val="24"/>
        </w:rPr>
        <w:t xml:space="preserve">á </w:t>
      </w:r>
      <w:r w:rsidR="007C42E1" w:rsidRPr="00D6779B">
        <w:rPr>
          <w:rFonts w:ascii="Times New Roman" w:hAnsi="Times New Roman" w:cs="Times New Roman"/>
          <w:sz w:val="24"/>
          <w:szCs w:val="24"/>
        </w:rPr>
        <w:t xml:space="preserve">v informačných systémoch, </w:t>
      </w:r>
      <w:r w:rsidR="00235858" w:rsidRPr="00D6779B">
        <w:rPr>
          <w:rFonts w:ascii="Times New Roman" w:hAnsi="Times New Roman" w:cs="Times New Roman"/>
          <w:sz w:val="24"/>
          <w:szCs w:val="24"/>
        </w:rPr>
        <w:t>ku ktorým má úrad spolupráce priamy prístup</w:t>
      </w:r>
      <w:r w:rsidRPr="00D6779B">
        <w:rPr>
          <w:rFonts w:ascii="Times New Roman" w:hAnsi="Times New Roman" w:cs="Times New Roman"/>
          <w:sz w:val="24"/>
          <w:szCs w:val="24"/>
        </w:rPr>
        <w:t>,</w:t>
      </w:r>
    </w:p>
    <w:p w:rsidR="00726B0C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nepriamo dostupnou informáciou informácia</w:t>
      </w:r>
      <w:r w:rsidR="00235858" w:rsidRPr="00D6779B">
        <w:rPr>
          <w:rFonts w:ascii="Times New Roman" w:hAnsi="Times New Roman" w:cs="Times New Roman"/>
          <w:sz w:val="24"/>
          <w:szCs w:val="24"/>
        </w:rPr>
        <w:t>, kto</w:t>
      </w:r>
      <w:r w:rsidRPr="00D6779B">
        <w:rPr>
          <w:rFonts w:ascii="Times New Roman" w:hAnsi="Times New Roman" w:cs="Times New Roman"/>
          <w:sz w:val="24"/>
          <w:szCs w:val="24"/>
        </w:rPr>
        <w:t>rú</w:t>
      </w:r>
      <w:r w:rsidR="007C42E1" w:rsidRPr="00D6779B">
        <w:rPr>
          <w:rFonts w:ascii="Times New Roman" w:hAnsi="Times New Roman" w:cs="Times New Roman"/>
          <w:sz w:val="24"/>
          <w:szCs w:val="24"/>
        </w:rPr>
        <w:t xml:space="preserve"> môže úrad spolupráce získať </w:t>
      </w:r>
      <w:r w:rsidR="00862834" w:rsidRPr="00D6779B">
        <w:rPr>
          <w:rFonts w:ascii="Times New Roman" w:hAnsi="Times New Roman" w:cs="Times New Roman"/>
          <w:sz w:val="24"/>
          <w:szCs w:val="24"/>
        </w:rPr>
        <w:t>iným sp</w:t>
      </w:r>
      <w:r w:rsidRPr="00D6779B">
        <w:rPr>
          <w:rFonts w:ascii="Times New Roman" w:hAnsi="Times New Roman" w:cs="Times New Roman"/>
          <w:sz w:val="24"/>
          <w:szCs w:val="24"/>
        </w:rPr>
        <w:t xml:space="preserve">ôsobom ako je uvedený v písmene </w:t>
      </w:r>
      <w:r w:rsidR="00A74349" w:rsidRPr="00D6779B">
        <w:rPr>
          <w:rFonts w:ascii="Times New Roman" w:hAnsi="Times New Roman" w:cs="Times New Roman"/>
          <w:sz w:val="24"/>
          <w:szCs w:val="24"/>
        </w:rPr>
        <w:t>c</w:t>
      </w:r>
      <w:r w:rsidRPr="00D6779B">
        <w:rPr>
          <w:rFonts w:ascii="Times New Roman" w:hAnsi="Times New Roman" w:cs="Times New Roman"/>
          <w:sz w:val="24"/>
          <w:szCs w:val="24"/>
        </w:rPr>
        <w:t>),</w:t>
      </w:r>
    </w:p>
    <w:p w:rsidR="00235858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k</w:t>
      </w:r>
      <w:r w:rsidR="00235858" w:rsidRPr="00D6779B">
        <w:rPr>
          <w:rFonts w:ascii="Times New Roman" w:hAnsi="Times New Roman" w:cs="Times New Roman"/>
          <w:sz w:val="24"/>
          <w:szCs w:val="24"/>
        </w:rPr>
        <w:t>omunikačným kanálom SIENA zabezpečená aplikácia Europolu podľa osobitného predpisu</w:t>
      </w:r>
      <w:r w:rsidRPr="00D6779B">
        <w:rPr>
          <w:rFonts w:ascii="Times New Roman" w:hAnsi="Times New Roman" w:cs="Times New Roman"/>
          <w:sz w:val="24"/>
          <w:szCs w:val="24"/>
        </w:rPr>
        <w:t>,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27ebb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726B0C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orgánom presadzovania práva Policajný zbor</w:t>
      </w:r>
      <w:r w:rsidR="00B01BF8" w:rsidRPr="00D6779B">
        <w:rPr>
          <w:rFonts w:ascii="Times New Roman" w:hAnsi="Times New Roman" w:cs="Times New Roman"/>
          <w:sz w:val="24"/>
          <w:szCs w:val="24"/>
        </w:rPr>
        <w:t xml:space="preserve"> okrem úradu spolupráce</w:t>
      </w:r>
      <w:r w:rsidRPr="00D6779B">
        <w:rPr>
          <w:rFonts w:ascii="Times New Roman" w:hAnsi="Times New Roman" w:cs="Times New Roman"/>
          <w:sz w:val="24"/>
          <w:szCs w:val="24"/>
        </w:rPr>
        <w:t>, Zbor väzenskej a justičnej stráže, Kriminálny úrad finančnej správy a Vojenská polícia,</w:t>
      </w:r>
    </w:p>
    <w:p w:rsidR="00726B0C" w:rsidRPr="00D6779B" w:rsidRDefault="00726B0C" w:rsidP="00726B0C">
      <w:pPr>
        <w:pStyle w:val="Odsekzoznamu"/>
        <w:numPr>
          <w:ilvl w:val="0"/>
          <w:numId w:val="30"/>
        </w:numPr>
        <w:tabs>
          <w:tab w:val="left" w:pos="1134"/>
        </w:tabs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orgánom presadzovania práva členského štátu orgán iného členského štátu Európskej únie, ktorý je oprávnený na predchádzanie a odhaľovanie trestných činov, zisťovanie páchateľov trestných činov a vyšetrovanie trestných činov.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69gc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Žiadanie informácií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726B0C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</w:t>
      </w:r>
      <w:r w:rsidR="00235858" w:rsidRPr="00D6779B">
        <w:rPr>
          <w:rFonts w:ascii="Times New Roman" w:hAnsi="Times New Roman" w:cs="Times New Roman"/>
          <w:sz w:val="24"/>
          <w:szCs w:val="24"/>
        </w:rPr>
        <w:t>rgán presadzovania práva</w:t>
      </w:r>
      <w:r w:rsidRPr="00D6779B">
        <w:rPr>
          <w:rFonts w:ascii="Times New Roman" w:hAnsi="Times New Roman" w:cs="Times New Roman"/>
          <w:sz w:val="24"/>
          <w:szCs w:val="24"/>
        </w:rPr>
        <w:t xml:space="preserve"> je</w:t>
      </w:r>
      <w:r w:rsidR="00B01BF8" w:rsidRPr="00D6779B">
        <w:rPr>
          <w:rFonts w:ascii="Times New Roman" w:hAnsi="Times New Roman" w:cs="Times New Roman"/>
          <w:sz w:val="24"/>
          <w:szCs w:val="24"/>
        </w:rPr>
        <w:t xml:space="preserve"> oprá</w:t>
      </w:r>
      <w:r w:rsidR="00235858" w:rsidRPr="00D6779B">
        <w:rPr>
          <w:rFonts w:ascii="Times New Roman" w:hAnsi="Times New Roman" w:cs="Times New Roman"/>
          <w:sz w:val="24"/>
          <w:szCs w:val="24"/>
        </w:rPr>
        <w:t>v</w:t>
      </w:r>
      <w:r w:rsidR="00B01BF8" w:rsidRPr="00D6779B">
        <w:rPr>
          <w:rFonts w:ascii="Times New Roman" w:hAnsi="Times New Roman" w:cs="Times New Roman"/>
          <w:sz w:val="24"/>
          <w:szCs w:val="24"/>
        </w:rPr>
        <w:t>n</w:t>
      </w:r>
      <w:r w:rsidR="00235858" w:rsidRPr="00D6779B">
        <w:rPr>
          <w:rFonts w:ascii="Times New Roman" w:hAnsi="Times New Roman" w:cs="Times New Roman"/>
          <w:sz w:val="24"/>
          <w:szCs w:val="24"/>
        </w:rPr>
        <w:t>en</w:t>
      </w:r>
      <w:r w:rsidRPr="00D6779B">
        <w:rPr>
          <w:rFonts w:ascii="Times New Roman" w:hAnsi="Times New Roman" w:cs="Times New Roman"/>
          <w:sz w:val="24"/>
          <w:szCs w:val="24"/>
        </w:rPr>
        <w:t>ý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žiadať o informácie iný členský štát Európskej únie prostredníctvom úradu spolupráce na základe písomnej žiadosti.</w:t>
      </w:r>
    </w:p>
    <w:p w:rsidR="00235858" w:rsidRPr="00D6779B" w:rsidRDefault="00235858" w:rsidP="00BD12E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Žiadosť o poskytnutie informácií podľa odseku 1 musí obsahovať údaje, ktoré umožnia jej primerané a rýchle spracovanie</w:t>
      </w:r>
      <w:r w:rsidR="0062638E" w:rsidRPr="00D6779B">
        <w:rPr>
          <w:rFonts w:ascii="Times New Roman" w:hAnsi="Times New Roman" w:cs="Times New Roman"/>
          <w:sz w:val="24"/>
          <w:szCs w:val="24"/>
        </w:rPr>
        <w:t>,</w:t>
      </w:r>
      <w:r w:rsidRPr="00D6779B">
        <w:rPr>
          <w:rFonts w:ascii="Times New Roman" w:hAnsi="Times New Roman" w:cs="Times New Roman"/>
          <w:sz w:val="24"/>
          <w:szCs w:val="24"/>
        </w:rPr>
        <w:t xml:space="preserve"> najmä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definovanie požadovaných informácií, 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opis účelu, na ktorý sa informácie požadujú</w:t>
      </w:r>
      <w:r w:rsidR="00A74349" w:rsidRPr="00D6779B">
        <w:rPr>
          <w:rFonts w:ascii="Times New Roman" w:hAnsi="Times New Roman" w:cs="Times New Roman"/>
          <w:sz w:val="24"/>
          <w:szCs w:val="24"/>
        </w:rPr>
        <w:t>,</w:t>
      </w:r>
      <w:r w:rsidRPr="00D6779B">
        <w:rPr>
          <w:rFonts w:ascii="Times New Roman" w:hAnsi="Times New Roman" w:cs="Times New Roman"/>
          <w:sz w:val="24"/>
          <w:szCs w:val="24"/>
        </w:rPr>
        <w:t xml:space="preserve"> vrátane trestnoprávnej kvalifikácie a opisu skutku, 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objektívne dôvody, na základe ktorých orgán presadzovania práva predpokladá, že požadované informácie sú k dispozícii dožiadanému členskému štátu Európskej únie,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definovanie vzťahu medzi účelom, na ktorý sa informácie požadujú a osobou alebo subjektom, ktorých sa týkajú, ak je to potrebné,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dôvody naliehavosti žiadosti v súlade s odsekom 4, </w:t>
      </w:r>
    </w:p>
    <w:p w:rsidR="00235858" w:rsidRPr="00D6779B" w:rsidRDefault="00235858" w:rsidP="00BD12EA">
      <w:pPr>
        <w:pStyle w:val="Odsekzoznamu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obmedze</w:t>
      </w:r>
      <w:r w:rsidR="000A4F12" w:rsidRPr="00D6779B">
        <w:rPr>
          <w:rFonts w:ascii="Times New Roman" w:hAnsi="Times New Roman" w:cs="Times New Roman"/>
          <w:sz w:val="24"/>
          <w:szCs w:val="24"/>
        </w:rPr>
        <w:t>nie</w:t>
      </w:r>
      <w:r w:rsidRPr="00D6779B">
        <w:rPr>
          <w:rFonts w:ascii="Times New Roman" w:hAnsi="Times New Roman" w:cs="Times New Roman"/>
          <w:sz w:val="24"/>
          <w:szCs w:val="24"/>
        </w:rPr>
        <w:t xml:space="preserve"> používania informácií uvedených v</w:t>
      </w:r>
      <w:r w:rsidR="008A0F77" w:rsidRPr="00D6779B">
        <w:rPr>
          <w:rFonts w:ascii="Times New Roman" w:hAnsi="Times New Roman" w:cs="Times New Roman"/>
          <w:sz w:val="24"/>
          <w:szCs w:val="24"/>
        </w:rPr>
        <w:t> </w:t>
      </w:r>
      <w:r w:rsidRPr="00D6779B">
        <w:rPr>
          <w:rFonts w:ascii="Times New Roman" w:hAnsi="Times New Roman" w:cs="Times New Roman"/>
          <w:sz w:val="24"/>
          <w:szCs w:val="24"/>
        </w:rPr>
        <w:t>žiadosti</w:t>
      </w:r>
      <w:r w:rsidR="008A0F77" w:rsidRPr="00D6779B">
        <w:rPr>
          <w:rFonts w:ascii="Times New Roman" w:hAnsi="Times New Roman" w:cs="Times New Roman"/>
          <w:sz w:val="24"/>
          <w:szCs w:val="24"/>
        </w:rPr>
        <w:t xml:space="preserve"> na</w:t>
      </w:r>
      <w:r w:rsidRPr="00D6779B">
        <w:rPr>
          <w:rFonts w:ascii="Times New Roman" w:hAnsi="Times New Roman" w:cs="Times New Roman"/>
          <w:sz w:val="24"/>
          <w:szCs w:val="24"/>
        </w:rPr>
        <w:t xml:space="preserve"> iný účel, </w:t>
      </w:r>
      <w:r w:rsidR="00CA6995" w:rsidRPr="00D6779B">
        <w:rPr>
          <w:rFonts w:ascii="Times New Roman" w:hAnsi="Times New Roman" w:cs="Times New Roman"/>
          <w:sz w:val="24"/>
          <w:szCs w:val="24"/>
        </w:rPr>
        <w:t>ako</w:t>
      </w:r>
      <w:r w:rsidRPr="00D6779B">
        <w:rPr>
          <w:rFonts w:ascii="Times New Roman" w:hAnsi="Times New Roman" w:cs="Times New Roman"/>
          <w:sz w:val="24"/>
          <w:szCs w:val="24"/>
        </w:rPr>
        <w:t xml:space="preserve"> na ktor</w:t>
      </w:r>
      <w:r w:rsidR="00EF6728">
        <w:rPr>
          <w:rFonts w:ascii="Times New Roman" w:hAnsi="Times New Roman" w:cs="Times New Roman"/>
          <w:sz w:val="24"/>
          <w:szCs w:val="24"/>
        </w:rPr>
        <w:t>ý</w:t>
      </w:r>
      <w:r w:rsidRPr="00D6779B">
        <w:rPr>
          <w:rFonts w:ascii="Times New Roman" w:hAnsi="Times New Roman" w:cs="Times New Roman"/>
          <w:sz w:val="24"/>
          <w:szCs w:val="24"/>
        </w:rPr>
        <w:t xml:space="preserve"> boli požadované.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pred zaslaním žiadosti inému členskému štátu Európskej únie v súčinnosti s orgánom presadzovania práva, ktorý ju zaslal, posúdi súlad žiadosti s odsekom 2.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označí žiadosť ako naliehavú, ak na základe dôvodov uvedených v žiadosti podľa odseku 2 písm. e) existuje</w:t>
      </w:r>
    </w:p>
    <w:p w:rsidR="00235858" w:rsidRPr="00D6779B" w:rsidRDefault="00235858" w:rsidP="00BD12EA">
      <w:pPr>
        <w:pStyle w:val="Odsekzoznamu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bezprostredné a vážne ohrozenie verejnej bezpečnosti,</w:t>
      </w:r>
    </w:p>
    <w:p w:rsidR="00235858" w:rsidRPr="00D6779B" w:rsidRDefault="00235858" w:rsidP="00BD12EA">
      <w:pPr>
        <w:pStyle w:val="Odsekzoznamu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bezprostredné ohrozenie života alebo zdravia fyzickej osoby,</w:t>
      </w:r>
    </w:p>
    <w:p w:rsidR="00235858" w:rsidRPr="00D6779B" w:rsidRDefault="00235858" w:rsidP="00BD12EA">
      <w:pPr>
        <w:pStyle w:val="Odsekzoznamu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potreba prijatia rozhodnutia, ktoré sa môže týkať obmedzenia osobnej slobody,</w:t>
      </w:r>
      <w:r w:rsidR="00862834" w:rsidRPr="00D6779B">
        <w:rPr>
          <w:rFonts w:ascii="Times New Roman" w:hAnsi="Times New Roman" w:cs="Times New Roman"/>
          <w:sz w:val="24"/>
          <w:szCs w:val="24"/>
        </w:rPr>
        <w:t xml:space="preserve"> alebo</w:t>
      </w:r>
    </w:p>
    <w:p w:rsidR="00235858" w:rsidRPr="00D6779B" w:rsidRDefault="00235858" w:rsidP="00BD12EA">
      <w:pPr>
        <w:pStyle w:val="Odsekzoznamu"/>
        <w:numPr>
          <w:ilvl w:val="0"/>
          <w:numId w:val="11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bezprostredné riziko, že informácie stratia </w:t>
      </w:r>
      <w:r w:rsidR="00A74349" w:rsidRPr="00D6779B">
        <w:rPr>
          <w:rFonts w:ascii="Times New Roman" w:hAnsi="Times New Roman" w:cs="Times New Roman"/>
          <w:sz w:val="24"/>
          <w:szCs w:val="24"/>
        </w:rPr>
        <w:t>dôležitosť</w:t>
      </w:r>
      <w:r w:rsidRPr="00D6779B">
        <w:rPr>
          <w:rFonts w:ascii="Times New Roman" w:hAnsi="Times New Roman" w:cs="Times New Roman"/>
          <w:sz w:val="24"/>
          <w:szCs w:val="24"/>
        </w:rPr>
        <w:t>, ak sa neposkytnú urýchlene a považujú sa za dôležité pre predchádzanie t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restným činom, ich odhaľovanie </w:t>
      </w:r>
      <w:r w:rsidRPr="00D6779B">
        <w:rPr>
          <w:rFonts w:ascii="Times New Roman" w:hAnsi="Times New Roman" w:cs="Times New Roman"/>
          <w:sz w:val="24"/>
          <w:szCs w:val="24"/>
        </w:rPr>
        <w:t>alebo vyšetrovanie.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žiadosť zasiela v jazyku určenom členským štátom Európskej únie, ktorý je uvedený v zozname zverejnenom </w:t>
      </w:r>
      <w:r w:rsidR="00552E0F" w:rsidRPr="00D6779B">
        <w:rPr>
          <w:rFonts w:ascii="Times New Roman" w:hAnsi="Times New Roman" w:cs="Times New Roman"/>
          <w:sz w:val="24"/>
          <w:szCs w:val="24"/>
        </w:rPr>
        <w:t>Európskou k</w:t>
      </w:r>
      <w:r w:rsidRPr="00D6779B">
        <w:rPr>
          <w:rFonts w:ascii="Times New Roman" w:hAnsi="Times New Roman" w:cs="Times New Roman"/>
          <w:sz w:val="24"/>
          <w:szCs w:val="24"/>
        </w:rPr>
        <w:t xml:space="preserve">omisiou. </w:t>
      </w:r>
    </w:p>
    <w:p w:rsidR="00235858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Default="00F515AA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Pr="00D6779B" w:rsidRDefault="00F515AA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0"/>
          <w:numId w:val="9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Ak úrad spolupráce zasiela žiadosť orgán</w:t>
      </w:r>
      <w:r w:rsidR="00726B0C" w:rsidRPr="00D6779B">
        <w:rPr>
          <w:rFonts w:ascii="Times New Roman" w:hAnsi="Times New Roman" w:cs="Times New Roman"/>
          <w:sz w:val="24"/>
          <w:szCs w:val="24"/>
        </w:rPr>
        <w:t>u</w:t>
      </w:r>
      <w:r w:rsidRPr="00D6779B">
        <w:rPr>
          <w:rFonts w:ascii="Times New Roman" w:hAnsi="Times New Roman" w:cs="Times New Roman"/>
          <w:sz w:val="24"/>
          <w:szCs w:val="24"/>
        </w:rPr>
        <w:t xml:space="preserve"> presa</w:t>
      </w:r>
      <w:r w:rsidR="00726B0C" w:rsidRPr="00D6779B">
        <w:rPr>
          <w:rFonts w:ascii="Times New Roman" w:hAnsi="Times New Roman" w:cs="Times New Roman"/>
          <w:sz w:val="24"/>
          <w:szCs w:val="24"/>
        </w:rPr>
        <w:t>dzovania práva členského štátu,</w:t>
      </w:r>
      <w:r w:rsidRPr="00D6779B">
        <w:rPr>
          <w:rFonts w:ascii="Times New Roman" w:hAnsi="Times New Roman" w:cs="Times New Roman"/>
          <w:sz w:val="24"/>
          <w:szCs w:val="24"/>
        </w:rPr>
        <w:t xml:space="preserve"> súčasne zašle kópiu tejto žiadosti jednotnému kontaktnému miestu </w:t>
      </w:r>
      <w:r w:rsidR="00CC46DC" w:rsidRPr="00D6779B">
        <w:rPr>
          <w:rFonts w:ascii="Times New Roman" w:hAnsi="Times New Roman" w:cs="Times New Roman"/>
          <w:sz w:val="24"/>
          <w:szCs w:val="24"/>
        </w:rPr>
        <w:t>tohto</w:t>
      </w:r>
      <w:r w:rsidRPr="00D6779B">
        <w:rPr>
          <w:rFonts w:ascii="Times New Roman" w:hAnsi="Times New Roman" w:cs="Times New Roman"/>
          <w:sz w:val="24"/>
          <w:szCs w:val="24"/>
        </w:rPr>
        <w:t xml:space="preserve"> členského štátu Európskej únie</w:t>
      </w:r>
      <w:r w:rsidR="00CC46DC" w:rsidRPr="00D6779B">
        <w:rPr>
          <w:rFonts w:ascii="Times New Roman" w:hAnsi="Times New Roman" w:cs="Times New Roman"/>
          <w:sz w:val="24"/>
          <w:szCs w:val="24"/>
        </w:rPr>
        <w:t>; to neplatí,</w:t>
      </w:r>
      <w:r w:rsidRPr="00D6779B">
        <w:rPr>
          <w:rFonts w:ascii="Times New Roman" w:hAnsi="Times New Roman" w:cs="Times New Roman"/>
          <w:sz w:val="24"/>
          <w:szCs w:val="24"/>
        </w:rPr>
        <w:t xml:space="preserve"> ak úrad spolupráce </w:t>
      </w:r>
      <w:r w:rsidR="00552E0F" w:rsidRPr="00D6779B">
        <w:rPr>
          <w:rFonts w:ascii="Times New Roman" w:hAnsi="Times New Roman" w:cs="Times New Roman"/>
          <w:sz w:val="24"/>
          <w:szCs w:val="24"/>
        </w:rPr>
        <w:t>má</w:t>
      </w:r>
      <w:r w:rsidRPr="00D6779B">
        <w:rPr>
          <w:rFonts w:ascii="Times New Roman" w:hAnsi="Times New Roman" w:cs="Times New Roman"/>
          <w:sz w:val="24"/>
          <w:szCs w:val="24"/>
        </w:rPr>
        <w:t xml:space="preserve"> informáciu, že informovaním jednotného kontaktného miesta členského štátu Európskej únie by mohlo dôjsť k ohrozeniu</w:t>
      </w:r>
    </w:p>
    <w:p w:rsidR="00235858" w:rsidRPr="00D6779B" w:rsidRDefault="00235858" w:rsidP="00BD12EA">
      <w:pPr>
        <w:pStyle w:val="Odsekzoznamu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prebiehajúce</w:t>
      </w:r>
      <w:r w:rsidR="00CC46DC" w:rsidRPr="00D6779B">
        <w:rPr>
          <w:rFonts w:ascii="Times New Roman" w:hAnsi="Times New Roman" w:cs="Times New Roman"/>
          <w:sz w:val="24"/>
          <w:szCs w:val="24"/>
        </w:rPr>
        <w:t>ho</w:t>
      </w:r>
      <w:r w:rsidRPr="00D6779B">
        <w:rPr>
          <w:rFonts w:ascii="Times New Roman" w:hAnsi="Times New Roman" w:cs="Times New Roman"/>
          <w:sz w:val="24"/>
          <w:szCs w:val="24"/>
        </w:rPr>
        <w:t xml:space="preserve"> vyšetrovani</w:t>
      </w:r>
      <w:r w:rsidR="00CC46DC" w:rsidRPr="00D6779B">
        <w:rPr>
          <w:rFonts w:ascii="Times New Roman" w:hAnsi="Times New Roman" w:cs="Times New Roman"/>
          <w:sz w:val="24"/>
          <w:szCs w:val="24"/>
        </w:rPr>
        <w:t>a</w:t>
      </w:r>
      <w:r w:rsidRPr="00D6779B">
        <w:rPr>
          <w:rFonts w:ascii="Times New Roman" w:hAnsi="Times New Roman" w:cs="Times New Roman"/>
          <w:sz w:val="24"/>
          <w:szCs w:val="24"/>
        </w:rPr>
        <w:t xml:space="preserve">, pri ktorom si spracovanie informácií vyžaduje primeranú úroveň dôvernosti, </w:t>
      </w:r>
    </w:p>
    <w:p w:rsidR="00235858" w:rsidRPr="00D6779B" w:rsidRDefault="00EF6728" w:rsidP="00BD12EA">
      <w:pPr>
        <w:pStyle w:val="Odsekzoznamu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predchádzania alebo odhaľovania </w:t>
      </w:r>
      <w:r w:rsidR="00CC46DC" w:rsidRPr="00D6779B">
        <w:rPr>
          <w:rFonts w:ascii="Times New Roman" w:hAnsi="Times New Roman" w:cs="Times New Roman"/>
          <w:sz w:val="24"/>
          <w:szCs w:val="24"/>
        </w:rPr>
        <w:t>prípadov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terorizmu, ktoré nezahŕňajú núdzové situácie ani situácie krízového riadenia,</w:t>
      </w:r>
    </w:p>
    <w:p w:rsidR="00235858" w:rsidRPr="00D6779B" w:rsidRDefault="00235858" w:rsidP="00BD12EA">
      <w:pPr>
        <w:pStyle w:val="Odsekzoznamu"/>
        <w:numPr>
          <w:ilvl w:val="0"/>
          <w:numId w:val="1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bezpečnos</w:t>
      </w:r>
      <w:r w:rsidR="00CC46DC" w:rsidRPr="00D6779B">
        <w:rPr>
          <w:rFonts w:ascii="Times New Roman" w:hAnsi="Times New Roman" w:cs="Times New Roman"/>
          <w:sz w:val="24"/>
          <w:szCs w:val="24"/>
        </w:rPr>
        <w:t>ti</w:t>
      </w:r>
      <w:r w:rsidRPr="00D6779B">
        <w:rPr>
          <w:rFonts w:ascii="Times New Roman" w:hAnsi="Times New Roman" w:cs="Times New Roman"/>
          <w:sz w:val="24"/>
          <w:szCs w:val="24"/>
        </w:rPr>
        <w:t xml:space="preserve"> fyzickej osoby.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</w:t>
      </w:r>
      <w:r w:rsidR="00297FFD" w:rsidRPr="00D6779B">
        <w:rPr>
          <w:rFonts w:ascii="Times New Roman" w:hAnsi="Times New Roman" w:cs="Times New Roman"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sz w:val="24"/>
          <w:szCs w:val="24"/>
        </w:rPr>
        <w:t>69gd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Poskytovanie informácií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poskytuje informácie na základe žiadosti jednotného kontaktného miesta iného členského štátu Európskej únie alebo orgánu presadzovania práva členského štátu. Úrad spolupráce spracováva žiadosti z iných č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lenských štátov Európskej únie </w:t>
      </w:r>
      <w:r w:rsidRPr="00D6779B">
        <w:rPr>
          <w:rFonts w:ascii="Times New Roman" w:hAnsi="Times New Roman" w:cs="Times New Roman"/>
          <w:sz w:val="24"/>
          <w:szCs w:val="24"/>
        </w:rPr>
        <w:t>v</w:t>
      </w:r>
      <w:r w:rsidR="009F59C0" w:rsidRPr="00D6779B">
        <w:rPr>
          <w:rFonts w:ascii="Times New Roman" w:hAnsi="Times New Roman" w:cs="Times New Roman"/>
          <w:sz w:val="24"/>
          <w:szCs w:val="24"/>
        </w:rPr>
        <w:t> </w:t>
      </w:r>
      <w:r w:rsidRPr="00D6779B">
        <w:rPr>
          <w:rFonts w:ascii="Times New Roman" w:hAnsi="Times New Roman" w:cs="Times New Roman"/>
          <w:sz w:val="24"/>
          <w:szCs w:val="24"/>
        </w:rPr>
        <w:t>slovenskom</w:t>
      </w:r>
      <w:r w:rsidR="009F59C0" w:rsidRPr="00D6779B">
        <w:rPr>
          <w:rFonts w:ascii="Times New Roman" w:hAnsi="Times New Roman" w:cs="Times New Roman"/>
          <w:sz w:val="24"/>
          <w:szCs w:val="24"/>
        </w:rPr>
        <w:t xml:space="preserve"> jazyku</w:t>
      </w:r>
      <w:r w:rsidRPr="00D6779B">
        <w:rPr>
          <w:rFonts w:ascii="Times New Roman" w:hAnsi="Times New Roman" w:cs="Times New Roman"/>
          <w:sz w:val="24"/>
          <w:szCs w:val="24"/>
        </w:rPr>
        <w:t xml:space="preserve">, českom </w:t>
      </w:r>
      <w:r w:rsidR="009F59C0" w:rsidRPr="00D6779B">
        <w:rPr>
          <w:rFonts w:ascii="Times New Roman" w:hAnsi="Times New Roman" w:cs="Times New Roman"/>
          <w:sz w:val="24"/>
          <w:szCs w:val="24"/>
        </w:rPr>
        <w:t xml:space="preserve">jazyku </w:t>
      </w:r>
      <w:r w:rsidRPr="00D6779B">
        <w:rPr>
          <w:rFonts w:ascii="Times New Roman" w:hAnsi="Times New Roman" w:cs="Times New Roman"/>
          <w:sz w:val="24"/>
          <w:szCs w:val="24"/>
        </w:rPr>
        <w:t xml:space="preserve">alebo anglickom jazyku. Úrad spolupráce poskytuje informácie inému členskému štátu Európskej únie v slovenskom jazyku alebo anglickom jazyku; to platí aj na žiadosti o spresnenie a doplnenie žiadosti podľa odseku 8 a na zamietnutie žiadosti a informovanie o dôvodoch zamietnutia žiadosti podľa odseku 5. 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úrad spolupráce nezamietne žiadosť podľa odse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ku 1 z dôvodov podľa odseku 5, </w:t>
      </w:r>
      <w:r w:rsidRPr="00D6779B">
        <w:rPr>
          <w:rFonts w:ascii="Times New Roman" w:hAnsi="Times New Roman" w:cs="Times New Roman"/>
          <w:sz w:val="24"/>
          <w:szCs w:val="24"/>
        </w:rPr>
        <w:t>je úrad spolupráce oprávnený žiadať o informácie, ktoré mu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 nie sú priamo dostupné, orgány </w:t>
      </w:r>
      <w:r w:rsidRPr="00D6779B">
        <w:rPr>
          <w:rFonts w:ascii="Times New Roman" w:hAnsi="Times New Roman" w:cs="Times New Roman"/>
          <w:sz w:val="24"/>
          <w:szCs w:val="24"/>
        </w:rPr>
        <w:t xml:space="preserve">presadzovania práva alebo iné subjekty podľa § 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3. Úrad spolupráce určí lehotu </w:t>
      </w:r>
      <w:r w:rsidRPr="00D6779B">
        <w:rPr>
          <w:rFonts w:ascii="Times New Roman" w:hAnsi="Times New Roman" w:cs="Times New Roman"/>
          <w:sz w:val="24"/>
          <w:szCs w:val="24"/>
        </w:rPr>
        <w:t xml:space="preserve">na poskytnutie informácií tak, aby mohla byť dodržaná lehota podľa odseku 3. 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BD12EA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Na žiadosť o informácie podľa odseku 1 úrad spolupráce odpovie  </w:t>
      </w:r>
    </w:p>
    <w:p w:rsidR="00A07574" w:rsidRPr="00D6779B" w:rsidRDefault="00A07574" w:rsidP="00A07574">
      <w:pPr>
        <w:pStyle w:val="Odsekzoznamu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do ôsmich hodín, ak ide o naliehavú žiadosť o informáciu, ktorá je priamo dostupná,</w:t>
      </w:r>
    </w:p>
    <w:p w:rsidR="00A07574" w:rsidRPr="00D6779B" w:rsidRDefault="00A07574" w:rsidP="00A07574">
      <w:pPr>
        <w:pStyle w:val="Odsekzoznamu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do troch dní, ak ide o naliehavú žiadosť o informáciu, ktorá je nepriamo dostupná,</w:t>
      </w:r>
    </w:p>
    <w:p w:rsidR="00A07574" w:rsidRPr="00D6779B" w:rsidRDefault="00A07574" w:rsidP="00A07574">
      <w:pPr>
        <w:pStyle w:val="Odsekzoznamu"/>
        <w:numPr>
          <w:ilvl w:val="0"/>
          <w:numId w:val="29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do siedmich dní, ak ide o inú žiadosť </w:t>
      </w:r>
      <w:r w:rsidR="00BA7CF5" w:rsidRPr="00D6779B">
        <w:rPr>
          <w:rFonts w:ascii="Times New Roman" w:hAnsi="Times New Roman" w:cs="Times New Roman"/>
          <w:sz w:val="24"/>
          <w:szCs w:val="24"/>
        </w:rPr>
        <w:t>ako</w:t>
      </w:r>
      <w:r w:rsidRPr="00D6779B">
        <w:rPr>
          <w:rFonts w:ascii="Times New Roman" w:hAnsi="Times New Roman" w:cs="Times New Roman"/>
          <w:sz w:val="24"/>
          <w:szCs w:val="24"/>
        </w:rPr>
        <w:t xml:space="preserve"> podľa písmen</w:t>
      </w:r>
      <w:r w:rsidR="003820A4" w:rsidRPr="00D6779B">
        <w:rPr>
          <w:rFonts w:ascii="Times New Roman" w:hAnsi="Times New Roman" w:cs="Times New Roman"/>
          <w:sz w:val="24"/>
          <w:szCs w:val="24"/>
        </w:rPr>
        <w:t>a</w:t>
      </w:r>
      <w:r w:rsidRPr="00D6779B">
        <w:rPr>
          <w:rFonts w:ascii="Times New Roman" w:hAnsi="Times New Roman" w:cs="Times New Roman"/>
          <w:sz w:val="24"/>
          <w:szCs w:val="24"/>
        </w:rPr>
        <w:t xml:space="preserve"> a) a</w:t>
      </w:r>
      <w:r w:rsidR="003820A4" w:rsidRPr="00D6779B">
        <w:rPr>
          <w:rFonts w:ascii="Times New Roman" w:hAnsi="Times New Roman" w:cs="Times New Roman"/>
          <w:sz w:val="24"/>
          <w:szCs w:val="24"/>
        </w:rPr>
        <w:t>lebo písmena</w:t>
      </w:r>
      <w:r w:rsidRPr="00D6779B">
        <w:rPr>
          <w:rFonts w:ascii="Times New Roman" w:hAnsi="Times New Roman" w:cs="Times New Roman"/>
          <w:sz w:val="24"/>
          <w:szCs w:val="24"/>
        </w:rPr>
        <w:t xml:space="preserve"> b).</w:t>
      </w:r>
    </w:p>
    <w:p w:rsidR="00A07574" w:rsidRPr="00D6779B" w:rsidRDefault="00A07574" w:rsidP="00A07574">
      <w:pPr>
        <w:tabs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úrad spolupráce poskytuje informácie orgánu presadzovania práva členského štátu, bezodkladne o tom informuje jednotné kontaktné miesto dožadujúceho</w:t>
      </w:r>
      <w:r w:rsidR="00006D9D" w:rsidRPr="00D6779B">
        <w:rPr>
          <w:rFonts w:ascii="Times New Roman" w:hAnsi="Times New Roman" w:cs="Times New Roman"/>
          <w:sz w:val="24"/>
          <w:szCs w:val="24"/>
        </w:rPr>
        <w:t xml:space="preserve"> členského štátu Európskej únie; to neplatí,</w:t>
      </w:r>
      <w:r w:rsidRPr="00D6779B">
        <w:rPr>
          <w:rFonts w:ascii="Times New Roman" w:hAnsi="Times New Roman" w:cs="Times New Roman"/>
          <w:sz w:val="24"/>
          <w:szCs w:val="24"/>
        </w:rPr>
        <w:t xml:space="preserve"> ak úrad spo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lupráce </w:t>
      </w:r>
      <w:r w:rsidR="00552E0F" w:rsidRPr="00D6779B">
        <w:rPr>
          <w:rFonts w:ascii="Times New Roman" w:hAnsi="Times New Roman" w:cs="Times New Roman"/>
          <w:sz w:val="24"/>
          <w:szCs w:val="24"/>
        </w:rPr>
        <w:t>má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 informáciu, </w:t>
      </w:r>
      <w:r w:rsidRPr="00D6779B">
        <w:rPr>
          <w:rFonts w:ascii="Times New Roman" w:hAnsi="Times New Roman" w:cs="Times New Roman"/>
          <w:sz w:val="24"/>
          <w:szCs w:val="24"/>
        </w:rPr>
        <w:t xml:space="preserve">že informovaním jednotného kontaktného miesta dožadujúceho členského štátu Európskej </w:t>
      </w:r>
      <w:r w:rsidR="00006D9D" w:rsidRPr="00D6779B">
        <w:rPr>
          <w:rFonts w:ascii="Times New Roman" w:hAnsi="Times New Roman" w:cs="Times New Roman"/>
          <w:sz w:val="24"/>
          <w:szCs w:val="24"/>
        </w:rPr>
        <w:t>únie by mohlo dôjsť k ohrozeniu</w:t>
      </w:r>
    </w:p>
    <w:p w:rsidR="00235858" w:rsidRPr="00D6779B" w:rsidRDefault="00235858" w:rsidP="00BD12EA">
      <w:pPr>
        <w:pStyle w:val="Odsekzoznamu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prebiehajúce</w:t>
      </w:r>
      <w:r w:rsidR="00006D9D" w:rsidRPr="00D6779B">
        <w:rPr>
          <w:rFonts w:ascii="Times New Roman" w:hAnsi="Times New Roman" w:cs="Times New Roman"/>
          <w:sz w:val="24"/>
          <w:szCs w:val="24"/>
        </w:rPr>
        <w:t>ho</w:t>
      </w:r>
      <w:r w:rsidRPr="00D6779B">
        <w:rPr>
          <w:rFonts w:ascii="Times New Roman" w:hAnsi="Times New Roman" w:cs="Times New Roman"/>
          <w:sz w:val="24"/>
          <w:szCs w:val="24"/>
        </w:rPr>
        <w:t xml:space="preserve"> vyšetrovani</w:t>
      </w:r>
      <w:r w:rsidR="00006D9D" w:rsidRPr="00D6779B">
        <w:rPr>
          <w:rFonts w:ascii="Times New Roman" w:hAnsi="Times New Roman" w:cs="Times New Roman"/>
          <w:sz w:val="24"/>
          <w:szCs w:val="24"/>
        </w:rPr>
        <w:t>a</w:t>
      </w:r>
      <w:r w:rsidRPr="00D6779B">
        <w:rPr>
          <w:rFonts w:ascii="Times New Roman" w:hAnsi="Times New Roman" w:cs="Times New Roman"/>
          <w:sz w:val="24"/>
          <w:szCs w:val="24"/>
        </w:rPr>
        <w:t>, pri ktorom si spracovanie informácií vyžaduje primeranú úroveň dôvernosti,</w:t>
      </w:r>
    </w:p>
    <w:p w:rsidR="00235858" w:rsidRPr="00D6779B" w:rsidRDefault="00EF6728" w:rsidP="00BD12EA">
      <w:pPr>
        <w:pStyle w:val="Odsekzoznamu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predchádzania alebo odhaľovania </w:t>
      </w:r>
      <w:r w:rsidR="00235858" w:rsidRPr="00D6779B">
        <w:rPr>
          <w:rFonts w:ascii="Times New Roman" w:hAnsi="Times New Roman" w:cs="Times New Roman"/>
          <w:sz w:val="24"/>
          <w:szCs w:val="24"/>
        </w:rPr>
        <w:t>prípad</w:t>
      </w:r>
      <w:r w:rsidR="00006D9D" w:rsidRPr="00D6779B">
        <w:rPr>
          <w:rFonts w:ascii="Times New Roman" w:hAnsi="Times New Roman" w:cs="Times New Roman"/>
          <w:sz w:val="24"/>
          <w:szCs w:val="24"/>
        </w:rPr>
        <w:t>ov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terorizmu, ktoré nezahŕňajú núdzové situácie ani situácie krízového riadenia,</w:t>
      </w:r>
    </w:p>
    <w:p w:rsidR="00235858" w:rsidRPr="00D6779B" w:rsidRDefault="00235858" w:rsidP="00BD12EA">
      <w:pPr>
        <w:pStyle w:val="Odsekzoznamu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bezpečnos</w:t>
      </w:r>
      <w:r w:rsidR="00006D9D" w:rsidRPr="00D6779B">
        <w:rPr>
          <w:rFonts w:ascii="Times New Roman" w:hAnsi="Times New Roman" w:cs="Times New Roman"/>
          <w:sz w:val="24"/>
          <w:szCs w:val="24"/>
        </w:rPr>
        <w:t>ti</w:t>
      </w:r>
      <w:r w:rsidRPr="00D6779B">
        <w:rPr>
          <w:rFonts w:ascii="Times New Roman" w:hAnsi="Times New Roman" w:cs="Times New Roman"/>
          <w:sz w:val="24"/>
          <w:szCs w:val="24"/>
        </w:rPr>
        <w:t xml:space="preserve"> fyzickej osoby.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po posúdení zamietne žiadosť podľa odseku 1, ak  </w:t>
      </w:r>
    </w:p>
    <w:p w:rsidR="00235858" w:rsidRPr="00D6779B" w:rsidRDefault="00235858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nemá požadované informácie k dispozícii, a to ani po vyžiadaní od iných subjektov podľa odseku 2, </w:t>
      </w:r>
    </w:p>
    <w:p w:rsidR="00235858" w:rsidRPr="00D6779B" w:rsidRDefault="00235858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žiadosť o informácie nespĺňa požiadavky podľa § 69gc ods. 2,</w:t>
      </w:r>
    </w:p>
    <w:p w:rsidR="00235858" w:rsidRPr="00D6779B" w:rsidRDefault="00235858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sa žiadosť vzťahuje na medzinárodnú justičnú spoluprácu v trestnom konaní, </w:t>
      </w:r>
    </w:p>
    <w:p w:rsidR="00235858" w:rsidRPr="00D6779B" w:rsidRDefault="00006D9D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sa žiada o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iné osobné údaje ako tie, ktoré patria do </w:t>
      </w:r>
      <w:r w:rsidRPr="00D6779B">
        <w:rPr>
          <w:rFonts w:ascii="Times New Roman" w:hAnsi="Times New Roman" w:cs="Times New Roman"/>
          <w:sz w:val="24"/>
          <w:szCs w:val="24"/>
        </w:rPr>
        <w:t xml:space="preserve">niektorej z 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kategórií osobných údajov </w:t>
      </w:r>
      <w:r w:rsidRPr="00D6779B">
        <w:rPr>
          <w:rFonts w:ascii="Times New Roman" w:hAnsi="Times New Roman" w:cs="Times New Roman"/>
          <w:sz w:val="24"/>
          <w:szCs w:val="24"/>
        </w:rPr>
        <w:t>podľa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osobitn</w:t>
      </w:r>
      <w:r w:rsidRPr="00D6779B">
        <w:rPr>
          <w:rFonts w:ascii="Times New Roman" w:hAnsi="Times New Roman" w:cs="Times New Roman"/>
          <w:sz w:val="24"/>
          <w:szCs w:val="24"/>
        </w:rPr>
        <w:t>ého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predpis</w:t>
      </w:r>
      <w:r w:rsidRPr="00D6779B">
        <w:rPr>
          <w:rFonts w:ascii="Times New Roman" w:hAnsi="Times New Roman" w:cs="Times New Roman"/>
          <w:sz w:val="24"/>
          <w:szCs w:val="24"/>
        </w:rPr>
        <w:t>u</w:t>
      </w:r>
      <w:r w:rsidR="00235858" w:rsidRPr="00D6779B">
        <w:rPr>
          <w:rFonts w:ascii="Times New Roman" w:hAnsi="Times New Roman" w:cs="Times New Roman"/>
          <w:sz w:val="24"/>
          <w:szCs w:val="24"/>
        </w:rPr>
        <w:t>,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27ebc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0049AF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sa </w:t>
      </w:r>
      <w:r w:rsidR="00235858" w:rsidRPr="00D6779B">
        <w:rPr>
          <w:rFonts w:ascii="Times New Roman" w:hAnsi="Times New Roman" w:cs="Times New Roman"/>
          <w:sz w:val="24"/>
          <w:szCs w:val="24"/>
        </w:rPr>
        <w:t>zistilo, že požadované informácie sú nepresné, ne</w:t>
      </w:r>
      <w:r w:rsidR="00A47DEF" w:rsidRPr="00D6779B">
        <w:rPr>
          <w:rFonts w:ascii="Times New Roman" w:hAnsi="Times New Roman" w:cs="Times New Roman"/>
          <w:sz w:val="24"/>
          <w:szCs w:val="24"/>
        </w:rPr>
        <w:t xml:space="preserve">úplné alebo už nie sú aktuálne </w:t>
      </w:r>
      <w:r w:rsidR="00235858" w:rsidRPr="00D6779B">
        <w:rPr>
          <w:rFonts w:ascii="Times New Roman" w:hAnsi="Times New Roman" w:cs="Times New Roman"/>
          <w:sz w:val="24"/>
          <w:szCs w:val="24"/>
        </w:rPr>
        <w:t>a nemožno ich poskytnúť v súlade s osobitným predpisom,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27ebd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existujú objektívne dôvody domnievať sa, že poskytnutie požadovaných informácií by</w:t>
      </w:r>
    </w:p>
    <w:p w:rsidR="00235858" w:rsidRPr="00D6779B" w:rsidRDefault="00235858" w:rsidP="00BD12EA">
      <w:pPr>
        <w:pStyle w:val="Odsekzoznamu"/>
        <w:numPr>
          <w:ilvl w:val="1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bolo v rozpore so základnými záujmami bezpečnosti štátu alebo by ich poškodilo,</w:t>
      </w:r>
    </w:p>
    <w:p w:rsidR="00235858" w:rsidRPr="00D6779B" w:rsidRDefault="00235858" w:rsidP="00BD12EA">
      <w:pPr>
        <w:pStyle w:val="Odsekzoznamu"/>
        <w:numPr>
          <w:ilvl w:val="1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ohrozilo úspech prebiehajúceho vyšetrovania trestného činu alebo bezpečnosť fyzickej osoby,</w:t>
      </w:r>
    </w:p>
    <w:p w:rsidR="00235858" w:rsidRPr="00D6779B" w:rsidRDefault="00235858" w:rsidP="00BD12EA">
      <w:pPr>
        <w:pStyle w:val="Odsekzoznamu"/>
        <w:numPr>
          <w:ilvl w:val="1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neprimerane poškodilo chránené dôležité záujmy právnickej osoby,</w:t>
      </w:r>
    </w:p>
    <w:p w:rsidR="00235858" w:rsidRPr="00D6779B" w:rsidRDefault="000049AF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sa </w:t>
      </w:r>
      <w:r w:rsidR="00235858" w:rsidRPr="00D6779B">
        <w:rPr>
          <w:rFonts w:ascii="Times New Roman" w:hAnsi="Times New Roman" w:cs="Times New Roman"/>
          <w:sz w:val="24"/>
          <w:szCs w:val="24"/>
        </w:rPr>
        <w:t>žiadosť vzťahuje na</w:t>
      </w:r>
    </w:p>
    <w:p w:rsidR="00235858" w:rsidRPr="00D6779B" w:rsidRDefault="00235858" w:rsidP="00BD12EA">
      <w:pPr>
        <w:pStyle w:val="Odsekzoznamu"/>
        <w:numPr>
          <w:ilvl w:val="1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trestný čin, za ktorý je možné </w:t>
      </w:r>
      <w:r w:rsidR="00B627A8" w:rsidRPr="00D6779B">
        <w:rPr>
          <w:rFonts w:ascii="Times New Roman" w:hAnsi="Times New Roman" w:cs="Times New Roman"/>
          <w:sz w:val="24"/>
          <w:szCs w:val="24"/>
        </w:rPr>
        <w:t>uložiť</w:t>
      </w:r>
      <w:r w:rsidRPr="00D6779B">
        <w:rPr>
          <w:rFonts w:ascii="Times New Roman" w:hAnsi="Times New Roman" w:cs="Times New Roman"/>
          <w:sz w:val="24"/>
          <w:szCs w:val="24"/>
        </w:rPr>
        <w:t xml:space="preserve"> trest odňatia slobody v trvaní najviac jedného roka, alebo</w:t>
      </w:r>
    </w:p>
    <w:p w:rsidR="00235858" w:rsidRPr="00D6779B" w:rsidRDefault="00235858" w:rsidP="00BD12EA">
      <w:pPr>
        <w:pStyle w:val="Odsekzoznamu"/>
        <w:numPr>
          <w:ilvl w:val="1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vec, ktorá nie je trestným činom,</w:t>
      </w:r>
    </w:p>
    <w:p w:rsidR="00235858" w:rsidRPr="00D6779B" w:rsidRDefault="000049AF" w:rsidP="00BD12EA">
      <w:pPr>
        <w:pStyle w:val="Odsekzoznamu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sa 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požadované informácie pôvodne získali od iného členského štátu Európskej únie alebo iného štátu ako je uvedený v § 69ga (ďalej len „tretí štát“) a </w:t>
      </w:r>
      <w:r w:rsidR="00006D9D" w:rsidRPr="00D6779B">
        <w:rPr>
          <w:rFonts w:ascii="Times New Roman" w:hAnsi="Times New Roman" w:cs="Times New Roman"/>
          <w:sz w:val="24"/>
          <w:szCs w:val="24"/>
        </w:rPr>
        <w:t>tento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členský štát </w:t>
      </w:r>
      <w:r w:rsidR="002C245A" w:rsidRPr="00D6779B">
        <w:rPr>
          <w:rFonts w:ascii="Times New Roman" w:hAnsi="Times New Roman" w:cs="Times New Roman"/>
          <w:sz w:val="24"/>
          <w:szCs w:val="24"/>
        </w:rPr>
        <w:t xml:space="preserve">Európskej únie 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alebo </w:t>
      </w:r>
      <w:r w:rsidR="00006D9D" w:rsidRPr="00D6779B">
        <w:rPr>
          <w:rFonts w:ascii="Times New Roman" w:hAnsi="Times New Roman" w:cs="Times New Roman"/>
          <w:sz w:val="24"/>
          <w:szCs w:val="24"/>
        </w:rPr>
        <w:t>tento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tretí štát nesúhlasil s poskytnutím týchto informácií.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Žiadosť sa </w:t>
      </w:r>
      <w:r w:rsidR="00B627A8" w:rsidRPr="00D6779B">
        <w:rPr>
          <w:rFonts w:ascii="Times New Roman" w:hAnsi="Times New Roman" w:cs="Times New Roman"/>
          <w:sz w:val="24"/>
          <w:szCs w:val="24"/>
        </w:rPr>
        <w:t>zamietne</w:t>
      </w:r>
      <w:r w:rsidRPr="00D6779B">
        <w:rPr>
          <w:rFonts w:ascii="Times New Roman" w:hAnsi="Times New Roman" w:cs="Times New Roman"/>
          <w:sz w:val="24"/>
          <w:szCs w:val="24"/>
        </w:rPr>
        <w:t xml:space="preserve"> len v časti, ktorej sa týkajú dôvody uvedené v odseku 5; zvyšnej časti žiadosti sa zamietnutie nedotýka. </w:t>
      </w:r>
    </w:p>
    <w:p w:rsidR="00235858" w:rsidRPr="00D6779B" w:rsidRDefault="00235858" w:rsidP="00BD12E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006D9D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ide o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postup podľa odseku 5</w:t>
      </w:r>
      <w:r w:rsidRPr="00D6779B">
        <w:rPr>
          <w:rFonts w:ascii="Times New Roman" w:hAnsi="Times New Roman" w:cs="Times New Roman"/>
          <w:sz w:val="24"/>
          <w:szCs w:val="24"/>
        </w:rPr>
        <w:t>,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úrad spolupráce informuje jednotné kontaktné miesto dožadujúceho členského štátu Európskej únie alebo orgán presadzovania práva členského štátu o dôvodoch zamietnutia žiadosti v lehotách podľa odseku 3.  </w:t>
      </w:r>
    </w:p>
    <w:p w:rsidR="00235858" w:rsidRPr="00D6779B" w:rsidRDefault="00235858" w:rsidP="00BD12E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Ak má úrad spolupráce pochybnosti, či nie je dôvod na postup podľa odseku 5, bezodkladne požiada členský štát Európskej únie o spresnenie a doplnenie žiadosti. Lehoty podľa odseku 3 v takom prípade neplynú od okamihu požiadania o spresnenie a doplnenie žiadosti až do okamihu poskytnutia spresnenia a doplnenia žiadosti. </w:t>
      </w:r>
    </w:p>
    <w:p w:rsidR="00235858" w:rsidRPr="00D6779B" w:rsidRDefault="00235858" w:rsidP="00BD12E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07574">
      <w:pPr>
        <w:pStyle w:val="Odsekzoznamu"/>
        <w:numPr>
          <w:ilvl w:val="1"/>
          <w:numId w:val="11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úrad spolupráce poskytuje informácie, ktoré predstavujú osobné údaje, zabezpečí, aby</w:t>
      </w:r>
    </w:p>
    <w:p w:rsidR="00235858" w:rsidRPr="00D6779B" w:rsidRDefault="00235858" w:rsidP="00BD12EA">
      <w:pPr>
        <w:pStyle w:val="Odsekzoznamu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osobné údaje boli presné, úplné a aktuálne v súlade s ustanoveniami osobitného predpisu,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27ebd</w:t>
      </w:r>
      <w:r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BD12EA">
      <w:pPr>
        <w:pStyle w:val="Odsekzoznamu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kategórie osobných údajov poskytovaných podľa kategórií dotknutých osôb boli naďalej obmedzené na kategórie osobných údajov uvedené v osobitnom predpise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27ebc</w:t>
      </w:r>
      <w:r w:rsidRPr="00D6779B">
        <w:rPr>
          <w:rFonts w:ascii="Times New Roman" w:hAnsi="Times New Roman" w:cs="Times New Roman"/>
          <w:sz w:val="24"/>
          <w:szCs w:val="24"/>
        </w:rPr>
        <w:t>)  a boli potrebné a primerané na dosiahnutie účelu žiadosti podľa § 69gc ods. 2 písm. b),</w:t>
      </w:r>
    </w:p>
    <w:p w:rsidR="00235858" w:rsidRPr="00D6779B" w:rsidRDefault="00235858" w:rsidP="00BD12EA">
      <w:pPr>
        <w:pStyle w:val="Odsekzoznamu"/>
        <w:numPr>
          <w:ilvl w:val="0"/>
          <w:numId w:val="17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poskytol potrebné informácie podľa osobitných predpisov,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27ebe</w:t>
      </w:r>
      <w:r w:rsidRPr="00D6779B">
        <w:rPr>
          <w:rFonts w:ascii="Times New Roman" w:hAnsi="Times New Roman" w:cs="Times New Roman"/>
          <w:sz w:val="24"/>
          <w:szCs w:val="24"/>
        </w:rPr>
        <w:t>) ktoré inému členskému štátu Európskej únie umožnia posúdiť stupeň správnosti, úplnosti a spoľahlivosti osobných údajov, a mieru, d</w:t>
      </w:r>
      <w:r w:rsidR="00006D9D" w:rsidRPr="00D6779B">
        <w:rPr>
          <w:rFonts w:ascii="Times New Roman" w:hAnsi="Times New Roman" w:cs="Times New Roman"/>
          <w:sz w:val="24"/>
          <w:szCs w:val="24"/>
        </w:rPr>
        <w:t>o akej sú osobné údaje aktuálne, a to do takej miery, do akej je to možné.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69ge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Poskytovanie informácií z vlastného podnetu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2"/>
          <w:numId w:val="16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môže poskytnúť informácie inému 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členskému štátu Európskej únie </w:t>
      </w:r>
      <w:r w:rsidRPr="00D6779B">
        <w:rPr>
          <w:rFonts w:ascii="Times New Roman" w:hAnsi="Times New Roman" w:cs="Times New Roman"/>
          <w:sz w:val="24"/>
          <w:szCs w:val="24"/>
        </w:rPr>
        <w:t>z vlastného podnetu alebo z podnetu orgánu presadzovania práva, ak existujú objektívne dôvody domnievať sa, že takéto informácie by mohli byť relevantné pre členský štát Európskej únie na účely podľa § 69ga ods. 1.</w:t>
      </w:r>
    </w:p>
    <w:p w:rsidR="00235858" w:rsidRDefault="00235858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Default="00F515AA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Default="00F515AA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Default="00F515AA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Pr="00D6779B" w:rsidRDefault="00F515AA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2"/>
          <w:numId w:val="16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 xml:space="preserve">Úrad spolupráce poskytne informácie inému 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členskému štátu Európskej únie </w:t>
      </w:r>
      <w:r w:rsidRPr="00D6779B">
        <w:rPr>
          <w:rFonts w:ascii="Times New Roman" w:hAnsi="Times New Roman" w:cs="Times New Roman"/>
          <w:sz w:val="24"/>
          <w:szCs w:val="24"/>
        </w:rPr>
        <w:t xml:space="preserve">z vlastného podnetu alebo </w:t>
      </w:r>
      <w:r w:rsidR="00E6041E" w:rsidRPr="00D6779B">
        <w:rPr>
          <w:rFonts w:ascii="Times New Roman" w:hAnsi="Times New Roman" w:cs="Times New Roman"/>
          <w:sz w:val="24"/>
          <w:szCs w:val="24"/>
        </w:rPr>
        <w:t xml:space="preserve">z </w:t>
      </w:r>
      <w:r w:rsidRPr="00D6779B">
        <w:rPr>
          <w:rFonts w:ascii="Times New Roman" w:hAnsi="Times New Roman" w:cs="Times New Roman"/>
          <w:sz w:val="24"/>
          <w:szCs w:val="24"/>
        </w:rPr>
        <w:t>podnetu orgánu presadzovania práva, ak existujú objektívne dôvody domnievať sa, že takéto informácie by mohli byť relevantné pre tento členský štát Európskej únie na účely podľa § 69ga ods. 1 a ide o trestný čin, pre ktorý možno vydať európsky zatýkací rozkaz;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27ebf</w:t>
      </w:r>
      <w:r w:rsidRPr="00D6779B">
        <w:rPr>
          <w:rFonts w:ascii="Times New Roman" w:hAnsi="Times New Roman" w:cs="Times New Roman"/>
          <w:sz w:val="24"/>
          <w:szCs w:val="24"/>
        </w:rPr>
        <w:t>) to neplatí</w:t>
      </w:r>
      <w:r w:rsidR="00AD756D" w:rsidRPr="00D6779B">
        <w:rPr>
          <w:rFonts w:ascii="Times New Roman" w:hAnsi="Times New Roman" w:cs="Times New Roman"/>
          <w:sz w:val="24"/>
          <w:szCs w:val="24"/>
        </w:rPr>
        <w:t>,</w:t>
      </w:r>
      <w:r w:rsidRPr="00D6779B">
        <w:rPr>
          <w:rFonts w:ascii="Times New Roman" w:hAnsi="Times New Roman" w:cs="Times New Roman"/>
          <w:sz w:val="24"/>
          <w:szCs w:val="24"/>
        </w:rPr>
        <w:t xml:space="preserve"> ak existujú dôvody podľa § 69gd ods. 5 písm. c) alebo </w:t>
      </w:r>
      <w:r w:rsidR="00AD756D" w:rsidRPr="00D6779B">
        <w:rPr>
          <w:rFonts w:ascii="Times New Roman" w:hAnsi="Times New Roman" w:cs="Times New Roman"/>
          <w:sz w:val="24"/>
          <w:szCs w:val="24"/>
        </w:rPr>
        <w:t xml:space="preserve">písm. </w:t>
      </w:r>
      <w:r w:rsidRPr="00D6779B">
        <w:rPr>
          <w:rFonts w:ascii="Times New Roman" w:hAnsi="Times New Roman" w:cs="Times New Roman"/>
          <w:sz w:val="24"/>
          <w:szCs w:val="24"/>
        </w:rPr>
        <w:t>f).</w:t>
      </w:r>
    </w:p>
    <w:p w:rsidR="00235858" w:rsidRPr="00D6779B" w:rsidRDefault="00235858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AD756D">
      <w:pPr>
        <w:pStyle w:val="Odsekzoznamu"/>
        <w:numPr>
          <w:ilvl w:val="2"/>
          <w:numId w:val="16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úrad spolupráce poskytuje informácie z vlastného podnetu orgánu presadzovania práva členského štátu</w:t>
      </w:r>
      <w:r w:rsidR="004A7A61" w:rsidRPr="00D6779B">
        <w:rPr>
          <w:rFonts w:ascii="Times New Roman" w:hAnsi="Times New Roman" w:cs="Times New Roman"/>
          <w:sz w:val="24"/>
          <w:szCs w:val="24"/>
        </w:rPr>
        <w:t>,</w:t>
      </w:r>
      <w:r w:rsidRPr="00D6779B">
        <w:rPr>
          <w:rFonts w:ascii="Times New Roman" w:hAnsi="Times New Roman" w:cs="Times New Roman"/>
          <w:sz w:val="24"/>
          <w:szCs w:val="24"/>
        </w:rPr>
        <w:t xml:space="preserve"> bezodkladne o tom informuje jednotné kontaktné miesto </w:t>
      </w:r>
      <w:r w:rsidR="00B627A8" w:rsidRPr="00D6779B">
        <w:rPr>
          <w:rFonts w:ascii="Times New Roman" w:hAnsi="Times New Roman" w:cs="Times New Roman"/>
          <w:sz w:val="24"/>
          <w:szCs w:val="24"/>
        </w:rPr>
        <w:t>tohto</w:t>
      </w:r>
      <w:r w:rsidRPr="00D6779B">
        <w:rPr>
          <w:rFonts w:ascii="Times New Roman" w:hAnsi="Times New Roman" w:cs="Times New Roman"/>
          <w:sz w:val="24"/>
          <w:szCs w:val="24"/>
        </w:rPr>
        <w:t xml:space="preserve"> členského štát</w:t>
      </w:r>
      <w:r w:rsidR="00AD756D" w:rsidRPr="00D6779B">
        <w:rPr>
          <w:rFonts w:ascii="Times New Roman" w:hAnsi="Times New Roman" w:cs="Times New Roman"/>
          <w:sz w:val="24"/>
          <w:szCs w:val="24"/>
        </w:rPr>
        <w:t>u</w:t>
      </w:r>
      <w:r w:rsidR="00B627A8" w:rsidRPr="00D6779B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="00AD756D" w:rsidRPr="00D6779B">
        <w:rPr>
          <w:rFonts w:ascii="Times New Roman" w:hAnsi="Times New Roman" w:cs="Times New Roman"/>
          <w:sz w:val="24"/>
          <w:szCs w:val="24"/>
        </w:rPr>
        <w:t xml:space="preserve">; to neplatí, </w:t>
      </w:r>
      <w:r w:rsidRPr="00D6779B">
        <w:rPr>
          <w:rFonts w:ascii="Times New Roman" w:hAnsi="Times New Roman" w:cs="Times New Roman"/>
          <w:sz w:val="24"/>
          <w:szCs w:val="24"/>
        </w:rPr>
        <w:t xml:space="preserve">ak úrad spolupráce </w:t>
      </w:r>
      <w:r w:rsidR="00552E0F" w:rsidRPr="00D6779B">
        <w:rPr>
          <w:rFonts w:ascii="Times New Roman" w:hAnsi="Times New Roman" w:cs="Times New Roman"/>
          <w:sz w:val="24"/>
          <w:szCs w:val="24"/>
        </w:rPr>
        <w:t>má informáci</w:t>
      </w:r>
      <w:r w:rsidRPr="00D6779B">
        <w:rPr>
          <w:rFonts w:ascii="Times New Roman" w:hAnsi="Times New Roman" w:cs="Times New Roman"/>
          <w:sz w:val="24"/>
          <w:szCs w:val="24"/>
        </w:rPr>
        <w:t xml:space="preserve">u, že informovaním jednotného kontaktného miesta členského štátu Európskej </w:t>
      </w:r>
      <w:r w:rsidR="00AD756D" w:rsidRPr="00D6779B">
        <w:rPr>
          <w:rFonts w:ascii="Times New Roman" w:hAnsi="Times New Roman" w:cs="Times New Roman"/>
          <w:sz w:val="24"/>
          <w:szCs w:val="24"/>
        </w:rPr>
        <w:t>únie by mohlo dôjsť k ohrozeniu</w:t>
      </w:r>
    </w:p>
    <w:p w:rsidR="00235858" w:rsidRPr="00D6779B" w:rsidRDefault="00235858" w:rsidP="00892D0A">
      <w:pPr>
        <w:pStyle w:val="Odsekzoznamu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prebiehajúce</w:t>
      </w:r>
      <w:r w:rsidR="00AD756D" w:rsidRPr="00D6779B">
        <w:rPr>
          <w:rFonts w:ascii="Times New Roman" w:hAnsi="Times New Roman" w:cs="Times New Roman"/>
          <w:sz w:val="24"/>
          <w:szCs w:val="24"/>
        </w:rPr>
        <w:t>ho</w:t>
      </w:r>
      <w:r w:rsidRPr="00D6779B">
        <w:rPr>
          <w:rFonts w:ascii="Times New Roman" w:hAnsi="Times New Roman" w:cs="Times New Roman"/>
          <w:sz w:val="24"/>
          <w:szCs w:val="24"/>
        </w:rPr>
        <w:t xml:space="preserve"> vyšetrovani</w:t>
      </w:r>
      <w:r w:rsidR="00AD756D" w:rsidRPr="00D6779B">
        <w:rPr>
          <w:rFonts w:ascii="Times New Roman" w:hAnsi="Times New Roman" w:cs="Times New Roman"/>
          <w:sz w:val="24"/>
          <w:szCs w:val="24"/>
        </w:rPr>
        <w:t>a</w:t>
      </w:r>
      <w:r w:rsidRPr="00D6779B">
        <w:rPr>
          <w:rFonts w:ascii="Times New Roman" w:hAnsi="Times New Roman" w:cs="Times New Roman"/>
          <w:sz w:val="24"/>
          <w:szCs w:val="24"/>
        </w:rPr>
        <w:t>, pri ktorom si spracovanie informácií vyžaduje primeranú úroveň dôvernosti,</w:t>
      </w:r>
    </w:p>
    <w:p w:rsidR="00235858" w:rsidRPr="00D6779B" w:rsidRDefault="00EF6728" w:rsidP="00892D0A">
      <w:pPr>
        <w:pStyle w:val="Odsekzoznamu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predchádzania alebo odhaľovania </w:t>
      </w:r>
      <w:r w:rsidR="00235858" w:rsidRPr="00D6779B">
        <w:rPr>
          <w:rFonts w:ascii="Times New Roman" w:hAnsi="Times New Roman" w:cs="Times New Roman"/>
          <w:sz w:val="24"/>
          <w:szCs w:val="24"/>
        </w:rPr>
        <w:t>prípad</w:t>
      </w:r>
      <w:r w:rsidR="00AD756D" w:rsidRPr="00D6779B">
        <w:rPr>
          <w:rFonts w:ascii="Times New Roman" w:hAnsi="Times New Roman" w:cs="Times New Roman"/>
          <w:sz w:val="24"/>
          <w:szCs w:val="24"/>
        </w:rPr>
        <w:t>ov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terorizmu, ktoré nezahŕňajú núdzové situácie ani situácie krízového riadenia,</w:t>
      </w:r>
    </w:p>
    <w:p w:rsidR="00235858" w:rsidRPr="00D6779B" w:rsidRDefault="00235858" w:rsidP="00892D0A">
      <w:pPr>
        <w:pStyle w:val="Odsekzoznamu"/>
        <w:numPr>
          <w:ilvl w:val="0"/>
          <w:numId w:val="2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bezpečnos</w:t>
      </w:r>
      <w:r w:rsidR="00AD756D" w:rsidRPr="00D6779B">
        <w:rPr>
          <w:rFonts w:ascii="Times New Roman" w:hAnsi="Times New Roman" w:cs="Times New Roman"/>
          <w:sz w:val="24"/>
          <w:szCs w:val="24"/>
        </w:rPr>
        <w:t>ti</w:t>
      </w:r>
      <w:r w:rsidRPr="00D6779B">
        <w:rPr>
          <w:rFonts w:ascii="Times New Roman" w:hAnsi="Times New Roman" w:cs="Times New Roman"/>
          <w:sz w:val="24"/>
          <w:szCs w:val="24"/>
        </w:rPr>
        <w:t xml:space="preserve"> fyzickej osoby. 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2"/>
          <w:numId w:val="16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poskytuje informácie podľa odsekov 1 a 2 v jazyku podľa § 69gc ods. 5.</w:t>
      </w:r>
    </w:p>
    <w:p w:rsidR="005F5EEE" w:rsidRPr="00D6779B" w:rsidRDefault="005F5EEE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69gf</w:t>
      </w:r>
    </w:p>
    <w:p w:rsidR="00235858" w:rsidRPr="00D6779B" w:rsidRDefault="00235858" w:rsidP="00486CE5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Výmena informácií</w:t>
      </w:r>
    </w:p>
    <w:p w:rsidR="00486CE5" w:rsidRPr="00D6779B" w:rsidRDefault="00486CE5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používa na výmenu informácií s členskými štátmi Európskej ú</w:t>
      </w:r>
      <w:r w:rsidR="003C024C" w:rsidRPr="00D6779B">
        <w:rPr>
          <w:rFonts w:ascii="Times New Roman" w:hAnsi="Times New Roman" w:cs="Times New Roman"/>
          <w:sz w:val="24"/>
          <w:szCs w:val="24"/>
        </w:rPr>
        <w:t>nie komunikačný kanál SIENA, ak odsek</w:t>
      </w:r>
      <w:r w:rsidR="00A73422" w:rsidRPr="00D6779B">
        <w:rPr>
          <w:rFonts w:ascii="Times New Roman" w:hAnsi="Times New Roman" w:cs="Times New Roman"/>
          <w:sz w:val="24"/>
          <w:szCs w:val="24"/>
        </w:rPr>
        <w:t xml:space="preserve"> 2 n</w:t>
      </w:r>
      <w:r w:rsidR="003C024C" w:rsidRPr="00D6779B">
        <w:rPr>
          <w:rFonts w:ascii="Times New Roman" w:hAnsi="Times New Roman" w:cs="Times New Roman"/>
          <w:sz w:val="24"/>
          <w:szCs w:val="24"/>
        </w:rPr>
        <w:t>e</w:t>
      </w:r>
      <w:r w:rsidR="00A73422" w:rsidRPr="00D6779B">
        <w:rPr>
          <w:rFonts w:ascii="Times New Roman" w:hAnsi="Times New Roman" w:cs="Times New Roman"/>
          <w:sz w:val="24"/>
          <w:szCs w:val="24"/>
        </w:rPr>
        <w:t>ustanov</w:t>
      </w:r>
      <w:r w:rsidR="003C024C" w:rsidRPr="00D6779B">
        <w:rPr>
          <w:rFonts w:ascii="Times New Roman" w:hAnsi="Times New Roman" w:cs="Times New Roman"/>
          <w:sz w:val="24"/>
          <w:szCs w:val="24"/>
        </w:rPr>
        <w:t>uje</w:t>
      </w:r>
      <w:r w:rsidRPr="00D6779B">
        <w:rPr>
          <w:rFonts w:ascii="Times New Roman" w:hAnsi="Times New Roman" w:cs="Times New Roman"/>
          <w:sz w:val="24"/>
          <w:szCs w:val="24"/>
        </w:rPr>
        <w:t xml:space="preserve"> inak.</w:t>
      </w:r>
    </w:p>
    <w:p w:rsidR="00235858" w:rsidRPr="00D6779B" w:rsidRDefault="00235858" w:rsidP="00892D0A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Namiesto komunikačného kanálu SIENA môže úrad spolupráce využiť iný obvyklý zaužívaný komunikačný kanál, ak</w:t>
      </w:r>
    </w:p>
    <w:p w:rsidR="00235858" w:rsidRPr="00D6779B" w:rsidRDefault="00723416" w:rsidP="00892D0A">
      <w:pPr>
        <w:pStyle w:val="Odsekzoznamu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si </w:t>
      </w:r>
      <w:r w:rsidR="00235858" w:rsidRPr="00D6779B">
        <w:rPr>
          <w:rFonts w:ascii="Times New Roman" w:hAnsi="Times New Roman" w:cs="Times New Roman"/>
          <w:sz w:val="24"/>
          <w:szCs w:val="24"/>
        </w:rPr>
        <w:t>výmena informácií vyžaduje zapojenie tretích štátov alebo medzinárodných organizácií alebo existujú objektívne dôvody domnievať sa, že v neskoršej fáze bude takéto zapojenie požadované, a to aj prostredníctvom komunikačného kanála Interpolu,</w:t>
      </w:r>
    </w:p>
    <w:p w:rsidR="00235858" w:rsidRPr="00D6779B" w:rsidRDefault="00723416" w:rsidP="00892D0A">
      <w:pPr>
        <w:pStyle w:val="Odsekzoznamu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si </w:t>
      </w:r>
      <w:r w:rsidR="00235858" w:rsidRPr="00D6779B">
        <w:rPr>
          <w:rFonts w:ascii="Times New Roman" w:hAnsi="Times New Roman" w:cs="Times New Roman"/>
          <w:sz w:val="24"/>
          <w:szCs w:val="24"/>
        </w:rPr>
        <w:t>naliehavosť žiadosti o informácie vyžaduje dočasné použitie iného komunikačného kanála,</w:t>
      </w:r>
    </w:p>
    <w:p w:rsidR="00235858" w:rsidRPr="00D6779B" w:rsidRDefault="00235858" w:rsidP="00892D0A">
      <w:pPr>
        <w:pStyle w:val="Odsekzoznamu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neočakávaný technický</w:t>
      </w:r>
      <w:r w:rsidR="003C024C" w:rsidRPr="00D6779B">
        <w:rPr>
          <w:rFonts w:ascii="Times New Roman" w:hAnsi="Times New Roman" w:cs="Times New Roman"/>
          <w:sz w:val="24"/>
          <w:szCs w:val="24"/>
        </w:rPr>
        <w:t xml:space="preserve"> incident</w:t>
      </w:r>
      <w:r w:rsidRPr="00D6779B">
        <w:rPr>
          <w:rFonts w:ascii="Times New Roman" w:hAnsi="Times New Roman" w:cs="Times New Roman"/>
          <w:sz w:val="24"/>
          <w:szCs w:val="24"/>
        </w:rPr>
        <w:t xml:space="preserve"> alebo prevádzkový incident zabraňuje úradu spolupráce používať komunikačný kanál SIENA na výmenu informácií.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Ak sa výmena informácií týka trestných činov podľa osobitného predpisu,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27ebg</w:t>
      </w:r>
      <w:r w:rsidRPr="00D6779B">
        <w:rPr>
          <w:rFonts w:ascii="Times New Roman" w:hAnsi="Times New Roman" w:cs="Times New Roman"/>
          <w:sz w:val="24"/>
          <w:szCs w:val="24"/>
        </w:rPr>
        <w:t xml:space="preserve">) úrad spolupráce po posúdení žiadosti zašle </w:t>
      </w:r>
      <w:r w:rsidR="00A74349" w:rsidRPr="00D6779B">
        <w:rPr>
          <w:rFonts w:ascii="Times New Roman" w:hAnsi="Times New Roman" w:cs="Times New Roman"/>
          <w:sz w:val="24"/>
          <w:szCs w:val="24"/>
        </w:rPr>
        <w:t xml:space="preserve">kópiu </w:t>
      </w:r>
      <w:r w:rsidRPr="00D6779B">
        <w:rPr>
          <w:rFonts w:ascii="Times New Roman" w:hAnsi="Times New Roman" w:cs="Times New Roman"/>
          <w:sz w:val="24"/>
          <w:szCs w:val="24"/>
        </w:rPr>
        <w:t>informáci</w:t>
      </w:r>
      <w:r w:rsidR="00A74349" w:rsidRPr="00D6779B">
        <w:rPr>
          <w:rFonts w:ascii="Times New Roman" w:hAnsi="Times New Roman" w:cs="Times New Roman"/>
          <w:sz w:val="24"/>
          <w:szCs w:val="24"/>
        </w:rPr>
        <w:t>e</w:t>
      </w:r>
      <w:r w:rsidRPr="00D6779B">
        <w:rPr>
          <w:rFonts w:ascii="Times New Roman" w:hAnsi="Times New Roman" w:cs="Times New Roman"/>
          <w:sz w:val="24"/>
          <w:szCs w:val="24"/>
        </w:rPr>
        <w:t xml:space="preserve"> Europolu. Úrad spolupráce určí účel spracovania a možné obmedzenia podľa osobitného predpisu.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27ebb</w:t>
      </w:r>
      <w:r w:rsidRPr="00D6779B">
        <w:rPr>
          <w:rFonts w:ascii="Times New Roman" w:hAnsi="Times New Roman" w:cs="Times New Roman"/>
          <w:sz w:val="24"/>
          <w:szCs w:val="24"/>
        </w:rPr>
        <w:t xml:space="preserve">) Ak je informácia získaná od iného členského štátu Európskej únie alebo tretieho štátu, je potrebné pred </w:t>
      </w:r>
      <w:r w:rsidR="00B627A8" w:rsidRPr="00D6779B">
        <w:rPr>
          <w:rFonts w:ascii="Times New Roman" w:hAnsi="Times New Roman" w:cs="Times New Roman"/>
          <w:sz w:val="24"/>
          <w:szCs w:val="24"/>
        </w:rPr>
        <w:t xml:space="preserve">jej </w:t>
      </w:r>
      <w:r w:rsidRPr="00D6779B">
        <w:rPr>
          <w:rFonts w:ascii="Times New Roman" w:hAnsi="Times New Roman" w:cs="Times New Roman"/>
          <w:sz w:val="24"/>
          <w:szCs w:val="24"/>
        </w:rPr>
        <w:t>poskytnutím získať súhlas členského štátu Európskej únie alebo tretieho štátu.</w:t>
      </w:r>
    </w:p>
    <w:p w:rsidR="00235858" w:rsidRPr="00D6779B" w:rsidRDefault="00235858" w:rsidP="00892D0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poskytuje informácie podľa odseku 3 v jazyku podľa § 69gc </w:t>
      </w:r>
      <w:r w:rsidR="00DA050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6779B">
        <w:rPr>
          <w:rFonts w:ascii="Times New Roman" w:hAnsi="Times New Roman" w:cs="Times New Roman"/>
          <w:sz w:val="24"/>
          <w:szCs w:val="24"/>
        </w:rPr>
        <w:t>ods. 5.</w:t>
      </w:r>
    </w:p>
    <w:p w:rsidR="00235858" w:rsidRPr="00D6779B" w:rsidRDefault="00235858" w:rsidP="00892D0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je oprávnený pri plnení úloh podľa tejto hlavy</w:t>
      </w:r>
    </w:p>
    <w:p w:rsidR="00235858" w:rsidRPr="00D6779B" w:rsidRDefault="00235858" w:rsidP="00892D0A">
      <w:pPr>
        <w:pStyle w:val="Odsekzoznamu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porovnávať informácie s údajmi v iných informačných systémoch,</w:t>
      </w:r>
    </w:p>
    <w:p w:rsidR="00235858" w:rsidRPr="00D6779B" w:rsidRDefault="00235858" w:rsidP="00892D0A">
      <w:pPr>
        <w:pStyle w:val="Odsekzoznamu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spracúvať a vyhodnocovať informácie,  </w:t>
      </w:r>
    </w:p>
    <w:p w:rsidR="00235858" w:rsidRPr="00D6779B" w:rsidRDefault="00235858" w:rsidP="00892D0A">
      <w:pPr>
        <w:pStyle w:val="Odsekzoznamu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zabezpečovať a koordinovať súčinnosť s orgánmi presadzovania práva.  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Úrad spolupráce na plnenie úloh podľa tejto hlavy používa informačný systém medzinárodnej policajnej spolupráce </w:t>
      </w:r>
      <w:r w:rsidR="00A73422" w:rsidRPr="00D6779B">
        <w:rPr>
          <w:rFonts w:ascii="Times New Roman" w:hAnsi="Times New Roman" w:cs="Times New Roman"/>
          <w:sz w:val="24"/>
          <w:szCs w:val="24"/>
        </w:rPr>
        <w:t xml:space="preserve">(ďalej </w:t>
      </w:r>
      <w:r w:rsidR="003C024C" w:rsidRPr="00D6779B">
        <w:rPr>
          <w:rFonts w:ascii="Times New Roman" w:hAnsi="Times New Roman" w:cs="Times New Roman"/>
          <w:sz w:val="24"/>
          <w:szCs w:val="24"/>
        </w:rPr>
        <w:t>len</w:t>
      </w:r>
      <w:r w:rsidR="00A73422" w:rsidRPr="00D6779B">
        <w:rPr>
          <w:rFonts w:ascii="Times New Roman" w:hAnsi="Times New Roman" w:cs="Times New Roman"/>
          <w:sz w:val="24"/>
          <w:szCs w:val="24"/>
        </w:rPr>
        <w:t xml:space="preserve"> „systém spolupráce“), ktorý</w:t>
      </w:r>
      <w:r w:rsidRPr="00D6779B">
        <w:rPr>
          <w:rFonts w:ascii="Times New Roman" w:hAnsi="Times New Roman" w:cs="Times New Roman"/>
          <w:sz w:val="24"/>
          <w:szCs w:val="24"/>
        </w:rPr>
        <w:t xml:space="preserve"> umožňuje 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zaznamenávať prichádzajúce a odchádzajúce žiadosti o informácie podľa § 69gc a 69gd  a inú komunikáciu s inými členskými štátmi Európskej únie týkajúcu sa týchto žiadostí vrátane informácií o zamietnutiach žiadostí o informácie a žiadostí o</w:t>
      </w:r>
      <w:r w:rsidR="00B627A8" w:rsidRPr="00D6779B">
        <w:rPr>
          <w:rFonts w:ascii="Times New Roman" w:hAnsi="Times New Roman" w:cs="Times New Roman"/>
          <w:sz w:val="24"/>
          <w:szCs w:val="24"/>
        </w:rPr>
        <w:t> spresnenie a doplnenie</w:t>
      </w:r>
      <w:r w:rsidRPr="00D6779B">
        <w:rPr>
          <w:rFonts w:ascii="Times New Roman" w:hAnsi="Times New Roman" w:cs="Times New Roman"/>
          <w:sz w:val="24"/>
          <w:szCs w:val="24"/>
        </w:rPr>
        <w:t xml:space="preserve"> a o ich poskytnutie,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zaznamenávať komunikáciu medzi úradom spolupráce a orgánmi presadzovania práva,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zaznamenávať poskytnutie informácií členským štát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om Európskej únie podľa § 69gd </w:t>
      </w:r>
      <w:r w:rsidRPr="00D6779B">
        <w:rPr>
          <w:rFonts w:ascii="Times New Roman" w:hAnsi="Times New Roman" w:cs="Times New Roman"/>
          <w:sz w:val="24"/>
          <w:szCs w:val="24"/>
        </w:rPr>
        <w:t>a 69ge,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krížovú kontrolu prichádzajúcich žiadost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í o informácie s informáciami, </w:t>
      </w:r>
      <w:r w:rsidRPr="00D6779B">
        <w:rPr>
          <w:rFonts w:ascii="Times New Roman" w:hAnsi="Times New Roman" w:cs="Times New Roman"/>
          <w:sz w:val="24"/>
          <w:szCs w:val="24"/>
        </w:rPr>
        <w:t>ktoré sú dostupné úradu spolupráce vrátane informácií poskytnutých podľa § 69gd ods. 4 alebo § 69ge ods. 3 a iných relevantných informácií zaznamenaných v systéme spolupráce,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zabezpečiť primeranú a rýchlu reakciu na prichádzajúc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e žiadosti o informácie, najmä </w:t>
      </w:r>
      <w:r w:rsidRPr="00D6779B">
        <w:rPr>
          <w:rFonts w:ascii="Times New Roman" w:hAnsi="Times New Roman" w:cs="Times New Roman"/>
          <w:sz w:val="24"/>
          <w:szCs w:val="24"/>
        </w:rPr>
        <w:t>z hľadiska dodržania lehôt na poskytnutie požadovaných informácií podľa § 69gd ods. 3,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interoperabilitu s komunikačným kanálom S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IENA, najmä zabezpečenie toho, </w:t>
      </w:r>
      <w:r w:rsidRPr="00D6779B">
        <w:rPr>
          <w:rFonts w:ascii="Times New Roman" w:hAnsi="Times New Roman" w:cs="Times New Roman"/>
          <w:sz w:val="24"/>
          <w:szCs w:val="24"/>
        </w:rPr>
        <w:t>aby komunikácia prichádzajúca prostredníctvom komunikačného kanálu SIENA mohla byť priamo zaznamenaná v systéme spolupráce a aby komunikácia odchádzajúca prostredníctvom komunikačného kanálu SIENA mohla byť priamo odoslaná zo systému spolupráce,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vytvárať štatistiky týkajúce sa výmen</w:t>
      </w:r>
      <w:r w:rsidR="005340C7" w:rsidRPr="00D6779B">
        <w:rPr>
          <w:rFonts w:ascii="Times New Roman" w:hAnsi="Times New Roman" w:cs="Times New Roman"/>
          <w:sz w:val="24"/>
          <w:szCs w:val="24"/>
        </w:rPr>
        <w:t>y</w:t>
      </w:r>
      <w:r w:rsidRPr="00D6779B">
        <w:rPr>
          <w:rFonts w:ascii="Times New Roman" w:hAnsi="Times New Roman" w:cs="Times New Roman"/>
          <w:sz w:val="24"/>
          <w:szCs w:val="24"/>
        </w:rPr>
        <w:t xml:space="preserve"> informácií na účely hodnotenia a monitorovania, a to najmenej v rozsahu</w:t>
      </w:r>
    </w:p>
    <w:p w:rsidR="00CB562E" w:rsidRPr="00D6779B" w:rsidRDefault="00CB562E" w:rsidP="00CB562E">
      <w:pPr>
        <w:pStyle w:val="Odsekzoznamu"/>
        <w:numPr>
          <w:ilvl w:val="1"/>
          <w:numId w:val="2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počet žiadostí o informácie, ktoré zaslal úrad spolupráce,</w:t>
      </w:r>
    </w:p>
    <w:p w:rsidR="00CB562E" w:rsidRPr="00D6779B" w:rsidRDefault="00CB562E" w:rsidP="00CB562E">
      <w:pPr>
        <w:pStyle w:val="Odsekzoznamu"/>
        <w:numPr>
          <w:ilvl w:val="1"/>
          <w:numId w:val="2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počet žiadostí o informácie, ktoré boli úradu spolupráce doručené a počet žiadostí o informácie, na ktoré úrad spolupráce odpovedal, a to v členení na naliehavé a nenaliehavé žiadost</w:t>
      </w:r>
      <w:r w:rsidR="00B627A8" w:rsidRPr="00D6779B">
        <w:rPr>
          <w:rFonts w:ascii="Times New Roman" w:hAnsi="Times New Roman" w:cs="Times New Roman"/>
          <w:sz w:val="24"/>
          <w:szCs w:val="24"/>
        </w:rPr>
        <w:t>i</w:t>
      </w:r>
      <w:r w:rsidRPr="00D6779B">
        <w:rPr>
          <w:rFonts w:ascii="Times New Roman" w:hAnsi="Times New Roman" w:cs="Times New Roman"/>
          <w:sz w:val="24"/>
          <w:szCs w:val="24"/>
        </w:rPr>
        <w:t xml:space="preserve"> a podľa žiadajúcich členských štátov Európskej únie,</w:t>
      </w:r>
    </w:p>
    <w:p w:rsidR="00CB562E" w:rsidRPr="00D6779B" w:rsidRDefault="00CB562E" w:rsidP="00CB562E">
      <w:pPr>
        <w:pStyle w:val="Odsekzoznamu"/>
        <w:numPr>
          <w:ilvl w:val="1"/>
          <w:numId w:val="2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počet žiadostí o informácie, ktoré boli zamietnuté, a to v členení podľa žiadajúceho členského štátu Európskej únie a podľa dôvodov zamietnutia,</w:t>
      </w:r>
    </w:p>
    <w:p w:rsidR="00235858" w:rsidRPr="00D6779B" w:rsidRDefault="00CB562E" w:rsidP="00CB562E">
      <w:pPr>
        <w:pStyle w:val="Odsekzoznamu"/>
        <w:numPr>
          <w:ilvl w:val="1"/>
          <w:numId w:val="2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počet prípadov, v ktorých došlo k nedodržaniu lehôt podľa § 69gd ods. 3, a to v členení podľa členských štátov</w:t>
      </w:r>
      <w:r w:rsidR="008E192A" w:rsidRPr="00D6779B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Pr="00D6779B">
        <w:rPr>
          <w:rFonts w:ascii="Times New Roman" w:hAnsi="Times New Roman" w:cs="Times New Roman"/>
          <w:sz w:val="24"/>
          <w:szCs w:val="24"/>
        </w:rPr>
        <w:t>, ktoré zaslali žiadosti o informácie,</w:t>
      </w:r>
    </w:p>
    <w:p w:rsidR="00235858" w:rsidRPr="00D6779B" w:rsidRDefault="00235858" w:rsidP="00892D0A">
      <w:pPr>
        <w:pStyle w:val="Odsekzoznamu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uchovávať logy o prístupe a iných spracovate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ľských operáciách v súvislosti </w:t>
      </w:r>
      <w:r w:rsidRPr="00D6779B">
        <w:rPr>
          <w:rFonts w:ascii="Times New Roman" w:hAnsi="Times New Roman" w:cs="Times New Roman"/>
          <w:sz w:val="24"/>
          <w:szCs w:val="24"/>
        </w:rPr>
        <w:t>s informáciami obsiahnutými v systéme spolupráce na účely overovania zákonnosti a bezpečnosti spracúvaných osobných údajov a informácií podľa osobitného predpisu.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28l</w:t>
      </w:r>
      <w:r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pri spracúvaní osobných údajov podľa tejto hlavy postupuje podľa osobitného predpisu.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28l</w:t>
      </w:r>
      <w:r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892D0A">
      <w:pPr>
        <w:pStyle w:val="Odsekzoznamu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892D0A">
      <w:pPr>
        <w:pStyle w:val="Odsekzoznamu"/>
        <w:numPr>
          <w:ilvl w:val="0"/>
          <w:numId w:val="22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Úrad spolupráce k</w:t>
      </w:r>
      <w:r w:rsidR="00552E0F" w:rsidRPr="00D6779B">
        <w:rPr>
          <w:rFonts w:ascii="Times New Roman" w:hAnsi="Times New Roman" w:cs="Times New Roman"/>
          <w:sz w:val="24"/>
          <w:szCs w:val="24"/>
        </w:rPr>
        <w:t xml:space="preserve">aždoročne do 1. marca </w:t>
      </w:r>
      <w:r w:rsidR="00B627A8" w:rsidRPr="00D6779B">
        <w:rPr>
          <w:rFonts w:ascii="Times New Roman" w:hAnsi="Times New Roman" w:cs="Times New Roman"/>
          <w:sz w:val="24"/>
          <w:szCs w:val="24"/>
        </w:rPr>
        <w:t>poskytuje</w:t>
      </w:r>
      <w:r w:rsidR="00552E0F" w:rsidRPr="00D6779B">
        <w:rPr>
          <w:rFonts w:ascii="Times New Roman" w:hAnsi="Times New Roman" w:cs="Times New Roman"/>
          <w:sz w:val="24"/>
          <w:szCs w:val="24"/>
        </w:rPr>
        <w:t xml:space="preserve"> Európskej k</w:t>
      </w:r>
      <w:r w:rsidRPr="00D6779B">
        <w:rPr>
          <w:rFonts w:ascii="Times New Roman" w:hAnsi="Times New Roman" w:cs="Times New Roman"/>
          <w:sz w:val="24"/>
          <w:szCs w:val="24"/>
        </w:rPr>
        <w:t>omisii štatistické údaje o výmenách informácií s inými členskými štátmi</w:t>
      </w:r>
      <w:r w:rsidR="002C245A" w:rsidRPr="00D6779B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Pr="00D6779B">
        <w:rPr>
          <w:rFonts w:ascii="Times New Roman" w:hAnsi="Times New Roman" w:cs="Times New Roman"/>
          <w:sz w:val="24"/>
          <w:szCs w:val="24"/>
        </w:rPr>
        <w:t xml:space="preserve"> v rozsah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u </w:t>
      </w:r>
      <w:r w:rsidR="00A73422" w:rsidRPr="00D6779B">
        <w:rPr>
          <w:rFonts w:ascii="Times New Roman" w:hAnsi="Times New Roman" w:cs="Times New Roman"/>
          <w:sz w:val="24"/>
          <w:szCs w:val="24"/>
        </w:rPr>
        <w:t xml:space="preserve">podľa </w:t>
      </w:r>
      <w:r w:rsidR="003A1255" w:rsidRPr="00D6779B">
        <w:rPr>
          <w:rFonts w:ascii="Times New Roman" w:hAnsi="Times New Roman" w:cs="Times New Roman"/>
          <w:sz w:val="24"/>
          <w:szCs w:val="24"/>
        </w:rPr>
        <w:t xml:space="preserve">odseku 6 písm. g) </w:t>
      </w:r>
      <w:r w:rsidRPr="00D6779B">
        <w:rPr>
          <w:rFonts w:ascii="Times New Roman" w:hAnsi="Times New Roman" w:cs="Times New Roman"/>
          <w:sz w:val="24"/>
          <w:szCs w:val="24"/>
        </w:rPr>
        <w:t>za obdobie predchádzajúceho kalendárneho roka.“.</w:t>
      </w: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Doterajšia piata</w:t>
      </w:r>
      <w:r w:rsidR="00B627A8" w:rsidRPr="00D6779B">
        <w:rPr>
          <w:rFonts w:ascii="Times New Roman" w:hAnsi="Times New Roman" w:cs="Times New Roman"/>
          <w:sz w:val="24"/>
          <w:szCs w:val="24"/>
        </w:rPr>
        <w:t xml:space="preserve"> hlava až desiata hlava sa označujú</w:t>
      </w:r>
      <w:r w:rsidRPr="00D6779B">
        <w:rPr>
          <w:rFonts w:ascii="Times New Roman" w:hAnsi="Times New Roman" w:cs="Times New Roman"/>
          <w:sz w:val="24"/>
          <w:szCs w:val="24"/>
        </w:rPr>
        <w:t xml:space="preserve"> ako šiesta</w:t>
      </w:r>
      <w:r w:rsidR="00B627A8" w:rsidRPr="00D6779B">
        <w:rPr>
          <w:rFonts w:ascii="Times New Roman" w:hAnsi="Times New Roman" w:cs="Times New Roman"/>
          <w:sz w:val="24"/>
          <w:szCs w:val="24"/>
        </w:rPr>
        <w:t xml:space="preserve"> hlava</w:t>
      </w:r>
      <w:r w:rsidRPr="00D6779B">
        <w:rPr>
          <w:rFonts w:ascii="Times New Roman" w:hAnsi="Times New Roman" w:cs="Times New Roman"/>
          <w:sz w:val="24"/>
          <w:szCs w:val="24"/>
        </w:rPr>
        <w:t xml:space="preserve"> až jedenásta hlava.</w:t>
      </w:r>
    </w:p>
    <w:p w:rsidR="00235858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Pr="00D6779B" w:rsidRDefault="00DA0507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486CE5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Poznámky pod čiarou k odkazom 27eba až 27ebg znejú: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27eba</w:t>
      </w:r>
      <w:r w:rsidRPr="00D6779B">
        <w:rPr>
          <w:rFonts w:ascii="Times New Roman" w:hAnsi="Times New Roman" w:cs="Times New Roman"/>
          <w:sz w:val="24"/>
          <w:szCs w:val="24"/>
        </w:rPr>
        <w:t xml:space="preserve">) Napríklad Trestný poriadok v znení neskorších predpisov, zákon č. 154/2010 Z. z. o európskom zatýkacom rozkaze v znení neskorších predpisov, zákon č. 236/2017 Z. z. o európskom vyšetrovacom príkaze v trestných veciach a o zmene a doplnení niektorých zákonov v znení </w:t>
      </w:r>
      <w:r w:rsidR="00A10CF8" w:rsidRPr="00D6779B">
        <w:rPr>
          <w:rFonts w:ascii="Times New Roman" w:hAnsi="Times New Roman" w:cs="Times New Roman"/>
          <w:sz w:val="24"/>
          <w:szCs w:val="24"/>
        </w:rPr>
        <w:t>zákona č. 150/2022 Z. z</w:t>
      </w:r>
      <w:r w:rsidRPr="00D6779B">
        <w:rPr>
          <w:rFonts w:ascii="Times New Roman" w:hAnsi="Times New Roman" w:cs="Times New Roman"/>
          <w:sz w:val="24"/>
          <w:szCs w:val="24"/>
        </w:rPr>
        <w:t>.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27ebb</w:t>
      </w:r>
      <w:r w:rsidRPr="00D6779B">
        <w:rPr>
          <w:rFonts w:ascii="Times New Roman" w:hAnsi="Times New Roman" w:cs="Times New Roman"/>
          <w:sz w:val="24"/>
          <w:szCs w:val="24"/>
        </w:rPr>
        <w:t>) Nariadenie Európskeho parlamentu a Rady (EÚ) 2016/794 v platnom znení.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27ebc</w:t>
      </w:r>
      <w:r w:rsidRPr="00D6779B">
        <w:rPr>
          <w:rFonts w:ascii="Times New Roman" w:hAnsi="Times New Roman" w:cs="Times New Roman"/>
          <w:sz w:val="24"/>
          <w:szCs w:val="24"/>
        </w:rPr>
        <w:t>) Príloha II oddiel B k nariadeniu Európskeho parlamentu a Rady (EÚ) 2016/794 v platnom znení.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27ebd</w:t>
      </w:r>
      <w:r w:rsidRPr="00D6779B">
        <w:rPr>
          <w:rFonts w:ascii="Times New Roman" w:hAnsi="Times New Roman" w:cs="Times New Roman"/>
          <w:sz w:val="24"/>
          <w:szCs w:val="24"/>
        </w:rPr>
        <w:t>) § 58 zákona č. 18/2018 Z. z.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27ebe</w:t>
      </w:r>
      <w:r w:rsidRPr="00D6779B">
        <w:rPr>
          <w:rFonts w:ascii="Times New Roman" w:hAnsi="Times New Roman" w:cs="Times New Roman"/>
          <w:sz w:val="24"/>
          <w:szCs w:val="24"/>
        </w:rPr>
        <w:t>) Čl. 19 a 29 nariadenia Európskeho parlamentu a Rady (EÚ) 2016/794 v platnom znení.</w:t>
      </w:r>
    </w:p>
    <w:p w:rsidR="00235858" w:rsidRPr="00D6779B" w:rsidRDefault="00235858" w:rsidP="00486CE5">
      <w:pPr>
        <w:ind w:left="709" w:hang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§ 58 zákona č. 18/2018 Z. z. 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27ebf</w:t>
      </w:r>
      <w:r w:rsidRPr="00D6779B">
        <w:rPr>
          <w:rFonts w:ascii="Times New Roman" w:hAnsi="Times New Roman" w:cs="Times New Roman"/>
          <w:sz w:val="24"/>
          <w:szCs w:val="24"/>
        </w:rPr>
        <w:t>) § 4 ods. 4 zákona č. 154/2010 Z. z.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27ebg</w:t>
      </w:r>
      <w:r w:rsidRPr="00D6779B">
        <w:rPr>
          <w:rFonts w:ascii="Times New Roman" w:hAnsi="Times New Roman" w:cs="Times New Roman"/>
          <w:sz w:val="24"/>
          <w:szCs w:val="24"/>
        </w:rPr>
        <w:t>) Príloha I k nariadeniu Európskeho parlamentu a Rady (EÚ) 2016/794 v platnom znení.“.</w:t>
      </w:r>
    </w:p>
    <w:p w:rsidR="00CA43A5" w:rsidRPr="00D6779B" w:rsidRDefault="00CA43A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EEE" w:rsidRPr="00D6779B" w:rsidRDefault="005F5EEE" w:rsidP="005F5EEE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Za § 83a sa vkladá § 83b, ktorý znie:</w:t>
      </w:r>
    </w:p>
    <w:p w:rsidR="005F5EEE" w:rsidRPr="00D6779B" w:rsidRDefault="005F5EEE" w:rsidP="005F5EEE">
      <w:pPr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„§ 83b</w:t>
      </w:r>
    </w:p>
    <w:p w:rsidR="005F5EEE" w:rsidRPr="00D6779B" w:rsidRDefault="005F5EEE" w:rsidP="005F5EEE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A43A5" w:rsidRPr="00D6779B" w:rsidRDefault="005F5EEE" w:rsidP="005F5EEE">
      <w:pPr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Zrušuje sa výnos Ministerstva vnútra Slovenskej republiky č. 93/2008 o podrobnostiach o vymieňaní informácií a osobných údajov s orgánmi členských štátov Európskej únie oprávnenými na predchádzanie a odhaľovanie trestnej činnosti, zisťovanie páchateľov trestných činov a vyšetrovanie trestných činov (oznámenie č. 619/2008 Z. z.).</w:t>
      </w:r>
      <w:r w:rsidR="003C024C" w:rsidRPr="00D6779B">
        <w:rPr>
          <w:rFonts w:ascii="Times New Roman" w:hAnsi="Times New Roman" w:cs="Times New Roman"/>
          <w:sz w:val="24"/>
          <w:szCs w:val="24"/>
        </w:rPr>
        <w:t>“.</w:t>
      </w:r>
    </w:p>
    <w:p w:rsidR="00CA43A5" w:rsidRPr="00D6779B" w:rsidRDefault="00CA43A5" w:rsidP="00CA43A5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prílohe č. 5 </w:t>
      </w:r>
      <w:r w:rsidR="00486CE5" w:rsidRPr="00D6779B">
        <w:rPr>
          <w:rFonts w:ascii="Times New Roman" w:hAnsi="Times New Roman" w:cs="Times New Roman"/>
          <w:sz w:val="24"/>
          <w:szCs w:val="24"/>
        </w:rPr>
        <w:t xml:space="preserve">štvrtý </w:t>
      </w:r>
      <w:r w:rsidRPr="00D6779B">
        <w:rPr>
          <w:rFonts w:ascii="Times New Roman" w:hAnsi="Times New Roman" w:cs="Times New Roman"/>
          <w:sz w:val="24"/>
          <w:szCs w:val="24"/>
        </w:rPr>
        <w:t>bod znie:</w:t>
      </w:r>
    </w:p>
    <w:p w:rsidR="00235858" w:rsidRPr="00D6779B" w:rsidRDefault="00A10CF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 „4. Rámcové r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ozhodnutie Rady 2009/905/SVV z 30. novembra 2009 o akreditácii poskytovateľov </w:t>
      </w:r>
      <w:proofErr w:type="spellStart"/>
      <w:r w:rsidR="00235858" w:rsidRPr="00D6779B">
        <w:rPr>
          <w:rFonts w:ascii="Times New Roman" w:hAnsi="Times New Roman" w:cs="Times New Roman"/>
          <w:sz w:val="24"/>
          <w:szCs w:val="24"/>
        </w:rPr>
        <w:t>forenzných</w:t>
      </w:r>
      <w:proofErr w:type="spellEnd"/>
      <w:r w:rsidR="00235858" w:rsidRPr="00D6779B">
        <w:rPr>
          <w:rFonts w:ascii="Times New Roman" w:hAnsi="Times New Roman" w:cs="Times New Roman"/>
          <w:sz w:val="24"/>
          <w:szCs w:val="24"/>
        </w:rPr>
        <w:t xml:space="preserve"> služieb vykonávajúcich laboratórne činnosti (Ú. v. EÚ L 322, 9. 12. 2009).“.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A43A5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Príloha č. 5 sa dopĺňa </w:t>
      </w:r>
      <w:r w:rsidR="00486CE5" w:rsidRPr="00D6779B">
        <w:rPr>
          <w:rFonts w:ascii="Times New Roman" w:hAnsi="Times New Roman" w:cs="Times New Roman"/>
          <w:sz w:val="24"/>
          <w:szCs w:val="24"/>
        </w:rPr>
        <w:t xml:space="preserve">piatym </w:t>
      </w:r>
      <w:r w:rsidRPr="00D6779B">
        <w:rPr>
          <w:rFonts w:ascii="Times New Roman" w:hAnsi="Times New Roman" w:cs="Times New Roman"/>
          <w:sz w:val="24"/>
          <w:szCs w:val="24"/>
        </w:rPr>
        <w:t>bodom, ktorý znie:</w:t>
      </w:r>
    </w:p>
    <w:p w:rsidR="00235858" w:rsidRPr="00D6779B" w:rsidRDefault="00235858" w:rsidP="00486CE5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„5. Smernica Európskeho parlamentu a Rady (EÚ) 2023/977 z 10. mája 2023 o výmene informácií medzi orgánmi presadzovania práva členských štátov a zrušení rámcového rozhodnutia Rady 2006/960/SVV (Ú. v. EÚ L 134, 22. 5. 2023).“.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Zákon č. 124/1992 Zb. o Vojenskej polícii v znení zá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kona č. 422/2002 Z. z., zákona </w:t>
      </w:r>
      <w:r w:rsidRPr="00D6779B">
        <w:rPr>
          <w:rFonts w:ascii="Times New Roman" w:hAnsi="Times New Roman" w:cs="Times New Roman"/>
          <w:sz w:val="24"/>
          <w:szCs w:val="24"/>
        </w:rPr>
        <w:t>č. 240/2005 Z. z., zákona č. 393/2008 Z. z., zákona č. 491/2008 Z. z., zákona č. 192/2011 Z. z., zákona č. 220/2011 Z. z., zákona č. 313/2011 Z. z., zákona č. 96/2012 Z. z., zákona č. 18/2018 Z. z., zákona č. 62/2019 Z. z., zákona č. 98/2</w:t>
      </w:r>
      <w:r w:rsidR="00891392" w:rsidRPr="00D6779B">
        <w:rPr>
          <w:rFonts w:ascii="Times New Roman" w:hAnsi="Times New Roman" w:cs="Times New Roman"/>
          <w:sz w:val="24"/>
          <w:szCs w:val="24"/>
        </w:rPr>
        <w:t>019 Z. z.,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 zákona č. 457/2022 </w:t>
      </w:r>
      <w:r w:rsidRPr="00D6779B">
        <w:rPr>
          <w:rFonts w:ascii="Times New Roman" w:hAnsi="Times New Roman" w:cs="Times New Roman"/>
          <w:sz w:val="24"/>
          <w:szCs w:val="24"/>
        </w:rPr>
        <w:t xml:space="preserve">Z. z. </w:t>
      </w:r>
      <w:r w:rsidR="00891392" w:rsidRPr="00D6779B">
        <w:rPr>
          <w:rFonts w:ascii="Times New Roman" w:hAnsi="Times New Roman" w:cs="Times New Roman"/>
          <w:sz w:val="24"/>
          <w:szCs w:val="24"/>
        </w:rPr>
        <w:t xml:space="preserve">a zákona č. 161/2024 Z. z. </w:t>
      </w:r>
      <w:r w:rsidRPr="00D6779B">
        <w:rPr>
          <w:rFonts w:ascii="Times New Roman" w:hAnsi="Times New Roman" w:cs="Times New Roman"/>
          <w:sz w:val="24"/>
          <w:szCs w:val="24"/>
        </w:rPr>
        <w:t>sa mení takto:</w:t>
      </w:r>
      <w:r w:rsidR="007A5A45" w:rsidRPr="00D6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1392" w:rsidRPr="00D6779B" w:rsidRDefault="00891392" w:rsidP="00CB0EA7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 § 35b ods. 4 písm. j) sa vypúšťajú slová „až § 35gc“.</w:t>
      </w:r>
    </w:p>
    <w:p w:rsidR="00891392" w:rsidRDefault="00891392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A0507" w:rsidRPr="00D6779B" w:rsidRDefault="00DA0507" w:rsidP="00891392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§ 35ga vrátane nadpisu znie:</w:t>
      </w: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„§ 35ga</w:t>
      </w: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Výmena informácií s členskými štátmi Európskej únie na účely trestného konania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3BDC" w:rsidRPr="00D6779B" w:rsidRDefault="00643BDC" w:rsidP="00643BDC">
      <w:pPr>
        <w:pStyle w:val="Odsekzoznamu"/>
        <w:numPr>
          <w:ilvl w:val="1"/>
          <w:numId w:val="2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Vojenská polícia je na účely predchádzania a odhaľovania trestných činov, za ktoré možno uložiť trest odňatia slobody v trvaní viac ako jeden rok, zisťovania páchateľov týchto trestných činov a vyšetrovania týchto trestných činov, oprávnená žiadať informácie od iného členského štátu prostredníctvom úradu medzinárodnej spolupráce Prezídia Policajného zboru a za podmienok ustanovených osobitným predpisom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5j</w:t>
      </w:r>
      <w:r w:rsidRPr="00D6779B">
        <w:rPr>
          <w:rFonts w:ascii="Times New Roman" w:hAnsi="Times New Roman" w:cs="Times New Roman"/>
          <w:sz w:val="24"/>
          <w:szCs w:val="24"/>
        </w:rPr>
        <w:t xml:space="preserve">) poskytuje informácie inému členskému štátu prostredníctvom úradu medzinárodnej spolupráce Prezídia Policajného zboru. </w:t>
      </w:r>
    </w:p>
    <w:p w:rsidR="00235858" w:rsidRPr="00D6779B" w:rsidRDefault="00235858" w:rsidP="00601F29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B27440" w:rsidP="00643BDC">
      <w:pPr>
        <w:pStyle w:val="Odsekzoznamu"/>
        <w:numPr>
          <w:ilvl w:val="1"/>
          <w:numId w:val="23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Postup, lehoty, podmienky a ďalšie pravidlá výmeny informácií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podľa odseku 1 </w:t>
      </w:r>
      <w:r w:rsidR="00891392" w:rsidRPr="00D6779B">
        <w:rPr>
          <w:rFonts w:ascii="Times New Roman" w:hAnsi="Times New Roman" w:cs="Times New Roman"/>
          <w:sz w:val="24"/>
          <w:szCs w:val="24"/>
        </w:rPr>
        <w:t xml:space="preserve">ustanovuje </w:t>
      </w:r>
      <w:r w:rsidR="00235858" w:rsidRPr="00D6779B">
        <w:rPr>
          <w:rFonts w:ascii="Times New Roman" w:hAnsi="Times New Roman" w:cs="Times New Roman"/>
          <w:sz w:val="24"/>
          <w:szCs w:val="24"/>
        </w:rPr>
        <w:t>osobitn</w:t>
      </w:r>
      <w:r w:rsidR="00891392" w:rsidRPr="00D6779B">
        <w:rPr>
          <w:rFonts w:ascii="Times New Roman" w:hAnsi="Times New Roman" w:cs="Times New Roman"/>
          <w:sz w:val="24"/>
          <w:szCs w:val="24"/>
        </w:rPr>
        <w:t>ý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predpis.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5j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 odkazu 5j znie:</w:t>
      </w:r>
    </w:p>
    <w:p w:rsidR="00235858" w:rsidRPr="00D6779B" w:rsidRDefault="00235858" w:rsidP="00D94C06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5j</w:t>
      </w:r>
      <w:r w:rsidRPr="00D6779B">
        <w:rPr>
          <w:rFonts w:ascii="Times New Roman" w:hAnsi="Times New Roman" w:cs="Times New Roman"/>
          <w:sz w:val="24"/>
          <w:szCs w:val="24"/>
        </w:rPr>
        <w:t>) § 69ga až 69gf zákona Národnej rady Slovenskej republiky č. 171/1993 Z. z. v znení zákona č. .../2024 Z. z.“.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35gb až 35gd sa vypúšťajú.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 odkazu 5k sa vypúšťa.</w:t>
      </w:r>
    </w:p>
    <w:p w:rsidR="00583091" w:rsidRPr="00D6779B" w:rsidRDefault="00583091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3F2A" w:rsidRPr="00D6779B" w:rsidRDefault="00293F2A" w:rsidP="00CB0EA7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 § 36 ods. 2 sa slová „uvedeného v“ nahrádzajú slovami „spôsobom podľa“.</w:t>
      </w:r>
    </w:p>
    <w:p w:rsidR="00293F2A" w:rsidRPr="00D6779B" w:rsidRDefault="00293F2A" w:rsidP="00293F2A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93F2A" w:rsidRPr="00D6779B" w:rsidRDefault="00293F2A" w:rsidP="00383190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§ 36 ods. 3 </w:t>
      </w:r>
      <w:r w:rsidR="00A7569A" w:rsidRPr="00D6779B">
        <w:rPr>
          <w:rFonts w:ascii="Times New Roman" w:hAnsi="Times New Roman" w:cs="Times New Roman"/>
          <w:sz w:val="24"/>
          <w:szCs w:val="24"/>
        </w:rPr>
        <w:t xml:space="preserve">druhej vete </w:t>
      </w:r>
      <w:r w:rsidRPr="00D6779B">
        <w:rPr>
          <w:rFonts w:ascii="Times New Roman" w:hAnsi="Times New Roman" w:cs="Times New Roman"/>
          <w:sz w:val="24"/>
          <w:szCs w:val="24"/>
        </w:rPr>
        <w:t xml:space="preserve">sa </w:t>
      </w:r>
      <w:r w:rsidR="00383190" w:rsidRPr="00D6779B">
        <w:rPr>
          <w:rFonts w:ascii="Times New Roman" w:hAnsi="Times New Roman" w:cs="Times New Roman"/>
          <w:sz w:val="24"/>
          <w:szCs w:val="24"/>
        </w:rPr>
        <w:t xml:space="preserve">za slovo „štátu“ vkladá čiarka a </w:t>
      </w:r>
      <w:r w:rsidRPr="00D6779B">
        <w:rPr>
          <w:rFonts w:ascii="Times New Roman" w:hAnsi="Times New Roman" w:cs="Times New Roman"/>
          <w:sz w:val="24"/>
          <w:szCs w:val="24"/>
        </w:rPr>
        <w:t xml:space="preserve">slová </w:t>
      </w:r>
      <w:r w:rsidR="00383190" w:rsidRPr="00D6779B">
        <w:rPr>
          <w:rFonts w:ascii="Times New Roman" w:hAnsi="Times New Roman" w:cs="Times New Roman"/>
          <w:sz w:val="24"/>
          <w:szCs w:val="24"/>
        </w:rPr>
        <w:t>„uvedeného v“ nahrádzajú slovami „od ktorého boli Vojenskej polícii poskytnuté alebo sprístupnené osobné údaje spôsobom podľa“.</w:t>
      </w:r>
    </w:p>
    <w:p w:rsidR="00293F2A" w:rsidRPr="00D6779B" w:rsidRDefault="00293F2A" w:rsidP="00293F2A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Príloha vrátane nadpisu znie: </w:t>
      </w:r>
    </w:p>
    <w:p w:rsidR="00D94C06" w:rsidRPr="00D6779B" w:rsidRDefault="00D94C06" w:rsidP="00D94C06">
      <w:pPr>
        <w:ind w:left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„Príloha </w:t>
      </w:r>
    </w:p>
    <w:p w:rsidR="00D94C06" w:rsidRPr="00D6779B" w:rsidRDefault="00D94C06" w:rsidP="00D94C06">
      <w:pPr>
        <w:ind w:left="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k zákonu č. 124/1992 Zb.</w:t>
      </w:r>
    </w:p>
    <w:p w:rsidR="00D94C06" w:rsidRPr="00D6779B" w:rsidRDefault="00D94C06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ZOZNAM PREBERANÝCH PRÁVNE ZÁVӒZNÝCH AKTOV EURÓPSKEJ ÚNIE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Smernica Európskeho parlamentu a Rady (EÚ) 2023/977 z 10. mája 2023 o výmene informácií medzi orgánmi presadzovania práva členských štátov a zrušení rámcového rozhodnutia Rady 2006/960/SVV (Ú. v. EÚ L 134, 22. 5. 2023).“.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Čl. III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Zákon č. 4/2001 Z. z. o Zbore väzenskej a justičnej stráže v znení zákona č. 422/2002 Z. z., zákona č. 166/2003 Z. z., zákona č. 537/2004 Z. z., zá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kona č. 581/2004 Z. z., zákona </w:t>
      </w:r>
      <w:r w:rsidRPr="00D6779B">
        <w:rPr>
          <w:rFonts w:ascii="Times New Roman" w:hAnsi="Times New Roman" w:cs="Times New Roman"/>
          <w:sz w:val="24"/>
          <w:szCs w:val="24"/>
        </w:rPr>
        <w:t>č. 475/2005 Z. z., zákona č. 491/2008 Z. z., zákona č. 59/2009 Z. z., zákona č. 192/2011 Z. z., zákona č. 220/2011 Z. z., zákona č. 372/2013 Z. z., zákona č. 307/2014 Z. z., zákona č. 176/2015 Z. z., zákona č. 386/2015 Z. z., zákona č. 444/2015 Z. z., zákona č. 125/2016 Z. z.,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 </w:t>
      </w:r>
      <w:r w:rsidRPr="00D6779B">
        <w:rPr>
          <w:rFonts w:ascii="Times New Roman" w:hAnsi="Times New Roman" w:cs="Times New Roman"/>
          <w:sz w:val="24"/>
          <w:szCs w:val="24"/>
        </w:rPr>
        <w:t>zákona č. 255/2016 Z. z., zákona č. 50/2018 Z. z., zákona č. 18/2018 Z. z., zákona č. 231/2019 Z. z., zákona č. 423/2020 Z. z., zákona č. 151/2022 Z. z. a zá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kona č. 187/2023 Z. z. sa mení </w:t>
      </w:r>
      <w:r w:rsidRPr="00D6779B">
        <w:rPr>
          <w:rFonts w:ascii="Times New Roman" w:hAnsi="Times New Roman" w:cs="Times New Roman"/>
          <w:sz w:val="24"/>
          <w:szCs w:val="24"/>
        </w:rPr>
        <w:t>takto:</w:t>
      </w:r>
    </w:p>
    <w:p w:rsidR="00D94C06" w:rsidRPr="00D6779B" w:rsidRDefault="00D94C06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6136" w:rsidRPr="00D6779B" w:rsidRDefault="00C86136" w:rsidP="00CB0EA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lastRenderedPageBreak/>
        <w:t>Nadpis nad § 65c sa vypúšťa.</w:t>
      </w:r>
    </w:p>
    <w:p w:rsidR="00C86136" w:rsidRPr="00D6779B" w:rsidRDefault="00C86136" w:rsidP="00C86136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65c vrátane nadpisu znie:</w:t>
      </w: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„§ 65c</w:t>
      </w: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Výmena informácií s členskými štátmi Európskej únie na účely trestného konania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E1C" w:rsidRPr="00D6779B" w:rsidRDefault="00B57E1C" w:rsidP="00B57E1C">
      <w:pPr>
        <w:pStyle w:val="Odsekzoznamu"/>
        <w:numPr>
          <w:ilvl w:val="1"/>
          <w:numId w:val="2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Zbor je na účely predchádzania a odhaľovania trestných činov, za ktoré možno uložiť trest odňatia slobody v trvaní viac ako jeden rok, zisťovania páchateľov týchto trestných činov a vyšetrovania týchto trestných činov oprávnený žiadať informácie od iného členského štátu Európskej únie prostredníctvom úradu medzinárodnej policajnej spolupráce Prezídia Policajného zboru a za podmienok ustanovených osobitným predpisom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D6779B">
        <w:rPr>
          <w:rFonts w:ascii="Times New Roman" w:hAnsi="Times New Roman" w:cs="Times New Roman"/>
          <w:sz w:val="24"/>
          <w:szCs w:val="24"/>
        </w:rPr>
        <w:t>) poskytuje informácie inému členskému štátu Európskej únie prostredníctvom úradu medzinárodnej policajnej spolupráce Prezídia Policajného zboru.</w:t>
      </w:r>
    </w:p>
    <w:p w:rsidR="00235858" w:rsidRPr="00D6779B" w:rsidRDefault="00235858" w:rsidP="00601F29">
      <w:pPr>
        <w:tabs>
          <w:tab w:val="left" w:pos="1134"/>
        </w:tabs>
        <w:ind w:left="426"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B27440" w:rsidP="00601F29">
      <w:pPr>
        <w:pStyle w:val="Odsekzoznamu"/>
        <w:numPr>
          <w:ilvl w:val="1"/>
          <w:numId w:val="24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Postup, lehoty, podmienky a ďalšie pravidlá výmeny informácií</w:t>
      </w:r>
      <w:r w:rsidR="00D421DD" w:rsidRPr="00D6779B">
        <w:rPr>
          <w:rFonts w:ascii="Times New Roman" w:hAnsi="Times New Roman" w:cs="Times New Roman"/>
          <w:sz w:val="24"/>
          <w:szCs w:val="24"/>
        </w:rPr>
        <w:t xml:space="preserve"> podľa odseku 1 ustanovuje </w:t>
      </w:r>
      <w:r w:rsidR="00235858" w:rsidRPr="00D6779B">
        <w:rPr>
          <w:rFonts w:ascii="Times New Roman" w:hAnsi="Times New Roman" w:cs="Times New Roman"/>
          <w:sz w:val="24"/>
          <w:szCs w:val="24"/>
        </w:rPr>
        <w:t>osobitn</w:t>
      </w:r>
      <w:r w:rsidR="00D421DD" w:rsidRPr="00D6779B">
        <w:rPr>
          <w:rFonts w:ascii="Times New Roman" w:hAnsi="Times New Roman" w:cs="Times New Roman"/>
          <w:sz w:val="24"/>
          <w:szCs w:val="24"/>
        </w:rPr>
        <w:t>ý</w:t>
      </w:r>
      <w:r w:rsidR="00235858" w:rsidRPr="00D6779B">
        <w:rPr>
          <w:rFonts w:ascii="Times New Roman" w:hAnsi="Times New Roman" w:cs="Times New Roman"/>
          <w:sz w:val="24"/>
          <w:szCs w:val="24"/>
        </w:rPr>
        <w:t xml:space="preserve"> predpis.</w:t>
      </w:r>
      <w:r w:rsidR="00235858" w:rsidRPr="00D6779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="00235858" w:rsidRPr="00D6779B">
        <w:rPr>
          <w:rFonts w:ascii="Times New Roman" w:hAnsi="Times New Roman" w:cs="Times New Roman"/>
          <w:sz w:val="24"/>
          <w:szCs w:val="24"/>
        </w:rPr>
        <w:t>)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 odkazu 18 znie:</w:t>
      </w:r>
    </w:p>
    <w:p w:rsidR="00235858" w:rsidRPr="00D6779B" w:rsidRDefault="00235858" w:rsidP="00D94C06">
      <w:pPr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D6779B">
        <w:rPr>
          <w:rFonts w:ascii="Times New Roman" w:hAnsi="Times New Roman" w:cs="Times New Roman"/>
          <w:sz w:val="24"/>
          <w:szCs w:val="24"/>
        </w:rPr>
        <w:t>) § 69ga až 69gf zákona Národnej rady Slovenskej republiky č. 171/1993 Z. z. v znení zákona č. .../2024 Z. z.“.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§ 65d sa vypúšťa.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Poznámka pod čiarou k odkazu 18a sa vypúšťa.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Príloha vrátane nadpisu znie: </w:t>
      </w:r>
    </w:p>
    <w:p w:rsidR="00235858" w:rsidRPr="00D6779B" w:rsidRDefault="00D94C06" w:rsidP="00D94C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„Príloha</w:t>
      </w:r>
    </w:p>
    <w:p w:rsidR="00D94C06" w:rsidRPr="00D6779B" w:rsidRDefault="00D94C06" w:rsidP="00D94C06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k zákonu č. 4/2001 Z. z.</w:t>
      </w:r>
    </w:p>
    <w:p w:rsidR="00583091" w:rsidRPr="00D6779B" w:rsidRDefault="00583091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ZOZNAM PREBERANÝCH PRÁVNE ZÁVӒZNÝCH AKTOV EURÓPSKEJ ÚNIE</w:t>
      </w: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D94C06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Smernica Európskeho parlamentu a Rady (EÚ) 2023/977 z 10. mája 2023 o výmene informácií medzi orgánmi presadzovania práva členských štátov a zrušení rámcového rozhodnutia Rady 2006/960/SVV (Ú. v. EÚ L 134, 22. 5. 2023).“.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Čl. IV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Zákon č. 35/2019 Z. z. o finančnej správe a o zmene a doplnení niektorých zákonov v znení zákona č. 319/2019 Z. z., zákona č. 126/2020 Z. z., zákona č. 76/2021 Z. z., zákona č. 186/2021 Z. z., zákona č. 431/2021 Z. z., zákona č. 123/2022 Z. z., zák</w:t>
      </w:r>
      <w:r w:rsidR="00CB0EA7" w:rsidRPr="00D6779B">
        <w:rPr>
          <w:rFonts w:ascii="Times New Roman" w:hAnsi="Times New Roman" w:cs="Times New Roman"/>
          <w:sz w:val="24"/>
          <w:szCs w:val="24"/>
        </w:rPr>
        <w:t xml:space="preserve">ona č. 125/2022 Z. z. a zákona </w:t>
      </w:r>
      <w:r w:rsidRPr="00D6779B">
        <w:rPr>
          <w:rFonts w:ascii="Times New Roman" w:hAnsi="Times New Roman" w:cs="Times New Roman"/>
          <w:sz w:val="24"/>
          <w:szCs w:val="24"/>
        </w:rPr>
        <w:t>č. 350/2022 sa mení a dopĺňa takto:</w:t>
      </w:r>
    </w:p>
    <w:p w:rsidR="00D6528A" w:rsidRPr="00D6779B" w:rsidRDefault="00D6528A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§ 23 vrátane nadpisu znie: </w:t>
      </w:r>
    </w:p>
    <w:p w:rsidR="00B911C7" w:rsidRPr="00D6779B" w:rsidRDefault="00D6528A" w:rsidP="00B911C7">
      <w:pPr>
        <w:pStyle w:val="Odsekzoznamu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„§ 23</w:t>
      </w:r>
    </w:p>
    <w:p w:rsidR="00B911C7" w:rsidRPr="00D6779B" w:rsidRDefault="00D6528A" w:rsidP="00B911C7">
      <w:pPr>
        <w:pStyle w:val="Odsekzoznamu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Výmena informácií s členskými štátmi pri plnení úloh finančnej správy na účely trestného konania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A7569A">
      <w:pPr>
        <w:pStyle w:val="Odsekzoznamu"/>
        <w:numPr>
          <w:ilvl w:val="2"/>
          <w:numId w:val="25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Finančná správa je na účely predchádzania a odhaľovania trestných činov, za ktoré možno uložiť trest odňatia slobody v trvaní viac ako jeden rok, zisťovania páchateľov týchto trestných činov a vyšetrovania týchto trestných činov, oprávnená žiadať </w:t>
      </w:r>
      <w:r w:rsidRPr="00D6779B">
        <w:rPr>
          <w:rFonts w:ascii="Times New Roman" w:hAnsi="Times New Roman" w:cs="Times New Roman"/>
          <w:sz w:val="24"/>
          <w:szCs w:val="24"/>
        </w:rPr>
        <w:lastRenderedPageBreak/>
        <w:t>informácie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81</w:t>
      </w:r>
      <w:r w:rsidRPr="00D6779B">
        <w:rPr>
          <w:rFonts w:ascii="Times New Roman" w:hAnsi="Times New Roman" w:cs="Times New Roman"/>
          <w:sz w:val="24"/>
          <w:szCs w:val="24"/>
        </w:rPr>
        <w:t>) od iného členského štátu prostredníctvom úradu medzinárodnej spolupráce Prezídia Policajného zboru a za podmienok ustanovených osobitným predpisom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82</w:t>
      </w:r>
      <w:r w:rsidRPr="00D6779B">
        <w:rPr>
          <w:rFonts w:ascii="Times New Roman" w:hAnsi="Times New Roman" w:cs="Times New Roman"/>
          <w:sz w:val="24"/>
          <w:szCs w:val="24"/>
        </w:rPr>
        <w:t xml:space="preserve">) poskytuje informácie inému členskému štátu prostredníctvom úradu medzinárodnej spolupráce Prezídia Policajného zboru. </w:t>
      </w:r>
    </w:p>
    <w:p w:rsidR="00B911C7" w:rsidRPr="00D6779B" w:rsidRDefault="00B911C7" w:rsidP="00B911C7">
      <w:pPr>
        <w:pStyle w:val="Odsekzoznamu"/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D6528A" w:rsidRPr="00D6779B" w:rsidRDefault="00D6528A" w:rsidP="00A7569A">
      <w:pPr>
        <w:pStyle w:val="Odsekzoznamu"/>
        <w:numPr>
          <w:ilvl w:val="2"/>
          <w:numId w:val="25"/>
        </w:numPr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Postup, lehoty, podmienky a ďalšie pravidlá výmeny informácií podľa odseku 1 ustanovuje osobitný predpis.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82</w:t>
      </w:r>
      <w:r w:rsidRPr="00D6779B">
        <w:rPr>
          <w:rFonts w:ascii="Times New Roman" w:hAnsi="Times New Roman" w:cs="Times New Roman"/>
          <w:sz w:val="24"/>
          <w:szCs w:val="24"/>
        </w:rPr>
        <w:t xml:space="preserve">)“. </w:t>
      </w:r>
    </w:p>
    <w:p w:rsidR="00D6528A" w:rsidRDefault="00D6528A" w:rsidP="00B911C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15AA" w:rsidRPr="00D6779B" w:rsidRDefault="00F515AA" w:rsidP="00B911C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Poznámky pod čiarou k odkazom 81 a 82 znejú: </w:t>
      </w:r>
    </w:p>
    <w:p w:rsidR="00B911C7" w:rsidRPr="00D6779B" w:rsidRDefault="00D6528A" w:rsidP="00B911C7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</w:t>
      </w: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81</w:t>
      </w:r>
      <w:r w:rsidRPr="00D6779B">
        <w:rPr>
          <w:rFonts w:ascii="Times New Roman" w:hAnsi="Times New Roman" w:cs="Times New Roman"/>
          <w:sz w:val="24"/>
          <w:szCs w:val="24"/>
        </w:rPr>
        <w:t xml:space="preserve">) § 69gb </w:t>
      </w:r>
      <w:r w:rsidR="00F37F9F" w:rsidRPr="00D6779B">
        <w:rPr>
          <w:rFonts w:ascii="Times New Roman" w:hAnsi="Times New Roman" w:cs="Times New Roman"/>
          <w:sz w:val="24"/>
          <w:szCs w:val="24"/>
        </w:rPr>
        <w:t>písm. a)</w:t>
      </w:r>
      <w:r w:rsidRPr="00D6779B">
        <w:rPr>
          <w:rFonts w:ascii="Times New Roman" w:hAnsi="Times New Roman" w:cs="Times New Roman"/>
          <w:sz w:val="24"/>
          <w:szCs w:val="24"/>
        </w:rPr>
        <w:t xml:space="preserve"> zákona Národnej rady Slovenskej republiky č. 171/1993 Z. z. v znení zákona č. .../2024 Z. z. </w:t>
      </w:r>
    </w:p>
    <w:p w:rsidR="00B911C7" w:rsidRPr="00D6779B" w:rsidRDefault="00D6528A" w:rsidP="00B911C7">
      <w:p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  <w:vertAlign w:val="superscript"/>
        </w:rPr>
        <w:t>82</w:t>
      </w:r>
      <w:r w:rsidRPr="00D6779B">
        <w:rPr>
          <w:rFonts w:ascii="Times New Roman" w:hAnsi="Times New Roman" w:cs="Times New Roman"/>
          <w:sz w:val="24"/>
          <w:szCs w:val="24"/>
        </w:rPr>
        <w:t xml:space="preserve">) § 69ga až 69gf zákona Národnej rady Slovenskej republiky č. 171/1993 Z. z. v znení zákona č. .../2024 Z. z.“. </w:t>
      </w:r>
    </w:p>
    <w:p w:rsidR="00B911C7" w:rsidRPr="00D6779B" w:rsidRDefault="00B911C7" w:rsidP="00D65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§ 24 a 25 sa vypúšťajú.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28A" w:rsidRPr="00D6779B" w:rsidRDefault="00D6528A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Poznámka pod čiarou k odkazu 83 sa vypúšťa. </w:t>
      </w:r>
    </w:p>
    <w:p w:rsidR="00D6528A" w:rsidRPr="00D6779B" w:rsidRDefault="00D6528A" w:rsidP="00D65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§ 26 sa vypúšťa odsek 2.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Súčasne sa zrušuje označenie odseku 1.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28A" w:rsidRPr="00D6779B" w:rsidRDefault="00D6528A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Poznámka pod čiarou k odkazu 84 sa vypúšťa.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6528A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§ 314 ods. 3 sa slová „orgán členského štátu” nahrádzajú slovami „orgán iného členského štátu oprávnený na predchádzanie a odhaľovanie trestných činov, zisťovanie páchateľov trestných činov a vyšetrovanie trestných činov“.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§ 314 ods. 5 sa slová „orgánu členského štátu“ nahrádzajú slovami „orgánu iného členského štátu oprávneného na predchádzanie a odhaľovanie trestných činov, zisťovanie páchateľov trestných činov a vyšetrovanie trestných činov“. </w:t>
      </w:r>
    </w:p>
    <w:p w:rsidR="00B911C7" w:rsidRPr="00D6779B" w:rsidRDefault="00B911C7" w:rsidP="00B911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V prílohe č. 5 sa vypúšťa šiesty bod. </w:t>
      </w:r>
    </w:p>
    <w:p w:rsidR="00B911C7" w:rsidRPr="00D6779B" w:rsidRDefault="00B911C7" w:rsidP="00B911C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Doterajší siedmy bod a ôsmy bod sa označujú ako šiesty bod a siedmy bod. </w:t>
      </w:r>
    </w:p>
    <w:p w:rsidR="00B911C7" w:rsidRPr="00D6779B" w:rsidRDefault="00B911C7" w:rsidP="00B911C7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911C7" w:rsidRPr="00D6779B" w:rsidRDefault="00D6528A" w:rsidP="00B911C7">
      <w:pPr>
        <w:pStyle w:val="Odsekzoznamu"/>
        <w:numPr>
          <w:ilvl w:val="2"/>
          <w:numId w:val="11"/>
        </w:numPr>
        <w:ind w:left="426" w:hanging="422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 xml:space="preserve">Príloha č. 5 sa dopĺňa ôsmym bodom, ktorý znie: </w:t>
      </w:r>
    </w:p>
    <w:p w:rsidR="00CB0EA7" w:rsidRPr="00D6779B" w:rsidRDefault="00D6528A" w:rsidP="00B911C7">
      <w:pPr>
        <w:pStyle w:val="Odsekzoznamu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„8. Smernica Európskeho parlamentu a Rady (EÚ) 2023/977 z 10. mája 2023 o výmene informácií medzi orgánmi presadzovania práva členských štátov a zrušení rámcového rozhodnutia Rady 2006/960/SVV (Ú. v. EÚ L 134, 22. 5. 2023).</w:t>
      </w:r>
      <w:r w:rsidR="00B911C7" w:rsidRPr="00D6779B">
        <w:rPr>
          <w:rFonts w:ascii="Times New Roman" w:hAnsi="Times New Roman" w:cs="Times New Roman"/>
          <w:sz w:val="24"/>
          <w:szCs w:val="24"/>
        </w:rPr>
        <w:t>“.</w:t>
      </w:r>
    </w:p>
    <w:p w:rsidR="00235858" w:rsidRPr="00D6779B" w:rsidRDefault="00235858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D6779B" w:rsidRDefault="00235858" w:rsidP="00CB0EA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9B">
        <w:rPr>
          <w:rFonts w:ascii="Times New Roman" w:hAnsi="Times New Roman" w:cs="Times New Roman"/>
          <w:b/>
          <w:sz w:val="24"/>
          <w:szCs w:val="24"/>
        </w:rPr>
        <w:t>Čl. V</w:t>
      </w:r>
    </w:p>
    <w:p w:rsidR="00CB0EA7" w:rsidRPr="00D6779B" w:rsidRDefault="00CB0EA7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5858" w:rsidRPr="00896E4B" w:rsidRDefault="00235858" w:rsidP="00CB0EA7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779B">
        <w:rPr>
          <w:rFonts w:ascii="Times New Roman" w:hAnsi="Times New Roman" w:cs="Times New Roman"/>
          <w:sz w:val="24"/>
          <w:szCs w:val="24"/>
        </w:rPr>
        <w:t>Tento zákon nado</w:t>
      </w:r>
      <w:r w:rsidR="00195853" w:rsidRPr="00D6779B">
        <w:rPr>
          <w:rFonts w:ascii="Times New Roman" w:hAnsi="Times New Roman" w:cs="Times New Roman"/>
          <w:sz w:val="24"/>
          <w:szCs w:val="24"/>
        </w:rPr>
        <w:t>búda účinnosť 12. decembra 2024 okrem čl. I piateho bodu § 69gf ods. 6 písm. f), ktorý nadobúda účinnosť 12. júna 2027.</w:t>
      </w:r>
    </w:p>
    <w:p w:rsidR="00944E15" w:rsidRPr="00896E4B" w:rsidRDefault="00944E15" w:rsidP="002358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44E15" w:rsidRPr="00896E4B" w:rsidSect="00CE49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3A" w:rsidRDefault="00C4273A" w:rsidP="00986961">
      <w:r>
        <w:separator/>
      </w:r>
    </w:p>
  </w:endnote>
  <w:endnote w:type="continuationSeparator" w:id="0">
    <w:p w:rsidR="00C4273A" w:rsidRDefault="00C4273A" w:rsidP="0098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61" w:rsidRDefault="00CE49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171139"/>
      <w:docPartObj>
        <w:docPartGallery w:val="Page Numbers (Bottom of Page)"/>
        <w:docPartUnique/>
      </w:docPartObj>
    </w:sdtPr>
    <w:sdtEndPr/>
    <w:sdtContent>
      <w:p w:rsidR="00CE4961" w:rsidRDefault="00CE4961" w:rsidP="00CE49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C88">
          <w:rPr>
            <w:noProof/>
          </w:rPr>
          <w:t>11</w:t>
        </w:r>
        <w:r>
          <w:fldChar w:fldCharType="end"/>
        </w:r>
      </w:p>
    </w:sdtContent>
  </w:sdt>
  <w:p w:rsidR="00986961" w:rsidRPr="00986961" w:rsidRDefault="00986961" w:rsidP="00986961">
    <w:pPr>
      <w:pStyle w:val="Pta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61" w:rsidRDefault="00CE49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3A" w:rsidRDefault="00C4273A" w:rsidP="00986961">
      <w:r>
        <w:separator/>
      </w:r>
    </w:p>
  </w:footnote>
  <w:footnote w:type="continuationSeparator" w:id="0">
    <w:p w:rsidR="00C4273A" w:rsidRDefault="00C4273A" w:rsidP="0098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61" w:rsidRDefault="00CE49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61" w:rsidRDefault="00CE496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961" w:rsidRDefault="00CE49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0A9"/>
    <w:multiLevelType w:val="hybridMultilevel"/>
    <w:tmpl w:val="1924FCB2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490495"/>
    <w:multiLevelType w:val="hybridMultilevel"/>
    <w:tmpl w:val="737255CC"/>
    <w:lvl w:ilvl="0" w:tplc="5B8A4E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340F2FA">
      <w:start w:val="1"/>
      <w:numFmt w:val="decimal"/>
      <w:lvlText w:val="(%2)"/>
      <w:lvlJc w:val="left"/>
      <w:pPr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D15C5"/>
    <w:multiLevelType w:val="hybridMultilevel"/>
    <w:tmpl w:val="79703960"/>
    <w:lvl w:ilvl="0" w:tplc="273CB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545894"/>
    <w:multiLevelType w:val="hybridMultilevel"/>
    <w:tmpl w:val="7B3E9548"/>
    <w:lvl w:ilvl="0" w:tplc="5ECA03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BC0C9AA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60F62F36">
      <w:start w:val="1"/>
      <w:numFmt w:val="decimal"/>
      <w:lvlText w:val="(%3)"/>
      <w:lvlJc w:val="left"/>
      <w:pPr>
        <w:ind w:left="2481" w:hanging="435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F93AED"/>
    <w:multiLevelType w:val="hybridMultilevel"/>
    <w:tmpl w:val="D80C0670"/>
    <w:lvl w:ilvl="0" w:tplc="531EFDD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61EA4"/>
    <w:multiLevelType w:val="hybridMultilevel"/>
    <w:tmpl w:val="6EB226B8"/>
    <w:lvl w:ilvl="0" w:tplc="79FC24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1327E1"/>
    <w:multiLevelType w:val="hybridMultilevel"/>
    <w:tmpl w:val="B76E81F6"/>
    <w:lvl w:ilvl="0" w:tplc="E314F3A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7B9E"/>
    <w:multiLevelType w:val="hybridMultilevel"/>
    <w:tmpl w:val="D88E5F46"/>
    <w:lvl w:ilvl="0" w:tplc="8B4C6F5C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A11F4"/>
    <w:multiLevelType w:val="hybridMultilevel"/>
    <w:tmpl w:val="CE4CDF54"/>
    <w:lvl w:ilvl="0" w:tplc="5ECA03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9551F8"/>
    <w:multiLevelType w:val="hybridMultilevel"/>
    <w:tmpl w:val="B9AECDA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B7725"/>
    <w:multiLevelType w:val="hybridMultilevel"/>
    <w:tmpl w:val="1F9271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142C4"/>
    <w:multiLevelType w:val="hybridMultilevel"/>
    <w:tmpl w:val="358806F0"/>
    <w:lvl w:ilvl="0" w:tplc="5ECA03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F214A"/>
    <w:multiLevelType w:val="hybridMultilevel"/>
    <w:tmpl w:val="A1165A84"/>
    <w:lvl w:ilvl="0" w:tplc="55F028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84985"/>
    <w:multiLevelType w:val="hybridMultilevel"/>
    <w:tmpl w:val="D4B2708E"/>
    <w:lvl w:ilvl="0" w:tplc="C9102568">
      <w:start w:val="1"/>
      <w:numFmt w:val="decimal"/>
      <w:lvlText w:val="(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5331D6"/>
    <w:multiLevelType w:val="hybridMultilevel"/>
    <w:tmpl w:val="29C492FE"/>
    <w:lvl w:ilvl="0" w:tplc="386AA8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5C6C3E8">
      <w:start w:val="1"/>
      <w:numFmt w:val="decimal"/>
      <w:lvlText w:val="(%2)"/>
      <w:lvlJc w:val="left"/>
      <w:pPr>
        <w:ind w:left="1581" w:hanging="435"/>
      </w:pPr>
      <w:rPr>
        <w:rFonts w:hint="default"/>
      </w:rPr>
    </w:lvl>
    <w:lvl w:ilvl="2" w:tplc="B7CA7464">
      <w:start w:val="1"/>
      <w:numFmt w:val="decimal"/>
      <w:lvlText w:val="%3."/>
      <w:lvlJc w:val="left"/>
      <w:pPr>
        <w:ind w:left="2406" w:hanging="360"/>
      </w:pPr>
      <w:rPr>
        <w:rFonts w:hint="default"/>
        <w:b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CB52337"/>
    <w:multiLevelType w:val="hybridMultilevel"/>
    <w:tmpl w:val="C122D302"/>
    <w:lvl w:ilvl="0" w:tplc="C9102568">
      <w:start w:val="1"/>
      <w:numFmt w:val="decimal"/>
      <w:lvlText w:val="(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3C6C88"/>
    <w:multiLevelType w:val="hybridMultilevel"/>
    <w:tmpl w:val="ED522742"/>
    <w:lvl w:ilvl="0" w:tplc="386AA89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21E454B"/>
    <w:multiLevelType w:val="hybridMultilevel"/>
    <w:tmpl w:val="EE62C5A2"/>
    <w:lvl w:ilvl="0" w:tplc="1BD8A4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3D1A58"/>
    <w:multiLevelType w:val="hybridMultilevel"/>
    <w:tmpl w:val="5504D642"/>
    <w:lvl w:ilvl="0" w:tplc="39B094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F24341"/>
    <w:multiLevelType w:val="hybridMultilevel"/>
    <w:tmpl w:val="E1F61F9E"/>
    <w:lvl w:ilvl="0" w:tplc="C9102568">
      <w:start w:val="1"/>
      <w:numFmt w:val="decimal"/>
      <w:lvlText w:val="(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AA781A"/>
    <w:multiLevelType w:val="hybridMultilevel"/>
    <w:tmpl w:val="F0AE0DE6"/>
    <w:lvl w:ilvl="0" w:tplc="55F028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BCE356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8082A0B6">
      <w:start w:val="1"/>
      <w:numFmt w:val="decimal"/>
      <w:lvlText w:val="(%3)"/>
      <w:lvlJc w:val="left"/>
      <w:pPr>
        <w:ind w:left="2406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412451"/>
    <w:multiLevelType w:val="hybridMultilevel"/>
    <w:tmpl w:val="F8D81B88"/>
    <w:lvl w:ilvl="0" w:tplc="B7105A90">
      <w:start w:val="1"/>
      <w:numFmt w:val="decimal"/>
      <w:lvlText w:val="(%1)"/>
      <w:lvlJc w:val="left"/>
      <w:pPr>
        <w:ind w:left="114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9533F9"/>
    <w:multiLevelType w:val="hybridMultilevel"/>
    <w:tmpl w:val="B4A6E612"/>
    <w:lvl w:ilvl="0" w:tplc="00F058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C84149"/>
    <w:multiLevelType w:val="hybridMultilevel"/>
    <w:tmpl w:val="2814E798"/>
    <w:lvl w:ilvl="0" w:tplc="386AA8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5C6C3E8">
      <w:start w:val="1"/>
      <w:numFmt w:val="decimal"/>
      <w:lvlText w:val="(%2)"/>
      <w:lvlJc w:val="left"/>
      <w:pPr>
        <w:ind w:left="1581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577533"/>
    <w:multiLevelType w:val="hybridMultilevel"/>
    <w:tmpl w:val="E6DE6064"/>
    <w:lvl w:ilvl="0" w:tplc="5B8A4E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509F5"/>
    <w:multiLevelType w:val="hybridMultilevel"/>
    <w:tmpl w:val="98C4104A"/>
    <w:lvl w:ilvl="0" w:tplc="AD5E633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A0034"/>
    <w:multiLevelType w:val="hybridMultilevel"/>
    <w:tmpl w:val="1F02EEC0"/>
    <w:lvl w:ilvl="0" w:tplc="0A5A9A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411336A"/>
    <w:multiLevelType w:val="hybridMultilevel"/>
    <w:tmpl w:val="478C3E74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0D86A5D"/>
    <w:multiLevelType w:val="hybridMultilevel"/>
    <w:tmpl w:val="31C6E428"/>
    <w:lvl w:ilvl="0" w:tplc="06B010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669266D8">
      <w:start w:val="1"/>
      <w:numFmt w:val="decimal"/>
      <w:lvlText w:val="(%2)"/>
      <w:lvlJc w:val="left"/>
      <w:pPr>
        <w:ind w:left="1521" w:hanging="37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5A3E73"/>
    <w:multiLevelType w:val="hybridMultilevel"/>
    <w:tmpl w:val="2966A0F6"/>
    <w:lvl w:ilvl="0" w:tplc="55F028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049A6"/>
    <w:multiLevelType w:val="hybridMultilevel"/>
    <w:tmpl w:val="2DC8D3A2"/>
    <w:lvl w:ilvl="0" w:tplc="1BD8A4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3753AF"/>
    <w:multiLevelType w:val="hybridMultilevel"/>
    <w:tmpl w:val="5C00D468"/>
    <w:lvl w:ilvl="0" w:tplc="5ECA03C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25"/>
  </w:num>
  <w:num w:numId="3">
    <w:abstractNumId w:val="4"/>
  </w:num>
  <w:num w:numId="4">
    <w:abstractNumId w:val="6"/>
  </w:num>
  <w:num w:numId="5">
    <w:abstractNumId w:val="7"/>
  </w:num>
  <w:num w:numId="6">
    <w:abstractNumId w:val="27"/>
  </w:num>
  <w:num w:numId="7">
    <w:abstractNumId w:val="15"/>
  </w:num>
  <w:num w:numId="8">
    <w:abstractNumId w:val="19"/>
  </w:num>
  <w:num w:numId="9">
    <w:abstractNumId w:val="13"/>
  </w:num>
  <w:num w:numId="10">
    <w:abstractNumId w:val="5"/>
  </w:num>
  <w:num w:numId="11">
    <w:abstractNumId w:val="14"/>
  </w:num>
  <w:num w:numId="12">
    <w:abstractNumId w:val="17"/>
  </w:num>
  <w:num w:numId="13">
    <w:abstractNumId w:val="30"/>
  </w:num>
  <w:num w:numId="14">
    <w:abstractNumId w:val="22"/>
  </w:num>
  <w:num w:numId="15">
    <w:abstractNumId w:val="2"/>
  </w:num>
  <w:num w:numId="16">
    <w:abstractNumId w:val="3"/>
  </w:num>
  <w:num w:numId="17">
    <w:abstractNumId w:val="26"/>
  </w:num>
  <w:num w:numId="18">
    <w:abstractNumId w:val="9"/>
  </w:num>
  <w:num w:numId="19">
    <w:abstractNumId w:val="31"/>
  </w:num>
  <w:num w:numId="20">
    <w:abstractNumId w:val="8"/>
  </w:num>
  <w:num w:numId="21">
    <w:abstractNumId w:val="11"/>
  </w:num>
  <w:num w:numId="22">
    <w:abstractNumId w:val="21"/>
  </w:num>
  <w:num w:numId="23">
    <w:abstractNumId w:val="28"/>
  </w:num>
  <w:num w:numId="24">
    <w:abstractNumId w:val="1"/>
  </w:num>
  <w:num w:numId="25">
    <w:abstractNumId w:val="20"/>
  </w:num>
  <w:num w:numId="26">
    <w:abstractNumId w:val="12"/>
  </w:num>
  <w:num w:numId="27">
    <w:abstractNumId w:val="29"/>
  </w:num>
  <w:num w:numId="28">
    <w:abstractNumId w:val="24"/>
  </w:num>
  <w:num w:numId="29">
    <w:abstractNumId w:val="23"/>
  </w:num>
  <w:num w:numId="30">
    <w:abstractNumId w:val="18"/>
  </w:num>
  <w:num w:numId="31">
    <w:abstractNumId w:val="1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58"/>
    <w:rsid w:val="00001469"/>
    <w:rsid w:val="000049AF"/>
    <w:rsid w:val="00006D9D"/>
    <w:rsid w:val="00012D64"/>
    <w:rsid w:val="00055ECC"/>
    <w:rsid w:val="000675F7"/>
    <w:rsid w:val="000A4F12"/>
    <w:rsid w:val="0014613D"/>
    <w:rsid w:val="00195853"/>
    <w:rsid w:val="001E092F"/>
    <w:rsid w:val="00220DE4"/>
    <w:rsid w:val="00235858"/>
    <w:rsid w:val="00253402"/>
    <w:rsid w:val="00293F2A"/>
    <w:rsid w:val="0029595B"/>
    <w:rsid w:val="00297FFD"/>
    <w:rsid w:val="002C245A"/>
    <w:rsid w:val="00325AFE"/>
    <w:rsid w:val="00355B41"/>
    <w:rsid w:val="003820A4"/>
    <w:rsid w:val="00383190"/>
    <w:rsid w:val="003A1255"/>
    <w:rsid w:val="003C024C"/>
    <w:rsid w:val="004529DE"/>
    <w:rsid w:val="00486CE5"/>
    <w:rsid w:val="004A7A61"/>
    <w:rsid w:val="005340C7"/>
    <w:rsid w:val="00552E0F"/>
    <w:rsid w:val="0055656B"/>
    <w:rsid w:val="00583091"/>
    <w:rsid w:val="00585B4B"/>
    <w:rsid w:val="005A6253"/>
    <w:rsid w:val="005E1CE6"/>
    <w:rsid w:val="005F5EEE"/>
    <w:rsid w:val="00601F29"/>
    <w:rsid w:val="0062638E"/>
    <w:rsid w:val="00626F6A"/>
    <w:rsid w:val="00640184"/>
    <w:rsid w:val="00643BDC"/>
    <w:rsid w:val="00652CE3"/>
    <w:rsid w:val="00671F37"/>
    <w:rsid w:val="006A6BED"/>
    <w:rsid w:val="006F77CD"/>
    <w:rsid w:val="0070581D"/>
    <w:rsid w:val="00723416"/>
    <w:rsid w:val="00726B0C"/>
    <w:rsid w:val="00774B2A"/>
    <w:rsid w:val="007A5A45"/>
    <w:rsid w:val="007C42E1"/>
    <w:rsid w:val="007E161F"/>
    <w:rsid w:val="007E4495"/>
    <w:rsid w:val="00862834"/>
    <w:rsid w:val="00891392"/>
    <w:rsid w:val="00892D0A"/>
    <w:rsid w:val="00896E4B"/>
    <w:rsid w:val="008A0F77"/>
    <w:rsid w:val="008A18A2"/>
    <w:rsid w:val="008B4363"/>
    <w:rsid w:val="008E192A"/>
    <w:rsid w:val="008F03A2"/>
    <w:rsid w:val="008F2690"/>
    <w:rsid w:val="00924A72"/>
    <w:rsid w:val="00925CB9"/>
    <w:rsid w:val="00944E15"/>
    <w:rsid w:val="009816BC"/>
    <w:rsid w:val="00986961"/>
    <w:rsid w:val="009F59C0"/>
    <w:rsid w:val="00A07574"/>
    <w:rsid w:val="00A10CF8"/>
    <w:rsid w:val="00A47DEF"/>
    <w:rsid w:val="00A563F5"/>
    <w:rsid w:val="00A6132F"/>
    <w:rsid w:val="00A73422"/>
    <w:rsid w:val="00A74349"/>
    <w:rsid w:val="00A7569A"/>
    <w:rsid w:val="00AD5529"/>
    <w:rsid w:val="00AD756D"/>
    <w:rsid w:val="00B01BF8"/>
    <w:rsid w:val="00B06454"/>
    <w:rsid w:val="00B27440"/>
    <w:rsid w:val="00B57E1C"/>
    <w:rsid w:val="00B627A8"/>
    <w:rsid w:val="00B67BE3"/>
    <w:rsid w:val="00B734C1"/>
    <w:rsid w:val="00B911C7"/>
    <w:rsid w:val="00BA7CF5"/>
    <w:rsid w:val="00BD12EA"/>
    <w:rsid w:val="00C4273A"/>
    <w:rsid w:val="00C86136"/>
    <w:rsid w:val="00C86D21"/>
    <w:rsid w:val="00CA43A5"/>
    <w:rsid w:val="00CA6995"/>
    <w:rsid w:val="00CB0EA7"/>
    <w:rsid w:val="00CB4C88"/>
    <w:rsid w:val="00CB562E"/>
    <w:rsid w:val="00CC46DC"/>
    <w:rsid w:val="00CC7E04"/>
    <w:rsid w:val="00CE4961"/>
    <w:rsid w:val="00D421DD"/>
    <w:rsid w:val="00D6528A"/>
    <w:rsid w:val="00D6779B"/>
    <w:rsid w:val="00D70A22"/>
    <w:rsid w:val="00D75318"/>
    <w:rsid w:val="00D94C06"/>
    <w:rsid w:val="00DA0507"/>
    <w:rsid w:val="00DC765B"/>
    <w:rsid w:val="00DF4BC6"/>
    <w:rsid w:val="00E471CE"/>
    <w:rsid w:val="00E6041E"/>
    <w:rsid w:val="00E6764A"/>
    <w:rsid w:val="00E73E21"/>
    <w:rsid w:val="00E84A77"/>
    <w:rsid w:val="00E87E66"/>
    <w:rsid w:val="00EA4DDD"/>
    <w:rsid w:val="00EB6D6F"/>
    <w:rsid w:val="00EE1756"/>
    <w:rsid w:val="00EE716B"/>
    <w:rsid w:val="00EF6728"/>
    <w:rsid w:val="00F003E0"/>
    <w:rsid w:val="00F12584"/>
    <w:rsid w:val="00F37F9F"/>
    <w:rsid w:val="00F515AA"/>
    <w:rsid w:val="00F76FCD"/>
    <w:rsid w:val="00FE3728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7A28"/>
  <w15:docId w15:val="{11A1C073-8891-436C-8562-A496D327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43A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8696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6961"/>
  </w:style>
  <w:style w:type="paragraph" w:styleId="Pta">
    <w:name w:val="footer"/>
    <w:basedOn w:val="Normlny"/>
    <w:link w:val="PtaChar"/>
    <w:uiPriority w:val="99"/>
    <w:unhideWhenUsed/>
    <w:rsid w:val="009869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6961"/>
  </w:style>
  <w:style w:type="paragraph" w:styleId="Textbubliny">
    <w:name w:val="Balloon Text"/>
    <w:basedOn w:val="Normlny"/>
    <w:link w:val="TextbublinyChar"/>
    <w:uiPriority w:val="99"/>
    <w:semiHidden/>
    <w:unhideWhenUsed/>
    <w:rsid w:val="006F7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mat"/>
    <f:field ref="objsubject" par="" edit="true" text=""/>
    <f:field ref="objcreatedby" par="" text="Birnstein, Martin"/>
    <f:field ref="objcreatedat" par="" text="30.7.2024 11:45:28"/>
    <f:field ref="objchangedby" par="" text="Administrator, System"/>
    <f:field ref="objmodifiedat" par="" text="30.7.2024 11:45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D48EC4A-2873-4D35-BECE-6E39A301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3939</Words>
  <Characters>22455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Birnstein</dc:creator>
  <cp:lastModifiedBy>Renáta Harušťáková</cp:lastModifiedBy>
  <cp:revision>13</cp:revision>
  <cp:lastPrinted>2024-08-21T10:07:00Z</cp:lastPrinted>
  <dcterms:created xsi:type="dcterms:W3CDTF">2024-08-19T13:47:00Z</dcterms:created>
  <dcterms:modified xsi:type="dcterms:W3CDTF">2024-08-21T10:13:00Z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o&amp;nbsp;príprave návrhu zákona informovaná prostredníctvom predbežnej informácie zverejnenej 24. júna 2024 na portáli Slov-Lex (PI/2024/144). Lehota na vyjadrenie bola určená do 8. júla 2024.&lt;/p&gt;&lt;p style="text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právo_x000d_
Právo EÚ_x000d_
Ochrana osobných údajov_x000d_
Polícia, Zbor väzenskej a justičnej stráže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Martin Birnstein</vt:lpwstr>
  </property>
  <property fmtid="{D5CDD505-2E9C-101B-9397-08002B2CF9AE}" pid="12" name="FSC#SKEDITIONSLOVLEX@103.510:zodppredkladatel">
    <vt:lpwstr>Matúš Šutaj Eštok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Národnej rady Slovenskej republiky č. 171/1993 Z. z. o Policajnom zbore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vnútra Slovenskej republiky</vt:lpwstr>
  </property>
  <property fmtid="{D5CDD505-2E9C-101B-9397-08002B2CF9AE}" pid="20" name="FSC#SKEDITIONSLOVLEX@103.510:pripomienkovatelia">
    <vt:lpwstr>Ministerstvo vnútra Slovenskej republiky, Ministerstvo vnútra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</vt:lpwstr>
  </property>
  <property fmtid="{D5CDD505-2E9C-101B-9397-08002B2CF9AE}" pid="23" name="FSC#SKEDITIONSLOVLEX@103.510:plnynazovpredpis">
    <vt:lpwstr> Zákon, ktorým sa mení a dopĺňa zákon Národnej rady Slovenskej republiky č. 171/1993 Z. z. o Policajnom zbore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SL-OBL-2024/7272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LP/2024/401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vnútra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vnútra Slovenskej republiky</vt:lpwstr>
  </property>
  <property fmtid="{D5CDD505-2E9C-101B-9397-08002B2CF9AE}" pid="142" name="FSC#SKEDITIONSLOVLEX@103.510:funkciaZodpPredAkuzativ">
    <vt:lpwstr>Ministra vnútra Slovenskej republiky</vt:lpwstr>
  </property>
  <property fmtid="{D5CDD505-2E9C-101B-9397-08002B2CF9AE}" pid="143" name="FSC#SKEDITIONSLOVLEX@103.510:funkciaZodpPredDativ">
    <vt:lpwstr>Ministrovi vnútra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Matúš Šutaj Eštok_x000d_
Minister vnútra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zákona ktorým sa mení a dopĺňa zákon Národnej rady Slovenskej republiky č. 171/1993 Z. z. o Policajnom zbore v znení neskorších predpisov a ktorým sa menia a dopĺňajú niektoré zákony (ďalej len „návrh zákona“) bol spr</vt:lpwstr>
  </property>
  <property fmtid="{D5CDD505-2E9C-101B-9397-08002B2CF9AE}" pid="150" name="FSC#SKEDITIONSLOVLEX@103.510:vytvorenedna">
    <vt:lpwstr>30. 7. 2024</vt:lpwstr>
  </property>
  <property fmtid="{D5CDD505-2E9C-101B-9397-08002B2CF9AE}" pid="151" name="FSC#COOSYSTEM@1.1:Container">
    <vt:lpwstr>COO.2145.1000.3.6291133</vt:lpwstr>
  </property>
  <property fmtid="{D5CDD505-2E9C-101B-9397-08002B2CF9AE}" pid="152" name="FSC#FSCFOLIO@1.1001:docpropproject">
    <vt:lpwstr/>
  </property>
</Properties>
</file>