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70747D" w:rsidRDefault="00E56F01" w:rsidP="00DB1643">
      <w:pPr>
        <w:widowControl/>
        <w:jc w:val="center"/>
        <w:rPr>
          <w:b/>
          <w:bCs/>
          <w:sz w:val="24"/>
          <w:szCs w:val="24"/>
        </w:rPr>
      </w:pPr>
      <w:r w:rsidRPr="0070747D">
        <w:rPr>
          <w:b/>
          <w:bCs/>
          <w:sz w:val="24"/>
          <w:szCs w:val="24"/>
        </w:rPr>
        <w:t>Dôvodová správa</w:t>
      </w:r>
    </w:p>
    <w:p w14:paraId="3DFF87E6" w14:textId="4776482D" w:rsidR="00BE5C31" w:rsidRPr="0070747D" w:rsidRDefault="00BE5C31" w:rsidP="00DB1643">
      <w:pPr>
        <w:widowControl/>
        <w:outlineLvl w:val="0"/>
        <w:rPr>
          <w:b/>
          <w:bCs/>
          <w:sz w:val="24"/>
          <w:szCs w:val="24"/>
        </w:rPr>
      </w:pPr>
    </w:p>
    <w:p w14:paraId="1E5DBFF7" w14:textId="1F61C69F" w:rsidR="004A5813" w:rsidRDefault="00F24457" w:rsidP="0040239E">
      <w:pPr>
        <w:widowControl/>
        <w:outlineLvl w:val="0"/>
        <w:rPr>
          <w:b/>
          <w:bCs/>
          <w:sz w:val="24"/>
          <w:szCs w:val="24"/>
        </w:rPr>
      </w:pPr>
      <w:r w:rsidRPr="0070747D">
        <w:rPr>
          <w:b/>
          <w:bCs/>
          <w:sz w:val="24"/>
          <w:szCs w:val="24"/>
        </w:rPr>
        <w:t>Všeobecná časť</w:t>
      </w:r>
    </w:p>
    <w:p w14:paraId="050D8799" w14:textId="77777777" w:rsidR="0040239E" w:rsidRPr="0040239E" w:rsidRDefault="0040239E" w:rsidP="0040239E">
      <w:pPr>
        <w:widowControl/>
        <w:outlineLvl w:val="0"/>
        <w:rPr>
          <w:b/>
          <w:bCs/>
          <w:sz w:val="24"/>
          <w:szCs w:val="24"/>
        </w:rPr>
      </w:pPr>
    </w:p>
    <w:p w14:paraId="2469AE4C" w14:textId="77777777" w:rsidR="0040239E" w:rsidRPr="00DB4180" w:rsidRDefault="0040239E" w:rsidP="0040239E">
      <w:pPr>
        <w:widowControl/>
        <w:ind w:firstLine="709"/>
        <w:jc w:val="both"/>
        <w:rPr>
          <w:bCs/>
          <w:sz w:val="24"/>
          <w:szCs w:val="24"/>
        </w:rPr>
      </w:pPr>
      <w:r w:rsidRPr="00DB4180">
        <w:rPr>
          <w:bCs/>
          <w:sz w:val="24"/>
          <w:szCs w:val="24"/>
        </w:rPr>
        <w:t>V súčasnosti sa letisková infraštruktúra letísk prevádzkovaných letiskovými spoločnosťami nachádza aj na pozemkoch, ktoré nie sú vo vlastníctve štátu alebo vo vlastníctve týchto letiskových spoločností. V areáli letísk prevádzkovaných l</w:t>
      </w:r>
      <w:r>
        <w:rPr>
          <w:bCs/>
          <w:sz w:val="24"/>
          <w:szCs w:val="24"/>
        </w:rPr>
        <w:t xml:space="preserve">etiskovými spoločnosťami, resp. </w:t>
      </w:r>
      <w:r w:rsidRPr="00DB4180">
        <w:rPr>
          <w:bCs/>
          <w:sz w:val="24"/>
          <w:szCs w:val="24"/>
        </w:rPr>
        <w:t xml:space="preserve">vo vyhradenom bezpečnostnom priestore </w:t>
      </w:r>
      <w:r>
        <w:rPr>
          <w:bCs/>
          <w:sz w:val="24"/>
          <w:szCs w:val="24"/>
        </w:rPr>
        <w:t xml:space="preserve">letísk sa </w:t>
      </w:r>
      <w:r w:rsidRPr="00DB4180">
        <w:rPr>
          <w:bCs/>
          <w:sz w:val="24"/>
          <w:szCs w:val="24"/>
        </w:rPr>
        <w:t>nachádzajú aj pozemky, ktoré sú nevyhnutné na zabezpečenie bezpečnej letiskovej prevádzky (anglický pojem „</w:t>
      </w:r>
      <w:proofErr w:type="spellStart"/>
      <w:r w:rsidRPr="00DB4180">
        <w:rPr>
          <w:bCs/>
          <w:sz w:val="24"/>
          <w:szCs w:val="24"/>
        </w:rPr>
        <w:t>safety</w:t>
      </w:r>
      <w:proofErr w:type="spellEnd"/>
      <w:r w:rsidRPr="00DB4180">
        <w:rPr>
          <w:bCs/>
          <w:sz w:val="24"/>
          <w:szCs w:val="24"/>
        </w:rPr>
        <w:t>“) alebo bezpečnostnej ochrany (anglický pojem „</w:t>
      </w:r>
      <w:proofErr w:type="spellStart"/>
      <w:r w:rsidRPr="00DB4180">
        <w:rPr>
          <w:bCs/>
          <w:sz w:val="24"/>
          <w:szCs w:val="24"/>
        </w:rPr>
        <w:t>security</w:t>
      </w:r>
      <w:proofErr w:type="spellEnd"/>
      <w:r w:rsidRPr="00DB4180">
        <w:rPr>
          <w:bCs/>
          <w:sz w:val="24"/>
          <w:szCs w:val="24"/>
        </w:rPr>
        <w:t xml:space="preserve">“) týchto letísk, avšak nie sú vo vlastníctve štátu </w:t>
      </w:r>
      <w:r>
        <w:rPr>
          <w:bCs/>
          <w:sz w:val="24"/>
          <w:szCs w:val="24"/>
        </w:rPr>
        <w:t>ani</w:t>
      </w:r>
      <w:r w:rsidRPr="00DB4180">
        <w:rPr>
          <w:bCs/>
          <w:sz w:val="24"/>
          <w:szCs w:val="24"/>
        </w:rPr>
        <w:t xml:space="preserve"> vo vlastníctve letiskových spoločností</w:t>
      </w:r>
      <w:r>
        <w:rPr>
          <w:bCs/>
          <w:sz w:val="24"/>
          <w:szCs w:val="24"/>
        </w:rPr>
        <w:t xml:space="preserve"> (ďalej len „pozemky“)</w:t>
      </w:r>
      <w:r w:rsidRPr="00DB4180">
        <w:rPr>
          <w:bCs/>
          <w:sz w:val="24"/>
          <w:szCs w:val="24"/>
        </w:rPr>
        <w:t>.</w:t>
      </w:r>
    </w:p>
    <w:p w14:paraId="055052A2" w14:textId="77777777" w:rsidR="0040239E" w:rsidRDefault="0040239E" w:rsidP="0040239E">
      <w:pPr>
        <w:widowControl/>
        <w:jc w:val="both"/>
        <w:rPr>
          <w:bCs/>
          <w:sz w:val="24"/>
          <w:szCs w:val="24"/>
        </w:rPr>
      </w:pPr>
    </w:p>
    <w:p w14:paraId="757ECD17" w14:textId="77777777" w:rsidR="0040239E" w:rsidRDefault="0040239E" w:rsidP="0040239E">
      <w:pPr>
        <w:widowControl/>
        <w:ind w:firstLine="709"/>
        <w:jc w:val="both"/>
        <w:rPr>
          <w:sz w:val="24"/>
          <w:szCs w:val="24"/>
        </w:rPr>
      </w:pPr>
      <w:r w:rsidRPr="475BEFC8">
        <w:rPr>
          <w:sz w:val="24"/>
          <w:szCs w:val="24"/>
        </w:rPr>
        <w:t>Zákon č. 136/2004 Z. z. o letiskových spoločnostiach a o zmene a doplnení zákona č. 143/1998 Z. z. o civilnom letectve (letecký zákon) a o zmene a doplnení niektorých zákonov v znení zákona č. 37/2002 Z. z. v znení neskorších predpisov (ďalej len „zákon č. 136/2004 Z. z.“) definuje letiskovú infraštruktúru ako „</w:t>
      </w:r>
      <w:r w:rsidRPr="475BEFC8">
        <w:rPr>
          <w:i/>
          <w:iCs/>
          <w:sz w:val="24"/>
          <w:szCs w:val="24"/>
        </w:rPr>
        <w:t>nehnuteľnosti, ktorými sú pozemky a na nich vybudované pohybové plochy s príslušenstvom, najmä so svetelnými navigačnými prostriedkami</w:t>
      </w:r>
      <w:r w:rsidRPr="475BEFC8">
        <w:rPr>
          <w:sz w:val="24"/>
          <w:szCs w:val="24"/>
        </w:rPr>
        <w:t>“, pričom pohybovými plochami sa rozumejú „</w:t>
      </w:r>
      <w:r w:rsidRPr="475BEFC8">
        <w:rPr>
          <w:i/>
          <w:iCs/>
          <w:sz w:val="24"/>
          <w:szCs w:val="24"/>
        </w:rPr>
        <w:t>líniové stavby na letisku určené na vzlety, pristátia a rolovanie lietadiel; najmä všetky odbavovacie plochy a prevádzková plocha so vzletovými a pristávacími dráhami a s rolovacími dráhami</w:t>
      </w:r>
      <w:r w:rsidRPr="475BEFC8">
        <w:rPr>
          <w:sz w:val="24"/>
          <w:szCs w:val="24"/>
        </w:rPr>
        <w:t>“.</w:t>
      </w:r>
    </w:p>
    <w:p w14:paraId="1C8EED0F" w14:textId="77777777" w:rsidR="0040239E" w:rsidRPr="00DB4180" w:rsidRDefault="0040239E" w:rsidP="0040239E">
      <w:pPr>
        <w:widowControl/>
        <w:jc w:val="both"/>
        <w:rPr>
          <w:bCs/>
          <w:sz w:val="24"/>
          <w:szCs w:val="24"/>
        </w:rPr>
      </w:pPr>
    </w:p>
    <w:p w14:paraId="32291C1C" w14:textId="77777777" w:rsidR="0040239E" w:rsidRDefault="0040239E" w:rsidP="0040239E">
      <w:pPr>
        <w:widowControl/>
        <w:ind w:firstLine="709"/>
        <w:jc w:val="both"/>
        <w:rPr>
          <w:bCs/>
          <w:sz w:val="24"/>
          <w:szCs w:val="24"/>
        </w:rPr>
      </w:pPr>
      <w:r>
        <w:rPr>
          <w:bCs/>
          <w:sz w:val="24"/>
          <w:szCs w:val="24"/>
        </w:rPr>
        <w:t xml:space="preserve">Vzhľadom na skutočnosť, že oblasť civilného letectva a najmä problematika poskytovania verejných prostriedkov na zabezpečenie prevádzky letísk, z ktorých </w:t>
      </w:r>
      <w:r w:rsidRPr="00DB4180">
        <w:rPr>
          <w:bCs/>
          <w:sz w:val="24"/>
          <w:szCs w:val="24"/>
        </w:rPr>
        <w:t>sa vykonáva obchodná letecká doprava a na ktorých sa poskytujú letiskové služby leteckým dopravcom</w:t>
      </w:r>
      <w:r>
        <w:rPr>
          <w:bCs/>
          <w:sz w:val="24"/>
          <w:szCs w:val="24"/>
        </w:rPr>
        <w:t xml:space="preserve"> alebo do letiskovej infraštruktúry takýchto letísk sa stala sledovanou oblasťou zo strany Európskej komisie. Európska komisia v roku 2014 prostredníctvom </w:t>
      </w:r>
      <w:r w:rsidRPr="00DB4180">
        <w:rPr>
          <w:bCs/>
          <w:sz w:val="24"/>
          <w:szCs w:val="24"/>
        </w:rPr>
        <w:t>oz</w:t>
      </w:r>
      <w:r>
        <w:rPr>
          <w:bCs/>
          <w:sz w:val="24"/>
          <w:szCs w:val="24"/>
        </w:rPr>
        <w:t>námenia</w:t>
      </w:r>
      <w:r w:rsidRPr="00DB4180">
        <w:rPr>
          <w:bCs/>
          <w:sz w:val="24"/>
          <w:szCs w:val="24"/>
        </w:rPr>
        <w:t xml:space="preserve"> Komisie – Usmernenia o štátnej pomoci pre letiská a letecké spoločnosti (Ú. v. EÚ C 99, 4.4.2014) v platnom znení</w:t>
      </w:r>
      <w:r>
        <w:rPr>
          <w:bCs/>
          <w:sz w:val="24"/>
          <w:szCs w:val="24"/>
        </w:rPr>
        <w:t xml:space="preserve"> a následne v roku 2017 novelou nariadenia Komisie (EÚ) č. </w:t>
      </w:r>
      <w:r w:rsidRPr="00DB4180">
        <w:rPr>
          <w:bCs/>
          <w:sz w:val="24"/>
          <w:szCs w:val="24"/>
        </w:rPr>
        <w:t>651/2014 zo 17.</w:t>
      </w:r>
      <w:r>
        <w:rPr>
          <w:bCs/>
          <w:sz w:val="24"/>
          <w:szCs w:val="24"/>
        </w:rPr>
        <w:t> </w:t>
      </w:r>
      <w:r w:rsidRPr="00DB4180">
        <w:rPr>
          <w:bCs/>
          <w:sz w:val="24"/>
          <w:szCs w:val="24"/>
        </w:rPr>
        <w:t>júna 2014 o</w:t>
      </w:r>
      <w:r>
        <w:rPr>
          <w:bCs/>
          <w:sz w:val="24"/>
          <w:szCs w:val="24"/>
        </w:rPr>
        <w:t> </w:t>
      </w:r>
      <w:r w:rsidRPr="00DB4180">
        <w:rPr>
          <w:bCs/>
          <w:sz w:val="24"/>
          <w:szCs w:val="24"/>
        </w:rPr>
        <w:t>vyhláse</w:t>
      </w:r>
      <w:r>
        <w:rPr>
          <w:bCs/>
          <w:sz w:val="24"/>
          <w:szCs w:val="24"/>
        </w:rPr>
        <w:t>ní určitých kategórií pomoci za </w:t>
      </w:r>
      <w:r w:rsidRPr="00DB4180">
        <w:rPr>
          <w:bCs/>
          <w:sz w:val="24"/>
          <w:szCs w:val="24"/>
        </w:rPr>
        <w:t>zlučiteľné s</w:t>
      </w:r>
      <w:r>
        <w:rPr>
          <w:bCs/>
          <w:sz w:val="24"/>
          <w:szCs w:val="24"/>
        </w:rPr>
        <w:t> </w:t>
      </w:r>
      <w:r w:rsidRPr="00DB4180">
        <w:rPr>
          <w:bCs/>
          <w:sz w:val="24"/>
          <w:szCs w:val="24"/>
        </w:rPr>
        <w:t>vnútorným trhom podľa článkov 107 a</w:t>
      </w:r>
      <w:r>
        <w:rPr>
          <w:bCs/>
          <w:sz w:val="24"/>
          <w:szCs w:val="24"/>
        </w:rPr>
        <w:t> 108 zmluvy (Ú. v. EÚ L </w:t>
      </w:r>
      <w:r w:rsidRPr="00DB4180">
        <w:rPr>
          <w:bCs/>
          <w:sz w:val="24"/>
          <w:szCs w:val="24"/>
        </w:rPr>
        <w:t>187, 26.6.2014) v</w:t>
      </w:r>
      <w:r>
        <w:rPr>
          <w:bCs/>
          <w:sz w:val="24"/>
          <w:szCs w:val="24"/>
        </w:rPr>
        <w:t> </w:t>
      </w:r>
      <w:r w:rsidRPr="00DB4180">
        <w:rPr>
          <w:bCs/>
          <w:sz w:val="24"/>
          <w:szCs w:val="24"/>
        </w:rPr>
        <w:t>platnom znení</w:t>
      </w:r>
      <w:r>
        <w:rPr>
          <w:bCs/>
          <w:sz w:val="24"/>
          <w:szCs w:val="24"/>
        </w:rPr>
        <w:t xml:space="preserve"> zaviedla definíciu pojmu „letisková infraštruktúra“, ktorou sa rozumie „</w:t>
      </w:r>
      <w:r w:rsidRPr="00307390">
        <w:rPr>
          <w:bCs/>
          <w:i/>
          <w:sz w:val="24"/>
          <w:szCs w:val="24"/>
        </w:rPr>
        <w:t xml:space="preserve">infraštruktúra </w:t>
      </w:r>
      <w:r w:rsidRPr="00AF7F35">
        <w:rPr>
          <w:bCs/>
          <w:i/>
          <w:sz w:val="24"/>
          <w:szCs w:val="24"/>
        </w:rPr>
        <w:t>a vybavenie na poskytovanie letiskových služieb letiskom leteckým spoločnostiam a rôznym poskytovateľom služieb vrátane vzletových a pristávacích dráh, terminálov, odbavovacích plôch, rolovacích dráh, centralizovanej infraštruktúry pozemnej obsluhy a ostatných zariadení, ktoré priamo podporujú letiskové služby, okrem infraštruktúry a vybavenia, ktoré sú v prvom rade potrebné na vykonávanie neleteckých činností</w:t>
      </w:r>
      <w:r w:rsidRPr="00AF7F35">
        <w:rPr>
          <w:bCs/>
          <w:sz w:val="24"/>
          <w:szCs w:val="24"/>
        </w:rPr>
        <w:t>“.</w:t>
      </w:r>
    </w:p>
    <w:p w14:paraId="6E2838D5" w14:textId="77777777" w:rsidR="0040239E" w:rsidRDefault="0040239E" w:rsidP="0040239E">
      <w:pPr>
        <w:widowControl/>
        <w:jc w:val="both"/>
        <w:rPr>
          <w:bCs/>
          <w:sz w:val="24"/>
          <w:szCs w:val="24"/>
        </w:rPr>
      </w:pPr>
    </w:p>
    <w:p w14:paraId="18193B58" w14:textId="77777777" w:rsidR="0040239E" w:rsidRDefault="0040239E" w:rsidP="0040239E">
      <w:pPr>
        <w:widowControl/>
        <w:ind w:firstLine="709"/>
        <w:jc w:val="both"/>
        <w:rPr>
          <w:bCs/>
          <w:sz w:val="24"/>
          <w:szCs w:val="24"/>
        </w:rPr>
      </w:pPr>
      <w:r>
        <w:rPr>
          <w:bCs/>
          <w:sz w:val="24"/>
          <w:szCs w:val="24"/>
        </w:rPr>
        <w:t xml:space="preserve">Zohľadňujúc obmedzenia týkajúce sa nakladania s majetkom ustanovené zákonom č. 136/2004 Z. z. riešilo Ministerstvo dopravy Slovenskej republiky otázku poskytnutia štátnej pomoci na </w:t>
      </w:r>
      <w:r w:rsidRPr="008A44D3">
        <w:rPr>
          <w:bCs/>
          <w:sz w:val="24"/>
          <w:szCs w:val="24"/>
        </w:rPr>
        <w:t>investície do letiskovej infraštruktúry</w:t>
      </w:r>
      <w:r>
        <w:rPr>
          <w:bCs/>
          <w:sz w:val="24"/>
          <w:szCs w:val="24"/>
        </w:rPr>
        <w:t xml:space="preserve">. V tejto súvislosti Ministerstvo dopravy Slovenskej republiky v spolupráci s Protimonopolným úradom Slovenskej republiky oslovilo Európsku komisiu, </w:t>
      </w:r>
      <w:r w:rsidRPr="00DB4180">
        <w:rPr>
          <w:bCs/>
          <w:sz w:val="24"/>
          <w:szCs w:val="24"/>
        </w:rPr>
        <w:t>generálne riaditeľstv</w:t>
      </w:r>
      <w:r>
        <w:rPr>
          <w:bCs/>
          <w:sz w:val="24"/>
          <w:szCs w:val="24"/>
        </w:rPr>
        <w:t>o</w:t>
      </w:r>
      <w:r w:rsidRPr="00DB4180">
        <w:rPr>
          <w:bCs/>
          <w:sz w:val="24"/>
          <w:szCs w:val="24"/>
        </w:rPr>
        <w:t xml:space="preserve"> pre hospodársku súťaž</w:t>
      </w:r>
      <w:r>
        <w:rPr>
          <w:bCs/>
          <w:sz w:val="24"/>
          <w:szCs w:val="24"/>
        </w:rPr>
        <w:t xml:space="preserve"> s cieľom prekonzultovať možnosti poskytnutia verejných prostriedkov formou príspevku v civilnom letectve</w:t>
      </w:r>
      <w:r w:rsidRPr="00EF5797">
        <w:rPr>
          <w:bCs/>
          <w:sz w:val="24"/>
          <w:szCs w:val="24"/>
        </w:rPr>
        <w:t xml:space="preserve"> </w:t>
      </w:r>
      <w:r>
        <w:rPr>
          <w:bCs/>
          <w:sz w:val="24"/>
          <w:szCs w:val="24"/>
        </w:rPr>
        <w:t xml:space="preserve">na </w:t>
      </w:r>
      <w:r w:rsidRPr="008A44D3">
        <w:rPr>
          <w:bCs/>
          <w:sz w:val="24"/>
          <w:szCs w:val="24"/>
        </w:rPr>
        <w:t>investície do letiskovej infraštruktúry</w:t>
      </w:r>
      <w:r>
        <w:rPr>
          <w:bCs/>
          <w:sz w:val="24"/>
          <w:szCs w:val="24"/>
        </w:rPr>
        <w:t xml:space="preserve">, tzv. investičnú pomoc. Právnym základom na poskytnutie takejto investičnej pomoci je zákon č. 213/2019 Z. z. </w:t>
      </w:r>
      <w:r w:rsidRPr="00EF5797">
        <w:rPr>
          <w:bCs/>
          <w:sz w:val="24"/>
          <w:szCs w:val="24"/>
        </w:rPr>
        <w:t>o odplatách a o poskytovaní príspevku v civilnom letectve a o zmene a doplnení niektorých zákonov v znení</w:t>
      </w:r>
      <w:r>
        <w:rPr>
          <w:bCs/>
          <w:sz w:val="24"/>
          <w:szCs w:val="24"/>
        </w:rPr>
        <w:t xml:space="preserve"> neskorších predpisov. Po niekoľkomesačných konzultáciách však Európska komisia, </w:t>
      </w:r>
      <w:r w:rsidRPr="00DB4180">
        <w:rPr>
          <w:bCs/>
          <w:sz w:val="24"/>
          <w:szCs w:val="24"/>
        </w:rPr>
        <w:t>generálne riaditeľstv</w:t>
      </w:r>
      <w:r>
        <w:rPr>
          <w:bCs/>
          <w:sz w:val="24"/>
          <w:szCs w:val="24"/>
        </w:rPr>
        <w:t>o</w:t>
      </w:r>
      <w:r w:rsidRPr="00DB4180">
        <w:rPr>
          <w:bCs/>
          <w:sz w:val="24"/>
          <w:szCs w:val="24"/>
        </w:rPr>
        <w:t xml:space="preserve"> pre hospodársku súťaž</w:t>
      </w:r>
      <w:r>
        <w:rPr>
          <w:bCs/>
          <w:sz w:val="24"/>
          <w:szCs w:val="24"/>
        </w:rPr>
        <w:t xml:space="preserve"> prezentovalo jednoznačné stanovisko, že „priame poskytnutie“ verejných prostriedkov letiskovej spoločnosti nie je podľa jeho názoru možné. Ako jediné riešenie, ktoré Európska komisia, </w:t>
      </w:r>
      <w:r w:rsidRPr="00DB4180">
        <w:rPr>
          <w:bCs/>
          <w:sz w:val="24"/>
          <w:szCs w:val="24"/>
        </w:rPr>
        <w:t>generálne riaditeľstv</w:t>
      </w:r>
      <w:r>
        <w:rPr>
          <w:bCs/>
          <w:sz w:val="24"/>
          <w:szCs w:val="24"/>
        </w:rPr>
        <w:t>o</w:t>
      </w:r>
      <w:r w:rsidRPr="00DB4180">
        <w:rPr>
          <w:bCs/>
          <w:sz w:val="24"/>
          <w:szCs w:val="24"/>
        </w:rPr>
        <w:t xml:space="preserve"> pre hospodársku súťaž</w:t>
      </w:r>
      <w:r>
        <w:rPr>
          <w:bCs/>
          <w:sz w:val="24"/>
          <w:szCs w:val="24"/>
        </w:rPr>
        <w:t xml:space="preserve"> akceptuje, je oprávnenie Ministerstva dopravy Slovenskej republiky pozemky vykúpiť do vlastníctva štátu a ich následný prenájom letiskovej spoločnosti.</w:t>
      </w:r>
    </w:p>
    <w:p w14:paraId="1B064B1B" w14:textId="77777777" w:rsidR="0040239E" w:rsidRDefault="0040239E" w:rsidP="0040239E">
      <w:pPr>
        <w:widowControl/>
        <w:jc w:val="both"/>
        <w:rPr>
          <w:bCs/>
          <w:sz w:val="24"/>
          <w:szCs w:val="24"/>
        </w:rPr>
      </w:pPr>
    </w:p>
    <w:p w14:paraId="5B7BFDC2" w14:textId="77777777" w:rsidR="0040239E" w:rsidRPr="00DB4180" w:rsidRDefault="0040239E" w:rsidP="0040239E">
      <w:pPr>
        <w:widowControl/>
        <w:ind w:firstLine="709"/>
        <w:jc w:val="both"/>
        <w:rPr>
          <w:sz w:val="24"/>
          <w:szCs w:val="24"/>
        </w:rPr>
      </w:pPr>
      <w:r w:rsidRPr="475BEFC8">
        <w:rPr>
          <w:sz w:val="24"/>
          <w:szCs w:val="24"/>
        </w:rPr>
        <w:t>S cieľom usporiadať vlastnícke práva k pozemkom návrh zákona predstavuje právnu úpravu</w:t>
      </w:r>
      <w:r>
        <w:t xml:space="preserve"> </w:t>
      </w:r>
      <w:r w:rsidRPr="475BEFC8">
        <w:rPr>
          <w:sz w:val="24"/>
          <w:szCs w:val="24"/>
        </w:rPr>
        <w:t>správy majetku štátu odlišnú od všeobecnej úpravy správy majetku štátu, na základe ktorej bude Ministerstvo dopravy Slovenskej republiky oprávnené na kúpu pozemkov do vlastníctva štátu a následne na základe nájomnej zmluvy oprávnené ich prenajať letiskovej spoločnosti.</w:t>
      </w:r>
    </w:p>
    <w:p w14:paraId="3EC2E919" w14:textId="77777777" w:rsidR="0040239E" w:rsidRPr="00DB4180" w:rsidRDefault="0040239E" w:rsidP="0040239E">
      <w:pPr>
        <w:widowControl/>
        <w:jc w:val="both"/>
        <w:rPr>
          <w:bCs/>
          <w:sz w:val="24"/>
          <w:szCs w:val="24"/>
        </w:rPr>
      </w:pPr>
    </w:p>
    <w:p w14:paraId="567533F4" w14:textId="77777777" w:rsidR="0040239E" w:rsidRPr="00DB4180" w:rsidRDefault="0040239E" w:rsidP="0040239E">
      <w:pPr>
        <w:widowControl/>
        <w:ind w:firstLine="709"/>
        <w:jc w:val="both"/>
        <w:rPr>
          <w:bCs/>
          <w:sz w:val="24"/>
          <w:szCs w:val="24"/>
        </w:rPr>
      </w:pPr>
      <w:r w:rsidRPr="00DB4180">
        <w:rPr>
          <w:bCs/>
          <w:sz w:val="24"/>
          <w:szCs w:val="24"/>
        </w:rPr>
        <w:t>Návrh zákona predpokladá pozitívne vplyvy na rozpočet verejnej správy a zároveň aj negatívne vplyvy na rozpočet verejnej správy</w:t>
      </w:r>
      <w:r w:rsidRPr="00DF406B">
        <w:rPr>
          <w:bCs/>
          <w:sz w:val="24"/>
          <w:szCs w:val="24"/>
        </w:rPr>
        <w:t>, ktorý je rozpočtovo zabezpečený</w:t>
      </w:r>
      <w:r w:rsidRPr="00DB4180">
        <w:rPr>
          <w:bCs/>
          <w:sz w:val="24"/>
          <w:szCs w:val="24"/>
        </w:rPr>
        <w:t>. Návrh zákona taktiež predpokladá pozitívne vplyvy na podnikateľské prostredie a zároveň aj negatívne vplyvy na podnikateľské prostredie. Návrh zákona nepredpokladá vplyvy na limit verejných výdavkov, sociálne vplyvy, vplyvy na životné prostredie, vplyvy na informatizáciu, vplyvy na služby verejnej správy pre občana a vplyvy na manželstvo, rodičovstvo a rodinu. Uvedené vplyvy sú bližšie špecifikované v doložke vybraných vplyvov a príslušných analýzach.</w:t>
      </w:r>
    </w:p>
    <w:p w14:paraId="6957099B" w14:textId="77777777" w:rsidR="0040239E" w:rsidRDefault="0040239E" w:rsidP="0040239E">
      <w:pPr>
        <w:widowControl/>
        <w:jc w:val="both"/>
        <w:rPr>
          <w:bCs/>
          <w:sz w:val="24"/>
          <w:szCs w:val="24"/>
        </w:rPr>
      </w:pPr>
    </w:p>
    <w:p w14:paraId="4B1863B6" w14:textId="77777777" w:rsidR="0040239E" w:rsidRDefault="0040239E" w:rsidP="0040239E">
      <w:pPr>
        <w:widowControl/>
        <w:ind w:firstLine="709"/>
        <w:jc w:val="both"/>
        <w:rPr>
          <w:bCs/>
          <w:sz w:val="24"/>
          <w:szCs w:val="24"/>
        </w:rPr>
      </w:pPr>
      <w:r w:rsidRPr="00FA1C2D">
        <w:rPr>
          <w:bCs/>
          <w:sz w:val="24"/>
          <w:szCs w:val="24"/>
        </w:rPr>
        <w:t>Návrh zákona je</w:t>
      </w:r>
      <w:r>
        <w:rPr>
          <w:bCs/>
          <w:sz w:val="24"/>
          <w:szCs w:val="24"/>
        </w:rPr>
        <w:t xml:space="preserve"> v </w:t>
      </w:r>
      <w:r w:rsidRPr="00FA1C2D">
        <w:rPr>
          <w:bCs/>
          <w:sz w:val="24"/>
          <w:szCs w:val="24"/>
        </w:rPr>
        <w:t>súlade</w:t>
      </w:r>
      <w:r>
        <w:rPr>
          <w:bCs/>
          <w:sz w:val="24"/>
          <w:szCs w:val="24"/>
        </w:rPr>
        <w:t xml:space="preserve"> s </w:t>
      </w:r>
      <w:r w:rsidRPr="00FA1C2D">
        <w:rPr>
          <w:bCs/>
          <w:sz w:val="24"/>
          <w:szCs w:val="24"/>
        </w:rPr>
        <w:t>Ústavou Slovenskej republiky, ústavnými zákonmi,</w:t>
      </w:r>
      <w:r>
        <w:rPr>
          <w:bCs/>
          <w:sz w:val="24"/>
          <w:szCs w:val="24"/>
        </w:rPr>
        <w:t xml:space="preserve"> s </w:t>
      </w:r>
      <w:r w:rsidRPr="00FA1C2D">
        <w:rPr>
          <w:bCs/>
          <w:sz w:val="24"/>
          <w:szCs w:val="24"/>
        </w:rPr>
        <w:t>nálezmi Ústavného súdu Slovenskej republiky, inými právnymi predpismi Slovenskej republiky, medzinárodnými zmluvami</w:t>
      </w:r>
      <w:r>
        <w:rPr>
          <w:bCs/>
          <w:sz w:val="24"/>
          <w:szCs w:val="24"/>
        </w:rPr>
        <w:t xml:space="preserve"> a </w:t>
      </w:r>
      <w:r w:rsidRPr="00FA1C2D">
        <w:rPr>
          <w:bCs/>
          <w:sz w:val="24"/>
          <w:szCs w:val="24"/>
        </w:rPr>
        <w:t>inými medzinárodnými dokumentmi, ktorými je Slovenská republika viazaná</w:t>
      </w:r>
      <w:r>
        <w:rPr>
          <w:bCs/>
          <w:sz w:val="24"/>
          <w:szCs w:val="24"/>
        </w:rPr>
        <w:t xml:space="preserve"> a s </w:t>
      </w:r>
      <w:r w:rsidRPr="00FA1C2D">
        <w:rPr>
          <w:bCs/>
          <w:sz w:val="24"/>
          <w:szCs w:val="24"/>
        </w:rPr>
        <w:t>právom Európskej únie.</w:t>
      </w:r>
    </w:p>
    <w:p w14:paraId="1A8ED83A" w14:textId="2D1D6545" w:rsidR="00F24457" w:rsidRDefault="00F24457" w:rsidP="00DB1643">
      <w:pPr>
        <w:widowControl/>
        <w:autoSpaceDE/>
        <w:autoSpaceDN/>
        <w:adjustRightInd/>
        <w:rPr>
          <w:b/>
          <w:bCs/>
          <w:sz w:val="24"/>
          <w:szCs w:val="24"/>
        </w:rPr>
      </w:pPr>
      <w:r w:rsidRPr="0070747D">
        <w:rPr>
          <w:b/>
          <w:bCs/>
          <w:sz w:val="24"/>
          <w:szCs w:val="24"/>
        </w:rPr>
        <w:br w:type="page"/>
      </w:r>
    </w:p>
    <w:p w14:paraId="72C449C2" w14:textId="77777777" w:rsidR="0040239E" w:rsidRPr="00612E08" w:rsidRDefault="0040239E" w:rsidP="0040239E">
      <w:pPr>
        <w:jc w:val="center"/>
        <w:rPr>
          <w:b/>
          <w:sz w:val="28"/>
          <w:szCs w:val="28"/>
        </w:rPr>
      </w:pPr>
      <w:r w:rsidRPr="00612E08">
        <w:rPr>
          <w:b/>
          <w:sz w:val="28"/>
          <w:szCs w:val="28"/>
        </w:rPr>
        <w:lastRenderedPageBreak/>
        <w:t>Doložka vybraných vplyvov</w:t>
      </w:r>
    </w:p>
    <w:p w14:paraId="6F4E8671" w14:textId="77777777" w:rsidR="0040239E" w:rsidRPr="00612E08" w:rsidRDefault="0040239E" w:rsidP="0040239E">
      <w:pPr>
        <w:ind w:left="426"/>
        <w:contextualSpacing/>
        <w:rPr>
          <w:rFonts w:ascii="Calibri" w:eastAsia="Calibri" w:hAnsi="Calibri"/>
          <w:b/>
        </w:rPr>
      </w:pPr>
    </w:p>
    <w:tbl>
      <w:tblPr>
        <w:tblStyle w:val="Mriekatabuky1"/>
        <w:tblW w:w="9639" w:type="dxa"/>
        <w:tblLayout w:type="fixed"/>
        <w:tblLook w:val="04A0" w:firstRow="1" w:lastRow="0" w:firstColumn="1" w:lastColumn="0" w:noHBand="0" w:noVBand="1"/>
      </w:tblPr>
      <w:tblGrid>
        <w:gridCol w:w="4003"/>
        <w:gridCol w:w="420"/>
        <w:gridCol w:w="148"/>
        <w:gridCol w:w="592"/>
        <w:gridCol w:w="785"/>
        <w:gridCol w:w="298"/>
        <w:gridCol w:w="267"/>
        <w:gridCol w:w="1190"/>
        <w:gridCol w:w="298"/>
        <w:gridCol w:w="276"/>
        <w:gridCol w:w="1362"/>
      </w:tblGrid>
      <w:tr w:rsidR="0040239E" w:rsidRPr="00612E08" w14:paraId="3E16D796" w14:textId="77777777" w:rsidTr="0040239E">
        <w:tc>
          <w:tcPr>
            <w:tcW w:w="9180" w:type="dxa"/>
            <w:gridSpan w:val="11"/>
            <w:tcBorders>
              <w:bottom w:val="single" w:sz="4" w:space="0" w:color="FFFFFF" w:themeColor="background1"/>
            </w:tcBorders>
            <w:shd w:val="clear" w:color="auto" w:fill="E2E2E2"/>
          </w:tcPr>
          <w:p w14:paraId="32889DB4"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40239E" w:rsidRPr="00612E08" w14:paraId="385660FA" w14:textId="77777777" w:rsidTr="0040239E">
        <w:tc>
          <w:tcPr>
            <w:tcW w:w="9180" w:type="dxa"/>
            <w:gridSpan w:val="11"/>
            <w:tcBorders>
              <w:bottom w:val="single" w:sz="4" w:space="0" w:color="FFFFFF" w:themeColor="background1"/>
            </w:tcBorders>
            <w:shd w:val="clear" w:color="auto" w:fill="E2E2E2"/>
          </w:tcPr>
          <w:p w14:paraId="0D595D21" w14:textId="77777777" w:rsidR="0040239E" w:rsidRPr="00612E08" w:rsidRDefault="0040239E" w:rsidP="00911BB2">
            <w:pPr>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40239E" w:rsidRPr="00612E08" w14:paraId="4496F76D" w14:textId="77777777" w:rsidTr="0040239E">
        <w:tc>
          <w:tcPr>
            <w:tcW w:w="9180" w:type="dxa"/>
            <w:gridSpan w:val="11"/>
            <w:tcBorders>
              <w:top w:val="single" w:sz="4" w:space="0" w:color="FFFFFF" w:themeColor="background1"/>
              <w:bottom w:val="single" w:sz="4" w:space="0" w:color="auto"/>
            </w:tcBorders>
          </w:tcPr>
          <w:p w14:paraId="64D3342E" w14:textId="77777777" w:rsidR="0040239E" w:rsidRPr="00612E08" w:rsidRDefault="0040239E" w:rsidP="00911BB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Pr="00832237">
              <w:rPr>
                <w:rFonts w:ascii="Times New Roman" w:eastAsia="Times New Roman" w:hAnsi="Times New Roman" w:cs="Times New Roman"/>
                <w:bCs/>
                <w:sz w:val="20"/>
                <w:szCs w:val="20"/>
                <w:lang w:eastAsia="sk-SK"/>
              </w:rPr>
              <w:t>ktorým sa mení a dopĺňa zákon č. 136/2004 Z. z. o letiskových spoločnostiach a o zmene a doplnení zákona č. 143/1998 Z. z. o civilnom letectve (letecký zákon) a o zmene a doplnení niektorých zákonov v znení zákona č. 37/2002 Z. z. v znení neskorších predpisov</w:t>
            </w:r>
          </w:p>
          <w:p w14:paraId="1585AEFE" w14:textId="77777777" w:rsidR="0040239E" w:rsidRPr="00612E08" w:rsidRDefault="0040239E" w:rsidP="00911BB2">
            <w:pPr>
              <w:rPr>
                <w:rFonts w:ascii="Times New Roman" w:eastAsia="Times New Roman" w:hAnsi="Times New Roman" w:cs="Times New Roman"/>
                <w:sz w:val="20"/>
                <w:szCs w:val="20"/>
                <w:lang w:eastAsia="sk-SK"/>
              </w:rPr>
            </w:pPr>
          </w:p>
        </w:tc>
      </w:tr>
      <w:tr w:rsidR="0040239E" w:rsidRPr="00612E08" w14:paraId="627A9203" w14:textId="77777777" w:rsidTr="0040239E">
        <w:tc>
          <w:tcPr>
            <w:tcW w:w="9180" w:type="dxa"/>
            <w:gridSpan w:val="11"/>
            <w:tcBorders>
              <w:top w:val="single" w:sz="4" w:space="0" w:color="auto"/>
              <w:left w:val="single" w:sz="4" w:space="0" w:color="auto"/>
              <w:bottom w:val="single" w:sz="4" w:space="0" w:color="FFFFFF" w:themeColor="background1"/>
            </w:tcBorders>
            <w:shd w:val="clear" w:color="auto" w:fill="E2E2E2"/>
          </w:tcPr>
          <w:p w14:paraId="6E9EF06E" w14:textId="77777777" w:rsidR="0040239E" w:rsidRPr="00612E08" w:rsidRDefault="0040239E" w:rsidP="00911BB2">
            <w:pPr>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40239E" w:rsidRPr="00612E08" w14:paraId="5534E56F" w14:textId="77777777" w:rsidTr="0040239E">
        <w:tc>
          <w:tcPr>
            <w:tcW w:w="9180" w:type="dxa"/>
            <w:gridSpan w:val="11"/>
            <w:tcBorders>
              <w:top w:val="single" w:sz="4" w:space="0" w:color="FFFFFF" w:themeColor="background1"/>
              <w:left w:val="single" w:sz="4" w:space="0" w:color="auto"/>
              <w:bottom w:val="single" w:sz="4" w:space="0" w:color="auto"/>
            </w:tcBorders>
            <w:shd w:val="clear" w:color="auto" w:fill="FFFFFF" w:themeFill="background1"/>
          </w:tcPr>
          <w:p w14:paraId="13406638" w14:textId="77777777" w:rsidR="0040239E" w:rsidRPr="00612E08" w:rsidRDefault="0040239E" w:rsidP="00911BB2">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Slovenskej republiky</w:t>
            </w:r>
          </w:p>
          <w:p w14:paraId="289E1FC1" w14:textId="77777777" w:rsidR="0040239E" w:rsidRPr="00612E08" w:rsidRDefault="0040239E" w:rsidP="00911BB2">
            <w:pPr>
              <w:rPr>
                <w:rFonts w:ascii="Times New Roman" w:eastAsia="Times New Roman" w:hAnsi="Times New Roman" w:cs="Times New Roman"/>
                <w:sz w:val="20"/>
                <w:szCs w:val="20"/>
                <w:lang w:eastAsia="sk-SK"/>
              </w:rPr>
            </w:pPr>
          </w:p>
        </w:tc>
      </w:tr>
      <w:tr w:rsidR="0040239E" w:rsidRPr="00612E08" w14:paraId="39EC04FF" w14:textId="77777777" w:rsidTr="0040239E">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6952C79C" w14:textId="77777777" w:rsidR="0040239E" w:rsidRPr="00612E08" w:rsidRDefault="0040239E" w:rsidP="00911BB2">
            <w:pPr>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C0A848" w14:textId="77777777" w:rsidR="0040239E" w:rsidRPr="00612E08" w:rsidRDefault="0040239E" w:rsidP="00911BB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hemeFill="background1"/>
          </w:tcPr>
          <w:p w14:paraId="25048842"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40239E" w:rsidRPr="00612E08" w14:paraId="50C5C9B5" w14:textId="77777777" w:rsidTr="0040239E">
        <w:tc>
          <w:tcPr>
            <w:tcW w:w="4212" w:type="dxa"/>
            <w:gridSpan w:val="2"/>
            <w:vMerge/>
            <w:tcBorders>
              <w:top w:val="nil"/>
              <w:left w:val="single" w:sz="4" w:space="0" w:color="auto"/>
              <w:bottom w:val="single" w:sz="4" w:space="0" w:color="FFFFFF"/>
            </w:tcBorders>
            <w:shd w:val="clear" w:color="auto" w:fill="E2E2E2"/>
          </w:tcPr>
          <w:p w14:paraId="2E888D3E" w14:textId="77777777" w:rsidR="0040239E" w:rsidRPr="00612E08" w:rsidRDefault="0040239E" w:rsidP="00911BB2">
            <w:pPr>
              <w:rPr>
                <w:rFonts w:ascii="Times New Roman" w:eastAsia="Times New Roman" w:hAnsi="Times New Roman" w:cs="Times New Roman"/>
                <w:sz w:val="20"/>
                <w:szCs w:val="20"/>
                <w:lang w:eastAsia="sk-SK"/>
              </w:rPr>
            </w:pPr>
          </w:p>
        </w:tc>
        <w:sdt>
          <w:sdt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79F5EDC"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hemeFill="background1"/>
          </w:tcPr>
          <w:p w14:paraId="480707DF" w14:textId="77777777" w:rsidR="0040239E" w:rsidRPr="00612E08" w:rsidRDefault="0040239E" w:rsidP="00911BB2">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40239E" w:rsidRPr="00612E08" w14:paraId="612EB96A" w14:textId="77777777" w:rsidTr="0040239E">
        <w:tc>
          <w:tcPr>
            <w:tcW w:w="4212" w:type="dxa"/>
            <w:gridSpan w:val="2"/>
            <w:vMerge/>
            <w:tcBorders>
              <w:top w:val="nil"/>
              <w:left w:val="single" w:sz="4" w:space="0" w:color="auto"/>
              <w:bottom w:val="single" w:sz="4" w:space="0" w:color="auto"/>
            </w:tcBorders>
            <w:shd w:val="clear" w:color="auto" w:fill="E2E2E2"/>
          </w:tcPr>
          <w:p w14:paraId="4ED7FA79" w14:textId="77777777" w:rsidR="0040239E" w:rsidRPr="00612E08" w:rsidRDefault="0040239E" w:rsidP="00911BB2">
            <w:pPr>
              <w:rPr>
                <w:rFonts w:ascii="Times New Roman" w:eastAsia="Times New Roman" w:hAnsi="Times New Roman" w:cs="Times New Roman"/>
                <w:sz w:val="20"/>
                <w:szCs w:val="20"/>
                <w:lang w:eastAsia="sk-SK"/>
              </w:rPr>
            </w:pPr>
          </w:p>
        </w:tc>
        <w:sdt>
          <w:sdt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EB0C601"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hemeFill="background1"/>
          </w:tcPr>
          <w:p w14:paraId="6EA8EA3B"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40239E" w:rsidRPr="00612E08" w14:paraId="5BFBC2F6" w14:textId="77777777" w:rsidTr="0040239E">
        <w:tc>
          <w:tcPr>
            <w:tcW w:w="9180" w:type="dxa"/>
            <w:gridSpan w:val="11"/>
            <w:tcBorders>
              <w:top w:val="single" w:sz="4" w:space="0" w:color="auto"/>
              <w:left w:val="single" w:sz="4" w:space="0" w:color="auto"/>
              <w:bottom w:val="single" w:sz="4" w:space="0" w:color="FFFFFF" w:themeColor="background1"/>
            </w:tcBorders>
            <w:shd w:val="clear" w:color="auto" w:fill="FFFFFF" w:themeFill="background1"/>
          </w:tcPr>
          <w:p w14:paraId="588C0B92" w14:textId="77777777" w:rsidR="0040239E"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0FA4C7BE" w14:textId="77777777" w:rsidR="0040239E" w:rsidRDefault="0040239E" w:rsidP="00911BB2">
            <w:pPr>
              <w:jc w:val="both"/>
              <w:rPr>
                <w:rFonts w:ascii="Times New Roman" w:eastAsia="Times New Roman" w:hAnsi="Times New Roman" w:cs="Times New Roman"/>
                <w:sz w:val="20"/>
                <w:szCs w:val="20"/>
                <w:lang w:eastAsia="sk-SK"/>
              </w:rPr>
            </w:pPr>
          </w:p>
          <w:p w14:paraId="3F8F867C" w14:textId="77777777" w:rsidR="0040239E" w:rsidRPr="004534E7" w:rsidRDefault="0040239E" w:rsidP="00911BB2">
            <w:pPr>
              <w:jc w:val="both"/>
              <w:rPr>
                <w:rFonts w:ascii="Times New Roman" w:hAnsi="Times New Roman" w:cs="Times New Roman"/>
              </w:rPr>
            </w:pPr>
            <w:r w:rsidRPr="004534E7">
              <w:rPr>
                <w:rFonts w:ascii="Times New Roman" w:hAnsi="Times New Roman" w:cs="Times New Roman"/>
              </w:rPr>
              <w:t>Návrhom zákona sa budú vykonávať alebo transponovať nižšie uvedené právne záväzné akty Európskej únie:</w:t>
            </w:r>
          </w:p>
          <w:p w14:paraId="00272150" w14:textId="77777777" w:rsidR="0040239E" w:rsidRPr="004534E7" w:rsidRDefault="0040239E" w:rsidP="00911BB2">
            <w:pPr>
              <w:ind w:left="284" w:hanging="284"/>
              <w:jc w:val="both"/>
              <w:rPr>
                <w:rFonts w:ascii="Times New Roman" w:hAnsi="Times New Roman" w:cs="Times New Roman"/>
              </w:rPr>
            </w:pPr>
          </w:p>
          <w:p w14:paraId="78359A81" w14:textId="77777777" w:rsidR="0040239E" w:rsidRPr="004534E7" w:rsidRDefault="0040239E" w:rsidP="0040239E">
            <w:pPr>
              <w:widowControl/>
              <w:numPr>
                <w:ilvl w:val="0"/>
                <w:numId w:val="24"/>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Komisie (EÚ) č. 651/2014 zo 17. júna 2014 o vyhlásení určitých kategórií pomoci za zlučiteľné s vnútorným trhom podľa článkov 107 a 108 zmluvy (Ú. v. EÚ L 187, 26.6.2014) v platnom znení </w:t>
            </w:r>
          </w:p>
          <w:p w14:paraId="3B7539A8" w14:textId="77777777" w:rsidR="0040239E" w:rsidRPr="004534E7" w:rsidRDefault="0040239E" w:rsidP="0040239E">
            <w:pPr>
              <w:widowControl/>
              <w:numPr>
                <w:ilvl w:val="0"/>
                <w:numId w:val="24"/>
              </w:numPr>
              <w:autoSpaceDE/>
              <w:autoSpaceDN/>
              <w:adjustRightInd/>
              <w:ind w:left="567" w:hanging="567"/>
              <w:jc w:val="both"/>
              <w:rPr>
                <w:rFonts w:ascii="Times New Roman" w:hAnsi="Times New Roman" w:cs="Times New Roman"/>
                <w:color w:val="000000"/>
              </w:rPr>
            </w:pPr>
            <w:r w:rsidRPr="004534E7">
              <w:rPr>
                <w:rFonts w:ascii="Times New Roman" w:hAnsi="Times New Roman" w:cs="Times New Roman"/>
                <w:color w:val="000000"/>
              </w:rPr>
              <w:t xml:space="preserve">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22.08.2018) v platnom znení </w:t>
            </w:r>
          </w:p>
          <w:p w14:paraId="1B31AE63" w14:textId="77777777" w:rsidR="0040239E" w:rsidRPr="00612E08" w:rsidRDefault="0040239E" w:rsidP="00911BB2">
            <w:pPr>
              <w:jc w:val="both"/>
              <w:rPr>
                <w:rFonts w:ascii="Times New Roman" w:eastAsia="Times New Roman" w:hAnsi="Times New Roman" w:cs="Times New Roman"/>
                <w:sz w:val="20"/>
                <w:szCs w:val="20"/>
                <w:lang w:eastAsia="sk-SK"/>
              </w:rPr>
            </w:pPr>
          </w:p>
        </w:tc>
      </w:tr>
      <w:tr w:rsidR="0040239E" w:rsidRPr="00612E08" w14:paraId="00CDFA57" w14:textId="77777777" w:rsidTr="0040239E">
        <w:tc>
          <w:tcPr>
            <w:tcW w:w="5949" w:type="dxa"/>
            <w:gridSpan w:val="6"/>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64733DA4" w14:textId="77777777" w:rsidR="0040239E" w:rsidRPr="00612E08" w:rsidRDefault="0040239E" w:rsidP="00911BB2">
            <w:pPr>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themeColor="text1"/>
              <w:left w:val="single" w:sz="4" w:space="0" w:color="auto"/>
              <w:bottom w:val="single" w:sz="4" w:space="0" w:color="auto"/>
              <w:right w:val="single" w:sz="4" w:space="0" w:color="auto"/>
            </w:tcBorders>
          </w:tcPr>
          <w:p w14:paraId="3410BA75" w14:textId="77777777" w:rsidR="0040239E" w:rsidRPr="00612E08" w:rsidRDefault="0040239E" w:rsidP="00911BB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2024</w:t>
            </w:r>
          </w:p>
        </w:tc>
      </w:tr>
      <w:tr w:rsidR="0040239E" w:rsidRPr="00612E08" w14:paraId="4D78DD27" w14:textId="77777777" w:rsidTr="0040239E">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79099B4B" w14:textId="77777777" w:rsidR="0040239E" w:rsidRPr="00612E08" w:rsidRDefault="0040239E" w:rsidP="00911BB2">
            <w:pPr>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097753A" w14:textId="77777777" w:rsidR="0040239E" w:rsidRPr="00612E08" w:rsidRDefault="0040239E" w:rsidP="00911BB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júl 2024</w:t>
            </w:r>
          </w:p>
        </w:tc>
      </w:tr>
      <w:tr w:rsidR="0040239E" w:rsidRPr="00612E08" w14:paraId="1F97CCD7" w14:textId="77777777" w:rsidTr="0040239E">
        <w:trPr>
          <w:trHeight w:val="320"/>
        </w:trPr>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30C90C05" w14:textId="77777777" w:rsidR="0040239E" w:rsidRPr="00612E08" w:rsidRDefault="0040239E" w:rsidP="00911BB2">
            <w:pPr>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BDEDB82" w14:textId="77777777" w:rsidR="0040239E" w:rsidRPr="00612E08" w:rsidRDefault="0040239E" w:rsidP="00911BB2">
            <w:pPr>
              <w:rPr>
                <w:rFonts w:ascii="Times New Roman" w:eastAsia="Times New Roman" w:hAnsi="Times New Roman" w:cs="Times New Roman"/>
                <w:i/>
                <w:sz w:val="20"/>
                <w:szCs w:val="20"/>
                <w:lang w:eastAsia="sk-SK"/>
              </w:rPr>
            </w:pPr>
          </w:p>
        </w:tc>
      </w:tr>
      <w:tr w:rsidR="0040239E" w:rsidRPr="00612E08" w14:paraId="65EBD913" w14:textId="77777777" w:rsidTr="0040239E">
        <w:tc>
          <w:tcPr>
            <w:tcW w:w="5949"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1D9A19F1" w14:textId="77777777" w:rsidR="0040239E" w:rsidRPr="00612E08" w:rsidRDefault="0040239E" w:rsidP="00911BB2">
            <w:pPr>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BE1F11E" w14:textId="77777777" w:rsidR="0040239E" w:rsidRPr="00612E08" w:rsidRDefault="0040239E" w:rsidP="00911BB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2024</w:t>
            </w:r>
          </w:p>
        </w:tc>
      </w:tr>
      <w:tr w:rsidR="0040239E" w:rsidRPr="00612E08" w14:paraId="512F8FBF" w14:textId="77777777" w:rsidTr="0040239E">
        <w:tc>
          <w:tcPr>
            <w:tcW w:w="9180" w:type="dxa"/>
            <w:gridSpan w:val="11"/>
            <w:tcBorders>
              <w:top w:val="single" w:sz="4" w:space="0" w:color="auto"/>
              <w:left w:val="nil"/>
              <w:bottom w:val="single" w:sz="4" w:space="0" w:color="auto"/>
              <w:right w:val="nil"/>
            </w:tcBorders>
            <w:shd w:val="clear" w:color="auto" w:fill="FFFFFF" w:themeFill="background1"/>
          </w:tcPr>
          <w:p w14:paraId="23F38B31" w14:textId="77777777" w:rsidR="0040239E" w:rsidRPr="00612E08" w:rsidRDefault="0040239E" w:rsidP="00911BB2">
            <w:pPr>
              <w:rPr>
                <w:rFonts w:ascii="Times New Roman" w:eastAsia="Times New Roman" w:hAnsi="Times New Roman" w:cs="Times New Roman"/>
                <w:sz w:val="20"/>
                <w:szCs w:val="20"/>
                <w:lang w:eastAsia="sk-SK"/>
              </w:rPr>
            </w:pPr>
          </w:p>
        </w:tc>
      </w:tr>
      <w:tr w:rsidR="0040239E" w:rsidRPr="00612E08" w14:paraId="2D4BBBA4" w14:textId="77777777" w:rsidTr="0040239E">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28AA6E07" w14:textId="77777777" w:rsidR="0040239E" w:rsidRPr="00612E08" w:rsidRDefault="0040239E" w:rsidP="0040239E">
            <w:pPr>
              <w:keepNext/>
              <w:widowControl/>
              <w:numPr>
                <w:ilvl w:val="0"/>
                <w:numId w:val="23"/>
              </w:numPr>
              <w:autoSpaceDE/>
              <w:autoSpaceDN/>
              <w:adjustRightInd/>
              <w:ind w:left="425" w:hanging="357"/>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40239E" w:rsidRPr="00612E08" w14:paraId="39826681" w14:textId="77777777" w:rsidTr="0040239E">
        <w:trPr>
          <w:trHeight w:val="718"/>
        </w:trPr>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D6A45CA"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01042D9A" w14:textId="77777777" w:rsidR="0040239E" w:rsidRPr="002B4109" w:rsidRDefault="0040239E" w:rsidP="00911BB2">
            <w:pPr>
              <w:rPr>
                <w:rFonts w:ascii="Times New Roman" w:eastAsia="Times New Roman" w:hAnsi="Times New Roman" w:cs="Times New Roman"/>
                <w:sz w:val="20"/>
                <w:szCs w:val="20"/>
                <w:lang w:eastAsia="sk-SK"/>
              </w:rPr>
            </w:pPr>
          </w:p>
          <w:p w14:paraId="185630E8" w14:textId="77777777" w:rsidR="0040239E" w:rsidRDefault="0040239E" w:rsidP="00911BB2">
            <w:pPr>
              <w:jc w:val="both"/>
              <w:rPr>
                <w:rFonts w:ascii="Times New Roman" w:hAnsi="Times New Roman"/>
                <w:bCs/>
                <w:sz w:val="20"/>
                <w:szCs w:val="20"/>
              </w:rPr>
            </w:pPr>
            <w:r w:rsidRPr="00832237">
              <w:rPr>
                <w:rFonts w:ascii="Times New Roman" w:hAnsi="Times New Roman"/>
                <w:bCs/>
                <w:sz w:val="20"/>
                <w:szCs w:val="20"/>
              </w:rPr>
              <w:t>V súčasnosti sa letisková infraštruktúra letísk prevádzkovaných letiskový</w:t>
            </w:r>
            <w:r>
              <w:rPr>
                <w:rFonts w:ascii="Times New Roman" w:hAnsi="Times New Roman"/>
                <w:bCs/>
                <w:sz w:val="20"/>
                <w:szCs w:val="20"/>
              </w:rPr>
              <w:t>mi spoločnosťami nachádza aj na </w:t>
            </w:r>
            <w:r w:rsidRPr="00832237">
              <w:rPr>
                <w:rFonts w:ascii="Times New Roman" w:hAnsi="Times New Roman"/>
                <w:bCs/>
                <w:sz w:val="20"/>
                <w:szCs w:val="20"/>
              </w:rPr>
              <w:t xml:space="preserve">pozemkoch, ktoré nie sú vo vlastníctve štátu alebo vo vlastníctve týchto letiskových spoločností. V areáli letísk prevádzkovaných letiskovými spoločnosťami, resp. vo vyhradenom bezpečnostnom priestore </w:t>
            </w:r>
            <w:r>
              <w:rPr>
                <w:rFonts w:ascii="Times New Roman" w:hAnsi="Times New Roman"/>
                <w:bCs/>
                <w:sz w:val="20"/>
                <w:szCs w:val="20"/>
              </w:rPr>
              <w:t xml:space="preserve">letísk sa </w:t>
            </w:r>
            <w:r w:rsidRPr="00832237">
              <w:rPr>
                <w:rFonts w:ascii="Times New Roman" w:hAnsi="Times New Roman"/>
                <w:bCs/>
                <w:sz w:val="20"/>
                <w:szCs w:val="20"/>
              </w:rPr>
              <w:t>nachádzajú aj pozemky, ktoré sú nevyhnutné na zabezpečenie bezpečnej letiskovej prevádzky (anglický pojem „</w:t>
            </w:r>
            <w:proofErr w:type="spellStart"/>
            <w:r w:rsidRPr="00832237">
              <w:rPr>
                <w:rFonts w:ascii="Times New Roman" w:hAnsi="Times New Roman"/>
                <w:bCs/>
                <w:sz w:val="20"/>
                <w:szCs w:val="20"/>
              </w:rPr>
              <w:t>safety</w:t>
            </w:r>
            <w:proofErr w:type="spellEnd"/>
            <w:r w:rsidRPr="00832237">
              <w:rPr>
                <w:rFonts w:ascii="Times New Roman" w:hAnsi="Times New Roman"/>
                <w:bCs/>
                <w:sz w:val="20"/>
                <w:szCs w:val="20"/>
              </w:rPr>
              <w:t>“) alebo bezpečnostnej ochrany (anglický pojem „</w:t>
            </w:r>
            <w:proofErr w:type="spellStart"/>
            <w:r w:rsidRPr="00832237">
              <w:rPr>
                <w:rFonts w:ascii="Times New Roman" w:hAnsi="Times New Roman"/>
                <w:bCs/>
                <w:sz w:val="20"/>
                <w:szCs w:val="20"/>
              </w:rPr>
              <w:t>security</w:t>
            </w:r>
            <w:proofErr w:type="spellEnd"/>
            <w:r w:rsidRPr="00832237">
              <w:rPr>
                <w:rFonts w:ascii="Times New Roman" w:hAnsi="Times New Roman"/>
                <w:bCs/>
                <w:sz w:val="20"/>
                <w:szCs w:val="20"/>
              </w:rPr>
              <w:t xml:space="preserve">“) týchto letísk, avšak nie sú vo vlastníctve štátu </w:t>
            </w:r>
            <w:r>
              <w:rPr>
                <w:rFonts w:ascii="Times New Roman" w:hAnsi="Times New Roman"/>
                <w:bCs/>
                <w:sz w:val="20"/>
                <w:szCs w:val="20"/>
              </w:rPr>
              <w:t>ani</w:t>
            </w:r>
            <w:r w:rsidRPr="00832237">
              <w:rPr>
                <w:rFonts w:ascii="Times New Roman" w:hAnsi="Times New Roman"/>
                <w:bCs/>
                <w:sz w:val="20"/>
                <w:szCs w:val="20"/>
              </w:rPr>
              <w:t xml:space="preserve"> vo vlastníctve letiskových spoločností.</w:t>
            </w:r>
          </w:p>
          <w:p w14:paraId="3D9F0475" w14:textId="77777777" w:rsidR="0040239E" w:rsidRPr="00832237" w:rsidRDefault="0040239E" w:rsidP="00911BB2">
            <w:pPr>
              <w:jc w:val="both"/>
              <w:rPr>
                <w:rFonts w:ascii="Times New Roman" w:hAnsi="Times New Roman"/>
                <w:sz w:val="20"/>
                <w:szCs w:val="20"/>
              </w:rPr>
            </w:pPr>
            <w:r w:rsidRPr="1EA6549D">
              <w:rPr>
                <w:rFonts w:ascii="Times New Roman" w:hAnsi="Times New Roman"/>
                <w:sz w:val="20"/>
                <w:szCs w:val="20"/>
              </w:rPr>
              <w:t xml:space="preserve">Zohľadňujúc obmedzenia týkajúce sa nakladania s majetkom ustanovené zákonom </w:t>
            </w:r>
            <w:r>
              <w:rPr>
                <w:rFonts w:ascii="Times New Roman" w:eastAsia="Times New Roman" w:hAnsi="Times New Roman" w:cs="Times New Roman"/>
                <w:sz w:val="20"/>
                <w:szCs w:val="20"/>
                <w:lang w:eastAsia="sk-SK"/>
              </w:rPr>
              <w:t xml:space="preserve">. </w:t>
            </w:r>
            <w:r w:rsidRPr="00832237">
              <w:rPr>
                <w:rFonts w:ascii="Times New Roman" w:eastAsia="Times New Roman" w:hAnsi="Times New Roman" w:cs="Times New Roman"/>
                <w:bCs/>
                <w:sz w:val="20"/>
                <w:szCs w:val="20"/>
                <w:lang w:eastAsia="sk-SK"/>
              </w:rPr>
              <w:t>o letiskových spoločnostiach a o zmene a doplnení zákona č. 143/1998 Z. z. o civilnom letectve (letecký zákon) a o zmene a doplnení niektorých zákonov v znení zákona č. 37/2002 Z. z. v znení neskorších predpisov</w:t>
            </w:r>
            <w:r>
              <w:rPr>
                <w:rFonts w:ascii="Times New Roman" w:eastAsia="Times New Roman" w:hAnsi="Times New Roman" w:cs="Times New Roman"/>
                <w:bCs/>
                <w:sz w:val="20"/>
                <w:szCs w:val="20"/>
                <w:lang w:eastAsia="sk-SK"/>
              </w:rPr>
              <w:t xml:space="preserve"> </w:t>
            </w:r>
            <w:r w:rsidRPr="1EA6549D">
              <w:rPr>
                <w:rFonts w:ascii="Times New Roman" w:hAnsi="Times New Roman"/>
                <w:sz w:val="20"/>
                <w:szCs w:val="20"/>
              </w:rPr>
              <w:t xml:space="preserve">riešilo Ministerstvo dopravy Slovenskej republiky otázku poskytnutia štátnej pomoci na investície do letiskovej infraštruktúry. V tejto súvislo Ministerstvo dopravy Slovenskej republiky v spolupráci s Protimonopolným úradom Slovenskej republiky oslovilo Európsku komisiu, generálne riaditeľstvo pre hospodársku súťaž s cieľom prekonzultovať možnosti poskytnutia verejných prostriedkov formou príspevku v civilnom letectve na investície do letiskovej infraštruktúry, tzv. investičná pomoc. Právnym základom na poskytnutie takejto investičnej pomoci je zákon č. 213/2019 Z. z. o odplatách a o poskytovaní príspevku v civilnom letectve a o zmene a doplnení niektorých zákonov v znení neskorších predpisov. Po niekoľkomesačných konzultáciách však Európska komisia, generálne riaditeľstvo pre hospodársku súťaž, prezentovalo jednoznačné stanovisko, že „priame poskytnutie“ verejných prostriedkov letiskovej spoločnosti nie je podľa jeho názoru možné. Ako jediné riešenie, ktoré Európska komisia, generálne riaditeľstvo pre hospodársku súťaž, bude </w:t>
            </w:r>
            <w:r w:rsidRPr="1EA6549D">
              <w:rPr>
                <w:rFonts w:ascii="Times New Roman" w:hAnsi="Times New Roman"/>
                <w:sz w:val="20"/>
                <w:szCs w:val="20"/>
              </w:rPr>
              <w:lastRenderedPageBreak/>
              <w:t>akceptovať, je oprávnenie Ministerstva dopravy Slovenskej republiky predmetné pozemky vykúpiť do vlastníctva štátu a ich následný prenájom letiskovej spoločnosti.</w:t>
            </w:r>
          </w:p>
          <w:p w14:paraId="187AC91F" w14:textId="77777777" w:rsidR="0040239E" w:rsidRPr="00612E08" w:rsidRDefault="0040239E" w:rsidP="00911BB2">
            <w:pPr>
              <w:jc w:val="both"/>
              <w:rPr>
                <w:rFonts w:ascii="Times New Roman" w:eastAsia="Times New Roman" w:hAnsi="Times New Roman" w:cs="Times New Roman"/>
                <w:b/>
                <w:sz w:val="20"/>
                <w:szCs w:val="20"/>
                <w:lang w:eastAsia="sk-SK"/>
              </w:rPr>
            </w:pPr>
          </w:p>
        </w:tc>
      </w:tr>
      <w:tr w:rsidR="0040239E" w:rsidRPr="00612E08" w14:paraId="4396147A" w14:textId="77777777" w:rsidTr="0040239E">
        <w:tc>
          <w:tcPr>
            <w:tcW w:w="9180" w:type="dxa"/>
            <w:gridSpan w:val="11"/>
            <w:tcBorders>
              <w:top w:val="single" w:sz="4" w:space="0" w:color="auto"/>
              <w:left w:val="single" w:sz="4" w:space="0" w:color="auto"/>
              <w:bottom w:val="nil"/>
              <w:right w:val="single" w:sz="4" w:space="0" w:color="auto"/>
            </w:tcBorders>
            <w:shd w:val="clear" w:color="auto" w:fill="E2E2E2"/>
          </w:tcPr>
          <w:p w14:paraId="5AA33E33"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40239E" w:rsidRPr="00612E08" w14:paraId="3E3938EA" w14:textId="77777777" w:rsidTr="0040239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6F9C6003" w14:textId="77777777" w:rsidR="0040239E" w:rsidRPr="00612E08"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D1C4F2B" w14:textId="77777777" w:rsidR="0040239E" w:rsidRDefault="0040239E" w:rsidP="00911BB2">
            <w:pPr>
              <w:rPr>
                <w:rFonts w:ascii="Times New Roman" w:eastAsia="Times New Roman" w:hAnsi="Times New Roman" w:cs="Times New Roman"/>
                <w:sz w:val="20"/>
                <w:szCs w:val="20"/>
                <w:lang w:eastAsia="sk-SK"/>
              </w:rPr>
            </w:pPr>
          </w:p>
          <w:p w14:paraId="22161D08" w14:textId="77777777" w:rsidR="0040239E" w:rsidRPr="00832237" w:rsidRDefault="0040239E" w:rsidP="00911BB2">
            <w:pPr>
              <w:jc w:val="both"/>
              <w:rPr>
                <w:rFonts w:ascii="Times New Roman" w:eastAsia="Times New Roman" w:hAnsi="Times New Roman" w:cs="Times New Roman"/>
                <w:bCs/>
                <w:sz w:val="20"/>
                <w:szCs w:val="20"/>
                <w:lang w:eastAsia="sk-SK"/>
              </w:rPr>
            </w:pPr>
            <w:r w:rsidRPr="00832237">
              <w:rPr>
                <w:rFonts w:ascii="Times New Roman" w:eastAsia="Times New Roman" w:hAnsi="Times New Roman" w:cs="Times New Roman"/>
                <w:bCs/>
                <w:sz w:val="20"/>
                <w:szCs w:val="20"/>
                <w:lang w:eastAsia="sk-SK"/>
              </w:rPr>
              <w:t>Návrh zákona predstavuje právnu úpravu</w:t>
            </w:r>
            <w:r w:rsidRPr="0035016A">
              <w:t xml:space="preserve"> </w:t>
            </w:r>
            <w:r>
              <w:rPr>
                <w:rFonts w:ascii="Times New Roman" w:eastAsia="Times New Roman" w:hAnsi="Times New Roman" w:cs="Times New Roman"/>
                <w:bCs/>
                <w:sz w:val="20"/>
                <w:szCs w:val="20"/>
                <w:lang w:eastAsia="sk-SK"/>
              </w:rPr>
              <w:t>sp</w:t>
            </w:r>
            <w:r w:rsidRPr="0035016A">
              <w:rPr>
                <w:rFonts w:ascii="Times New Roman" w:eastAsia="Times New Roman" w:hAnsi="Times New Roman" w:cs="Times New Roman"/>
                <w:bCs/>
                <w:sz w:val="20"/>
                <w:szCs w:val="20"/>
                <w:lang w:eastAsia="sk-SK"/>
              </w:rPr>
              <w:t>rávy majetku štátu odlišnú od všeobecnej úpravy správy majetku štátu</w:t>
            </w:r>
            <w:r w:rsidRPr="00832237">
              <w:rPr>
                <w:rFonts w:ascii="Times New Roman" w:eastAsia="Times New Roman" w:hAnsi="Times New Roman" w:cs="Times New Roman"/>
                <w:bCs/>
                <w:sz w:val="20"/>
                <w:szCs w:val="20"/>
                <w:lang w:eastAsia="sk-SK"/>
              </w:rPr>
              <w:t xml:space="preserve">, na základe ktorej bude Ministerstvo dopravy Slovenskej republiky oprávnené na kúpu pozemkov do vlastníctva štátu a následne na základe nájomnej zmluvy </w:t>
            </w:r>
            <w:r>
              <w:rPr>
                <w:rFonts w:ascii="Times New Roman" w:eastAsia="Times New Roman" w:hAnsi="Times New Roman" w:cs="Times New Roman"/>
                <w:bCs/>
                <w:sz w:val="20"/>
                <w:szCs w:val="20"/>
                <w:lang w:eastAsia="sk-SK"/>
              </w:rPr>
              <w:t xml:space="preserve">na </w:t>
            </w:r>
            <w:r w:rsidRPr="00832237">
              <w:rPr>
                <w:rFonts w:ascii="Times New Roman" w:eastAsia="Times New Roman" w:hAnsi="Times New Roman" w:cs="Times New Roman"/>
                <w:bCs/>
                <w:sz w:val="20"/>
                <w:szCs w:val="20"/>
                <w:lang w:eastAsia="sk-SK"/>
              </w:rPr>
              <w:t>ich pren</w:t>
            </w:r>
            <w:r>
              <w:rPr>
                <w:rFonts w:ascii="Times New Roman" w:eastAsia="Times New Roman" w:hAnsi="Times New Roman" w:cs="Times New Roman"/>
                <w:bCs/>
                <w:sz w:val="20"/>
                <w:szCs w:val="20"/>
                <w:lang w:eastAsia="sk-SK"/>
              </w:rPr>
              <w:t>ájom</w:t>
            </w:r>
            <w:r w:rsidRPr="00832237">
              <w:rPr>
                <w:rFonts w:ascii="Times New Roman" w:eastAsia="Times New Roman" w:hAnsi="Times New Roman" w:cs="Times New Roman"/>
                <w:bCs/>
                <w:sz w:val="20"/>
                <w:szCs w:val="20"/>
                <w:lang w:eastAsia="sk-SK"/>
              </w:rPr>
              <w:t xml:space="preserve"> letiskovej spoločnosti.</w:t>
            </w:r>
          </w:p>
          <w:p w14:paraId="456491C6" w14:textId="77777777" w:rsidR="0040239E" w:rsidRPr="00612E08" w:rsidRDefault="0040239E" w:rsidP="00911BB2">
            <w:pPr>
              <w:jc w:val="both"/>
              <w:rPr>
                <w:rFonts w:ascii="Times New Roman" w:eastAsia="Times New Roman" w:hAnsi="Times New Roman" w:cs="Times New Roman"/>
                <w:sz w:val="20"/>
                <w:szCs w:val="20"/>
                <w:lang w:eastAsia="sk-SK"/>
              </w:rPr>
            </w:pPr>
          </w:p>
        </w:tc>
      </w:tr>
      <w:tr w:rsidR="0040239E" w:rsidRPr="00612E08" w14:paraId="77C1C595" w14:textId="77777777" w:rsidTr="0040239E">
        <w:tc>
          <w:tcPr>
            <w:tcW w:w="9180" w:type="dxa"/>
            <w:gridSpan w:val="11"/>
            <w:tcBorders>
              <w:top w:val="single" w:sz="4" w:space="0" w:color="auto"/>
              <w:left w:val="single" w:sz="4" w:space="0" w:color="auto"/>
              <w:bottom w:val="nil"/>
              <w:right w:val="single" w:sz="4" w:space="0" w:color="auto"/>
            </w:tcBorders>
            <w:shd w:val="clear" w:color="auto" w:fill="E2E2E2"/>
          </w:tcPr>
          <w:p w14:paraId="344936A2"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40239E" w:rsidRPr="00612E08" w14:paraId="329C1BAA" w14:textId="77777777" w:rsidTr="0040239E">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5FC5D213"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31900F0" w14:textId="77777777" w:rsidR="0040239E" w:rsidRDefault="0040239E" w:rsidP="00911BB2">
            <w:pPr>
              <w:rPr>
                <w:rFonts w:ascii="Times New Roman" w:eastAsia="Times New Roman" w:hAnsi="Times New Roman" w:cs="Times New Roman"/>
                <w:i/>
                <w:sz w:val="20"/>
                <w:szCs w:val="20"/>
                <w:lang w:eastAsia="sk-SK"/>
              </w:rPr>
            </w:pPr>
          </w:p>
          <w:p w14:paraId="3145CF74" w14:textId="77777777" w:rsidR="0040239E" w:rsidRDefault="0040239E" w:rsidP="0040239E">
            <w:pPr>
              <w:widowControl/>
              <w:numPr>
                <w:ilvl w:val="0"/>
                <w:numId w:val="25"/>
              </w:numPr>
              <w:autoSpaceDE/>
              <w:autoSpaceDN/>
              <w:adjustRightInd/>
              <w:ind w:left="284" w:hanging="284"/>
              <w:contextualSpacing/>
              <w:jc w:val="both"/>
              <w:rPr>
                <w:rFonts w:ascii="Times New Roman" w:hAnsi="Times New Roman" w:cs="Times New Roman"/>
                <w:sz w:val="20"/>
                <w:szCs w:val="20"/>
              </w:rPr>
            </w:pPr>
            <w:r>
              <w:rPr>
                <w:rFonts w:ascii="Times New Roman" w:hAnsi="Times New Roman" w:cs="Times New Roman"/>
                <w:sz w:val="20"/>
                <w:szCs w:val="20"/>
              </w:rPr>
              <w:t>Ministerstvo dopravy Slovenskej republiky,</w:t>
            </w:r>
          </w:p>
          <w:p w14:paraId="5E346DEE" w14:textId="77777777" w:rsidR="0040239E" w:rsidRPr="00131302" w:rsidRDefault="0040239E" w:rsidP="0040239E">
            <w:pPr>
              <w:widowControl/>
              <w:numPr>
                <w:ilvl w:val="0"/>
                <w:numId w:val="25"/>
              </w:numPr>
              <w:autoSpaceDE/>
              <w:autoSpaceDN/>
              <w:adjustRightInd/>
              <w:ind w:left="284" w:hanging="284"/>
              <w:contextualSpacing/>
              <w:jc w:val="both"/>
              <w:rPr>
                <w:rFonts w:ascii="Times New Roman" w:hAnsi="Times New Roman" w:cs="Times New Roman"/>
                <w:sz w:val="20"/>
                <w:szCs w:val="20"/>
              </w:rPr>
            </w:pPr>
            <w:r>
              <w:rPr>
                <w:rFonts w:ascii="Times New Roman" w:hAnsi="Times New Roman" w:cs="Times New Roman"/>
                <w:sz w:val="20"/>
                <w:szCs w:val="20"/>
              </w:rPr>
              <w:t>letiskové spoločnosti,</w:t>
            </w:r>
          </w:p>
          <w:p w14:paraId="1C6A26AB" w14:textId="77777777" w:rsidR="0040239E" w:rsidRPr="00131302" w:rsidRDefault="0040239E" w:rsidP="0040239E">
            <w:pPr>
              <w:widowControl/>
              <w:numPr>
                <w:ilvl w:val="0"/>
                <w:numId w:val="25"/>
              </w:numPr>
              <w:autoSpaceDE/>
              <w:autoSpaceDN/>
              <w:adjustRightInd/>
              <w:ind w:left="284" w:hanging="284"/>
              <w:contextualSpacing/>
              <w:jc w:val="both"/>
              <w:rPr>
                <w:rFonts w:ascii="Times New Roman" w:hAnsi="Times New Roman" w:cs="Times New Roman"/>
                <w:sz w:val="20"/>
                <w:szCs w:val="20"/>
              </w:rPr>
            </w:pPr>
            <w:r>
              <w:rPr>
                <w:rFonts w:ascii="Times New Roman" w:hAnsi="Times New Roman" w:cs="Times New Roman"/>
                <w:sz w:val="20"/>
                <w:szCs w:val="20"/>
              </w:rPr>
              <w:t>vlastníci pozemkov</w:t>
            </w:r>
          </w:p>
          <w:p w14:paraId="2F5A347B" w14:textId="77777777" w:rsidR="0040239E" w:rsidRPr="00612E08" w:rsidRDefault="0040239E" w:rsidP="00911BB2">
            <w:pPr>
              <w:rPr>
                <w:rFonts w:ascii="Times New Roman" w:eastAsia="Times New Roman" w:hAnsi="Times New Roman" w:cs="Times New Roman"/>
                <w:i/>
                <w:sz w:val="20"/>
                <w:szCs w:val="20"/>
                <w:lang w:eastAsia="sk-SK"/>
              </w:rPr>
            </w:pPr>
          </w:p>
        </w:tc>
      </w:tr>
      <w:tr w:rsidR="0040239E" w:rsidRPr="00612E08" w14:paraId="49695EAF" w14:textId="77777777" w:rsidTr="0040239E">
        <w:tc>
          <w:tcPr>
            <w:tcW w:w="9180" w:type="dxa"/>
            <w:gridSpan w:val="11"/>
            <w:tcBorders>
              <w:top w:val="single" w:sz="4" w:space="0" w:color="auto"/>
              <w:left w:val="single" w:sz="4" w:space="0" w:color="auto"/>
              <w:bottom w:val="nil"/>
              <w:right w:val="single" w:sz="4" w:space="0" w:color="auto"/>
            </w:tcBorders>
            <w:shd w:val="clear" w:color="auto" w:fill="E2E2E2"/>
          </w:tcPr>
          <w:p w14:paraId="29DE1F74"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40239E" w:rsidRPr="00612E08" w14:paraId="58F7259F" w14:textId="77777777" w:rsidTr="0040239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6A624C98"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8214812" w14:textId="77777777" w:rsidR="0040239E" w:rsidRPr="00612E08" w:rsidRDefault="0040239E" w:rsidP="00911BB2">
            <w:pPr>
              <w:rPr>
                <w:rFonts w:ascii="Times New Roman" w:eastAsia="Times New Roman" w:hAnsi="Times New Roman" w:cs="Times New Roman"/>
                <w:i/>
                <w:sz w:val="20"/>
                <w:szCs w:val="20"/>
                <w:lang w:eastAsia="sk-SK"/>
              </w:rPr>
            </w:pPr>
          </w:p>
          <w:p w14:paraId="0FD6C71D" w14:textId="77777777" w:rsidR="0040239E"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w:t>
            </w:r>
            <w:r>
              <w:rPr>
                <w:rFonts w:ascii="Times New Roman" w:eastAsia="Times New Roman" w:hAnsi="Times New Roman" w:cs="Times New Roman"/>
                <w:i/>
                <w:sz w:val="20"/>
                <w:szCs w:val="20"/>
                <w:lang w:eastAsia="sk-SK"/>
              </w:rPr>
              <w:t> </w:t>
            </w:r>
            <w:r w:rsidRPr="00612E08">
              <w:rPr>
                <w:rFonts w:ascii="Times New Roman" w:eastAsia="Times New Roman" w:hAnsi="Times New Roman" w:cs="Times New Roman"/>
                <w:i/>
                <w:sz w:val="20"/>
                <w:szCs w:val="20"/>
                <w:lang w:eastAsia="sk-SK"/>
              </w:rPr>
              <w:t>alternatívne riešenia/spôsoby dosiahnutia cieľov uvedených v bode 3.</w:t>
            </w:r>
          </w:p>
          <w:p w14:paraId="3DA15E94" w14:textId="77777777" w:rsidR="0040239E" w:rsidRDefault="0040239E" w:rsidP="00911BB2">
            <w:pPr>
              <w:jc w:val="both"/>
              <w:rPr>
                <w:rFonts w:ascii="Times New Roman" w:eastAsia="Times New Roman" w:hAnsi="Times New Roman" w:cs="Times New Roman"/>
                <w:i/>
                <w:sz w:val="20"/>
                <w:szCs w:val="20"/>
                <w:lang w:eastAsia="sk-SK"/>
              </w:rPr>
            </w:pPr>
          </w:p>
          <w:p w14:paraId="72B632B2" w14:textId="77777777" w:rsidR="0040239E" w:rsidRPr="00131302" w:rsidRDefault="0040239E" w:rsidP="00911BB2">
            <w:pPr>
              <w:jc w:val="both"/>
              <w:rPr>
                <w:rFonts w:ascii="Times New Roman" w:eastAsia="Times New Roman" w:hAnsi="Times New Roman" w:cs="Times New Roman"/>
                <w:sz w:val="20"/>
                <w:szCs w:val="20"/>
                <w:lang w:eastAsia="sk-SK"/>
              </w:rPr>
            </w:pPr>
            <w:r w:rsidRPr="00131302">
              <w:rPr>
                <w:rFonts w:ascii="Times New Roman" w:eastAsia="Times New Roman" w:hAnsi="Times New Roman" w:cs="Times New Roman"/>
                <w:sz w:val="20"/>
                <w:szCs w:val="20"/>
                <w:lang w:eastAsia="sk-SK"/>
              </w:rPr>
              <w:t xml:space="preserve">Nulovým variantom by bolo ponechanie súčasnej </w:t>
            </w:r>
            <w:r>
              <w:rPr>
                <w:rFonts w:ascii="Times New Roman" w:eastAsia="Times New Roman" w:hAnsi="Times New Roman" w:cs="Times New Roman"/>
                <w:sz w:val="20"/>
                <w:szCs w:val="20"/>
                <w:lang w:eastAsia="sk-SK"/>
              </w:rPr>
              <w:t>nedostatočnej</w:t>
            </w:r>
            <w:r w:rsidRPr="00131302">
              <w:rPr>
                <w:rFonts w:ascii="Times New Roman" w:eastAsia="Times New Roman" w:hAnsi="Times New Roman" w:cs="Times New Roman"/>
                <w:sz w:val="20"/>
                <w:szCs w:val="20"/>
                <w:lang w:eastAsia="sk-SK"/>
              </w:rPr>
              <w:t xml:space="preserve"> právnej úpravy, ktorá</w:t>
            </w:r>
            <w:r>
              <w:rPr>
                <w:rFonts w:ascii="Times New Roman" w:eastAsia="Times New Roman" w:hAnsi="Times New Roman" w:cs="Times New Roman"/>
                <w:sz w:val="20"/>
                <w:szCs w:val="20"/>
                <w:lang w:eastAsia="sk-SK"/>
              </w:rPr>
              <w:t xml:space="preserve"> by mohla v tom najhoršom prípade ohroziť prevádzky letísk</w:t>
            </w:r>
            <w:r w:rsidRPr="00131302">
              <w:rPr>
                <w:rFonts w:ascii="Times New Roman" w:eastAsia="Times New Roman" w:hAnsi="Times New Roman" w:cs="Times New Roman"/>
                <w:sz w:val="20"/>
                <w:szCs w:val="20"/>
                <w:lang w:eastAsia="sk-SK"/>
              </w:rPr>
              <w:t>.</w:t>
            </w:r>
          </w:p>
          <w:p w14:paraId="52C3DC2F" w14:textId="77777777" w:rsidR="0040239E" w:rsidRPr="00131302" w:rsidRDefault="0040239E" w:rsidP="00911BB2">
            <w:pPr>
              <w:jc w:val="both"/>
              <w:rPr>
                <w:rFonts w:ascii="Times New Roman" w:eastAsia="Times New Roman" w:hAnsi="Times New Roman" w:cs="Times New Roman"/>
                <w:sz w:val="20"/>
                <w:szCs w:val="20"/>
                <w:lang w:eastAsia="sk-SK"/>
              </w:rPr>
            </w:pPr>
          </w:p>
          <w:p w14:paraId="3EE2EB4A" w14:textId="77777777" w:rsidR="0040239E" w:rsidRPr="00131302" w:rsidRDefault="0040239E" w:rsidP="00911BB2">
            <w:pPr>
              <w:jc w:val="both"/>
              <w:rPr>
                <w:rFonts w:ascii="Times New Roman" w:eastAsia="Times New Roman" w:hAnsi="Times New Roman" w:cs="Times New Roman"/>
                <w:sz w:val="20"/>
                <w:szCs w:val="20"/>
                <w:lang w:eastAsia="sk-SK"/>
              </w:rPr>
            </w:pPr>
            <w:r w:rsidRPr="00131302">
              <w:rPr>
                <w:rFonts w:ascii="Times New Roman" w:eastAsia="Times New Roman" w:hAnsi="Times New Roman" w:cs="Times New Roman"/>
                <w:sz w:val="20"/>
                <w:szCs w:val="20"/>
                <w:lang w:eastAsia="sk-SK"/>
              </w:rPr>
              <w:t>Navrhovaná právna úprava zohľadňuje</w:t>
            </w:r>
            <w:r>
              <w:rPr>
                <w:rFonts w:ascii="Times New Roman" w:eastAsia="Times New Roman" w:hAnsi="Times New Roman" w:cs="Times New Roman"/>
                <w:sz w:val="20"/>
                <w:szCs w:val="20"/>
                <w:lang w:eastAsia="sk-SK"/>
              </w:rPr>
              <w:t xml:space="preserve"> jednoznačné stanovisko Európskej únie, generálneho riaditeľstva pre hospodársku súťaž.</w:t>
            </w:r>
          </w:p>
          <w:p w14:paraId="22694529" w14:textId="77777777" w:rsidR="0040239E" w:rsidRPr="00131302" w:rsidRDefault="0040239E" w:rsidP="00911BB2">
            <w:pPr>
              <w:jc w:val="both"/>
              <w:rPr>
                <w:rFonts w:ascii="Times New Roman" w:eastAsia="Times New Roman" w:hAnsi="Times New Roman" w:cs="Times New Roman"/>
                <w:sz w:val="20"/>
                <w:szCs w:val="20"/>
                <w:lang w:eastAsia="sk-SK"/>
              </w:rPr>
            </w:pPr>
          </w:p>
          <w:p w14:paraId="3B8EF01D" w14:textId="77777777" w:rsidR="0040239E" w:rsidRDefault="0040239E" w:rsidP="00911BB2">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O</w:t>
            </w:r>
            <w:r w:rsidRPr="00131302">
              <w:rPr>
                <w:rFonts w:ascii="Times New Roman" w:eastAsia="Times New Roman" w:hAnsi="Times New Roman" w:cs="Times New Roman"/>
                <w:bCs/>
                <w:sz w:val="20"/>
                <w:szCs w:val="20"/>
                <w:lang w:eastAsia="sk-SK"/>
              </w:rPr>
              <w:t>proti nulovému variantu</w:t>
            </w:r>
            <w:r>
              <w:rPr>
                <w:rFonts w:ascii="Times New Roman" w:eastAsia="Times New Roman" w:hAnsi="Times New Roman" w:cs="Times New Roman"/>
                <w:bCs/>
                <w:sz w:val="20"/>
                <w:szCs w:val="20"/>
                <w:lang w:eastAsia="sk-SK"/>
              </w:rPr>
              <w:t xml:space="preserve"> by mala nastať lepšia ochrana letísk prevádzkovaných letiskovými spoločnosťami a usporiadanie vlastníckych vzťahov k pozemkom.</w:t>
            </w:r>
          </w:p>
          <w:p w14:paraId="759E678B" w14:textId="77777777" w:rsidR="0040239E" w:rsidRPr="00832237" w:rsidRDefault="0040239E" w:rsidP="00911BB2">
            <w:pPr>
              <w:jc w:val="both"/>
              <w:rPr>
                <w:rFonts w:ascii="Times New Roman" w:eastAsia="Times New Roman" w:hAnsi="Times New Roman" w:cs="Times New Roman"/>
                <w:bCs/>
                <w:sz w:val="20"/>
                <w:szCs w:val="20"/>
                <w:lang w:eastAsia="sk-SK"/>
              </w:rPr>
            </w:pPr>
          </w:p>
        </w:tc>
      </w:tr>
      <w:tr w:rsidR="0040239E" w:rsidRPr="00612E08" w14:paraId="57D4A556" w14:textId="77777777" w:rsidTr="0040239E">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1C6B34C8"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40239E" w:rsidRPr="00612E08" w14:paraId="73E9BDE1" w14:textId="77777777" w:rsidTr="0040239E">
        <w:tc>
          <w:tcPr>
            <w:tcW w:w="6203" w:type="dxa"/>
            <w:gridSpan w:val="7"/>
            <w:tcBorders>
              <w:top w:val="single" w:sz="4" w:space="0" w:color="FFFFFF" w:themeColor="background1"/>
              <w:left w:val="single" w:sz="4" w:space="0" w:color="auto"/>
              <w:bottom w:val="nil"/>
              <w:right w:val="nil"/>
            </w:tcBorders>
            <w:shd w:val="clear" w:color="auto" w:fill="FFFFFF" w:themeFill="background1"/>
          </w:tcPr>
          <w:p w14:paraId="13D7B56D" w14:textId="77777777" w:rsidR="0040239E" w:rsidRPr="00612E08"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5557E0A0" w14:textId="77777777" w:rsidR="0040239E" w:rsidRPr="00612E08" w:rsidRDefault="00441A0C" w:rsidP="00911BB2">
            <w:pPr>
              <w:jc w:val="center"/>
              <w:rPr>
                <w:rFonts w:ascii="Times New Roman" w:eastAsia="Times New Roman" w:hAnsi="Times New Roman" w:cs="Times New Roman"/>
                <w:b/>
                <w:sz w:val="20"/>
                <w:szCs w:val="20"/>
                <w:lang w:eastAsia="sk-SK"/>
              </w:rPr>
            </w:pPr>
            <w:sdt>
              <w:sdtPr>
                <w:rPr>
                  <w:b/>
                </w:rPr>
                <w:id w:val="1929613764"/>
                <w14:checkbox>
                  <w14:checked w14:val="0"/>
                  <w14:checkedState w14:val="2612" w14:font="MS Gothic"/>
                  <w14:uncheckedState w14:val="2610" w14:font="MS Gothic"/>
                </w14:checkbox>
              </w:sdtPr>
              <w:sdtEndPr/>
              <w:sdtContent>
                <w:r w:rsidR="0040239E" w:rsidRPr="00612E08">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275145A6" w14:textId="77777777" w:rsidR="0040239E" w:rsidRPr="00612E08" w:rsidRDefault="00441A0C" w:rsidP="00911BB2">
            <w:pPr>
              <w:jc w:val="center"/>
              <w:rPr>
                <w:rFonts w:ascii="Times New Roman" w:eastAsia="Times New Roman" w:hAnsi="Times New Roman" w:cs="Times New Roman"/>
                <w:b/>
                <w:sz w:val="20"/>
                <w:szCs w:val="20"/>
                <w:lang w:eastAsia="sk-SK"/>
              </w:rPr>
            </w:pPr>
            <w:sdt>
              <w:sdtPr>
                <w:rPr>
                  <w:b/>
                </w:rPr>
                <w:id w:val="-1594626508"/>
                <w14:checkbox>
                  <w14:checked w14:val="1"/>
                  <w14:checkedState w14:val="2612" w14:font="MS Gothic"/>
                  <w14:uncheckedState w14:val="2610" w14:font="MS Gothic"/>
                </w14:checkbox>
              </w:sdtPr>
              <w:sdtEndPr/>
              <w:sdtContent>
                <w:r w:rsidR="0040239E">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Nie</w:t>
            </w:r>
          </w:p>
        </w:tc>
      </w:tr>
      <w:tr w:rsidR="0040239E" w:rsidRPr="00612E08" w14:paraId="2431874E" w14:textId="77777777" w:rsidTr="0040239E">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69265300" w14:textId="77777777" w:rsidR="0040239E" w:rsidRPr="00612E08"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E4B2759" w14:textId="77777777" w:rsidR="0040239E" w:rsidRPr="00612E08" w:rsidRDefault="0040239E" w:rsidP="00911BB2">
            <w:pPr>
              <w:rPr>
                <w:rFonts w:ascii="Times New Roman" w:eastAsia="Times New Roman" w:hAnsi="Times New Roman" w:cs="Times New Roman"/>
                <w:sz w:val="20"/>
                <w:szCs w:val="20"/>
                <w:lang w:eastAsia="sk-SK"/>
              </w:rPr>
            </w:pPr>
          </w:p>
        </w:tc>
      </w:tr>
      <w:tr w:rsidR="0040239E" w:rsidRPr="00612E08" w14:paraId="4ABA4005" w14:textId="77777777" w:rsidTr="0040239E">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1B208C7C"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40239E" w:rsidRPr="00612E08" w14:paraId="6674E86B" w14:textId="77777777" w:rsidTr="0040239E">
        <w:trPr>
          <w:trHeight w:val="157"/>
        </w:trPr>
        <w:tc>
          <w:tcPr>
            <w:tcW w:w="9180" w:type="dxa"/>
            <w:gridSpan w:val="11"/>
            <w:tcBorders>
              <w:top w:val="nil"/>
              <w:left w:val="single" w:sz="4" w:space="0" w:color="000000" w:themeColor="text1"/>
              <w:bottom w:val="nil"/>
              <w:right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40239E" w:rsidRPr="00612E08" w14:paraId="63DDF5F5" w14:textId="77777777" w:rsidTr="00911BB2">
              <w:trPr>
                <w:trHeight w:val="90"/>
              </w:trPr>
              <w:tc>
                <w:tcPr>
                  <w:tcW w:w="8643" w:type="dxa"/>
                </w:tcPr>
                <w:p w14:paraId="6636EAE3" w14:textId="77777777" w:rsidR="0040239E" w:rsidRPr="00612E08" w:rsidRDefault="0040239E" w:rsidP="00911BB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40239E" w:rsidRPr="00612E08" w14:paraId="6A0AF217" w14:textId="77777777" w:rsidTr="00911BB2">
              <w:trPr>
                <w:trHeight w:val="296"/>
              </w:trPr>
              <w:tc>
                <w:tcPr>
                  <w:tcW w:w="8643" w:type="dxa"/>
                </w:tcPr>
                <w:p w14:paraId="55319CA2" w14:textId="77777777" w:rsidR="0040239E" w:rsidRPr="00612E08" w:rsidRDefault="0040239E" w:rsidP="00911BB2">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6B52CA84" w14:textId="77777777" w:rsidR="0040239E" w:rsidRPr="00612E08" w:rsidRDefault="0040239E" w:rsidP="00911BB2">
                  <w:pPr>
                    <w:pStyle w:val="Default"/>
                    <w:rPr>
                      <w:i/>
                      <w:iCs/>
                      <w:color w:val="auto"/>
                      <w:sz w:val="20"/>
                      <w:szCs w:val="20"/>
                    </w:rPr>
                  </w:pPr>
                </w:p>
                <w:p w14:paraId="623017B9" w14:textId="77777777" w:rsidR="0040239E" w:rsidRPr="00612E08" w:rsidRDefault="0040239E" w:rsidP="00911BB2">
                  <w:pPr>
                    <w:pStyle w:val="Default"/>
                    <w:rPr>
                      <w:color w:val="auto"/>
                      <w:sz w:val="20"/>
                      <w:szCs w:val="20"/>
                    </w:rPr>
                  </w:pPr>
                  <w:r w:rsidRPr="00612E08">
                    <w:rPr>
                      <w:i/>
                      <w:iCs/>
                      <w:color w:val="auto"/>
                      <w:sz w:val="20"/>
                      <w:szCs w:val="20"/>
                    </w:rPr>
                    <w:t xml:space="preserve">Ak áno, uveďte, ktorých vplyvov podľa bodu 9 sa goldplating týka: </w:t>
                  </w:r>
                </w:p>
              </w:tc>
            </w:tr>
            <w:tr w:rsidR="0040239E" w:rsidRPr="00612E08" w14:paraId="43F6A664" w14:textId="77777777" w:rsidTr="00911BB2">
              <w:trPr>
                <w:trHeight w:val="296"/>
              </w:trPr>
              <w:tc>
                <w:tcPr>
                  <w:tcW w:w="8643" w:type="dxa"/>
                </w:tcPr>
                <w:p w14:paraId="40F64D0C" w14:textId="77777777" w:rsidR="0040239E" w:rsidRPr="00612E08" w:rsidRDefault="0040239E" w:rsidP="00911BB2">
                  <w:pPr>
                    <w:jc w:val="both"/>
                    <w:rPr>
                      <w:rFonts w:ascii="Segoe UI Symbol" w:hAnsi="Segoe UI Symbol" w:cs="Segoe UI Symbol"/>
                    </w:rPr>
                  </w:pPr>
                </w:p>
              </w:tc>
            </w:tr>
          </w:tbl>
          <w:p w14:paraId="685A2CC8" w14:textId="77777777" w:rsidR="0040239E" w:rsidRPr="00612E08" w:rsidRDefault="0040239E" w:rsidP="00911BB2">
            <w:pPr>
              <w:jc w:val="both"/>
              <w:rPr>
                <w:rFonts w:ascii="Times New Roman" w:eastAsia="Times New Roman" w:hAnsi="Times New Roman" w:cs="Times New Roman"/>
                <w:i/>
                <w:sz w:val="20"/>
                <w:szCs w:val="20"/>
                <w:lang w:eastAsia="sk-SK"/>
              </w:rPr>
            </w:pPr>
          </w:p>
        </w:tc>
      </w:tr>
      <w:tr w:rsidR="0040239E" w:rsidRPr="00612E08" w14:paraId="1AEA8FC3" w14:textId="77777777" w:rsidTr="0040239E">
        <w:trPr>
          <w:trHeight w:val="248"/>
        </w:trPr>
        <w:tc>
          <w:tcPr>
            <w:tcW w:w="9180" w:type="dxa"/>
            <w:gridSpan w:val="11"/>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2E054310" w14:textId="77777777" w:rsidR="0040239E" w:rsidRPr="00612E08" w:rsidRDefault="0040239E" w:rsidP="00911BB2">
            <w:pPr>
              <w:jc w:val="center"/>
              <w:rPr>
                <w:rFonts w:ascii="Times New Roman" w:eastAsia="Times New Roman" w:hAnsi="Times New Roman" w:cs="Times New Roman"/>
                <w:sz w:val="20"/>
                <w:szCs w:val="20"/>
                <w:lang w:eastAsia="sk-SK"/>
              </w:rPr>
            </w:pPr>
          </w:p>
        </w:tc>
      </w:tr>
      <w:tr w:rsidR="0040239E" w:rsidRPr="00612E08" w14:paraId="3189130E" w14:textId="77777777" w:rsidTr="0040239E">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tcPr>
          <w:p w14:paraId="3399E23D"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40239E" w:rsidRPr="00612E08" w14:paraId="209997EA" w14:textId="77777777" w:rsidTr="0040239E">
        <w:tc>
          <w:tcPr>
            <w:tcW w:w="9180" w:type="dxa"/>
            <w:gridSpan w:val="11"/>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2ACD234" w14:textId="77777777" w:rsidR="0040239E" w:rsidRPr="00612E08"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6B091816" w14:textId="77777777" w:rsidR="0040239E" w:rsidRPr="00612E08"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56EE064B" w14:textId="77777777" w:rsidR="0040239E" w:rsidRDefault="0040239E" w:rsidP="00911BB2">
            <w:pPr>
              <w:rPr>
                <w:rFonts w:ascii="Times New Roman" w:eastAsia="Times New Roman" w:hAnsi="Times New Roman" w:cs="Times New Roman"/>
                <w:i/>
                <w:sz w:val="20"/>
                <w:szCs w:val="20"/>
                <w:lang w:eastAsia="sk-SK"/>
              </w:rPr>
            </w:pPr>
          </w:p>
          <w:p w14:paraId="0474404B" w14:textId="77777777" w:rsidR="0040239E" w:rsidRDefault="0040239E" w:rsidP="00911BB2">
            <w:pPr>
              <w:jc w:val="both"/>
              <w:rPr>
                <w:rFonts w:ascii="Times" w:hAnsi="Times" w:cs="Times"/>
                <w:sz w:val="20"/>
                <w:szCs w:val="20"/>
              </w:rPr>
            </w:pPr>
            <w:r w:rsidRPr="00842D38">
              <w:rPr>
                <w:rFonts w:ascii="Times" w:hAnsi="Times" w:cs="Times"/>
                <w:sz w:val="20"/>
                <w:szCs w:val="20"/>
              </w:rPr>
              <w:t xml:space="preserve">Účelnosť prijatia navrhovanej </w:t>
            </w:r>
            <w:r>
              <w:rPr>
                <w:rFonts w:ascii="Times" w:hAnsi="Times" w:cs="Times"/>
                <w:sz w:val="20"/>
                <w:szCs w:val="20"/>
              </w:rPr>
              <w:t xml:space="preserve">právnej </w:t>
            </w:r>
            <w:r w:rsidRPr="00842D38">
              <w:rPr>
                <w:rFonts w:ascii="Times" w:hAnsi="Times" w:cs="Times"/>
                <w:sz w:val="20"/>
                <w:szCs w:val="20"/>
              </w:rPr>
              <w:t xml:space="preserve">úpravy sa preskúma najneskôr do </w:t>
            </w:r>
            <w:r>
              <w:rPr>
                <w:rFonts w:ascii="Times" w:hAnsi="Times" w:cs="Times"/>
                <w:sz w:val="20"/>
                <w:szCs w:val="20"/>
              </w:rPr>
              <w:t>troch</w:t>
            </w:r>
            <w:r w:rsidRPr="00842D38">
              <w:rPr>
                <w:rFonts w:ascii="Times" w:hAnsi="Times" w:cs="Times"/>
                <w:sz w:val="20"/>
                <w:szCs w:val="20"/>
              </w:rPr>
              <w:t xml:space="preserve"> rokov od nadobudnutia jej účinnosti a v prípade potreby v tejto periodicite aj naďalej.</w:t>
            </w:r>
          </w:p>
          <w:p w14:paraId="7AD336F0" w14:textId="77777777" w:rsidR="0040239E" w:rsidRDefault="0040239E" w:rsidP="00911BB2">
            <w:pPr>
              <w:jc w:val="both"/>
              <w:rPr>
                <w:rFonts w:ascii="Times" w:hAnsi="Times" w:cs="Times"/>
                <w:sz w:val="20"/>
                <w:szCs w:val="20"/>
              </w:rPr>
            </w:pPr>
          </w:p>
          <w:p w14:paraId="13EF9026" w14:textId="77777777" w:rsidR="0040239E" w:rsidRDefault="0040239E" w:rsidP="00911BB2">
            <w:pPr>
              <w:jc w:val="both"/>
              <w:rPr>
                <w:rFonts w:ascii="Times New Roman" w:eastAsia="Times New Roman" w:hAnsi="Times New Roman" w:cs="Times New Roman"/>
                <w:sz w:val="20"/>
                <w:szCs w:val="20"/>
              </w:rPr>
            </w:pPr>
            <w:r>
              <w:rPr>
                <w:rFonts w:ascii="Times" w:hAnsi="Times" w:cs="Times"/>
                <w:sz w:val="20"/>
                <w:szCs w:val="20"/>
              </w:rPr>
              <w:t>Preskúmanie účelnosti sa bude realizovať na základe poznatkov získaných z aplikačnej praxe, aby sa overil účel prijatia navrhovanej právnej úpravy, t. j. či uvedená právna úprava pomohla vyriešiť usporiadanie vlastníckych vzťahov k pozemkom, ktoré v súčasnosti nie sú vo vlastníctve štátu ani letiskovej spoločnosti.</w:t>
            </w:r>
          </w:p>
          <w:p w14:paraId="6879B820" w14:textId="77777777" w:rsidR="0040239E" w:rsidRPr="00612E08" w:rsidRDefault="0040239E" w:rsidP="00911BB2">
            <w:pPr>
              <w:rPr>
                <w:rFonts w:ascii="Times New Roman" w:eastAsia="Times New Roman" w:hAnsi="Times New Roman" w:cs="Times New Roman"/>
                <w:i/>
                <w:sz w:val="20"/>
                <w:szCs w:val="20"/>
                <w:lang w:eastAsia="sk-SK"/>
              </w:rPr>
            </w:pPr>
          </w:p>
        </w:tc>
      </w:tr>
      <w:tr w:rsidR="0040239E" w:rsidRPr="00612E08" w14:paraId="0FE6F2E7" w14:textId="77777777" w:rsidTr="0040239E">
        <w:tc>
          <w:tcPr>
            <w:tcW w:w="9180" w:type="dxa"/>
            <w:gridSpan w:val="11"/>
            <w:tcBorders>
              <w:top w:val="nil"/>
              <w:left w:val="nil"/>
              <w:bottom w:val="single" w:sz="4" w:space="0" w:color="auto"/>
              <w:right w:val="nil"/>
            </w:tcBorders>
            <w:shd w:val="clear" w:color="auto" w:fill="FFFFFF" w:themeFill="background1"/>
          </w:tcPr>
          <w:p w14:paraId="3F65C240" w14:textId="77777777" w:rsidR="0040239E" w:rsidRPr="00612E08" w:rsidRDefault="0040239E" w:rsidP="00911BB2">
            <w:pPr>
              <w:jc w:val="both"/>
              <w:rPr>
                <w:rFonts w:ascii="Times New Roman" w:eastAsia="Times New Roman" w:hAnsi="Times New Roman" w:cs="Times New Roman"/>
                <w:b/>
                <w:sz w:val="20"/>
                <w:szCs w:val="20"/>
                <w:lang w:eastAsia="sk-SK"/>
              </w:rPr>
            </w:pPr>
          </w:p>
          <w:p w14:paraId="3DD9EDB6" w14:textId="77777777" w:rsidR="0040239E" w:rsidRPr="00612E08" w:rsidRDefault="0040239E" w:rsidP="00911BB2">
            <w:pPr>
              <w:jc w:val="both"/>
              <w:rPr>
                <w:rFonts w:ascii="Times New Roman" w:eastAsia="Times New Roman" w:hAnsi="Times New Roman" w:cs="Times New Roman"/>
                <w:b/>
                <w:sz w:val="20"/>
                <w:szCs w:val="20"/>
                <w:lang w:eastAsia="sk-SK"/>
              </w:rPr>
            </w:pPr>
          </w:p>
          <w:p w14:paraId="6C813E80" w14:textId="77777777" w:rsidR="0040239E" w:rsidRPr="00612E08" w:rsidRDefault="0040239E" w:rsidP="00911BB2">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547971B" w14:textId="77777777" w:rsidR="0040239E" w:rsidRPr="00612E08" w:rsidRDefault="0040239E" w:rsidP="00911BB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167CC226" w14:textId="77777777" w:rsidR="0040239E" w:rsidRPr="00612E08" w:rsidRDefault="0040239E" w:rsidP="00911BB2">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B30EF64" w14:textId="77777777" w:rsidR="0040239E" w:rsidRPr="00612E08" w:rsidRDefault="0040239E" w:rsidP="00911BB2">
            <w:pPr>
              <w:jc w:val="both"/>
              <w:rPr>
                <w:rFonts w:ascii="Times New Roman" w:eastAsia="Times New Roman" w:hAnsi="Times New Roman" w:cs="Times New Roman"/>
                <w:sz w:val="20"/>
                <w:szCs w:val="20"/>
                <w:lang w:eastAsia="sk-SK"/>
              </w:rPr>
            </w:pPr>
          </w:p>
          <w:p w14:paraId="2F5CA306" w14:textId="77777777" w:rsidR="0040239E" w:rsidRPr="00612E08" w:rsidRDefault="0040239E" w:rsidP="00911BB2">
            <w:pPr>
              <w:jc w:val="both"/>
              <w:rPr>
                <w:rFonts w:ascii="Times New Roman" w:eastAsia="Times New Roman" w:hAnsi="Times New Roman" w:cs="Times New Roman"/>
                <w:b/>
                <w:sz w:val="20"/>
                <w:szCs w:val="20"/>
                <w:lang w:eastAsia="sk-SK"/>
              </w:rPr>
            </w:pPr>
          </w:p>
        </w:tc>
      </w:tr>
      <w:tr w:rsidR="0040239E" w:rsidRPr="00612E08" w14:paraId="0B2570D1" w14:textId="77777777" w:rsidTr="0040239E">
        <w:trPr>
          <w:trHeight w:val="283"/>
        </w:trPr>
        <w:tc>
          <w:tcPr>
            <w:tcW w:w="9180" w:type="dxa"/>
            <w:gridSpan w:val="11"/>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2A01339A"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40239E" w:rsidRPr="00612E08" w14:paraId="776912EA" w14:textId="77777777" w:rsidTr="0040239E">
        <w:tc>
          <w:tcPr>
            <w:tcW w:w="3812" w:type="dxa"/>
            <w:tcBorders>
              <w:top w:val="single" w:sz="4" w:space="0" w:color="auto"/>
              <w:left w:val="single" w:sz="4" w:space="0" w:color="auto"/>
              <w:bottom w:val="nil"/>
              <w:right w:val="single" w:sz="4" w:space="0" w:color="auto"/>
            </w:tcBorders>
            <w:shd w:val="clear" w:color="auto" w:fill="E2E2E2"/>
          </w:tcPr>
          <w:p w14:paraId="3665BB8C"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b/>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7D8B77B"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003F0C7"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238EF50"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1D41B4EB"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CC66193" w14:textId="77777777" w:rsidR="0040239E" w:rsidRPr="00612E08" w:rsidRDefault="0040239E" w:rsidP="00911BB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19A4C2C" w14:textId="77777777" w:rsidR="0040239E" w:rsidRPr="00612E08" w:rsidRDefault="0040239E" w:rsidP="00911BB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0239E" w:rsidRPr="00612E08" w14:paraId="337EAF65" w14:textId="77777777" w:rsidTr="0040239E">
        <w:tc>
          <w:tcPr>
            <w:tcW w:w="3812" w:type="dxa"/>
            <w:tcBorders>
              <w:top w:val="nil"/>
              <w:left w:val="single" w:sz="4" w:space="0" w:color="auto"/>
              <w:bottom w:val="nil"/>
              <w:right w:val="single" w:sz="4" w:space="0" w:color="auto"/>
            </w:tcBorders>
            <w:shd w:val="clear" w:color="auto" w:fill="E2E2E2"/>
          </w:tcPr>
          <w:p w14:paraId="1507A088"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60A64F41"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673B6640"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CCE85D5"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9F11B63"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1B48B18"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648E14C"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4F808AF" w14:textId="77777777" w:rsidR="0040239E" w:rsidRPr="00612E08" w:rsidRDefault="0040239E" w:rsidP="00911BB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A7206E0" w14:textId="77777777" w:rsidR="0040239E" w:rsidRPr="00612E08" w:rsidRDefault="0040239E" w:rsidP="00911BB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40239E" w:rsidRPr="00612E08" w14:paraId="3DC48C60" w14:textId="77777777" w:rsidTr="0040239E">
        <w:tc>
          <w:tcPr>
            <w:tcW w:w="3812" w:type="dxa"/>
            <w:tcBorders>
              <w:top w:val="nil"/>
              <w:left w:val="single" w:sz="4" w:space="0" w:color="auto"/>
              <w:bottom w:val="nil"/>
              <w:right w:val="single" w:sz="4" w:space="0" w:color="auto"/>
            </w:tcBorders>
            <w:shd w:val="clear" w:color="auto" w:fill="E2E2E2"/>
          </w:tcPr>
          <w:p w14:paraId="1E1B7E60"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b/>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FCBE3B2"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BEAEDB1"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EAD8AD3"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2B38D4E"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4D40BC35" w14:textId="77777777" w:rsidR="0040239E" w:rsidRPr="00612E08" w:rsidRDefault="0040239E" w:rsidP="00911BB2">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781130C" w14:textId="77777777" w:rsidR="0040239E" w:rsidRPr="00612E08" w:rsidRDefault="0040239E" w:rsidP="00911BB2">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0239E" w:rsidRPr="00612E08" w14:paraId="52ECC559" w14:textId="77777777" w:rsidTr="0040239E">
        <w:tc>
          <w:tcPr>
            <w:tcW w:w="3812" w:type="dxa"/>
            <w:tcBorders>
              <w:top w:val="nil"/>
              <w:left w:val="single" w:sz="4" w:space="0" w:color="auto"/>
              <w:bottom w:val="single" w:sz="4" w:space="0" w:color="auto"/>
              <w:right w:val="single" w:sz="4" w:space="0" w:color="auto"/>
            </w:tcBorders>
            <w:shd w:val="clear" w:color="auto" w:fill="E2E2E2"/>
          </w:tcPr>
          <w:p w14:paraId="384A109F" w14:textId="77777777" w:rsidR="0040239E" w:rsidRPr="00612E08" w:rsidRDefault="0040239E" w:rsidP="00911BB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C6C841F" w14:textId="77777777" w:rsidR="0040239E" w:rsidRPr="00612E08" w:rsidRDefault="0040239E" w:rsidP="00911BB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A15635E" w14:textId="77777777" w:rsidR="0040239E" w:rsidRPr="00612E08" w:rsidRDefault="0040239E" w:rsidP="00911BB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191D946"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3494140"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C590088"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D761170" w14:textId="77777777" w:rsidR="0040239E" w:rsidRPr="00612E08" w:rsidRDefault="0040239E" w:rsidP="00911BB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587B9B9" w14:textId="77777777" w:rsidR="0040239E" w:rsidRPr="00612E08" w:rsidRDefault="0040239E" w:rsidP="00911BB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40239E" w:rsidRPr="00612E08" w14:paraId="7426B373" w14:textId="77777777" w:rsidTr="0040239E">
        <w:tc>
          <w:tcPr>
            <w:tcW w:w="3812" w:type="dxa"/>
            <w:tcBorders>
              <w:top w:val="single" w:sz="4" w:space="0" w:color="auto"/>
              <w:left w:val="single" w:sz="4" w:space="0" w:color="auto"/>
              <w:bottom w:val="single" w:sz="4" w:space="0" w:color="auto"/>
              <w:right w:val="single" w:sz="4" w:space="0" w:color="auto"/>
            </w:tcBorders>
            <w:shd w:val="clear" w:color="auto" w:fill="E2E2E2"/>
          </w:tcPr>
          <w:p w14:paraId="605BCAAF" w14:textId="77777777" w:rsidR="0040239E" w:rsidRPr="00612E08" w:rsidRDefault="0040239E" w:rsidP="00911BB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C7B963B" w14:textId="77777777" w:rsidR="0040239E" w:rsidRPr="00612E08" w:rsidRDefault="0040239E" w:rsidP="00911BB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C3F3C88"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1022B36" w14:textId="77777777" w:rsidR="0040239E" w:rsidRPr="00612E08" w:rsidRDefault="0040239E" w:rsidP="00911BB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5B408F8E" w14:textId="77777777" w:rsidR="0040239E" w:rsidRPr="00612E08" w:rsidRDefault="0040239E" w:rsidP="00911BB2">
            <w:pPr>
              <w:rPr>
                <w:rFonts w:ascii="Times New Roman" w:eastAsia="Times New Roman" w:hAnsi="Times New Roman" w:cs="Times New Roman"/>
                <w:sz w:val="20"/>
                <w:szCs w:val="20"/>
                <w:lang w:eastAsia="sk-SK"/>
              </w:rPr>
            </w:pPr>
          </w:p>
        </w:tc>
        <w:sdt>
          <w:sdt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6D02BBA" w14:textId="77777777" w:rsidR="0040239E" w:rsidRPr="00612E08" w:rsidRDefault="0040239E" w:rsidP="00911BB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B2A630D" w14:textId="77777777" w:rsidR="0040239E" w:rsidRPr="00612E08" w:rsidRDefault="0040239E" w:rsidP="00911BB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40239E" w:rsidRPr="00612E08" w14:paraId="218D039C" w14:textId="77777777" w:rsidTr="0040239E">
        <w:tc>
          <w:tcPr>
            <w:tcW w:w="3812" w:type="dxa"/>
            <w:tcBorders>
              <w:top w:val="single" w:sz="4" w:space="0" w:color="auto"/>
              <w:left w:val="single" w:sz="4" w:space="0" w:color="auto"/>
              <w:bottom w:val="single" w:sz="4" w:space="0" w:color="auto"/>
              <w:right w:val="single" w:sz="4" w:space="0" w:color="auto"/>
            </w:tcBorders>
            <w:shd w:val="clear" w:color="auto" w:fill="E2E2E2"/>
          </w:tcPr>
          <w:p w14:paraId="0BBF38CB"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b/>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1F27A85" w14:textId="77777777" w:rsidR="0040239E" w:rsidRPr="00612E08" w:rsidRDefault="0040239E" w:rsidP="00911BB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E5311B1"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3DA70D2"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E26E0A3"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4849779" w14:textId="77777777" w:rsidR="0040239E" w:rsidRPr="00612E08" w:rsidRDefault="0040239E" w:rsidP="00911BB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DB3B0A8" w14:textId="77777777" w:rsidR="0040239E" w:rsidRPr="00612E08" w:rsidRDefault="0040239E" w:rsidP="00911BB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40239E" w:rsidRPr="00612E08" w14:paraId="4545754D" w14:textId="77777777" w:rsidTr="0040239E">
        <w:tc>
          <w:tcPr>
            <w:tcW w:w="3812" w:type="dxa"/>
            <w:tcBorders>
              <w:top w:val="single" w:sz="4" w:space="0" w:color="auto"/>
              <w:left w:val="single" w:sz="4" w:space="0" w:color="auto"/>
              <w:bottom w:val="nil"/>
              <w:right w:val="single" w:sz="4" w:space="0" w:color="auto"/>
            </w:tcBorders>
            <w:shd w:val="clear" w:color="auto" w:fill="E2E2E2"/>
          </w:tcPr>
          <w:p w14:paraId="39D044C6"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b/>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5EB3640"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B8CF251"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938E8B0"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7438AEA"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535312F"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4ACD3C9"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0239E" w:rsidRPr="00612E08" w14:paraId="09862148" w14:textId="77777777" w:rsidTr="0040239E">
        <w:tc>
          <w:tcPr>
            <w:tcW w:w="3812" w:type="dxa"/>
            <w:tcBorders>
              <w:top w:val="nil"/>
              <w:left w:val="single" w:sz="4" w:space="0" w:color="000000" w:themeColor="text1"/>
              <w:bottom w:val="nil"/>
              <w:right w:val="single" w:sz="4" w:space="0" w:color="000000" w:themeColor="text1"/>
            </w:tcBorders>
            <w:shd w:val="clear" w:color="auto" w:fill="E2E2E2"/>
          </w:tcPr>
          <w:p w14:paraId="14B1D60E"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056D8AB7" w14:textId="77777777" w:rsidR="0040239E" w:rsidRPr="00612E08" w:rsidRDefault="0040239E" w:rsidP="00911BB2">
            <w:pPr>
              <w:rPr>
                <w:rFonts w:ascii="Times New Roman" w:eastAsia="Times New Roman" w:hAnsi="Times New Roman" w:cs="Times New Roman"/>
                <w:sz w:val="20"/>
                <w:szCs w:val="20"/>
                <w:lang w:eastAsia="sk-SK"/>
              </w:rPr>
            </w:pPr>
          </w:p>
        </w:tc>
        <w:sdt>
          <w:sdt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566F47BA"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61F7BB9" w14:textId="77777777" w:rsidR="0040239E" w:rsidRPr="00612E08" w:rsidRDefault="0040239E" w:rsidP="00911BB2">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0DA10D3" w14:textId="77777777" w:rsidR="0040239E" w:rsidRPr="00612E08" w:rsidRDefault="0040239E" w:rsidP="00911BB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8C40D00"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4338222" w14:textId="77777777" w:rsidR="0040239E" w:rsidRPr="00612E08" w:rsidRDefault="0040239E" w:rsidP="00911BB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7141C14" w14:textId="77777777" w:rsidR="0040239E" w:rsidRPr="00612E08" w:rsidRDefault="0040239E" w:rsidP="00911BB2">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40239E" w:rsidRPr="00612E08" w14:paraId="1CEBCDA4" w14:textId="77777777" w:rsidTr="0040239E">
        <w:tc>
          <w:tcPr>
            <w:tcW w:w="3812" w:type="dxa"/>
            <w:tcBorders>
              <w:top w:val="nil"/>
              <w:left w:val="single" w:sz="4" w:space="0" w:color="auto"/>
              <w:bottom w:val="single" w:sz="4" w:space="0" w:color="auto"/>
              <w:right w:val="single" w:sz="4" w:space="0" w:color="auto"/>
            </w:tcBorders>
            <w:shd w:val="clear" w:color="auto" w:fill="E2E2E2"/>
          </w:tcPr>
          <w:p w14:paraId="79B77DDA" w14:textId="77777777" w:rsidR="0040239E" w:rsidRPr="00612E08" w:rsidRDefault="0040239E" w:rsidP="00911BB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0F6404F7"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b/>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B1F3972"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7EB895B"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20131B7" w14:textId="77777777" w:rsidR="0040239E" w:rsidRPr="00612E08" w:rsidRDefault="0040239E" w:rsidP="00911BB2">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2DD0228" w14:textId="77777777" w:rsidR="0040239E" w:rsidRPr="00612E08" w:rsidRDefault="0040239E" w:rsidP="00911BB2">
            <w:pPr>
              <w:jc w:val="center"/>
              <w:rPr>
                <w:rFonts w:ascii="Times New Roman" w:eastAsia="Times New Roman" w:hAnsi="Times New Roman" w:cs="Times New Roman"/>
                <w:b/>
                <w:sz w:val="20"/>
                <w:szCs w:val="20"/>
                <w:lang w:eastAsia="sk-SK"/>
              </w:rPr>
            </w:pPr>
          </w:p>
        </w:tc>
        <w:sdt>
          <w:sdtPr>
            <w:rPr>
              <w:b/>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3A8C014"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BDD895F"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40239E" w:rsidRPr="00612E08" w14:paraId="4B9BCCEA" w14:textId="77777777" w:rsidTr="0040239E">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1D3CD509"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b/>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C5868C"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1C77F40"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D69A4A5"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8DE4B73"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0137D8"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0C834BB"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0239E" w:rsidRPr="00612E08" w14:paraId="595B2434" w14:textId="77777777" w:rsidTr="0040239E">
        <w:tc>
          <w:tcPr>
            <w:tcW w:w="3812" w:type="dxa"/>
            <w:tcBorders>
              <w:top w:val="single" w:sz="4" w:space="0" w:color="auto"/>
              <w:left w:val="single" w:sz="4" w:space="0" w:color="auto"/>
              <w:bottom w:val="nil"/>
              <w:right w:val="single" w:sz="4" w:space="0" w:color="auto"/>
            </w:tcBorders>
            <w:shd w:val="clear" w:color="auto" w:fill="E2E2E2"/>
          </w:tcPr>
          <w:p w14:paraId="331104E6"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EF5C7DE"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6016119"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DF6C092"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E465544"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B41DC56"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8AE7F6B"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0239E" w:rsidRPr="00612E08" w14:paraId="1B720FA2" w14:textId="77777777" w:rsidTr="0040239E">
        <w:tc>
          <w:tcPr>
            <w:tcW w:w="3812" w:type="dxa"/>
            <w:tcBorders>
              <w:top w:val="nil"/>
              <w:left w:val="single" w:sz="4" w:space="0" w:color="auto"/>
              <w:bottom w:val="single" w:sz="4" w:space="0" w:color="auto"/>
              <w:right w:val="single" w:sz="4" w:space="0" w:color="auto"/>
            </w:tcBorders>
            <w:shd w:val="clear" w:color="auto" w:fill="E2E2E2"/>
          </w:tcPr>
          <w:p w14:paraId="1888D44E" w14:textId="77777777" w:rsidR="0040239E" w:rsidRPr="00612E08" w:rsidRDefault="0040239E" w:rsidP="00911BB2">
            <w:pPr>
              <w:rPr>
                <w:rFonts w:ascii="Times New Roman" w:eastAsia="Times New Roman" w:hAnsi="Times New Roman" w:cs="Times New Roman"/>
                <w:sz w:val="20"/>
                <w:szCs w:val="20"/>
                <w:lang w:eastAsia="sk-SK"/>
              </w:rPr>
            </w:pPr>
          </w:p>
          <w:p w14:paraId="54458003" w14:textId="77777777" w:rsidR="0040239E" w:rsidRPr="00612E08" w:rsidRDefault="0040239E" w:rsidP="00911BB2">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w:t>
            </w:r>
            <w:r>
              <w:rPr>
                <w:rFonts w:ascii="Times New Roman" w:eastAsia="Times New Roman" w:hAnsi="Times New Roman" w:cs="Times New Roman"/>
                <w:sz w:val="20"/>
                <w:szCs w:val="20"/>
                <w:lang w:eastAsia="sk-SK"/>
              </w:rPr>
              <w:t xml:space="preserve"> č. </w:t>
            </w:r>
            <w:r w:rsidRPr="00612E08">
              <w:rPr>
                <w:rFonts w:ascii="Times New Roman" w:eastAsia="Times New Roman" w:hAnsi="Times New Roman" w:cs="Times New Roman"/>
                <w:sz w:val="20"/>
                <w:szCs w:val="20"/>
                <w:lang w:eastAsia="sk-SK"/>
              </w:rPr>
              <w:t>24/2006 Z. z. o posudzovaní vplyvov na životné prostredie a o zmene a doplnení niektorých zákonov v znení neskorších predpisov</w:t>
            </w:r>
          </w:p>
        </w:tc>
        <w:sdt>
          <w:sdtPr>
            <w:rPr>
              <w:b/>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94CDE77"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4FF39DE"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2E5BF428" w14:textId="77777777" w:rsidR="0040239E" w:rsidRPr="00612E08" w:rsidRDefault="0040239E" w:rsidP="00911BB2">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18B27BB3" w14:textId="77777777" w:rsidR="0040239E" w:rsidRPr="00612E08" w:rsidRDefault="0040239E" w:rsidP="00911BB2">
            <w:pPr>
              <w:jc w:val="center"/>
              <w:rPr>
                <w:rFonts w:ascii="Times New Roman" w:eastAsia="Times New Roman" w:hAnsi="Times New Roman" w:cs="Times New Roman"/>
                <w:b/>
                <w:sz w:val="20"/>
                <w:szCs w:val="20"/>
                <w:lang w:eastAsia="sk-SK"/>
              </w:rPr>
            </w:pPr>
          </w:p>
        </w:tc>
        <w:sdt>
          <w:sdtPr>
            <w:rPr>
              <w:b/>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2403B5A"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5319D73"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40239E" w:rsidRPr="00612E08" w14:paraId="2BE21495" w14:textId="77777777" w:rsidTr="0040239E">
        <w:tc>
          <w:tcPr>
            <w:tcW w:w="3812" w:type="dxa"/>
            <w:tcBorders>
              <w:top w:val="single" w:sz="4" w:space="0" w:color="auto"/>
              <w:left w:val="single" w:sz="4" w:space="0" w:color="auto"/>
              <w:bottom w:val="single" w:sz="4" w:space="0" w:color="auto"/>
              <w:right w:val="single" w:sz="4" w:space="0" w:color="auto"/>
            </w:tcBorders>
            <w:shd w:val="clear" w:color="auto" w:fill="E2E2E2"/>
          </w:tcPr>
          <w:p w14:paraId="01CE7EF1"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b/>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9E882CB"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7EE9C23"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7E8B4E5"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5708849"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9294337"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F0487FF"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2"/>
        <w:gridCol w:w="568"/>
        <w:gridCol w:w="1345"/>
        <w:gridCol w:w="33"/>
        <w:gridCol w:w="565"/>
        <w:gridCol w:w="1190"/>
        <w:gridCol w:w="574"/>
        <w:gridCol w:w="1362"/>
      </w:tblGrid>
      <w:tr w:rsidR="0040239E" w:rsidRPr="00612E08" w14:paraId="607466C0" w14:textId="77777777" w:rsidTr="0040239E">
        <w:tc>
          <w:tcPr>
            <w:tcW w:w="3812" w:type="dxa"/>
            <w:tcBorders>
              <w:top w:val="single" w:sz="4" w:space="0" w:color="auto"/>
              <w:left w:val="single" w:sz="4" w:space="0" w:color="auto"/>
              <w:bottom w:val="nil"/>
              <w:right w:val="single" w:sz="4" w:space="0" w:color="auto"/>
            </w:tcBorders>
            <w:shd w:val="clear" w:color="auto" w:fill="E2E2E2"/>
          </w:tcPr>
          <w:p w14:paraId="1B3C74E5" w14:textId="77777777" w:rsidR="0040239E" w:rsidRPr="00612E08" w:rsidRDefault="0040239E" w:rsidP="00911BB2">
            <w:pPr>
              <w:rPr>
                <w:b/>
              </w:rPr>
            </w:pPr>
            <w:r w:rsidRPr="00612E08">
              <w:rPr>
                <w:rFonts w:eastAsia="Calibri"/>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95D23B8" w14:textId="77777777" w:rsidR="0040239E" w:rsidRPr="00612E08" w:rsidRDefault="0040239E" w:rsidP="00911BB2">
            <w:pPr>
              <w:jc w:val="center"/>
              <w:rPr>
                <w:rFonts w:eastAsia="MS Mincho"/>
                <w:b/>
              </w:rPr>
            </w:pPr>
          </w:p>
        </w:tc>
        <w:tc>
          <w:tcPr>
            <w:tcW w:w="1281" w:type="dxa"/>
            <w:tcBorders>
              <w:top w:val="single" w:sz="4" w:space="0" w:color="auto"/>
              <w:left w:val="nil"/>
              <w:bottom w:val="nil"/>
              <w:right w:val="nil"/>
            </w:tcBorders>
            <w:shd w:val="clear" w:color="auto" w:fill="auto"/>
          </w:tcPr>
          <w:p w14:paraId="05304255" w14:textId="77777777" w:rsidR="0040239E" w:rsidRPr="00612E08" w:rsidRDefault="0040239E" w:rsidP="00911BB2">
            <w:pPr>
              <w:ind w:right="-108"/>
              <w:rPr>
                <w:b/>
              </w:rPr>
            </w:pPr>
          </w:p>
        </w:tc>
        <w:tc>
          <w:tcPr>
            <w:tcW w:w="569" w:type="dxa"/>
            <w:gridSpan w:val="2"/>
            <w:tcBorders>
              <w:top w:val="single" w:sz="4" w:space="0" w:color="auto"/>
              <w:left w:val="nil"/>
              <w:bottom w:val="nil"/>
              <w:right w:val="nil"/>
            </w:tcBorders>
            <w:shd w:val="clear" w:color="auto" w:fill="auto"/>
          </w:tcPr>
          <w:p w14:paraId="276D6D5B" w14:textId="77777777" w:rsidR="0040239E" w:rsidRPr="00612E08" w:rsidRDefault="0040239E" w:rsidP="00911BB2">
            <w:pPr>
              <w:jc w:val="center"/>
              <w:rPr>
                <w:rFonts w:eastAsia="MS Mincho"/>
                <w:b/>
              </w:rPr>
            </w:pPr>
          </w:p>
        </w:tc>
        <w:tc>
          <w:tcPr>
            <w:tcW w:w="1133" w:type="dxa"/>
            <w:tcBorders>
              <w:top w:val="single" w:sz="4" w:space="0" w:color="auto"/>
              <w:left w:val="nil"/>
              <w:bottom w:val="nil"/>
              <w:right w:val="nil"/>
            </w:tcBorders>
            <w:shd w:val="clear" w:color="auto" w:fill="auto"/>
          </w:tcPr>
          <w:p w14:paraId="2C08F18F" w14:textId="77777777" w:rsidR="0040239E" w:rsidRPr="00612E08" w:rsidRDefault="0040239E" w:rsidP="00911BB2">
            <w:pPr>
              <w:rPr>
                <w:b/>
              </w:rPr>
            </w:pPr>
          </w:p>
        </w:tc>
        <w:tc>
          <w:tcPr>
            <w:tcW w:w="547" w:type="dxa"/>
            <w:tcBorders>
              <w:top w:val="single" w:sz="4" w:space="0" w:color="auto"/>
              <w:left w:val="nil"/>
              <w:bottom w:val="nil"/>
              <w:right w:val="nil"/>
            </w:tcBorders>
            <w:shd w:val="clear" w:color="auto" w:fill="auto"/>
          </w:tcPr>
          <w:p w14:paraId="6E27C8F2" w14:textId="77777777" w:rsidR="0040239E" w:rsidRPr="00612E08" w:rsidRDefault="0040239E" w:rsidP="00911BB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0754EF7E" w14:textId="77777777" w:rsidR="0040239E" w:rsidRPr="00612E08" w:rsidRDefault="0040239E" w:rsidP="00911BB2">
            <w:pPr>
              <w:ind w:left="54"/>
              <w:rPr>
                <w:b/>
              </w:rPr>
            </w:pPr>
          </w:p>
        </w:tc>
      </w:tr>
      <w:tr w:rsidR="0040239E" w:rsidRPr="00612E08" w14:paraId="353B7AFE" w14:textId="77777777" w:rsidTr="0040239E">
        <w:tc>
          <w:tcPr>
            <w:tcW w:w="3812" w:type="dxa"/>
            <w:tcBorders>
              <w:top w:val="nil"/>
              <w:left w:val="single" w:sz="4" w:space="0" w:color="auto"/>
              <w:bottom w:val="nil"/>
              <w:right w:val="single" w:sz="4" w:space="0" w:color="auto"/>
            </w:tcBorders>
            <w:shd w:val="clear" w:color="auto" w:fill="E2E2E2"/>
          </w:tcPr>
          <w:p w14:paraId="6C96B382" w14:textId="77777777" w:rsidR="0040239E" w:rsidRPr="00612E08" w:rsidRDefault="0040239E" w:rsidP="00911BB2">
            <w:pPr>
              <w:ind w:left="196" w:hanging="196"/>
              <w:rPr>
                <w:rFonts w:eastAsia="Calibri"/>
                <w:b/>
              </w:rPr>
            </w:pPr>
            <w:r w:rsidRPr="00612E08">
              <w:rPr>
                <w:rFonts w:eastAsia="Calibri"/>
                <w:b/>
              </w:rPr>
              <w:t xml:space="preserve">    vplyvy služieb verejnej správy na občana</w:t>
            </w:r>
          </w:p>
        </w:tc>
        <w:sdt>
          <w:sdtPr>
            <w:rPr>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C71614F" w14:textId="77777777" w:rsidR="0040239E" w:rsidRPr="00612E08" w:rsidRDefault="0040239E" w:rsidP="00911BB2">
                <w:pPr>
                  <w:jc w:val="center"/>
                  <w:rPr>
                    <w:b/>
                  </w:rPr>
                </w:pPr>
                <w:r w:rsidRPr="00612E08">
                  <w:rPr>
                    <w:rFonts w:ascii="MS Gothic" w:eastAsia="MS Gothic" w:hAnsi="MS Gothic" w:hint="eastAsia"/>
                    <w:b/>
                  </w:rPr>
                  <w:t>☐</w:t>
                </w:r>
              </w:p>
            </w:tc>
          </w:sdtContent>
        </w:sdt>
        <w:tc>
          <w:tcPr>
            <w:tcW w:w="1312" w:type="dxa"/>
            <w:gridSpan w:val="2"/>
            <w:tcBorders>
              <w:top w:val="nil"/>
              <w:left w:val="nil"/>
              <w:bottom w:val="dotted" w:sz="4" w:space="0" w:color="auto"/>
              <w:right w:val="nil"/>
            </w:tcBorders>
            <w:shd w:val="clear" w:color="auto" w:fill="auto"/>
          </w:tcPr>
          <w:p w14:paraId="54AF00DE" w14:textId="77777777" w:rsidR="0040239E" w:rsidRPr="00612E08" w:rsidRDefault="0040239E" w:rsidP="00911BB2">
            <w:pPr>
              <w:ind w:right="-108"/>
              <w:rPr>
                <w:b/>
              </w:rPr>
            </w:pPr>
            <w:r w:rsidRPr="00612E08">
              <w:rPr>
                <w:b/>
              </w:rPr>
              <w:t>Pozitívne</w:t>
            </w:r>
          </w:p>
        </w:tc>
        <w:sdt>
          <w:sdtPr>
            <w:rPr>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8C13783" w14:textId="77777777" w:rsidR="0040239E" w:rsidRPr="00612E08" w:rsidRDefault="0040239E" w:rsidP="00911BB2">
                <w:pPr>
                  <w:jc w:val="center"/>
                  <w:rPr>
                    <w:b/>
                  </w:rPr>
                </w:pPr>
                <w:r>
                  <w:rPr>
                    <w:rFonts w:ascii="MS Gothic" w:eastAsia="MS Gothic" w:hAnsi="MS Gothic" w:hint="eastAsia"/>
                    <w:b/>
                  </w:rPr>
                  <w:t>☒</w:t>
                </w:r>
              </w:p>
            </w:tc>
          </w:sdtContent>
        </w:sdt>
        <w:tc>
          <w:tcPr>
            <w:tcW w:w="1133" w:type="dxa"/>
            <w:tcBorders>
              <w:top w:val="nil"/>
              <w:left w:val="nil"/>
              <w:bottom w:val="dotted" w:sz="4" w:space="0" w:color="auto"/>
              <w:right w:val="nil"/>
            </w:tcBorders>
            <w:shd w:val="clear" w:color="auto" w:fill="auto"/>
          </w:tcPr>
          <w:p w14:paraId="077B87E4" w14:textId="77777777" w:rsidR="0040239E" w:rsidRPr="00612E08" w:rsidRDefault="0040239E" w:rsidP="00911BB2">
            <w:pPr>
              <w:rPr>
                <w:b/>
              </w:rPr>
            </w:pPr>
            <w:r w:rsidRPr="00612E08">
              <w:rPr>
                <w:b/>
              </w:rPr>
              <w:t>Žiadne</w:t>
            </w:r>
          </w:p>
        </w:tc>
        <w:sdt>
          <w:sdtPr>
            <w:rPr>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918ED80" w14:textId="77777777" w:rsidR="0040239E" w:rsidRPr="00612E08" w:rsidRDefault="0040239E" w:rsidP="00911BB2">
                <w:pPr>
                  <w:jc w:val="center"/>
                  <w:rPr>
                    <w:b/>
                  </w:rPr>
                </w:pPr>
                <w:r w:rsidRPr="00612E08">
                  <w:rPr>
                    <w:rFonts w:ascii="MS Gothic" w:eastAsia="MS Gothic" w:hAnsi="MS Gothic" w:hint="eastAsia"/>
                    <w:b/>
                  </w:rPr>
                  <w:t>☐</w:t>
                </w:r>
              </w:p>
            </w:tc>
          </w:sdtContent>
        </w:sdt>
        <w:tc>
          <w:tcPr>
            <w:tcW w:w="1297" w:type="dxa"/>
            <w:tcBorders>
              <w:top w:val="nil"/>
              <w:left w:val="nil"/>
              <w:bottom w:val="dotted" w:sz="4" w:space="0" w:color="auto"/>
              <w:right w:val="single" w:sz="4" w:space="0" w:color="auto"/>
            </w:tcBorders>
            <w:shd w:val="clear" w:color="auto" w:fill="auto"/>
          </w:tcPr>
          <w:p w14:paraId="3C5C1FC4" w14:textId="77777777" w:rsidR="0040239E" w:rsidRPr="00612E08" w:rsidRDefault="0040239E" w:rsidP="00911BB2">
            <w:pPr>
              <w:ind w:left="54"/>
              <w:rPr>
                <w:b/>
              </w:rPr>
            </w:pPr>
            <w:r w:rsidRPr="00612E08">
              <w:rPr>
                <w:b/>
              </w:rPr>
              <w:t>Negatívne</w:t>
            </w:r>
          </w:p>
        </w:tc>
      </w:tr>
      <w:tr w:rsidR="0040239E" w:rsidRPr="00612E08" w14:paraId="3C27CE60" w14:textId="77777777" w:rsidTr="0040239E">
        <w:tc>
          <w:tcPr>
            <w:tcW w:w="3812" w:type="dxa"/>
            <w:tcBorders>
              <w:top w:val="nil"/>
              <w:left w:val="single" w:sz="4" w:space="0" w:color="auto"/>
              <w:bottom w:val="nil"/>
              <w:right w:val="single" w:sz="4" w:space="0" w:color="auto"/>
            </w:tcBorders>
            <w:shd w:val="clear" w:color="auto" w:fill="E2E2E2"/>
          </w:tcPr>
          <w:p w14:paraId="45EA457A" w14:textId="77777777" w:rsidR="0040239E" w:rsidRPr="00612E08" w:rsidRDefault="0040239E" w:rsidP="00911BB2">
            <w:pPr>
              <w:ind w:left="168" w:hanging="168"/>
              <w:rPr>
                <w:rFonts w:eastAsia="Calibri"/>
                <w:b/>
              </w:rPr>
            </w:pPr>
            <w:r w:rsidRPr="00612E08">
              <w:rPr>
                <w:rFonts w:eastAsia="Calibri"/>
                <w:b/>
              </w:rPr>
              <w:t xml:space="preserve">    vplyvy na procesy služieb vo verejnej správe</w:t>
            </w:r>
          </w:p>
        </w:tc>
        <w:sdt>
          <w:sdtPr>
            <w:rPr>
              <w:b/>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778460B" w14:textId="77777777" w:rsidR="0040239E" w:rsidRPr="00612E08" w:rsidRDefault="0040239E" w:rsidP="00911BB2">
                <w:pPr>
                  <w:jc w:val="center"/>
                  <w:rPr>
                    <w:b/>
                  </w:rPr>
                </w:pPr>
                <w:r w:rsidRPr="00612E08">
                  <w:rPr>
                    <w:rFonts w:ascii="MS Gothic" w:eastAsia="MS Gothic" w:hAnsi="MS Gothic" w:hint="eastAsia"/>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C23DCF9" w14:textId="77777777" w:rsidR="0040239E" w:rsidRPr="00612E08" w:rsidRDefault="0040239E" w:rsidP="00911BB2">
            <w:pPr>
              <w:ind w:right="-108"/>
              <w:rPr>
                <w:b/>
              </w:rPr>
            </w:pPr>
            <w:r w:rsidRPr="00612E08">
              <w:rPr>
                <w:b/>
              </w:rPr>
              <w:t>Pozitívne</w:t>
            </w:r>
          </w:p>
        </w:tc>
        <w:sdt>
          <w:sdtPr>
            <w:rPr>
              <w:b/>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6E13983" w14:textId="77777777" w:rsidR="0040239E" w:rsidRPr="00612E08" w:rsidRDefault="0040239E" w:rsidP="00911BB2">
                <w:pPr>
                  <w:jc w:val="center"/>
                  <w:rPr>
                    <w:b/>
                  </w:rPr>
                </w:pPr>
                <w:r>
                  <w:rPr>
                    <w:rFonts w:ascii="MS Gothic" w:eastAsia="MS Gothic" w:hAnsi="MS Gothic" w:hint="eastAsia"/>
                    <w:b/>
                  </w:rPr>
                  <w:t>☒</w:t>
                </w:r>
              </w:p>
            </w:tc>
          </w:sdtContent>
        </w:sdt>
        <w:tc>
          <w:tcPr>
            <w:tcW w:w="1133" w:type="dxa"/>
            <w:tcBorders>
              <w:top w:val="dotted" w:sz="4" w:space="0" w:color="auto"/>
              <w:left w:val="nil"/>
              <w:bottom w:val="dotted" w:sz="4" w:space="0" w:color="auto"/>
              <w:right w:val="nil"/>
            </w:tcBorders>
            <w:shd w:val="clear" w:color="auto" w:fill="auto"/>
            <w:vAlign w:val="center"/>
          </w:tcPr>
          <w:p w14:paraId="79683692" w14:textId="77777777" w:rsidR="0040239E" w:rsidRPr="00612E08" w:rsidRDefault="0040239E" w:rsidP="00911BB2">
            <w:pPr>
              <w:rPr>
                <w:b/>
              </w:rPr>
            </w:pPr>
            <w:r w:rsidRPr="00612E08">
              <w:rPr>
                <w:b/>
              </w:rPr>
              <w:t>Žiadne</w:t>
            </w:r>
          </w:p>
        </w:tc>
        <w:sdt>
          <w:sdtPr>
            <w:rPr>
              <w:b/>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E027308" w14:textId="77777777" w:rsidR="0040239E" w:rsidRPr="00612E08" w:rsidRDefault="0040239E" w:rsidP="00911BB2">
                <w:pPr>
                  <w:jc w:val="center"/>
                  <w:rPr>
                    <w:b/>
                  </w:rPr>
                </w:pPr>
                <w:r w:rsidRPr="00612E08">
                  <w:rPr>
                    <w:rFonts w:ascii="MS Gothic" w:eastAsia="MS Gothic" w:hAnsi="MS Gothic" w:hint="eastAsia"/>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F03B447" w14:textId="77777777" w:rsidR="0040239E" w:rsidRPr="00612E08" w:rsidRDefault="0040239E" w:rsidP="00911BB2">
            <w:pPr>
              <w:ind w:left="54"/>
              <w:rPr>
                <w:b/>
              </w:rPr>
            </w:pPr>
            <w:r w:rsidRPr="00612E08">
              <w:rPr>
                <w:b/>
              </w:rPr>
              <w:t>Negatívne</w:t>
            </w:r>
          </w:p>
        </w:tc>
      </w:tr>
    </w:tbl>
    <w:tbl>
      <w:tblPr>
        <w:tblStyle w:val="Mriekatabuky1"/>
        <w:tblW w:w="9639" w:type="dxa"/>
        <w:tblLayout w:type="fixed"/>
        <w:tblLook w:val="04A0" w:firstRow="1" w:lastRow="0" w:firstColumn="1" w:lastColumn="0" w:noHBand="0" w:noVBand="1"/>
      </w:tblPr>
      <w:tblGrid>
        <w:gridCol w:w="4002"/>
        <w:gridCol w:w="568"/>
        <w:gridCol w:w="1378"/>
        <w:gridCol w:w="565"/>
        <w:gridCol w:w="1190"/>
        <w:gridCol w:w="574"/>
        <w:gridCol w:w="1362"/>
      </w:tblGrid>
      <w:tr w:rsidR="0040239E" w:rsidRPr="00612E08" w14:paraId="0A2849AD" w14:textId="77777777" w:rsidTr="0040239E">
        <w:tc>
          <w:tcPr>
            <w:tcW w:w="3812" w:type="dxa"/>
            <w:tcBorders>
              <w:top w:val="single" w:sz="4" w:space="0" w:color="000000"/>
              <w:left w:val="single" w:sz="4" w:space="0" w:color="auto"/>
              <w:bottom w:val="single" w:sz="4" w:space="0" w:color="auto"/>
              <w:right w:val="single" w:sz="4" w:space="0" w:color="auto"/>
            </w:tcBorders>
            <w:shd w:val="clear" w:color="auto" w:fill="E2E2E2"/>
          </w:tcPr>
          <w:p w14:paraId="5E2516C2"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FE7012B"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C24AFA7" w14:textId="77777777" w:rsidR="0040239E" w:rsidRPr="00612E08" w:rsidRDefault="0040239E" w:rsidP="00911BB2">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6737C1F" w14:textId="77777777" w:rsidR="0040239E" w:rsidRPr="00612E08" w:rsidRDefault="0040239E" w:rsidP="00911BB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76DA52D" w14:textId="77777777" w:rsidR="0040239E" w:rsidRPr="00612E08" w:rsidRDefault="0040239E" w:rsidP="00911BB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466891D" w14:textId="77777777" w:rsidR="0040239E" w:rsidRPr="00612E08" w:rsidRDefault="0040239E" w:rsidP="00911BB2">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CA6E83D" w14:textId="77777777" w:rsidR="0040239E" w:rsidRPr="00612E08" w:rsidRDefault="0040239E" w:rsidP="00911BB2">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469F1956" w14:textId="77777777" w:rsidR="0040239E" w:rsidRPr="00612E08" w:rsidRDefault="0040239E" w:rsidP="0040239E">
      <w:pPr>
        <w:ind w:right="141"/>
        <w:rPr>
          <w:b/>
        </w:rPr>
      </w:pPr>
    </w:p>
    <w:tbl>
      <w:tblPr>
        <w:tblStyle w:val="Mriekatabuky1"/>
        <w:tblW w:w="9639" w:type="dxa"/>
        <w:tblLayout w:type="fixed"/>
        <w:tblLook w:val="04A0" w:firstRow="1" w:lastRow="0" w:firstColumn="1" w:lastColumn="0" w:noHBand="0" w:noVBand="1"/>
      </w:tblPr>
      <w:tblGrid>
        <w:gridCol w:w="9639"/>
      </w:tblGrid>
      <w:tr w:rsidR="0040239E" w:rsidRPr="00612E08" w14:paraId="5341F389" w14:textId="77777777" w:rsidTr="0040239E">
        <w:tc>
          <w:tcPr>
            <w:tcW w:w="9176" w:type="dxa"/>
            <w:tcBorders>
              <w:top w:val="single" w:sz="4" w:space="0" w:color="auto"/>
              <w:left w:val="single" w:sz="4" w:space="0" w:color="auto"/>
              <w:bottom w:val="nil"/>
              <w:right w:val="single" w:sz="4" w:space="0" w:color="auto"/>
            </w:tcBorders>
            <w:shd w:val="clear" w:color="auto" w:fill="E2E2E2"/>
          </w:tcPr>
          <w:p w14:paraId="609BC784"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40239E" w:rsidRPr="00612E08" w14:paraId="6103E79F" w14:textId="77777777" w:rsidTr="0040239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428ADC8"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479F916C" w14:textId="77777777" w:rsidR="0040239E" w:rsidRPr="00612E08" w:rsidRDefault="0040239E" w:rsidP="00911BB2">
            <w:pPr>
              <w:jc w:val="both"/>
              <w:rPr>
                <w:rFonts w:ascii="Times New Roman" w:eastAsia="Times New Roman" w:hAnsi="Times New Roman" w:cs="Times New Roman"/>
                <w:i/>
                <w:sz w:val="20"/>
                <w:szCs w:val="20"/>
                <w:lang w:eastAsia="sk-SK"/>
              </w:rPr>
            </w:pPr>
          </w:p>
          <w:p w14:paraId="4F9AA5D0"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AD804A2" w14:textId="77777777" w:rsidR="0040239E" w:rsidRPr="00612E08" w:rsidRDefault="0040239E" w:rsidP="00911BB2">
            <w:pPr>
              <w:jc w:val="both"/>
              <w:rPr>
                <w:rFonts w:ascii="Times New Roman" w:eastAsia="Times New Roman" w:hAnsi="Times New Roman" w:cs="Times New Roman"/>
                <w:i/>
                <w:sz w:val="20"/>
                <w:szCs w:val="20"/>
                <w:lang w:eastAsia="sk-SK"/>
              </w:rPr>
            </w:pPr>
          </w:p>
          <w:p w14:paraId="4C36C684"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6C6AA5F8" w14:textId="77777777" w:rsidR="0040239E" w:rsidRPr="00612E08" w:rsidRDefault="0040239E" w:rsidP="00911BB2">
            <w:pPr>
              <w:jc w:val="both"/>
              <w:rPr>
                <w:rFonts w:ascii="Times New Roman" w:eastAsia="Times New Roman" w:hAnsi="Times New Roman" w:cs="Times New Roman"/>
                <w:i/>
                <w:sz w:val="20"/>
                <w:szCs w:val="20"/>
                <w:lang w:eastAsia="sk-SK"/>
              </w:rPr>
            </w:pPr>
          </w:p>
          <w:p w14:paraId="526E0A23"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w:t>
            </w:r>
            <w:r>
              <w:rPr>
                <w:rFonts w:ascii="Times New Roman" w:eastAsia="Times New Roman" w:hAnsi="Times New Roman" w:cs="Times New Roman"/>
                <w:i/>
                <w:sz w:val="20"/>
                <w:szCs w:val="20"/>
                <w:lang w:eastAsia="sk-SK"/>
              </w:rPr>
              <w:t xml:space="preserve"> č. </w:t>
            </w:r>
            <w:r w:rsidRPr="00612E08">
              <w:rPr>
                <w:rFonts w:ascii="Times New Roman" w:eastAsia="Times New Roman" w:hAnsi="Times New Roman" w:cs="Times New Roman"/>
                <w:i/>
                <w:sz w:val="20"/>
                <w:szCs w:val="20"/>
                <w:lang w:eastAsia="sk-SK"/>
              </w:rPr>
              <w:t>24/2006 Z. z. o posudzovaní vplyvov na životné prostredie a o zmene a doplnení niektorých zákonov v znení neskorších prepisov, uveďte internetový odkaz na tento proces.</w:t>
            </w:r>
          </w:p>
          <w:p w14:paraId="6287C20B" w14:textId="77777777" w:rsidR="0040239E" w:rsidRDefault="0040239E" w:rsidP="00911BB2">
            <w:pPr>
              <w:jc w:val="both"/>
              <w:rPr>
                <w:rFonts w:ascii="Times New Roman" w:eastAsia="Times New Roman" w:hAnsi="Times New Roman" w:cs="Times New Roman"/>
                <w:i/>
                <w:sz w:val="20"/>
                <w:szCs w:val="20"/>
                <w:lang w:eastAsia="sk-SK"/>
              </w:rPr>
            </w:pPr>
          </w:p>
          <w:p w14:paraId="0D2C1E54" w14:textId="77777777" w:rsidR="0040239E" w:rsidRDefault="0040239E" w:rsidP="00911BB2">
            <w:pPr>
              <w:jc w:val="both"/>
              <w:rPr>
                <w:rFonts w:ascii="Times New Roman" w:eastAsia="Times New Roman" w:hAnsi="Times New Roman" w:cs="Times New Roman"/>
                <w:sz w:val="20"/>
                <w:szCs w:val="20"/>
                <w:lang w:eastAsia="sk-SK"/>
              </w:rPr>
            </w:pPr>
            <w:r w:rsidRPr="00DB00B8">
              <w:rPr>
                <w:rFonts w:ascii="Times New Roman" w:eastAsia="Times New Roman" w:hAnsi="Times New Roman" w:cs="Times New Roman"/>
                <w:sz w:val="20"/>
                <w:szCs w:val="20"/>
                <w:lang w:eastAsia="sk-SK"/>
              </w:rPr>
              <w:t>Návrhom zákona nie je možné jednoznačne kvantifikovať charakter a</w:t>
            </w:r>
            <w:r>
              <w:rPr>
                <w:rFonts w:ascii="Times New Roman" w:eastAsia="Times New Roman" w:hAnsi="Times New Roman" w:cs="Times New Roman"/>
                <w:sz w:val="20"/>
                <w:szCs w:val="20"/>
                <w:lang w:eastAsia="sk-SK"/>
              </w:rPr>
              <w:t> </w:t>
            </w:r>
            <w:r w:rsidRPr="00DB00B8">
              <w:rPr>
                <w:rFonts w:ascii="Times New Roman" w:eastAsia="Times New Roman" w:hAnsi="Times New Roman" w:cs="Times New Roman"/>
                <w:sz w:val="20"/>
                <w:szCs w:val="20"/>
                <w:lang w:eastAsia="sk-SK"/>
              </w:rPr>
              <w:t>rozsah</w:t>
            </w:r>
            <w:r>
              <w:rPr>
                <w:rFonts w:ascii="Times New Roman" w:eastAsia="Times New Roman" w:hAnsi="Times New Roman" w:cs="Times New Roman"/>
                <w:sz w:val="20"/>
                <w:szCs w:val="20"/>
                <w:lang w:eastAsia="sk-SK"/>
              </w:rPr>
              <w:t xml:space="preserve"> vplyvu na podnikateľské prostredie, </w:t>
            </w:r>
            <w:r>
              <w:rPr>
                <w:rFonts w:ascii="Times New Roman" w:eastAsia="Times New Roman" w:hAnsi="Times New Roman" w:cs="Times New Roman"/>
                <w:sz w:val="20"/>
                <w:szCs w:val="20"/>
                <w:lang w:eastAsia="sk-SK"/>
              </w:rPr>
              <w:lastRenderedPageBreak/>
              <w:t>keďže návrh zákona vytvára len právny rámec na usporiadanie vlastníckych vzťahov k pozemkom, ktoré nie sú vo vlastníctve štátu alebo letiskovej spoločnosti.</w:t>
            </w:r>
          </w:p>
          <w:p w14:paraId="7094396E" w14:textId="77777777" w:rsidR="0040239E" w:rsidRDefault="0040239E" w:rsidP="00911BB2">
            <w:pPr>
              <w:jc w:val="both"/>
              <w:rPr>
                <w:rFonts w:ascii="Times New Roman" w:eastAsia="Times New Roman" w:hAnsi="Times New Roman" w:cs="Times New Roman"/>
                <w:sz w:val="20"/>
                <w:szCs w:val="20"/>
                <w:lang w:eastAsia="sk-SK"/>
              </w:rPr>
            </w:pPr>
          </w:p>
          <w:p w14:paraId="016C24A8" w14:textId="77777777" w:rsidR="0040239E" w:rsidRDefault="0040239E" w:rsidP="00911BB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Pozitívny vplyv na podnikateľské prostredie, konkrétne vo vzťahu k letiskovej spoločnosti, predstavuje skutočnosť, že ak letisková spoločnosť nemá k dispozícii dostatočné finančné prostriedky na výkup predmetných pozemkov, Ministerstvo dopravy Slovenskej republiky môže tieto pozemky vykúpiť a následne prenajať letiskovej spoločnosti za trhové nájomné. Možno predpokladať, že výška nájomného nebude pre letiskovú spoločnosť predstavovať, najmä z dlhodobého hľadiska, nárazovú finančnú záťaž ako v prípade výkupu pozemkov priamo letiskovou spoločnosťou.</w:t>
            </w:r>
          </w:p>
          <w:p w14:paraId="2CC6DF87" w14:textId="77777777" w:rsidR="0040239E" w:rsidRDefault="0040239E" w:rsidP="00911BB2">
            <w:pPr>
              <w:jc w:val="both"/>
              <w:rPr>
                <w:rFonts w:ascii="Times New Roman" w:eastAsia="Times New Roman" w:hAnsi="Times New Roman" w:cs="Times New Roman"/>
                <w:sz w:val="20"/>
                <w:szCs w:val="20"/>
                <w:lang w:eastAsia="sk-SK"/>
              </w:rPr>
            </w:pPr>
          </w:p>
          <w:p w14:paraId="647A151C" w14:textId="77777777" w:rsidR="0040239E" w:rsidRDefault="0040239E" w:rsidP="00911BB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Negatívny vplyv na podnikateľské prostredie, konkrétne vo vzťahu k letiskovej spoločnosti, by mohla predstavovať skutočnosť, že ak výkup pozemkov bude zabezpečovať Ministerstvo dopravy Slovenskej republiky, predmetné pozemky budú vo vlastníctve štátu a nie vo vlastníctve letiskovej spoločnosti, pričom letisková spoločnosť bude povinná platiť trhové nájomné. Vlastníctvo štátu predmetných pozemkov nepredstavuje až taký negatívny vplyv, pretože samotný zákon č. 136/2004 Z. z. </w:t>
            </w:r>
            <w:r w:rsidRPr="00832237">
              <w:rPr>
                <w:rFonts w:ascii="Times New Roman" w:eastAsia="Times New Roman" w:hAnsi="Times New Roman" w:cs="Times New Roman"/>
                <w:bCs/>
                <w:sz w:val="20"/>
                <w:szCs w:val="20"/>
                <w:lang w:eastAsia="sk-SK"/>
              </w:rPr>
              <w:t>o letiskových spoločnostiach a o zmene a doplnení zákona č. 143/1998 Z. z. o civilnom letectve (letecký zákon) a o zmene a doplnení niektorých zákonov v znení zákona č. 37/2002 Z. z. v znení neskorších predpisov</w:t>
            </w:r>
            <w:r>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sz w:val="20"/>
                <w:szCs w:val="20"/>
                <w:lang w:eastAsia="sk-SK"/>
              </w:rPr>
              <w:t>v prípade prioritného infraštruktúrneho majetku</w:t>
            </w:r>
            <w:r w:rsidRPr="009A2C81">
              <w:rPr>
                <w:rFonts w:ascii="Times New Roman" w:eastAsia="Times New Roman" w:hAnsi="Times New Roman" w:cs="Times New Roman"/>
                <w:bCs/>
                <w:sz w:val="20"/>
                <w:szCs w:val="20"/>
                <w:lang w:eastAsia="sk-SK"/>
              </w:rPr>
              <w:t xml:space="preserve">, ktorý predstavuje špecifickú časť letiskovej infraštruktúry, </w:t>
            </w:r>
            <w:r>
              <w:rPr>
                <w:rFonts w:ascii="Times New Roman" w:eastAsia="Times New Roman" w:hAnsi="Times New Roman" w:cs="Times New Roman"/>
                <w:bCs/>
                <w:sz w:val="20"/>
                <w:szCs w:val="20"/>
                <w:lang w:eastAsia="sk-SK"/>
              </w:rPr>
              <w:t xml:space="preserve">uvádza, že takýto majetok môže </w:t>
            </w:r>
            <w:r w:rsidRPr="009A2C81">
              <w:rPr>
                <w:rFonts w:ascii="Times New Roman" w:eastAsia="Times New Roman" w:hAnsi="Times New Roman" w:cs="Times New Roman"/>
                <w:bCs/>
                <w:sz w:val="20"/>
                <w:szCs w:val="20"/>
                <w:lang w:eastAsia="sk-SK"/>
              </w:rPr>
              <w:t xml:space="preserve">byť </w:t>
            </w:r>
            <w:r>
              <w:rPr>
                <w:rFonts w:ascii="Times New Roman" w:eastAsia="Times New Roman" w:hAnsi="Times New Roman" w:cs="Times New Roman"/>
                <w:bCs/>
                <w:sz w:val="20"/>
                <w:szCs w:val="20"/>
                <w:lang w:eastAsia="sk-SK"/>
              </w:rPr>
              <w:t>len</w:t>
            </w:r>
            <w:r w:rsidRPr="009A2C81">
              <w:rPr>
                <w:rFonts w:ascii="Times New Roman" w:eastAsia="Times New Roman" w:hAnsi="Times New Roman" w:cs="Times New Roman"/>
                <w:bCs/>
                <w:sz w:val="20"/>
                <w:szCs w:val="20"/>
                <w:lang w:eastAsia="sk-SK"/>
              </w:rPr>
              <w:t xml:space="preserve"> vo vlastníctve štátu alebo vo vlastníctve letiskovej spoločnosti</w:t>
            </w:r>
            <w:r>
              <w:rPr>
                <w:rFonts w:ascii="Times New Roman" w:eastAsia="Times New Roman" w:hAnsi="Times New Roman" w:cs="Times New Roman"/>
                <w:bCs/>
                <w:sz w:val="20"/>
                <w:szCs w:val="20"/>
                <w:lang w:eastAsia="sk-SK"/>
              </w:rPr>
              <w:t>.</w:t>
            </w:r>
          </w:p>
          <w:p w14:paraId="3A88BB10" w14:textId="77777777" w:rsidR="0040239E" w:rsidRPr="00DB00B8" w:rsidRDefault="0040239E" w:rsidP="00911BB2">
            <w:pPr>
              <w:jc w:val="both"/>
              <w:rPr>
                <w:rFonts w:ascii="Times New Roman" w:eastAsia="Times New Roman" w:hAnsi="Times New Roman" w:cs="Times New Roman"/>
                <w:sz w:val="20"/>
                <w:szCs w:val="20"/>
                <w:lang w:eastAsia="sk-SK"/>
              </w:rPr>
            </w:pPr>
          </w:p>
          <w:p w14:paraId="2A7D158D" w14:textId="77777777" w:rsidR="0040239E" w:rsidRDefault="0040239E" w:rsidP="00911BB2">
            <w:pPr>
              <w:jc w:val="both"/>
              <w:rPr>
                <w:rFonts w:ascii="Times New Roman" w:eastAsia="Times New Roman" w:hAnsi="Times New Roman" w:cs="Times New Roman"/>
                <w:sz w:val="20"/>
                <w:szCs w:val="20"/>
                <w:lang w:eastAsia="sk-SK"/>
              </w:rPr>
            </w:pPr>
            <w:r w:rsidRPr="00DB00B8">
              <w:rPr>
                <w:rFonts w:ascii="Times New Roman" w:eastAsia="Times New Roman" w:hAnsi="Times New Roman" w:cs="Times New Roman"/>
                <w:sz w:val="20"/>
                <w:szCs w:val="20"/>
                <w:lang w:eastAsia="sk-SK"/>
              </w:rPr>
              <w:t>Návrhom zákona nie je možné jednoznačne kvantifikovať char</w:t>
            </w:r>
            <w:r>
              <w:rPr>
                <w:rFonts w:ascii="Times New Roman" w:eastAsia="Times New Roman" w:hAnsi="Times New Roman" w:cs="Times New Roman"/>
                <w:sz w:val="20"/>
                <w:szCs w:val="20"/>
                <w:lang w:eastAsia="sk-SK"/>
              </w:rPr>
              <w:t>akter a rozsah celkových príjmov</w:t>
            </w:r>
            <w:r w:rsidRPr="00DB00B8">
              <w:rPr>
                <w:rFonts w:ascii="Times New Roman" w:eastAsia="Times New Roman" w:hAnsi="Times New Roman" w:cs="Times New Roman"/>
                <w:sz w:val="20"/>
                <w:szCs w:val="20"/>
                <w:lang w:eastAsia="sk-SK"/>
              </w:rPr>
              <w:t>, keďže nie je možné konkrétne určiť</w:t>
            </w:r>
            <w:r>
              <w:rPr>
                <w:rFonts w:ascii="Times New Roman" w:eastAsia="Times New Roman" w:hAnsi="Times New Roman" w:cs="Times New Roman"/>
                <w:sz w:val="20"/>
                <w:szCs w:val="20"/>
                <w:lang w:eastAsia="sk-SK"/>
              </w:rPr>
              <w:t xml:space="preserve"> rozsah prenajímaných pozemkov a ani výšku nájomného</w:t>
            </w:r>
            <w:r w:rsidRPr="00DB00B8">
              <w:rPr>
                <w:rFonts w:ascii="Times New Roman" w:eastAsia="Times New Roman" w:hAnsi="Times New Roman" w:cs="Times New Roman"/>
                <w:sz w:val="20"/>
                <w:szCs w:val="20"/>
                <w:lang w:eastAsia="sk-SK"/>
              </w:rPr>
              <w:t>.</w:t>
            </w:r>
          </w:p>
          <w:p w14:paraId="1BB099AB" w14:textId="77777777" w:rsidR="0040239E" w:rsidRPr="00612E08" w:rsidRDefault="0040239E" w:rsidP="00911BB2">
            <w:pPr>
              <w:jc w:val="both"/>
              <w:rPr>
                <w:rFonts w:ascii="Times New Roman" w:eastAsia="Calibri" w:hAnsi="Times New Roman" w:cs="Times New Roman"/>
                <w:b/>
              </w:rPr>
            </w:pPr>
          </w:p>
        </w:tc>
      </w:tr>
      <w:tr w:rsidR="0040239E" w:rsidRPr="00612E08" w14:paraId="5232C16C" w14:textId="77777777" w:rsidTr="0040239E">
        <w:tc>
          <w:tcPr>
            <w:tcW w:w="9176" w:type="dxa"/>
            <w:tcBorders>
              <w:top w:val="single" w:sz="4" w:space="0" w:color="auto"/>
              <w:left w:val="single" w:sz="4" w:space="0" w:color="auto"/>
              <w:bottom w:val="single" w:sz="4" w:space="0" w:color="FFFFFF"/>
              <w:right w:val="single" w:sz="4" w:space="0" w:color="auto"/>
            </w:tcBorders>
            <w:shd w:val="clear" w:color="auto" w:fill="E2E2E2"/>
          </w:tcPr>
          <w:p w14:paraId="6DD9A8EF" w14:textId="77777777" w:rsidR="0040239E" w:rsidRPr="00612E08" w:rsidRDefault="0040239E" w:rsidP="0040239E">
            <w:pPr>
              <w:keepNext/>
              <w:widowControl/>
              <w:numPr>
                <w:ilvl w:val="0"/>
                <w:numId w:val="23"/>
              </w:numPr>
              <w:autoSpaceDE/>
              <w:autoSpaceDN/>
              <w:adjustRightInd/>
              <w:ind w:left="425" w:hanging="357"/>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40239E" w:rsidRPr="00612E08" w14:paraId="03E59821" w14:textId="77777777" w:rsidTr="0040239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0333BF5" w14:textId="77777777" w:rsidR="0040239E" w:rsidRDefault="0040239E" w:rsidP="00911BB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488FD2D0" w14:textId="77777777" w:rsidR="0040239E" w:rsidRDefault="0040239E" w:rsidP="00911BB2">
            <w:pPr>
              <w:rPr>
                <w:rFonts w:ascii="Times New Roman" w:eastAsia="Times New Roman" w:hAnsi="Times New Roman" w:cs="Times New Roman"/>
                <w:i/>
                <w:sz w:val="20"/>
                <w:szCs w:val="20"/>
                <w:lang w:eastAsia="sk-SK"/>
              </w:rPr>
            </w:pPr>
          </w:p>
          <w:p w14:paraId="509740DE" w14:textId="77777777" w:rsidR="0040239E" w:rsidRPr="00EB4B65" w:rsidRDefault="0040239E" w:rsidP="00911BB2">
            <w:pPr>
              <w:jc w:val="both"/>
              <w:rPr>
                <w:rFonts w:ascii="Times New Roman" w:eastAsia="Times New Roman" w:hAnsi="Times New Roman" w:cs="Times New Roman"/>
                <w:sz w:val="20"/>
                <w:szCs w:val="20"/>
                <w:lang w:eastAsia="sk-SK"/>
              </w:rPr>
            </w:pPr>
            <w:r w:rsidRPr="00EB4B65">
              <w:rPr>
                <w:rFonts w:ascii="Times New Roman" w:eastAsia="Times New Roman" w:hAnsi="Times New Roman" w:cs="Times New Roman"/>
                <w:sz w:val="20"/>
                <w:szCs w:val="20"/>
                <w:lang w:eastAsia="sk-SK"/>
              </w:rPr>
              <w:t xml:space="preserve">Michal Hýsek, </w:t>
            </w:r>
            <w:r>
              <w:rPr>
                <w:rFonts w:ascii="Times New Roman" w:eastAsia="Times New Roman" w:hAnsi="Times New Roman" w:cs="Times New Roman"/>
                <w:sz w:val="20"/>
                <w:szCs w:val="20"/>
                <w:lang w:eastAsia="sk-SK"/>
              </w:rPr>
              <w:t>odbor</w:t>
            </w:r>
            <w:r w:rsidRPr="00EB4B65">
              <w:rPr>
                <w:rFonts w:ascii="Times New Roman" w:eastAsia="Times New Roman" w:hAnsi="Times New Roman" w:cs="Times New Roman"/>
                <w:sz w:val="20"/>
                <w:szCs w:val="20"/>
                <w:lang w:eastAsia="sk-SK"/>
              </w:rPr>
              <w:t xml:space="preserve"> civilného letectva, Ministerstvo dopravy Slovenskej republiky, 02/59494617, </w:t>
            </w:r>
            <w:hyperlink r:id="rId8" w:history="1">
              <w:r w:rsidRPr="00EB4B65">
                <w:rPr>
                  <w:rStyle w:val="Hypertextovprepojenie"/>
                  <w:rFonts w:ascii="Times New Roman" w:eastAsia="Times New Roman" w:hAnsi="Times New Roman" w:cs="Times New Roman"/>
                  <w:sz w:val="20"/>
                  <w:szCs w:val="20"/>
                  <w:lang w:eastAsia="sk-SK"/>
                </w:rPr>
                <w:t>michal.hysek@mindop.sk</w:t>
              </w:r>
            </w:hyperlink>
          </w:p>
          <w:p w14:paraId="55A05B90" w14:textId="77777777" w:rsidR="0040239E" w:rsidRPr="003C0484" w:rsidRDefault="0040239E" w:rsidP="00911BB2">
            <w:pPr>
              <w:rPr>
                <w:rFonts w:ascii="Times New Roman" w:eastAsia="Times New Roman" w:hAnsi="Times New Roman" w:cs="Times New Roman"/>
                <w:sz w:val="20"/>
                <w:szCs w:val="20"/>
                <w:lang w:eastAsia="sk-SK"/>
              </w:rPr>
            </w:pPr>
          </w:p>
        </w:tc>
      </w:tr>
      <w:tr w:rsidR="0040239E" w:rsidRPr="00612E08" w14:paraId="08878423" w14:textId="77777777" w:rsidTr="0040239E">
        <w:tc>
          <w:tcPr>
            <w:tcW w:w="9176" w:type="dxa"/>
            <w:tcBorders>
              <w:top w:val="single" w:sz="4" w:space="0" w:color="auto"/>
              <w:left w:val="single" w:sz="4" w:space="0" w:color="auto"/>
              <w:bottom w:val="single" w:sz="4" w:space="0" w:color="FFFFFF"/>
              <w:right w:val="single" w:sz="4" w:space="0" w:color="auto"/>
            </w:tcBorders>
            <w:shd w:val="clear" w:color="auto" w:fill="E2E2E2"/>
          </w:tcPr>
          <w:p w14:paraId="1A09E449" w14:textId="77777777" w:rsidR="0040239E" w:rsidRPr="00612E08" w:rsidRDefault="0040239E" w:rsidP="0040239E">
            <w:pPr>
              <w:widowControl/>
              <w:numPr>
                <w:ilvl w:val="0"/>
                <w:numId w:val="23"/>
              </w:numPr>
              <w:autoSpaceDE/>
              <w:autoSpaceDN/>
              <w:adjustRightInd/>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40239E" w:rsidRPr="00612E08" w14:paraId="5DEDA6EC" w14:textId="77777777" w:rsidTr="0040239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1E4EE5B" w14:textId="77777777" w:rsidR="0040239E" w:rsidRPr="00612E08" w:rsidRDefault="0040239E" w:rsidP="00911BB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56990960" w14:textId="77777777" w:rsidR="0040239E" w:rsidRDefault="0040239E" w:rsidP="00911BB2">
            <w:pPr>
              <w:rPr>
                <w:rFonts w:ascii="Times New Roman" w:eastAsia="Times New Roman" w:hAnsi="Times New Roman" w:cs="Times New Roman"/>
                <w:i/>
                <w:sz w:val="20"/>
                <w:szCs w:val="20"/>
                <w:lang w:eastAsia="sk-SK"/>
              </w:rPr>
            </w:pPr>
          </w:p>
          <w:p w14:paraId="48098C6E" w14:textId="77777777" w:rsidR="0040239E" w:rsidRPr="00CB27E0" w:rsidRDefault="0040239E" w:rsidP="00911BB2">
            <w:pPr>
              <w:jc w:val="both"/>
              <w:rPr>
                <w:rFonts w:ascii="Times New Roman" w:eastAsia="Times New Roman" w:hAnsi="Times New Roman" w:cs="Times New Roman"/>
                <w:sz w:val="20"/>
                <w:szCs w:val="20"/>
                <w:lang w:eastAsia="sk-SK"/>
              </w:rPr>
            </w:pPr>
            <w:r w:rsidRPr="00EB4B65">
              <w:rPr>
                <w:rFonts w:ascii="Times New Roman" w:eastAsia="Times New Roman" w:hAnsi="Times New Roman" w:cs="Times New Roman"/>
                <w:sz w:val="20"/>
                <w:szCs w:val="20"/>
                <w:lang w:eastAsia="sk-SK"/>
              </w:rPr>
              <w:t>Pri výpočte výdavkov v rámci vplyv</w:t>
            </w:r>
            <w:r>
              <w:rPr>
                <w:rFonts w:ascii="Times New Roman" w:eastAsia="Times New Roman" w:hAnsi="Times New Roman" w:cs="Times New Roman"/>
                <w:sz w:val="20"/>
                <w:szCs w:val="20"/>
                <w:lang w:eastAsia="sk-SK"/>
              </w:rPr>
              <w:t xml:space="preserve">ov na rozpočet verejnej správy slúžili </w:t>
            </w:r>
            <w:r w:rsidRPr="00CB27E0">
              <w:rPr>
                <w:rFonts w:ascii="Times New Roman" w:eastAsia="Times New Roman" w:hAnsi="Times New Roman" w:cs="Times New Roman"/>
                <w:sz w:val="20"/>
                <w:szCs w:val="20"/>
                <w:lang w:eastAsia="sk-SK"/>
              </w:rPr>
              <w:t xml:space="preserve">ako zdroje </w:t>
            </w:r>
            <w:r>
              <w:rPr>
                <w:rFonts w:ascii="Times New Roman" w:eastAsia="Times New Roman" w:hAnsi="Times New Roman" w:cs="Times New Roman"/>
                <w:sz w:val="20"/>
                <w:szCs w:val="20"/>
                <w:lang w:eastAsia="sk-SK"/>
              </w:rPr>
              <w:t>podklady od letiskových spoločností a ich následné interné posúdenie.</w:t>
            </w:r>
          </w:p>
          <w:p w14:paraId="315D28A9" w14:textId="77777777" w:rsidR="0040239E" w:rsidRPr="00612E08" w:rsidRDefault="0040239E" w:rsidP="00911BB2">
            <w:pPr>
              <w:rPr>
                <w:rFonts w:ascii="Times New Roman" w:eastAsia="Times New Roman" w:hAnsi="Times New Roman" w:cs="Times New Roman"/>
                <w:b/>
                <w:sz w:val="20"/>
                <w:szCs w:val="20"/>
                <w:lang w:eastAsia="sk-SK"/>
              </w:rPr>
            </w:pPr>
          </w:p>
        </w:tc>
      </w:tr>
      <w:tr w:rsidR="0040239E" w:rsidRPr="00612E08" w14:paraId="1BECCF0C" w14:textId="77777777" w:rsidTr="0040239E">
        <w:tc>
          <w:tcPr>
            <w:tcW w:w="9176" w:type="dxa"/>
            <w:tcBorders>
              <w:top w:val="single" w:sz="4" w:space="0" w:color="auto"/>
              <w:left w:val="single" w:sz="4" w:space="0" w:color="auto"/>
              <w:bottom w:val="single" w:sz="4" w:space="0" w:color="FFFFFF"/>
              <w:right w:val="single" w:sz="4" w:space="0" w:color="auto"/>
            </w:tcBorders>
            <w:shd w:val="clear" w:color="auto" w:fill="E2E2E2"/>
          </w:tcPr>
          <w:p w14:paraId="0129892D" w14:textId="77777777" w:rsidR="0040239E" w:rsidRPr="00612E08" w:rsidRDefault="0040239E" w:rsidP="0040239E">
            <w:pPr>
              <w:widowControl/>
              <w:numPr>
                <w:ilvl w:val="0"/>
                <w:numId w:val="23"/>
              </w:numPr>
              <w:autoSpaceDE/>
              <w:autoSpaceDN/>
              <w:adjustRightInd/>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w:t>
            </w:r>
            <w:r>
              <w:rPr>
                <w:rFonts w:ascii="Times New Roman" w:eastAsia="Calibri" w:hAnsi="Times New Roman" w:cs="Times New Roman"/>
                <w:b/>
              </w:rPr>
              <w:t xml:space="preserve"> č. </w:t>
            </w:r>
            <w:r w:rsidRPr="00612E08">
              <w:rPr>
                <w:rFonts w:ascii="Calibri" w:eastAsia="Calibri" w:hAnsi="Calibri" w:cs="Times New Roman"/>
              </w:rPr>
              <w:t xml:space="preserve"> </w:t>
            </w:r>
          </w:p>
          <w:p w14:paraId="318023DE" w14:textId="77777777" w:rsidR="0040239E" w:rsidRPr="00612E08" w:rsidRDefault="0040239E" w:rsidP="00911BB2">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40239E" w:rsidRPr="00612E08" w14:paraId="5C0B43DE" w14:textId="77777777" w:rsidTr="0040239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6CFC4B4" w14:textId="77777777" w:rsidR="0040239E" w:rsidRPr="00612E08" w:rsidRDefault="0040239E" w:rsidP="00911BB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0239E" w:rsidRPr="00612E08" w14:paraId="5A9543DC" w14:textId="77777777" w:rsidTr="00911BB2">
              <w:trPr>
                <w:trHeight w:val="396"/>
              </w:trPr>
              <w:tc>
                <w:tcPr>
                  <w:tcW w:w="2552" w:type="dxa"/>
                </w:tcPr>
                <w:p w14:paraId="4BBA1E92" w14:textId="77777777" w:rsidR="0040239E" w:rsidRPr="00612E08" w:rsidRDefault="00441A0C" w:rsidP="00911BB2">
                  <w:pPr>
                    <w:rPr>
                      <w:rFonts w:ascii="Times New Roman" w:eastAsia="Times New Roman" w:hAnsi="Times New Roman" w:cs="Times New Roman"/>
                      <w:b/>
                      <w:sz w:val="20"/>
                      <w:szCs w:val="20"/>
                      <w:lang w:eastAsia="sk-SK"/>
                    </w:rPr>
                  </w:pPr>
                  <w:sdt>
                    <w:sdtPr>
                      <w:rPr>
                        <w:b/>
                      </w:rPr>
                      <w:id w:val="-1874910888"/>
                      <w14:checkbox>
                        <w14:checked w14:val="0"/>
                        <w14:checkedState w14:val="2612" w14:font="MS Gothic"/>
                        <w14:uncheckedState w14:val="2610" w14:font="MS Gothic"/>
                      </w14:checkbox>
                    </w:sdtPr>
                    <w:sdtEndPr/>
                    <w:sdtContent>
                      <w:r w:rsidR="0040239E" w:rsidRPr="00612E08">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Súhlasné </w:t>
                  </w:r>
                </w:p>
              </w:tc>
              <w:tc>
                <w:tcPr>
                  <w:tcW w:w="3827" w:type="dxa"/>
                </w:tcPr>
                <w:p w14:paraId="3E339BDC" w14:textId="77777777" w:rsidR="0040239E" w:rsidRPr="00612E08" w:rsidRDefault="00441A0C" w:rsidP="00911BB2">
                  <w:pPr>
                    <w:rPr>
                      <w:rFonts w:ascii="Times New Roman" w:eastAsia="Times New Roman" w:hAnsi="Times New Roman" w:cs="Times New Roman"/>
                      <w:b/>
                      <w:sz w:val="20"/>
                      <w:szCs w:val="20"/>
                      <w:lang w:eastAsia="sk-SK"/>
                    </w:rPr>
                  </w:pPr>
                  <w:sdt>
                    <w:sdtPr>
                      <w:rPr>
                        <w:b/>
                      </w:rPr>
                      <w:id w:val="1697888127"/>
                      <w14:checkbox>
                        <w14:checked w14:val="0"/>
                        <w14:checkedState w14:val="2612" w14:font="MS Gothic"/>
                        <w14:uncheckedState w14:val="2610" w14:font="MS Gothic"/>
                      </w14:checkbox>
                    </w:sdtPr>
                    <w:sdtEndPr/>
                    <w:sdtContent>
                      <w:r w:rsidR="0040239E" w:rsidRPr="00612E08">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5CEF1213" w14:textId="77777777" w:rsidR="0040239E" w:rsidRPr="00612E08" w:rsidRDefault="00441A0C" w:rsidP="00911BB2">
                  <w:pPr>
                    <w:ind w:right="459"/>
                    <w:rPr>
                      <w:rFonts w:ascii="Times New Roman" w:eastAsia="Times New Roman" w:hAnsi="Times New Roman" w:cs="Times New Roman"/>
                      <w:b/>
                      <w:sz w:val="20"/>
                      <w:szCs w:val="20"/>
                      <w:lang w:eastAsia="sk-SK"/>
                    </w:rPr>
                  </w:pPr>
                  <w:sdt>
                    <w:sdtPr>
                      <w:rPr>
                        <w:b/>
                      </w:rPr>
                      <w:id w:val="-647822913"/>
                      <w14:checkbox>
                        <w14:checked w14:val="0"/>
                        <w14:checkedState w14:val="2612" w14:font="MS Gothic"/>
                        <w14:uncheckedState w14:val="2610" w14:font="MS Gothic"/>
                      </w14:checkbox>
                    </w:sdtPr>
                    <w:sdtEndPr/>
                    <w:sdtContent>
                      <w:r w:rsidR="0040239E">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Nesúhlasné</w:t>
                  </w:r>
                </w:p>
              </w:tc>
            </w:tr>
          </w:tbl>
          <w:p w14:paraId="2B592A69" w14:textId="77777777" w:rsidR="0040239E" w:rsidRPr="00612E08" w:rsidRDefault="0040239E" w:rsidP="00911BB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6BCCFAB" w14:textId="77777777" w:rsidR="0040239E" w:rsidRDefault="0040239E" w:rsidP="00911BB2">
            <w:pPr>
              <w:rPr>
                <w:rFonts w:ascii="Times New Roman" w:eastAsia="Times New Roman" w:hAnsi="Times New Roman" w:cs="Times New Roman"/>
                <w:b/>
                <w:sz w:val="20"/>
                <w:szCs w:val="20"/>
                <w:lang w:eastAsia="sk-SK"/>
              </w:rPr>
            </w:pPr>
          </w:p>
          <w:p w14:paraId="64779E92" w14:textId="77777777" w:rsidR="0040239E" w:rsidRPr="00612E08" w:rsidRDefault="0040239E" w:rsidP="00911BB2">
            <w:pPr>
              <w:jc w:val="both"/>
              <w:rPr>
                <w:rFonts w:ascii="Times New Roman" w:eastAsia="Times New Roman" w:hAnsi="Times New Roman" w:cs="Times New Roman"/>
                <w:b/>
                <w:sz w:val="20"/>
                <w:szCs w:val="20"/>
                <w:lang w:eastAsia="sk-SK"/>
              </w:rPr>
            </w:pPr>
            <w:r w:rsidRPr="00532A79">
              <w:rPr>
                <w:rFonts w:ascii="Times New Roman" w:hAnsi="Times New Roman" w:cs="Times New Roman"/>
                <w:b/>
                <w:bCs/>
                <w:sz w:val="20"/>
                <w:szCs w:val="20"/>
              </w:rPr>
              <w:t>K</w:t>
            </w:r>
          </w:p>
        </w:tc>
      </w:tr>
      <w:tr w:rsidR="0040239E" w:rsidRPr="00612E08" w14:paraId="6929A579" w14:textId="77777777" w:rsidTr="0040239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7378D04" w14:textId="77777777" w:rsidR="0040239E" w:rsidRPr="00612E08" w:rsidRDefault="0040239E" w:rsidP="0040239E">
            <w:pPr>
              <w:widowControl/>
              <w:numPr>
                <w:ilvl w:val="0"/>
                <w:numId w:val="23"/>
              </w:numPr>
              <w:autoSpaceDE/>
              <w:autoSpaceDN/>
              <w:adjustRightInd/>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w:t>
            </w:r>
            <w:r>
              <w:rPr>
                <w:rFonts w:ascii="Times New Roman" w:eastAsia="Calibri" w:hAnsi="Times New Roman" w:cs="Times New Roman"/>
                <w:b/>
              </w:rPr>
              <w:t xml:space="preserve"> č. 136/2024</w:t>
            </w:r>
            <w:r w:rsidRPr="00612E08">
              <w:rPr>
                <w:rFonts w:ascii="Times New Roman" w:eastAsia="Calibri" w:hAnsi="Times New Roman" w:cs="Times New Roman"/>
              </w:rPr>
              <w:t xml:space="preserve"> (v prípade, ak sa uskutočnilo v zmysle bodu 9.1. Jednotnej metodiky) </w:t>
            </w:r>
          </w:p>
        </w:tc>
      </w:tr>
      <w:tr w:rsidR="0040239E" w:rsidRPr="00612E08" w14:paraId="17AB1141" w14:textId="77777777" w:rsidTr="0040239E">
        <w:tblPrEx>
          <w:tblBorders>
            <w:insideH w:val="single" w:sz="4" w:space="0" w:color="FFFFFF"/>
            <w:insideV w:val="single" w:sz="4" w:space="0" w:color="FFFFFF"/>
          </w:tblBorders>
        </w:tblPrEx>
        <w:tc>
          <w:tcPr>
            <w:tcW w:w="9176" w:type="dxa"/>
            <w:shd w:val="clear" w:color="auto" w:fill="FFFFFF"/>
          </w:tcPr>
          <w:p w14:paraId="7DBDF6AF" w14:textId="77777777" w:rsidR="0040239E" w:rsidRPr="00612E08" w:rsidRDefault="0040239E" w:rsidP="00911BB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0239E" w:rsidRPr="00612E08" w14:paraId="19A7759B" w14:textId="77777777" w:rsidTr="00911BB2">
              <w:trPr>
                <w:trHeight w:val="396"/>
              </w:trPr>
              <w:tc>
                <w:tcPr>
                  <w:tcW w:w="2552" w:type="dxa"/>
                </w:tcPr>
                <w:p w14:paraId="7BAD8EB5" w14:textId="77777777" w:rsidR="0040239E" w:rsidRPr="00612E08" w:rsidRDefault="00441A0C" w:rsidP="00911BB2">
                  <w:pPr>
                    <w:rPr>
                      <w:rFonts w:ascii="Times New Roman" w:eastAsia="Times New Roman" w:hAnsi="Times New Roman" w:cs="Times New Roman"/>
                      <w:b/>
                      <w:sz w:val="20"/>
                      <w:szCs w:val="20"/>
                      <w:lang w:eastAsia="sk-SK"/>
                    </w:rPr>
                  </w:pPr>
                  <w:sdt>
                    <w:sdtPr>
                      <w:rPr>
                        <w:b/>
                      </w:rPr>
                      <w:id w:val="888232876"/>
                      <w14:checkbox>
                        <w14:checked w14:val="1"/>
                        <w14:checkedState w14:val="2612" w14:font="MS Gothic"/>
                        <w14:uncheckedState w14:val="2610" w14:font="MS Gothic"/>
                      </w14:checkbox>
                    </w:sdtPr>
                    <w:sdtEndPr/>
                    <w:sdtContent>
                      <w:r w:rsidR="0040239E">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Súhlasné </w:t>
                  </w:r>
                </w:p>
              </w:tc>
              <w:tc>
                <w:tcPr>
                  <w:tcW w:w="3827" w:type="dxa"/>
                </w:tcPr>
                <w:p w14:paraId="4C48AEC3" w14:textId="77777777" w:rsidR="0040239E" w:rsidRPr="00612E08" w:rsidRDefault="00441A0C" w:rsidP="00911BB2">
                  <w:pPr>
                    <w:rPr>
                      <w:rFonts w:ascii="Times New Roman" w:eastAsia="Times New Roman" w:hAnsi="Times New Roman" w:cs="Times New Roman"/>
                      <w:b/>
                      <w:sz w:val="20"/>
                      <w:szCs w:val="20"/>
                      <w:lang w:eastAsia="sk-SK"/>
                    </w:rPr>
                  </w:pPr>
                  <w:sdt>
                    <w:sdtPr>
                      <w:rPr>
                        <w:b/>
                      </w:rPr>
                      <w:id w:val="953831761"/>
                      <w14:checkbox>
                        <w14:checked w14:val="0"/>
                        <w14:checkedState w14:val="2612" w14:font="MS Gothic"/>
                        <w14:uncheckedState w14:val="2610" w14:font="MS Gothic"/>
                      </w14:checkbox>
                    </w:sdtPr>
                    <w:sdtEndPr/>
                    <w:sdtContent>
                      <w:r w:rsidR="0040239E" w:rsidRPr="00612E08">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1B65562B" w14:textId="77777777" w:rsidR="0040239E" w:rsidRPr="00612E08" w:rsidRDefault="00441A0C" w:rsidP="00911BB2">
                  <w:pPr>
                    <w:ind w:right="459"/>
                    <w:rPr>
                      <w:rFonts w:ascii="Times New Roman" w:eastAsia="Times New Roman" w:hAnsi="Times New Roman" w:cs="Times New Roman"/>
                      <w:b/>
                      <w:sz w:val="20"/>
                      <w:szCs w:val="20"/>
                      <w:lang w:eastAsia="sk-SK"/>
                    </w:rPr>
                  </w:pPr>
                  <w:sdt>
                    <w:sdtPr>
                      <w:rPr>
                        <w:b/>
                      </w:rPr>
                      <w:id w:val="-361740452"/>
                      <w14:checkbox>
                        <w14:checked w14:val="0"/>
                        <w14:checkedState w14:val="2612" w14:font="MS Gothic"/>
                        <w14:uncheckedState w14:val="2610" w14:font="MS Gothic"/>
                      </w14:checkbox>
                    </w:sdtPr>
                    <w:sdtEndPr/>
                    <w:sdtContent>
                      <w:r w:rsidR="0040239E" w:rsidRPr="00612E08">
                        <w:rPr>
                          <w:rFonts w:ascii="MS Gothic" w:eastAsia="MS Gothic" w:hAnsi="MS Gothic" w:cs="Times New Roman" w:hint="eastAsia"/>
                          <w:b/>
                          <w:sz w:val="20"/>
                          <w:szCs w:val="20"/>
                          <w:lang w:eastAsia="sk-SK"/>
                        </w:rPr>
                        <w:t>☐</w:t>
                      </w:r>
                    </w:sdtContent>
                  </w:sdt>
                  <w:r w:rsidR="0040239E" w:rsidRPr="00612E08">
                    <w:rPr>
                      <w:rFonts w:ascii="Times New Roman" w:eastAsia="Times New Roman" w:hAnsi="Times New Roman" w:cs="Times New Roman"/>
                      <w:b/>
                      <w:sz w:val="20"/>
                      <w:szCs w:val="20"/>
                      <w:lang w:eastAsia="sk-SK"/>
                    </w:rPr>
                    <w:t xml:space="preserve">  Nesúhlasné</w:t>
                  </w:r>
                </w:p>
              </w:tc>
            </w:tr>
          </w:tbl>
          <w:p w14:paraId="485787CF" w14:textId="77777777" w:rsidR="0040239E" w:rsidRPr="00612E08" w:rsidRDefault="0040239E" w:rsidP="00911BB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6101FB7F" w14:textId="77777777" w:rsidR="0040239E" w:rsidRPr="00612E08" w:rsidRDefault="0040239E" w:rsidP="00911BB2">
            <w:pPr>
              <w:rPr>
                <w:rFonts w:ascii="Times New Roman" w:eastAsia="Times New Roman" w:hAnsi="Times New Roman" w:cs="Times New Roman"/>
                <w:b/>
                <w:sz w:val="20"/>
                <w:szCs w:val="20"/>
                <w:lang w:eastAsia="sk-SK"/>
              </w:rPr>
            </w:pPr>
          </w:p>
          <w:p w14:paraId="241A152C" w14:textId="77777777" w:rsidR="0040239E" w:rsidRPr="00612E08" w:rsidRDefault="0040239E" w:rsidP="00911BB2">
            <w:pPr>
              <w:rPr>
                <w:rFonts w:ascii="Times New Roman" w:eastAsia="Times New Roman" w:hAnsi="Times New Roman" w:cs="Times New Roman"/>
                <w:b/>
                <w:sz w:val="20"/>
                <w:szCs w:val="20"/>
                <w:lang w:eastAsia="sk-SK"/>
              </w:rPr>
            </w:pPr>
          </w:p>
        </w:tc>
      </w:tr>
    </w:tbl>
    <w:p w14:paraId="2218CE53" w14:textId="77777777" w:rsidR="0040239E" w:rsidRDefault="0040239E">
      <w:pPr>
        <w:widowControl/>
        <w:autoSpaceDE/>
        <w:autoSpaceDN/>
        <w:adjustRightInd/>
        <w:rPr>
          <w:b/>
          <w:sz w:val="28"/>
          <w:szCs w:val="28"/>
        </w:rPr>
      </w:pPr>
      <w:r>
        <w:rPr>
          <w:b/>
          <w:sz w:val="28"/>
          <w:szCs w:val="28"/>
        </w:rPr>
        <w:br w:type="page"/>
      </w:r>
    </w:p>
    <w:p w14:paraId="55716831" w14:textId="77777777" w:rsidR="0040239E" w:rsidRPr="007B7470" w:rsidRDefault="0040239E" w:rsidP="0040239E">
      <w:pPr>
        <w:jc w:val="center"/>
        <w:rPr>
          <w:b/>
          <w:bCs/>
          <w:sz w:val="28"/>
          <w:szCs w:val="28"/>
        </w:rPr>
      </w:pPr>
      <w:r w:rsidRPr="007B7470">
        <w:rPr>
          <w:b/>
          <w:bCs/>
          <w:sz w:val="28"/>
          <w:szCs w:val="28"/>
        </w:rPr>
        <w:lastRenderedPageBreak/>
        <w:t>Analýza vplyvov na rozpočet verejnej správy,</w:t>
      </w:r>
    </w:p>
    <w:p w14:paraId="7AB705DA" w14:textId="77777777" w:rsidR="0040239E" w:rsidRPr="007B7470" w:rsidRDefault="0040239E" w:rsidP="0040239E">
      <w:pPr>
        <w:jc w:val="center"/>
        <w:rPr>
          <w:b/>
          <w:bCs/>
          <w:sz w:val="28"/>
          <w:szCs w:val="28"/>
        </w:rPr>
      </w:pPr>
      <w:r w:rsidRPr="007B7470">
        <w:rPr>
          <w:b/>
          <w:bCs/>
          <w:sz w:val="28"/>
          <w:szCs w:val="28"/>
        </w:rPr>
        <w:t>na zamestnanosť vo verejnej správe a financovanie návrhu</w:t>
      </w:r>
    </w:p>
    <w:p w14:paraId="5A68652B" w14:textId="77777777" w:rsidR="0040239E" w:rsidRPr="007B7470" w:rsidRDefault="0040239E" w:rsidP="0040239E">
      <w:pPr>
        <w:jc w:val="right"/>
        <w:rPr>
          <w:b/>
          <w:bCs/>
          <w:sz w:val="24"/>
          <w:szCs w:val="24"/>
        </w:rPr>
      </w:pPr>
    </w:p>
    <w:p w14:paraId="71FE0EE4" w14:textId="77777777" w:rsidR="0040239E" w:rsidRPr="007B7470" w:rsidRDefault="0040239E" w:rsidP="0040239E">
      <w:pPr>
        <w:jc w:val="right"/>
        <w:rPr>
          <w:b/>
          <w:bCs/>
          <w:sz w:val="24"/>
          <w:szCs w:val="24"/>
        </w:rPr>
      </w:pPr>
    </w:p>
    <w:p w14:paraId="3A8E2CBA" w14:textId="77777777" w:rsidR="0040239E" w:rsidRPr="007B7470" w:rsidRDefault="0040239E" w:rsidP="0040239E">
      <w:pPr>
        <w:rPr>
          <w:b/>
          <w:bCs/>
          <w:sz w:val="24"/>
          <w:szCs w:val="24"/>
        </w:rPr>
      </w:pPr>
      <w:r w:rsidRPr="007B7470">
        <w:rPr>
          <w:b/>
          <w:bCs/>
          <w:sz w:val="24"/>
          <w:szCs w:val="24"/>
        </w:rPr>
        <w:t>2.1 Zhrnutie vplyvov na rozpočet verejnej správy v návrhu</w:t>
      </w:r>
    </w:p>
    <w:p w14:paraId="7B56A49F" w14:textId="77777777" w:rsidR="0040239E" w:rsidRPr="007B7470" w:rsidRDefault="0040239E" w:rsidP="0040239E">
      <w:pPr>
        <w:jc w:val="right"/>
      </w:pPr>
      <w:r w:rsidRPr="007B7470">
        <w:t xml:space="preserve">Tabuľka č. 1/A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16"/>
        <w:gridCol w:w="1255"/>
        <w:gridCol w:w="1256"/>
        <w:gridCol w:w="1256"/>
        <w:gridCol w:w="1256"/>
      </w:tblGrid>
      <w:tr w:rsidR="0040239E" w:rsidRPr="007B7470" w14:paraId="0B6360FA" w14:textId="77777777" w:rsidTr="0040239E">
        <w:trPr>
          <w:trHeight w:val="194"/>
          <w:jc w:val="center"/>
        </w:trPr>
        <w:tc>
          <w:tcPr>
            <w:tcW w:w="4661" w:type="dxa"/>
            <w:vMerge w:val="restart"/>
            <w:shd w:val="clear" w:color="auto" w:fill="BFBFBF" w:themeFill="background1" w:themeFillShade="BF"/>
            <w:vAlign w:val="center"/>
          </w:tcPr>
          <w:p w14:paraId="45F66BC9" w14:textId="77777777" w:rsidR="0040239E" w:rsidRPr="007B7470" w:rsidRDefault="0040239E" w:rsidP="00911BB2">
            <w:pPr>
              <w:jc w:val="center"/>
              <w:rPr>
                <w:b/>
                <w:bCs/>
                <w:sz w:val="24"/>
                <w:szCs w:val="24"/>
              </w:rPr>
            </w:pPr>
            <w:bookmarkStart w:id="0" w:name="OLE_LINK1"/>
            <w:r w:rsidRPr="007B7470">
              <w:rPr>
                <w:b/>
                <w:bCs/>
                <w:sz w:val="24"/>
                <w:szCs w:val="24"/>
              </w:rPr>
              <w:t>Vplyvy na rozpočet verejnej správy</w:t>
            </w:r>
          </w:p>
        </w:tc>
        <w:tc>
          <w:tcPr>
            <w:tcW w:w="5068" w:type="dxa"/>
            <w:gridSpan w:val="4"/>
            <w:shd w:val="clear" w:color="auto" w:fill="BFBFBF" w:themeFill="background1" w:themeFillShade="BF"/>
            <w:vAlign w:val="center"/>
          </w:tcPr>
          <w:p w14:paraId="1991D9F6" w14:textId="77777777" w:rsidR="0040239E" w:rsidRPr="007B7470" w:rsidRDefault="0040239E" w:rsidP="00911BB2">
            <w:pPr>
              <w:jc w:val="center"/>
              <w:rPr>
                <w:b/>
                <w:bCs/>
                <w:sz w:val="24"/>
                <w:szCs w:val="24"/>
              </w:rPr>
            </w:pPr>
            <w:r w:rsidRPr="007B7470">
              <w:rPr>
                <w:b/>
                <w:bCs/>
                <w:sz w:val="24"/>
                <w:szCs w:val="24"/>
              </w:rPr>
              <w:t>Vplyv na rozpočet verejnej správy (v eurách)</w:t>
            </w:r>
          </w:p>
        </w:tc>
      </w:tr>
      <w:tr w:rsidR="0040239E" w:rsidRPr="007B7470" w14:paraId="5440700A" w14:textId="77777777" w:rsidTr="0040239E">
        <w:trPr>
          <w:trHeight w:val="70"/>
          <w:jc w:val="center"/>
        </w:trPr>
        <w:tc>
          <w:tcPr>
            <w:tcW w:w="4661" w:type="dxa"/>
            <w:vMerge/>
            <w:shd w:val="clear" w:color="auto" w:fill="BFBFBF" w:themeFill="background1" w:themeFillShade="BF"/>
            <w:vAlign w:val="center"/>
          </w:tcPr>
          <w:p w14:paraId="7E8C098B" w14:textId="77777777" w:rsidR="0040239E" w:rsidRPr="007B7470" w:rsidRDefault="0040239E" w:rsidP="00911BB2">
            <w:pPr>
              <w:jc w:val="center"/>
              <w:rPr>
                <w:b/>
                <w:bCs/>
                <w:sz w:val="24"/>
                <w:szCs w:val="24"/>
              </w:rPr>
            </w:pPr>
          </w:p>
        </w:tc>
        <w:tc>
          <w:tcPr>
            <w:tcW w:w="1267" w:type="dxa"/>
            <w:shd w:val="clear" w:color="auto" w:fill="BFBFBF" w:themeFill="background1" w:themeFillShade="BF"/>
            <w:vAlign w:val="center"/>
          </w:tcPr>
          <w:p w14:paraId="5D571893" w14:textId="77777777" w:rsidR="0040239E" w:rsidRPr="007B7470" w:rsidRDefault="0040239E" w:rsidP="00911BB2">
            <w:pPr>
              <w:jc w:val="center"/>
              <w:rPr>
                <w:b/>
                <w:bCs/>
                <w:sz w:val="24"/>
                <w:szCs w:val="24"/>
              </w:rPr>
            </w:pPr>
            <w:r>
              <w:rPr>
                <w:b/>
                <w:bCs/>
                <w:sz w:val="24"/>
                <w:szCs w:val="24"/>
              </w:rPr>
              <w:t>2024</w:t>
            </w:r>
          </w:p>
        </w:tc>
        <w:tc>
          <w:tcPr>
            <w:tcW w:w="1267" w:type="dxa"/>
            <w:shd w:val="clear" w:color="auto" w:fill="BFBFBF" w:themeFill="background1" w:themeFillShade="BF"/>
            <w:vAlign w:val="center"/>
          </w:tcPr>
          <w:p w14:paraId="71569BA3" w14:textId="77777777" w:rsidR="0040239E" w:rsidRPr="007B7470" w:rsidRDefault="0040239E" w:rsidP="00911BB2">
            <w:pPr>
              <w:jc w:val="center"/>
              <w:rPr>
                <w:b/>
                <w:bCs/>
                <w:sz w:val="24"/>
                <w:szCs w:val="24"/>
              </w:rPr>
            </w:pPr>
            <w:r>
              <w:rPr>
                <w:b/>
                <w:bCs/>
                <w:sz w:val="24"/>
                <w:szCs w:val="24"/>
              </w:rPr>
              <w:t>2025</w:t>
            </w:r>
          </w:p>
        </w:tc>
        <w:tc>
          <w:tcPr>
            <w:tcW w:w="1267" w:type="dxa"/>
            <w:shd w:val="clear" w:color="auto" w:fill="BFBFBF" w:themeFill="background1" w:themeFillShade="BF"/>
            <w:vAlign w:val="center"/>
          </w:tcPr>
          <w:p w14:paraId="229DAD0F" w14:textId="77777777" w:rsidR="0040239E" w:rsidRPr="007B7470" w:rsidRDefault="0040239E" w:rsidP="00911BB2">
            <w:pPr>
              <w:jc w:val="center"/>
              <w:rPr>
                <w:b/>
                <w:bCs/>
                <w:sz w:val="24"/>
                <w:szCs w:val="24"/>
              </w:rPr>
            </w:pPr>
            <w:r>
              <w:rPr>
                <w:b/>
                <w:bCs/>
                <w:sz w:val="24"/>
                <w:szCs w:val="24"/>
              </w:rPr>
              <w:t>2026</w:t>
            </w:r>
          </w:p>
        </w:tc>
        <w:tc>
          <w:tcPr>
            <w:tcW w:w="1267" w:type="dxa"/>
            <w:shd w:val="clear" w:color="auto" w:fill="BFBFBF" w:themeFill="background1" w:themeFillShade="BF"/>
            <w:vAlign w:val="center"/>
          </w:tcPr>
          <w:p w14:paraId="1604E135" w14:textId="77777777" w:rsidR="0040239E" w:rsidRPr="007B7470" w:rsidRDefault="0040239E" w:rsidP="00911BB2">
            <w:pPr>
              <w:jc w:val="center"/>
              <w:rPr>
                <w:b/>
                <w:bCs/>
                <w:sz w:val="24"/>
                <w:szCs w:val="24"/>
              </w:rPr>
            </w:pPr>
            <w:r>
              <w:rPr>
                <w:b/>
                <w:bCs/>
                <w:sz w:val="24"/>
                <w:szCs w:val="24"/>
              </w:rPr>
              <w:t>2027</w:t>
            </w:r>
          </w:p>
        </w:tc>
      </w:tr>
      <w:tr w:rsidR="0040239E" w:rsidRPr="007B7470" w14:paraId="5426E102" w14:textId="77777777" w:rsidTr="0040239E">
        <w:trPr>
          <w:trHeight w:val="70"/>
          <w:jc w:val="center"/>
        </w:trPr>
        <w:tc>
          <w:tcPr>
            <w:tcW w:w="4661" w:type="dxa"/>
            <w:shd w:val="clear" w:color="auto" w:fill="C0C0C0"/>
            <w:noWrap/>
            <w:vAlign w:val="center"/>
          </w:tcPr>
          <w:p w14:paraId="47171BE7" w14:textId="77777777" w:rsidR="0040239E" w:rsidRPr="007B7470" w:rsidRDefault="0040239E" w:rsidP="00911BB2">
            <w:pPr>
              <w:rPr>
                <w:sz w:val="24"/>
                <w:szCs w:val="24"/>
              </w:rPr>
            </w:pPr>
            <w:r w:rsidRPr="007B7470">
              <w:rPr>
                <w:b/>
                <w:bCs/>
                <w:sz w:val="24"/>
                <w:szCs w:val="24"/>
              </w:rPr>
              <w:t>Príjmy verejnej správy celkom</w:t>
            </w:r>
          </w:p>
        </w:tc>
        <w:tc>
          <w:tcPr>
            <w:tcW w:w="1267" w:type="dxa"/>
            <w:shd w:val="clear" w:color="auto" w:fill="C0C0C0"/>
            <w:vAlign w:val="center"/>
          </w:tcPr>
          <w:p w14:paraId="5C9658D0" w14:textId="77777777" w:rsidR="0040239E" w:rsidRPr="00D9225F" w:rsidRDefault="0040239E" w:rsidP="00911BB2">
            <w:pPr>
              <w:jc w:val="right"/>
              <w:rPr>
                <w:b/>
                <w:bCs/>
              </w:rPr>
            </w:pPr>
            <w:r w:rsidRPr="00D9225F">
              <w:rPr>
                <w:b/>
                <w:bCs/>
              </w:rPr>
              <w:t>0</w:t>
            </w:r>
          </w:p>
        </w:tc>
        <w:tc>
          <w:tcPr>
            <w:tcW w:w="1267" w:type="dxa"/>
            <w:shd w:val="clear" w:color="auto" w:fill="C0C0C0"/>
            <w:vAlign w:val="center"/>
          </w:tcPr>
          <w:p w14:paraId="0EDA12FC" w14:textId="77777777" w:rsidR="0040239E" w:rsidRPr="00D9225F" w:rsidRDefault="0040239E" w:rsidP="00911BB2">
            <w:pPr>
              <w:jc w:val="right"/>
              <w:rPr>
                <w:b/>
                <w:bCs/>
              </w:rPr>
            </w:pPr>
            <w:r w:rsidRPr="00D9225F">
              <w:rPr>
                <w:b/>
                <w:bCs/>
              </w:rPr>
              <w:t>0</w:t>
            </w:r>
          </w:p>
        </w:tc>
        <w:tc>
          <w:tcPr>
            <w:tcW w:w="1267" w:type="dxa"/>
            <w:shd w:val="clear" w:color="auto" w:fill="C0C0C0"/>
            <w:vAlign w:val="center"/>
          </w:tcPr>
          <w:p w14:paraId="5F1704D8" w14:textId="77777777" w:rsidR="0040239E" w:rsidRPr="00D9225F" w:rsidRDefault="0040239E" w:rsidP="00911BB2">
            <w:pPr>
              <w:jc w:val="right"/>
              <w:rPr>
                <w:b/>
                <w:bCs/>
              </w:rPr>
            </w:pPr>
            <w:r w:rsidRPr="00D9225F">
              <w:rPr>
                <w:b/>
                <w:bCs/>
              </w:rPr>
              <w:t>0</w:t>
            </w:r>
          </w:p>
        </w:tc>
        <w:tc>
          <w:tcPr>
            <w:tcW w:w="1267" w:type="dxa"/>
            <w:shd w:val="clear" w:color="auto" w:fill="C0C0C0"/>
            <w:vAlign w:val="center"/>
          </w:tcPr>
          <w:p w14:paraId="1121AE42" w14:textId="77777777" w:rsidR="0040239E" w:rsidRPr="00D9225F" w:rsidRDefault="0040239E" w:rsidP="00911BB2">
            <w:pPr>
              <w:jc w:val="right"/>
              <w:rPr>
                <w:b/>
                <w:bCs/>
              </w:rPr>
            </w:pPr>
            <w:r w:rsidRPr="00D9225F">
              <w:rPr>
                <w:b/>
                <w:bCs/>
              </w:rPr>
              <w:t>0</w:t>
            </w:r>
          </w:p>
        </w:tc>
      </w:tr>
      <w:tr w:rsidR="0040239E" w:rsidRPr="007B7470" w14:paraId="1A95A11D" w14:textId="77777777" w:rsidTr="0040239E">
        <w:trPr>
          <w:trHeight w:val="132"/>
          <w:jc w:val="center"/>
        </w:trPr>
        <w:tc>
          <w:tcPr>
            <w:tcW w:w="4661" w:type="dxa"/>
            <w:noWrap/>
            <w:vAlign w:val="center"/>
          </w:tcPr>
          <w:p w14:paraId="7292EB0E" w14:textId="77777777" w:rsidR="0040239E" w:rsidRPr="007B7470" w:rsidRDefault="0040239E" w:rsidP="00911BB2">
            <w:pPr>
              <w:rPr>
                <w:sz w:val="24"/>
                <w:szCs w:val="24"/>
              </w:rPr>
            </w:pPr>
            <w:r w:rsidRPr="007B7470">
              <w:rPr>
                <w:sz w:val="24"/>
                <w:szCs w:val="24"/>
              </w:rPr>
              <w:t>v tom: za každý subjekt verejnej správy zvlášť</w:t>
            </w:r>
          </w:p>
        </w:tc>
        <w:tc>
          <w:tcPr>
            <w:tcW w:w="1267" w:type="dxa"/>
            <w:noWrap/>
            <w:vAlign w:val="center"/>
          </w:tcPr>
          <w:p w14:paraId="0950766B" w14:textId="77777777" w:rsidR="0040239E" w:rsidRPr="00D9225F" w:rsidRDefault="0040239E" w:rsidP="00911BB2">
            <w:pPr>
              <w:jc w:val="right"/>
            </w:pPr>
            <w:r w:rsidRPr="00D9225F">
              <w:t>0</w:t>
            </w:r>
          </w:p>
        </w:tc>
        <w:tc>
          <w:tcPr>
            <w:tcW w:w="1267" w:type="dxa"/>
            <w:noWrap/>
            <w:vAlign w:val="center"/>
          </w:tcPr>
          <w:p w14:paraId="6EDBA3EF" w14:textId="77777777" w:rsidR="0040239E" w:rsidRPr="00D9225F" w:rsidRDefault="0040239E" w:rsidP="00911BB2">
            <w:pPr>
              <w:jc w:val="right"/>
            </w:pPr>
            <w:r w:rsidRPr="00D9225F">
              <w:t>0</w:t>
            </w:r>
          </w:p>
        </w:tc>
        <w:tc>
          <w:tcPr>
            <w:tcW w:w="1267" w:type="dxa"/>
            <w:noWrap/>
            <w:vAlign w:val="center"/>
          </w:tcPr>
          <w:p w14:paraId="7B2D0972" w14:textId="77777777" w:rsidR="0040239E" w:rsidRPr="00D9225F" w:rsidRDefault="0040239E" w:rsidP="00911BB2">
            <w:pPr>
              <w:jc w:val="right"/>
            </w:pPr>
            <w:r w:rsidRPr="00D9225F">
              <w:t>0</w:t>
            </w:r>
          </w:p>
        </w:tc>
        <w:tc>
          <w:tcPr>
            <w:tcW w:w="1267" w:type="dxa"/>
            <w:noWrap/>
            <w:vAlign w:val="center"/>
          </w:tcPr>
          <w:p w14:paraId="09D063E9" w14:textId="77777777" w:rsidR="0040239E" w:rsidRPr="00D9225F" w:rsidRDefault="0040239E" w:rsidP="00911BB2">
            <w:pPr>
              <w:jc w:val="right"/>
            </w:pPr>
            <w:r w:rsidRPr="00D9225F">
              <w:t>0</w:t>
            </w:r>
          </w:p>
        </w:tc>
      </w:tr>
      <w:tr w:rsidR="0040239E" w:rsidRPr="007B7470" w14:paraId="593D9B14" w14:textId="77777777" w:rsidTr="0040239E">
        <w:trPr>
          <w:trHeight w:val="70"/>
          <w:jc w:val="center"/>
        </w:trPr>
        <w:tc>
          <w:tcPr>
            <w:tcW w:w="4661" w:type="dxa"/>
            <w:noWrap/>
            <w:vAlign w:val="center"/>
          </w:tcPr>
          <w:p w14:paraId="7952833D" w14:textId="77777777" w:rsidR="0040239E" w:rsidRPr="007B7470" w:rsidRDefault="0040239E" w:rsidP="00911BB2">
            <w:pPr>
              <w:rPr>
                <w:b/>
                <w:bCs/>
                <w:i/>
                <w:iCs/>
                <w:sz w:val="24"/>
                <w:szCs w:val="24"/>
              </w:rPr>
            </w:pPr>
            <w:r w:rsidRPr="007B7470">
              <w:rPr>
                <w:b/>
                <w:bCs/>
                <w:i/>
                <w:iCs/>
                <w:sz w:val="24"/>
                <w:szCs w:val="24"/>
              </w:rPr>
              <w:t xml:space="preserve">z toho:  </w:t>
            </w:r>
          </w:p>
        </w:tc>
        <w:tc>
          <w:tcPr>
            <w:tcW w:w="1267" w:type="dxa"/>
            <w:noWrap/>
            <w:vAlign w:val="center"/>
          </w:tcPr>
          <w:p w14:paraId="6D81B3B8" w14:textId="77777777" w:rsidR="0040239E" w:rsidRPr="00D9225F" w:rsidRDefault="0040239E" w:rsidP="00911BB2">
            <w:pPr>
              <w:jc w:val="right"/>
              <w:rPr>
                <w:b/>
                <w:bCs/>
                <w:iCs/>
              </w:rPr>
            </w:pPr>
          </w:p>
        </w:tc>
        <w:tc>
          <w:tcPr>
            <w:tcW w:w="1267" w:type="dxa"/>
            <w:noWrap/>
            <w:vAlign w:val="center"/>
          </w:tcPr>
          <w:p w14:paraId="23D87DBA" w14:textId="77777777" w:rsidR="0040239E" w:rsidRPr="00D9225F" w:rsidRDefault="0040239E" w:rsidP="00911BB2">
            <w:pPr>
              <w:jc w:val="right"/>
              <w:rPr>
                <w:b/>
                <w:bCs/>
                <w:iCs/>
              </w:rPr>
            </w:pPr>
          </w:p>
        </w:tc>
        <w:tc>
          <w:tcPr>
            <w:tcW w:w="1267" w:type="dxa"/>
            <w:noWrap/>
            <w:vAlign w:val="center"/>
          </w:tcPr>
          <w:p w14:paraId="435C00FE" w14:textId="77777777" w:rsidR="0040239E" w:rsidRPr="00D9225F" w:rsidRDefault="0040239E" w:rsidP="00911BB2">
            <w:pPr>
              <w:jc w:val="right"/>
              <w:rPr>
                <w:b/>
                <w:bCs/>
                <w:iCs/>
              </w:rPr>
            </w:pPr>
          </w:p>
        </w:tc>
        <w:tc>
          <w:tcPr>
            <w:tcW w:w="1267" w:type="dxa"/>
            <w:noWrap/>
            <w:vAlign w:val="center"/>
          </w:tcPr>
          <w:p w14:paraId="3B9EE17F" w14:textId="77777777" w:rsidR="0040239E" w:rsidRPr="00D9225F" w:rsidRDefault="0040239E" w:rsidP="00911BB2">
            <w:pPr>
              <w:jc w:val="right"/>
              <w:rPr>
                <w:b/>
                <w:bCs/>
                <w:iCs/>
              </w:rPr>
            </w:pPr>
          </w:p>
        </w:tc>
      </w:tr>
      <w:tr w:rsidR="0040239E" w:rsidRPr="007B7470" w14:paraId="43ADA6A1" w14:textId="77777777" w:rsidTr="0040239E">
        <w:trPr>
          <w:trHeight w:val="125"/>
          <w:jc w:val="center"/>
        </w:trPr>
        <w:tc>
          <w:tcPr>
            <w:tcW w:w="4661" w:type="dxa"/>
            <w:noWrap/>
            <w:vAlign w:val="center"/>
          </w:tcPr>
          <w:p w14:paraId="2B733538" w14:textId="77777777" w:rsidR="0040239E" w:rsidRPr="007B7470" w:rsidRDefault="0040239E" w:rsidP="00911BB2">
            <w:pPr>
              <w:rPr>
                <w:b/>
                <w:bCs/>
                <w:i/>
                <w:iCs/>
                <w:sz w:val="24"/>
                <w:szCs w:val="24"/>
              </w:rPr>
            </w:pPr>
            <w:r w:rsidRPr="007B7470">
              <w:rPr>
                <w:b/>
                <w:bCs/>
                <w:i/>
                <w:iCs/>
                <w:sz w:val="24"/>
                <w:szCs w:val="24"/>
              </w:rPr>
              <w:t>- vplyv na ŠR</w:t>
            </w:r>
          </w:p>
        </w:tc>
        <w:tc>
          <w:tcPr>
            <w:tcW w:w="1267" w:type="dxa"/>
            <w:noWrap/>
            <w:vAlign w:val="center"/>
          </w:tcPr>
          <w:p w14:paraId="7DCD6ED8" w14:textId="77777777" w:rsidR="0040239E" w:rsidRPr="00D9225F" w:rsidRDefault="0040239E" w:rsidP="00911BB2">
            <w:pPr>
              <w:jc w:val="right"/>
              <w:rPr>
                <w:b/>
                <w:bCs/>
                <w:iCs/>
              </w:rPr>
            </w:pPr>
            <w:r w:rsidRPr="00D9225F">
              <w:rPr>
                <w:b/>
                <w:bCs/>
                <w:iCs/>
              </w:rPr>
              <w:t>0</w:t>
            </w:r>
          </w:p>
        </w:tc>
        <w:tc>
          <w:tcPr>
            <w:tcW w:w="1267" w:type="dxa"/>
            <w:noWrap/>
            <w:vAlign w:val="center"/>
          </w:tcPr>
          <w:p w14:paraId="4D225BF0" w14:textId="77777777" w:rsidR="0040239E" w:rsidRPr="00D9225F" w:rsidRDefault="0040239E" w:rsidP="00911BB2">
            <w:pPr>
              <w:jc w:val="right"/>
              <w:rPr>
                <w:b/>
                <w:bCs/>
                <w:iCs/>
              </w:rPr>
            </w:pPr>
            <w:r w:rsidRPr="00D9225F">
              <w:rPr>
                <w:b/>
                <w:bCs/>
                <w:iCs/>
              </w:rPr>
              <w:t>0</w:t>
            </w:r>
          </w:p>
        </w:tc>
        <w:tc>
          <w:tcPr>
            <w:tcW w:w="1267" w:type="dxa"/>
            <w:noWrap/>
            <w:vAlign w:val="center"/>
          </w:tcPr>
          <w:p w14:paraId="3A2DEF9D" w14:textId="77777777" w:rsidR="0040239E" w:rsidRPr="00D9225F" w:rsidRDefault="0040239E" w:rsidP="00911BB2">
            <w:pPr>
              <w:jc w:val="right"/>
              <w:rPr>
                <w:b/>
                <w:bCs/>
                <w:iCs/>
              </w:rPr>
            </w:pPr>
            <w:r w:rsidRPr="00D9225F">
              <w:rPr>
                <w:b/>
                <w:bCs/>
                <w:iCs/>
              </w:rPr>
              <w:t>0</w:t>
            </w:r>
          </w:p>
        </w:tc>
        <w:tc>
          <w:tcPr>
            <w:tcW w:w="1267" w:type="dxa"/>
            <w:noWrap/>
            <w:vAlign w:val="center"/>
          </w:tcPr>
          <w:p w14:paraId="0F4E2351" w14:textId="77777777" w:rsidR="0040239E" w:rsidRPr="00D9225F" w:rsidRDefault="0040239E" w:rsidP="00911BB2">
            <w:pPr>
              <w:jc w:val="right"/>
              <w:rPr>
                <w:b/>
                <w:bCs/>
                <w:iCs/>
              </w:rPr>
            </w:pPr>
            <w:r w:rsidRPr="00D9225F">
              <w:rPr>
                <w:b/>
                <w:bCs/>
                <w:iCs/>
              </w:rPr>
              <w:t>0</w:t>
            </w:r>
          </w:p>
        </w:tc>
      </w:tr>
      <w:tr w:rsidR="0040239E" w:rsidRPr="007B7470" w14:paraId="442096FA" w14:textId="77777777" w:rsidTr="0040239E">
        <w:trPr>
          <w:trHeight w:val="125"/>
          <w:jc w:val="center"/>
        </w:trPr>
        <w:tc>
          <w:tcPr>
            <w:tcW w:w="4661" w:type="dxa"/>
            <w:noWrap/>
            <w:vAlign w:val="center"/>
          </w:tcPr>
          <w:p w14:paraId="77DE3DE9" w14:textId="77777777" w:rsidR="0040239E" w:rsidRPr="007B7470" w:rsidRDefault="0040239E" w:rsidP="00911BB2">
            <w:pPr>
              <w:ind w:left="259"/>
              <w:rPr>
                <w:b/>
                <w:bCs/>
                <w:i/>
                <w:iCs/>
                <w:sz w:val="24"/>
                <w:szCs w:val="24"/>
              </w:rPr>
            </w:pPr>
            <w:r w:rsidRPr="007B7470">
              <w:rPr>
                <w:bCs/>
                <w:i/>
                <w:iCs/>
                <w:sz w:val="24"/>
                <w:szCs w:val="24"/>
              </w:rPr>
              <w:t>Rozpočtové prostriedky</w:t>
            </w:r>
          </w:p>
        </w:tc>
        <w:tc>
          <w:tcPr>
            <w:tcW w:w="1267" w:type="dxa"/>
            <w:noWrap/>
            <w:vAlign w:val="center"/>
          </w:tcPr>
          <w:p w14:paraId="23FA022A" w14:textId="77777777" w:rsidR="0040239E" w:rsidRPr="00D9225F" w:rsidRDefault="0040239E" w:rsidP="00911BB2">
            <w:pPr>
              <w:jc w:val="right"/>
              <w:rPr>
                <w:b/>
                <w:bCs/>
                <w:iCs/>
              </w:rPr>
            </w:pPr>
            <w:r w:rsidRPr="00D9225F">
              <w:rPr>
                <w:b/>
                <w:bCs/>
                <w:iCs/>
              </w:rPr>
              <w:t>0</w:t>
            </w:r>
          </w:p>
        </w:tc>
        <w:tc>
          <w:tcPr>
            <w:tcW w:w="1267" w:type="dxa"/>
            <w:noWrap/>
            <w:vAlign w:val="center"/>
          </w:tcPr>
          <w:p w14:paraId="4931DC19" w14:textId="77777777" w:rsidR="0040239E" w:rsidRPr="00D9225F" w:rsidRDefault="0040239E" w:rsidP="00911BB2">
            <w:pPr>
              <w:jc w:val="right"/>
              <w:rPr>
                <w:b/>
                <w:bCs/>
                <w:iCs/>
              </w:rPr>
            </w:pPr>
            <w:r w:rsidRPr="00D9225F">
              <w:rPr>
                <w:b/>
                <w:bCs/>
                <w:iCs/>
              </w:rPr>
              <w:t>0</w:t>
            </w:r>
          </w:p>
        </w:tc>
        <w:tc>
          <w:tcPr>
            <w:tcW w:w="1267" w:type="dxa"/>
            <w:noWrap/>
            <w:vAlign w:val="center"/>
          </w:tcPr>
          <w:p w14:paraId="18D598EE" w14:textId="77777777" w:rsidR="0040239E" w:rsidRPr="00D9225F" w:rsidRDefault="0040239E" w:rsidP="00911BB2">
            <w:pPr>
              <w:jc w:val="right"/>
              <w:rPr>
                <w:b/>
                <w:bCs/>
                <w:iCs/>
              </w:rPr>
            </w:pPr>
            <w:r w:rsidRPr="00D9225F">
              <w:rPr>
                <w:b/>
                <w:bCs/>
                <w:iCs/>
              </w:rPr>
              <w:t>0</w:t>
            </w:r>
          </w:p>
        </w:tc>
        <w:tc>
          <w:tcPr>
            <w:tcW w:w="1267" w:type="dxa"/>
            <w:noWrap/>
            <w:vAlign w:val="center"/>
          </w:tcPr>
          <w:p w14:paraId="5558A0E0" w14:textId="77777777" w:rsidR="0040239E" w:rsidRPr="00D9225F" w:rsidRDefault="0040239E" w:rsidP="00911BB2">
            <w:pPr>
              <w:jc w:val="right"/>
              <w:rPr>
                <w:b/>
                <w:bCs/>
                <w:iCs/>
              </w:rPr>
            </w:pPr>
            <w:r w:rsidRPr="00D9225F">
              <w:rPr>
                <w:b/>
                <w:bCs/>
                <w:iCs/>
              </w:rPr>
              <w:t>0</w:t>
            </w:r>
          </w:p>
        </w:tc>
      </w:tr>
      <w:tr w:rsidR="0040239E" w:rsidRPr="007B7470" w14:paraId="55B372A0" w14:textId="77777777" w:rsidTr="0040239E">
        <w:trPr>
          <w:trHeight w:val="125"/>
          <w:jc w:val="center"/>
        </w:trPr>
        <w:tc>
          <w:tcPr>
            <w:tcW w:w="4661" w:type="dxa"/>
            <w:noWrap/>
            <w:vAlign w:val="center"/>
          </w:tcPr>
          <w:p w14:paraId="314CDA59" w14:textId="77777777" w:rsidR="0040239E" w:rsidRPr="007B7470" w:rsidRDefault="0040239E" w:rsidP="00911BB2">
            <w:pPr>
              <w:ind w:left="259"/>
              <w:rPr>
                <w:bCs/>
                <w:i/>
                <w:iCs/>
                <w:sz w:val="24"/>
                <w:szCs w:val="24"/>
              </w:rPr>
            </w:pPr>
            <w:r w:rsidRPr="007B7470">
              <w:rPr>
                <w:bCs/>
                <w:i/>
                <w:iCs/>
                <w:sz w:val="24"/>
                <w:szCs w:val="24"/>
              </w:rPr>
              <w:t>EÚ zdroje</w:t>
            </w:r>
          </w:p>
        </w:tc>
        <w:tc>
          <w:tcPr>
            <w:tcW w:w="1267" w:type="dxa"/>
            <w:noWrap/>
            <w:vAlign w:val="center"/>
          </w:tcPr>
          <w:p w14:paraId="6C6166E4" w14:textId="77777777" w:rsidR="0040239E" w:rsidRPr="00D9225F" w:rsidRDefault="0040239E" w:rsidP="00911BB2">
            <w:pPr>
              <w:jc w:val="right"/>
            </w:pPr>
            <w:r w:rsidRPr="00D9225F">
              <w:t>0</w:t>
            </w:r>
          </w:p>
        </w:tc>
        <w:tc>
          <w:tcPr>
            <w:tcW w:w="1267" w:type="dxa"/>
            <w:noWrap/>
            <w:vAlign w:val="center"/>
          </w:tcPr>
          <w:p w14:paraId="6FB51B82" w14:textId="77777777" w:rsidR="0040239E" w:rsidRPr="00D9225F" w:rsidRDefault="0040239E" w:rsidP="00911BB2">
            <w:pPr>
              <w:jc w:val="right"/>
            </w:pPr>
            <w:r w:rsidRPr="00D9225F">
              <w:t>0</w:t>
            </w:r>
          </w:p>
        </w:tc>
        <w:tc>
          <w:tcPr>
            <w:tcW w:w="1267" w:type="dxa"/>
            <w:noWrap/>
            <w:vAlign w:val="center"/>
          </w:tcPr>
          <w:p w14:paraId="11ED2C9C" w14:textId="77777777" w:rsidR="0040239E" w:rsidRPr="00D9225F" w:rsidRDefault="0040239E" w:rsidP="00911BB2">
            <w:pPr>
              <w:jc w:val="right"/>
            </w:pPr>
            <w:r w:rsidRPr="00D9225F">
              <w:t>0</w:t>
            </w:r>
          </w:p>
        </w:tc>
        <w:tc>
          <w:tcPr>
            <w:tcW w:w="1267" w:type="dxa"/>
            <w:noWrap/>
            <w:vAlign w:val="center"/>
          </w:tcPr>
          <w:p w14:paraId="52D5232E" w14:textId="77777777" w:rsidR="0040239E" w:rsidRPr="00D9225F" w:rsidRDefault="0040239E" w:rsidP="00911BB2">
            <w:pPr>
              <w:jc w:val="right"/>
            </w:pPr>
            <w:r w:rsidRPr="00D9225F">
              <w:t>0</w:t>
            </w:r>
          </w:p>
        </w:tc>
      </w:tr>
      <w:tr w:rsidR="0040239E" w:rsidRPr="007B7470" w14:paraId="07F3CD12" w14:textId="77777777" w:rsidTr="0040239E">
        <w:trPr>
          <w:trHeight w:val="125"/>
          <w:jc w:val="center"/>
        </w:trPr>
        <w:tc>
          <w:tcPr>
            <w:tcW w:w="4661" w:type="dxa"/>
            <w:noWrap/>
            <w:vAlign w:val="center"/>
          </w:tcPr>
          <w:p w14:paraId="604158F0" w14:textId="77777777" w:rsidR="0040239E" w:rsidRPr="007B7470" w:rsidRDefault="0040239E" w:rsidP="00911BB2">
            <w:pPr>
              <w:rPr>
                <w:b/>
                <w:bCs/>
                <w:i/>
                <w:iCs/>
                <w:sz w:val="24"/>
                <w:szCs w:val="24"/>
              </w:rPr>
            </w:pPr>
            <w:r w:rsidRPr="007B7470">
              <w:rPr>
                <w:b/>
                <w:bCs/>
                <w:i/>
                <w:iCs/>
                <w:sz w:val="24"/>
                <w:szCs w:val="24"/>
              </w:rPr>
              <w:t>- vplyv na obce</w:t>
            </w:r>
          </w:p>
        </w:tc>
        <w:tc>
          <w:tcPr>
            <w:tcW w:w="1267" w:type="dxa"/>
            <w:noWrap/>
            <w:vAlign w:val="center"/>
          </w:tcPr>
          <w:p w14:paraId="45FDCFD8" w14:textId="77777777" w:rsidR="0040239E" w:rsidRPr="00D9225F" w:rsidRDefault="0040239E" w:rsidP="00911BB2">
            <w:pPr>
              <w:jc w:val="right"/>
              <w:rPr>
                <w:b/>
                <w:bCs/>
                <w:iCs/>
              </w:rPr>
            </w:pPr>
            <w:r w:rsidRPr="00D9225F">
              <w:rPr>
                <w:b/>
                <w:bCs/>
                <w:iCs/>
              </w:rPr>
              <w:t>0</w:t>
            </w:r>
          </w:p>
        </w:tc>
        <w:tc>
          <w:tcPr>
            <w:tcW w:w="1267" w:type="dxa"/>
            <w:noWrap/>
            <w:vAlign w:val="center"/>
          </w:tcPr>
          <w:p w14:paraId="351B7772" w14:textId="77777777" w:rsidR="0040239E" w:rsidRPr="00D9225F" w:rsidRDefault="0040239E" w:rsidP="00911BB2">
            <w:pPr>
              <w:jc w:val="right"/>
              <w:rPr>
                <w:b/>
                <w:bCs/>
                <w:iCs/>
              </w:rPr>
            </w:pPr>
            <w:r w:rsidRPr="00D9225F">
              <w:rPr>
                <w:b/>
                <w:bCs/>
                <w:iCs/>
              </w:rPr>
              <w:t>0</w:t>
            </w:r>
          </w:p>
        </w:tc>
        <w:tc>
          <w:tcPr>
            <w:tcW w:w="1267" w:type="dxa"/>
            <w:noWrap/>
            <w:vAlign w:val="center"/>
          </w:tcPr>
          <w:p w14:paraId="79C2326B" w14:textId="77777777" w:rsidR="0040239E" w:rsidRPr="00D9225F" w:rsidRDefault="0040239E" w:rsidP="00911BB2">
            <w:pPr>
              <w:jc w:val="right"/>
              <w:rPr>
                <w:b/>
                <w:bCs/>
                <w:iCs/>
              </w:rPr>
            </w:pPr>
            <w:r w:rsidRPr="00D9225F">
              <w:rPr>
                <w:b/>
                <w:bCs/>
                <w:iCs/>
              </w:rPr>
              <w:t>0</w:t>
            </w:r>
          </w:p>
        </w:tc>
        <w:tc>
          <w:tcPr>
            <w:tcW w:w="1267" w:type="dxa"/>
            <w:noWrap/>
            <w:vAlign w:val="center"/>
          </w:tcPr>
          <w:p w14:paraId="2A152331" w14:textId="77777777" w:rsidR="0040239E" w:rsidRPr="00D9225F" w:rsidRDefault="0040239E" w:rsidP="00911BB2">
            <w:pPr>
              <w:jc w:val="right"/>
              <w:rPr>
                <w:b/>
                <w:bCs/>
                <w:iCs/>
              </w:rPr>
            </w:pPr>
            <w:r w:rsidRPr="00D9225F">
              <w:rPr>
                <w:b/>
                <w:bCs/>
                <w:iCs/>
              </w:rPr>
              <w:t>0</w:t>
            </w:r>
          </w:p>
        </w:tc>
      </w:tr>
      <w:tr w:rsidR="0040239E" w:rsidRPr="007B7470" w14:paraId="3F09C76C" w14:textId="77777777" w:rsidTr="0040239E">
        <w:trPr>
          <w:trHeight w:val="125"/>
          <w:jc w:val="center"/>
        </w:trPr>
        <w:tc>
          <w:tcPr>
            <w:tcW w:w="4661" w:type="dxa"/>
            <w:noWrap/>
            <w:vAlign w:val="center"/>
          </w:tcPr>
          <w:p w14:paraId="2F0EDCD8" w14:textId="77777777" w:rsidR="0040239E" w:rsidRPr="007B7470" w:rsidRDefault="0040239E" w:rsidP="00911BB2">
            <w:pPr>
              <w:rPr>
                <w:b/>
                <w:bCs/>
                <w:i/>
                <w:iCs/>
                <w:sz w:val="24"/>
                <w:szCs w:val="24"/>
              </w:rPr>
            </w:pPr>
            <w:r w:rsidRPr="007B7470">
              <w:rPr>
                <w:b/>
                <w:bCs/>
                <w:i/>
                <w:iCs/>
                <w:sz w:val="24"/>
                <w:szCs w:val="24"/>
              </w:rPr>
              <w:t>- vplyv na vyššie územné celky</w:t>
            </w:r>
          </w:p>
        </w:tc>
        <w:tc>
          <w:tcPr>
            <w:tcW w:w="1267" w:type="dxa"/>
            <w:noWrap/>
            <w:vAlign w:val="center"/>
          </w:tcPr>
          <w:p w14:paraId="683B11E0" w14:textId="77777777" w:rsidR="0040239E" w:rsidRPr="00D9225F" w:rsidRDefault="0040239E" w:rsidP="00911BB2">
            <w:pPr>
              <w:jc w:val="right"/>
              <w:rPr>
                <w:b/>
                <w:bCs/>
                <w:iCs/>
              </w:rPr>
            </w:pPr>
            <w:r w:rsidRPr="00D9225F">
              <w:rPr>
                <w:b/>
                <w:bCs/>
                <w:iCs/>
              </w:rPr>
              <w:t>0</w:t>
            </w:r>
          </w:p>
        </w:tc>
        <w:tc>
          <w:tcPr>
            <w:tcW w:w="1267" w:type="dxa"/>
            <w:noWrap/>
            <w:vAlign w:val="center"/>
          </w:tcPr>
          <w:p w14:paraId="3D299C30" w14:textId="77777777" w:rsidR="0040239E" w:rsidRPr="00D9225F" w:rsidRDefault="0040239E" w:rsidP="00911BB2">
            <w:pPr>
              <w:jc w:val="right"/>
              <w:rPr>
                <w:b/>
                <w:bCs/>
                <w:iCs/>
              </w:rPr>
            </w:pPr>
            <w:r w:rsidRPr="00D9225F">
              <w:rPr>
                <w:b/>
                <w:bCs/>
                <w:iCs/>
              </w:rPr>
              <w:t>0</w:t>
            </w:r>
          </w:p>
        </w:tc>
        <w:tc>
          <w:tcPr>
            <w:tcW w:w="1267" w:type="dxa"/>
            <w:noWrap/>
            <w:vAlign w:val="center"/>
          </w:tcPr>
          <w:p w14:paraId="0059A0CD" w14:textId="77777777" w:rsidR="0040239E" w:rsidRPr="00D9225F" w:rsidRDefault="0040239E" w:rsidP="00911BB2">
            <w:pPr>
              <w:jc w:val="right"/>
              <w:rPr>
                <w:b/>
                <w:bCs/>
                <w:iCs/>
              </w:rPr>
            </w:pPr>
            <w:r w:rsidRPr="00D9225F">
              <w:rPr>
                <w:b/>
                <w:bCs/>
                <w:iCs/>
              </w:rPr>
              <w:t>0</w:t>
            </w:r>
          </w:p>
        </w:tc>
        <w:tc>
          <w:tcPr>
            <w:tcW w:w="1267" w:type="dxa"/>
            <w:noWrap/>
            <w:vAlign w:val="center"/>
          </w:tcPr>
          <w:p w14:paraId="097A9744" w14:textId="77777777" w:rsidR="0040239E" w:rsidRPr="00D9225F" w:rsidRDefault="0040239E" w:rsidP="00911BB2">
            <w:pPr>
              <w:jc w:val="right"/>
              <w:rPr>
                <w:b/>
                <w:bCs/>
                <w:iCs/>
              </w:rPr>
            </w:pPr>
            <w:r w:rsidRPr="00D9225F">
              <w:rPr>
                <w:b/>
                <w:bCs/>
                <w:iCs/>
              </w:rPr>
              <w:t>0</w:t>
            </w:r>
          </w:p>
        </w:tc>
      </w:tr>
      <w:tr w:rsidR="0040239E" w:rsidRPr="007B7470" w14:paraId="0FAB539B" w14:textId="77777777" w:rsidTr="0040239E">
        <w:trPr>
          <w:trHeight w:val="125"/>
          <w:jc w:val="center"/>
        </w:trPr>
        <w:tc>
          <w:tcPr>
            <w:tcW w:w="4661" w:type="dxa"/>
            <w:noWrap/>
            <w:vAlign w:val="center"/>
          </w:tcPr>
          <w:p w14:paraId="75345988" w14:textId="77777777" w:rsidR="0040239E" w:rsidRPr="007B7470" w:rsidRDefault="0040239E" w:rsidP="00911BB2">
            <w:pPr>
              <w:rPr>
                <w:b/>
                <w:bCs/>
                <w:i/>
                <w:iCs/>
                <w:sz w:val="24"/>
                <w:szCs w:val="24"/>
              </w:rPr>
            </w:pPr>
            <w:r w:rsidRPr="007B7470">
              <w:rPr>
                <w:b/>
                <w:bCs/>
                <w:i/>
                <w:iCs/>
                <w:sz w:val="24"/>
                <w:szCs w:val="24"/>
              </w:rPr>
              <w:t>- vplyv na ostatné subjekty verejnej správy</w:t>
            </w:r>
          </w:p>
        </w:tc>
        <w:tc>
          <w:tcPr>
            <w:tcW w:w="1267" w:type="dxa"/>
            <w:noWrap/>
            <w:vAlign w:val="center"/>
          </w:tcPr>
          <w:p w14:paraId="745BA91E" w14:textId="77777777" w:rsidR="0040239E" w:rsidRPr="00D9225F" w:rsidRDefault="0040239E" w:rsidP="00911BB2">
            <w:pPr>
              <w:jc w:val="right"/>
              <w:rPr>
                <w:b/>
                <w:bCs/>
                <w:iCs/>
              </w:rPr>
            </w:pPr>
            <w:r w:rsidRPr="00D9225F">
              <w:rPr>
                <w:b/>
                <w:bCs/>
                <w:iCs/>
              </w:rPr>
              <w:t>0</w:t>
            </w:r>
          </w:p>
        </w:tc>
        <w:tc>
          <w:tcPr>
            <w:tcW w:w="1267" w:type="dxa"/>
            <w:noWrap/>
            <w:vAlign w:val="center"/>
          </w:tcPr>
          <w:p w14:paraId="7B73E7B2" w14:textId="77777777" w:rsidR="0040239E" w:rsidRPr="00D9225F" w:rsidRDefault="0040239E" w:rsidP="00911BB2">
            <w:pPr>
              <w:jc w:val="right"/>
              <w:rPr>
                <w:b/>
                <w:bCs/>
                <w:iCs/>
              </w:rPr>
            </w:pPr>
            <w:r w:rsidRPr="00D9225F">
              <w:rPr>
                <w:b/>
                <w:bCs/>
                <w:iCs/>
              </w:rPr>
              <w:t>0</w:t>
            </w:r>
          </w:p>
        </w:tc>
        <w:tc>
          <w:tcPr>
            <w:tcW w:w="1267" w:type="dxa"/>
            <w:noWrap/>
            <w:vAlign w:val="center"/>
          </w:tcPr>
          <w:p w14:paraId="288C84FC" w14:textId="77777777" w:rsidR="0040239E" w:rsidRPr="00D9225F" w:rsidRDefault="0040239E" w:rsidP="00911BB2">
            <w:pPr>
              <w:jc w:val="right"/>
              <w:rPr>
                <w:b/>
                <w:bCs/>
                <w:iCs/>
              </w:rPr>
            </w:pPr>
            <w:r w:rsidRPr="00D9225F">
              <w:rPr>
                <w:b/>
                <w:bCs/>
                <w:iCs/>
              </w:rPr>
              <w:t>0</w:t>
            </w:r>
          </w:p>
        </w:tc>
        <w:tc>
          <w:tcPr>
            <w:tcW w:w="1267" w:type="dxa"/>
            <w:noWrap/>
            <w:vAlign w:val="center"/>
          </w:tcPr>
          <w:p w14:paraId="31D691FD" w14:textId="77777777" w:rsidR="0040239E" w:rsidRPr="00D9225F" w:rsidRDefault="0040239E" w:rsidP="00911BB2">
            <w:pPr>
              <w:jc w:val="right"/>
              <w:rPr>
                <w:b/>
                <w:bCs/>
                <w:iCs/>
              </w:rPr>
            </w:pPr>
            <w:r w:rsidRPr="00D9225F">
              <w:rPr>
                <w:b/>
                <w:bCs/>
                <w:iCs/>
              </w:rPr>
              <w:t>0</w:t>
            </w:r>
          </w:p>
        </w:tc>
      </w:tr>
      <w:tr w:rsidR="0040239E" w:rsidRPr="007B7470" w14:paraId="0C6ACEA8" w14:textId="77777777" w:rsidTr="0040239E">
        <w:trPr>
          <w:trHeight w:val="125"/>
          <w:jc w:val="center"/>
        </w:trPr>
        <w:tc>
          <w:tcPr>
            <w:tcW w:w="4661" w:type="dxa"/>
            <w:shd w:val="clear" w:color="auto" w:fill="C0C0C0"/>
            <w:noWrap/>
            <w:vAlign w:val="center"/>
          </w:tcPr>
          <w:p w14:paraId="3AB319BB" w14:textId="77777777" w:rsidR="0040239E" w:rsidRPr="007B7470" w:rsidRDefault="0040239E" w:rsidP="00911BB2">
            <w:pPr>
              <w:rPr>
                <w:b/>
                <w:bCs/>
                <w:sz w:val="24"/>
                <w:szCs w:val="24"/>
              </w:rPr>
            </w:pPr>
            <w:r w:rsidRPr="007B7470">
              <w:rPr>
                <w:b/>
                <w:bCs/>
                <w:sz w:val="24"/>
                <w:szCs w:val="24"/>
              </w:rPr>
              <w:t>Výdavky verejnej správy celkom</w:t>
            </w:r>
          </w:p>
        </w:tc>
        <w:tc>
          <w:tcPr>
            <w:tcW w:w="1267" w:type="dxa"/>
            <w:shd w:val="clear" w:color="auto" w:fill="C0C0C0"/>
            <w:noWrap/>
            <w:vAlign w:val="center"/>
          </w:tcPr>
          <w:p w14:paraId="03EEEC29" w14:textId="77777777" w:rsidR="0040239E" w:rsidRPr="00D9225F" w:rsidRDefault="0040239E" w:rsidP="00911BB2">
            <w:pPr>
              <w:jc w:val="right"/>
              <w:rPr>
                <w:b/>
                <w:bCs/>
              </w:rPr>
            </w:pPr>
            <w:r>
              <w:rPr>
                <w:b/>
                <w:bCs/>
              </w:rPr>
              <w:t>6 500 000</w:t>
            </w:r>
          </w:p>
        </w:tc>
        <w:tc>
          <w:tcPr>
            <w:tcW w:w="1267" w:type="dxa"/>
            <w:shd w:val="clear" w:color="auto" w:fill="C0C0C0"/>
            <w:noWrap/>
            <w:vAlign w:val="center"/>
          </w:tcPr>
          <w:p w14:paraId="7FE69078" w14:textId="77777777" w:rsidR="0040239E" w:rsidRPr="00D9225F" w:rsidRDefault="0040239E" w:rsidP="00911BB2">
            <w:pPr>
              <w:jc w:val="right"/>
              <w:rPr>
                <w:b/>
                <w:bCs/>
              </w:rPr>
            </w:pPr>
            <w:r>
              <w:rPr>
                <w:b/>
                <w:bCs/>
              </w:rPr>
              <w:t>0</w:t>
            </w:r>
          </w:p>
        </w:tc>
        <w:tc>
          <w:tcPr>
            <w:tcW w:w="1267" w:type="dxa"/>
            <w:shd w:val="clear" w:color="auto" w:fill="C0C0C0"/>
            <w:noWrap/>
            <w:vAlign w:val="center"/>
          </w:tcPr>
          <w:p w14:paraId="4B4158E8" w14:textId="77777777" w:rsidR="0040239E" w:rsidRPr="00D9225F" w:rsidRDefault="0040239E" w:rsidP="00911BB2">
            <w:pPr>
              <w:jc w:val="right"/>
              <w:rPr>
                <w:b/>
                <w:bCs/>
              </w:rPr>
            </w:pPr>
            <w:r>
              <w:rPr>
                <w:b/>
                <w:bCs/>
              </w:rPr>
              <w:t>0</w:t>
            </w:r>
          </w:p>
        </w:tc>
        <w:tc>
          <w:tcPr>
            <w:tcW w:w="1267" w:type="dxa"/>
            <w:shd w:val="clear" w:color="auto" w:fill="C0C0C0"/>
            <w:noWrap/>
            <w:vAlign w:val="center"/>
          </w:tcPr>
          <w:p w14:paraId="24FCAC4D" w14:textId="77777777" w:rsidR="0040239E" w:rsidRPr="00D9225F" w:rsidRDefault="0040239E" w:rsidP="00911BB2">
            <w:pPr>
              <w:jc w:val="right"/>
              <w:rPr>
                <w:b/>
                <w:bCs/>
              </w:rPr>
            </w:pPr>
            <w:r>
              <w:rPr>
                <w:b/>
                <w:bCs/>
              </w:rPr>
              <w:t>0</w:t>
            </w:r>
          </w:p>
        </w:tc>
      </w:tr>
      <w:tr w:rsidR="0040239E" w:rsidRPr="007B7470" w14:paraId="259C0030" w14:textId="77777777" w:rsidTr="0040239E">
        <w:trPr>
          <w:trHeight w:val="70"/>
          <w:jc w:val="center"/>
        </w:trPr>
        <w:tc>
          <w:tcPr>
            <w:tcW w:w="4661" w:type="dxa"/>
            <w:noWrap/>
            <w:vAlign w:val="center"/>
          </w:tcPr>
          <w:p w14:paraId="7886BDD9" w14:textId="77777777" w:rsidR="0040239E" w:rsidRPr="007B7470" w:rsidRDefault="0040239E" w:rsidP="00911BB2">
            <w:pPr>
              <w:rPr>
                <w:sz w:val="24"/>
                <w:szCs w:val="24"/>
              </w:rPr>
            </w:pPr>
            <w:r w:rsidRPr="007B7470">
              <w:rPr>
                <w:sz w:val="24"/>
                <w:szCs w:val="24"/>
              </w:rPr>
              <w:t xml:space="preserve">v tom: </w:t>
            </w:r>
            <w:r w:rsidRPr="003076FF">
              <w:rPr>
                <w:sz w:val="24"/>
                <w:szCs w:val="24"/>
              </w:rPr>
              <w:t>MD SR/</w:t>
            </w:r>
            <w:r w:rsidRPr="00FF7F65">
              <w:rPr>
                <w:sz w:val="24"/>
                <w:szCs w:val="24"/>
              </w:rPr>
              <w:t>07T0101</w:t>
            </w:r>
          </w:p>
        </w:tc>
        <w:tc>
          <w:tcPr>
            <w:tcW w:w="1267" w:type="dxa"/>
            <w:noWrap/>
            <w:vAlign w:val="center"/>
          </w:tcPr>
          <w:p w14:paraId="642E1E39" w14:textId="77777777" w:rsidR="0040239E" w:rsidRPr="00D9225F" w:rsidRDefault="0040239E" w:rsidP="00911BB2">
            <w:pPr>
              <w:jc w:val="right"/>
            </w:pPr>
            <w:r>
              <w:t>6 500 000</w:t>
            </w:r>
          </w:p>
        </w:tc>
        <w:tc>
          <w:tcPr>
            <w:tcW w:w="1267" w:type="dxa"/>
            <w:noWrap/>
            <w:vAlign w:val="center"/>
          </w:tcPr>
          <w:p w14:paraId="584A5C3A" w14:textId="77777777" w:rsidR="0040239E" w:rsidRPr="00D9225F" w:rsidRDefault="0040239E" w:rsidP="00911BB2">
            <w:pPr>
              <w:jc w:val="right"/>
            </w:pPr>
            <w:r>
              <w:t>0</w:t>
            </w:r>
          </w:p>
        </w:tc>
        <w:tc>
          <w:tcPr>
            <w:tcW w:w="1267" w:type="dxa"/>
            <w:noWrap/>
            <w:vAlign w:val="center"/>
          </w:tcPr>
          <w:p w14:paraId="37C11003" w14:textId="77777777" w:rsidR="0040239E" w:rsidRPr="00D9225F" w:rsidRDefault="0040239E" w:rsidP="00911BB2">
            <w:pPr>
              <w:jc w:val="right"/>
            </w:pPr>
            <w:r>
              <w:t>0</w:t>
            </w:r>
          </w:p>
        </w:tc>
        <w:tc>
          <w:tcPr>
            <w:tcW w:w="1267" w:type="dxa"/>
            <w:noWrap/>
            <w:vAlign w:val="center"/>
          </w:tcPr>
          <w:p w14:paraId="04900EFF" w14:textId="77777777" w:rsidR="0040239E" w:rsidRPr="00D9225F" w:rsidRDefault="0040239E" w:rsidP="00911BB2">
            <w:pPr>
              <w:jc w:val="right"/>
            </w:pPr>
            <w:r>
              <w:t>0</w:t>
            </w:r>
          </w:p>
        </w:tc>
      </w:tr>
      <w:tr w:rsidR="0040239E" w:rsidRPr="007B7470" w14:paraId="44E4FBA3" w14:textId="77777777" w:rsidTr="0040239E">
        <w:trPr>
          <w:trHeight w:val="70"/>
          <w:jc w:val="center"/>
        </w:trPr>
        <w:tc>
          <w:tcPr>
            <w:tcW w:w="4661" w:type="dxa"/>
            <w:noWrap/>
            <w:vAlign w:val="center"/>
          </w:tcPr>
          <w:p w14:paraId="6CC00A13" w14:textId="77777777" w:rsidR="0040239E" w:rsidRPr="007B7470" w:rsidRDefault="0040239E" w:rsidP="00911BB2">
            <w:pPr>
              <w:rPr>
                <w:b/>
                <w:bCs/>
                <w:i/>
                <w:iCs/>
                <w:sz w:val="24"/>
                <w:szCs w:val="24"/>
              </w:rPr>
            </w:pPr>
            <w:r w:rsidRPr="007B7470">
              <w:rPr>
                <w:b/>
                <w:bCs/>
                <w:i/>
                <w:iCs/>
                <w:sz w:val="24"/>
                <w:szCs w:val="24"/>
              </w:rPr>
              <w:t xml:space="preserve">z toho: </w:t>
            </w:r>
          </w:p>
        </w:tc>
        <w:tc>
          <w:tcPr>
            <w:tcW w:w="1267" w:type="dxa"/>
            <w:noWrap/>
            <w:vAlign w:val="center"/>
          </w:tcPr>
          <w:p w14:paraId="1E4F7689" w14:textId="77777777" w:rsidR="0040239E" w:rsidRPr="00D9225F" w:rsidRDefault="0040239E" w:rsidP="00911BB2">
            <w:pPr>
              <w:jc w:val="right"/>
              <w:rPr>
                <w:b/>
                <w:bCs/>
                <w:iCs/>
              </w:rPr>
            </w:pPr>
          </w:p>
        </w:tc>
        <w:tc>
          <w:tcPr>
            <w:tcW w:w="1267" w:type="dxa"/>
            <w:noWrap/>
            <w:vAlign w:val="center"/>
          </w:tcPr>
          <w:p w14:paraId="69833484" w14:textId="77777777" w:rsidR="0040239E" w:rsidRPr="00D9225F" w:rsidRDefault="0040239E" w:rsidP="00911BB2">
            <w:pPr>
              <w:jc w:val="right"/>
              <w:rPr>
                <w:b/>
                <w:bCs/>
                <w:iCs/>
              </w:rPr>
            </w:pPr>
          </w:p>
        </w:tc>
        <w:tc>
          <w:tcPr>
            <w:tcW w:w="1267" w:type="dxa"/>
            <w:noWrap/>
            <w:vAlign w:val="center"/>
          </w:tcPr>
          <w:p w14:paraId="6982A87B" w14:textId="77777777" w:rsidR="0040239E" w:rsidRPr="00D9225F" w:rsidRDefault="0040239E" w:rsidP="00911BB2">
            <w:pPr>
              <w:jc w:val="right"/>
              <w:rPr>
                <w:b/>
                <w:bCs/>
                <w:iCs/>
              </w:rPr>
            </w:pPr>
          </w:p>
        </w:tc>
        <w:tc>
          <w:tcPr>
            <w:tcW w:w="1267" w:type="dxa"/>
            <w:noWrap/>
            <w:vAlign w:val="center"/>
          </w:tcPr>
          <w:p w14:paraId="5486728A" w14:textId="77777777" w:rsidR="0040239E" w:rsidRPr="00D9225F" w:rsidRDefault="0040239E" w:rsidP="00911BB2">
            <w:pPr>
              <w:jc w:val="right"/>
              <w:rPr>
                <w:b/>
                <w:bCs/>
                <w:iCs/>
              </w:rPr>
            </w:pPr>
          </w:p>
        </w:tc>
      </w:tr>
      <w:tr w:rsidR="0040239E" w:rsidRPr="007B7470" w14:paraId="00E13762" w14:textId="77777777" w:rsidTr="0040239E">
        <w:trPr>
          <w:trHeight w:val="70"/>
          <w:jc w:val="center"/>
        </w:trPr>
        <w:tc>
          <w:tcPr>
            <w:tcW w:w="4661" w:type="dxa"/>
            <w:noWrap/>
            <w:vAlign w:val="center"/>
          </w:tcPr>
          <w:p w14:paraId="1F967E73" w14:textId="77777777" w:rsidR="0040239E" w:rsidRPr="007B7470" w:rsidRDefault="0040239E" w:rsidP="00911BB2">
            <w:pPr>
              <w:rPr>
                <w:b/>
                <w:bCs/>
                <w:i/>
                <w:iCs/>
                <w:sz w:val="24"/>
                <w:szCs w:val="24"/>
              </w:rPr>
            </w:pPr>
            <w:r w:rsidRPr="007B7470">
              <w:rPr>
                <w:b/>
                <w:bCs/>
                <w:i/>
                <w:iCs/>
                <w:sz w:val="24"/>
                <w:szCs w:val="24"/>
              </w:rPr>
              <w:t>- vplyv na ŠR</w:t>
            </w:r>
          </w:p>
        </w:tc>
        <w:tc>
          <w:tcPr>
            <w:tcW w:w="1267" w:type="dxa"/>
            <w:noWrap/>
            <w:vAlign w:val="center"/>
          </w:tcPr>
          <w:p w14:paraId="6B7DBA45" w14:textId="77777777" w:rsidR="0040239E" w:rsidRPr="00D9225F" w:rsidRDefault="0040239E" w:rsidP="00911BB2">
            <w:pPr>
              <w:jc w:val="right"/>
              <w:rPr>
                <w:b/>
              </w:rPr>
            </w:pPr>
            <w:r>
              <w:rPr>
                <w:b/>
              </w:rPr>
              <w:t>6 500 000</w:t>
            </w:r>
          </w:p>
        </w:tc>
        <w:tc>
          <w:tcPr>
            <w:tcW w:w="1267" w:type="dxa"/>
            <w:noWrap/>
            <w:vAlign w:val="center"/>
          </w:tcPr>
          <w:p w14:paraId="515FE79F" w14:textId="77777777" w:rsidR="0040239E" w:rsidRPr="00D9225F" w:rsidRDefault="0040239E" w:rsidP="00911BB2">
            <w:pPr>
              <w:jc w:val="right"/>
              <w:rPr>
                <w:b/>
              </w:rPr>
            </w:pPr>
            <w:r>
              <w:t>0</w:t>
            </w:r>
          </w:p>
        </w:tc>
        <w:tc>
          <w:tcPr>
            <w:tcW w:w="1267" w:type="dxa"/>
            <w:noWrap/>
            <w:vAlign w:val="center"/>
          </w:tcPr>
          <w:p w14:paraId="674590A8" w14:textId="77777777" w:rsidR="0040239E" w:rsidRPr="00D9225F" w:rsidRDefault="0040239E" w:rsidP="00911BB2">
            <w:pPr>
              <w:jc w:val="right"/>
              <w:rPr>
                <w:b/>
              </w:rPr>
            </w:pPr>
            <w:r>
              <w:t>0</w:t>
            </w:r>
          </w:p>
        </w:tc>
        <w:tc>
          <w:tcPr>
            <w:tcW w:w="1267" w:type="dxa"/>
            <w:noWrap/>
            <w:vAlign w:val="center"/>
          </w:tcPr>
          <w:p w14:paraId="72CB6B53" w14:textId="77777777" w:rsidR="0040239E" w:rsidRPr="00D9225F" w:rsidRDefault="0040239E" w:rsidP="00911BB2">
            <w:pPr>
              <w:jc w:val="right"/>
              <w:rPr>
                <w:b/>
              </w:rPr>
            </w:pPr>
            <w:r>
              <w:t>0</w:t>
            </w:r>
          </w:p>
        </w:tc>
      </w:tr>
      <w:tr w:rsidR="0040239E" w:rsidRPr="007B7470" w14:paraId="7B1930EE" w14:textId="77777777" w:rsidTr="0040239E">
        <w:trPr>
          <w:trHeight w:val="70"/>
          <w:jc w:val="center"/>
        </w:trPr>
        <w:tc>
          <w:tcPr>
            <w:tcW w:w="4661" w:type="dxa"/>
            <w:noWrap/>
            <w:vAlign w:val="center"/>
          </w:tcPr>
          <w:p w14:paraId="5B165130" w14:textId="77777777" w:rsidR="0040239E" w:rsidRPr="007B7470" w:rsidRDefault="0040239E" w:rsidP="00911BB2">
            <w:pPr>
              <w:ind w:left="259"/>
              <w:rPr>
                <w:b/>
                <w:bCs/>
                <w:i/>
                <w:iCs/>
                <w:sz w:val="24"/>
                <w:szCs w:val="24"/>
              </w:rPr>
            </w:pPr>
            <w:r w:rsidRPr="007B7470">
              <w:rPr>
                <w:bCs/>
                <w:i/>
                <w:iCs/>
                <w:sz w:val="24"/>
                <w:szCs w:val="24"/>
              </w:rPr>
              <w:t>Rozpočtové prostriedky</w:t>
            </w:r>
          </w:p>
        </w:tc>
        <w:tc>
          <w:tcPr>
            <w:tcW w:w="1267" w:type="dxa"/>
            <w:noWrap/>
            <w:vAlign w:val="center"/>
          </w:tcPr>
          <w:p w14:paraId="02358D30" w14:textId="77777777" w:rsidR="0040239E" w:rsidRPr="00D9225F" w:rsidRDefault="0040239E" w:rsidP="00911BB2">
            <w:pPr>
              <w:jc w:val="right"/>
            </w:pPr>
            <w:r>
              <w:t>6 500 000</w:t>
            </w:r>
          </w:p>
        </w:tc>
        <w:tc>
          <w:tcPr>
            <w:tcW w:w="1267" w:type="dxa"/>
            <w:noWrap/>
            <w:vAlign w:val="center"/>
          </w:tcPr>
          <w:p w14:paraId="5B7614D8" w14:textId="77777777" w:rsidR="0040239E" w:rsidRPr="00D9225F" w:rsidRDefault="0040239E" w:rsidP="00911BB2">
            <w:pPr>
              <w:jc w:val="right"/>
            </w:pPr>
            <w:r>
              <w:t>0</w:t>
            </w:r>
          </w:p>
        </w:tc>
        <w:tc>
          <w:tcPr>
            <w:tcW w:w="1267" w:type="dxa"/>
            <w:noWrap/>
            <w:vAlign w:val="center"/>
          </w:tcPr>
          <w:p w14:paraId="5C0A9B54" w14:textId="77777777" w:rsidR="0040239E" w:rsidRPr="00D9225F" w:rsidRDefault="0040239E" w:rsidP="00911BB2">
            <w:pPr>
              <w:jc w:val="right"/>
            </w:pPr>
            <w:r>
              <w:t>0</w:t>
            </w:r>
          </w:p>
        </w:tc>
        <w:tc>
          <w:tcPr>
            <w:tcW w:w="1267" w:type="dxa"/>
            <w:noWrap/>
            <w:vAlign w:val="center"/>
          </w:tcPr>
          <w:p w14:paraId="1DF5D5D6" w14:textId="77777777" w:rsidR="0040239E" w:rsidRPr="00D9225F" w:rsidRDefault="0040239E" w:rsidP="00911BB2">
            <w:pPr>
              <w:jc w:val="right"/>
            </w:pPr>
            <w:r>
              <w:t>0</w:t>
            </w:r>
          </w:p>
        </w:tc>
      </w:tr>
      <w:tr w:rsidR="0040239E" w:rsidRPr="007B7470" w14:paraId="62A5712B" w14:textId="77777777" w:rsidTr="0040239E">
        <w:trPr>
          <w:trHeight w:val="70"/>
          <w:jc w:val="center"/>
        </w:trPr>
        <w:tc>
          <w:tcPr>
            <w:tcW w:w="4661" w:type="dxa"/>
            <w:noWrap/>
            <w:vAlign w:val="center"/>
          </w:tcPr>
          <w:p w14:paraId="10771186" w14:textId="77777777" w:rsidR="0040239E" w:rsidRPr="007B7470" w:rsidRDefault="0040239E" w:rsidP="00911BB2">
            <w:pPr>
              <w:rPr>
                <w:bCs/>
                <w:i/>
                <w:iCs/>
                <w:sz w:val="24"/>
                <w:szCs w:val="24"/>
              </w:rPr>
            </w:pPr>
            <w:r w:rsidRPr="007B7470">
              <w:rPr>
                <w:bCs/>
                <w:i/>
                <w:iCs/>
                <w:sz w:val="24"/>
                <w:szCs w:val="24"/>
              </w:rPr>
              <w:t xml:space="preserve">    EÚ zdroje</w:t>
            </w:r>
          </w:p>
        </w:tc>
        <w:tc>
          <w:tcPr>
            <w:tcW w:w="1267" w:type="dxa"/>
            <w:noWrap/>
            <w:vAlign w:val="center"/>
          </w:tcPr>
          <w:p w14:paraId="42E80D48" w14:textId="77777777" w:rsidR="0040239E" w:rsidRPr="00D9225F" w:rsidRDefault="0040239E" w:rsidP="00911BB2">
            <w:pPr>
              <w:jc w:val="right"/>
            </w:pPr>
            <w:r>
              <w:t>0</w:t>
            </w:r>
          </w:p>
        </w:tc>
        <w:tc>
          <w:tcPr>
            <w:tcW w:w="1267" w:type="dxa"/>
            <w:noWrap/>
            <w:vAlign w:val="center"/>
          </w:tcPr>
          <w:p w14:paraId="5B52678F" w14:textId="77777777" w:rsidR="0040239E" w:rsidRPr="00D9225F" w:rsidRDefault="0040239E" w:rsidP="00911BB2">
            <w:pPr>
              <w:jc w:val="right"/>
            </w:pPr>
            <w:r>
              <w:t>0</w:t>
            </w:r>
          </w:p>
        </w:tc>
        <w:tc>
          <w:tcPr>
            <w:tcW w:w="1267" w:type="dxa"/>
            <w:noWrap/>
            <w:vAlign w:val="center"/>
          </w:tcPr>
          <w:p w14:paraId="035BC214" w14:textId="77777777" w:rsidR="0040239E" w:rsidRPr="00D9225F" w:rsidRDefault="0040239E" w:rsidP="00911BB2">
            <w:pPr>
              <w:jc w:val="right"/>
            </w:pPr>
            <w:r>
              <w:t>0</w:t>
            </w:r>
          </w:p>
        </w:tc>
        <w:tc>
          <w:tcPr>
            <w:tcW w:w="1267" w:type="dxa"/>
            <w:noWrap/>
            <w:vAlign w:val="center"/>
          </w:tcPr>
          <w:p w14:paraId="723126AB" w14:textId="77777777" w:rsidR="0040239E" w:rsidRPr="00D9225F" w:rsidRDefault="0040239E" w:rsidP="00911BB2">
            <w:pPr>
              <w:jc w:val="right"/>
            </w:pPr>
            <w:r>
              <w:t>0</w:t>
            </w:r>
          </w:p>
        </w:tc>
      </w:tr>
      <w:tr w:rsidR="0040239E" w:rsidRPr="007B7470" w14:paraId="3A380734" w14:textId="77777777" w:rsidTr="0040239E">
        <w:trPr>
          <w:trHeight w:val="70"/>
          <w:jc w:val="center"/>
        </w:trPr>
        <w:tc>
          <w:tcPr>
            <w:tcW w:w="4661" w:type="dxa"/>
            <w:noWrap/>
            <w:vAlign w:val="center"/>
          </w:tcPr>
          <w:p w14:paraId="7FF372FB" w14:textId="77777777" w:rsidR="0040239E" w:rsidRPr="007B7470" w:rsidRDefault="0040239E" w:rsidP="00911BB2">
            <w:pPr>
              <w:rPr>
                <w:bCs/>
                <w:i/>
                <w:iCs/>
                <w:sz w:val="24"/>
                <w:szCs w:val="24"/>
              </w:rPr>
            </w:pPr>
            <w:r w:rsidRPr="007B7470">
              <w:rPr>
                <w:bCs/>
                <w:i/>
                <w:iCs/>
                <w:sz w:val="24"/>
                <w:szCs w:val="24"/>
              </w:rPr>
              <w:t xml:space="preserve">    spolufinancovanie</w:t>
            </w:r>
          </w:p>
        </w:tc>
        <w:tc>
          <w:tcPr>
            <w:tcW w:w="1267" w:type="dxa"/>
            <w:noWrap/>
            <w:vAlign w:val="center"/>
          </w:tcPr>
          <w:p w14:paraId="398F0AC2" w14:textId="77777777" w:rsidR="0040239E" w:rsidRPr="00D9225F" w:rsidRDefault="0040239E" w:rsidP="00911BB2">
            <w:pPr>
              <w:jc w:val="right"/>
            </w:pPr>
            <w:r>
              <w:t>0</w:t>
            </w:r>
          </w:p>
        </w:tc>
        <w:tc>
          <w:tcPr>
            <w:tcW w:w="1267" w:type="dxa"/>
            <w:noWrap/>
            <w:vAlign w:val="center"/>
          </w:tcPr>
          <w:p w14:paraId="3F9C8CD1" w14:textId="77777777" w:rsidR="0040239E" w:rsidRPr="00D9225F" w:rsidRDefault="0040239E" w:rsidP="00911BB2">
            <w:pPr>
              <w:jc w:val="right"/>
            </w:pPr>
            <w:r>
              <w:t>0</w:t>
            </w:r>
          </w:p>
        </w:tc>
        <w:tc>
          <w:tcPr>
            <w:tcW w:w="1267" w:type="dxa"/>
            <w:noWrap/>
            <w:vAlign w:val="center"/>
          </w:tcPr>
          <w:p w14:paraId="73D30DAE" w14:textId="77777777" w:rsidR="0040239E" w:rsidRPr="00D9225F" w:rsidRDefault="0040239E" w:rsidP="00911BB2">
            <w:pPr>
              <w:jc w:val="right"/>
            </w:pPr>
            <w:r>
              <w:t>0</w:t>
            </w:r>
          </w:p>
        </w:tc>
        <w:tc>
          <w:tcPr>
            <w:tcW w:w="1267" w:type="dxa"/>
            <w:noWrap/>
            <w:vAlign w:val="center"/>
          </w:tcPr>
          <w:p w14:paraId="02C0D1AA" w14:textId="77777777" w:rsidR="0040239E" w:rsidRPr="00D9225F" w:rsidRDefault="0040239E" w:rsidP="00911BB2">
            <w:pPr>
              <w:jc w:val="right"/>
            </w:pPr>
            <w:r>
              <w:t>0</w:t>
            </w:r>
          </w:p>
        </w:tc>
      </w:tr>
      <w:tr w:rsidR="0040239E" w:rsidRPr="007B7470" w14:paraId="3615F73B" w14:textId="77777777" w:rsidTr="0040239E">
        <w:trPr>
          <w:trHeight w:val="125"/>
          <w:jc w:val="center"/>
        </w:trPr>
        <w:tc>
          <w:tcPr>
            <w:tcW w:w="4661" w:type="dxa"/>
            <w:noWrap/>
            <w:vAlign w:val="center"/>
          </w:tcPr>
          <w:p w14:paraId="12792253" w14:textId="77777777" w:rsidR="0040239E" w:rsidRPr="007B7470" w:rsidRDefault="0040239E" w:rsidP="00911BB2">
            <w:pPr>
              <w:rPr>
                <w:b/>
                <w:bCs/>
                <w:i/>
                <w:iCs/>
                <w:sz w:val="24"/>
                <w:szCs w:val="24"/>
              </w:rPr>
            </w:pPr>
            <w:r w:rsidRPr="007B7470">
              <w:rPr>
                <w:b/>
                <w:bCs/>
                <w:i/>
                <w:iCs/>
                <w:sz w:val="24"/>
                <w:szCs w:val="24"/>
              </w:rPr>
              <w:t>- vplyv na obce</w:t>
            </w:r>
          </w:p>
        </w:tc>
        <w:tc>
          <w:tcPr>
            <w:tcW w:w="1267" w:type="dxa"/>
            <w:noWrap/>
            <w:vAlign w:val="center"/>
          </w:tcPr>
          <w:p w14:paraId="4C2678C2" w14:textId="77777777" w:rsidR="0040239E" w:rsidRPr="00D9225F" w:rsidRDefault="0040239E" w:rsidP="00911BB2">
            <w:pPr>
              <w:jc w:val="right"/>
              <w:rPr>
                <w:b/>
                <w:bCs/>
                <w:iCs/>
              </w:rPr>
            </w:pPr>
            <w:r w:rsidRPr="00D9225F">
              <w:rPr>
                <w:b/>
                <w:bCs/>
                <w:iCs/>
              </w:rPr>
              <w:t>0</w:t>
            </w:r>
          </w:p>
        </w:tc>
        <w:tc>
          <w:tcPr>
            <w:tcW w:w="1267" w:type="dxa"/>
            <w:noWrap/>
            <w:vAlign w:val="center"/>
          </w:tcPr>
          <w:p w14:paraId="7AF38390" w14:textId="77777777" w:rsidR="0040239E" w:rsidRPr="00D9225F" w:rsidRDefault="0040239E" w:rsidP="00911BB2">
            <w:pPr>
              <w:jc w:val="right"/>
              <w:rPr>
                <w:b/>
                <w:bCs/>
                <w:iCs/>
              </w:rPr>
            </w:pPr>
            <w:r>
              <w:rPr>
                <w:b/>
                <w:bCs/>
                <w:iCs/>
              </w:rPr>
              <w:t>0</w:t>
            </w:r>
          </w:p>
        </w:tc>
        <w:tc>
          <w:tcPr>
            <w:tcW w:w="1267" w:type="dxa"/>
            <w:noWrap/>
            <w:vAlign w:val="center"/>
          </w:tcPr>
          <w:p w14:paraId="6B0B2A63" w14:textId="77777777" w:rsidR="0040239E" w:rsidRPr="00D9225F" w:rsidRDefault="0040239E" w:rsidP="00911BB2">
            <w:pPr>
              <w:jc w:val="right"/>
              <w:rPr>
                <w:b/>
                <w:bCs/>
                <w:iCs/>
              </w:rPr>
            </w:pPr>
            <w:r>
              <w:rPr>
                <w:b/>
                <w:bCs/>
                <w:iCs/>
              </w:rPr>
              <w:t>0</w:t>
            </w:r>
          </w:p>
        </w:tc>
        <w:tc>
          <w:tcPr>
            <w:tcW w:w="1267" w:type="dxa"/>
            <w:noWrap/>
            <w:vAlign w:val="center"/>
          </w:tcPr>
          <w:p w14:paraId="26661A91" w14:textId="77777777" w:rsidR="0040239E" w:rsidRPr="00D9225F" w:rsidRDefault="0040239E" w:rsidP="00911BB2">
            <w:pPr>
              <w:jc w:val="right"/>
              <w:rPr>
                <w:b/>
                <w:bCs/>
                <w:iCs/>
              </w:rPr>
            </w:pPr>
            <w:r>
              <w:rPr>
                <w:b/>
                <w:bCs/>
                <w:iCs/>
              </w:rPr>
              <w:t>0</w:t>
            </w:r>
          </w:p>
        </w:tc>
      </w:tr>
      <w:tr w:rsidR="0040239E" w:rsidRPr="007B7470" w14:paraId="2B43A5EC" w14:textId="77777777" w:rsidTr="0040239E">
        <w:trPr>
          <w:trHeight w:val="125"/>
          <w:jc w:val="center"/>
        </w:trPr>
        <w:tc>
          <w:tcPr>
            <w:tcW w:w="4661" w:type="dxa"/>
            <w:noWrap/>
            <w:vAlign w:val="center"/>
          </w:tcPr>
          <w:p w14:paraId="03BA6203" w14:textId="77777777" w:rsidR="0040239E" w:rsidRPr="007B7470" w:rsidRDefault="0040239E" w:rsidP="00911BB2">
            <w:pPr>
              <w:ind w:left="203"/>
              <w:rPr>
                <w:bCs/>
                <w:i/>
                <w:iCs/>
                <w:sz w:val="24"/>
                <w:szCs w:val="24"/>
              </w:rPr>
            </w:pPr>
            <w:r w:rsidRPr="007B7470">
              <w:rPr>
                <w:bCs/>
                <w:i/>
                <w:iCs/>
                <w:sz w:val="24"/>
                <w:szCs w:val="24"/>
              </w:rPr>
              <w:t xml:space="preserve">z toho vplyv nových úloh v zmysle ods. 2 Čl. 6 ústavného zákona č. 493/2011 Z. z. </w:t>
            </w:r>
          </w:p>
          <w:p w14:paraId="204EBCD2" w14:textId="77777777" w:rsidR="0040239E" w:rsidRPr="007B7470" w:rsidRDefault="0040239E" w:rsidP="00911BB2">
            <w:pPr>
              <w:ind w:left="203"/>
              <w:rPr>
                <w:b/>
                <w:bCs/>
                <w:i/>
                <w:iCs/>
                <w:sz w:val="24"/>
                <w:szCs w:val="24"/>
              </w:rPr>
            </w:pPr>
            <w:r w:rsidRPr="007B7470">
              <w:rPr>
                <w:bCs/>
                <w:i/>
                <w:iCs/>
                <w:sz w:val="24"/>
                <w:szCs w:val="24"/>
              </w:rPr>
              <w:t>o rozpočtovej zodpovednosti</w:t>
            </w:r>
          </w:p>
        </w:tc>
        <w:tc>
          <w:tcPr>
            <w:tcW w:w="1267" w:type="dxa"/>
            <w:noWrap/>
            <w:vAlign w:val="center"/>
          </w:tcPr>
          <w:p w14:paraId="07AE92D1" w14:textId="77777777" w:rsidR="0040239E" w:rsidRPr="00D9225F" w:rsidRDefault="0040239E" w:rsidP="00911BB2">
            <w:pPr>
              <w:jc w:val="right"/>
            </w:pPr>
            <w:r w:rsidRPr="00D9225F">
              <w:t>0</w:t>
            </w:r>
          </w:p>
        </w:tc>
        <w:tc>
          <w:tcPr>
            <w:tcW w:w="1267" w:type="dxa"/>
            <w:noWrap/>
            <w:vAlign w:val="center"/>
          </w:tcPr>
          <w:p w14:paraId="4F431D30" w14:textId="77777777" w:rsidR="0040239E" w:rsidRPr="00D9225F" w:rsidRDefault="0040239E" w:rsidP="00911BB2">
            <w:pPr>
              <w:jc w:val="right"/>
            </w:pPr>
            <w:r w:rsidRPr="00D9225F">
              <w:t>0</w:t>
            </w:r>
          </w:p>
        </w:tc>
        <w:tc>
          <w:tcPr>
            <w:tcW w:w="1267" w:type="dxa"/>
            <w:noWrap/>
            <w:vAlign w:val="center"/>
          </w:tcPr>
          <w:p w14:paraId="5CC39C4B" w14:textId="77777777" w:rsidR="0040239E" w:rsidRPr="00D9225F" w:rsidRDefault="0040239E" w:rsidP="00911BB2">
            <w:pPr>
              <w:jc w:val="right"/>
            </w:pPr>
            <w:r w:rsidRPr="00D9225F">
              <w:t>0</w:t>
            </w:r>
          </w:p>
        </w:tc>
        <w:tc>
          <w:tcPr>
            <w:tcW w:w="1267" w:type="dxa"/>
            <w:noWrap/>
            <w:vAlign w:val="center"/>
          </w:tcPr>
          <w:p w14:paraId="574FCBA0" w14:textId="77777777" w:rsidR="0040239E" w:rsidRPr="00D9225F" w:rsidRDefault="0040239E" w:rsidP="00911BB2">
            <w:pPr>
              <w:jc w:val="right"/>
            </w:pPr>
            <w:r w:rsidRPr="00D9225F">
              <w:t>0</w:t>
            </w:r>
          </w:p>
        </w:tc>
      </w:tr>
      <w:tr w:rsidR="0040239E" w:rsidRPr="007B7470" w14:paraId="1EA9F972" w14:textId="77777777" w:rsidTr="0040239E">
        <w:trPr>
          <w:trHeight w:val="125"/>
          <w:jc w:val="center"/>
        </w:trPr>
        <w:tc>
          <w:tcPr>
            <w:tcW w:w="4661" w:type="dxa"/>
            <w:noWrap/>
            <w:vAlign w:val="center"/>
          </w:tcPr>
          <w:p w14:paraId="5D411EAE" w14:textId="77777777" w:rsidR="0040239E" w:rsidRPr="007B7470" w:rsidRDefault="0040239E" w:rsidP="00911BB2">
            <w:pPr>
              <w:rPr>
                <w:b/>
                <w:bCs/>
                <w:i/>
                <w:iCs/>
                <w:sz w:val="24"/>
                <w:szCs w:val="24"/>
              </w:rPr>
            </w:pPr>
            <w:r w:rsidRPr="007B7470">
              <w:rPr>
                <w:b/>
                <w:bCs/>
                <w:i/>
                <w:iCs/>
                <w:sz w:val="24"/>
                <w:szCs w:val="24"/>
              </w:rPr>
              <w:t>- vplyv na vyššie územné celky</w:t>
            </w:r>
          </w:p>
        </w:tc>
        <w:tc>
          <w:tcPr>
            <w:tcW w:w="1267" w:type="dxa"/>
            <w:noWrap/>
            <w:vAlign w:val="center"/>
          </w:tcPr>
          <w:p w14:paraId="2642F226" w14:textId="77777777" w:rsidR="0040239E" w:rsidRPr="00D9225F" w:rsidRDefault="0040239E" w:rsidP="00911BB2">
            <w:pPr>
              <w:jc w:val="right"/>
              <w:rPr>
                <w:b/>
                <w:bCs/>
                <w:iCs/>
              </w:rPr>
            </w:pPr>
            <w:r w:rsidRPr="00D9225F">
              <w:rPr>
                <w:b/>
                <w:bCs/>
                <w:iCs/>
              </w:rPr>
              <w:t>0</w:t>
            </w:r>
          </w:p>
        </w:tc>
        <w:tc>
          <w:tcPr>
            <w:tcW w:w="1267" w:type="dxa"/>
            <w:noWrap/>
            <w:vAlign w:val="center"/>
          </w:tcPr>
          <w:p w14:paraId="715055B9" w14:textId="77777777" w:rsidR="0040239E" w:rsidRPr="00D9225F" w:rsidRDefault="0040239E" w:rsidP="00911BB2">
            <w:pPr>
              <w:jc w:val="right"/>
              <w:rPr>
                <w:b/>
                <w:bCs/>
                <w:iCs/>
              </w:rPr>
            </w:pPr>
            <w:r w:rsidRPr="00D9225F">
              <w:rPr>
                <w:b/>
                <w:bCs/>
                <w:iCs/>
              </w:rPr>
              <w:t>0</w:t>
            </w:r>
          </w:p>
        </w:tc>
        <w:tc>
          <w:tcPr>
            <w:tcW w:w="1267" w:type="dxa"/>
            <w:noWrap/>
            <w:vAlign w:val="center"/>
          </w:tcPr>
          <w:p w14:paraId="31F583B5" w14:textId="77777777" w:rsidR="0040239E" w:rsidRPr="00D9225F" w:rsidRDefault="0040239E" w:rsidP="00911BB2">
            <w:pPr>
              <w:jc w:val="right"/>
              <w:rPr>
                <w:b/>
                <w:bCs/>
                <w:iCs/>
              </w:rPr>
            </w:pPr>
            <w:r w:rsidRPr="00D9225F">
              <w:rPr>
                <w:b/>
                <w:bCs/>
                <w:iCs/>
              </w:rPr>
              <w:t>0</w:t>
            </w:r>
          </w:p>
        </w:tc>
        <w:tc>
          <w:tcPr>
            <w:tcW w:w="1267" w:type="dxa"/>
            <w:noWrap/>
            <w:vAlign w:val="center"/>
          </w:tcPr>
          <w:p w14:paraId="32CA8701" w14:textId="77777777" w:rsidR="0040239E" w:rsidRPr="00D9225F" w:rsidRDefault="0040239E" w:rsidP="00911BB2">
            <w:pPr>
              <w:jc w:val="right"/>
              <w:rPr>
                <w:b/>
                <w:bCs/>
                <w:iCs/>
              </w:rPr>
            </w:pPr>
            <w:r w:rsidRPr="00D9225F">
              <w:rPr>
                <w:b/>
                <w:bCs/>
                <w:iCs/>
              </w:rPr>
              <w:t>0</w:t>
            </w:r>
          </w:p>
        </w:tc>
      </w:tr>
      <w:tr w:rsidR="0040239E" w:rsidRPr="007B7470" w14:paraId="47D50DE5" w14:textId="77777777" w:rsidTr="0040239E">
        <w:trPr>
          <w:trHeight w:val="125"/>
          <w:jc w:val="center"/>
        </w:trPr>
        <w:tc>
          <w:tcPr>
            <w:tcW w:w="4661" w:type="dxa"/>
            <w:noWrap/>
            <w:vAlign w:val="center"/>
          </w:tcPr>
          <w:p w14:paraId="79D35A36" w14:textId="77777777" w:rsidR="0040239E" w:rsidRPr="007B7470" w:rsidRDefault="0040239E" w:rsidP="00911BB2">
            <w:pPr>
              <w:ind w:left="203"/>
              <w:rPr>
                <w:bCs/>
                <w:i/>
                <w:iCs/>
                <w:sz w:val="24"/>
                <w:szCs w:val="24"/>
              </w:rPr>
            </w:pPr>
            <w:r w:rsidRPr="007B7470">
              <w:rPr>
                <w:bCs/>
                <w:i/>
                <w:iCs/>
                <w:sz w:val="24"/>
                <w:szCs w:val="24"/>
              </w:rPr>
              <w:t xml:space="preserve">z toho vplyv nových úloh v zmysle ods. 2 Čl. 6 ústavného zákona č. 493/2011 Z. z. </w:t>
            </w:r>
          </w:p>
          <w:p w14:paraId="3C38B49E" w14:textId="77777777" w:rsidR="0040239E" w:rsidRPr="007B7470" w:rsidRDefault="0040239E" w:rsidP="00911BB2">
            <w:pPr>
              <w:ind w:left="203"/>
              <w:rPr>
                <w:b/>
                <w:bCs/>
                <w:i/>
                <w:iCs/>
                <w:sz w:val="24"/>
                <w:szCs w:val="24"/>
              </w:rPr>
            </w:pPr>
            <w:r w:rsidRPr="007B7470">
              <w:rPr>
                <w:bCs/>
                <w:i/>
                <w:iCs/>
                <w:sz w:val="24"/>
                <w:szCs w:val="24"/>
              </w:rPr>
              <w:t>o rozpočtovej zodpovednosti</w:t>
            </w:r>
          </w:p>
        </w:tc>
        <w:tc>
          <w:tcPr>
            <w:tcW w:w="1267" w:type="dxa"/>
            <w:noWrap/>
            <w:vAlign w:val="center"/>
          </w:tcPr>
          <w:p w14:paraId="6675D38F" w14:textId="77777777" w:rsidR="0040239E" w:rsidRPr="00D9225F" w:rsidRDefault="0040239E" w:rsidP="00911BB2">
            <w:pPr>
              <w:jc w:val="right"/>
            </w:pPr>
            <w:r w:rsidRPr="00D9225F">
              <w:t>0</w:t>
            </w:r>
          </w:p>
        </w:tc>
        <w:tc>
          <w:tcPr>
            <w:tcW w:w="1267" w:type="dxa"/>
            <w:noWrap/>
            <w:vAlign w:val="center"/>
          </w:tcPr>
          <w:p w14:paraId="5141FDB3" w14:textId="77777777" w:rsidR="0040239E" w:rsidRPr="00D9225F" w:rsidRDefault="0040239E" w:rsidP="00911BB2">
            <w:pPr>
              <w:jc w:val="right"/>
            </w:pPr>
            <w:r w:rsidRPr="00D9225F">
              <w:t>0</w:t>
            </w:r>
          </w:p>
        </w:tc>
        <w:tc>
          <w:tcPr>
            <w:tcW w:w="1267" w:type="dxa"/>
            <w:noWrap/>
            <w:vAlign w:val="center"/>
          </w:tcPr>
          <w:p w14:paraId="6BAE9351" w14:textId="77777777" w:rsidR="0040239E" w:rsidRPr="00D9225F" w:rsidRDefault="0040239E" w:rsidP="00911BB2">
            <w:pPr>
              <w:jc w:val="right"/>
            </w:pPr>
            <w:r w:rsidRPr="00D9225F">
              <w:t>0</w:t>
            </w:r>
          </w:p>
        </w:tc>
        <w:tc>
          <w:tcPr>
            <w:tcW w:w="1267" w:type="dxa"/>
            <w:noWrap/>
            <w:vAlign w:val="center"/>
          </w:tcPr>
          <w:p w14:paraId="23567BB8" w14:textId="77777777" w:rsidR="0040239E" w:rsidRPr="00D9225F" w:rsidRDefault="0040239E" w:rsidP="00911BB2">
            <w:pPr>
              <w:jc w:val="right"/>
            </w:pPr>
            <w:r w:rsidRPr="00D9225F">
              <w:t>0</w:t>
            </w:r>
          </w:p>
        </w:tc>
      </w:tr>
      <w:tr w:rsidR="0040239E" w:rsidRPr="007B7470" w14:paraId="3521D011" w14:textId="77777777" w:rsidTr="0040239E">
        <w:trPr>
          <w:trHeight w:val="70"/>
          <w:jc w:val="center"/>
        </w:trPr>
        <w:tc>
          <w:tcPr>
            <w:tcW w:w="4661" w:type="dxa"/>
            <w:noWrap/>
            <w:vAlign w:val="center"/>
          </w:tcPr>
          <w:p w14:paraId="5382F20B" w14:textId="77777777" w:rsidR="0040239E" w:rsidRPr="007B7470" w:rsidRDefault="0040239E" w:rsidP="00911BB2">
            <w:pPr>
              <w:rPr>
                <w:b/>
                <w:bCs/>
                <w:sz w:val="24"/>
                <w:szCs w:val="24"/>
              </w:rPr>
            </w:pPr>
            <w:r w:rsidRPr="007B7470">
              <w:rPr>
                <w:b/>
                <w:bCs/>
                <w:i/>
                <w:iCs/>
                <w:sz w:val="24"/>
                <w:szCs w:val="24"/>
              </w:rPr>
              <w:t>- vplyv na ostatné subjekty verejnej správy</w:t>
            </w:r>
          </w:p>
        </w:tc>
        <w:tc>
          <w:tcPr>
            <w:tcW w:w="1267" w:type="dxa"/>
            <w:noWrap/>
            <w:vAlign w:val="center"/>
          </w:tcPr>
          <w:p w14:paraId="618C6064" w14:textId="77777777" w:rsidR="0040239E" w:rsidRPr="00D9225F" w:rsidRDefault="0040239E" w:rsidP="00911BB2">
            <w:pPr>
              <w:jc w:val="right"/>
              <w:rPr>
                <w:b/>
                <w:bCs/>
                <w:iCs/>
              </w:rPr>
            </w:pPr>
            <w:r w:rsidRPr="00D9225F">
              <w:rPr>
                <w:b/>
                <w:bCs/>
                <w:iCs/>
              </w:rPr>
              <w:t>0</w:t>
            </w:r>
          </w:p>
        </w:tc>
        <w:tc>
          <w:tcPr>
            <w:tcW w:w="1267" w:type="dxa"/>
            <w:noWrap/>
            <w:vAlign w:val="center"/>
          </w:tcPr>
          <w:p w14:paraId="615AD8B5" w14:textId="77777777" w:rsidR="0040239E" w:rsidRPr="00D9225F" w:rsidRDefault="0040239E" w:rsidP="00911BB2">
            <w:pPr>
              <w:jc w:val="right"/>
              <w:rPr>
                <w:b/>
                <w:bCs/>
                <w:iCs/>
              </w:rPr>
            </w:pPr>
            <w:r w:rsidRPr="00D9225F">
              <w:rPr>
                <w:b/>
                <w:bCs/>
                <w:iCs/>
              </w:rPr>
              <w:t>0</w:t>
            </w:r>
          </w:p>
        </w:tc>
        <w:tc>
          <w:tcPr>
            <w:tcW w:w="1267" w:type="dxa"/>
            <w:noWrap/>
            <w:vAlign w:val="center"/>
          </w:tcPr>
          <w:p w14:paraId="753885AC" w14:textId="77777777" w:rsidR="0040239E" w:rsidRPr="00D9225F" w:rsidRDefault="0040239E" w:rsidP="00911BB2">
            <w:pPr>
              <w:jc w:val="right"/>
              <w:rPr>
                <w:b/>
                <w:bCs/>
                <w:iCs/>
              </w:rPr>
            </w:pPr>
            <w:r w:rsidRPr="00D9225F">
              <w:rPr>
                <w:b/>
                <w:bCs/>
                <w:iCs/>
              </w:rPr>
              <w:t>0</w:t>
            </w:r>
          </w:p>
        </w:tc>
        <w:tc>
          <w:tcPr>
            <w:tcW w:w="1267" w:type="dxa"/>
            <w:noWrap/>
            <w:vAlign w:val="center"/>
          </w:tcPr>
          <w:p w14:paraId="146D033C" w14:textId="77777777" w:rsidR="0040239E" w:rsidRPr="00D9225F" w:rsidRDefault="0040239E" w:rsidP="00911BB2">
            <w:pPr>
              <w:jc w:val="right"/>
              <w:rPr>
                <w:b/>
                <w:bCs/>
                <w:iCs/>
              </w:rPr>
            </w:pPr>
            <w:r w:rsidRPr="00D9225F">
              <w:rPr>
                <w:b/>
                <w:bCs/>
                <w:iCs/>
              </w:rPr>
              <w:t>0</w:t>
            </w:r>
          </w:p>
        </w:tc>
      </w:tr>
      <w:tr w:rsidR="0040239E" w:rsidRPr="007B7470" w14:paraId="26F0D75A" w14:textId="77777777" w:rsidTr="0040239E">
        <w:trPr>
          <w:trHeight w:val="70"/>
          <w:jc w:val="center"/>
        </w:trPr>
        <w:tc>
          <w:tcPr>
            <w:tcW w:w="4661" w:type="dxa"/>
            <w:shd w:val="clear" w:color="auto" w:fill="BFBFBF" w:themeFill="background1" w:themeFillShade="BF"/>
            <w:noWrap/>
            <w:vAlign w:val="center"/>
          </w:tcPr>
          <w:p w14:paraId="6D37E9A6" w14:textId="77777777" w:rsidR="0040239E" w:rsidRPr="007B7470" w:rsidRDefault="0040239E" w:rsidP="00911BB2">
            <w:pPr>
              <w:rPr>
                <w:b/>
                <w:bCs/>
                <w:sz w:val="24"/>
                <w:szCs w:val="24"/>
              </w:rPr>
            </w:pPr>
            <w:r w:rsidRPr="007B7470">
              <w:rPr>
                <w:b/>
                <w:bCs/>
                <w:sz w:val="24"/>
                <w:szCs w:val="24"/>
              </w:rPr>
              <w:t xml:space="preserve">Vplyv na počet zamestnancov </w:t>
            </w:r>
          </w:p>
        </w:tc>
        <w:tc>
          <w:tcPr>
            <w:tcW w:w="1267" w:type="dxa"/>
            <w:shd w:val="clear" w:color="auto" w:fill="BFBFBF" w:themeFill="background1" w:themeFillShade="BF"/>
            <w:noWrap/>
            <w:vAlign w:val="center"/>
          </w:tcPr>
          <w:p w14:paraId="150B7E77" w14:textId="77777777" w:rsidR="0040239E" w:rsidRPr="00D9225F" w:rsidRDefault="0040239E" w:rsidP="00911BB2">
            <w:pPr>
              <w:jc w:val="right"/>
              <w:rPr>
                <w:b/>
                <w:bCs/>
              </w:rPr>
            </w:pPr>
            <w:r w:rsidRPr="00D9225F">
              <w:rPr>
                <w:b/>
                <w:bCs/>
              </w:rPr>
              <w:t>0</w:t>
            </w:r>
          </w:p>
        </w:tc>
        <w:tc>
          <w:tcPr>
            <w:tcW w:w="1267" w:type="dxa"/>
            <w:shd w:val="clear" w:color="auto" w:fill="BFBFBF" w:themeFill="background1" w:themeFillShade="BF"/>
            <w:noWrap/>
            <w:vAlign w:val="center"/>
          </w:tcPr>
          <w:p w14:paraId="74FF6A21" w14:textId="77777777" w:rsidR="0040239E" w:rsidRPr="00D9225F" w:rsidRDefault="0040239E" w:rsidP="00911BB2">
            <w:pPr>
              <w:jc w:val="right"/>
              <w:rPr>
                <w:b/>
                <w:bCs/>
              </w:rPr>
            </w:pPr>
            <w:r w:rsidRPr="00D9225F">
              <w:rPr>
                <w:b/>
                <w:bCs/>
              </w:rPr>
              <w:t>0</w:t>
            </w:r>
          </w:p>
        </w:tc>
        <w:tc>
          <w:tcPr>
            <w:tcW w:w="1267" w:type="dxa"/>
            <w:shd w:val="clear" w:color="auto" w:fill="BFBFBF" w:themeFill="background1" w:themeFillShade="BF"/>
            <w:noWrap/>
            <w:vAlign w:val="center"/>
          </w:tcPr>
          <w:p w14:paraId="05975819" w14:textId="77777777" w:rsidR="0040239E" w:rsidRPr="00D9225F" w:rsidRDefault="0040239E" w:rsidP="00911BB2">
            <w:pPr>
              <w:jc w:val="right"/>
              <w:rPr>
                <w:b/>
                <w:bCs/>
              </w:rPr>
            </w:pPr>
            <w:r w:rsidRPr="00D9225F">
              <w:rPr>
                <w:b/>
                <w:bCs/>
              </w:rPr>
              <w:t>0</w:t>
            </w:r>
          </w:p>
        </w:tc>
        <w:tc>
          <w:tcPr>
            <w:tcW w:w="1267" w:type="dxa"/>
            <w:shd w:val="clear" w:color="auto" w:fill="BFBFBF" w:themeFill="background1" w:themeFillShade="BF"/>
            <w:noWrap/>
            <w:vAlign w:val="center"/>
          </w:tcPr>
          <w:p w14:paraId="1A1B5DF9" w14:textId="77777777" w:rsidR="0040239E" w:rsidRPr="00D9225F" w:rsidRDefault="0040239E" w:rsidP="00911BB2">
            <w:pPr>
              <w:jc w:val="right"/>
              <w:rPr>
                <w:b/>
                <w:bCs/>
              </w:rPr>
            </w:pPr>
            <w:r w:rsidRPr="00D9225F">
              <w:rPr>
                <w:b/>
                <w:bCs/>
              </w:rPr>
              <w:t>0</w:t>
            </w:r>
          </w:p>
        </w:tc>
      </w:tr>
      <w:tr w:rsidR="0040239E" w:rsidRPr="007B7470" w14:paraId="7F810F4E" w14:textId="77777777" w:rsidTr="0040239E">
        <w:trPr>
          <w:trHeight w:val="70"/>
          <w:jc w:val="center"/>
        </w:trPr>
        <w:tc>
          <w:tcPr>
            <w:tcW w:w="4661" w:type="dxa"/>
            <w:noWrap/>
            <w:vAlign w:val="center"/>
          </w:tcPr>
          <w:p w14:paraId="00824C86" w14:textId="77777777" w:rsidR="0040239E" w:rsidRPr="007B7470" w:rsidRDefault="0040239E" w:rsidP="00911BB2">
            <w:pPr>
              <w:rPr>
                <w:b/>
                <w:bCs/>
                <w:i/>
                <w:iCs/>
                <w:sz w:val="24"/>
                <w:szCs w:val="24"/>
              </w:rPr>
            </w:pPr>
            <w:r w:rsidRPr="007B7470">
              <w:rPr>
                <w:b/>
                <w:bCs/>
                <w:i/>
                <w:iCs/>
                <w:sz w:val="24"/>
                <w:szCs w:val="24"/>
              </w:rPr>
              <w:t>- vplyv na ŠR</w:t>
            </w:r>
          </w:p>
        </w:tc>
        <w:tc>
          <w:tcPr>
            <w:tcW w:w="1267" w:type="dxa"/>
            <w:noWrap/>
            <w:vAlign w:val="center"/>
          </w:tcPr>
          <w:p w14:paraId="21BE6655" w14:textId="77777777" w:rsidR="0040239E" w:rsidRPr="00D9225F" w:rsidRDefault="0040239E" w:rsidP="00911BB2">
            <w:pPr>
              <w:jc w:val="right"/>
              <w:rPr>
                <w:b/>
                <w:bCs/>
                <w:iCs/>
              </w:rPr>
            </w:pPr>
            <w:r w:rsidRPr="00D9225F">
              <w:rPr>
                <w:b/>
                <w:bCs/>
                <w:iCs/>
              </w:rPr>
              <w:t>0</w:t>
            </w:r>
          </w:p>
        </w:tc>
        <w:tc>
          <w:tcPr>
            <w:tcW w:w="1267" w:type="dxa"/>
            <w:noWrap/>
            <w:vAlign w:val="center"/>
          </w:tcPr>
          <w:p w14:paraId="20688075" w14:textId="77777777" w:rsidR="0040239E" w:rsidRPr="00D9225F" w:rsidRDefault="0040239E" w:rsidP="00911BB2">
            <w:pPr>
              <w:jc w:val="right"/>
              <w:rPr>
                <w:b/>
                <w:bCs/>
                <w:iCs/>
              </w:rPr>
            </w:pPr>
            <w:r w:rsidRPr="00D9225F">
              <w:rPr>
                <w:b/>
                <w:bCs/>
                <w:iCs/>
              </w:rPr>
              <w:t>0</w:t>
            </w:r>
          </w:p>
        </w:tc>
        <w:tc>
          <w:tcPr>
            <w:tcW w:w="1267" w:type="dxa"/>
            <w:noWrap/>
            <w:vAlign w:val="center"/>
          </w:tcPr>
          <w:p w14:paraId="6414C29C" w14:textId="77777777" w:rsidR="0040239E" w:rsidRPr="00D9225F" w:rsidRDefault="0040239E" w:rsidP="00911BB2">
            <w:pPr>
              <w:jc w:val="right"/>
              <w:rPr>
                <w:b/>
                <w:bCs/>
                <w:iCs/>
              </w:rPr>
            </w:pPr>
            <w:r w:rsidRPr="00D9225F">
              <w:rPr>
                <w:b/>
                <w:bCs/>
                <w:iCs/>
              </w:rPr>
              <w:t>0</w:t>
            </w:r>
          </w:p>
        </w:tc>
        <w:tc>
          <w:tcPr>
            <w:tcW w:w="1267" w:type="dxa"/>
            <w:noWrap/>
            <w:vAlign w:val="center"/>
          </w:tcPr>
          <w:p w14:paraId="0B7AC26A" w14:textId="77777777" w:rsidR="0040239E" w:rsidRPr="00D9225F" w:rsidRDefault="0040239E" w:rsidP="00911BB2">
            <w:pPr>
              <w:jc w:val="right"/>
              <w:rPr>
                <w:b/>
                <w:bCs/>
                <w:iCs/>
              </w:rPr>
            </w:pPr>
            <w:r w:rsidRPr="00D9225F">
              <w:rPr>
                <w:b/>
                <w:bCs/>
                <w:iCs/>
              </w:rPr>
              <w:t>0</w:t>
            </w:r>
          </w:p>
        </w:tc>
      </w:tr>
      <w:tr w:rsidR="0040239E" w:rsidRPr="007B7470" w14:paraId="4D3C6DFC" w14:textId="77777777" w:rsidTr="0040239E">
        <w:trPr>
          <w:trHeight w:val="70"/>
          <w:jc w:val="center"/>
        </w:trPr>
        <w:tc>
          <w:tcPr>
            <w:tcW w:w="4661" w:type="dxa"/>
            <w:noWrap/>
            <w:vAlign w:val="center"/>
          </w:tcPr>
          <w:p w14:paraId="15352963" w14:textId="77777777" w:rsidR="0040239E" w:rsidRPr="007B7470" w:rsidRDefault="0040239E" w:rsidP="00911BB2">
            <w:pPr>
              <w:rPr>
                <w:b/>
                <w:bCs/>
                <w:i/>
                <w:iCs/>
                <w:sz w:val="24"/>
                <w:szCs w:val="24"/>
              </w:rPr>
            </w:pPr>
            <w:r w:rsidRPr="007B7470">
              <w:rPr>
                <w:b/>
                <w:bCs/>
                <w:i/>
                <w:iCs/>
                <w:sz w:val="24"/>
                <w:szCs w:val="24"/>
              </w:rPr>
              <w:t>- vplyv na obce</w:t>
            </w:r>
          </w:p>
        </w:tc>
        <w:tc>
          <w:tcPr>
            <w:tcW w:w="1267" w:type="dxa"/>
            <w:noWrap/>
            <w:vAlign w:val="center"/>
          </w:tcPr>
          <w:p w14:paraId="33816CCB" w14:textId="77777777" w:rsidR="0040239E" w:rsidRPr="00D9225F" w:rsidRDefault="0040239E" w:rsidP="00911BB2">
            <w:pPr>
              <w:jc w:val="right"/>
              <w:rPr>
                <w:b/>
                <w:bCs/>
                <w:iCs/>
              </w:rPr>
            </w:pPr>
            <w:r w:rsidRPr="00D9225F">
              <w:rPr>
                <w:b/>
                <w:bCs/>
                <w:iCs/>
              </w:rPr>
              <w:t>0</w:t>
            </w:r>
          </w:p>
        </w:tc>
        <w:tc>
          <w:tcPr>
            <w:tcW w:w="1267" w:type="dxa"/>
            <w:noWrap/>
            <w:vAlign w:val="center"/>
          </w:tcPr>
          <w:p w14:paraId="07377992" w14:textId="77777777" w:rsidR="0040239E" w:rsidRPr="00D9225F" w:rsidRDefault="0040239E" w:rsidP="00911BB2">
            <w:pPr>
              <w:jc w:val="right"/>
              <w:rPr>
                <w:b/>
                <w:bCs/>
                <w:iCs/>
              </w:rPr>
            </w:pPr>
            <w:r w:rsidRPr="00D9225F">
              <w:rPr>
                <w:b/>
                <w:bCs/>
                <w:iCs/>
              </w:rPr>
              <w:t>0</w:t>
            </w:r>
          </w:p>
        </w:tc>
        <w:tc>
          <w:tcPr>
            <w:tcW w:w="1267" w:type="dxa"/>
            <w:noWrap/>
            <w:vAlign w:val="center"/>
          </w:tcPr>
          <w:p w14:paraId="763F9700" w14:textId="77777777" w:rsidR="0040239E" w:rsidRPr="00D9225F" w:rsidRDefault="0040239E" w:rsidP="00911BB2">
            <w:pPr>
              <w:jc w:val="right"/>
              <w:rPr>
                <w:b/>
                <w:bCs/>
                <w:iCs/>
              </w:rPr>
            </w:pPr>
            <w:r w:rsidRPr="00D9225F">
              <w:rPr>
                <w:b/>
                <w:bCs/>
                <w:iCs/>
              </w:rPr>
              <w:t>0</w:t>
            </w:r>
          </w:p>
        </w:tc>
        <w:tc>
          <w:tcPr>
            <w:tcW w:w="1267" w:type="dxa"/>
            <w:noWrap/>
            <w:vAlign w:val="center"/>
          </w:tcPr>
          <w:p w14:paraId="0090C75A" w14:textId="77777777" w:rsidR="0040239E" w:rsidRPr="00D9225F" w:rsidRDefault="0040239E" w:rsidP="00911BB2">
            <w:pPr>
              <w:jc w:val="right"/>
              <w:rPr>
                <w:b/>
                <w:bCs/>
                <w:iCs/>
              </w:rPr>
            </w:pPr>
            <w:r w:rsidRPr="00D9225F">
              <w:rPr>
                <w:b/>
                <w:bCs/>
                <w:iCs/>
              </w:rPr>
              <w:t>0</w:t>
            </w:r>
          </w:p>
        </w:tc>
      </w:tr>
      <w:tr w:rsidR="0040239E" w:rsidRPr="007B7470" w14:paraId="40876BE4" w14:textId="77777777" w:rsidTr="0040239E">
        <w:trPr>
          <w:trHeight w:val="70"/>
          <w:jc w:val="center"/>
        </w:trPr>
        <w:tc>
          <w:tcPr>
            <w:tcW w:w="4661" w:type="dxa"/>
            <w:noWrap/>
            <w:vAlign w:val="center"/>
          </w:tcPr>
          <w:p w14:paraId="22542F6C" w14:textId="77777777" w:rsidR="0040239E" w:rsidRPr="007B7470" w:rsidRDefault="0040239E" w:rsidP="00911BB2">
            <w:pPr>
              <w:rPr>
                <w:b/>
                <w:bCs/>
                <w:i/>
                <w:iCs/>
                <w:sz w:val="24"/>
                <w:szCs w:val="24"/>
              </w:rPr>
            </w:pPr>
            <w:r w:rsidRPr="007B7470">
              <w:rPr>
                <w:b/>
                <w:bCs/>
                <w:i/>
                <w:iCs/>
                <w:sz w:val="24"/>
                <w:szCs w:val="24"/>
              </w:rPr>
              <w:t>- vplyv na vyššie územné celky</w:t>
            </w:r>
          </w:p>
        </w:tc>
        <w:tc>
          <w:tcPr>
            <w:tcW w:w="1267" w:type="dxa"/>
            <w:noWrap/>
            <w:vAlign w:val="center"/>
          </w:tcPr>
          <w:p w14:paraId="12ABFD22" w14:textId="77777777" w:rsidR="0040239E" w:rsidRPr="00D9225F" w:rsidRDefault="0040239E" w:rsidP="00911BB2">
            <w:pPr>
              <w:jc w:val="right"/>
              <w:rPr>
                <w:b/>
                <w:bCs/>
                <w:iCs/>
              </w:rPr>
            </w:pPr>
            <w:r w:rsidRPr="00D9225F">
              <w:rPr>
                <w:b/>
                <w:bCs/>
                <w:iCs/>
              </w:rPr>
              <w:t>0</w:t>
            </w:r>
          </w:p>
        </w:tc>
        <w:tc>
          <w:tcPr>
            <w:tcW w:w="1267" w:type="dxa"/>
            <w:noWrap/>
            <w:vAlign w:val="center"/>
          </w:tcPr>
          <w:p w14:paraId="6B1AABFC" w14:textId="77777777" w:rsidR="0040239E" w:rsidRPr="00D9225F" w:rsidRDefault="0040239E" w:rsidP="00911BB2">
            <w:pPr>
              <w:jc w:val="right"/>
              <w:rPr>
                <w:b/>
                <w:bCs/>
                <w:iCs/>
              </w:rPr>
            </w:pPr>
            <w:r w:rsidRPr="00D9225F">
              <w:rPr>
                <w:b/>
                <w:bCs/>
                <w:iCs/>
              </w:rPr>
              <w:t>0</w:t>
            </w:r>
          </w:p>
        </w:tc>
        <w:tc>
          <w:tcPr>
            <w:tcW w:w="1267" w:type="dxa"/>
            <w:noWrap/>
            <w:vAlign w:val="center"/>
          </w:tcPr>
          <w:p w14:paraId="7944C9F2" w14:textId="77777777" w:rsidR="0040239E" w:rsidRPr="00D9225F" w:rsidRDefault="0040239E" w:rsidP="00911BB2">
            <w:pPr>
              <w:jc w:val="right"/>
              <w:rPr>
                <w:b/>
                <w:bCs/>
                <w:iCs/>
              </w:rPr>
            </w:pPr>
            <w:r w:rsidRPr="00D9225F">
              <w:rPr>
                <w:b/>
                <w:bCs/>
                <w:iCs/>
              </w:rPr>
              <w:t>0</w:t>
            </w:r>
          </w:p>
        </w:tc>
        <w:tc>
          <w:tcPr>
            <w:tcW w:w="1267" w:type="dxa"/>
            <w:noWrap/>
            <w:vAlign w:val="center"/>
          </w:tcPr>
          <w:p w14:paraId="5F043C3A" w14:textId="77777777" w:rsidR="0040239E" w:rsidRPr="00D9225F" w:rsidRDefault="0040239E" w:rsidP="00911BB2">
            <w:pPr>
              <w:jc w:val="right"/>
              <w:rPr>
                <w:b/>
                <w:bCs/>
                <w:iCs/>
              </w:rPr>
            </w:pPr>
            <w:r w:rsidRPr="00D9225F">
              <w:rPr>
                <w:b/>
                <w:bCs/>
                <w:iCs/>
              </w:rPr>
              <w:t>0</w:t>
            </w:r>
          </w:p>
        </w:tc>
      </w:tr>
      <w:tr w:rsidR="0040239E" w:rsidRPr="007B7470" w14:paraId="6169E01E" w14:textId="77777777" w:rsidTr="0040239E">
        <w:trPr>
          <w:trHeight w:val="70"/>
          <w:jc w:val="center"/>
        </w:trPr>
        <w:tc>
          <w:tcPr>
            <w:tcW w:w="4661" w:type="dxa"/>
            <w:noWrap/>
            <w:vAlign w:val="center"/>
          </w:tcPr>
          <w:p w14:paraId="2642D61B" w14:textId="77777777" w:rsidR="0040239E" w:rsidRPr="007B7470" w:rsidRDefault="0040239E" w:rsidP="00911BB2">
            <w:pPr>
              <w:rPr>
                <w:b/>
                <w:bCs/>
                <w:i/>
                <w:iCs/>
                <w:sz w:val="24"/>
                <w:szCs w:val="24"/>
              </w:rPr>
            </w:pPr>
            <w:r w:rsidRPr="007B7470">
              <w:rPr>
                <w:b/>
                <w:bCs/>
                <w:i/>
                <w:iCs/>
                <w:sz w:val="24"/>
                <w:szCs w:val="24"/>
              </w:rPr>
              <w:t>- vplyv na ostatné subjekty verejnej správy</w:t>
            </w:r>
          </w:p>
        </w:tc>
        <w:tc>
          <w:tcPr>
            <w:tcW w:w="1267" w:type="dxa"/>
            <w:noWrap/>
            <w:vAlign w:val="center"/>
          </w:tcPr>
          <w:p w14:paraId="6D1CA033" w14:textId="77777777" w:rsidR="0040239E" w:rsidRPr="00D9225F" w:rsidRDefault="0040239E" w:rsidP="00911BB2">
            <w:pPr>
              <w:jc w:val="right"/>
              <w:rPr>
                <w:b/>
                <w:bCs/>
                <w:iCs/>
              </w:rPr>
            </w:pPr>
            <w:r w:rsidRPr="00D9225F">
              <w:rPr>
                <w:b/>
                <w:bCs/>
                <w:iCs/>
              </w:rPr>
              <w:t>0</w:t>
            </w:r>
          </w:p>
        </w:tc>
        <w:tc>
          <w:tcPr>
            <w:tcW w:w="1267" w:type="dxa"/>
            <w:noWrap/>
            <w:vAlign w:val="center"/>
          </w:tcPr>
          <w:p w14:paraId="7E3AAEEC" w14:textId="77777777" w:rsidR="0040239E" w:rsidRPr="00D9225F" w:rsidRDefault="0040239E" w:rsidP="00911BB2">
            <w:pPr>
              <w:jc w:val="right"/>
              <w:rPr>
                <w:b/>
                <w:bCs/>
                <w:iCs/>
              </w:rPr>
            </w:pPr>
            <w:r w:rsidRPr="00D9225F">
              <w:rPr>
                <w:b/>
                <w:bCs/>
                <w:iCs/>
              </w:rPr>
              <w:t>0</w:t>
            </w:r>
          </w:p>
        </w:tc>
        <w:tc>
          <w:tcPr>
            <w:tcW w:w="1267" w:type="dxa"/>
            <w:noWrap/>
            <w:vAlign w:val="center"/>
          </w:tcPr>
          <w:p w14:paraId="2C55913E" w14:textId="77777777" w:rsidR="0040239E" w:rsidRPr="00D9225F" w:rsidRDefault="0040239E" w:rsidP="00911BB2">
            <w:pPr>
              <w:jc w:val="right"/>
              <w:rPr>
                <w:b/>
                <w:bCs/>
                <w:iCs/>
              </w:rPr>
            </w:pPr>
            <w:r w:rsidRPr="00D9225F">
              <w:rPr>
                <w:b/>
                <w:bCs/>
                <w:iCs/>
              </w:rPr>
              <w:t>0</w:t>
            </w:r>
          </w:p>
        </w:tc>
        <w:tc>
          <w:tcPr>
            <w:tcW w:w="1267" w:type="dxa"/>
            <w:noWrap/>
            <w:vAlign w:val="center"/>
          </w:tcPr>
          <w:p w14:paraId="69B1B496" w14:textId="77777777" w:rsidR="0040239E" w:rsidRPr="00D9225F" w:rsidRDefault="0040239E" w:rsidP="00911BB2">
            <w:pPr>
              <w:jc w:val="right"/>
              <w:rPr>
                <w:b/>
                <w:bCs/>
                <w:iCs/>
              </w:rPr>
            </w:pPr>
            <w:r w:rsidRPr="00D9225F">
              <w:rPr>
                <w:b/>
                <w:bCs/>
                <w:iCs/>
              </w:rPr>
              <w:t>0</w:t>
            </w:r>
          </w:p>
        </w:tc>
      </w:tr>
      <w:tr w:rsidR="0040239E" w:rsidRPr="007B7470" w14:paraId="611EAA90" w14:textId="77777777" w:rsidTr="0040239E">
        <w:trPr>
          <w:trHeight w:val="70"/>
          <w:jc w:val="center"/>
        </w:trPr>
        <w:tc>
          <w:tcPr>
            <w:tcW w:w="4661" w:type="dxa"/>
            <w:shd w:val="clear" w:color="auto" w:fill="BFBFBF" w:themeFill="background1" w:themeFillShade="BF"/>
            <w:noWrap/>
            <w:vAlign w:val="center"/>
          </w:tcPr>
          <w:p w14:paraId="35C7C1E1" w14:textId="77777777" w:rsidR="0040239E" w:rsidRPr="007B7470" w:rsidRDefault="0040239E" w:rsidP="00911BB2">
            <w:pPr>
              <w:rPr>
                <w:b/>
                <w:sz w:val="24"/>
                <w:szCs w:val="24"/>
              </w:rPr>
            </w:pPr>
            <w:r w:rsidRPr="007B7470">
              <w:rPr>
                <w:b/>
                <w:sz w:val="24"/>
                <w:szCs w:val="24"/>
              </w:rPr>
              <w:t>Vplyv na mzdové výdavky</w:t>
            </w:r>
          </w:p>
        </w:tc>
        <w:tc>
          <w:tcPr>
            <w:tcW w:w="1267" w:type="dxa"/>
            <w:shd w:val="clear" w:color="auto" w:fill="BFBFBF" w:themeFill="background1" w:themeFillShade="BF"/>
            <w:noWrap/>
            <w:vAlign w:val="center"/>
          </w:tcPr>
          <w:p w14:paraId="4B65AC8E" w14:textId="77777777" w:rsidR="0040239E" w:rsidRPr="00D9225F" w:rsidRDefault="0040239E" w:rsidP="00911BB2">
            <w:pPr>
              <w:jc w:val="right"/>
              <w:rPr>
                <w:b/>
              </w:rPr>
            </w:pPr>
            <w:r w:rsidRPr="00D9225F">
              <w:rPr>
                <w:b/>
              </w:rPr>
              <w:t>0</w:t>
            </w:r>
          </w:p>
        </w:tc>
        <w:tc>
          <w:tcPr>
            <w:tcW w:w="1267" w:type="dxa"/>
            <w:shd w:val="clear" w:color="auto" w:fill="BFBFBF" w:themeFill="background1" w:themeFillShade="BF"/>
            <w:noWrap/>
            <w:vAlign w:val="center"/>
          </w:tcPr>
          <w:p w14:paraId="169998EF" w14:textId="77777777" w:rsidR="0040239E" w:rsidRPr="00D9225F" w:rsidRDefault="0040239E" w:rsidP="00911BB2">
            <w:pPr>
              <w:jc w:val="right"/>
              <w:rPr>
                <w:b/>
              </w:rPr>
            </w:pPr>
            <w:r w:rsidRPr="00D9225F">
              <w:rPr>
                <w:b/>
              </w:rPr>
              <w:t>0</w:t>
            </w:r>
          </w:p>
        </w:tc>
        <w:tc>
          <w:tcPr>
            <w:tcW w:w="1267" w:type="dxa"/>
            <w:shd w:val="clear" w:color="auto" w:fill="BFBFBF" w:themeFill="background1" w:themeFillShade="BF"/>
            <w:noWrap/>
            <w:vAlign w:val="center"/>
          </w:tcPr>
          <w:p w14:paraId="1D8CB808" w14:textId="77777777" w:rsidR="0040239E" w:rsidRPr="00D9225F" w:rsidRDefault="0040239E" w:rsidP="00911BB2">
            <w:pPr>
              <w:jc w:val="right"/>
              <w:rPr>
                <w:b/>
              </w:rPr>
            </w:pPr>
            <w:r w:rsidRPr="00D9225F">
              <w:rPr>
                <w:b/>
              </w:rPr>
              <w:t>0</w:t>
            </w:r>
          </w:p>
        </w:tc>
        <w:tc>
          <w:tcPr>
            <w:tcW w:w="1267" w:type="dxa"/>
            <w:shd w:val="clear" w:color="auto" w:fill="BFBFBF" w:themeFill="background1" w:themeFillShade="BF"/>
            <w:noWrap/>
            <w:vAlign w:val="center"/>
          </w:tcPr>
          <w:p w14:paraId="3A7CCF04" w14:textId="77777777" w:rsidR="0040239E" w:rsidRPr="00D9225F" w:rsidRDefault="0040239E" w:rsidP="00911BB2">
            <w:pPr>
              <w:jc w:val="right"/>
              <w:rPr>
                <w:b/>
              </w:rPr>
            </w:pPr>
            <w:r w:rsidRPr="00D9225F">
              <w:rPr>
                <w:b/>
              </w:rPr>
              <w:t>0</w:t>
            </w:r>
          </w:p>
        </w:tc>
      </w:tr>
      <w:tr w:rsidR="0040239E" w:rsidRPr="007B7470" w14:paraId="26225E86" w14:textId="77777777" w:rsidTr="0040239E">
        <w:trPr>
          <w:trHeight w:val="70"/>
          <w:jc w:val="center"/>
        </w:trPr>
        <w:tc>
          <w:tcPr>
            <w:tcW w:w="4661" w:type="dxa"/>
            <w:noWrap/>
            <w:vAlign w:val="center"/>
          </w:tcPr>
          <w:p w14:paraId="7082358B" w14:textId="77777777" w:rsidR="0040239E" w:rsidRPr="007B7470" w:rsidRDefault="0040239E" w:rsidP="00911BB2">
            <w:pPr>
              <w:rPr>
                <w:b/>
                <w:bCs/>
                <w:i/>
                <w:iCs/>
                <w:sz w:val="24"/>
                <w:szCs w:val="24"/>
              </w:rPr>
            </w:pPr>
            <w:r w:rsidRPr="007B7470">
              <w:rPr>
                <w:b/>
                <w:bCs/>
                <w:i/>
                <w:iCs/>
                <w:sz w:val="24"/>
                <w:szCs w:val="24"/>
              </w:rPr>
              <w:t>- vplyv na ŠR</w:t>
            </w:r>
          </w:p>
        </w:tc>
        <w:tc>
          <w:tcPr>
            <w:tcW w:w="1267" w:type="dxa"/>
            <w:noWrap/>
            <w:vAlign w:val="center"/>
          </w:tcPr>
          <w:p w14:paraId="4E4D1087" w14:textId="77777777" w:rsidR="0040239E" w:rsidRPr="00D9225F" w:rsidRDefault="0040239E" w:rsidP="00911BB2">
            <w:pPr>
              <w:jc w:val="right"/>
              <w:rPr>
                <w:b/>
                <w:bCs/>
                <w:iCs/>
              </w:rPr>
            </w:pPr>
            <w:r w:rsidRPr="00D9225F">
              <w:rPr>
                <w:b/>
                <w:bCs/>
                <w:iCs/>
              </w:rPr>
              <w:t>0</w:t>
            </w:r>
          </w:p>
        </w:tc>
        <w:tc>
          <w:tcPr>
            <w:tcW w:w="1267" w:type="dxa"/>
            <w:noWrap/>
            <w:vAlign w:val="center"/>
          </w:tcPr>
          <w:p w14:paraId="7D7FEEC5" w14:textId="77777777" w:rsidR="0040239E" w:rsidRPr="00D9225F" w:rsidRDefault="0040239E" w:rsidP="00911BB2">
            <w:pPr>
              <w:jc w:val="right"/>
              <w:rPr>
                <w:b/>
                <w:bCs/>
                <w:iCs/>
              </w:rPr>
            </w:pPr>
            <w:r w:rsidRPr="00D9225F">
              <w:rPr>
                <w:b/>
                <w:bCs/>
                <w:iCs/>
              </w:rPr>
              <w:t>0</w:t>
            </w:r>
          </w:p>
        </w:tc>
        <w:tc>
          <w:tcPr>
            <w:tcW w:w="1267" w:type="dxa"/>
            <w:noWrap/>
            <w:vAlign w:val="center"/>
          </w:tcPr>
          <w:p w14:paraId="2FF7F2B4" w14:textId="77777777" w:rsidR="0040239E" w:rsidRPr="00D9225F" w:rsidRDefault="0040239E" w:rsidP="00911BB2">
            <w:pPr>
              <w:jc w:val="right"/>
              <w:rPr>
                <w:b/>
                <w:bCs/>
                <w:iCs/>
              </w:rPr>
            </w:pPr>
            <w:r w:rsidRPr="00D9225F">
              <w:rPr>
                <w:b/>
                <w:bCs/>
                <w:iCs/>
              </w:rPr>
              <w:t>0</w:t>
            </w:r>
          </w:p>
        </w:tc>
        <w:tc>
          <w:tcPr>
            <w:tcW w:w="1267" w:type="dxa"/>
            <w:noWrap/>
            <w:vAlign w:val="center"/>
          </w:tcPr>
          <w:p w14:paraId="5626B609" w14:textId="77777777" w:rsidR="0040239E" w:rsidRPr="00D9225F" w:rsidRDefault="0040239E" w:rsidP="00911BB2">
            <w:pPr>
              <w:jc w:val="right"/>
              <w:rPr>
                <w:b/>
                <w:bCs/>
                <w:iCs/>
              </w:rPr>
            </w:pPr>
            <w:r w:rsidRPr="00D9225F">
              <w:rPr>
                <w:b/>
                <w:bCs/>
                <w:iCs/>
              </w:rPr>
              <w:t>0</w:t>
            </w:r>
          </w:p>
        </w:tc>
      </w:tr>
      <w:tr w:rsidR="0040239E" w:rsidRPr="007B7470" w14:paraId="4A220FA1" w14:textId="77777777" w:rsidTr="0040239E">
        <w:trPr>
          <w:trHeight w:val="70"/>
          <w:jc w:val="center"/>
        </w:trPr>
        <w:tc>
          <w:tcPr>
            <w:tcW w:w="4661" w:type="dxa"/>
            <w:noWrap/>
            <w:vAlign w:val="center"/>
          </w:tcPr>
          <w:p w14:paraId="0F90F9B3" w14:textId="77777777" w:rsidR="0040239E" w:rsidRPr="007B7470" w:rsidRDefault="0040239E" w:rsidP="00911BB2">
            <w:pPr>
              <w:rPr>
                <w:b/>
                <w:bCs/>
                <w:i/>
                <w:iCs/>
                <w:sz w:val="24"/>
                <w:szCs w:val="24"/>
              </w:rPr>
            </w:pPr>
            <w:r w:rsidRPr="007B7470">
              <w:rPr>
                <w:b/>
                <w:bCs/>
                <w:i/>
                <w:iCs/>
                <w:sz w:val="24"/>
                <w:szCs w:val="24"/>
              </w:rPr>
              <w:t>- vplyv na obce</w:t>
            </w:r>
          </w:p>
        </w:tc>
        <w:tc>
          <w:tcPr>
            <w:tcW w:w="1267" w:type="dxa"/>
            <w:noWrap/>
            <w:vAlign w:val="center"/>
          </w:tcPr>
          <w:p w14:paraId="47C7F249" w14:textId="77777777" w:rsidR="0040239E" w:rsidRPr="00D9225F" w:rsidRDefault="0040239E" w:rsidP="00911BB2">
            <w:pPr>
              <w:jc w:val="right"/>
              <w:rPr>
                <w:b/>
                <w:bCs/>
                <w:iCs/>
              </w:rPr>
            </w:pPr>
            <w:r w:rsidRPr="00D9225F">
              <w:rPr>
                <w:b/>
                <w:bCs/>
                <w:iCs/>
              </w:rPr>
              <w:t>0</w:t>
            </w:r>
          </w:p>
        </w:tc>
        <w:tc>
          <w:tcPr>
            <w:tcW w:w="1267" w:type="dxa"/>
            <w:noWrap/>
            <w:vAlign w:val="center"/>
          </w:tcPr>
          <w:p w14:paraId="5CA6C571" w14:textId="77777777" w:rsidR="0040239E" w:rsidRPr="00D9225F" w:rsidRDefault="0040239E" w:rsidP="00911BB2">
            <w:pPr>
              <w:jc w:val="right"/>
              <w:rPr>
                <w:b/>
                <w:bCs/>
                <w:iCs/>
              </w:rPr>
            </w:pPr>
            <w:r w:rsidRPr="00D9225F">
              <w:rPr>
                <w:b/>
                <w:bCs/>
                <w:iCs/>
              </w:rPr>
              <w:t>0</w:t>
            </w:r>
          </w:p>
        </w:tc>
        <w:tc>
          <w:tcPr>
            <w:tcW w:w="1267" w:type="dxa"/>
            <w:noWrap/>
            <w:vAlign w:val="center"/>
          </w:tcPr>
          <w:p w14:paraId="04F1619D" w14:textId="77777777" w:rsidR="0040239E" w:rsidRPr="00D9225F" w:rsidRDefault="0040239E" w:rsidP="00911BB2">
            <w:pPr>
              <w:jc w:val="right"/>
              <w:rPr>
                <w:b/>
                <w:bCs/>
                <w:iCs/>
              </w:rPr>
            </w:pPr>
            <w:r w:rsidRPr="00D9225F">
              <w:rPr>
                <w:b/>
                <w:bCs/>
                <w:iCs/>
              </w:rPr>
              <w:t>0</w:t>
            </w:r>
          </w:p>
        </w:tc>
        <w:tc>
          <w:tcPr>
            <w:tcW w:w="1267" w:type="dxa"/>
            <w:noWrap/>
            <w:vAlign w:val="center"/>
          </w:tcPr>
          <w:p w14:paraId="3B3A642E" w14:textId="77777777" w:rsidR="0040239E" w:rsidRPr="00D9225F" w:rsidRDefault="0040239E" w:rsidP="00911BB2">
            <w:pPr>
              <w:jc w:val="right"/>
              <w:rPr>
                <w:b/>
                <w:bCs/>
                <w:iCs/>
              </w:rPr>
            </w:pPr>
            <w:r w:rsidRPr="00D9225F">
              <w:rPr>
                <w:b/>
                <w:bCs/>
                <w:iCs/>
              </w:rPr>
              <w:t>0</w:t>
            </w:r>
          </w:p>
        </w:tc>
      </w:tr>
      <w:tr w:rsidR="0040239E" w:rsidRPr="007B7470" w14:paraId="45978BE2" w14:textId="77777777" w:rsidTr="0040239E">
        <w:trPr>
          <w:trHeight w:val="70"/>
          <w:jc w:val="center"/>
        </w:trPr>
        <w:tc>
          <w:tcPr>
            <w:tcW w:w="4661" w:type="dxa"/>
            <w:noWrap/>
            <w:vAlign w:val="center"/>
          </w:tcPr>
          <w:p w14:paraId="17BE61F1" w14:textId="77777777" w:rsidR="0040239E" w:rsidRPr="007B7470" w:rsidRDefault="0040239E" w:rsidP="00911BB2">
            <w:pPr>
              <w:rPr>
                <w:b/>
                <w:bCs/>
                <w:i/>
                <w:iCs/>
                <w:sz w:val="24"/>
                <w:szCs w:val="24"/>
              </w:rPr>
            </w:pPr>
            <w:r w:rsidRPr="007B7470">
              <w:rPr>
                <w:b/>
                <w:bCs/>
                <w:i/>
                <w:iCs/>
                <w:sz w:val="24"/>
                <w:szCs w:val="24"/>
              </w:rPr>
              <w:t>- vplyv na vyššie územné celky</w:t>
            </w:r>
          </w:p>
        </w:tc>
        <w:tc>
          <w:tcPr>
            <w:tcW w:w="1267" w:type="dxa"/>
            <w:noWrap/>
            <w:vAlign w:val="center"/>
          </w:tcPr>
          <w:p w14:paraId="7DC014D7" w14:textId="77777777" w:rsidR="0040239E" w:rsidRPr="00D9225F" w:rsidRDefault="0040239E" w:rsidP="00911BB2">
            <w:pPr>
              <w:jc w:val="right"/>
              <w:rPr>
                <w:b/>
                <w:bCs/>
                <w:iCs/>
              </w:rPr>
            </w:pPr>
            <w:r w:rsidRPr="00D9225F">
              <w:rPr>
                <w:b/>
                <w:bCs/>
                <w:iCs/>
              </w:rPr>
              <w:t>0</w:t>
            </w:r>
          </w:p>
        </w:tc>
        <w:tc>
          <w:tcPr>
            <w:tcW w:w="1267" w:type="dxa"/>
            <w:noWrap/>
            <w:vAlign w:val="center"/>
          </w:tcPr>
          <w:p w14:paraId="4CEC8872" w14:textId="77777777" w:rsidR="0040239E" w:rsidRPr="00D9225F" w:rsidRDefault="0040239E" w:rsidP="00911BB2">
            <w:pPr>
              <w:jc w:val="right"/>
              <w:rPr>
                <w:b/>
                <w:bCs/>
                <w:iCs/>
              </w:rPr>
            </w:pPr>
            <w:r w:rsidRPr="00D9225F">
              <w:rPr>
                <w:b/>
                <w:bCs/>
                <w:iCs/>
              </w:rPr>
              <w:t>0</w:t>
            </w:r>
          </w:p>
        </w:tc>
        <w:tc>
          <w:tcPr>
            <w:tcW w:w="1267" w:type="dxa"/>
            <w:noWrap/>
            <w:vAlign w:val="center"/>
          </w:tcPr>
          <w:p w14:paraId="293B5F7F" w14:textId="77777777" w:rsidR="0040239E" w:rsidRPr="00D9225F" w:rsidRDefault="0040239E" w:rsidP="00911BB2">
            <w:pPr>
              <w:jc w:val="right"/>
              <w:rPr>
                <w:b/>
                <w:bCs/>
                <w:iCs/>
              </w:rPr>
            </w:pPr>
            <w:r w:rsidRPr="00D9225F">
              <w:rPr>
                <w:b/>
                <w:bCs/>
                <w:iCs/>
              </w:rPr>
              <w:t>0</w:t>
            </w:r>
          </w:p>
        </w:tc>
        <w:tc>
          <w:tcPr>
            <w:tcW w:w="1267" w:type="dxa"/>
            <w:noWrap/>
            <w:vAlign w:val="center"/>
          </w:tcPr>
          <w:p w14:paraId="65CB5C0F" w14:textId="77777777" w:rsidR="0040239E" w:rsidRPr="00D9225F" w:rsidRDefault="0040239E" w:rsidP="00911BB2">
            <w:pPr>
              <w:jc w:val="right"/>
              <w:rPr>
                <w:b/>
                <w:bCs/>
                <w:iCs/>
              </w:rPr>
            </w:pPr>
            <w:r w:rsidRPr="00D9225F">
              <w:rPr>
                <w:b/>
                <w:bCs/>
                <w:iCs/>
              </w:rPr>
              <w:t>0</w:t>
            </w:r>
          </w:p>
        </w:tc>
      </w:tr>
      <w:tr w:rsidR="0040239E" w:rsidRPr="007B7470" w14:paraId="1A7F3A38" w14:textId="77777777" w:rsidTr="0040239E">
        <w:trPr>
          <w:trHeight w:val="70"/>
          <w:jc w:val="center"/>
        </w:trPr>
        <w:tc>
          <w:tcPr>
            <w:tcW w:w="4661" w:type="dxa"/>
            <w:noWrap/>
            <w:vAlign w:val="center"/>
          </w:tcPr>
          <w:p w14:paraId="61DE2E2C" w14:textId="77777777" w:rsidR="0040239E" w:rsidRPr="007B7470" w:rsidRDefault="0040239E" w:rsidP="00911BB2">
            <w:pPr>
              <w:rPr>
                <w:b/>
                <w:bCs/>
                <w:sz w:val="24"/>
                <w:szCs w:val="24"/>
              </w:rPr>
            </w:pPr>
            <w:r w:rsidRPr="007B7470">
              <w:rPr>
                <w:b/>
                <w:bCs/>
                <w:i/>
                <w:iCs/>
                <w:sz w:val="24"/>
                <w:szCs w:val="24"/>
              </w:rPr>
              <w:t>- vplyv na ostatné subjekty verejnej správy</w:t>
            </w:r>
          </w:p>
        </w:tc>
        <w:tc>
          <w:tcPr>
            <w:tcW w:w="1267" w:type="dxa"/>
            <w:noWrap/>
            <w:vAlign w:val="center"/>
          </w:tcPr>
          <w:p w14:paraId="239E3C5B" w14:textId="77777777" w:rsidR="0040239E" w:rsidRPr="00D9225F" w:rsidRDefault="0040239E" w:rsidP="00911BB2">
            <w:pPr>
              <w:jc w:val="right"/>
              <w:rPr>
                <w:b/>
                <w:bCs/>
                <w:iCs/>
              </w:rPr>
            </w:pPr>
            <w:r w:rsidRPr="00D9225F">
              <w:rPr>
                <w:b/>
                <w:bCs/>
                <w:iCs/>
              </w:rPr>
              <w:t>0</w:t>
            </w:r>
          </w:p>
        </w:tc>
        <w:tc>
          <w:tcPr>
            <w:tcW w:w="1267" w:type="dxa"/>
            <w:noWrap/>
            <w:vAlign w:val="center"/>
          </w:tcPr>
          <w:p w14:paraId="087E37E5" w14:textId="77777777" w:rsidR="0040239E" w:rsidRPr="00D9225F" w:rsidRDefault="0040239E" w:rsidP="00911BB2">
            <w:pPr>
              <w:jc w:val="right"/>
              <w:rPr>
                <w:b/>
                <w:bCs/>
                <w:iCs/>
              </w:rPr>
            </w:pPr>
            <w:r w:rsidRPr="00D9225F">
              <w:rPr>
                <w:b/>
                <w:bCs/>
                <w:iCs/>
              </w:rPr>
              <w:t>0</w:t>
            </w:r>
          </w:p>
        </w:tc>
        <w:tc>
          <w:tcPr>
            <w:tcW w:w="1267" w:type="dxa"/>
            <w:noWrap/>
            <w:vAlign w:val="center"/>
          </w:tcPr>
          <w:p w14:paraId="6D32EE95" w14:textId="77777777" w:rsidR="0040239E" w:rsidRPr="00D9225F" w:rsidRDefault="0040239E" w:rsidP="00911BB2">
            <w:pPr>
              <w:jc w:val="right"/>
              <w:rPr>
                <w:b/>
                <w:bCs/>
                <w:iCs/>
              </w:rPr>
            </w:pPr>
            <w:r w:rsidRPr="00D9225F">
              <w:rPr>
                <w:b/>
                <w:bCs/>
                <w:iCs/>
              </w:rPr>
              <w:t>0</w:t>
            </w:r>
          </w:p>
        </w:tc>
        <w:tc>
          <w:tcPr>
            <w:tcW w:w="1267" w:type="dxa"/>
            <w:noWrap/>
            <w:vAlign w:val="center"/>
          </w:tcPr>
          <w:p w14:paraId="55F7B247" w14:textId="77777777" w:rsidR="0040239E" w:rsidRPr="00D9225F" w:rsidRDefault="0040239E" w:rsidP="00911BB2">
            <w:pPr>
              <w:jc w:val="right"/>
              <w:rPr>
                <w:b/>
                <w:bCs/>
                <w:iCs/>
              </w:rPr>
            </w:pPr>
            <w:r w:rsidRPr="00D9225F">
              <w:rPr>
                <w:b/>
                <w:bCs/>
                <w:iCs/>
              </w:rPr>
              <w:t>0</w:t>
            </w:r>
          </w:p>
        </w:tc>
      </w:tr>
      <w:tr w:rsidR="0040239E" w:rsidRPr="007B7470" w14:paraId="7DB5AD5E" w14:textId="77777777" w:rsidTr="0040239E">
        <w:trPr>
          <w:trHeight w:val="70"/>
          <w:jc w:val="center"/>
        </w:trPr>
        <w:tc>
          <w:tcPr>
            <w:tcW w:w="4661" w:type="dxa"/>
            <w:shd w:val="clear" w:color="auto" w:fill="C0C0C0"/>
            <w:noWrap/>
            <w:vAlign w:val="center"/>
          </w:tcPr>
          <w:p w14:paraId="1DE92374" w14:textId="77777777" w:rsidR="0040239E" w:rsidRPr="007B7470" w:rsidRDefault="0040239E" w:rsidP="00911BB2">
            <w:pPr>
              <w:rPr>
                <w:b/>
                <w:bCs/>
                <w:sz w:val="24"/>
                <w:szCs w:val="24"/>
              </w:rPr>
            </w:pPr>
            <w:r w:rsidRPr="007B7470">
              <w:rPr>
                <w:b/>
                <w:bCs/>
                <w:sz w:val="24"/>
                <w:szCs w:val="24"/>
              </w:rPr>
              <w:t>Financovanie zabezpečené v rozpočte</w:t>
            </w:r>
          </w:p>
        </w:tc>
        <w:tc>
          <w:tcPr>
            <w:tcW w:w="1267" w:type="dxa"/>
            <w:shd w:val="clear" w:color="auto" w:fill="C0C0C0"/>
            <w:noWrap/>
            <w:vAlign w:val="center"/>
          </w:tcPr>
          <w:p w14:paraId="1401D9F5" w14:textId="77777777" w:rsidR="0040239E" w:rsidRPr="00D9225F" w:rsidRDefault="0040239E" w:rsidP="00911BB2">
            <w:pPr>
              <w:jc w:val="right"/>
              <w:rPr>
                <w:b/>
                <w:bCs/>
              </w:rPr>
            </w:pPr>
            <w:r>
              <w:rPr>
                <w:b/>
                <w:bCs/>
              </w:rPr>
              <w:t>6 500 000</w:t>
            </w:r>
          </w:p>
        </w:tc>
        <w:tc>
          <w:tcPr>
            <w:tcW w:w="1267" w:type="dxa"/>
            <w:shd w:val="clear" w:color="auto" w:fill="C0C0C0"/>
            <w:noWrap/>
            <w:vAlign w:val="center"/>
          </w:tcPr>
          <w:p w14:paraId="2613440D" w14:textId="77777777" w:rsidR="0040239E" w:rsidRPr="00D9225F" w:rsidRDefault="0040239E" w:rsidP="00911BB2">
            <w:pPr>
              <w:jc w:val="right"/>
              <w:rPr>
                <w:b/>
                <w:bCs/>
              </w:rPr>
            </w:pPr>
            <w:r>
              <w:rPr>
                <w:b/>
                <w:bCs/>
              </w:rPr>
              <w:t>0</w:t>
            </w:r>
          </w:p>
        </w:tc>
        <w:tc>
          <w:tcPr>
            <w:tcW w:w="1267" w:type="dxa"/>
            <w:shd w:val="clear" w:color="auto" w:fill="C0C0C0"/>
            <w:noWrap/>
            <w:vAlign w:val="center"/>
          </w:tcPr>
          <w:p w14:paraId="4C267B77" w14:textId="77777777" w:rsidR="0040239E" w:rsidRPr="00D9225F" w:rsidRDefault="0040239E" w:rsidP="00911BB2">
            <w:pPr>
              <w:jc w:val="right"/>
              <w:rPr>
                <w:b/>
                <w:bCs/>
              </w:rPr>
            </w:pPr>
            <w:r>
              <w:rPr>
                <w:b/>
                <w:bCs/>
              </w:rPr>
              <w:t>0</w:t>
            </w:r>
          </w:p>
        </w:tc>
        <w:tc>
          <w:tcPr>
            <w:tcW w:w="1267" w:type="dxa"/>
            <w:shd w:val="clear" w:color="auto" w:fill="C0C0C0"/>
            <w:noWrap/>
            <w:vAlign w:val="center"/>
          </w:tcPr>
          <w:p w14:paraId="7B5B6EC6" w14:textId="77777777" w:rsidR="0040239E" w:rsidRPr="00D9225F" w:rsidRDefault="0040239E" w:rsidP="00911BB2">
            <w:pPr>
              <w:jc w:val="right"/>
              <w:rPr>
                <w:b/>
                <w:bCs/>
              </w:rPr>
            </w:pPr>
            <w:r>
              <w:rPr>
                <w:b/>
                <w:bCs/>
              </w:rPr>
              <w:t>0</w:t>
            </w:r>
          </w:p>
        </w:tc>
      </w:tr>
      <w:tr w:rsidR="0040239E" w:rsidRPr="007B7470" w14:paraId="47252F03" w14:textId="77777777" w:rsidTr="0040239E">
        <w:trPr>
          <w:trHeight w:val="70"/>
          <w:jc w:val="center"/>
        </w:trPr>
        <w:tc>
          <w:tcPr>
            <w:tcW w:w="4661" w:type="dxa"/>
            <w:noWrap/>
            <w:vAlign w:val="center"/>
          </w:tcPr>
          <w:p w14:paraId="3DC8F0B3" w14:textId="77777777" w:rsidR="0040239E" w:rsidRPr="007B7470" w:rsidRDefault="0040239E" w:rsidP="00911BB2">
            <w:pPr>
              <w:rPr>
                <w:sz w:val="24"/>
                <w:szCs w:val="24"/>
              </w:rPr>
            </w:pPr>
            <w:r w:rsidRPr="007B7470">
              <w:rPr>
                <w:sz w:val="24"/>
                <w:szCs w:val="24"/>
              </w:rPr>
              <w:t xml:space="preserve">v tom: </w:t>
            </w:r>
            <w:r>
              <w:rPr>
                <w:sz w:val="24"/>
                <w:szCs w:val="24"/>
              </w:rPr>
              <w:t>MD SR</w:t>
            </w:r>
          </w:p>
        </w:tc>
        <w:tc>
          <w:tcPr>
            <w:tcW w:w="1267" w:type="dxa"/>
            <w:noWrap/>
            <w:vAlign w:val="center"/>
          </w:tcPr>
          <w:p w14:paraId="60C6DF1D" w14:textId="77777777" w:rsidR="0040239E" w:rsidRPr="00D9225F" w:rsidRDefault="0040239E" w:rsidP="00911BB2">
            <w:pPr>
              <w:jc w:val="right"/>
            </w:pPr>
            <w:r>
              <w:t>6 500 000</w:t>
            </w:r>
          </w:p>
        </w:tc>
        <w:tc>
          <w:tcPr>
            <w:tcW w:w="1267" w:type="dxa"/>
            <w:noWrap/>
            <w:vAlign w:val="center"/>
          </w:tcPr>
          <w:p w14:paraId="486A3E71" w14:textId="77777777" w:rsidR="0040239E" w:rsidRPr="00D9225F" w:rsidRDefault="0040239E" w:rsidP="00911BB2">
            <w:pPr>
              <w:jc w:val="right"/>
            </w:pPr>
            <w:r>
              <w:t>0</w:t>
            </w:r>
          </w:p>
        </w:tc>
        <w:tc>
          <w:tcPr>
            <w:tcW w:w="1267" w:type="dxa"/>
            <w:noWrap/>
            <w:vAlign w:val="center"/>
          </w:tcPr>
          <w:p w14:paraId="2EEA45E6" w14:textId="77777777" w:rsidR="0040239E" w:rsidRPr="00D9225F" w:rsidRDefault="0040239E" w:rsidP="00911BB2">
            <w:pPr>
              <w:jc w:val="right"/>
            </w:pPr>
            <w:r>
              <w:t>0</w:t>
            </w:r>
          </w:p>
        </w:tc>
        <w:tc>
          <w:tcPr>
            <w:tcW w:w="1267" w:type="dxa"/>
            <w:noWrap/>
            <w:vAlign w:val="center"/>
          </w:tcPr>
          <w:p w14:paraId="6C886204" w14:textId="77777777" w:rsidR="0040239E" w:rsidRPr="00D9225F" w:rsidRDefault="0040239E" w:rsidP="00911BB2">
            <w:pPr>
              <w:jc w:val="right"/>
            </w:pPr>
            <w:r>
              <w:t>0</w:t>
            </w:r>
          </w:p>
        </w:tc>
      </w:tr>
      <w:tr w:rsidR="0040239E" w:rsidRPr="007B7470" w14:paraId="08154CFC" w14:textId="77777777" w:rsidTr="0040239E">
        <w:trPr>
          <w:trHeight w:val="70"/>
          <w:jc w:val="center"/>
        </w:trPr>
        <w:tc>
          <w:tcPr>
            <w:tcW w:w="4661" w:type="dxa"/>
            <w:shd w:val="clear" w:color="auto" w:fill="BFBFBF" w:themeFill="background1" w:themeFillShade="BF"/>
            <w:noWrap/>
            <w:vAlign w:val="center"/>
          </w:tcPr>
          <w:p w14:paraId="78894DCB" w14:textId="77777777" w:rsidR="0040239E" w:rsidRPr="007B7470" w:rsidRDefault="0040239E" w:rsidP="00911BB2">
            <w:pPr>
              <w:rPr>
                <w:b/>
                <w:sz w:val="24"/>
                <w:szCs w:val="24"/>
              </w:rPr>
            </w:pPr>
            <w:r w:rsidRPr="007B7470">
              <w:rPr>
                <w:b/>
                <w:sz w:val="24"/>
                <w:szCs w:val="24"/>
              </w:rPr>
              <w:t>Iné ako rozpočtové zdroje</w:t>
            </w:r>
          </w:p>
        </w:tc>
        <w:tc>
          <w:tcPr>
            <w:tcW w:w="1267" w:type="dxa"/>
            <w:shd w:val="clear" w:color="auto" w:fill="BFBFBF" w:themeFill="background1" w:themeFillShade="BF"/>
            <w:noWrap/>
            <w:vAlign w:val="center"/>
          </w:tcPr>
          <w:p w14:paraId="467A5E6E" w14:textId="77777777" w:rsidR="0040239E" w:rsidRPr="00D9225F" w:rsidRDefault="0040239E" w:rsidP="00911BB2">
            <w:pPr>
              <w:jc w:val="right"/>
              <w:rPr>
                <w:b/>
                <w:bCs/>
              </w:rPr>
            </w:pPr>
            <w:r>
              <w:rPr>
                <w:b/>
                <w:bCs/>
              </w:rPr>
              <w:t>0</w:t>
            </w:r>
          </w:p>
        </w:tc>
        <w:tc>
          <w:tcPr>
            <w:tcW w:w="1267" w:type="dxa"/>
            <w:shd w:val="clear" w:color="auto" w:fill="BFBFBF" w:themeFill="background1" w:themeFillShade="BF"/>
            <w:noWrap/>
            <w:vAlign w:val="center"/>
          </w:tcPr>
          <w:p w14:paraId="5F857B33" w14:textId="77777777" w:rsidR="0040239E" w:rsidRPr="00D9225F" w:rsidRDefault="0040239E" w:rsidP="00911BB2">
            <w:pPr>
              <w:jc w:val="right"/>
              <w:rPr>
                <w:b/>
                <w:bCs/>
              </w:rPr>
            </w:pPr>
            <w:r>
              <w:rPr>
                <w:b/>
                <w:bCs/>
              </w:rPr>
              <w:t>0</w:t>
            </w:r>
          </w:p>
        </w:tc>
        <w:tc>
          <w:tcPr>
            <w:tcW w:w="1267" w:type="dxa"/>
            <w:shd w:val="clear" w:color="auto" w:fill="BFBFBF" w:themeFill="background1" w:themeFillShade="BF"/>
            <w:noWrap/>
            <w:vAlign w:val="center"/>
          </w:tcPr>
          <w:p w14:paraId="1ED43A2E" w14:textId="77777777" w:rsidR="0040239E" w:rsidRPr="00D9225F" w:rsidRDefault="0040239E" w:rsidP="00911BB2">
            <w:pPr>
              <w:jc w:val="right"/>
              <w:rPr>
                <w:b/>
                <w:bCs/>
              </w:rPr>
            </w:pPr>
            <w:r>
              <w:rPr>
                <w:b/>
                <w:bCs/>
              </w:rPr>
              <w:t>0</w:t>
            </w:r>
          </w:p>
        </w:tc>
        <w:tc>
          <w:tcPr>
            <w:tcW w:w="1267" w:type="dxa"/>
            <w:shd w:val="clear" w:color="auto" w:fill="BFBFBF" w:themeFill="background1" w:themeFillShade="BF"/>
            <w:noWrap/>
            <w:vAlign w:val="center"/>
          </w:tcPr>
          <w:p w14:paraId="4EC8CAB4" w14:textId="77777777" w:rsidR="0040239E" w:rsidRPr="00D9225F" w:rsidRDefault="0040239E" w:rsidP="00911BB2">
            <w:pPr>
              <w:jc w:val="right"/>
              <w:rPr>
                <w:b/>
                <w:bCs/>
              </w:rPr>
            </w:pPr>
            <w:r>
              <w:rPr>
                <w:b/>
                <w:bCs/>
              </w:rPr>
              <w:t>0</w:t>
            </w:r>
          </w:p>
        </w:tc>
      </w:tr>
      <w:tr w:rsidR="0040239E" w:rsidRPr="007B7470" w14:paraId="457E1BF8" w14:textId="77777777" w:rsidTr="0040239E">
        <w:trPr>
          <w:trHeight w:val="70"/>
          <w:jc w:val="center"/>
        </w:trPr>
        <w:tc>
          <w:tcPr>
            <w:tcW w:w="4661" w:type="dxa"/>
            <w:shd w:val="clear" w:color="auto" w:fill="A6A6A6" w:themeFill="background1" w:themeFillShade="A6"/>
            <w:noWrap/>
            <w:vAlign w:val="center"/>
          </w:tcPr>
          <w:p w14:paraId="3437211C" w14:textId="77777777" w:rsidR="0040239E" w:rsidRPr="007B7470" w:rsidRDefault="0040239E" w:rsidP="00911BB2">
            <w:pPr>
              <w:rPr>
                <w:b/>
                <w:bCs/>
                <w:sz w:val="24"/>
                <w:szCs w:val="24"/>
              </w:rPr>
            </w:pPr>
            <w:r w:rsidRPr="007B7470">
              <w:rPr>
                <w:b/>
                <w:bCs/>
                <w:sz w:val="24"/>
                <w:szCs w:val="24"/>
              </w:rPr>
              <w:t xml:space="preserve">Rozpočtovo </w:t>
            </w:r>
            <w:r w:rsidRPr="00456FAF">
              <w:rPr>
                <w:b/>
                <w:bCs/>
                <w:sz w:val="24"/>
                <w:szCs w:val="24"/>
              </w:rPr>
              <w:t>nekrytý vplyv</w:t>
            </w:r>
            <w:r w:rsidRPr="007B7470">
              <w:rPr>
                <w:b/>
                <w:bCs/>
                <w:sz w:val="24"/>
                <w:szCs w:val="24"/>
              </w:rPr>
              <w:t xml:space="preserve"> / </w:t>
            </w:r>
            <w:r w:rsidRPr="00456FAF">
              <w:rPr>
                <w:b/>
                <w:bCs/>
                <w:sz w:val="24"/>
                <w:szCs w:val="24"/>
              </w:rPr>
              <w:t>úspora</w:t>
            </w:r>
          </w:p>
        </w:tc>
        <w:tc>
          <w:tcPr>
            <w:tcW w:w="1267" w:type="dxa"/>
            <w:shd w:val="clear" w:color="auto" w:fill="A6A6A6" w:themeFill="background1" w:themeFillShade="A6"/>
            <w:noWrap/>
            <w:vAlign w:val="center"/>
          </w:tcPr>
          <w:p w14:paraId="41FE068A" w14:textId="77777777" w:rsidR="0040239E" w:rsidRPr="00D9225F" w:rsidRDefault="0040239E" w:rsidP="00911BB2">
            <w:pPr>
              <w:jc w:val="right"/>
              <w:rPr>
                <w:b/>
              </w:rPr>
            </w:pPr>
            <w:r>
              <w:rPr>
                <w:b/>
              </w:rPr>
              <w:t>0</w:t>
            </w:r>
          </w:p>
        </w:tc>
        <w:tc>
          <w:tcPr>
            <w:tcW w:w="1267" w:type="dxa"/>
            <w:shd w:val="clear" w:color="auto" w:fill="A6A6A6" w:themeFill="background1" w:themeFillShade="A6"/>
            <w:noWrap/>
            <w:vAlign w:val="center"/>
          </w:tcPr>
          <w:p w14:paraId="494DAE07" w14:textId="77777777" w:rsidR="0040239E" w:rsidRPr="00D9225F" w:rsidRDefault="0040239E" w:rsidP="00911BB2">
            <w:pPr>
              <w:jc w:val="right"/>
              <w:rPr>
                <w:b/>
              </w:rPr>
            </w:pPr>
            <w:r>
              <w:rPr>
                <w:b/>
              </w:rPr>
              <w:t>0</w:t>
            </w:r>
          </w:p>
        </w:tc>
        <w:tc>
          <w:tcPr>
            <w:tcW w:w="1267" w:type="dxa"/>
            <w:shd w:val="clear" w:color="auto" w:fill="A6A6A6" w:themeFill="background1" w:themeFillShade="A6"/>
            <w:noWrap/>
            <w:vAlign w:val="center"/>
          </w:tcPr>
          <w:p w14:paraId="441A30D6" w14:textId="77777777" w:rsidR="0040239E" w:rsidRPr="00D9225F" w:rsidRDefault="0040239E" w:rsidP="00911BB2">
            <w:pPr>
              <w:jc w:val="right"/>
              <w:rPr>
                <w:b/>
              </w:rPr>
            </w:pPr>
            <w:r>
              <w:rPr>
                <w:b/>
                <w:bCs/>
              </w:rPr>
              <w:t>0</w:t>
            </w:r>
          </w:p>
        </w:tc>
        <w:tc>
          <w:tcPr>
            <w:tcW w:w="1267" w:type="dxa"/>
            <w:shd w:val="clear" w:color="auto" w:fill="A6A6A6" w:themeFill="background1" w:themeFillShade="A6"/>
            <w:noWrap/>
            <w:vAlign w:val="center"/>
          </w:tcPr>
          <w:p w14:paraId="3BD069F8" w14:textId="77777777" w:rsidR="0040239E" w:rsidRPr="00D9225F" w:rsidRDefault="0040239E" w:rsidP="00911BB2">
            <w:pPr>
              <w:jc w:val="right"/>
              <w:rPr>
                <w:b/>
              </w:rPr>
            </w:pPr>
            <w:r>
              <w:rPr>
                <w:b/>
                <w:bCs/>
              </w:rPr>
              <w:t>0</w:t>
            </w:r>
          </w:p>
        </w:tc>
      </w:tr>
      <w:bookmarkEnd w:id="0"/>
    </w:tbl>
    <w:p w14:paraId="1203E0DF" w14:textId="77777777" w:rsidR="0040239E" w:rsidRDefault="0040239E" w:rsidP="0040239E">
      <w:pPr>
        <w:rPr>
          <w:bCs/>
        </w:rPr>
      </w:pPr>
    </w:p>
    <w:p w14:paraId="39D69471" w14:textId="77777777" w:rsidR="0040239E" w:rsidRDefault="0040239E" w:rsidP="0040239E">
      <w:pPr>
        <w:rPr>
          <w:bCs/>
        </w:rPr>
      </w:pPr>
    </w:p>
    <w:p w14:paraId="78098D30" w14:textId="77777777" w:rsidR="0040239E" w:rsidRPr="007B7470" w:rsidRDefault="0040239E" w:rsidP="0040239E">
      <w:pPr>
        <w:rPr>
          <w:bCs/>
        </w:rPr>
      </w:pPr>
      <w:r w:rsidRPr="007B7470">
        <w:rPr>
          <w:bCs/>
        </w:rPr>
        <w:lastRenderedPageBreak/>
        <w:t xml:space="preserve">                                                                                                                                                             Tabuľka č. 1/B</w:t>
      </w:r>
    </w:p>
    <w:tbl>
      <w:tblPr>
        <w:tblW w:w="9639" w:type="dxa"/>
        <w:jc w:val="center"/>
        <w:tblCellMar>
          <w:left w:w="70" w:type="dxa"/>
          <w:right w:w="70" w:type="dxa"/>
        </w:tblCellMar>
        <w:tblLook w:val="04A0" w:firstRow="1" w:lastRow="0" w:firstColumn="1" w:lastColumn="0" w:noHBand="0" w:noVBand="1"/>
      </w:tblPr>
      <w:tblGrid>
        <w:gridCol w:w="4821"/>
        <w:gridCol w:w="1134"/>
        <w:gridCol w:w="1417"/>
        <w:gridCol w:w="1134"/>
        <w:gridCol w:w="1418"/>
      </w:tblGrid>
      <w:tr w:rsidR="0040239E" w:rsidRPr="007B7470" w14:paraId="5FD0991C" w14:textId="77777777" w:rsidTr="0040239E">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17A57FC" w14:textId="77777777" w:rsidR="0040239E" w:rsidRPr="007B7470" w:rsidRDefault="0040239E" w:rsidP="00911BB2">
            <w:pPr>
              <w:rPr>
                <w:color w:val="000000"/>
                <w:sz w:val="24"/>
                <w:szCs w:val="24"/>
              </w:rPr>
            </w:pPr>
            <w:r w:rsidRPr="007B7470">
              <w:rPr>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8E2799" w14:textId="77777777" w:rsidR="0040239E" w:rsidRPr="007B7470" w:rsidRDefault="0040239E" w:rsidP="00911BB2">
            <w:pPr>
              <w:jc w:val="center"/>
              <w:rPr>
                <w:b/>
                <w:bCs/>
                <w:sz w:val="24"/>
                <w:szCs w:val="24"/>
              </w:rPr>
            </w:pPr>
            <w:r>
              <w:rPr>
                <w:b/>
                <w:bCs/>
                <w:sz w:val="24"/>
                <w:szCs w:val="24"/>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1921C9C" w14:textId="77777777" w:rsidR="0040239E" w:rsidRPr="007B7470" w:rsidRDefault="0040239E" w:rsidP="00911BB2">
            <w:pPr>
              <w:jc w:val="center"/>
              <w:rPr>
                <w:b/>
                <w:bCs/>
                <w:sz w:val="24"/>
                <w:szCs w:val="24"/>
              </w:rPr>
            </w:pPr>
            <w:r>
              <w:rPr>
                <w:b/>
                <w:bCs/>
                <w:sz w:val="24"/>
                <w:szCs w:val="24"/>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60423F" w14:textId="77777777" w:rsidR="0040239E" w:rsidRPr="007B7470" w:rsidRDefault="0040239E" w:rsidP="00911BB2">
            <w:pPr>
              <w:jc w:val="center"/>
              <w:rPr>
                <w:b/>
                <w:bCs/>
                <w:sz w:val="24"/>
                <w:szCs w:val="24"/>
              </w:rPr>
            </w:pPr>
            <w:r>
              <w:rPr>
                <w:b/>
                <w:bCs/>
                <w:sz w:val="24"/>
                <w:szCs w:val="24"/>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DA3FDB" w14:textId="77777777" w:rsidR="0040239E" w:rsidRPr="007B7470" w:rsidRDefault="0040239E" w:rsidP="00911BB2">
            <w:pPr>
              <w:jc w:val="center"/>
              <w:rPr>
                <w:b/>
                <w:bCs/>
                <w:sz w:val="24"/>
                <w:szCs w:val="24"/>
              </w:rPr>
            </w:pPr>
            <w:r>
              <w:rPr>
                <w:b/>
                <w:bCs/>
                <w:sz w:val="24"/>
                <w:szCs w:val="24"/>
              </w:rPr>
              <w:t>2027</w:t>
            </w:r>
          </w:p>
        </w:tc>
      </w:tr>
      <w:tr w:rsidR="0040239E" w:rsidRPr="007B7470" w14:paraId="7E79264A" w14:textId="77777777" w:rsidTr="0040239E">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08EBE3B" w14:textId="77777777" w:rsidR="0040239E" w:rsidRPr="007B7470" w:rsidRDefault="0040239E" w:rsidP="00911BB2">
            <w:pPr>
              <w:rPr>
                <w:b/>
                <w:bCs/>
                <w:color w:val="000000" w:themeColor="text1"/>
                <w:sz w:val="24"/>
                <w:szCs w:val="24"/>
              </w:rPr>
            </w:pPr>
            <w:r w:rsidRPr="007B7470">
              <w:rPr>
                <w:b/>
                <w:bCs/>
                <w:color w:val="000000" w:themeColor="text1"/>
                <w:sz w:val="24"/>
                <w:szCs w:val="24"/>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5F24CF53" w14:textId="77777777" w:rsidR="0040239E" w:rsidRPr="00D9225F" w:rsidRDefault="0040239E" w:rsidP="00911BB2">
            <w:pPr>
              <w:jc w:val="right"/>
              <w:rPr>
                <w:b/>
                <w:color w:val="000000"/>
              </w:rPr>
            </w:pPr>
            <w:r w:rsidRPr="00D9225F">
              <w:rPr>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14:paraId="22328097" w14:textId="77777777" w:rsidR="0040239E" w:rsidRPr="00D9225F" w:rsidRDefault="0040239E" w:rsidP="00911BB2">
            <w:pPr>
              <w:jc w:val="right"/>
              <w:rPr>
                <w:b/>
                <w:color w:val="000000"/>
              </w:rPr>
            </w:pPr>
            <w:r w:rsidRPr="00D9225F">
              <w:rPr>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7BE7BE" w14:textId="77777777" w:rsidR="0040239E" w:rsidRPr="00D9225F" w:rsidRDefault="0040239E" w:rsidP="00911BB2">
            <w:pPr>
              <w:jc w:val="right"/>
              <w:rPr>
                <w:b/>
                <w:color w:val="000000"/>
              </w:rPr>
            </w:pPr>
            <w:r>
              <w:rPr>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14:paraId="5A76110E" w14:textId="77777777" w:rsidR="0040239E" w:rsidRPr="00D9225F" w:rsidRDefault="0040239E" w:rsidP="00911BB2">
            <w:pPr>
              <w:jc w:val="right"/>
              <w:rPr>
                <w:b/>
                <w:color w:val="000000"/>
              </w:rPr>
            </w:pPr>
            <w:r w:rsidRPr="00D9225F">
              <w:rPr>
                <w:b/>
                <w:color w:val="000000"/>
              </w:rPr>
              <w:t>0</w:t>
            </w:r>
          </w:p>
        </w:tc>
      </w:tr>
      <w:tr w:rsidR="0040239E" w:rsidRPr="007B7470" w14:paraId="46403AD5" w14:textId="77777777" w:rsidTr="0040239E">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8BEEDC8" w14:textId="77777777" w:rsidR="0040239E" w:rsidRPr="007B7470" w:rsidRDefault="0040239E" w:rsidP="00911BB2">
            <w:pPr>
              <w:rPr>
                <w:color w:val="000000" w:themeColor="text1"/>
                <w:sz w:val="24"/>
                <w:szCs w:val="24"/>
              </w:rPr>
            </w:pPr>
            <w:r w:rsidRPr="007B7470">
              <w:rPr>
                <w:color w:val="000000" w:themeColor="text1"/>
                <w:sz w:val="24"/>
                <w:szCs w:val="24"/>
              </w:rPr>
              <w:t xml:space="preserve">v tom: </w:t>
            </w:r>
            <w:r w:rsidRPr="00D9225F">
              <w:rPr>
                <w:color w:val="000000" w:themeColor="text1"/>
                <w:sz w:val="24"/>
                <w:szCs w:val="24"/>
              </w:rPr>
              <w:t>MD SR/</w:t>
            </w:r>
            <w:r w:rsidRPr="00FF7F65">
              <w:rPr>
                <w:color w:val="000000" w:themeColor="text1"/>
                <w:sz w:val="24"/>
                <w:szCs w:val="24"/>
              </w:rPr>
              <w:t>07T0101</w:t>
            </w:r>
          </w:p>
        </w:tc>
        <w:tc>
          <w:tcPr>
            <w:tcW w:w="1134" w:type="dxa"/>
            <w:tcBorders>
              <w:top w:val="nil"/>
              <w:left w:val="nil"/>
              <w:bottom w:val="single" w:sz="4" w:space="0" w:color="auto"/>
              <w:right w:val="single" w:sz="4" w:space="0" w:color="auto"/>
            </w:tcBorders>
            <w:shd w:val="clear" w:color="auto" w:fill="auto"/>
            <w:noWrap/>
            <w:vAlign w:val="center"/>
            <w:hideMark/>
          </w:tcPr>
          <w:p w14:paraId="1FB4BFBD" w14:textId="77777777" w:rsidR="0040239E" w:rsidRPr="00D9225F" w:rsidRDefault="0040239E" w:rsidP="00911BB2">
            <w:pPr>
              <w:jc w:val="right"/>
              <w:rPr>
                <w:color w:val="000000"/>
              </w:rPr>
            </w:pPr>
            <w:r>
              <w:t>0</w:t>
            </w:r>
          </w:p>
        </w:tc>
        <w:tc>
          <w:tcPr>
            <w:tcW w:w="1417" w:type="dxa"/>
            <w:tcBorders>
              <w:top w:val="nil"/>
              <w:left w:val="nil"/>
              <w:bottom w:val="single" w:sz="4" w:space="0" w:color="auto"/>
              <w:right w:val="single" w:sz="4" w:space="0" w:color="auto"/>
            </w:tcBorders>
            <w:shd w:val="clear" w:color="auto" w:fill="auto"/>
            <w:noWrap/>
            <w:vAlign w:val="center"/>
            <w:hideMark/>
          </w:tcPr>
          <w:p w14:paraId="742C8455" w14:textId="77777777" w:rsidR="0040239E" w:rsidRPr="00D9225F" w:rsidRDefault="0040239E" w:rsidP="00911BB2">
            <w:pPr>
              <w:jc w:val="right"/>
              <w:rPr>
                <w:color w:val="000000"/>
              </w:rPr>
            </w:pPr>
            <w:r>
              <w:t>0</w:t>
            </w:r>
          </w:p>
        </w:tc>
        <w:tc>
          <w:tcPr>
            <w:tcW w:w="1134" w:type="dxa"/>
            <w:tcBorders>
              <w:top w:val="nil"/>
              <w:left w:val="nil"/>
              <w:bottom w:val="single" w:sz="4" w:space="0" w:color="auto"/>
              <w:right w:val="single" w:sz="4" w:space="0" w:color="auto"/>
            </w:tcBorders>
            <w:shd w:val="clear" w:color="auto" w:fill="auto"/>
            <w:noWrap/>
            <w:vAlign w:val="center"/>
            <w:hideMark/>
          </w:tcPr>
          <w:p w14:paraId="6ADDA670" w14:textId="77777777" w:rsidR="0040239E" w:rsidRPr="00D9225F" w:rsidRDefault="0040239E" w:rsidP="00911BB2">
            <w:pPr>
              <w:jc w:val="right"/>
              <w:rPr>
                <w:color w:val="000000"/>
              </w:rPr>
            </w:pPr>
            <w:r>
              <w:t>0</w:t>
            </w:r>
          </w:p>
        </w:tc>
        <w:tc>
          <w:tcPr>
            <w:tcW w:w="1418" w:type="dxa"/>
            <w:tcBorders>
              <w:top w:val="nil"/>
              <w:left w:val="nil"/>
              <w:bottom w:val="single" w:sz="4" w:space="0" w:color="auto"/>
              <w:right w:val="single" w:sz="4" w:space="0" w:color="auto"/>
            </w:tcBorders>
            <w:shd w:val="clear" w:color="auto" w:fill="auto"/>
            <w:noWrap/>
            <w:vAlign w:val="center"/>
            <w:hideMark/>
          </w:tcPr>
          <w:p w14:paraId="544716BD" w14:textId="77777777" w:rsidR="0040239E" w:rsidRPr="00D9225F" w:rsidRDefault="0040239E" w:rsidP="00911BB2">
            <w:pPr>
              <w:jc w:val="right"/>
              <w:rPr>
                <w:color w:val="000000"/>
              </w:rPr>
            </w:pPr>
            <w:r>
              <w:t>0</w:t>
            </w:r>
          </w:p>
        </w:tc>
      </w:tr>
      <w:tr w:rsidR="0040239E" w:rsidRPr="007B7470" w14:paraId="6B57A433" w14:textId="77777777" w:rsidTr="0040239E">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91DE5FB" w14:textId="77777777" w:rsidR="0040239E" w:rsidRPr="007B7470" w:rsidRDefault="0040239E" w:rsidP="00911BB2">
            <w:pPr>
              <w:rPr>
                <w:b/>
                <w:color w:val="000000" w:themeColor="text1"/>
                <w:sz w:val="24"/>
                <w:szCs w:val="24"/>
              </w:rPr>
            </w:pPr>
            <w:r w:rsidRPr="007B7470">
              <w:rPr>
                <w:b/>
                <w:color w:val="000000" w:themeColor="text1"/>
                <w:sz w:val="24"/>
                <w:szCs w:val="24"/>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7B0C9789" w14:textId="77777777" w:rsidR="0040239E" w:rsidRPr="00D9225F" w:rsidRDefault="0040239E" w:rsidP="00911BB2">
            <w:pPr>
              <w:jc w:val="right"/>
              <w:rPr>
                <w:color w:val="000000"/>
              </w:rPr>
            </w:pPr>
            <w:r w:rsidRPr="00D9225F">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1E5C4E" w14:textId="77777777" w:rsidR="0040239E" w:rsidRPr="00D9225F" w:rsidRDefault="0040239E" w:rsidP="00911BB2">
            <w:pPr>
              <w:jc w:val="right"/>
              <w:rPr>
                <w:color w:val="000000"/>
              </w:rPr>
            </w:pPr>
            <w:r w:rsidRPr="00D9225F">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C7E7CB" w14:textId="77777777" w:rsidR="0040239E" w:rsidRPr="00D9225F" w:rsidRDefault="0040239E" w:rsidP="00911BB2">
            <w:pPr>
              <w:jc w:val="right"/>
              <w:rPr>
                <w:color w:val="000000"/>
              </w:rPr>
            </w:pPr>
            <w:r w:rsidRPr="00D9225F">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1406DA" w14:textId="77777777" w:rsidR="0040239E" w:rsidRPr="00D9225F" w:rsidRDefault="0040239E" w:rsidP="00911BB2">
            <w:pPr>
              <w:jc w:val="right"/>
              <w:rPr>
                <w:color w:val="000000"/>
              </w:rPr>
            </w:pPr>
            <w:r w:rsidRPr="00D9225F">
              <w:rPr>
                <w:color w:val="000000"/>
              </w:rPr>
              <w:t> </w:t>
            </w:r>
          </w:p>
        </w:tc>
      </w:tr>
      <w:tr w:rsidR="0040239E" w:rsidRPr="007B7470" w14:paraId="531CCADE" w14:textId="77777777" w:rsidTr="0040239E">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C43170D" w14:textId="77777777" w:rsidR="0040239E" w:rsidRPr="007B7470" w:rsidRDefault="0040239E" w:rsidP="00911BB2">
            <w:pPr>
              <w:rPr>
                <w:b/>
                <w:bCs/>
                <w:color w:val="000000" w:themeColor="text1"/>
                <w:sz w:val="24"/>
                <w:szCs w:val="24"/>
              </w:rPr>
            </w:pPr>
            <w:r w:rsidRPr="007B7470">
              <w:rPr>
                <w:b/>
                <w:bCs/>
                <w:color w:val="000000" w:themeColor="text1"/>
                <w:sz w:val="24"/>
                <w:szCs w:val="24"/>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54D819C6" w14:textId="77777777" w:rsidR="0040239E" w:rsidRPr="00D9225F" w:rsidRDefault="0040239E" w:rsidP="00911BB2">
            <w:pPr>
              <w:jc w:val="right"/>
              <w:rPr>
                <w:b/>
                <w:color w:val="000000"/>
              </w:rPr>
            </w:pPr>
            <w:r w:rsidRPr="00D9225F">
              <w:rPr>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14:paraId="0161A8C9" w14:textId="77777777" w:rsidR="0040239E" w:rsidRPr="00D9225F" w:rsidRDefault="0040239E" w:rsidP="00911BB2">
            <w:pPr>
              <w:jc w:val="right"/>
              <w:rPr>
                <w:b/>
                <w:color w:val="000000"/>
              </w:rPr>
            </w:pPr>
            <w:r w:rsidRPr="00D9225F">
              <w:rPr>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A94D10F" w14:textId="77777777" w:rsidR="0040239E" w:rsidRPr="00D9225F" w:rsidRDefault="0040239E" w:rsidP="00911BB2">
            <w:pPr>
              <w:jc w:val="right"/>
              <w:rPr>
                <w:b/>
                <w:color w:val="000000"/>
              </w:rPr>
            </w:pPr>
            <w:r>
              <w:rPr>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14:paraId="5A24DC1B" w14:textId="77777777" w:rsidR="0040239E" w:rsidRPr="00D9225F" w:rsidRDefault="0040239E" w:rsidP="00911BB2">
            <w:pPr>
              <w:jc w:val="right"/>
              <w:rPr>
                <w:b/>
                <w:color w:val="000000"/>
              </w:rPr>
            </w:pPr>
            <w:r w:rsidRPr="00D9225F">
              <w:rPr>
                <w:b/>
                <w:color w:val="000000"/>
              </w:rPr>
              <w:t>0</w:t>
            </w:r>
          </w:p>
        </w:tc>
      </w:tr>
      <w:tr w:rsidR="0040239E" w:rsidRPr="007B7470" w14:paraId="089594EF" w14:textId="77777777" w:rsidTr="0040239E">
        <w:trPr>
          <w:trHeight w:val="300"/>
          <w:jc w:val="center"/>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29F7AB9" w14:textId="77777777" w:rsidR="0040239E" w:rsidRPr="007B7470" w:rsidRDefault="0040239E" w:rsidP="00911BB2">
            <w:pPr>
              <w:rPr>
                <w:b/>
                <w:bCs/>
                <w:color w:val="000000" w:themeColor="text1"/>
                <w:sz w:val="24"/>
                <w:szCs w:val="24"/>
              </w:rPr>
            </w:pPr>
            <w:r w:rsidRPr="007B7470">
              <w:rPr>
                <w:b/>
                <w:bCs/>
                <w:color w:val="000000" w:themeColor="text1"/>
                <w:sz w:val="24"/>
                <w:szCs w:val="24"/>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0B33B70B" w14:textId="77777777" w:rsidR="0040239E" w:rsidRPr="00D9225F" w:rsidRDefault="0040239E" w:rsidP="00911BB2">
            <w:pPr>
              <w:jc w:val="right"/>
              <w:rPr>
                <w:b/>
                <w:color w:val="000000"/>
              </w:rPr>
            </w:pPr>
            <w:r w:rsidRPr="00D9225F">
              <w:rPr>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14:paraId="5A01DE70" w14:textId="77777777" w:rsidR="0040239E" w:rsidRPr="00D9225F" w:rsidRDefault="0040239E" w:rsidP="00911BB2">
            <w:pPr>
              <w:jc w:val="right"/>
              <w:rPr>
                <w:b/>
                <w:color w:val="000000"/>
              </w:rPr>
            </w:pPr>
            <w:r w:rsidRPr="00D9225F">
              <w:rPr>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BF466E" w14:textId="77777777" w:rsidR="0040239E" w:rsidRPr="00D9225F" w:rsidRDefault="0040239E" w:rsidP="00911BB2">
            <w:pPr>
              <w:jc w:val="right"/>
              <w:rPr>
                <w:b/>
                <w:color w:val="000000"/>
              </w:rPr>
            </w:pPr>
            <w:r>
              <w:rPr>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14:paraId="08FDB857" w14:textId="77777777" w:rsidR="0040239E" w:rsidRPr="00D9225F" w:rsidRDefault="0040239E" w:rsidP="00911BB2">
            <w:pPr>
              <w:jc w:val="right"/>
              <w:rPr>
                <w:b/>
                <w:color w:val="000000"/>
              </w:rPr>
            </w:pPr>
            <w:r w:rsidRPr="00D9225F">
              <w:rPr>
                <w:b/>
                <w:color w:val="000000"/>
              </w:rPr>
              <w:t>0</w:t>
            </w:r>
          </w:p>
        </w:tc>
      </w:tr>
      <w:tr w:rsidR="0040239E" w:rsidRPr="007B7470" w14:paraId="489B7731" w14:textId="77777777" w:rsidTr="0040239E">
        <w:trPr>
          <w:trHeight w:val="300"/>
          <w:jc w:val="center"/>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D7F588F" w14:textId="77777777" w:rsidR="0040239E" w:rsidRPr="007B7470" w:rsidRDefault="0040239E" w:rsidP="00911BB2">
            <w:pPr>
              <w:rPr>
                <w:b/>
                <w:bCs/>
                <w:color w:val="000000" w:themeColor="text1"/>
                <w:sz w:val="24"/>
                <w:szCs w:val="24"/>
              </w:rPr>
            </w:pPr>
            <w:r w:rsidRPr="007B7470">
              <w:rPr>
                <w:b/>
                <w:bCs/>
                <w:color w:val="000000" w:themeColor="text1"/>
                <w:sz w:val="24"/>
                <w:szCs w:val="24"/>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754795" w14:textId="77777777" w:rsidR="0040239E" w:rsidRPr="00D9225F" w:rsidRDefault="0040239E" w:rsidP="00911BB2">
            <w:pPr>
              <w:jc w:val="right"/>
              <w:rPr>
                <w:b/>
                <w:color w:val="000000"/>
              </w:rPr>
            </w:pPr>
            <w:r w:rsidRPr="00D9225F">
              <w:rPr>
                <w:b/>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47ECAE" w14:textId="77777777" w:rsidR="0040239E" w:rsidRPr="00D9225F" w:rsidRDefault="0040239E" w:rsidP="00911BB2">
            <w:pPr>
              <w:jc w:val="right"/>
              <w:rPr>
                <w:b/>
                <w:color w:val="000000"/>
              </w:rPr>
            </w:pPr>
            <w:r w:rsidRPr="00D9225F">
              <w:rPr>
                <w:b/>
                <w:color w:val="00000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4FA8F9" w14:textId="77777777" w:rsidR="0040239E" w:rsidRPr="00D9225F" w:rsidRDefault="0040239E" w:rsidP="00911BB2">
            <w:pPr>
              <w:jc w:val="right"/>
              <w:rPr>
                <w:b/>
                <w:color w:val="000000"/>
              </w:rPr>
            </w:pPr>
            <w:r>
              <w:rPr>
                <w:b/>
                <w:color w:val="00000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124986" w14:textId="77777777" w:rsidR="0040239E" w:rsidRPr="00D9225F" w:rsidRDefault="0040239E" w:rsidP="00911BB2">
            <w:pPr>
              <w:jc w:val="right"/>
              <w:rPr>
                <w:b/>
                <w:color w:val="000000"/>
              </w:rPr>
            </w:pPr>
            <w:r w:rsidRPr="00D9225F">
              <w:rPr>
                <w:b/>
                <w:color w:val="000000"/>
              </w:rPr>
              <w:t>0</w:t>
            </w:r>
          </w:p>
        </w:tc>
      </w:tr>
    </w:tbl>
    <w:p w14:paraId="0F3860A8" w14:textId="77777777" w:rsidR="0040239E" w:rsidRPr="007B7470" w:rsidRDefault="0040239E" w:rsidP="0040239E">
      <w:pPr>
        <w:rPr>
          <w:b/>
          <w:bCs/>
          <w:sz w:val="24"/>
          <w:szCs w:val="24"/>
        </w:rPr>
      </w:pPr>
    </w:p>
    <w:p w14:paraId="00E0B5F2" w14:textId="77777777" w:rsidR="0040239E" w:rsidRPr="007B7470" w:rsidRDefault="0040239E" w:rsidP="0040239E">
      <w:pPr>
        <w:rPr>
          <w:b/>
          <w:bCs/>
          <w:sz w:val="24"/>
          <w:szCs w:val="24"/>
        </w:rPr>
      </w:pPr>
      <w:r w:rsidRPr="007B7470">
        <w:rPr>
          <w:b/>
          <w:bCs/>
          <w:sz w:val="24"/>
          <w:szCs w:val="24"/>
        </w:rPr>
        <w:t>2.1.1. Financovanie návrhu - Návrh na riešenie úbytku príjmov alebo zvýšených výdavkov podľa § 33 ods. 1 zákona č. 523/2004 Z. z. o rozpočtových pravidlách verejnej správy:</w:t>
      </w:r>
    </w:p>
    <w:p w14:paraId="47B0BF22" w14:textId="77777777" w:rsidR="0040239E" w:rsidRPr="007B7470" w:rsidRDefault="0040239E" w:rsidP="0040239E">
      <w:pPr>
        <w:jc w:val="both"/>
        <w:rPr>
          <w:b/>
          <w:bCs/>
          <w:sz w:val="12"/>
          <w:szCs w:val="24"/>
        </w:rPr>
      </w:pPr>
    </w:p>
    <w:p w14:paraId="62A15A5C" w14:textId="77777777" w:rsidR="0040239E" w:rsidRPr="003076FF" w:rsidRDefault="0040239E" w:rsidP="0040239E">
      <w:pPr>
        <w:pBdr>
          <w:top w:val="single" w:sz="4" w:space="1" w:color="auto"/>
          <w:left w:val="single" w:sz="4" w:space="4" w:color="auto"/>
          <w:bottom w:val="single" w:sz="4" w:space="0" w:color="auto"/>
          <w:right w:val="single" w:sz="4" w:space="4" w:color="auto"/>
        </w:pBdr>
        <w:jc w:val="both"/>
        <w:rPr>
          <w:rFonts w:eastAsia="Calibri"/>
          <w:bCs/>
          <w:sz w:val="24"/>
          <w:szCs w:val="24"/>
        </w:rPr>
      </w:pPr>
      <w:r w:rsidRPr="003076FF">
        <w:rPr>
          <w:rFonts w:eastAsia="Calibri"/>
          <w:bCs/>
          <w:sz w:val="24"/>
          <w:szCs w:val="24"/>
        </w:rPr>
        <w:t>Návrh zákona predpokladá pozitívny vplyv na rozpočet verejnej správy, ktorý predstavuje príjem štátneho rozpočtu</w:t>
      </w:r>
      <w:r>
        <w:rPr>
          <w:rFonts w:eastAsia="Calibri"/>
          <w:bCs/>
          <w:sz w:val="24"/>
          <w:szCs w:val="24"/>
        </w:rPr>
        <w:t xml:space="preserve"> (nájomné)</w:t>
      </w:r>
      <w:r w:rsidRPr="003076FF">
        <w:rPr>
          <w:rFonts w:eastAsia="Calibri"/>
          <w:bCs/>
          <w:sz w:val="24"/>
          <w:szCs w:val="24"/>
        </w:rPr>
        <w:t xml:space="preserve"> </w:t>
      </w:r>
      <w:r>
        <w:rPr>
          <w:rFonts w:eastAsia="Calibri"/>
          <w:bCs/>
          <w:sz w:val="24"/>
          <w:szCs w:val="24"/>
        </w:rPr>
        <w:t xml:space="preserve">v prípade uzatvorenia nájomnej zmluvy na prenájom pozemkov vo vlastníctve štátu. </w:t>
      </w:r>
      <w:r w:rsidRPr="003076FF">
        <w:rPr>
          <w:rFonts w:eastAsia="Calibri"/>
          <w:bCs/>
          <w:sz w:val="24"/>
          <w:szCs w:val="24"/>
        </w:rPr>
        <w:t>Výšku tohto vplyvu však nie je možné určiť ani odhadom</w:t>
      </w:r>
      <w:r>
        <w:rPr>
          <w:rFonts w:eastAsia="Calibri"/>
          <w:bCs/>
          <w:sz w:val="24"/>
          <w:szCs w:val="24"/>
        </w:rPr>
        <w:t>,</w:t>
      </w:r>
      <w:r w:rsidRPr="003076FF">
        <w:rPr>
          <w:rFonts w:eastAsia="Calibri"/>
          <w:bCs/>
          <w:sz w:val="24"/>
          <w:szCs w:val="24"/>
        </w:rPr>
        <w:t xml:space="preserve"> či na základe expertného výpočtu. </w:t>
      </w:r>
    </w:p>
    <w:p w14:paraId="63146D03" w14:textId="77777777" w:rsidR="0040239E" w:rsidRPr="003076FF" w:rsidRDefault="0040239E" w:rsidP="0040239E">
      <w:pPr>
        <w:pBdr>
          <w:top w:val="single" w:sz="4" w:space="1" w:color="auto"/>
          <w:left w:val="single" w:sz="4" w:space="4" w:color="auto"/>
          <w:bottom w:val="single" w:sz="4" w:space="0" w:color="auto"/>
          <w:right w:val="single" w:sz="4" w:space="4" w:color="auto"/>
        </w:pBdr>
        <w:jc w:val="both"/>
        <w:rPr>
          <w:rFonts w:eastAsia="Calibri"/>
          <w:bCs/>
          <w:sz w:val="24"/>
          <w:szCs w:val="24"/>
        </w:rPr>
      </w:pPr>
    </w:p>
    <w:p w14:paraId="21A6F404" w14:textId="77777777" w:rsidR="0040239E" w:rsidRPr="00C25CD7" w:rsidRDefault="0040239E" w:rsidP="0040239E">
      <w:pPr>
        <w:pBdr>
          <w:top w:val="single" w:sz="4" w:space="1" w:color="auto"/>
          <w:left w:val="single" w:sz="4" w:space="4" w:color="auto"/>
          <w:bottom w:val="single" w:sz="4" w:space="0" w:color="auto"/>
          <w:right w:val="single" w:sz="4" w:space="4" w:color="auto"/>
        </w:pBdr>
        <w:jc w:val="both"/>
        <w:rPr>
          <w:sz w:val="24"/>
          <w:szCs w:val="24"/>
        </w:rPr>
      </w:pPr>
      <w:r w:rsidRPr="003076FF">
        <w:rPr>
          <w:rFonts w:eastAsia="Calibri"/>
          <w:bCs/>
          <w:sz w:val="24"/>
          <w:szCs w:val="24"/>
        </w:rPr>
        <w:t>Súčasne návrh zákona predpokladá negatívny vplyv na rozpoč</w:t>
      </w:r>
      <w:r>
        <w:rPr>
          <w:rFonts w:eastAsia="Calibri"/>
          <w:bCs/>
          <w:sz w:val="24"/>
          <w:szCs w:val="24"/>
        </w:rPr>
        <w:t xml:space="preserve">et verejnej správy, ktorý je zabezpečený v rozpočte kapitoly </w:t>
      </w:r>
      <w:r w:rsidRPr="003076FF">
        <w:rPr>
          <w:rFonts w:eastAsia="Calibri"/>
          <w:bCs/>
          <w:sz w:val="24"/>
          <w:szCs w:val="24"/>
        </w:rPr>
        <w:t>Ministerst</w:t>
      </w:r>
      <w:r>
        <w:rPr>
          <w:rFonts w:eastAsia="Calibri"/>
          <w:bCs/>
          <w:sz w:val="24"/>
          <w:szCs w:val="24"/>
        </w:rPr>
        <w:t>va dopravy Slovenskej republiky.</w:t>
      </w:r>
    </w:p>
    <w:p w14:paraId="1CEC14D2" w14:textId="77777777" w:rsidR="0040239E" w:rsidRDefault="0040239E" w:rsidP="0040239E">
      <w:pPr>
        <w:rPr>
          <w:b/>
          <w:bCs/>
          <w:sz w:val="24"/>
          <w:szCs w:val="24"/>
        </w:rPr>
      </w:pPr>
    </w:p>
    <w:p w14:paraId="27E78E30" w14:textId="77777777" w:rsidR="0040239E" w:rsidRDefault="0040239E" w:rsidP="0040239E">
      <w:pPr>
        <w:rPr>
          <w:b/>
          <w:bCs/>
          <w:sz w:val="24"/>
          <w:szCs w:val="24"/>
        </w:rPr>
      </w:pPr>
    </w:p>
    <w:p w14:paraId="79468F5E" w14:textId="77777777" w:rsidR="0040239E" w:rsidRPr="007B7470" w:rsidRDefault="0040239E" w:rsidP="0040239E">
      <w:pPr>
        <w:rPr>
          <w:b/>
          <w:bCs/>
          <w:sz w:val="24"/>
          <w:szCs w:val="24"/>
        </w:rPr>
      </w:pPr>
      <w:r w:rsidRPr="007B7470">
        <w:rPr>
          <w:b/>
          <w:bCs/>
          <w:sz w:val="24"/>
          <w:szCs w:val="24"/>
        </w:rPr>
        <w:t>2.2. Popis a charakteristika návrhu</w:t>
      </w:r>
    </w:p>
    <w:p w14:paraId="22F6F160" w14:textId="77777777" w:rsidR="0040239E" w:rsidRPr="007B7470" w:rsidRDefault="0040239E" w:rsidP="0040239E">
      <w:pPr>
        <w:rPr>
          <w:sz w:val="24"/>
          <w:szCs w:val="24"/>
        </w:rPr>
      </w:pPr>
    </w:p>
    <w:p w14:paraId="7696BCD3" w14:textId="77777777" w:rsidR="0040239E" w:rsidRPr="007B7470" w:rsidRDefault="0040239E" w:rsidP="0040239E">
      <w:pPr>
        <w:jc w:val="both"/>
        <w:rPr>
          <w:b/>
          <w:bCs/>
          <w:sz w:val="24"/>
          <w:szCs w:val="24"/>
        </w:rPr>
      </w:pPr>
      <w:r w:rsidRPr="007B7470">
        <w:rPr>
          <w:b/>
          <w:bCs/>
          <w:sz w:val="24"/>
          <w:szCs w:val="24"/>
        </w:rPr>
        <w:t>2.2.1. Popis návrhu:</w:t>
      </w:r>
    </w:p>
    <w:p w14:paraId="0FD6D966" w14:textId="77777777" w:rsidR="0040239E" w:rsidRPr="007B7470" w:rsidRDefault="0040239E" w:rsidP="0040239E">
      <w:pPr>
        <w:jc w:val="both"/>
        <w:rPr>
          <w:b/>
          <w:bCs/>
          <w:sz w:val="24"/>
          <w:szCs w:val="24"/>
        </w:rPr>
      </w:pPr>
    </w:p>
    <w:p w14:paraId="405EE383" w14:textId="77777777" w:rsidR="0040239E" w:rsidRPr="007B7470" w:rsidRDefault="0040239E" w:rsidP="0040239E">
      <w:pPr>
        <w:ind w:firstLine="708"/>
        <w:jc w:val="both"/>
        <w:rPr>
          <w:sz w:val="24"/>
          <w:szCs w:val="24"/>
        </w:rPr>
      </w:pPr>
      <w:r w:rsidRPr="007B7470">
        <w:rPr>
          <w:sz w:val="24"/>
          <w:szCs w:val="24"/>
        </w:rPr>
        <w:t>Akú problematiku návrh rieši? Kto bude návrh implementovať? Kde sa budú služby poskytovať?</w:t>
      </w:r>
    </w:p>
    <w:p w14:paraId="134B010B" w14:textId="77777777" w:rsidR="0040239E" w:rsidRPr="007B7470" w:rsidRDefault="0040239E" w:rsidP="0040239E">
      <w:pPr>
        <w:rPr>
          <w:sz w:val="24"/>
          <w:szCs w:val="24"/>
        </w:rPr>
      </w:pPr>
    </w:p>
    <w:p w14:paraId="3F73BE6A" w14:textId="77777777" w:rsidR="0040239E" w:rsidRPr="007D3B39" w:rsidRDefault="0040239E" w:rsidP="0040239E">
      <w:pPr>
        <w:ind w:firstLine="709"/>
        <w:jc w:val="both"/>
        <w:rPr>
          <w:rFonts w:eastAsia="Calibri"/>
          <w:sz w:val="24"/>
        </w:rPr>
      </w:pPr>
      <w:r w:rsidRPr="007D3B39">
        <w:rPr>
          <w:rFonts w:eastAsia="Calibri"/>
          <w:bCs/>
          <w:sz w:val="24"/>
          <w:szCs w:val="24"/>
        </w:rPr>
        <w:t>Návrh zákona predstavuje právnu úpravu</w:t>
      </w:r>
      <w:r>
        <w:rPr>
          <w:rFonts w:eastAsia="Calibri"/>
          <w:bCs/>
          <w:sz w:val="24"/>
          <w:szCs w:val="24"/>
        </w:rPr>
        <w:t xml:space="preserve"> sp</w:t>
      </w:r>
      <w:r w:rsidRPr="00424F1B">
        <w:rPr>
          <w:rFonts w:eastAsia="Calibri"/>
          <w:bCs/>
          <w:sz w:val="24"/>
          <w:szCs w:val="24"/>
        </w:rPr>
        <w:t>rávy majetku štátu odlišnú od všeobecnej úpravy správy majetku štátu</w:t>
      </w:r>
      <w:r w:rsidRPr="007D3B39">
        <w:rPr>
          <w:rFonts w:eastAsia="Calibri"/>
          <w:bCs/>
          <w:sz w:val="24"/>
          <w:szCs w:val="24"/>
        </w:rPr>
        <w:t xml:space="preserve">, na základe ktorej bude Ministerstvo dopravy Slovenskej republiky oprávnené na kúpu uvedených pozemkov </w:t>
      </w:r>
      <w:r w:rsidRPr="007D3B39">
        <w:rPr>
          <w:rFonts w:eastAsia="Calibri"/>
          <w:sz w:val="24"/>
        </w:rPr>
        <w:t>do vlastníctva štátu a následne</w:t>
      </w:r>
      <w:r>
        <w:rPr>
          <w:rFonts w:eastAsia="Calibri"/>
          <w:sz w:val="24"/>
        </w:rPr>
        <w:t xml:space="preserve"> na základe nájomnej zmluvy na ich prenájom </w:t>
      </w:r>
      <w:r w:rsidRPr="007D3B39">
        <w:rPr>
          <w:rFonts w:eastAsia="Calibri"/>
          <w:sz w:val="24"/>
        </w:rPr>
        <w:t>letiskovej spoločnosti.</w:t>
      </w:r>
    </w:p>
    <w:p w14:paraId="565CC3EB" w14:textId="77777777" w:rsidR="0040239E" w:rsidRPr="007D3B39" w:rsidRDefault="0040239E" w:rsidP="0040239E">
      <w:pPr>
        <w:jc w:val="both"/>
        <w:rPr>
          <w:rFonts w:eastAsia="Calibri"/>
          <w:sz w:val="24"/>
        </w:rPr>
      </w:pPr>
    </w:p>
    <w:p w14:paraId="3FD4FF4A" w14:textId="77777777" w:rsidR="0040239E" w:rsidRPr="007D3B39" w:rsidRDefault="0040239E" w:rsidP="0040239E">
      <w:pPr>
        <w:ind w:firstLine="709"/>
        <w:jc w:val="both"/>
        <w:rPr>
          <w:rFonts w:eastAsia="Calibri"/>
          <w:sz w:val="24"/>
        </w:rPr>
      </w:pPr>
    </w:p>
    <w:p w14:paraId="69528974" w14:textId="77777777" w:rsidR="0040239E" w:rsidRPr="007D3B39" w:rsidRDefault="0040239E" w:rsidP="0040239E">
      <w:pPr>
        <w:jc w:val="both"/>
        <w:rPr>
          <w:rFonts w:eastAsia="Calibri"/>
          <w:sz w:val="24"/>
        </w:rPr>
      </w:pPr>
    </w:p>
    <w:p w14:paraId="1E702399" w14:textId="77777777" w:rsidR="0040239E" w:rsidRPr="007D3B39" w:rsidRDefault="0040239E" w:rsidP="0040239E">
      <w:pPr>
        <w:ind w:firstLine="709"/>
        <w:jc w:val="both"/>
        <w:rPr>
          <w:rFonts w:eastAsia="Calibri"/>
          <w:bCs/>
          <w:sz w:val="24"/>
          <w:szCs w:val="24"/>
        </w:rPr>
      </w:pPr>
      <w:r w:rsidRPr="007D3B39">
        <w:rPr>
          <w:rFonts w:eastAsia="Calibri"/>
          <w:bCs/>
          <w:sz w:val="24"/>
          <w:szCs w:val="24"/>
        </w:rPr>
        <w:t>Návrh zákona zohľadňuje problémy aplikačnej praxe, ako aj jednoznačné stanovisko Európskej únie, generálneho riaditeľstva pre hospodársku súťaž.</w:t>
      </w:r>
    </w:p>
    <w:p w14:paraId="4F12731B" w14:textId="77777777" w:rsidR="0040239E" w:rsidRPr="007B7470" w:rsidRDefault="0040239E" w:rsidP="0040239E">
      <w:pPr>
        <w:rPr>
          <w:sz w:val="24"/>
          <w:szCs w:val="24"/>
        </w:rPr>
      </w:pPr>
    </w:p>
    <w:p w14:paraId="11D6BA70" w14:textId="77777777" w:rsidR="0040239E" w:rsidRPr="007B7470" w:rsidRDefault="0040239E" w:rsidP="0040239E">
      <w:pPr>
        <w:rPr>
          <w:sz w:val="24"/>
          <w:szCs w:val="24"/>
        </w:rPr>
      </w:pPr>
    </w:p>
    <w:p w14:paraId="75BB162D" w14:textId="77777777" w:rsidR="0040239E" w:rsidRPr="007B7470" w:rsidRDefault="0040239E" w:rsidP="0040239E">
      <w:pPr>
        <w:rPr>
          <w:b/>
          <w:bCs/>
          <w:sz w:val="24"/>
          <w:szCs w:val="24"/>
        </w:rPr>
      </w:pPr>
      <w:r w:rsidRPr="007B7470">
        <w:rPr>
          <w:b/>
          <w:bCs/>
          <w:sz w:val="24"/>
          <w:szCs w:val="24"/>
        </w:rPr>
        <w:t>2.2.2. Charakteristika návrhu:</w:t>
      </w:r>
    </w:p>
    <w:p w14:paraId="254EC518" w14:textId="77777777" w:rsidR="0040239E" w:rsidRPr="007B7470" w:rsidRDefault="0040239E" w:rsidP="0040239E">
      <w:pPr>
        <w:rPr>
          <w:sz w:val="24"/>
          <w:szCs w:val="24"/>
        </w:rPr>
      </w:pPr>
    </w:p>
    <w:p w14:paraId="59EBF03A" w14:textId="77777777" w:rsidR="0040239E" w:rsidRPr="007B7470" w:rsidRDefault="0040239E" w:rsidP="0040239E">
      <w:pPr>
        <w:rPr>
          <w:sz w:val="24"/>
          <w:szCs w:val="24"/>
        </w:rPr>
      </w:pPr>
      <w:r w:rsidRPr="007B7470">
        <w:rPr>
          <w:b/>
          <w:sz w:val="24"/>
          <w:szCs w:val="24"/>
          <w:bdr w:val="single" w:sz="4" w:space="0" w:color="auto"/>
        </w:rPr>
        <w:t xml:space="preserve">     </w:t>
      </w:r>
      <w:r w:rsidRPr="007B7470">
        <w:rPr>
          <w:b/>
          <w:sz w:val="24"/>
          <w:szCs w:val="24"/>
        </w:rPr>
        <w:t xml:space="preserve">  </w:t>
      </w:r>
      <w:r w:rsidRPr="007B7470">
        <w:rPr>
          <w:sz w:val="24"/>
          <w:szCs w:val="24"/>
        </w:rPr>
        <w:t>zmena sadzby</w:t>
      </w:r>
    </w:p>
    <w:p w14:paraId="4B6BB7FD" w14:textId="77777777" w:rsidR="0040239E" w:rsidRPr="007B7470" w:rsidRDefault="0040239E" w:rsidP="0040239E">
      <w:pPr>
        <w:rPr>
          <w:sz w:val="24"/>
          <w:szCs w:val="24"/>
        </w:rPr>
      </w:pPr>
      <w:r w:rsidRPr="007B7470">
        <w:rPr>
          <w:sz w:val="24"/>
          <w:szCs w:val="24"/>
          <w:bdr w:val="single" w:sz="4" w:space="0" w:color="auto"/>
        </w:rPr>
        <w:t xml:space="preserve">     </w:t>
      </w:r>
      <w:r w:rsidRPr="007B7470">
        <w:rPr>
          <w:sz w:val="24"/>
          <w:szCs w:val="24"/>
        </w:rPr>
        <w:t xml:space="preserve">  zmena v nároku</w:t>
      </w:r>
    </w:p>
    <w:p w14:paraId="7E7E335B" w14:textId="77777777" w:rsidR="0040239E" w:rsidRPr="007B7470" w:rsidRDefault="0040239E" w:rsidP="0040239E">
      <w:pPr>
        <w:rPr>
          <w:sz w:val="24"/>
          <w:szCs w:val="24"/>
        </w:rPr>
      </w:pPr>
      <w:r w:rsidRPr="007B7470">
        <w:rPr>
          <w:sz w:val="24"/>
          <w:szCs w:val="24"/>
          <w:bdr w:val="single" w:sz="4" w:space="0" w:color="auto"/>
        </w:rPr>
        <w:t xml:space="preserve">     </w:t>
      </w:r>
      <w:r w:rsidRPr="007B7470">
        <w:rPr>
          <w:sz w:val="24"/>
          <w:szCs w:val="24"/>
        </w:rPr>
        <w:t xml:space="preserve">  nová služba alebo nariadenie (alebo ich zrušenie)</w:t>
      </w:r>
    </w:p>
    <w:p w14:paraId="4A853114" w14:textId="77777777" w:rsidR="0040239E" w:rsidRPr="007B7470" w:rsidRDefault="0040239E" w:rsidP="0040239E">
      <w:pPr>
        <w:rPr>
          <w:sz w:val="24"/>
          <w:szCs w:val="24"/>
        </w:rPr>
      </w:pPr>
      <w:r w:rsidRPr="007B7470">
        <w:rPr>
          <w:sz w:val="24"/>
          <w:szCs w:val="24"/>
          <w:bdr w:val="single" w:sz="4" w:space="0" w:color="auto"/>
        </w:rPr>
        <w:t xml:space="preserve">     </w:t>
      </w:r>
      <w:r w:rsidRPr="007B7470">
        <w:rPr>
          <w:sz w:val="24"/>
          <w:szCs w:val="24"/>
        </w:rPr>
        <w:t xml:space="preserve">  kombinovaný návrh</w:t>
      </w:r>
    </w:p>
    <w:p w14:paraId="72B8B264" w14:textId="77777777" w:rsidR="0040239E" w:rsidRPr="007B7470" w:rsidRDefault="0040239E" w:rsidP="0040239E">
      <w:pPr>
        <w:rPr>
          <w:sz w:val="24"/>
          <w:szCs w:val="24"/>
        </w:rPr>
      </w:pPr>
      <w:r w:rsidRPr="007B7470">
        <w:rPr>
          <w:sz w:val="24"/>
          <w:szCs w:val="24"/>
          <w:bdr w:val="single" w:sz="4" w:space="0" w:color="auto"/>
        </w:rPr>
        <w:t xml:space="preserve"> </w:t>
      </w:r>
      <w:r>
        <w:rPr>
          <w:sz w:val="24"/>
          <w:szCs w:val="24"/>
          <w:bdr w:val="single" w:sz="4" w:space="0" w:color="auto"/>
        </w:rPr>
        <w:t xml:space="preserve">×  </w:t>
      </w:r>
      <w:r w:rsidRPr="007B7470">
        <w:rPr>
          <w:sz w:val="24"/>
          <w:szCs w:val="24"/>
        </w:rPr>
        <w:t xml:space="preserve">  iné </w:t>
      </w:r>
    </w:p>
    <w:p w14:paraId="32A09646" w14:textId="77777777" w:rsidR="0040239E" w:rsidRDefault="0040239E" w:rsidP="0040239E">
      <w:pPr>
        <w:rPr>
          <w:sz w:val="24"/>
          <w:szCs w:val="24"/>
        </w:rPr>
      </w:pPr>
    </w:p>
    <w:p w14:paraId="55B1BD4A" w14:textId="77777777" w:rsidR="0040239E" w:rsidRPr="007B7470" w:rsidRDefault="0040239E" w:rsidP="0040239E">
      <w:pPr>
        <w:rPr>
          <w:sz w:val="24"/>
          <w:szCs w:val="24"/>
        </w:rPr>
      </w:pPr>
    </w:p>
    <w:p w14:paraId="1EB7B320" w14:textId="77777777" w:rsidR="0040239E" w:rsidRPr="007B7470" w:rsidRDefault="0040239E" w:rsidP="0040239E">
      <w:pPr>
        <w:rPr>
          <w:sz w:val="24"/>
          <w:szCs w:val="24"/>
        </w:rPr>
      </w:pPr>
      <w:r w:rsidRPr="007B7470">
        <w:rPr>
          <w:b/>
          <w:bCs/>
          <w:sz w:val="24"/>
          <w:szCs w:val="24"/>
        </w:rPr>
        <w:t>2.2.3. Predpoklady vývoja objemu aktivít:</w:t>
      </w:r>
    </w:p>
    <w:p w14:paraId="085F940B" w14:textId="77777777" w:rsidR="0040239E" w:rsidRPr="007B7470" w:rsidRDefault="0040239E" w:rsidP="0040239E">
      <w:pPr>
        <w:rPr>
          <w:sz w:val="24"/>
          <w:szCs w:val="24"/>
        </w:rPr>
      </w:pPr>
    </w:p>
    <w:p w14:paraId="55BF0D10" w14:textId="77777777" w:rsidR="0040239E" w:rsidRPr="007B7470" w:rsidRDefault="0040239E" w:rsidP="0040239E">
      <w:pPr>
        <w:ind w:firstLine="708"/>
        <w:jc w:val="both"/>
        <w:rPr>
          <w:sz w:val="24"/>
          <w:szCs w:val="24"/>
        </w:rPr>
      </w:pPr>
      <w:r w:rsidRPr="007B7470">
        <w:rPr>
          <w:sz w:val="24"/>
          <w:szCs w:val="24"/>
        </w:rPr>
        <w:t>Jasne popíšte, v prípade potreby použite nižšie uvedenú tabuľku. Uveďte aj odhady základov daní a/alebo poplatkov, ak sa ich táto zmena týka.</w:t>
      </w:r>
    </w:p>
    <w:p w14:paraId="1D64F8F4" w14:textId="77777777" w:rsidR="0040239E" w:rsidRPr="007B7470" w:rsidRDefault="0040239E" w:rsidP="0040239E">
      <w:pPr>
        <w:jc w:val="right"/>
      </w:pPr>
      <w:r w:rsidRPr="007B7470">
        <w:t xml:space="preserve">Tabuľka č. 2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06"/>
        <w:gridCol w:w="1206"/>
        <w:gridCol w:w="1206"/>
        <w:gridCol w:w="1206"/>
      </w:tblGrid>
      <w:tr w:rsidR="0040239E" w:rsidRPr="007B7470" w14:paraId="1E3ECFAD" w14:textId="77777777" w:rsidTr="0040239E">
        <w:trPr>
          <w:trHeight w:val="70"/>
        </w:trPr>
        <w:tc>
          <w:tcPr>
            <w:tcW w:w="4530" w:type="dxa"/>
            <w:vMerge w:val="restart"/>
            <w:shd w:val="clear" w:color="auto" w:fill="BFBFBF" w:themeFill="background1" w:themeFillShade="BF"/>
            <w:vAlign w:val="center"/>
          </w:tcPr>
          <w:p w14:paraId="45AF6FD3" w14:textId="77777777" w:rsidR="0040239E" w:rsidRPr="007B7470" w:rsidRDefault="0040239E" w:rsidP="00911BB2">
            <w:pPr>
              <w:jc w:val="center"/>
              <w:rPr>
                <w:b/>
                <w:bCs/>
                <w:sz w:val="24"/>
                <w:szCs w:val="24"/>
              </w:rPr>
            </w:pPr>
            <w:r w:rsidRPr="007B7470">
              <w:rPr>
                <w:b/>
                <w:bCs/>
                <w:sz w:val="24"/>
                <w:szCs w:val="24"/>
              </w:rPr>
              <w:t>Objem aktivít</w:t>
            </w:r>
          </w:p>
        </w:tc>
        <w:tc>
          <w:tcPr>
            <w:tcW w:w="1134" w:type="dxa"/>
            <w:gridSpan w:val="4"/>
            <w:shd w:val="clear" w:color="auto" w:fill="BFBFBF" w:themeFill="background1" w:themeFillShade="BF"/>
            <w:vAlign w:val="center"/>
          </w:tcPr>
          <w:p w14:paraId="7661BA8E" w14:textId="77777777" w:rsidR="0040239E" w:rsidRPr="007B7470" w:rsidRDefault="0040239E" w:rsidP="00911BB2">
            <w:pPr>
              <w:jc w:val="center"/>
              <w:rPr>
                <w:b/>
                <w:bCs/>
                <w:sz w:val="24"/>
                <w:szCs w:val="24"/>
              </w:rPr>
            </w:pPr>
            <w:r w:rsidRPr="007B7470">
              <w:rPr>
                <w:b/>
                <w:bCs/>
                <w:sz w:val="24"/>
                <w:szCs w:val="24"/>
              </w:rPr>
              <w:t>Odhadované objemy</w:t>
            </w:r>
          </w:p>
        </w:tc>
      </w:tr>
      <w:tr w:rsidR="0040239E" w:rsidRPr="007B7470" w14:paraId="66EB181E" w14:textId="77777777" w:rsidTr="0040239E">
        <w:trPr>
          <w:trHeight w:val="70"/>
        </w:trPr>
        <w:tc>
          <w:tcPr>
            <w:tcW w:w="4530" w:type="dxa"/>
            <w:vMerge/>
            <w:shd w:val="clear" w:color="auto" w:fill="BFBFBF" w:themeFill="background1" w:themeFillShade="BF"/>
          </w:tcPr>
          <w:p w14:paraId="6AB1DD83" w14:textId="77777777" w:rsidR="0040239E" w:rsidRPr="007B7470" w:rsidRDefault="0040239E" w:rsidP="00911BB2">
            <w:pPr>
              <w:jc w:val="center"/>
              <w:rPr>
                <w:b/>
                <w:bCs/>
                <w:sz w:val="24"/>
                <w:szCs w:val="24"/>
              </w:rPr>
            </w:pPr>
          </w:p>
        </w:tc>
        <w:tc>
          <w:tcPr>
            <w:tcW w:w="1134" w:type="dxa"/>
            <w:shd w:val="clear" w:color="auto" w:fill="BFBFBF" w:themeFill="background1" w:themeFillShade="BF"/>
            <w:vAlign w:val="center"/>
          </w:tcPr>
          <w:p w14:paraId="448BD73C" w14:textId="77777777" w:rsidR="0040239E" w:rsidRPr="007B7470" w:rsidRDefault="0040239E" w:rsidP="00911BB2">
            <w:pPr>
              <w:jc w:val="center"/>
              <w:rPr>
                <w:b/>
                <w:bCs/>
                <w:sz w:val="24"/>
                <w:szCs w:val="24"/>
              </w:rPr>
            </w:pPr>
            <w:r w:rsidRPr="007B7470">
              <w:rPr>
                <w:b/>
                <w:bCs/>
                <w:sz w:val="24"/>
                <w:szCs w:val="24"/>
              </w:rPr>
              <w:t>r</w:t>
            </w:r>
          </w:p>
        </w:tc>
        <w:tc>
          <w:tcPr>
            <w:tcW w:w="1134" w:type="dxa"/>
            <w:shd w:val="clear" w:color="auto" w:fill="BFBFBF" w:themeFill="background1" w:themeFillShade="BF"/>
            <w:vAlign w:val="center"/>
          </w:tcPr>
          <w:p w14:paraId="43CD012C" w14:textId="77777777" w:rsidR="0040239E" w:rsidRPr="007B7470" w:rsidRDefault="0040239E" w:rsidP="00911BB2">
            <w:pPr>
              <w:jc w:val="center"/>
              <w:rPr>
                <w:b/>
                <w:bCs/>
                <w:sz w:val="24"/>
                <w:szCs w:val="24"/>
              </w:rPr>
            </w:pPr>
            <w:r w:rsidRPr="007B7470">
              <w:rPr>
                <w:b/>
                <w:bCs/>
                <w:sz w:val="24"/>
                <w:szCs w:val="24"/>
              </w:rPr>
              <w:t>r + 1</w:t>
            </w:r>
          </w:p>
        </w:tc>
        <w:tc>
          <w:tcPr>
            <w:tcW w:w="1134" w:type="dxa"/>
            <w:shd w:val="clear" w:color="auto" w:fill="BFBFBF" w:themeFill="background1" w:themeFillShade="BF"/>
            <w:vAlign w:val="center"/>
          </w:tcPr>
          <w:p w14:paraId="2AB2CFCD" w14:textId="77777777" w:rsidR="0040239E" w:rsidRPr="007B7470" w:rsidRDefault="0040239E" w:rsidP="00911BB2">
            <w:pPr>
              <w:jc w:val="center"/>
              <w:rPr>
                <w:b/>
                <w:bCs/>
                <w:sz w:val="24"/>
                <w:szCs w:val="24"/>
              </w:rPr>
            </w:pPr>
            <w:r w:rsidRPr="007B7470">
              <w:rPr>
                <w:b/>
                <w:bCs/>
                <w:sz w:val="24"/>
                <w:szCs w:val="24"/>
              </w:rPr>
              <w:t>r + 2</w:t>
            </w:r>
          </w:p>
        </w:tc>
        <w:tc>
          <w:tcPr>
            <w:tcW w:w="1134" w:type="dxa"/>
            <w:shd w:val="clear" w:color="auto" w:fill="BFBFBF" w:themeFill="background1" w:themeFillShade="BF"/>
            <w:vAlign w:val="center"/>
          </w:tcPr>
          <w:p w14:paraId="28DAA4A5" w14:textId="77777777" w:rsidR="0040239E" w:rsidRPr="007B7470" w:rsidRDefault="0040239E" w:rsidP="00911BB2">
            <w:pPr>
              <w:jc w:val="center"/>
              <w:rPr>
                <w:b/>
                <w:bCs/>
                <w:sz w:val="24"/>
                <w:szCs w:val="24"/>
              </w:rPr>
            </w:pPr>
            <w:r w:rsidRPr="007B7470">
              <w:rPr>
                <w:b/>
                <w:bCs/>
                <w:sz w:val="24"/>
                <w:szCs w:val="24"/>
              </w:rPr>
              <w:t>r + 3</w:t>
            </w:r>
          </w:p>
        </w:tc>
      </w:tr>
      <w:tr w:rsidR="0040239E" w:rsidRPr="007B7470" w14:paraId="58138A92" w14:textId="77777777" w:rsidTr="0040239E">
        <w:trPr>
          <w:trHeight w:val="70"/>
        </w:trPr>
        <w:tc>
          <w:tcPr>
            <w:tcW w:w="4530" w:type="dxa"/>
          </w:tcPr>
          <w:p w14:paraId="6409305B" w14:textId="77777777" w:rsidR="0040239E" w:rsidRPr="007B7470" w:rsidRDefault="0040239E" w:rsidP="00911BB2">
            <w:pPr>
              <w:rPr>
                <w:color w:val="000000"/>
                <w:sz w:val="24"/>
                <w:szCs w:val="24"/>
              </w:rPr>
            </w:pPr>
            <w:r w:rsidRPr="007B7470">
              <w:rPr>
                <w:color w:val="000000"/>
                <w:sz w:val="24"/>
                <w:szCs w:val="24"/>
              </w:rPr>
              <w:t>Indikátor ABC</w:t>
            </w:r>
          </w:p>
        </w:tc>
        <w:tc>
          <w:tcPr>
            <w:tcW w:w="1134" w:type="dxa"/>
          </w:tcPr>
          <w:p w14:paraId="4F90FDC1" w14:textId="77777777" w:rsidR="0040239E" w:rsidRPr="007B7470" w:rsidRDefault="0040239E" w:rsidP="00911BB2">
            <w:pPr>
              <w:jc w:val="right"/>
              <w:rPr>
                <w:color w:val="000000"/>
                <w:sz w:val="24"/>
                <w:szCs w:val="24"/>
              </w:rPr>
            </w:pPr>
          </w:p>
        </w:tc>
        <w:tc>
          <w:tcPr>
            <w:tcW w:w="1134" w:type="dxa"/>
          </w:tcPr>
          <w:p w14:paraId="0863C822" w14:textId="77777777" w:rsidR="0040239E" w:rsidRPr="007B7470" w:rsidRDefault="0040239E" w:rsidP="00911BB2">
            <w:pPr>
              <w:jc w:val="right"/>
              <w:rPr>
                <w:color w:val="000000"/>
                <w:sz w:val="24"/>
                <w:szCs w:val="24"/>
              </w:rPr>
            </w:pPr>
          </w:p>
        </w:tc>
        <w:tc>
          <w:tcPr>
            <w:tcW w:w="1134" w:type="dxa"/>
          </w:tcPr>
          <w:p w14:paraId="77016CDB" w14:textId="77777777" w:rsidR="0040239E" w:rsidRPr="007B7470" w:rsidRDefault="0040239E" w:rsidP="00911BB2">
            <w:pPr>
              <w:jc w:val="right"/>
              <w:rPr>
                <w:color w:val="000000"/>
                <w:sz w:val="24"/>
                <w:szCs w:val="24"/>
              </w:rPr>
            </w:pPr>
          </w:p>
        </w:tc>
        <w:tc>
          <w:tcPr>
            <w:tcW w:w="1134" w:type="dxa"/>
          </w:tcPr>
          <w:p w14:paraId="0CBA09B8" w14:textId="77777777" w:rsidR="0040239E" w:rsidRPr="007B7470" w:rsidRDefault="0040239E" w:rsidP="00911BB2">
            <w:pPr>
              <w:jc w:val="right"/>
              <w:rPr>
                <w:color w:val="000000"/>
                <w:sz w:val="24"/>
                <w:szCs w:val="24"/>
              </w:rPr>
            </w:pPr>
          </w:p>
        </w:tc>
      </w:tr>
      <w:tr w:rsidR="0040239E" w:rsidRPr="007B7470" w14:paraId="30F2AFDD" w14:textId="77777777" w:rsidTr="0040239E">
        <w:trPr>
          <w:trHeight w:val="70"/>
        </w:trPr>
        <w:tc>
          <w:tcPr>
            <w:tcW w:w="4530" w:type="dxa"/>
          </w:tcPr>
          <w:p w14:paraId="00B7DBC2" w14:textId="77777777" w:rsidR="0040239E" w:rsidRPr="007B7470" w:rsidRDefault="0040239E" w:rsidP="00911BB2">
            <w:pPr>
              <w:rPr>
                <w:color w:val="000000"/>
                <w:sz w:val="24"/>
                <w:szCs w:val="24"/>
              </w:rPr>
            </w:pPr>
            <w:r w:rsidRPr="007B7470">
              <w:rPr>
                <w:color w:val="000000"/>
                <w:sz w:val="24"/>
                <w:szCs w:val="24"/>
              </w:rPr>
              <w:t>Indikátor KLM</w:t>
            </w:r>
          </w:p>
        </w:tc>
        <w:tc>
          <w:tcPr>
            <w:tcW w:w="1134" w:type="dxa"/>
          </w:tcPr>
          <w:p w14:paraId="2876575A" w14:textId="77777777" w:rsidR="0040239E" w:rsidRPr="007B7470" w:rsidRDefault="0040239E" w:rsidP="00911BB2">
            <w:pPr>
              <w:jc w:val="right"/>
              <w:rPr>
                <w:color w:val="000000"/>
                <w:sz w:val="24"/>
                <w:szCs w:val="24"/>
              </w:rPr>
            </w:pPr>
          </w:p>
        </w:tc>
        <w:tc>
          <w:tcPr>
            <w:tcW w:w="1134" w:type="dxa"/>
          </w:tcPr>
          <w:p w14:paraId="5F01E22C" w14:textId="77777777" w:rsidR="0040239E" w:rsidRPr="007B7470" w:rsidRDefault="0040239E" w:rsidP="00911BB2">
            <w:pPr>
              <w:jc w:val="right"/>
              <w:rPr>
                <w:color w:val="000000"/>
                <w:sz w:val="24"/>
                <w:szCs w:val="24"/>
              </w:rPr>
            </w:pPr>
          </w:p>
        </w:tc>
        <w:tc>
          <w:tcPr>
            <w:tcW w:w="1134" w:type="dxa"/>
          </w:tcPr>
          <w:p w14:paraId="664EAC74" w14:textId="77777777" w:rsidR="0040239E" w:rsidRPr="007B7470" w:rsidRDefault="0040239E" w:rsidP="00911BB2">
            <w:pPr>
              <w:jc w:val="right"/>
              <w:rPr>
                <w:color w:val="000000"/>
                <w:sz w:val="24"/>
                <w:szCs w:val="24"/>
              </w:rPr>
            </w:pPr>
          </w:p>
        </w:tc>
        <w:tc>
          <w:tcPr>
            <w:tcW w:w="1134" w:type="dxa"/>
          </w:tcPr>
          <w:p w14:paraId="733AC70A" w14:textId="77777777" w:rsidR="0040239E" w:rsidRPr="007B7470" w:rsidRDefault="0040239E" w:rsidP="00911BB2">
            <w:pPr>
              <w:jc w:val="right"/>
              <w:rPr>
                <w:color w:val="000000"/>
                <w:sz w:val="24"/>
                <w:szCs w:val="24"/>
              </w:rPr>
            </w:pPr>
          </w:p>
        </w:tc>
      </w:tr>
      <w:tr w:rsidR="0040239E" w:rsidRPr="007B7470" w14:paraId="43060C35" w14:textId="77777777" w:rsidTr="0040239E">
        <w:trPr>
          <w:trHeight w:val="70"/>
        </w:trPr>
        <w:tc>
          <w:tcPr>
            <w:tcW w:w="4530" w:type="dxa"/>
          </w:tcPr>
          <w:p w14:paraId="6951740B" w14:textId="77777777" w:rsidR="0040239E" w:rsidRPr="007B7470" w:rsidRDefault="0040239E" w:rsidP="00911BB2">
            <w:pPr>
              <w:rPr>
                <w:color w:val="000000"/>
                <w:sz w:val="24"/>
                <w:szCs w:val="24"/>
              </w:rPr>
            </w:pPr>
            <w:r w:rsidRPr="007B7470">
              <w:rPr>
                <w:color w:val="000000"/>
                <w:sz w:val="24"/>
                <w:szCs w:val="24"/>
              </w:rPr>
              <w:t>Indikátor XYZ</w:t>
            </w:r>
          </w:p>
        </w:tc>
        <w:tc>
          <w:tcPr>
            <w:tcW w:w="1134" w:type="dxa"/>
          </w:tcPr>
          <w:p w14:paraId="74DDC420" w14:textId="77777777" w:rsidR="0040239E" w:rsidRPr="007B7470" w:rsidRDefault="0040239E" w:rsidP="00911BB2">
            <w:pPr>
              <w:jc w:val="right"/>
              <w:rPr>
                <w:color w:val="000000"/>
                <w:sz w:val="24"/>
                <w:szCs w:val="24"/>
              </w:rPr>
            </w:pPr>
          </w:p>
        </w:tc>
        <w:tc>
          <w:tcPr>
            <w:tcW w:w="1134" w:type="dxa"/>
          </w:tcPr>
          <w:p w14:paraId="7ABA02AC" w14:textId="77777777" w:rsidR="0040239E" w:rsidRPr="007B7470" w:rsidRDefault="0040239E" w:rsidP="00911BB2">
            <w:pPr>
              <w:jc w:val="right"/>
              <w:rPr>
                <w:color w:val="000000"/>
                <w:sz w:val="24"/>
                <w:szCs w:val="24"/>
              </w:rPr>
            </w:pPr>
          </w:p>
        </w:tc>
        <w:tc>
          <w:tcPr>
            <w:tcW w:w="1134" w:type="dxa"/>
          </w:tcPr>
          <w:p w14:paraId="4D0574D9" w14:textId="77777777" w:rsidR="0040239E" w:rsidRPr="007B7470" w:rsidRDefault="0040239E" w:rsidP="00911BB2">
            <w:pPr>
              <w:jc w:val="right"/>
              <w:rPr>
                <w:color w:val="000000"/>
                <w:sz w:val="24"/>
                <w:szCs w:val="24"/>
              </w:rPr>
            </w:pPr>
          </w:p>
        </w:tc>
        <w:tc>
          <w:tcPr>
            <w:tcW w:w="1134" w:type="dxa"/>
          </w:tcPr>
          <w:p w14:paraId="6560861E" w14:textId="77777777" w:rsidR="0040239E" w:rsidRPr="007B7470" w:rsidRDefault="0040239E" w:rsidP="00911BB2">
            <w:pPr>
              <w:jc w:val="right"/>
              <w:rPr>
                <w:color w:val="000000"/>
                <w:sz w:val="24"/>
                <w:szCs w:val="24"/>
              </w:rPr>
            </w:pPr>
          </w:p>
        </w:tc>
      </w:tr>
    </w:tbl>
    <w:p w14:paraId="5A0F28E4" w14:textId="77777777" w:rsidR="0040239E" w:rsidRPr="007B7470" w:rsidRDefault="0040239E" w:rsidP="0040239E">
      <w:pPr>
        <w:rPr>
          <w:sz w:val="24"/>
          <w:szCs w:val="24"/>
        </w:rPr>
      </w:pPr>
    </w:p>
    <w:p w14:paraId="12A0924A" w14:textId="77777777" w:rsidR="0040239E" w:rsidRPr="007B7470" w:rsidRDefault="0040239E" w:rsidP="0040239E">
      <w:pPr>
        <w:rPr>
          <w:sz w:val="24"/>
          <w:szCs w:val="24"/>
        </w:rPr>
      </w:pPr>
    </w:p>
    <w:p w14:paraId="3518E418" w14:textId="77777777" w:rsidR="0040239E" w:rsidRPr="007B7470" w:rsidRDefault="0040239E" w:rsidP="0040239E">
      <w:pPr>
        <w:rPr>
          <w:b/>
          <w:bCs/>
          <w:sz w:val="24"/>
          <w:szCs w:val="24"/>
        </w:rPr>
      </w:pPr>
      <w:r w:rsidRPr="007B7470">
        <w:rPr>
          <w:b/>
          <w:bCs/>
          <w:sz w:val="24"/>
          <w:szCs w:val="24"/>
        </w:rPr>
        <w:t>2.2.4. Výpočty vplyvov na verejné financie</w:t>
      </w:r>
    </w:p>
    <w:p w14:paraId="16F343F0" w14:textId="77777777" w:rsidR="0040239E" w:rsidRPr="007B7470" w:rsidRDefault="0040239E" w:rsidP="0040239E">
      <w:pPr>
        <w:rPr>
          <w:sz w:val="24"/>
          <w:szCs w:val="24"/>
        </w:rPr>
      </w:pPr>
    </w:p>
    <w:p w14:paraId="0D821227" w14:textId="77777777" w:rsidR="0040239E" w:rsidRPr="007B7470" w:rsidRDefault="0040239E" w:rsidP="0040239E">
      <w:pPr>
        <w:ind w:firstLine="708"/>
        <w:jc w:val="both"/>
        <w:rPr>
          <w:sz w:val="24"/>
          <w:szCs w:val="24"/>
        </w:rPr>
      </w:pPr>
      <w:r w:rsidRPr="007B7470">
        <w:rPr>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1FF0BFA" w14:textId="77777777" w:rsidR="0040239E" w:rsidRPr="007B7470" w:rsidRDefault="0040239E" w:rsidP="0040239E">
      <w:pPr>
        <w:jc w:val="both"/>
        <w:rPr>
          <w:sz w:val="24"/>
          <w:szCs w:val="24"/>
        </w:rPr>
      </w:pPr>
    </w:p>
    <w:p w14:paraId="407B5D4C" w14:textId="77777777" w:rsidR="0040239E" w:rsidRPr="004E48FC" w:rsidRDefault="0040239E" w:rsidP="0040239E">
      <w:pPr>
        <w:jc w:val="both"/>
        <w:rPr>
          <w:b/>
          <w:sz w:val="24"/>
          <w:szCs w:val="24"/>
        </w:rPr>
      </w:pPr>
      <w:r w:rsidRPr="004E48FC">
        <w:rPr>
          <w:b/>
          <w:sz w:val="24"/>
          <w:szCs w:val="24"/>
        </w:rPr>
        <w:t>V rámci príjmov</w:t>
      </w:r>
      <w:r w:rsidRPr="004E48FC">
        <w:rPr>
          <w:sz w:val="24"/>
          <w:szCs w:val="24"/>
        </w:rPr>
        <w:t xml:space="preserve"> </w:t>
      </w:r>
      <w:r w:rsidRPr="004E48FC">
        <w:rPr>
          <w:b/>
          <w:sz w:val="24"/>
          <w:szCs w:val="24"/>
        </w:rPr>
        <w:t>štátneho rozpočtu na príslušné rozpočtové roky ide o príjmy</w:t>
      </w:r>
    </w:p>
    <w:p w14:paraId="57B70087" w14:textId="77777777" w:rsidR="0040239E" w:rsidRPr="004E48FC" w:rsidRDefault="0040239E" w:rsidP="0040239E">
      <w:pPr>
        <w:numPr>
          <w:ilvl w:val="0"/>
          <w:numId w:val="26"/>
        </w:numPr>
        <w:ind w:left="567" w:hanging="567"/>
        <w:contextualSpacing/>
        <w:jc w:val="both"/>
        <w:rPr>
          <w:sz w:val="24"/>
          <w:szCs w:val="24"/>
        </w:rPr>
      </w:pPr>
      <w:r>
        <w:rPr>
          <w:sz w:val="24"/>
          <w:szCs w:val="24"/>
        </w:rPr>
        <w:t>nájomné za prenájom pozemkov vo vlastníctve štátu</w:t>
      </w:r>
    </w:p>
    <w:p w14:paraId="229C25AB" w14:textId="77777777" w:rsidR="0040239E" w:rsidRDefault="0040239E" w:rsidP="0040239E">
      <w:pPr>
        <w:tabs>
          <w:tab w:val="num" w:pos="1080"/>
        </w:tabs>
        <w:jc w:val="both"/>
        <w:rPr>
          <w:bCs/>
          <w:sz w:val="24"/>
          <w:szCs w:val="24"/>
        </w:rPr>
      </w:pPr>
    </w:p>
    <w:p w14:paraId="5B5DD6CE" w14:textId="77777777" w:rsidR="0040239E" w:rsidRPr="004E48FC" w:rsidRDefault="0040239E" w:rsidP="0040239E">
      <w:pPr>
        <w:jc w:val="both"/>
        <w:rPr>
          <w:b/>
          <w:sz w:val="24"/>
          <w:szCs w:val="24"/>
        </w:rPr>
      </w:pPr>
      <w:r w:rsidRPr="004E48FC">
        <w:rPr>
          <w:b/>
          <w:sz w:val="24"/>
          <w:szCs w:val="24"/>
        </w:rPr>
        <w:t xml:space="preserve">V rámci výdavkov štátneho rozpočtu na príslušné rozpočtové roky ide o výdavky na </w:t>
      </w:r>
    </w:p>
    <w:p w14:paraId="3A0673D4" w14:textId="77777777" w:rsidR="0040239E" w:rsidRPr="007D3B39" w:rsidRDefault="0040239E" w:rsidP="0040239E">
      <w:pPr>
        <w:numPr>
          <w:ilvl w:val="0"/>
          <w:numId w:val="26"/>
        </w:numPr>
        <w:ind w:left="567" w:hanging="567"/>
        <w:contextualSpacing/>
        <w:jc w:val="both"/>
        <w:rPr>
          <w:bCs/>
          <w:sz w:val="24"/>
          <w:szCs w:val="24"/>
        </w:rPr>
      </w:pPr>
      <w:r>
        <w:rPr>
          <w:bCs/>
          <w:sz w:val="24"/>
          <w:szCs w:val="24"/>
        </w:rPr>
        <w:t xml:space="preserve">kúpa </w:t>
      </w:r>
      <w:r w:rsidRPr="007D3B39">
        <w:rPr>
          <w:bCs/>
          <w:sz w:val="24"/>
          <w:szCs w:val="24"/>
        </w:rPr>
        <w:t>pozemk</w:t>
      </w:r>
      <w:r>
        <w:rPr>
          <w:bCs/>
          <w:sz w:val="24"/>
          <w:szCs w:val="24"/>
        </w:rPr>
        <w:t>u</w:t>
      </w:r>
      <w:r w:rsidRPr="007D3B39">
        <w:rPr>
          <w:bCs/>
          <w:sz w:val="24"/>
          <w:szCs w:val="24"/>
        </w:rPr>
        <w:t>, ktorý nie je vo vlastníctve štátu alebo vo vlastníctve letiskovej spoločnosti a ktorý sa nachádza pod letiskovou infraštruktúrou letiska alebo ktorý je nevyhnutný na zabezpečenie bezpečnej letiskovej prevádzky alebo bezpečnostnej ochrany letiska do vlastníctva štátu</w:t>
      </w:r>
    </w:p>
    <w:p w14:paraId="24966170" w14:textId="77777777" w:rsidR="0040239E" w:rsidRPr="007B7470" w:rsidRDefault="0040239E" w:rsidP="0040239E">
      <w:pPr>
        <w:tabs>
          <w:tab w:val="num" w:pos="1080"/>
        </w:tabs>
        <w:jc w:val="both"/>
        <w:rPr>
          <w:bCs/>
          <w:sz w:val="24"/>
        </w:rPr>
      </w:pPr>
    </w:p>
    <w:p w14:paraId="3824BBDD" w14:textId="77777777" w:rsidR="0040239E" w:rsidRPr="007B7470" w:rsidRDefault="0040239E" w:rsidP="0040239E">
      <w:pPr>
        <w:tabs>
          <w:tab w:val="num" w:pos="1080"/>
        </w:tabs>
        <w:jc w:val="both"/>
        <w:rPr>
          <w:bCs/>
          <w:sz w:val="24"/>
        </w:rPr>
        <w:sectPr w:rsidR="0040239E" w:rsidRPr="007B7470" w:rsidSect="0040239E">
          <w:headerReference w:type="even" r:id="rId9"/>
          <w:footerReference w:type="even" r:id="rId10"/>
          <w:footerReference w:type="default" r:id="rId11"/>
          <w:headerReference w:type="first" r:id="rId12"/>
          <w:footerReference w:type="first" r:id="rId13"/>
          <w:pgSz w:w="11906" w:h="16838"/>
          <w:pgMar w:top="1531" w:right="851" w:bottom="1418" w:left="1418" w:header="709" w:footer="709" w:gutter="0"/>
          <w:pgNumType w:start="1"/>
          <w:cols w:space="708"/>
          <w:docGrid w:linePitch="360"/>
        </w:sectPr>
      </w:pPr>
    </w:p>
    <w:p w14:paraId="7447CD45" w14:textId="77777777" w:rsidR="0040239E" w:rsidRPr="007B7470" w:rsidRDefault="0040239E" w:rsidP="0040239E">
      <w:pPr>
        <w:tabs>
          <w:tab w:val="num" w:pos="1080"/>
        </w:tabs>
        <w:jc w:val="both"/>
        <w:rPr>
          <w:bCs/>
        </w:rPr>
      </w:pPr>
      <w:r>
        <w:rPr>
          <w:bCs/>
        </w:rPr>
        <w:lastRenderedPageBreak/>
        <w:t>MD SR</w:t>
      </w:r>
      <w:r w:rsidRPr="007B7470">
        <w:rPr>
          <w:bCs/>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40239E" w:rsidRPr="007B7470" w14:paraId="708A16E9" w14:textId="77777777" w:rsidTr="00911BB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19AD4EB" w14:textId="77777777" w:rsidR="0040239E" w:rsidRPr="007B7470" w:rsidRDefault="0040239E" w:rsidP="00911BB2">
            <w:pPr>
              <w:jc w:val="center"/>
              <w:rPr>
                <w:b/>
                <w:bCs/>
              </w:rPr>
            </w:pPr>
            <w:r w:rsidRPr="007B7470">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BE6F0CC" w14:textId="77777777" w:rsidR="0040239E" w:rsidRPr="007B7470" w:rsidRDefault="0040239E" w:rsidP="00911BB2">
            <w:pPr>
              <w:jc w:val="center"/>
              <w:rPr>
                <w:b/>
                <w:bCs/>
              </w:rPr>
            </w:pPr>
            <w:r w:rsidRPr="007B7470">
              <w:rPr>
                <w:b/>
                <w:bCs/>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B08924" w14:textId="77777777" w:rsidR="0040239E" w:rsidRPr="007B7470" w:rsidRDefault="0040239E" w:rsidP="00911BB2">
            <w:pPr>
              <w:jc w:val="center"/>
              <w:rPr>
                <w:b/>
                <w:bCs/>
                <w:sz w:val="24"/>
                <w:szCs w:val="24"/>
              </w:rPr>
            </w:pPr>
            <w:r w:rsidRPr="007B7470">
              <w:rPr>
                <w:b/>
                <w:bCs/>
                <w:sz w:val="24"/>
                <w:szCs w:val="24"/>
              </w:rPr>
              <w:t>poznámka</w:t>
            </w:r>
          </w:p>
        </w:tc>
      </w:tr>
      <w:tr w:rsidR="0040239E" w:rsidRPr="007B7470" w14:paraId="2DF57DF3" w14:textId="77777777" w:rsidTr="00911BB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C9DCF4B" w14:textId="77777777" w:rsidR="0040239E" w:rsidRPr="007B7470" w:rsidRDefault="0040239E" w:rsidP="00911BB2">
            <w:pPr>
              <w:rPr>
                <w:b/>
                <w:bCs/>
                <w:color w:val="FFFFFF"/>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4D266AC1" w14:textId="77777777" w:rsidR="0040239E" w:rsidRPr="0073432A" w:rsidRDefault="0040239E" w:rsidP="00911BB2">
            <w:pPr>
              <w:jc w:val="center"/>
              <w:rPr>
                <w:b/>
                <w:bCs/>
              </w:rPr>
            </w:pPr>
            <w:r w:rsidRPr="0073432A">
              <w:rPr>
                <w:b/>
                <w:bCs/>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55DA475A" w14:textId="77777777" w:rsidR="0040239E" w:rsidRPr="0073432A" w:rsidRDefault="0040239E" w:rsidP="00911BB2">
            <w:pPr>
              <w:jc w:val="center"/>
              <w:rPr>
                <w:b/>
                <w:bCs/>
              </w:rPr>
            </w:pPr>
            <w:r w:rsidRPr="0073432A">
              <w:rPr>
                <w:b/>
                <w:bCs/>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1F02E59" w14:textId="77777777" w:rsidR="0040239E" w:rsidRPr="0073432A" w:rsidRDefault="0040239E" w:rsidP="00911BB2">
            <w:pPr>
              <w:jc w:val="center"/>
              <w:rPr>
                <w:b/>
                <w:bCs/>
              </w:rPr>
            </w:pPr>
            <w:r w:rsidRPr="0073432A">
              <w:rPr>
                <w:b/>
                <w:bCs/>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62EE053" w14:textId="77777777" w:rsidR="0040239E" w:rsidRPr="0073432A" w:rsidRDefault="0040239E" w:rsidP="00911BB2">
            <w:pPr>
              <w:jc w:val="center"/>
              <w:rPr>
                <w:b/>
                <w:bCs/>
              </w:rPr>
            </w:pPr>
            <w:r w:rsidRPr="0073432A">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2F60C1BF" w14:textId="77777777" w:rsidR="0040239E" w:rsidRPr="007B7470" w:rsidRDefault="0040239E" w:rsidP="00911BB2">
            <w:pPr>
              <w:rPr>
                <w:b/>
                <w:bCs/>
                <w:color w:val="FFFFFF"/>
                <w:sz w:val="24"/>
                <w:szCs w:val="24"/>
              </w:rPr>
            </w:pPr>
          </w:p>
        </w:tc>
      </w:tr>
      <w:tr w:rsidR="0040239E" w:rsidRPr="007B7470" w14:paraId="3DE0F51E" w14:textId="77777777" w:rsidTr="00911BB2">
        <w:trPr>
          <w:trHeight w:val="255"/>
        </w:trPr>
        <w:tc>
          <w:tcPr>
            <w:tcW w:w="7070" w:type="dxa"/>
            <w:tcBorders>
              <w:top w:val="nil"/>
              <w:left w:val="single" w:sz="4" w:space="0" w:color="auto"/>
              <w:bottom w:val="single" w:sz="4" w:space="0" w:color="auto"/>
              <w:right w:val="single" w:sz="4" w:space="0" w:color="auto"/>
            </w:tcBorders>
          </w:tcPr>
          <w:p w14:paraId="3DEDAAA5" w14:textId="77777777" w:rsidR="0040239E" w:rsidRPr="007B7470" w:rsidRDefault="0040239E" w:rsidP="00911BB2">
            <w:pPr>
              <w:rPr>
                <w:b/>
                <w:bCs/>
              </w:rPr>
            </w:pPr>
            <w:r w:rsidRPr="007B7470">
              <w:rPr>
                <w:b/>
                <w:bCs/>
              </w:rPr>
              <w:t>Bežné výdavky (600)</w:t>
            </w:r>
          </w:p>
        </w:tc>
        <w:tc>
          <w:tcPr>
            <w:tcW w:w="1430" w:type="dxa"/>
            <w:tcBorders>
              <w:top w:val="nil"/>
              <w:left w:val="nil"/>
              <w:bottom w:val="single" w:sz="4" w:space="0" w:color="auto"/>
              <w:right w:val="single" w:sz="4" w:space="0" w:color="auto"/>
            </w:tcBorders>
          </w:tcPr>
          <w:p w14:paraId="61B84DD6" w14:textId="77777777" w:rsidR="0040239E" w:rsidRPr="000B3988" w:rsidRDefault="0040239E" w:rsidP="00911BB2">
            <w:pPr>
              <w:jc w:val="right"/>
              <w:rPr>
                <w:b/>
              </w:rPr>
            </w:pPr>
            <w:r>
              <w:rPr>
                <w:b/>
              </w:rPr>
              <w:t>0</w:t>
            </w:r>
          </w:p>
        </w:tc>
        <w:tc>
          <w:tcPr>
            <w:tcW w:w="1650" w:type="dxa"/>
            <w:tcBorders>
              <w:top w:val="nil"/>
              <w:left w:val="nil"/>
              <w:bottom w:val="single" w:sz="4" w:space="0" w:color="auto"/>
              <w:right w:val="single" w:sz="4" w:space="0" w:color="auto"/>
            </w:tcBorders>
            <w:vAlign w:val="center"/>
          </w:tcPr>
          <w:p w14:paraId="768EF909" w14:textId="77777777" w:rsidR="0040239E" w:rsidRPr="000B3988" w:rsidRDefault="0040239E" w:rsidP="00911BB2">
            <w:pPr>
              <w:jc w:val="right"/>
              <w:rPr>
                <w:b/>
              </w:rPr>
            </w:pPr>
            <w:r>
              <w:rPr>
                <w:b/>
              </w:rPr>
              <w:t>0</w:t>
            </w:r>
          </w:p>
        </w:tc>
        <w:tc>
          <w:tcPr>
            <w:tcW w:w="1540" w:type="dxa"/>
            <w:tcBorders>
              <w:top w:val="nil"/>
              <w:left w:val="nil"/>
              <w:bottom w:val="single" w:sz="4" w:space="0" w:color="auto"/>
              <w:right w:val="single" w:sz="4" w:space="0" w:color="auto"/>
            </w:tcBorders>
            <w:vAlign w:val="center"/>
          </w:tcPr>
          <w:p w14:paraId="65F4B67E" w14:textId="77777777" w:rsidR="0040239E" w:rsidRPr="000B3988" w:rsidRDefault="0040239E" w:rsidP="00911BB2">
            <w:pPr>
              <w:jc w:val="right"/>
              <w:rPr>
                <w:b/>
              </w:rPr>
            </w:pPr>
            <w:r>
              <w:rPr>
                <w:b/>
              </w:rPr>
              <w:t>0</w:t>
            </w:r>
          </w:p>
        </w:tc>
        <w:tc>
          <w:tcPr>
            <w:tcW w:w="1540" w:type="dxa"/>
            <w:tcBorders>
              <w:top w:val="nil"/>
              <w:left w:val="nil"/>
              <w:bottom w:val="single" w:sz="4" w:space="0" w:color="auto"/>
              <w:right w:val="single" w:sz="4" w:space="0" w:color="auto"/>
            </w:tcBorders>
            <w:vAlign w:val="center"/>
          </w:tcPr>
          <w:p w14:paraId="7809F316" w14:textId="77777777" w:rsidR="0040239E" w:rsidRPr="000B3988" w:rsidRDefault="0040239E" w:rsidP="00911BB2">
            <w:pPr>
              <w:jc w:val="right"/>
              <w:rPr>
                <w:b/>
              </w:rPr>
            </w:pPr>
            <w:r>
              <w:rPr>
                <w:b/>
              </w:rPr>
              <w:t>0</w:t>
            </w:r>
          </w:p>
        </w:tc>
        <w:tc>
          <w:tcPr>
            <w:tcW w:w="1649" w:type="dxa"/>
            <w:tcBorders>
              <w:top w:val="nil"/>
              <w:left w:val="nil"/>
              <w:bottom w:val="single" w:sz="4" w:space="0" w:color="auto"/>
              <w:right w:val="single" w:sz="4" w:space="0" w:color="auto"/>
            </w:tcBorders>
            <w:noWrap/>
            <w:vAlign w:val="bottom"/>
          </w:tcPr>
          <w:p w14:paraId="30BF81BD" w14:textId="77777777" w:rsidR="0040239E" w:rsidRPr="007B7470" w:rsidRDefault="0040239E" w:rsidP="00911BB2">
            <w:pPr>
              <w:rPr>
                <w:sz w:val="24"/>
                <w:szCs w:val="24"/>
              </w:rPr>
            </w:pPr>
            <w:r w:rsidRPr="007B7470">
              <w:rPr>
                <w:sz w:val="24"/>
                <w:szCs w:val="24"/>
              </w:rPr>
              <w:t> </w:t>
            </w:r>
          </w:p>
        </w:tc>
      </w:tr>
      <w:tr w:rsidR="0040239E" w:rsidRPr="007B7470" w14:paraId="6899E164" w14:textId="77777777" w:rsidTr="00911BB2">
        <w:trPr>
          <w:trHeight w:val="255"/>
        </w:trPr>
        <w:tc>
          <w:tcPr>
            <w:tcW w:w="7070" w:type="dxa"/>
            <w:tcBorders>
              <w:top w:val="nil"/>
              <w:left w:val="single" w:sz="4" w:space="0" w:color="auto"/>
              <w:bottom w:val="single" w:sz="4" w:space="0" w:color="auto"/>
              <w:right w:val="single" w:sz="4" w:space="0" w:color="auto"/>
            </w:tcBorders>
          </w:tcPr>
          <w:p w14:paraId="7A286858" w14:textId="77777777" w:rsidR="0040239E" w:rsidRPr="007B7470" w:rsidRDefault="0040239E" w:rsidP="00911BB2">
            <w:r w:rsidRPr="007B7470">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7B38001C" w14:textId="77777777" w:rsidR="0040239E" w:rsidRPr="000B3988" w:rsidRDefault="0040239E" w:rsidP="00911BB2">
            <w:pPr>
              <w:jc w:val="right"/>
            </w:pPr>
            <w:r>
              <w:t>0</w:t>
            </w:r>
          </w:p>
        </w:tc>
        <w:tc>
          <w:tcPr>
            <w:tcW w:w="1650" w:type="dxa"/>
            <w:tcBorders>
              <w:top w:val="nil"/>
              <w:left w:val="nil"/>
              <w:bottom w:val="single" w:sz="4" w:space="0" w:color="auto"/>
              <w:right w:val="single" w:sz="4" w:space="0" w:color="auto"/>
            </w:tcBorders>
          </w:tcPr>
          <w:p w14:paraId="2E693406"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14FD9BC8"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604DF3B6"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298B85D4" w14:textId="77777777" w:rsidR="0040239E" w:rsidRPr="007B7470" w:rsidRDefault="0040239E" w:rsidP="00911BB2">
            <w:pPr>
              <w:rPr>
                <w:sz w:val="24"/>
                <w:szCs w:val="24"/>
              </w:rPr>
            </w:pPr>
            <w:r w:rsidRPr="007B7470">
              <w:rPr>
                <w:sz w:val="24"/>
                <w:szCs w:val="24"/>
              </w:rPr>
              <w:t> </w:t>
            </w:r>
          </w:p>
        </w:tc>
      </w:tr>
      <w:tr w:rsidR="0040239E" w:rsidRPr="007B7470" w14:paraId="59441136" w14:textId="77777777" w:rsidTr="00911BB2">
        <w:trPr>
          <w:trHeight w:val="255"/>
        </w:trPr>
        <w:tc>
          <w:tcPr>
            <w:tcW w:w="7070" w:type="dxa"/>
            <w:tcBorders>
              <w:top w:val="nil"/>
              <w:left w:val="single" w:sz="4" w:space="0" w:color="auto"/>
              <w:bottom w:val="single" w:sz="4" w:space="0" w:color="auto"/>
              <w:right w:val="single" w:sz="4" w:space="0" w:color="auto"/>
            </w:tcBorders>
          </w:tcPr>
          <w:p w14:paraId="7268AF30" w14:textId="77777777" w:rsidR="0040239E" w:rsidRPr="007B7470" w:rsidRDefault="0040239E" w:rsidP="00911BB2">
            <w:pPr>
              <w:rPr>
                <w:vertAlign w:val="superscript"/>
              </w:rPr>
            </w:pPr>
            <w:r w:rsidRPr="007B7470">
              <w:t xml:space="preserve">  Poistné a príspevok do poisťovní (620)</w:t>
            </w:r>
          </w:p>
        </w:tc>
        <w:tc>
          <w:tcPr>
            <w:tcW w:w="1430" w:type="dxa"/>
            <w:tcBorders>
              <w:top w:val="nil"/>
              <w:left w:val="nil"/>
              <w:bottom w:val="single" w:sz="4" w:space="0" w:color="auto"/>
              <w:right w:val="single" w:sz="4" w:space="0" w:color="auto"/>
            </w:tcBorders>
          </w:tcPr>
          <w:p w14:paraId="3515B9ED" w14:textId="77777777" w:rsidR="0040239E" w:rsidRPr="000B3988" w:rsidRDefault="0040239E" w:rsidP="00911BB2">
            <w:pPr>
              <w:jc w:val="right"/>
            </w:pPr>
            <w:r>
              <w:t>0</w:t>
            </w:r>
          </w:p>
        </w:tc>
        <w:tc>
          <w:tcPr>
            <w:tcW w:w="1650" w:type="dxa"/>
            <w:tcBorders>
              <w:top w:val="nil"/>
              <w:left w:val="nil"/>
              <w:bottom w:val="single" w:sz="4" w:space="0" w:color="auto"/>
              <w:right w:val="single" w:sz="4" w:space="0" w:color="auto"/>
            </w:tcBorders>
          </w:tcPr>
          <w:p w14:paraId="1D8A8BBF"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671FDF46"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4CC565CF"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4BDF86D2" w14:textId="77777777" w:rsidR="0040239E" w:rsidRPr="007B7470" w:rsidRDefault="0040239E" w:rsidP="00911BB2">
            <w:pPr>
              <w:rPr>
                <w:sz w:val="24"/>
                <w:szCs w:val="24"/>
              </w:rPr>
            </w:pPr>
            <w:r w:rsidRPr="007B7470">
              <w:rPr>
                <w:sz w:val="24"/>
                <w:szCs w:val="24"/>
              </w:rPr>
              <w:t> </w:t>
            </w:r>
          </w:p>
        </w:tc>
      </w:tr>
      <w:tr w:rsidR="0040239E" w:rsidRPr="007B7470" w14:paraId="5C0A2152" w14:textId="77777777" w:rsidTr="00911BB2">
        <w:trPr>
          <w:trHeight w:val="255"/>
        </w:trPr>
        <w:tc>
          <w:tcPr>
            <w:tcW w:w="7070" w:type="dxa"/>
            <w:tcBorders>
              <w:top w:val="nil"/>
              <w:left w:val="single" w:sz="4" w:space="0" w:color="auto"/>
              <w:bottom w:val="single" w:sz="4" w:space="0" w:color="auto"/>
              <w:right w:val="single" w:sz="4" w:space="0" w:color="auto"/>
            </w:tcBorders>
          </w:tcPr>
          <w:p w14:paraId="2355262D" w14:textId="77777777" w:rsidR="0040239E" w:rsidRPr="007B7470" w:rsidRDefault="0040239E" w:rsidP="00911BB2">
            <w:pPr>
              <w:rPr>
                <w:vertAlign w:val="superscript"/>
              </w:rPr>
            </w:pPr>
            <w:r w:rsidRPr="007B7470">
              <w:t xml:space="preserve">  Tovary a služby (630)</w:t>
            </w:r>
            <w:r w:rsidRPr="007B7470">
              <w:rPr>
                <w:vertAlign w:val="superscript"/>
              </w:rPr>
              <w:t>2</w:t>
            </w:r>
          </w:p>
        </w:tc>
        <w:tc>
          <w:tcPr>
            <w:tcW w:w="1430" w:type="dxa"/>
            <w:tcBorders>
              <w:top w:val="nil"/>
              <w:left w:val="nil"/>
              <w:bottom w:val="single" w:sz="4" w:space="0" w:color="auto"/>
              <w:right w:val="single" w:sz="4" w:space="0" w:color="auto"/>
            </w:tcBorders>
          </w:tcPr>
          <w:p w14:paraId="14A652DC" w14:textId="77777777" w:rsidR="0040239E" w:rsidRPr="000B3988" w:rsidRDefault="0040239E" w:rsidP="00911BB2">
            <w:pPr>
              <w:jc w:val="right"/>
            </w:pPr>
            <w:r>
              <w:t>0</w:t>
            </w:r>
          </w:p>
        </w:tc>
        <w:tc>
          <w:tcPr>
            <w:tcW w:w="1650" w:type="dxa"/>
            <w:tcBorders>
              <w:top w:val="nil"/>
              <w:left w:val="nil"/>
              <w:bottom w:val="single" w:sz="4" w:space="0" w:color="auto"/>
              <w:right w:val="single" w:sz="4" w:space="0" w:color="auto"/>
            </w:tcBorders>
          </w:tcPr>
          <w:p w14:paraId="4BC5727A"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70C580C5"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63E9E639"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1F31FED6" w14:textId="77777777" w:rsidR="0040239E" w:rsidRPr="007B7470" w:rsidRDefault="0040239E" w:rsidP="00911BB2">
            <w:pPr>
              <w:rPr>
                <w:sz w:val="24"/>
                <w:szCs w:val="24"/>
              </w:rPr>
            </w:pPr>
            <w:r w:rsidRPr="007B7470">
              <w:rPr>
                <w:sz w:val="24"/>
                <w:szCs w:val="24"/>
              </w:rPr>
              <w:t> </w:t>
            </w:r>
          </w:p>
        </w:tc>
      </w:tr>
      <w:tr w:rsidR="0040239E" w:rsidRPr="007B7470" w14:paraId="1349A551" w14:textId="77777777" w:rsidTr="00911BB2">
        <w:trPr>
          <w:trHeight w:val="255"/>
        </w:trPr>
        <w:tc>
          <w:tcPr>
            <w:tcW w:w="7070" w:type="dxa"/>
            <w:tcBorders>
              <w:top w:val="nil"/>
              <w:left w:val="single" w:sz="4" w:space="0" w:color="auto"/>
              <w:bottom w:val="single" w:sz="4" w:space="0" w:color="auto"/>
              <w:right w:val="single" w:sz="4" w:space="0" w:color="auto"/>
            </w:tcBorders>
          </w:tcPr>
          <w:p w14:paraId="0BAD2EDE" w14:textId="77777777" w:rsidR="0040239E" w:rsidRPr="007B7470" w:rsidRDefault="0040239E" w:rsidP="00911BB2">
            <w:r w:rsidRPr="007B7470">
              <w:t xml:space="preserve">  Bežné transfery (640)</w:t>
            </w:r>
            <w:r w:rsidRPr="007B7470">
              <w:rPr>
                <w:vertAlign w:val="superscript"/>
              </w:rPr>
              <w:t>2</w:t>
            </w:r>
          </w:p>
        </w:tc>
        <w:tc>
          <w:tcPr>
            <w:tcW w:w="1430" w:type="dxa"/>
            <w:tcBorders>
              <w:top w:val="nil"/>
              <w:left w:val="nil"/>
              <w:bottom w:val="single" w:sz="4" w:space="0" w:color="auto"/>
              <w:right w:val="single" w:sz="4" w:space="0" w:color="auto"/>
            </w:tcBorders>
          </w:tcPr>
          <w:p w14:paraId="0DEBB997" w14:textId="77777777" w:rsidR="0040239E" w:rsidRPr="000B3988" w:rsidRDefault="0040239E" w:rsidP="00911BB2">
            <w:pPr>
              <w:jc w:val="right"/>
            </w:pPr>
            <w:r>
              <w:t>0</w:t>
            </w:r>
          </w:p>
        </w:tc>
        <w:tc>
          <w:tcPr>
            <w:tcW w:w="1650" w:type="dxa"/>
            <w:tcBorders>
              <w:top w:val="nil"/>
              <w:left w:val="nil"/>
              <w:bottom w:val="single" w:sz="4" w:space="0" w:color="auto"/>
              <w:right w:val="single" w:sz="4" w:space="0" w:color="auto"/>
            </w:tcBorders>
          </w:tcPr>
          <w:p w14:paraId="273B9F83"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35632D45"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38CC9140"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1AED0E48" w14:textId="77777777" w:rsidR="0040239E" w:rsidRPr="007B7470" w:rsidRDefault="0040239E" w:rsidP="00911BB2">
            <w:pPr>
              <w:rPr>
                <w:sz w:val="24"/>
                <w:szCs w:val="24"/>
              </w:rPr>
            </w:pPr>
            <w:r w:rsidRPr="007B7470">
              <w:rPr>
                <w:sz w:val="24"/>
                <w:szCs w:val="24"/>
              </w:rPr>
              <w:t> </w:t>
            </w:r>
          </w:p>
        </w:tc>
      </w:tr>
      <w:tr w:rsidR="0040239E" w:rsidRPr="007B7470" w14:paraId="1C6DCDFC" w14:textId="77777777" w:rsidTr="00911BB2">
        <w:trPr>
          <w:trHeight w:val="255"/>
        </w:trPr>
        <w:tc>
          <w:tcPr>
            <w:tcW w:w="7070" w:type="dxa"/>
            <w:tcBorders>
              <w:top w:val="nil"/>
              <w:left w:val="single" w:sz="4" w:space="0" w:color="auto"/>
              <w:bottom w:val="single" w:sz="4" w:space="0" w:color="auto"/>
              <w:right w:val="single" w:sz="4" w:space="0" w:color="auto"/>
            </w:tcBorders>
            <w:vAlign w:val="center"/>
          </w:tcPr>
          <w:p w14:paraId="0B57E102" w14:textId="77777777" w:rsidR="0040239E" w:rsidRPr="007B7470" w:rsidRDefault="0040239E" w:rsidP="00911BB2">
            <w:r w:rsidRPr="007B7470">
              <w:t xml:space="preserve">  Splácanie úrokov a ostatné platby súvisiace s  úverom, pôžičkou, návratnou finančnou výpomocou a finančným prenájmom (650)</w:t>
            </w:r>
            <w:r w:rsidRPr="007B7470">
              <w:rPr>
                <w:vertAlign w:val="superscript"/>
              </w:rPr>
              <w:t>2</w:t>
            </w:r>
          </w:p>
        </w:tc>
        <w:tc>
          <w:tcPr>
            <w:tcW w:w="1430" w:type="dxa"/>
            <w:tcBorders>
              <w:top w:val="nil"/>
              <w:left w:val="nil"/>
              <w:bottom w:val="single" w:sz="4" w:space="0" w:color="auto"/>
              <w:right w:val="single" w:sz="4" w:space="0" w:color="auto"/>
            </w:tcBorders>
          </w:tcPr>
          <w:p w14:paraId="455FAF44" w14:textId="77777777" w:rsidR="0040239E" w:rsidRPr="000B3988" w:rsidRDefault="0040239E" w:rsidP="00911BB2">
            <w:pPr>
              <w:jc w:val="right"/>
            </w:pPr>
            <w:r>
              <w:t>0</w:t>
            </w:r>
          </w:p>
        </w:tc>
        <w:tc>
          <w:tcPr>
            <w:tcW w:w="1650" w:type="dxa"/>
            <w:tcBorders>
              <w:top w:val="nil"/>
              <w:left w:val="nil"/>
              <w:bottom w:val="single" w:sz="4" w:space="0" w:color="auto"/>
              <w:right w:val="single" w:sz="4" w:space="0" w:color="auto"/>
            </w:tcBorders>
          </w:tcPr>
          <w:p w14:paraId="02D39D9F"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0B528F0B"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794647E6"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18414E84" w14:textId="77777777" w:rsidR="0040239E" w:rsidRPr="007B7470" w:rsidRDefault="0040239E" w:rsidP="00911BB2">
            <w:pPr>
              <w:rPr>
                <w:sz w:val="24"/>
                <w:szCs w:val="24"/>
              </w:rPr>
            </w:pPr>
          </w:p>
        </w:tc>
      </w:tr>
      <w:tr w:rsidR="0040239E" w:rsidRPr="007B7470" w14:paraId="6AC23AF7" w14:textId="77777777" w:rsidTr="00911BB2">
        <w:trPr>
          <w:trHeight w:val="255"/>
        </w:trPr>
        <w:tc>
          <w:tcPr>
            <w:tcW w:w="7070" w:type="dxa"/>
            <w:tcBorders>
              <w:top w:val="nil"/>
              <w:left w:val="single" w:sz="4" w:space="0" w:color="auto"/>
              <w:bottom w:val="single" w:sz="4" w:space="0" w:color="auto"/>
              <w:right w:val="single" w:sz="4" w:space="0" w:color="auto"/>
            </w:tcBorders>
          </w:tcPr>
          <w:p w14:paraId="3B840095" w14:textId="77777777" w:rsidR="0040239E" w:rsidRPr="007B7470" w:rsidRDefault="0040239E" w:rsidP="00911BB2">
            <w:pPr>
              <w:rPr>
                <w:b/>
                <w:bCs/>
              </w:rPr>
            </w:pPr>
            <w:r w:rsidRPr="007B7470">
              <w:rPr>
                <w:b/>
                <w:bCs/>
              </w:rPr>
              <w:t>Kapitálové výdavky (700)</w:t>
            </w:r>
          </w:p>
        </w:tc>
        <w:tc>
          <w:tcPr>
            <w:tcW w:w="1430" w:type="dxa"/>
            <w:tcBorders>
              <w:top w:val="nil"/>
              <w:left w:val="nil"/>
              <w:bottom w:val="single" w:sz="4" w:space="0" w:color="auto"/>
              <w:right w:val="single" w:sz="4" w:space="0" w:color="auto"/>
            </w:tcBorders>
            <w:vAlign w:val="center"/>
          </w:tcPr>
          <w:p w14:paraId="52172B45" w14:textId="77777777" w:rsidR="0040239E" w:rsidRPr="000B3988" w:rsidRDefault="0040239E" w:rsidP="00911BB2">
            <w:pPr>
              <w:jc w:val="right"/>
              <w:rPr>
                <w:b/>
                <w:bCs/>
              </w:rPr>
            </w:pPr>
            <w:r>
              <w:rPr>
                <w:b/>
              </w:rPr>
              <w:t>6 500 00</w:t>
            </w:r>
            <w:r w:rsidRPr="000B3988">
              <w:rPr>
                <w:b/>
              </w:rPr>
              <w:t>0</w:t>
            </w:r>
          </w:p>
        </w:tc>
        <w:tc>
          <w:tcPr>
            <w:tcW w:w="1650" w:type="dxa"/>
            <w:tcBorders>
              <w:top w:val="nil"/>
              <w:left w:val="nil"/>
              <w:bottom w:val="single" w:sz="4" w:space="0" w:color="auto"/>
              <w:right w:val="single" w:sz="4" w:space="0" w:color="auto"/>
            </w:tcBorders>
            <w:vAlign w:val="center"/>
          </w:tcPr>
          <w:p w14:paraId="5DE3D96B" w14:textId="77777777" w:rsidR="0040239E" w:rsidRPr="000B3988" w:rsidRDefault="0040239E" w:rsidP="00911BB2">
            <w:pPr>
              <w:jc w:val="right"/>
              <w:rPr>
                <w:b/>
                <w:bCs/>
              </w:rPr>
            </w:pPr>
            <w:r>
              <w:rPr>
                <w:b/>
              </w:rPr>
              <w:t>0</w:t>
            </w:r>
          </w:p>
        </w:tc>
        <w:tc>
          <w:tcPr>
            <w:tcW w:w="1540" w:type="dxa"/>
            <w:tcBorders>
              <w:top w:val="nil"/>
              <w:left w:val="nil"/>
              <w:bottom w:val="single" w:sz="4" w:space="0" w:color="auto"/>
              <w:right w:val="single" w:sz="4" w:space="0" w:color="auto"/>
            </w:tcBorders>
            <w:vAlign w:val="center"/>
          </w:tcPr>
          <w:p w14:paraId="0918D888" w14:textId="77777777" w:rsidR="0040239E" w:rsidRPr="000B3988" w:rsidRDefault="0040239E" w:rsidP="00911BB2">
            <w:pPr>
              <w:jc w:val="right"/>
              <w:rPr>
                <w:b/>
                <w:bCs/>
              </w:rPr>
            </w:pPr>
            <w:r>
              <w:rPr>
                <w:b/>
              </w:rPr>
              <w:t>0</w:t>
            </w:r>
          </w:p>
        </w:tc>
        <w:tc>
          <w:tcPr>
            <w:tcW w:w="1540" w:type="dxa"/>
            <w:tcBorders>
              <w:top w:val="nil"/>
              <w:left w:val="nil"/>
              <w:bottom w:val="single" w:sz="4" w:space="0" w:color="auto"/>
              <w:right w:val="single" w:sz="4" w:space="0" w:color="auto"/>
            </w:tcBorders>
            <w:vAlign w:val="center"/>
          </w:tcPr>
          <w:p w14:paraId="19379A26" w14:textId="77777777" w:rsidR="0040239E" w:rsidRPr="000B3988" w:rsidRDefault="0040239E" w:rsidP="00911BB2">
            <w:pPr>
              <w:jc w:val="right"/>
              <w:rPr>
                <w:b/>
                <w:bCs/>
              </w:rPr>
            </w:pPr>
            <w:r>
              <w:rPr>
                <w:b/>
              </w:rPr>
              <w:t>0</w:t>
            </w:r>
          </w:p>
        </w:tc>
        <w:tc>
          <w:tcPr>
            <w:tcW w:w="1649" w:type="dxa"/>
            <w:tcBorders>
              <w:top w:val="nil"/>
              <w:left w:val="nil"/>
              <w:bottom w:val="single" w:sz="4" w:space="0" w:color="auto"/>
              <w:right w:val="single" w:sz="4" w:space="0" w:color="auto"/>
            </w:tcBorders>
            <w:noWrap/>
            <w:vAlign w:val="bottom"/>
          </w:tcPr>
          <w:p w14:paraId="052154E3" w14:textId="77777777" w:rsidR="0040239E" w:rsidRPr="007B7470" w:rsidRDefault="0040239E" w:rsidP="00911BB2">
            <w:pPr>
              <w:rPr>
                <w:sz w:val="24"/>
                <w:szCs w:val="24"/>
              </w:rPr>
            </w:pPr>
            <w:r w:rsidRPr="007B7470">
              <w:rPr>
                <w:sz w:val="24"/>
                <w:szCs w:val="24"/>
              </w:rPr>
              <w:t> </w:t>
            </w:r>
          </w:p>
        </w:tc>
      </w:tr>
      <w:tr w:rsidR="0040239E" w:rsidRPr="007B7470" w14:paraId="4E12AF2D" w14:textId="77777777" w:rsidTr="00911BB2">
        <w:trPr>
          <w:trHeight w:val="255"/>
        </w:trPr>
        <w:tc>
          <w:tcPr>
            <w:tcW w:w="7070" w:type="dxa"/>
            <w:tcBorders>
              <w:top w:val="nil"/>
              <w:left w:val="single" w:sz="4" w:space="0" w:color="auto"/>
              <w:bottom w:val="single" w:sz="4" w:space="0" w:color="auto"/>
              <w:right w:val="single" w:sz="4" w:space="0" w:color="auto"/>
            </w:tcBorders>
          </w:tcPr>
          <w:p w14:paraId="385CFFE8" w14:textId="77777777" w:rsidR="0040239E" w:rsidRPr="007B7470" w:rsidRDefault="0040239E" w:rsidP="00911BB2">
            <w:r w:rsidRPr="007B7470">
              <w:t xml:space="preserve">  Obstarávanie kapitálových aktív (</w:t>
            </w:r>
            <w:r>
              <w:t>711001</w:t>
            </w:r>
            <w:r w:rsidRPr="007B7470">
              <w:t>)</w:t>
            </w:r>
            <w:r w:rsidRPr="007B7470">
              <w:rPr>
                <w:vertAlign w:val="superscript"/>
              </w:rPr>
              <w:t>2</w:t>
            </w:r>
          </w:p>
        </w:tc>
        <w:tc>
          <w:tcPr>
            <w:tcW w:w="1430" w:type="dxa"/>
            <w:tcBorders>
              <w:top w:val="nil"/>
              <w:left w:val="nil"/>
              <w:bottom w:val="single" w:sz="4" w:space="0" w:color="auto"/>
              <w:right w:val="single" w:sz="4" w:space="0" w:color="auto"/>
            </w:tcBorders>
          </w:tcPr>
          <w:p w14:paraId="62D22984" w14:textId="77777777" w:rsidR="0040239E" w:rsidRPr="000B3988" w:rsidRDefault="0040239E" w:rsidP="00911BB2">
            <w:pPr>
              <w:jc w:val="right"/>
              <w:rPr>
                <w:bCs/>
              </w:rPr>
            </w:pPr>
            <w:r w:rsidRPr="006D4A59">
              <w:t>6 500 00</w:t>
            </w:r>
            <w:r>
              <w:t>0</w:t>
            </w:r>
          </w:p>
        </w:tc>
        <w:tc>
          <w:tcPr>
            <w:tcW w:w="1650" w:type="dxa"/>
            <w:tcBorders>
              <w:top w:val="nil"/>
              <w:left w:val="nil"/>
              <w:bottom w:val="single" w:sz="4" w:space="0" w:color="auto"/>
              <w:right w:val="single" w:sz="4" w:space="0" w:color="auto"/>
            </w:tcBorders>
          </w:tcPr>
          <w:p w14:paraId="338F9CAC" w14:textId="77777777" w:rsidR="0040239E" w:rsidRPr="000B3988" w:rsidRDefault="0040239E" w:rsidP="00911BB2">
            <w:pPr>
              <w:jc w:val="right"/>
              <w:rPr>
                <w:bCs/>
              </w:rPr>
            </w:pPr>
            <w:r>
              <w:t>0</w:t>
            </w:r>
          </w:p>
        </w:tc>
        <w:tc>
          <w:tcPr>
            <w:tcW w:w="1540" w:type="dxa"/>
            <w:tcBorders>
              <w:top w:val="nil"/>
              <w:left w:val="nil"/>
              <w:bottom w:val="single" w:sz="4" w:space="0" w:color="auto"/>
              <w:right w:val="single" w:sz="4" w:space="0" w:color="auto"/>
            </w:tcBorders>
          </w:tcPr>
          <w:p w14:paraId="277A45A8" w14:textId="77777777" w:rsidR="0040239E" w:rsidRPr="000B3988" w:rsidRDefault="0040239E" w:rsidP="00911BB2">
            <w:pPr>
              <w:jc w:val="right"/>
              <w:rPr>
                <w:bCs/>
              </w:rPr>
            </w:pPr>
            <w:r>
              <w:t>0</w:t>
            </w:r>
          </w:p>
        </w:tc>
        <w:tc>
          <w:tcPr>
            <w:tcW w:w="1540" w:type="dxa"/>
            <w:tcBorders>
              <w:top w:val="nil"/>
              <w:left w:val="nil"/>
              <w:bottom w:val="single" w:sz="4" w:space="0" w:color="auto"/>
              <w:right w:val="single" w:sz="4" w:space="0" w:color="auto"/>
            </w:tcBorders>
          </w:tcPr>
          <w:p w14:paraId="18CF0956" w14:textId="77777777" w:rsidR="0040239E" w:rsidRPr="000B3988" w:rsidRDefault="0040239E" w:rsidP="00911BB2">
            <w:pPr>
              <w:jc w:val="right"/>
              <w:rPr>
                <w:bCs/>
              </w:rPr>
            </w:pPr>
            <w:r>
              <w:t>0</w:t>
            </w:r>
          </w:p>
        </w:tc>
        <w:tc>
          <w:tcPr>
            <w:tcW w:w="1649" w:type="dxa"/>
            <w:tcBorders>
              <w:top w:val="nil"/>
              <w:left w:val="nil"/>
              <w:bottom w:val="single" w:sz="4" w:space="0" w:color="auto"/>
              <w:right w:val="single" w:sz="4" w:space="0" w:color="auto"/>
            </w:tcBorders>
            <w:noWrap/>
            <w:vAlign w:val="bottom"/>
          </w:tcPr>
          <w:p w14:paraId="59A5F0C6" w14:textId="77777777" w:rsidR="0040239E" w:rsidRPr="007B7470" w:rsidRDefault="0040239E" w:rsidP="00911BB2">
            <w:pPr>
              <w:rPr>
                <w:sz w:val="24"/>
                <w:szCs w:val="24"/>
              </w:rPr>
            </w:pPr>
            <w:r w:rsidRPr="007B7470">
              <w:rPr>
                <w:sz w:val="24"/>
                <w:szCs w:val="24"/>
              </w:rPr>
              <w:t> </w:t>
            </w:r>
          </w:p>
        </w:tc>
      </w:tr>
      <w:tr w:rsidR="0040239E" w:rsidRPr="007B7470" w14:paraId="11C2B99C" w14:textId="77777777" w:rsidTr="00911BB2">
        <w:trPr>
          <w:trHeight w:val="255"/>
        </w:trPr>
        <w:tc>
          <w:tcPr>
            <w:tcW w:w="7070" w:type="dxa"/>
            <w:tcBorders>
              <w:top w:val="nil"/>
              <w:left w:val="single" w:sz="4" w:space="0" w:color="auto"/>
              <w:bottom w:val="single" w:sz="4" w:space="0" w:color="auto"/>
              <w:right w:val="single" w:sz="4" w:space="0" w:color="auto"/>
            </w:tcBorders>
          </w:tcPr>
          <w:p w14:paraId="3DD7239F" w14:textId="77777777" w:rsidR="0040239E" w:rsidRPr="007B7470" w:rsidRDefault="0040239E" w:rsidP="00911BB2">
            <w:r w:rsidRPr="007B7470">
              <w:t xml:space="preserve">  Kapitálové transfery (720)</w:t>
            </w:r>
            <w:r w:rsidRPr="007B7470">
              <w:rPr>
                <w:vertAlign w:val="superscript"/>
              </w:rPr>
              <w:t>2</w:t>
            </w:r>
          </w:p>
        </w:tc>
        <w:tc>
          <w:tcPr>
            <w:tcW w:w="1430" w:type="dxa"/>
            <w:tcBorders>
              <w:top w:val="nil"/>
              <w:left w:val="nil"/>
              <w:bottom w:val="single" w:sz="4" w:space="0" w:color="auto"/>
              <w:right w:val="single" w:sz="4" w:space="0" w:color="auto"/>
            </w:tcBorders>
          </w:tcPr>
          <w:p w14:paraId="017E4F2D" w14:textId="77777777" w:rsidR="0040239E" w:rsidRPr="006D4A59" w:rsidRDefault="0040239E" w:rsidP="00911BB2">
            <w:pPr>
              <w:jc w:val="right"/>
            </w:pPr>
            <w:r>
              <w:t>0</w:t>
            </w:r>
          </w:p>
        </w:tc>
        <w:tc>
          <w:tcPr>
            <w:tcW w:w="1650" w:type="dxa"/>
            <w:tcBorders>
              <w:top w:val="nil"/>
              <w:left w:val="nil"/>
              <w:bottom w:val="single" w:sz="4" w:space="0" w:color="auto"/>
              <w:right w:val="single" w:sz="4" w:space="0" w:color="auto"/>
            </w:tcBorders>
          </w:tcPr>
          <w:p w14:paraId="65B01E9A"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3092EF10"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tcPr>
          <w:p w14:paraId="0FE9F416"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1D45971B" w14:textId="77777777" w:rsidR="0040239E" w:rsidRPr="007B7470" w:rsidRDefault="0040239E" w:rsidP="00911BB2">
            <w:pPr>
              <w:rPr>
                <w:sz w:val="24"/>
                <w:szCs w:val="24"/>
              </w:rPr>
            </w:pPr>
            <w:r w:rsidRPr="007B7470">
              <w:rPr>
                <w:sz w:val="24"/>
                <w:szCs w:val="24"/>
              </w:rPr>
              <w:t> </w:t>
            </w:r>
          </w:p>
        </w:tc>
      </w:tr>
      <w:tr w:rsidR="0040239E" w:rsidRPr="007B7470" w14:paraId="483C8D9F" w14:textId="77777777" w:rsidTr="00911BB2">
        <w:trPr>
          <w:trHeight w:val="255"/>
        </w:trPr>
        <w:tc>
          <w:tcPr>
            <w:tcW w:w="7070" w:type="dxa"/>
            <w:tcBorders>
              <w:top w:val="nil"/>
              <w:left w:val="single" w:sz="4" w:space="0" w:color="auto"/>
              <w:bottom w:val="single" w:sz="4" w:space="0" w:color="auto"/>
              <w:right w:val="single" w:sz="4" w:space="0" w:color="auto"/>
            </w:tcBorders>
          </w:tcPr>
          <w:p w14:paraId="76573E21" w14:textId="77777777" w:rsidR="0040239E" w:rsidRPr="007B7470" w:rsidRDefault="0040239E" w:rsidP="00911BB2">
            <w:pPr>
              <w:rPr>
                <w:b/>
                <w:bCs/>
              </w:rPr>
            </w:pPr>
            <w:r w:rsidRPr="007B7470">
              <w:rPr>
                <w:b/>
                <w:bCs/>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0BF77B7E" w14:textId="77777777" w:rsidR="0040239E" w:rsidRPr="000B3988" w:rsidRDefault="0040239E" w:rsidP="00911BB2">
            <w:pPr>
              <w:jc w:val="right"/>
            </w:pPr>
            <w:r>
              <w:t>0</w:t>
            </w:r>
          </w:p>
        </w:tc>
        <w:tc>
          <w:tcPr>
            <w:tcW w:w="1650" w:type="dxa"/>
            <w:tcBorders>
              <w:top w:val="nil"/>
              <w:left w:val="nil"/>
              <w:bottom w:val="single" w:sz="4" w:space="0" w:color="auto"/>
              <w:right w:val="single" w:sz="4" w:space="0" w:color="auto"/>
            </w:tcBorders>
            <w:shd w:val="clear" w:color="auto" w:fill="auto"/>
          </w:tcPr>
          <w:p w14:paraId="30493BDC"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shd w:val="clear" w:color="auto" w:fill="auto"/>
          </w:tcPr>
          <w:p w14:paraId="048A2B69" w14:textId="77777777" w:rsidR="0040239E" w:rsidRPr="000B3988" w:rsidRDefault="0040239E" w:rsidP="00911BB2">
            <w:pPr>
              <w:jc w:val="right"/>
            </w:pPr>
            <w:r>
              <w:t>0</w:t>
            </w:r>
          </w:p>
        </w:tc>
        <w:tc>
          <w:tcPr>
            <w:tcW w:w="1540" w:type="dxa"/>
            <w:tcBorders>
              <w:top w:val="nil"/>
              <w:left w:val="nil"/>
              <w:bottom w:val="single" w:sz="4" w:space="0" w:color="auto"/>
              <w:right w:val="single" w:sz="4" w:space="0" w:color="auto"/>
            </w:tcBorders>
            <w:shd w:val="clear" w:color="auto" w:fill="auto"/>
          </w:tcPr>
          <w:p w14:paraId="43B00F5F" w14:textId="77777777" w:rsidR="0040239E" w:rsidRPr="000B3988" w:rsidRDefault="0040239E" w:rsidP="00911BB2">
            <w:pPr>
              <w:jc w:val="right"/>
            </w:pPr>
            <w:r>
              <w:t>0</w:t>
            </w:r>
          </w:p>
        </w:tc>
        <w:tc>
          <w:tcPr>
            <w:tcW w:w="1649" w:type="dxa"/>
            <w:tcBorders>
              <w:top w:val="nil"/>
              <w:left w:val="nil"/>
              <w:bottom w:val="single" w:sz="4" w:space="0" w:color="auto"/>
              <w:right w:val="single" w:sz="4" w:space="0" w:color="auto"/>
            </w:tcBorders>
            <w:noWrap/>
            <w:vAlign w:val="bottom"/>
          </w:tcPr>
          <w:p w14:paraId="544A7A24" w14:textId="77777777" w:rsidR="0040239E" w:rsidRPr="007B7470" w:rsidRDefault="0040239E" w:rsidP="00911BB2">
            <w:pPr>
              <w:rPr>
                <w:sz w:val="24"/>
                <w:szCs w:val="24"/>
              </w:rPr>
            </w:pPr>
            <w:r w:rsidRPr="007B7470">
              <w:rPr>
                <w:sz w:val="24"/>
                <w:szCs w:val="24"/>
              </w:rPr>
              <w:t> </w:t>
            </w:r>
          </w:p>
        </w:tc>
      </w:tr>
      <w:tr w:rsidR="0040239E" w:rsidRPr="007B7470" w14:paraId="17B826E8" w14:textId="77777777" w:rsidTr="00911BB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11DEBB" w14:textId="77777777" w:rsidR="0040239E" w:rsidRPr="007B7470" w:rsidRDefault="0040239E" w:rsidP="00911BB2">
            <w:pPr>
              <w:rPr>
                <w:b/>
                <w:bCs/>
              </w:rPr>
            </w:pPr>
            <w:r w:rsidRPr="007B7470">
              <w:rPr>
                <w:b/>
                <w:bCs/>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9AA133" w14:textId="77777777" w:rsidR="0040239E" w:rsidRPr="0073432A" w:rsidRDefault="0040239E" w:rsidP="00911BB2">
            <w:pPr>
              <w:jc w:val="right"/>
              <w:rPr>
                <w:b/>
              </w:rPr>
            </w:pPr>
            <w:r>
              <w:rPr>
                <w:b/>
              </w:rPr>
              <w:t>6 500 000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526DF44" w14:textId="77777777" w:rsidR="0040239E" w:rsidRPr="0073432A" w:rsidRDefault="0040239E" w:rsidP="00911BB2">
            <w:pPr>
              <w:jc w:val="right"/>
              <w:rPr>
                <w:b/>
              </w:rPr>
            </w:pPr>
            <w:r>
              <w:rPr>
                <w:b/>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F502751" w14:textId="77777777" w:rsidR="0040239E" w:rsidRPr="00A846DA" w:rsidRDefault="0040239E" w:rsidP="00911BB2">
            <w:pPr>
              <w:jc w:val="right"/>
              <w:rPr>
                <w:b/>
              </w:rPr>
            </w:pPr>
            <w:r>
              <w:rPr>
                <w:b/>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10132C1" w14:textId="77777777" w:rsidR="0040239E" w:rsidRPr="00A846DA" w:rsidRDefault="0040239E" w:rsidP="00911BB2">
            <w:pPr>
              <w:jc w:val="right"/>
              <w:rPr>
                <w:b/>
              </w:rPr>
            </w:pPr>
            <w:r>
              <w:rPr>
                <w:b/>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604F858" w14:textId="77777777" w:rsidR="0040239E" w:rsidRPr="007B7470" w:rsidRDefault="0040239E" w:rsidP="00911BB2">
            <w:pPr>
              <w:rPr>
                <w:sz w:val="24"/>
                <w:szCs w:val="24"/>
              </w:rPr>
            </w:pPr>
            <w:r w:rsidRPr="007B7470">
              <w:rPr>
                <w:sz w:val="24"/>
                <w:szCs w:val="24"/>
              </w:rPr>
              <w:t> </w:t>
            </w:r>
          </w:p>
        </w:tc>
      </w:tr>
    </w:tbl>
    <w:p w14:paraId="0EB94B15" w14:textId="77777777" w:rsidR="0040239E" w:rsidRPr="007B7470" w:rsidRDefault="0040239E" w:rsidP="0040239E">
      <w:pPr>
        <w:tabs>
          <w:tab w:val="num" w:pos="1080"/>
        </w:tabs>
        <w:ind w:left="-900"/>
        <w:jc w:val="both"/>
        <w:rPr>
          <w:bCs/>
        </w:rPr>
      </w:pPr>
      <w:r w:rsidRPr="007B7470">
        <w:rPr>
          <w:bCs/>
        </w:rPr>
        <w:t xml:space="preserve">  2 –  výdavky rozpísať až do položiek platnej ekonomickej klasifikácie</w:t>
      </w:r>
    </w:p>
    <w:p w14:paraId="75820BF7" w14:textId="77777777" w:rsidR="0040239E" w:rsidRPr="007B7470" w:rsidRDefault="0040239E" w:rsidP="0040239E">
      <w:pPr>
        <w:tabs>
          <w:tab w:val="num" w:pos="1080"/>
        </w:tabs>
        <w:ind w:left="-900"/>
        <w:jc w:val="both"/>
        <w:rPr>
          <w:bCs/>
          <w:sz w:val="24"/>
        </w:rPr>
      </w:pPr>
    </w:p>
    <w:p w14:paraId="1911EA6F" w14:textId="77777777" w:rsidR="0040239E" w:rsidRPr="007B7470" w:rsidRDefault="0040239E" w:rsidP="0040239E">
      <w:pPr>
        <w:tabs>
          <w:tab w:val="num" w:pos="1080"/>
        </w:tabs>
        <w:ind w:left="-900"/>
        <w:jc w:val="both"/>
        <w:rPr>
          <w:b/>
          <w:bCs/>
        </w:rPr>
      </w:pPr>
      <w:r w:rsidRPr="007B7470">
        <w:rPr>
          <w:b/>
          <w:bCs/>
          <w:sz w:val="24"/>
        </w:rPr>
        <w:t xml:space="preserve">  Poznámka:</w:t>
      </w:r>
    </w:p>
    <w:p w14:paraId="5F5B66C9" w14:textId="77777777" w:rsidR="0040239E" w:rsidRDefault="0040239E" w:rsidP="0040239E">
      <w:pPr>
        <w:tabs>
          <w:tab w:val="num" w:pos="1080"/>
        </w:tabs>
        <w:ind w:left="-900"/>
        <w:jc w:val="both"/>
        <w:rPr>
          <w:bCs/>
        </w:rPr>
      </w:pPr>
      <w:r w:rsidRPr="007B7470">
        <w:rPr>
          <w:bCs/>
          <w:sz w:val="24"/>
        </w:rPr>
        <w:t xml:space="preserve">  Ak sa vplyv týka viacerých subjektov verejnej správy, vypĺňa sa samostatná tabuľka za každý subjekt.</w:t>
      </w:r>
    </w:p>
    <w:p w14:paraId="50830B47" w14:textId="77777777" w:rsidR="0040239E" w:rsidRDefault="0040239E" w:rsidP="0040239E">
      <w:pPr>
        <w:tabs>
          <w:tab w:val="num" w:pos="1080"/>
        </w:tabs>
        <w:ind w:left="-900"/>
        <w:jc w:val="both"/>
        <w:rPr>
          <w:bCs/>
        </w:rPr>
      </w:pPr>
    </w:p>
    <w:p w14:paraId="4E548FF7" w14:textId="77777777" w:rsidR="0040239E" w:rsidRPr="007B7470" w:rsidRDefault="0040239E" w:rsidP="0040239E">
      <w:pPr>
        <w:rPr>
          <w:b/>
          <w:bCs/>
          <w:sz w:val="24"/>
          <w:szCs w:val="24"/>
        </w:rPr>
        <w:sectPr w:rsidR="0040239E" w:rsidRPr="007B7470">
          <w:pgSz w:w="16838" w:h="11906" w:orient="landscape"/>
          <w:pgMar w:top="1418" w:right="1418" w:bottom="1418" w:left="1418" w:header="709" w:footer="709" w:gutter="0"/>
          <w:cols w:space="708"/>
          <w:docGrid w:linePitch="360"/>
        </w:sectPr>
      </w:pPr>
    </w:p>
    <w:p w14:paraId="776407D0" w14:textId="77777777" w:rsidR="0040239E" w:rsidRPr="00895898" w:rsidRDefault="0040239E" w:rsidP="0040239E">
      <w:pPr>
        <w:jc w:val="center"/>
        <w:rPr>
          <w:rFonts w:eastAsia="Calibri"/>
          <w:b/>
          <w:sz w:val="28"/>
          <w:szCs w:val="28"/>
        </w:rPr>
      </w:pPr>
      <w:r w:rsidRPr="00895898">
        <w:rPr>
          <w:rFonts w:eastAsia="Calibri"/>
          <w:b/>
          <w:sz w:val="28"/>
          <w:szCs w:val="28"/>
        </w:rPr>
        <w:lastRenderedPageBreak/>
        <w:t>Analýza vplyvov na podnikateľské prostredie</w:t>
      </w:r>
    </w:p>
    <w:p w14:paraId="538CA827" w14:textId="77777777" w:rsidR="0040239E" w:rsidRPr="00895898" w:rsidRDefault="0040239E" w:rsidP="0040239E">
      <w:pPr>
        <w:jc w:val="both"/>
        <w:rPr>
          <w:rFonts w:eastAsia="Calibri"/>
          <w:b/>
          <w:sz w:val="24"/>
          <w:szCs w:val="24"/>
        </w:rPr>
      </w:pPr>
    </w:p>
    <w:p w14:paraId="561BC818" w14:textId="77777777" w:rsidR="0040239E" w:rsidRPr="00E62449" w:rsidRDefault="0040239E" w:rsidP="0040239E">
      <w:pPr>
        <w:jc w:val="both"/>
        <w:rPr>
          <w:rFonts w:eastAsia="Calibri"/>
          <w:sz w:val="24"/>
          <w:szCs w:val="24"/>
        </w:rPr>
      </w:pPr>
      <w:r w:rsidRPr="001F1B43">
        <w:rPr>
          <w:rFonts w:eastAsia="Calibri"/>
          <w:b/>
          <w:sz w:val="24"/>
          <w:szCs w:val="24"/>
        </w:rPr>
        <w:t>Názov materiálu:</w:t>
      </w:r>
      <w:r>
        <w:rPr>
          <w:rFonts w:eastAsia="Calibri"/>
          <w:b/>
          <w:sz w:val="24"/>
          <w:szCs w:val="24"/>
        </w:rPr>
        <w:t xml:space="preserve"> </w:t>
      </w:r>
      <w:r w:rsidRPr="00A4085D">
        <w:rPr>
          <w:rFonts w:eastAsia="Calibri"/>
          <w:sz w:val="24"/>
          <w:szCs w:val="24"/>
        </w:rPr>
        <w:t xml:space="preserve">Návrh </w:t>
      </w:r>
      <w:r w:rsidRPr="00E62449">
        <w:rPr>
          <w:rFonts w:eastAsia="Calibri"/>
          <w:sz w:val="24"/>
          <w:szCs w:val="24"/>
        </w:rPr>
        <w:t xml:space="preserve">zákona, </w:t>
      </w:r>
      <w:r w:rsidRPr="00E62449">
        <w:rPr>
          <w:rFonts w:eastAsia="Calibri"/>
          <w:bCs/>
          <w:sz w:val="24"/>
          <w:szCs w:val="24"/>
        </w:rPr>
        <w:t>ktorým sa mení a dopĺňa zákon č. 136/2004 Z. z. o letiskových spoločnostiach a o zmene a doplnení zákona č. 143/1998 Z. z. o civilnom letectve (letecký zákon) a o zmene a doplnení niektorých zákonov v znení zákona č. 37/2002 Z. z. v znení neskorších predpisov</w:t>
      </w:r>
    </w:p>
    <w:p w14:paraId="02D81817" w14:textId="77777777" w:rsidR="0040239E" w:rsidRPr="001F1B43" w:rsidRDefault="0040239E" w:rsidP="0040239E">
      <w:pPr>
        <w:jc w:val="both"/>
        <w:rPr>
          <w:rFonts w:eastAsia="Calibri"/>
          <w:b/>
          <w:sz w:val="24"/>
          <w:szCs w:val="24"/>
        </w:rPr>
      </w:pPr>
    </w:p>
    <w:p w14:paraId="3720D5E4" w14:textId="77777777" w:rsidR="0040239E" w:rsidRPr="00A4085D" w:rsidRDefault="0040239E" w:rsidP="0040239E">
      <w:pPr>
        <w:jc w:val="both"/>
        <w:rPr>
          <w:rFonts w:eastAsia="Calibri"/>
          <w:sz w:val="24"/>
          <w:szCs w:val="24"/>
        </w:rPr>
      </w:pPr>
      <w:r w:rsidRPr="001F1B43">
        <w:rPr>
          <w:rFonts w:eastAsia="Calibri"/>
          <w:b/>
          <w:sz w:val="24"/>
          <w:szCs w:val="24"/>
        </w:rPr>
        <w:t>Predkladateľ:</w:t>
      </w:r>
      <w:r>
        <w:rPr>
          <w:rFonts w:eastAsia="Calibri"/>
          <w:b/>
          <w:sz w:val="24"/>
          <w:szCs w:val="24"/>
        </w:rPr>
        <w:t xml:space="preserve"> </w:t>
      </w:r>
      <w:r>
        <w:rPr>
          <w:rFonts w:eastAsia="Calibri"/>
          <w:sz w:val="24"/>
          <w:szCs w:val="24"/>
        </w:rPr>
        <w:t>Ministerstvo dopravy Slovenskej republiky</w:t>
      </w:r>
    </w:p>
    <w:p w14:paraId="01BA53C4" w14:textId="77777777" w:rsidR="0040239E" w:rsidRPr="001F1B43" w:rsidRDefault="0040239E" w:rsidP="0040239E">
      <w:pPr>
        <w:jc w:val="both"/>
        <w:rPr>
          <w:rFonts w:eastAsia="Calibri"/>
          <w:b/>
          <w:sz w:val="24"/>
          <w:szCs w:val="24"/>
        </w:rPr>
      </w:pPr>
    </w:p>
    <w:p w14:paraId="642C38B4" w14:textId="77777777" w:rsidR="0040239E" w:rsidRPr="001F1B43" w:rsidRDefault="0040239E" w:rsidP="0040239E">
      <w:pPr>
        <w:jc w:val="both"/>
        <w:rPr>
          <w:rFonts w:eastAsia="Calibri"/>
          <w:b/>
          <w:sz w:val="24"/>
          <w:szCs w:val="24"/>
        </w:rPr>
      </w:pPr>
      <w:r w:rsidRPr="001F1B43">
        <w:rPr>
          <w:rFonts w:eastAsia="Calibri"/>
          <w:b/>
          <w:sz w:val="24"/>
          <w:szCs w:val="24"/>
        </w:rPr>
        <w:t>3.1 Náklady regulácie</w:t>
      </w:r>
    </w:p>
    <w:p w14:paraId="0F883B92" w14:textId="77777777" w:rsidR="0040239E" w:rsidRPr="001F1B43" w:rsidRDefault="0040239E" w:rsidP="0040239E">
      <w:pPr>
        <w:tabs>
          <w:tab w:val="left" w:pos="8025"/>
        </w:tabs>
        <w:rPr>
          <w:rFonts w:eastAsia="Calibri"/>
          <w:bCs/>
          <w:i/>
          <w:iCs/>
          <w:sz w:val="24"/>
          <w:szCs w:val="24"/>
        </w:rPr>
      </w:pPr>
      <w:r w:rsidRPr="001F1B43">
        <w:rPr>
          <w:rFonts w:eastAsia="Calibri"/>
          <w:b/>
          <w:i/>
          <w:iCs/>
          <w:sz w:val="24"/>
          <w:szCs w:val="24"/>
        </w:rPr>
        <w:t xml:space="preserve">3.1.1 Súhrnná tabuľka nákladov regulácie </w:t>
      </w:r>
      <w:r>
        <w:rPr>
          <w:rFonts w:eastAsia="Calibri"/>
          <w:b/>
          <w:i/>
          <w:iCs/>
          <w:sz w:val="24"/>
          <w:szCs w:val="24"/>
        </w:rPr>
        <w:tab/>
      </w:r>
    </w:p>
    <w:p w14:paraId="786202EA" w14:textId="77777777" w:rsidR="0040239E" w:rsidRPr="00D8247C" w:rsidRDefault="0040239E" w:rsidP="0040239E">
      <w:pPr>
        <w:jc w:val="both"/>
        <w:rPr>
          <w:rFonts w:eastAsia="Calibri"/>
          <w:i/>
          <w:sz w:val="24"/>
          <w:szCs w:val="24"/>
        </w:rPr>
      </w:pPr>
      <w:r w:rsidRPr="00D8247C">
        <w:rPr>
          <w:rFonts w:eastAsia="Calibri"/>
          <w:i/>
          <w:sz w:val="24"/>
          <w:szCs w:val="24"/>
        </w:rPr>
        <w:t>Tabuľka č. 1: Zmeny nákladov (ročne) v prepočte na podnikateľské prostredie (PP), vyhodnotenie mechanizmu znižovania byrokracie a náklado</w:t>
      </w:r>
      <w:r>
        <w:rPr>
          <w:rFonts w:eastAsia="Calibri"/>
          <w:i/>
          <w:sz w:val="24"/>
          <w:szCs w:val="24"/>
        </w:rPr>
        <w:t xml:space="preserve">v, náklady </w:t>
      </w:r>
      <w:proofErr w:type="spellStart"/>
      <w:r w:rsidRPr="00804BC8">
        <w:rPr>
          <w:rFonts w:eastAsia="Calibri"/>
          <w:i/>
          <w:sz w:val="24"/>
          <w:szCs w:val="24"/>
        </w:rPr>
        <w:t>goldplatingu</w:t>
      </w:r>
      <w:proofErr w:type="spellEnd"/>
      <w:r>
        <w:rPr>
          <w:rStyle w:val="Odkaznapoznmkupodiarou"/>
          <w:rFonts w:eastAsia="Calibri"/>
          <w:i/>
          <w:sz w:val="24"/>
          <w:szCs w:val="24"/>
        </w:rPr>
        <w:footnoteReference w:id="1"/>
      </w:r>
      <w:r>
        <w:rPr>
          <w:rFonts w:eastAsia="Calibri"/>
          <w:i/>
          <w:sz w:val="24"/>
          <w:szCs w:val="24"/>
        </w:rPr>
        <w:t xml:space="preserve"> na podnikateľské prostredie</w:t>
      </w:r>
      <w:r w:rsidRPr="00D8247C">
        <w:rPr>
          <w:rFonts w:eastAsia="Calibri"/>
          <w:i/>
          <w:sz w:val="24"/>
          <w:szCs w:val="24"/>
        </w:rPr>
        <w:t xml:space="preserve">. </w:t>
      </w:r>
    </w:p>
    <w:p w14:paraId="6316B1A8" w14:textId="77777777" w:rsidR="0040239E" w:rsidRPr="00D8247C" w:rsidRDefault="0040239E" w:rsidP="0040239E">
      <w:pPr>
        <w:jc w:val="both"/>
        <w:rPr>
          <w:rFonts w:eastAsia="Calibri"/>
          <w:i/>
          <w:sz w:val="24"/>
          <w:szCs w:val="24"/>
        </w:rPr>
      </w:pPr>
      <w:r w:rsidRPr="00D8247C">
        <w:rPr>
          <w:rFonts w:eastAsia="Calibri"/>
          <w:i/>
          <w:sz w:val="24"/>
          <w:szCs w:val="24"/>
        </w:rPr>
        <w:t xml:space="preserve">Nahraďte rovnakou tabuľkou po vyplnení Kalkulačky nákladov podnikateľského prostredia, ktorá je povinnou prílohou tejto analýzy a nájdete ju na </w:t>
      </w:r>
      <w:hyperlink r:id="rId14" w:history="1">
        <w:r w:rsidRPr="00D8247C">
          <w:rPr>
            <w:rFonts w:eastAsia="Calibri"/>
            <w:i/>
            <w:color w:val="0563C1"/>
            <w:sz w:val="24"/>
            <w:szCs w:val="24"/>
            <w:u w:val="single"/>
          </w:rPr>
          <w:t>webovom sídle MH SR</w:t>
        </w:r>
      </w:hyperlink>
      <w:r w:rsidRPr="00D8247C">
        <w:rPr>
          <w:rFonts w:eastAsia="Calibri"/>
          <w:i/>
          <w:sz w:val="24"/>
          <w:szCs w:val="24"/>
        </w:rPr>
        <w:t xml:space="preserve">, (ďalej len </w:t>
      </w:r>
      <w:r>
        <w:rPr>
          <w:rFonts w:eastAsia="Calibri"/>
          <w:i/>
          <w:sz w:val="24"/>
          <w:szCs w:val="24"/>
        </w:rPr>
        <w:t>„</w:t>
      </w:r>
      <w:r w:rsidRPr="00D8247C">
        <w:rPr>
          <w:rFonts w:eastAsia="Calibri"/>
          <w:i/>
          <w:sz w:val="24"/>
          <w:szCs w:val="24"/>
        </w:rPr>
        <w:t>Kalkulačka nákladov</w:t>
      </w:r>
      <w:r>
        <w:rPr>
          <w:rFonts w:eastAsia="Calibri"/>
          <w:i/>
          <w:sz w:val="24"/>
          <w:szCs w:val="24"/>
        </w:rPr>
        <w:t>“</w:t>
      </w:r>
      <w:r w:rsidRPr="00D8247C">
        <w:rPr>
          <w:rFonts w:eastAsia="Calibri"/>
          <w:i/>
          <w:sz w:val="24"/>
          <w:szCs w:val="24"/>
        </w:rPr>
        <w:t>):</w:t>
      </w:r>
    </w:p>
    <w:tbl>
      <w:tblPr>
        <w:tblW w:w="8300" w:type="dxa"/>
        <w:jc w:val="center"/>
        <w:tblCellMar>
          <w:left w:w="70" w:type="dxa"/>
          <w:right w:w="70" w:type="dxa"/>
        </w:tblCellMar>
        <w:tblLook w:val="04A0" w:firstRow="1" w:lastRow="0" w:firstColumn="1" w:lastColumn="0" w:noHBand="0" w:noVBand="1"/>
      </w:tblPr>
      <w:tblGrid>
        <w:gridCol w:w="4540"/>
        <w:gridCol w:w="1880"/>
        <w:gridCol w:w="1880"/>
      </w:tblGrid>
      <w:tr w:rsidR="0040239E" w:rsidRPr="00D94B30" w14:paraId="75D26F1A" w14:textId="77777777" w:rsidTr="00911BB2">
        <w:trPr>
          <w:trHeight w:val="675"/>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AA7489" w14:textId="77777777" w:rsidR="0040239E" w:rsidRPr="00D94B30" w:rsidRDefault="0040239E" w:rsidP="00911BB2">
            <w:pPr>
              <w:jc w:val="center"/>
              <w:rPr>
                <w:b/>
                <w:bCs/>
                <w:i/>
                <w:iCs/>
                <w:color w:val="000000"/>
              </w:rPr>
            </w:pPr>
            <w:r w:rsidRPr="00D94B30">
              <w:rPr>
                <w:b/>
                <w:bCs/>
                <w:i/>
                <w:iCs/>
                <w:color w:val="000000"/>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E45AB4C" w14:textId="77777777" w:rsidR="0040239E" w:rsidRPr="00D94B30" w:rsidRDefault="0040239E" w:rsidP="00911BB2">
            <w:pPr>
              <w:jc w:val="center"/>
              <w:rPr>
                <w:b/>
                <w:bCs/>
                <w:color w:val="000000"/>
              </w:rPr>
            </w:pPr>
            <w:r w:rsidRPr="00D94B30">
              <w:rPr>
                <w:b/>
                <w:bCs/>
                <w:color w:val="00000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1C96272" w14:textId="77777777" w:rsidR="0040239E" w:rsidRPr="00D94B30" w:rsidRDefault="0040239E" w:rsidP="00911BB2">
            <w:pPr>
              <w:jc w:val="center"/>
              <w:rPr>
                <w:b/>
                <w:bCs/>
                <w:color w:val="000000"/>
              </w:rPr>
            </w:pPr>
            <w:r w:rsidRPr="00D94B30">
              <w:rPr>
                <w:b/>
                <w:bCs/>
                <w:color w:val="000000"/>
              </w:rPr>
              <w:t>Zníženie nákladov v € na PP</w:t>
            </w:r>
          </w:p>
        </w:tc>
      </w:tr>
      <w:tr w:rsidR="0040239E" w:rsidRPr="00D94B30" w14:paraId="4C1051E0" w14:textId="77777777" w:rsidTr="00911BB2">
        <w:trPr>
          <w:trHeight w:val="81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4FD216C" w14:textId="77777777" w:rsidR="0040239E" w:rsidRPr="00D94B30" w:rsidRDefault="0040239E" w:rsidP="00911BB2">
            <w:pPr>
              <w:rPr>
                <w:b/>
                <w:bCs/>
                <w:i/>
                <w:iCs/>
                <w:color w:val="000000"/>
              </w:rPr>
            </w:pPr>
            <w:proofErr w:type="spellStart"/>
            <w:r w:rsidRPr="00D94B30">
              <w:rPr>
                <w:b/>
                <w:bCs/>
                <w:i/>
                <w:iCs/>
                <w:color w:val="000000"/>
              </w:rPr>
              <w:t>A.Dane</w:t>
            </w:r>
            <w:proofErr w:type="spellEnd"/>
            <w:r w:rsidRPr="00D94B30">
              <w:rPr>
                <w:b/>
                <w:bCs/>
                <w:i/>
                <w:iCs/>
                <w:color w:val="000000"/>
              </w:rPr>
              <w:t xml:space="preserve">, odvody, clá a poplatky, ktorých cieľom je znižovať negatívne </w:t>
            </w:r>
            <w:proofErr w:type="spellStart"/>
            <w:r w:rsidRPr="00D94B30">
              <w:rPr>
                <w:b/>
                <w:bCs/>
                <w:i/>
                <w:iCs/>
                <w:color w:val="000000"/>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1DF7F225" w14:textId="77777777" w:rsidR="0040239E" w:rsidRPr="00D94B30" w:rsidRDefault="0040239E" w:rsidP="00911BB2">
            <w:pPr>
              <w:jc w:val="center"/>
              <w:rPr>
                <w:b/>
                <w:bCs/>
                <w:color w:val="000000"/>
              </w:rPr>
            </w:pPr>
            <w:r w:rsidRPr="00D94B30">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4C113AF9" w14:textId="77777777" w:rsidR="0040239E" w:rsidRPr="00D94B30" w:rsidRDefault="0040239E" w:rsidP="00911BB2">
            <w:pPr>
              <w:jc w:val="center"/>
              <w:rPr>
                <w:b/>
                <w:bCs/>
                <w:color w:val="000000"/>
              </w:rPr>
            </w:pPr>
            <w:r w:rsidRPr="00D94B30">
              <w:rPr>
                <w:b/>
                <w:bCs/>
                <w:color w:val="000000"/>
              </w:rPr>
              <w:t>0</w:t>
            </w:r>
          </w:p>
        </w:tc>
      </w:tr>
      <w:tr w:rsidR="0040239E" w:rsidRPr="00D94B30" w14:paraId="064A6705" w14:textId="77777777" w:rsidTr="00911BB2">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921DC09" w14:textId="77777777" w:rsidR="0040239E" w:rsidRPr="00D94B30" w:rsidRDefault="0040239E" w:rsidP="00911BB2">
            <w:pPr>
              <w:rPr>
                <w:b/>
                <w:bCs/>
                <w:i/>
                <w:iCs/>
                <w:color w:val="000000"/>
              </w:rPr>
            </w:pPr>
            <w:r w:rsidRPr="00D94B30">
              <w:rPr>
                <w:b/>
                <w:bCs/>
                <w:i/>
                <w:iCs/>
                <w:color w:val="000000"/>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1303210F" w14:textId="77777777" w:rsidR="0040239E" w:rsidRPr="00D94B30" w:rsidRDefault="0040239E" w:rsidP="00911BB2">
            <w:pPr>
              <w:jc w:val="center"/>
              <w:rPr>
                <w:b/>
                <w:bCs/>
                <w:color w:val="000000"/>
              </w:rPr>
            </w:pPr>
            <w:r>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7A18037A" w14:textId="77777777" w:rsidR="0040239E" w:rsidRPr="00D94B30" w:rsidRDefault="0040239E" w:rsidP="00911BB2">
            <w:pPr>
              <w:jc w:val="center"/>
              <w:rPr>
                <w:b/>
                <w:bCs/>
                <w:color w:val="000000"/>
              </w:rPr>
            </w:pPr>
            <w:r w:rsidRPr="00D94B30">
              <w:rPr>
                <w:b/>
                <w:bCs/>
                <w:color w:val="000000"/>
              </w:rPr>
              <w:t>0</w:t>
            </w:r>
          </w:p>
        </w:tc>
      </w:tr>
      <w:tr w:rsidR="0040239E" w:rsidRPr="00D94B30" w14:paraId="0D6165F1" w14:textId="77777777" w:rsidTr="00911BB2">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F5EDC7E" w14:textId="77777777" w:rsidR="0040239E" w:rsidRPr="00D94B30" w:rsidRDefault="0040239E" w:rsidP="00911BB2">
            <w:pPr>
              <w:rPr>
                <w:b/>
                <w:bCs/>
                <w:i/>
                <w:iCs/>
                <w:color w:val="000000"/>
              </w:rPr>
            </w:pPr>
            <w:r w:rsidRPr="00D94B30">
              <w:rPr>
                <w:b/>
                <w:bCs/>
                <w:i/>
                <w:iCs/>
                <w:color w:val="000000"/>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253DB806" w14:textId="77777777" w:rsidR="0040239E" w:rsidRPr="00D94B30" w:rsidRDefault="0040239E" w:rsidP="00911BB2">
            <w:pPr>
              <w:jc w:val="center"/>
              <w:rPr>
                <w:b/>
                <w:bCs/>
                <w:color w:val="000000"/>
              </w:rPr>
            </w:pPr>
            <w:r w:rsidRPr="00D94B30">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4BC98789" w14:textId="77777777" w:rsidR="0040239E" w:rsidRPr="00D94B30" w:rsidRDefault="0040239E" w:rsidP="00911BB2">
            <w:pPr>
              <w:jc w:val="center"/>
              <w:rPr>
                <w:b/>
                <w:bCs/>
                <w:color w:val="000000"/>
              </w:rPr>
            </w:pPr>
            <w:r w:rsidRPr="00D94B30">
              <w:rPr>
                <w:b/>
                <w:bCs/>
                <w:color w:val="000000"/>
              </w:rPr>
              <w:t>0</w:t>
            </w:r>
          </w:p>
        </w:tc>
      </w:tr>
      <w:tr w:rsidR="0040239E" w:rsidRPr="00D94B30" w14:paraId="7325DE37" w14:textId="77777777" w:rsidTr="00911BB2">
        <w:trPr>
          <w:trHeight w:val="300"/>
          <w:jc w:val="center"/>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C9099DA" w14:textId="77777777" w:rsidR="0040239E" w:rsidRPr="00D94B30" w:rsidRDefault="0040239E" w:rsidP="00911BB2">
            <w:pPr>
              <w:rPr>
                <w:b/>
                <w:bCs/>
                <w:i/>
                <w:iCs/>
                <w:color w:val="000000"/>
              </w:rPr>
            </w:pPr>
            <w:r w:rsidRPr="00D94B30">
              <w:rPr>
                <w:b/>
                <w:bCs/>
                <w:i/>
                <w:iCs/>
                <w:color w:val="000000"/>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026B2F18" w14:textId="77777777" w:rsidR="0040239E" w:rsidRPr="00D94B30" w:rsidRDefault="0040239E" w:rsidP="00911BB2">
            <w:pPr>
              <w:jc w:val="center"/>
              <w:rPr>
                <w:b/>
                <w:bCs/>
                <w:color w:val="000000"/>
              </w:rPr>
            </w:pPr>
            <w:r w:rsidRPr="00D94B30">
              <w:rPr>
                <w:b/>
                <w:bCs/>
                <w:color w:val="000000"/>
              </w:rPr>
              <w:t>0</w:t>
            </w:r>
          </w:p>
        </w:tc>
        <w:tc>
          <w:tcPr>
            <w:tcW w:w="1880" w:type="dxa"/>
            <w:tcBorders>
              <w:top w:val="nil"/>
              <w:left w:val="nil"/>
              <w:bottom w:val="single" w:sz="4" w:space="0" w:color="auto"/>
              <w:right w:val="single" w:sz="8" w:space="0" w:color="auto"/>
            </w:tcBorders>
            <w:shd w:val="clear" w:color="000000" w:fill="92D050"/>
            <w:vAlign w:val="center"/>
            <w:hideMark/>
          </w:tcPr>
          <w:p w14:paraId="64FA5899" w14:textId="77777777" w:rsidR="0040239E" w:rsidRPr="00D94B30" w:rsidRDefault="0040239E" w:rsidP="00911BB2">
            <w:pPr>
              <w:jc w:val="center"/>
              <w:rPr>
                <w:b/>
                <w:bCs/>
                <w:color w:val="000000"/>
              </w:rPr>
            </w:pPr>
            <w:r w:rsidRPr="00D94B30">
              <w:rPr>
                <w:b/>
                <w:bCs/>
                <w:color w:val="000000"/>
              </w:rPr>
              <w:t>0</w:t>
            </w:r>
          </w:p>
        </w:tc>
      </w:tr>
      <w:tr w:rsidR="0040239E" w:rsidRPr="00D94B30" w14:paraId="2E67FCC7" w14:textId="77777777" w:rsidTr="00911BB2">
        <w:trPr>
          <w:trHeight w:val="300"/>
          <w:jc w:val="center"/>
        </w:trPr>
        <w:tc>
          <w:tcPr>
            <w:tcW w:w="4540" w:type="dxa"/>
            <w:tcBorders>
              <w:top w:val="nil"/>
              <w:left w:val="single" w:sz="8" w:space="0" w:color="auto"/>
              <w:bottom w:val="nil"/>
              <w:right w:val="single" w:sz="4" w:space="0" w:color="auto"/>
            </w:tcBorders>
            <w:shd w:val="clear" w:color="auto" w:fill="auto"/>
            <w:vAlign w:val="center"/>
            <w:hideMark/>
          </w:tcPr>
          <w:p w14:paraId="0ECAE5C2" w14:textId="77777777" w:rsidR="0040239E" w:rsidRPr="00D94B30" w:rsidRDefault="0040239E" w:rsidP="00911BB2">
            <w:pPr>
              <w:rPr>
                <w:b/>
                <w:bCs/>
                <w:i/>
                <w:iCs/>
                <w:color w:val="000000"/>
              </w:rPr>
            </w:pPr>
            <w:r w:rsidRPr="00D94B30">
              <w:rPr>
                <w:b/>
                <w:bCs/>
                <w:i/>
                <w:iCs/>
                <w:color w:val="000000"/>
              </w:rPr>
              <w:t>E. Administratívne náklady</w:t>
            </w:r>
          </w:p>
        </w:tc>
        <w:tc>
          <w:tcPr>
            <w:tcW w:w="1880" w:type="dxa"/>
            <w:tcBorders>
              <w:top w:val="nil"/>
              <w:left w:val="nil"/>
              <w:bottom w:val="nil"/>
              <w:right w:val="single" w:sz="4" w:space="0" w:color="auto"/>
            </w:tcBorders>
            <w:shd w:val="clear" w:color="000000" w:fill="FFC000"/>
            <w:vAlign w:val="center"/>
            <w:hideMark/>
          </w:tcPr>
          <w:p w14:paraId="18DD0E08" w14:textId="77777777" w:rsidR="0040239E" w:rsidRPr="00D94B30" w:rsidRDefault="0040239E" w:rsidP="00911BB2">
            <w:pPr>
              <w:jc w:val="center"/>
              <w:rPr>
                <w:b/>
                <w:bCs/>
                <w:color w:val="000000"/>
              </w:rPr>
            </w:pPr>
            <w:r>
              <w:rPr>
                <w:b/>
                <w:bCs/>
                <w:color w:val="000000"/>
              </w:rPr>
              <w:t>0</w:t>
            </w:r>
          </w:p>
        </w:tc>
        <w:tc>
          <w:tcPr>
            <w:tcW w:w="1880" w:type="dxa"/>
            <w:tcBorders>
              <w:top w:val="nil"/>
              <w:left w:val="nil"/>
              <w:bottom w:val="nil"/>
              <w:right w:val="single" w:sz="8" w:space="0" w:color="auto"/>
            </w:tcBorders>
            <w:shd w:val="clear" w:color="000000" w:fill="92D050"/>
            <w:vAlign w:val="center"/>
            <w:hideMark/>
          </w:tcPr>
          <w:p w14:paraId="7370187A" w14:textId="77777777" w:rsidR="0040239E" w:rsidRPr="00D94B30" w:rsidRDefault="0040239E" w:rsidP="00911BB2">
            <w:pPr>
              <w:jc w:val="center"/>
              <w:rPr>
                <w:b/>
                <w:bCs/>
                <w:color w:val="000000"/>
              </w:rPr>
            </w:pPr>
            <w:r w:rsidRPr="00D94B30">
              <w:rPr>
                <w:b/>
                <w:bCs/>
                <w:color w:val="000000"/>
              </w:rPr>
              <w:t>0</w:t>
            </w:r>
          </w:p>
        </w:tc>
      </w:tr>
      <w:tr w:rsidR="0040239E" w:rsidRPr="00D94B30" w14:paraId="7714E5D9" w14:textId="77777777" w:rsidTr="00911BB2">
        <w:trPr>
          <w:trHeight w:val="3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592CE4" w14:textId="77777777" w:rsidR="0040239E" w:rsidRPr="00D94B30" w:rsidRDefault="0040239E" w:rsidP="00911BB2">
            <w:pPr>
              <w:rPr>
                <w:b/>
                <w:bCs/>
                <w:i/>
                <w:iCs/>
                <w:color w:val="000000"/>
              </w:rPr>
            </w:pPr>
            <w:r w:rsidRPr="00D94B30">
              <w:rPr>
                <w:b/>
                <w:bCs/>
                <w:i/>
                <w:iCs/>
                <w:color w:val="000000"/>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61C156D" w14:textId="77777777" w:rsidR="0040239E" w:rsidRPr="00D94B30" w:rsidRDefault="0040239E" w:rsidP="00911BB2">
            <w:pPr>
              <w:jc w:val="center"/>
              <w:rPr>
                <w:b/>
                <w:bCs/>
                <w:color w:val="000000"/>
              </w:rPr>
            </w:pPr>
            <w:r>
              <w:rPr>
                <w:b/>
                <w:bCs/>
                <w:color w:val="000000"/>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E6EADF7" w14:textId="77777777" w:rsidR="0040239E" w:rsidRPr="00D94B30" w:rsidRDefault="0040239E" w:rsidP="00911BB2">
            <w:pPr>
              <w:jc w:val="center"/>
              <w:rPr>
                <w:b/>
                <w:bCs/>
                <w:color w:val="000000"/>
              </w:rPr>
            </w:pPr>
            <w:r w:rsidRPr="00D94B30">
              <w:rPr>
                <w:b/>
                <w:bCs/>
                <w:color w:val="000000"/>
              </w:rPr>
              <w:t>0</w:t>
            </w:r>
          </w:p>
        </w:tc>
      </w:tr>
      <w:tr w:rsidR="0040239E" w:rsidRPr="00D94B30" w14:paraId="4446DDE6" w14:textId="77777777" w:rsidTr="00911BB2">
        <w:trPr>
          <w:trHeight w:val="300"/>
          <w:jc w:val="center"/>
        </w:trPr>
        <w:tc>
          <w:tcPr>
            <w:tcW w:w="4540" w:type="dxa"/>
            <w:tcBorders>
              <w:top w:val="nil"/>
              <w:left w:val="nil"/>
              <w:bottom w:val="nil"/>
              <w:right w:val="nil"/>
            </w:tcBorders>
            <w:shd w:val="clear" w:color="auto" w:fill="auto"/>
            <w:vAlign w:val="center"/>
            <w:hideMark/>
          </w:tcPr>
          <w:p w14:paraId="77C29F41" w14:textId="77777777" w:rsidR="0040239E" w:rsidRPr="00D94B30" w:rsidRDefault="0040239E" w:rsidP="00911BB2">
            <w:pPr>
              <w:jc w:val="center"/>
              <w:rPr>
                <w:b/>
                <w:bCs/>
                <w:color w:val="000000"/>
              </w:rPr>
            </w:pPr>
          </w:p>
        </w:tc>
        <w:tc>
          <w:tcPr>
            <w:tcW w:w="1880" w:type="dxa"/>
            <w:tcBorders>
              <w:top w:val="nil"/>
              <w:left w:val="nil"/>
              <w:bottom w:val="nil"/>
              <w:right w:val="nil"/>
            </w:tcBorders>
            <w:shd w:val="clear" w:color="auto" w:fill="auto"/>
            <w:vAlign w:val="center"/>
            <w:hideMark/>
          </w:tcPr>
          <w:p w14:paraId="00647056" w14:textId="77777777" w:rsidR="0040239E" w:rsidRPr="00D94B30" w:rsidRDefault="0040239E" w:rsidP="00911BB2"/>
        </w:tc>
        <w:tc>
          <w:tcPr>
            <w:tcW w:w="1880" w:type="dxa"/>
            <w:tcBorders>
              <w:top w:val="nil"/>
              <w:left w:val="nil"/>
              <w:bottom w:val="nil"/>
              <w:right w:val="nil"/>
            </w:tcBorders>
            <w:shd w:val="clear" w:color="auto" w:fill="auto"/>
            <w:vAlign w:val="center"/>
            <w:hideMark/>
          </w:tcPr>
          <w:p w14:paraId="28364020" w14:textId="77777777" w:rsidR="0040239E" w:rsidRPr="00D94B30" w:rsidRDefault="0040239E" w:rsidP="00911BB2"/>
        </w:tc>
      </w:tr>
      <w:tr w:rsidR="0040239E" w:rsidRPr="00D94B30" w14:paraId="52AFB483" w14:textId="77777777" w:rsidTr="00911BB2">
        <w:trPr>
          <w:trHeight w:val="60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BB9359" w14:textId="77777777" w:rsidR="0040239E" w:rsidRPr="00D94B30" w:rsidRDefault="0040239E" w:rsidP="00911BB2">
            <w:pPr>
              <w:rPr>
                <w:b/>
                <w:bCs/>
                <w:i/>
                <w:iCs/>
                <w:color w:val="000000"/>
              </w:rPr>
            </w:pPr>
            <w:r w:rsidRPr="00D94B30">
              <w:rPr>
                <w:b/>
                <w:bCs/>
                <w:i/>
                <w:iCs/>
                <w:color w:val="000000"/>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010B285" w14:textId="77777777" w:rsidR="0040239E" w:rsidRPr="00D94B30" w:rsidRDefault="0040239E" w:rsidP="00911BB2">
            <w:pPr>
              <w:jc w:val="center"/>
              <w:rPr>
                <w:b/>
                <w:bCs/>
                <w:color w:val="000000"/>
              </w:rPr>
            </w:pPr>
            <w:r w:rsidRPr="00D94B30">
              <w:rPr>
                <w:b/>
                <w:bCs/>
                <w:color w:val="000000"/>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B9D7574" w14:textId="77777777" w:rsidR="0040239E" w:rsidRPr="00D94B30" w:rsidRDefault="0040239E" w:rsidP="00911BB2">
            <w:pPr>
              <w:jc w:val="center"/>
              <w:rPr>
                <w:b/>
                <w:bCs/>
                <w:color w:val="000000"/>
              </w:rPr>
            </w:pPr>
            <w:r w:rsidRPr="00D94B30">
              <w:rPr>
                <w:b/>
                <w:bCs/>
                <w:color w:val="000000"/>
              </w:rPr>
              <w:t>Zníženie nákladov v € na PP</w:t>
            </w:r>
          </w:p>
        </w:tc>
      </w:tr>
      <w:tr w:rsidR="0040239E" w:rsidRPr="00D94B30" w14:paraId="0EB783EC" w14:textId="77777777" w:rsidTr="00911BB2">
        <w:trPr>
          <w:trHeight w:val="990"/>
          <w:jc w:val="center"/>
        </w:trPr>
        <w:tc>
          <w:tcPr>
            <w:tcW w:w="4540" w:type="dxa"/>
            <w:tcBorders>
              <w:top w:val="nil"/>
              <w:left w:val="single" w:sz="8" w:space="0" w:color="auto"/>
              <w:bottom w:val="nil"/>
              <w:right w:val="single" w:sz="4" w:space="0" w:color="auto"/>
            </w:tcBorders>
            <w:shd w:val="clear" w:color="auto" w:fill="auto"/>
            <w:vAlign w:val="center"/>
            <w:hideMark/>
          </w:tcPr>
          <w:p w14:paraId="39ACE978" w14:textId="77777777" w:rsidR="0040239E" w:rsidRPr="00D94B30" w:rsidRDefault="0040239E" w:rsidP="00911BB2">
            <w:pPr>
              <w:rPr>
                <w:b/>
                <w:bCs/>
                <w:i/>
                <w:iCs/>
                <w:color w:val="000000"/>
              </w:rPr>
            </w:pPr>
            <w:r w:rsidRPr="00D94B30">
              <w:rPr>
                <w:b/>
                <w:bCs/>
                <w:i/>
                <w:iCs/>
                <w:color w:val="000000"/>
              </w:rPr>
              <w:t>F. Úplná harmonizácia práva EÚ</w:t>
            </w:r>
            <w:r w:rsidRPr="00D94B30">
              <w:rPr>
                <w:b/>
                <w:bCs/>
                <w:i/>
                <w:iCs/>
                <w:color w:val="000000"/>
              </w:rPr>
              <w:br/>
            </w:r>
            <w:r w:rsidRPr="00D94B30">
              <w:rPr>
                <w:i/>
                <w:iCs/>
                <w:color w:val="000000"/>
                <w:sz w:val="16"/>
                <w:szCs w:val="16"/>
              </w:rPr>
              <w:t xml:space="preserve">(okrem daní, odvodov, ciel a poplatkov, ktorých cieľom je znižovať negatívne </w:t>
            </w:r>
            <w:proofErr w:type="spellStart"/>
            <w:r w:rsidRPr="00D94B30">
              <w:rPr>
                <w:i/>
                <w:iCs/>
                <w:color w:val="000000"/>
                <w:sz w:val="16"/>
                <w:szCs w:val="16"/>
              </w:rPr>
              <w:t>externality</w:t>
            </w:r>
            <w:proofErr w:type="spellEnd"/>
            <w:r w:rsidRPr="00D94B30">
              <w:rPr>
                <w:i/>
                <w:iCs/>
                <w:color w:val="000000"/>
                <w:sz w:val="16"/>
                <w:szCs w:val="16"/>
              </w:rPr>
              <w:t>)</w:t>
            </w:r>
          </w:p>
        </w:tc>
        <w:tc>
          <w:tcPr>
            <w:tcW w:w="1880" w:type="dxa"/>
            <w:tcBorders>
              <w:top w:val="nil"/>
              <w:left w:val="nil"/>
              <w:bottom w:val="nil"/>
              <w:right w:val="single" w:sz="4" w:space="0" w:color="auto"/>
            </w:tcBorders>
            <w:shd w:val="clear" w:color="000000" w:fill="FFC000"/>
            <w:vAlign w:val="center"/>
            <w:hideMark/>
          </w:tcPr>
          <w:p w14:paraId="39857F4E" w14:textId="77777777" w:rsidR="0040239E" w:rsidRPr="00D94B30" w:rsidRDefault="0040239E" w:rsidP="00911BB2">
            <w:pPr>
              <w:jc w:val="center"/>
              <w:rPr>
                <w:b/>
                <w:bCs/>
                <w:color w:val="000000"/>
              </w:rPr>
            </w:pPr>
            <w:r>
              <w:rPr>
                <w:b/>
                <w:bCs/>
                <w:color w:val="000000"/>
              </w:rPr>
              <w:t>0</w:t>
            </w:r>
          </w:p>
        </w:tc>
        <w:tc>
          <w:tcPr>
            <w:tcW w:w="1880" w:type="dxa"/>
            <w:tcBorders>
              <w:top w:val="nil"/>
              <w:left w:val="nil"/>
              <w:bottom w:val="nil"/>
              <w:right w:val="single" w:sz="8" w:space="0" w:color="auto"/>
            </w:tcBorders>
            <w:shd w:val="clear" w:color="000000" w:fill="92D050"/>
            <w:vAlign w:val="center"/>
            <w:hideMark/>
          </w:tcPr>
          <w:p w14:paraId="51719D97" w14:textId="77777777" w:rsidR="0040239E" w:rsidRPr="00D94B30" w:rsidRDefault="0040239E" w:rsidP="00911BB2">
            <w:pPr>
              <w:jc w:val="center"/>
              <w:rPr>
                <w:b/>
                <w:bCs/>
                <w:color w:val="000000"/>
              </w:rPr>
            </w:pPr>
            <w:r w:rsidRPr="00D94B30">
              <w:rPr>
                <w:b/>
                <w:bCs/>
                <w:color w:val="000000"/>
              </w:rPr>
              <w:t>0</w:t>
            </w:r>
          </w:p>
        </w:tc>
      </w:tr>
      <w:tr w:rsidR="0040239E" w:rsidRPr="00D94B30" w14:paraId="0D45F721" w14:textId="77777777" w:rsidTr="00911BB2">
        <w:trPr>
          <w:trHeight w:val="270"/>
          <w:jc w:val="center"/>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4CB4F3" w14:textId="77777777" w:rsidR="0040239E" w:rsidRPr="00D94B30" w:rsidRDefault="0040239E" w:rsidP="00911BB2">
            <w:pPr>
              <w:rPr>
                <w:b/>
                <w:bCs/>
                <w:i/>
                <w:iCs/>
                <w:color w:val="000000"/>
              </w:rPr>
            </w:pPr>
            <w:r w:rsidRPr="00D94B30">
              <w:rPr>
                <w:b/>
                <w:bCs/>
                <w:i/>
                <w:iCs/>
                <w:color w:val="000000"/>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6C69B4D" w14:textId="77777777" w:rsidR="0040239E" w:rsidRPr="00D94B30" w:rsidRDefault="0040239E" w:rsidP="00911BB2">
            <w:pPr>
              <w:jc w:val="center"/>
              <w:rPr>
                <w:b/>
                <w:bCs/>
                <w:color w:val="000000"/>
              </w:rPr>
            </w:pPr>
            <w:r w:rsidRPr="00D94B30">
              <w:rPr>
                <w:b/>
                <w:bCs/>
                <w:color w:val="000000"/>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C40CEAF" w14:textId="77777777" w:rsidR="0040239E" w:rsidRPr="00D94B30" w:rsidRDefault="0040239E" w:rsidP="00911BB2">
            <w:pPr>
              <w:jc w:val="center"/>
              <w:rPr>
                <w:b/>
                <w:bCs/>
                <w:color w:val="000000"/>
              </w:rPr>
            </w:pPr>
            <w:r w:rsidRPr="00D94B30">
              <w:rPr>
                <w:b/>
                <w:bCs/>
                <w:color w:val="000000"/>
              </w:rPr>
              <w:t>0</w:t>
            </w:r>
          </w:p>
        </w:tc>
      </w:tr>
      <w:tr w:rsidR="0040239E" w:rsidRPr="00D94B30" w14:paraId="2D24193F" w14:textId="77777777" w:rsidTr="00911BB2">
        <w:trPr>
          <w:trHeight w:val="270"/>
          <w:jc w:val="center"/>
        </w:trPr>
        <w:tc>
          <w:tcPr>
            <w:tcW w:w="4540" w:type="dxa"/>
            <w:tcBorders>
              <w:top w:val="nil"/>
              <w:left w:val="nil"/>
              <w:bottom w:val="nil"/>
              <w:right w:val="nil"/>
            </w:tcBorders>
            <w:shd w:val="clear" w:color="auto" w:fill="auto"/>
            <w:noWrap/>
            <w:vAlign w:val="bottom"/>
            <w:hideMark/>
          </w:tcPr>
          <w:p w14:paraId="502661AA" w14:textId="77777777" w:rsidR="0040239E" w:rsidRPr="00D94B30" w:rsidRDefault="0040239E" w:rsidP="00911BB2">
            <w:pPr>
              <w:jc w:val="center"/>
              <w:rPr>
                <w:b/>
                <w:bCs/>
                <w:color w:val="000000"/>
              </w:rPr>
            </w:pPr>
          </w:p>
        </w:tc>
        <w:tc>
          <w:tcPr>
            <w:tcW w:w="1880" w:type="dxa"/>
            <w:tcBorders>
              <w:top w:val="nil"/>
              <w:left w:val="nil"/>
              <w:bottom w:val="nil"/>
              <w:right w:val="nil"/>
            </w:tcBorders>
            <w:shd w:val="clear" w:color="auto" w:fill="auto"/>
            <w:vAlign w:val="center"/>
            <w:hideMark/>
          </w:tcPr>
          <w:p w14:paraId="6B7D84D5" w14:textId="77777777" w:rsidR="0040239E" w:rsidRPr="00D94B30" w:rsidRDefault="0040239E" w:rsidP="00911BB2"/>
        </w:tc>
        <w:tc>
          <w:tcPr>
            <w:tcW w:w="1880" w:type="dxa"/>
            <w:tcBorders>
              <w:top w:val="nil"/>
              <w:left w:val="nil"/>
              <w:bottom w:val="nil"/>
              <w:right w:val="nil"/>
            </w:tcBorders>
            <w:shd w:val="clear" w:color="auto" w:fill="auto"/>
            <w:vAlign w:val="center"/>
            <w:hideMark/>
          </w:tcPr>
          <w:p w14:paraId="495DC38F" w14:textId="77777777" w:rsidR="0040239E" w:rsidRPr="00D94B30" w:rsidRDefault="0040239E" w:rsidP="00911BB2"/>
        </w:tc>
      </w:tr>
      <w:tr w:rsidR="0040239E" w:rsidRPr="00D94B30" w14:paraId="46F67675" w14:textId="77777777" w:rsidTr="00911BB2">
        <w:trPr>
          <w:trHeight w:val="270"/>
          <w:jc w:val="center"/>
        </w:trPr>
        <w:tc>
          <w:tcPr>
            <w:tcW w:w="4540" w:type="dxa"/>
            <w:tcBorders>
              <w:top w:val="nil"/>
              <w:left w:val="nil"/>
              <w:bottom w:val="nil"/>
              <w:right w:val="nil"/>
            </w:tcBorders>
            <w:shd w:val="clear" w:color="auto" w:fill="auto"/>
            <w:noWrap/>
            <w:vAlign w:val="bottom"/>
            <w:hideMark/>
          </w:tcPr>
          <w:p w14:paraId="5CE946A0" w14:textId="77777777" w:rsidR="0040239E" w:rsidRPr="00D94B30" w:rsidRDefault="0040239E" w:rsidP="00911BB2"/>
        </w:tc>
        <w:tc>
          <w:tcPr>
            <w:tcW w:w="1880" w:type="dxa"/>
            <w:tcBorders>
              <w:top w:val="nil"/>
              <w:left w:val="nil"/>
              <w:bottom w:val="nil"/>
              <w:right w:val="nil"/>
            </w:tcBorders>
            <w:shd w:val="clear" w:color="auto" w:fill="auto"/>
            <w:vAlign w:val="center"/>
            <w:hideMark/>
          </w:tcPr>
          <w:p w14:paraId="7C473F90" w14:textId="77777777" w:rsidR="0040239E" w:rsidRPr="00D94B30" w:rsidRDefault="0040239E" w:rsidP="00911BB2"/>
        </w:tc>
        <w:tc>
          <w:tcPr>
            <w:tcW w:w="1880" w:type="dxa"/>
            <w:tcBorders>
              <w:top w:val="nil"/>
              <w:left w:val="nil"/>
              <w:bottom w:val="nil"/>
              <w:right w:val="nil"/>
            </w:tcBorders>
            <w:shd w:val="clear" w:color="auto" w:fill="auto"/>
            <w:vAlign w:val="center"/>
            <w:hideMark/>
          </w:tcPr>
          <w:p w14:paraId="545E768A" w14:textId="77777777" w:rsidR="0040239E" w:rsidRPr="00D94B30" w:rsidRDefault="0040239E" w:rsidP="00911BB2"/>
        </w:tc>
      </w:tr>
      <w:tr w:rsidR="0040239E" w:rsidRPr="00D94B30" w14:paraId="7860B308" w14:textId="77777777" w:rsidTr="00911BB2">
        <w:trPr>
          <w:trHeight w:val="330"/>
          <w:jc w:val="center"/>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2B36AD" w14:textId="77777777" w:rsidR="0040239E" w:rsidRPr="00D94B30" w:rsidRDefault="0040239E" w:rsidP="00911BB2">
            <w:pPr>
              <w:rPr>
                <w:i/>
                <w:iCs/>
                <w:color w:val="000000"/>
              </w:rPr>
            </w:pPr>
            <w:r w:rsidRPr="00D94B30">
              <w:rPr>
                <w:i/>
                <w:iCs/>
                <w:color w:val="000000"/>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2CDD7253" w14:textId="77777777" w:rsidR="0040239E" w:rsidRPr="00D94B30" w:rsidRDefault="0040239E" w:rsidP="00911BB2">
            <w:pPr>
              <w:jc w:val="center"/>
              <w:rPr>
                <w:b/>
                <w:bCs/>
                <w:color w:val="000000"/>
              </w:rPr>
            </w:pPr>
            <w:r w:rsidRPr="00D94B30">
              <w:rPr>
                <w:b/>
                <w:bCs/>
                <w:color w:val="000000"/>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4677AE26" w14:textId="77777777" w:rsidR="0040239E" w:rsidRPr="00D94B30" w:rsidRDefault="0040239E" w:rsidP="00911BB2">
            <w:pPr>
              <w:jc w:val="center"/>
              <w:rPr>
                <w:b/>
                <w:bCs/>
                <w:color w:val="000000"/>
              </w:rPr>
            </w:pPr>
            <w:r w:rsidRPr="00D94B30">
              <w:rPr>
                <w:b/>
                <w:bCs/>
                <w:color w:val="000000"/>
              </w:rPr>
              <w:t>OUT</w:t>
            </w:r>
          </w:p>
        </w:tc>
      </w:tr>
      <w:tr w:rsidR="0040239E" w:rsidRPr="00D94B30" w14:paraId="361E267E" w14:textId="77777777" w:rsidTr="00911BB2">
        <w:trPr>
          <w:trHeight w:val="345"/>
          <w:jc w:val="center"/>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30C121D5" w14:textId="77777777" w:rsidR="0040239E" w:rsidRPr="00D94B30" w:rsidRDefault="0040239E" w:rsidP="00911BB2">
            <w:pPr>
              <w:rPr>
                <w:i/>
                <w:iCs/>
                <w:color w:val="000000"/>
              </w:rPr>
            </w:pPr>
            <w:r w:rsidRPr="00D94B30">
              <w:rPr>
                <w:i/>
                <w:iCs/>
                <w:color w:val="000000"/>
              </w:rPr>
              <w:t>H</w:t>
            </w:r>
            <w:r w:rsidRPr="00D94B30">
              <w:rPr>
                <w:b/>
                <w:bCs/>
                <w:i/>
                <w:iCs/>
                <w:color w:val="000000"/>
              </w:rPr>
              <w:t>.</w:t>
            </w:r>
            <w:r w:rsidRPr="00D94B30">
              <w:rPr>
                <w:i/>
                <w:iCs/>
                <w:color w:val="000000"/>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7C3BBFD1" w14:textId="77777777" w:rsidR="0040239E" w:rsidRPr="00D94B30" w:rsidRDefault="0040239E" w:rsidP="00911BB2">
            <w:pPr>
              <w:jc w:val="center"/>
              <w:rPr>
                <w:b/>
                <w:bCs/>
                <w:color w:val="000000"/>
              </w:rPr>
            </w:pPr>
            <w:r w:rsidRPr="00D94B30">
              <w:rPr>
                <w:b/>
                <w:bCs/>
                <w:color w:val="000000"/>
              </w:rPr>
              <w:t>0</w:t>
            </w:r>
          </w:p>
        </w:tc>
        <w:tc>
          <w:tcPr>
            <w:tcW w:w="1880" w:type="dxa"/>
            <w:tcBorders>
              <w:top w:val="nil"/>
              <w:left w:val="nil"/>
              <w:bottom w:val="single" w:sz="8" w:space="0" w:color="auto"/>
              <w:right w:val="single" w:sz="8" w:space="0" w:color="auto"/>
            </w:tcBorders>
            <w:shd w:val="clear" w:color="000000" w:fill="92D050"/>
            <w:vAlign w:val="center"/>
            <w:hideMark/>
          </w:tcPr>
          <w:p w14:paraId="1B3AB428" w14:textId="77777777" w:rsidR="0040239E" w:rsidRPr="00D94B30" w:rsidRDefault="0040239E" w:rsidP="00911BB2">
            <w:pPr>
              <w:jc w:val="center"/>
              <w:rPr>
                <w:b/>
                <w:bCs/>
                <w:color w:val="000000"/>
              </w:rPr>
            </w:pPr>
            <w:r w:rsidRPr="00D94B30">
              <w:rPr>
                <w:b/>
                <w:bCs/>
                <w:color w:val="000000"/>
              </w:rPr>
              <w:t>0</w:t>
            </w:r>
          </w:p>
        </w:tc>
      </w:tr>
    </w:tbl>
    <w:p w14:paraId="3DB77FF2" w14:textId="77777777" w:rsidR="0040239E" w:rsidRDefault="0040239E" w:rsidP="0040239E">
      <w:pPr>
        <w:rPr>
          <w:rFonts w:eastAsia="Calibri"/>
          <w:b/>
          <w:sz w:val="24"/>
          <w:szCs w:val="24"/>
        </w:rPr>
      </w:pPr>
    </w:p>
    <w:p w14:paraId="43B44E64" w14:textId="77777777" w:rsidR="0040239E" w:rsidRPr="00895898" w:rsidRDefault="0040239E" w:rsidP="0040239E">
      <w:pPr>
        <w:rPr>
          <w:rFonts w:eastAsia="Calibri"/>
          <w:b/>
          <w:sz w:val="24"/>
          <w:szCs w:val="24"/>
        </w:rPr>
        <w:sectPr w:rsidR="0040239E" w:rsidRPr="00895898" w:rsidSect="0072678E">
          <w:headerReference w:type="default" r:id="rId15"/>
          <w:pgSz w:w="11906" w:h="16838"/>
          <w:pgMar w:top="1531" w:right="851" w:bottom="1418" w:left="1418" w:header="709" w:footer="709" w:gutter="0"/>
          <w:cols w:space="708"/>
          <w:docGrid w:linePitch="360"/>
        </w:sectPr>
      </w:pPr>
    </w:p>
    <w:p w14:paraId="7730263F" w14:textId="77777777" w:rsidR="0040239E" w:rsidRPr="001F1B43" w:rsidRDefault="0040239E" w:rsidP="0040239E">
      <w:pPr>
        <w:rPr>
          <w:rFonts w:eastAsia="Calibri"/>
          <w:b/>
          <w:i/>
          <w:iCs/>
          <w:sz w:val="24"/>
          <w:szCs w:val="24"/>
        </w:rPr>
      </w:pPr>
      <w:r w:rsidRPr="001F1B43">
        <w:rPr>
          <w:rFonts w:eastAsia="Calibri"/>
          <w:b/>
          <w:i/>
          <w:iCs/>
          <w:sz w:val="24"/>
          <w:szCs w:val="24"/>
        </w:rPr>
        <w:lastRenderedPageBreak/>
        <w:t>3.1.2 Výpočty vplyvov jednotlivých regulácií na zmeny v nákladoch podnikateľov</w:t>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p>
    <w:p w14:paraId="0D382983" w14:textId="77777777" w:rsidR="0040239E" w:rsidRDefault="0040239E" w:rsidP="0040239E">
      <w:pPr>
        <w:jc w:val="both"/>
        <w:rPr>
          <w:rFonts w:eastAsia="Calibri"/>
          <w:i/>
          <w:sz w:val="24"/>
          <w:szCs w:val="24"/>
        </w:rPr>
      </w:pPr>
      <w:r w:rsidRPr="00D8247C">
        <w:rPr>
          <w:rFonts w:eastAsia="Calibri"/>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40239E" w:rsidRPr="000A6B7F" w14:paraId="75F583BA" w14:textId="77777777" w:rsidTr="00911BB2">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9D4C59" w14:textId="77777777" w:rsidR="0040239E" w:rsidRPr="000A6B7F" w:rsidRDefault="0040239E" w:rsidP="00911BB2">
            <w:pPr>
              <w:jc w:val="center"/>
              <w:rPr>
                <w:b/>
                <w:bCs/>
                <w:color w:val="000000"/>
              </w:rPr>
            </w:pPr>
            <w:proofErr w:type="spellStart"/>
            <w:r w:rsidRPr="000A6B7F">
              <w:rPr>
                <w:b/>
                <w:bCs/>
                <w:color w:val="000000"/>
              </w:rPr>
              <w:t>P.č</w:t>
            </w:r>
            <w:proofErr w:type="spellEnd"/>
            <w:r w:rsidRPr="000A6B7F">
              <w:rPr>
                <w:b/>
                <w:bCs/>
                <w:color w:val="00000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86D04B" w14:textId="77777777" w:rsidR="0040239E" w:rsidRPr="000A6B7F" w:rsidRDefault="0040239E" w:rsidP="00911BB2">
            <w:pPr>
              <w:jc w:val="center"/>
              <w:rPr>
                <w:b/>
                <w:bCs/>
                <w:color w:val="000000"/>
              </w:rPr>
            </w:pPr>
            <w:r w:rsidRPr="000A6B7F">
              <w:rPr>
                <w:b/>
                <w:bCs/>
                <w:color w:val="000000"/>
              </w:rPr>
              <w:t xml:space="preserve">Zrozumiteľný a stručný opis regulácie </w:t>
            </w:r>
            <w:r w:rsidRPr="000A6B7F">
              <w:rPr>
                <w:b/>
                <w:bCs/>
                <w:color w:val="000000"/>
              </w:rPr>
              <w:br/>
              <w:t>(dôvod zvýšenia/zníženia nákladov na PP</w:t>
            </w:r>
            <w:r>
              <w:rPr>
                <w:b/>
                <w:bCs/>
                <w:color w:val="000000"/>
              </w:rPr>
              <w:t xml:space="preserve"> a dôvod ponechania nákladov na PP, ktoré sú </w:t>
            </w:r>
            <w:proofErr w:type="spellStart"/>
            <w:r>
              <w:rPr>
                <w:b/>
                <w:bCs/>
                <w:color w:val="000000"/>
              </w:rPr>
              <w:t>goldplatngom</w:t>
            </w:r>
            <w:proofErr w:type="spellEnd"/>
            <w:r w:rsidRPr="000A6B7F">
              <w:rPr>
                <w:b/>
                <w:bCs/>
                <w:color w:val="00000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5F19E8B" w14:textId="77777777" w:rsidR="0040239E" w:rsidRPr="000A6B7F" w:rsidRDefault="0040239E" w:rsidP="00911BB2">
            <w:pPr>
              <w:jc w:val="center"/>
              <w:rPr>
                <w:b/>
                <w:bCs/>
                <w:color w:val="000000"/>
              </w:rPr>
            </w:pPr>
            <w:r w:rsidRPr="000A6B7F">
              <w:rPr>
                <w:b/>
                <w:bCs/>
                <w:color w:val="000000"/>
              </w:rPr>
              <w:t>Číslo normy</w:t>
            </w:r>
            <w:r w:rsidRPr="000A6B7F">
              <w:rPr>
                <w:b/>
                <w:bCs/>
                <w:color w:val="000000"/>
              </w:rPr>
              <w:br/>
            </w:r>
            <w:r w:rsidRPr="000A6B7F">
              <w:rPr>
                <w:color w:val="00000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15C1769" w14:textId="77777777" w:rsidR="0040239E" w:rsidRPr="000A6B7F" w:rsidRDefault="0040239E" w:rsidP="00911BB2">
            <w:pPr>
              <w:jc w:val="center"/>
              <w:rPr>
                <w:b/>
                <w:bCs/>
                <w:color w:val="000000"/>
              </w:rPr>
            </w:pPr>
            <w:r w:rsidRPr="000A6B7F">
              <w:rPr>
                <w:b/>
                <w:bCs/>
                <w:color w:val="000000"/>
              </w:rPr>
              <w:t>Lokalizácia</w:t>
            </w:r>
            <w:r w:rsidRPr="000A6B7F">
              <w:rPr>
                <w:b/>
                <w:bCs/>
                <w:color w:val="000000"/>
              </w:rPr>
              <w:br/>
              <w:t>(§, ods.</w:t>
            </w:r>
            <w:r>
              <w:rPr>
                <w:b/>
                <w:bCs/>
                <w:color w:val="000000"/>
              </w:rPr>
              <w:t>, čl.,...</w:t>
            </w:r>
            <w:r w:rsidRPr="000A6B7F">
              <w:rPr>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FAD39D" w14:textId="77777777" w:rsidR="0040239E" w:rsidRDefault="0040239E" w:rsidP="00911BB2">
            <w:pPr>
              <w:jc w:val="center"/>
              <w:rPr>
                <w:color w:val="000000"/>
              </w:rPr>
            </w:pPr>
            <w:r w:rsidRPr="000A6B7F">
              <w:rPr>
                <w:b/>
                <w:bCs/>
                <w:color w:val="000000"/>
              </w:rPr>
              <w:t xml:space="preserve">Pôvod regulácie: </w:t>
            </w:r>
            <w:r w:rsidRPr="000A6B7F">
              <w:rPr>
                <w:b/>
                <w:bCs/>
                <w:color w:val="000000"/>
              </w:rPr>
              <w:br/>
            </w:r>
            <w:r>
              <w:rPr>
                <w:color w:val="000000"/>
              </w:rPr>
              <w:t>SK</w:t>
            </w:r>
            <w:r w:rsidRPr="000A6B7F">
              <w:rPr>
                <w:color w:val="000000"/>
              </w:rPr>
              <w:t xml:space="preserve">/EÚ úplná </w:t>
            </w:r>
            <w:proofErr w:type="spellStart"/>
            <w:r w:rsidRPr="000A6B7F">
              <w:rPr>
                <w:color w:val="000000"/>
              </w:rPr>
              <w:t>harm</w:t>
            </w:r>
            <w:proofErr w:type="spellEnd"/>
            <w:r w:rsidRPr="000A6B7F">
              <w:rPr>
                <w:color w:val="000000"/>
              </w:rPr>
              <w:t>./</w:t>
            </w:r>
          </w:p>
          <w:p w14:paraId="1594F7EB" w14:textId="77777777" w:rsidR="0040239E" w:rsidRPr="000A6B7F" w:rsidRDefault="0040239E" w:rsidP="00911BB2">
            <w:pPr>
              <w:jc w:val="center"/>
              <w:rPr>
                <w:b/>
                <w:bCs/>
                <w:color w:val="000000"/>
              </w:rPr>
            </w:pPr>
            <w:r>
              <w:rPr>
                <w:color w:val="000000"/>
              </w:rPr>
              <w:t>G</w:t>
            </w:r>
            <w:r w:rsidRPr="000A6B7F">
              <w:rPr>
                <w:color w:val="000000"/>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F7A999" w14:textId="77777777" w:rsidR="0040239E" w:rsidRPr="000A6B7F" w:rsidRDefault="0040239E" w:rsidP="00911BB2">
            <w:pPr>
              <w:jc w:val="center"/>
              <w:rPr>
                <w:b/>
                <w:bCs/>
                <w:color w:val="000000"/>
              </w:rPr>
            </w:pPr>
            <w:r w:rsidRPr="000A6B7F">
              <w:rPr>
                <w:b/>
                <w:bCs/>
                <w:color w:val="00000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320109" w14:textId="77777777" w:rsidR="0040239E" w:rsidRPr="000A6B7F" w:rsidRDefault="0040239E" w:rsidP="00911BB2">
            <w:pPr>
              <w:jc w:val="center"/>
              <w:rPr>
                <w:b/>
                <w:bCs/>
                <w:color w:val="000000"/>
              </w:rPr>
            </w:pPr>
            <w:r w:rsidRPr="000A6B7F">
              <w:rPr>
                <w:b/>
                <w:bCs/>
                <w:color w:val="000000"/>
              </w:rPr>
              <w:t xml:space="preserve">Kategória </w:t>
            </w:r>
            <w:proofErr w:type="spellStart"/>
            <w:r w:rsidRPr="000A6B7F">
              <w:rPr>
                <w:b/>
                <w:bCs/>
                <w:color w:val="000000"/>
              </w:rPr>
              <w:t>dotk</w:t>
            </w:r>
            <w:proofErr w:type="spellEnd"/>
            <w:r w:rsidRPr="000A6B7F">
              <w:rPr>
                <w:b/>
                <w:bCs/>
                <w:color w:val="00000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5EA7C9" w14:textId="77777777" w:rsidR="0040239E" w:rsidRDefault="0040239E" w:rsidP="00911BB2">
            <w:pPr>
              <w:jc w:val="center"/>
              <w:rPr>
                <w:b/>
                <w:bCs/>
                <w:color w:val="000000"/>
              </w:rPr>
            </w:pPr>
            <w:r w:rsidRPr="00895898">
              <w:rPr>
                <w:b/>
                <w:bCs/>
                <w:color w:val="000000"/>
              </w:rPr>
              <w:t xml:space="preserve">Počet </w:t>
            </w:r>
          </w:p>
          <w:p w14:paraId="1D57AAFB" w14:textId="77777777" w:rsidR="0040239E" w:rsidRPr="00895898" w:rsidRDefault="0040239E" w:rsidP="00911BB2">
            <w:pPr>
              <w:jc w:val="center"/>
              <w:rPr>
                <w:b/>
                <w:bCs/>
                <w:color w:val="000000"/>
              </w:rPr>
            </w:pPr>
            <w:proofErr w:type="spellStart"/>
            <w:r>
              <w:rPr>
                <w:b/>
                <w:bCs/>
                <w:color w:val="000000"/>
              </w:rPr>
              <w:t>dotk</w:t>
            </w:r>
            <w:proofErr w:type="spellEnd"/>
            <w:r>
              <w:rPr>
                <w:b/>
                <w:bCs/>
                <w:color w:val="000000"/>
              </w:rPr>
              <w:t>.</w:t>
            </w:r>
            <w:r w:rsidRPr="00895898">
              <w:rPr>
                <w:b/>
                <w:bCs/>
                <w:color w:val="000000"/>
              </w:rPr>
              <w:t xml:space="preserve"> subjektov </w:t>
            </w:r>
            <w:r>
              <w:rPr>
                <w:b/>
                <w:bCs/>
                <w:color w:val="000000"/>
              </w:rPr>
              <w:t>spolu</w:t>
            </w:r>
            <w:r w:rsidRPr="00895898">
              <w:rPr>
                <w:b/>
                <w:bCs/>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471475" w14:textId="77777777" w:rsidR="0040239E" w:rsidRPr="000A6B7F" w:rsidRDefault="0040239E" w:rsidP="00911BB2">
            <w:pPr>
              <w:jc w:val="center"/>
              <w:rPr>
                <w:b/>
                <w:bCs/>
                <w:color w:val="000000"/>
              </w:rPr>
            </w:pPr>
            <w:r w:rsidRPr="000A6B7F">
              <w:rPr>
                <w:b/>
                <w:bCs/>
                <w:color w:val="00000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E8ABF7" w14:textId="77777777" w:rsidR="0040239E" w:rsidRPr="000A6B7F" w:rsidRDefault="0040239E" w:rsidP="00911BB2">
            <w:pPr>
              <w:jc w:val="center"/>
              <w:rPr>
                <w:b/>
                <w:bCs/>
                <w:color w:val="000000"/>
              </w:rPr>
            </w:pPr>
            <w:r>
              <w:rPr>
                <w:b/>
                <w:bCs/>
                <w:color w:val="000000"/>
              </w:rPr>
              <w:t xml:space="preserve">Vplyv na </w:t>
            </w:r>
            <w:proofErr w:type="spellStart"/>
            <w:r>
              <w:rPr>
                <w:b/>
                <w:bCs/>
                <w:color w:val="000000"/>
              </w:rPr>
              <w:t>kateg</w:t>
            </w:r>
            <w:proofErr w:type="spellEnd"/>
            <w:r>
              <w:rPr>
                <w:b/>
                <w:bCs/>
                <w:color w:val="000000"/>
              </w:rPr>
              <w:t xml:space="preserve">. </w:t>
            </w:r>
            <w:proofErr w:type="spellStart"/>
            <w:r>
              <w:rPr>
                <w:b/>
                <w:bCs/>
                <w:color w:val="000000"/>
              </w:rPr>
              <w:t>dotk</w:t>
            </w:r>
            <w:proofErr w:type="spellEnd"/>
            <w:r>
              <w:rPr>
                <w:b/>
                <w:bCs/>
                <w:color w:val="000000"/>
              </w:rPr>
              <w:t>. subjekt.</w:t>
            </w:r>
            <w:r w:rsidRPr="000A6B7F">
              <w:rPr>
                <w:b/>
                <w:bCs/>
                <w:color w:val="00000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519E5F1" w14:textId="77777777" w:rsidR="0040239E" w:rsidRPr="00895898" w:rsidRDefault="0040239E" w:rsidP="00911BB2">
            <w:pPr>
              <w:jc w:val="center"/>
              <w:rPr>
                <w:bCs/>
                <w:color w:val="000000"/>
              </w:rPr>
            </w:pPr>
            <w:r w:rsidRPr="000A6B7F">
              <w:rPr>
                <w:b/>
                <w:bCs/>
                <w:color w:val="000000"/>
              </w:rPr>
              <w:t>Druh vplyvu</w:t>
            </w:r>
            <w:r w:rsidRPr="000A6B7F">
              <w:rPr>
                <w:b/>
                <w:bCs/>
                <w:color w:val="000000"/>
              </w:rPr>
              <w:br/>
            </w:r>
            <w:r w:rsidRPr="00895898">
              <w:rPr>
                <w:bCs/>
                <w:color w:val="000000"/>
              </w:rPr>
              <w:t xml:space="preserve">In (zvyšuje náklady) / </w:t>
            </w:r>
          </w:p>
          <w:p w14:paraId="5D9725C4" w14:textId="77777777" w:rsidR="0040239E" w:rsidRPr="00895898" w:rsidRDefault="0040239E" w:rsidP="00911BB2">
            <w:pPr>
              <w:jc w:val="center"/>
              <w:rPr>
                <w:b/>
                <w:bCs/>
                <w:color w:val="000000"/>
              </w:rPr>
            </w:pPr>
            <w:proofErr w:type="spellStart"/>
            <w:r w:rsidRPr="00895898">
              <w:rPr>
                <w:bCs/>
                <w:color w:val="000000"/>
              </w:rPr>
              <w:t>Out</w:t>
            </w:r>
            <w:proofErr w:type="spellEnd"/>
            <w:r w:rsidRPr="00895898">
              <w:rPr>
                <w:bCs/>
                <w:color w:val="000000"/>
              </w:rPr>
              <w:t xml:space="preserve"> (znižuje náklady</w:t>
            </w:r>
            <w:r w:rsidRPr="00895898">
              <w:rPr>
                <w:b/>
                <w:bCs/>
                <w:color w:val="000000"/>
              </w:rPr>
              <w:t>)</w:t>
            </w:r>
          </w:p>
          <w:p w14:paraId="0A90BA88" w14:textId="77777777" w:rsidR="0040239E" w:rsidRPr="000A6B7F" w:rsidRDefault="0040239E" w:rsidP="00911BB2">
            <w:pPr>
              <w:jc w:val="center"/>
              <w:rPr>
                <w:b/>
                <w:bCs/>
                <w:color w:val="000000"/>
              </w:rPr>
            </w:pPr>
            <w:r w:rsidRPr="000A6B7F">
              <w:rPr>
                <w:color w:val="00000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509D37" w14:textId="77777777" w:rsidR="0040239E" w:rsidRPr="006B5D74" w:rsidRDefault="0040239E" w:rsidP="00911BB2">
            <w:pPr>
              <w:jc w:val="center"/>
              <w:rPr>
                <w:b/>
                <w:bCs/>
                <w:color w:val="000000"/>
                <w:sz w:val="18"/>
                <w:szCs w:val="18"/>
              </w:rPr>
            </w:pPr>
            <w:r w:rsidRPr="006B5D74">
              <w:rPr>
                <w:b/>
                <w:bCs/>
                <w:color w:val="000000"/>
                <w:sz w:val="18"/>
                <w:szCs w:val="18"/>
              </w:rPr>
              <w:t>1in</w:t>
            </w:r>
          </w:p>
          <w:p w14:paraId="48AC2E75" w14:textId="77777777" w:rsidR="0040239E" w:rsidRPr="006B5D74" w:rsidRDefault="0040239E" w:rsidP="00911BB2">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7F1280" w14:textId="77777777" w:rsidR="0040239E" w:rsidRPr="006B5D74" w:rsidRDefault="0040239E" w:rsidP="00911BB2">
            <w:pPr>
              <w:jc w:val="center"/>
              <w:rPr>
                <w:b/>
                <w:bCs/>
                <w:color w:val="000000"/>
                <w:sz w:val="18"/>
                <w:szCs w:val="18"/>
              </w:rPr>
            </w:pPr>
            <w:r w:rsidRPr="006B5D74">
              <w:rPr>
                <w:b/>
                <w:bCs/>
                <w:color w:val="000000"/>
                <w:sz w:val="18"/>
                <w:szCs w:val="18"/>
              </w:rPr>
              <w:t>Goldplating celkom</w:t>
            </w:r>
          </w:p>
        </w:tc>
      </w:tr>
      <w:tr w:rsidR="0040239E" w:rsidRPr="00895898" w14:paraId="51C4E1D5" w14:textId="77777777" w:rsidTr="0091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6CB5E7E" w14:textId="77777777" w:rsidR="0040239E" w:rsidRPr="00D94B30" w:rsidRDefault="0040239E" w:rsidP="00911BB2"/>
        </w:tc>
        <w:tc>
          <w:tcPr>
            <w:tcW w:w="1740" w:type="dxa"/>
            <w:shd w:val="clear" w:color="auto" w:fill="auto"/>
            <w:vAlign w:val="center"/>
          </w:tcPr>
          <w:p w14:paraId="22F50595" w14:textId="77777777" w:rsidR="0040239E" w:rsidRPr="00D94B30" w:rsidRDefault="0040239E" w:rsidP="00911BB2"/>
        </w:tc>
        <w:tc>
          <w:tcPr>
            <w:tcW w:w="992" w:type="dxa"/>
            <w:vAlign w:val="center"/>
          </w:tcPr>
          <w:p w14:paraId="2CE3D7A2" w14:textId="77777777" w:rsidR="0040239E" w:rsidRPr="00D94B30" w:rsidRDefault="0040239E" w:rsidP="00911BB2"/>
        </w:tc>
        <w:tc>
          <w:tcPr>
            <w:tcW w:w="1134" w:type="dxa"/>
            <w:vAlign w:val="center"/>
          </w:tcPr>
          <w:p w14:paraId="3BD425AA" w14:textId="77777777" w:rsidR="0040239E" w:rsidRPr="00D94B30" w:rsidRDefault="0040239E" w:rsidP="00911BB2"/>
        </w:tc>
        <w:tc>
          <w:tcPr>
            <w:tcW w:w="1843" w:type="dxa"/>
            <w:shd w:val="clear" w:color="auto" w:fill="auto"/>
            <w:vAlign w:val="center"/>
          </w:tcPr>
          <w:p w14:paraId="54B5ACFE" w14:textId="77777777" w:rsidR="0040239E" w:rsidRPr="00D94B30" w:rsidRDefault="0040239E" w:rsidP="00911BB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58BA7BFE" w14:textId="77777777" w:rsidR="0040239E" w:rsidRPr="00D94B30" w:rsidRDefault="0040239E" w:rsidP="00911BB2">
            <w:pPr>
              <w:rPr>
                <w:color w:val="000000"/>
              </w:rPr>
            </w:pPr>
          </w:p>
        </w:tc>
        <w:tc>
          <w:tcPr>
            <w:tcW w:w="1160" w:type="dxa"/>
            <w:shd w:val="clear" w:color="auto" w:fill="auto"/>
            <w:noWrap/>
            <w:vAlign w:val="center"/>
          </w:tcPr>
          <w:p w14:paraId="05339273" w14:textId="77777777" w:rsidR="0040239E" w:rsidRPr="00D94B30" w:rsidRDefault="0040239E" w:rsidP="00911BB2">
            <w:pPr>
              <w:rPr>
                <w:color w:val="000000"/>
              </w:rPr>
            </w:pPr>
          </w:p>
        </w:tc>
        <w:tc>
          <w:tcPr>
            <w:tcW w:w="1108" w:type="dxa"/>
            <w:vAlign w:val="center"/>
          </w:tcPr>
          <w:p w14:paraId="2685EAB8" w14:textId="77777777" w:rsidR="0040239E" w:rsidRPr="00D94B30" w:rsidRDefault="0040239E" w:rsidP="00911BB2"/>
        </w:tc>
        <w:tc>
          <w:tcPr>
            <w:tcW w:w="851" w:type="dxa"/>
            <w:shd w:val="clear" w:color="auto" w:fill="auto"/>
            <w:noWrap/>
            <w:vAlign w:val="center"/>
          </w:tcPr>
          <w:p w14:paraId="7A8A5D5F" w14:textId="77777777" w:rsidR="0040239E" w:rsidRPr="00D94B30" w:rsidRDefault="0040239E" w:rsidP="00911BB2"/>
        </w:tc>
        <w:tc>
          <w:tcPr>
            <w:tcW w:w="843" w:type="dxa"/>
            <w:shd w:val="clear" w:color="auto" w:fill="auto"/>
            <w:noWrap/>
            <w:vAlign w:val="center"/>
          </w:tcPr>
          <w:p w14:paraId="292CFF1F" w14:textId="77777777" w:rsidR="0040239E" w:rsidRPr="00D94B30" w:rsidRDefault="0040239E" w:rsidP="00911BB2">
            <w:pPr>
              <w:rPr>
                <w:color w:val="000000"/>
              </w:rPr>
            </w:pPr>
          </w:p>
        </w:tc>
        <w:tc>
          <w:tcPr>
            <w:tcW w:w="1000" w:type="dxa"/>
            <w:shd w:val="clear" w:color="auto" w:fill="auto"/>
            <w:noWrap/>
            <w:vAlign w:val="center"/>
          </w:tcPr>
          <w:p w14:paraId="3E441A9C" w14:textId="77777777" w:rsidR="0040239E" w:rsidRPr="00D94B30" w:rsidRDefault="0040239E" w:rsidP="00911BB2"/>
        </w:tc>
        <w:tc>
          <w:tcPr>
            <w:tcW w:w="708" w:type="dxa"/>
            <w:shd w:val="clear" w:color="auto" w:fill="auto"/>
            <w:noWrap/>
            <w:vAlign w:val="center"/>
          </w:tcPr>
          <w:p w14:paraId="55BD9E0C" w14:textId="77777777" w:rsidR="0040239E" w:rsidRPr="00D94B30" w:rsidRDefault="0040239E" w:rsidP="00911BB2">
            <w:pPr>
              <w:rPr>
                <w:color w:val="000000"/>
              </w:rPr>
            </w:pPr>
          </w:p>
        </w:tc>
        <w:tc>
          <w:tcPr>
            <w:tcW w:w="1134" w:type="dxa"/>
            <w:vAlign w:val="center"/>
          </w:tcPr>
          <w:p w14:paraId="66652838" w14:textId="77777777" w:rsidR="0040239E" w:rsidRPr="00D94B30" w:rsidRDefault="0040239E" w:rsidP="00911BB2"/>
        </w:tc>
      </w:tr>
    </w:tbl>
    <w:p w14:paraId="09187B07" w14:textId="77777777" w:rsidR="0040239E" w:rsidRPr="00895898" w:rsidRDefault="0040239E" w:rsidP="0040239E">
      <w:pPr>
        <w:jc w:val="both"/>
        <w:rPr>
          <w:rFonts w:eastAsia="Calibri"/>
          <w:i/>
        </w:rPr>
      </w:pPr>
    </w:p>
    <w:p w14:paraId="0B347C6F" w14:textId="77777777" w:rsidR="0040239E" w:rsidRPr="00895898" w:rsidRDefault="0040239E" w:rsidP="0040239E">
      <w:pPr>
        <w:jc w:val="both"/>
        <w:rPr>
          <w:rFonts w:eastAsia="Calibri"/>
          <w:b/>
          <w:bCs/>
          <w:i/>
          <w:sz w:val="24"/>
          <w:szCs w:val="24"/>
        </w:rPr>
        <w:sectPr w:rsidR="0040239E" w:rsidRPr="00895898" w:rsidSect="00142154">
          <w:pgSz w:w="16838" w:h="11906" w:orient="landscape"/>
          <w:pgMar w:top="1417" w:right="1417" w:bottom="1417" w:left="1417" w:header="708" w:footer="708" w:gutter="0"/>
          <w:cols w:space="708"/>
          <w:docGrid w:linePitch="360"/>
        </w:sectPr>
      </w:pPr>
    </w:p>
    <w:p w14:paraId="77966D56" w14:textId="77777777" w:rsidR="0040239E" w:rsidRPr="001F1B43" w:rsidRDefault="0040239E" w:rsidP="0040239E">
      <w:pPr>
        <w:jc w:val="both"/>
        <w:rPr>
          <w:rFonts w:eastAsia="Calibri"/>
          <w:b/>
          <w:bCs/>
          <w:i/>
          <w:sz w:val="24"/>
          <w:szCs w:val="24"/>
          <w:u w:val="single"/>
        </w:rPr>
      </w:pPr>
      <w:r>
        <w:rPr>
          <w:rFonts w:eastAsia="Calibri"/>
          <w:b/>
          <w:bCs/>
          <w:i/>
          <w:sz w:val="24"/>
          <w:szCs w:val="24"/>
          <w:u w:val="single"/>
        </w:rPr>
        <w:lastRenderedPageBreak/>
        <w:t xml:space="preserve">3.1.3 </w:t>
      </w:r>
      <w:r w:rsidRPr="001F1B43">
        <w:rPr>
          <w:rFonts w:eastAsia="Calibri"/>
          <w:b/>
          <w:bCs/>
          <w:i/>
          <w:sz w:val="24"/>
          <w:szCs w:val="24"/>
          <w:u w:val="single"/>
        </w:rPr>
        <w:t xml:space="preserve">Doplňujúce informácie k spôsobu výpočtu vplyvov jednotlivých regulácií na zmenu nákladov </w:t>
      </w:r>
    </w:p>
    <w:p w14:paraId="60ED733A" w14:textId="77777777" w:rsidR="0040239E" w:rsidRDefault="0040239E" w:rsidP="0040239E">
      <w:pPr>
        <w:jc w:val="both"/>
        <w:rPr>
          <w:rFonts w:eastAsia="Calibri"/>
          <w:bCs/>
          <w:i/>
          <w:iCs/>
          <w:color w:val="000000"/>
          <w:sz w:val="24"/>
          <w:szCs w:val="24"/>
        </w:rPr>
      </w:pPr>
      <w:r w:rsidRPr="00D8247C">
        <w:rPr>
          <w:rFonts w:eastAsia="Calibri"/>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sz w:val="24"/>
          <w:szCs w:val="24"/>
        </w:rPr>
        <w:t>link</w:t>
      </w:r>
      <w:proofErr w:type="spellEnd"/>
      <w:r w:rsidRPr="00D8247C">
        <w:rPr>
          <w:rFonts w:eastAsia="Calibri"/>
          <w:bCs/>
          <w:i/>
          <w:iCs/>
          <w:color w:val="000000"/>
          <w:sz w:val="24"/>
          <w:szCs w:val="24"/>
        </w:rPr>
        <w:t xml:space="preserve"> na konkrétne štatistiky, ak sú dostupné na internete). Jednotlivé regulácie môžu mať jeden alebo viac typov nákladov (A. Dane, odvody, clá</w:t>
      </w:r>
      <w:r>
        <w:rPr>
          <w:rFonts w:eastAsia="Calibri"/>
          <w:bCs/>
          <w:i/>
          <w:iCs/>
          <w:color w:val="000000"/>
          <w:sz w:val="24"/>
          <w:szCs w:val="24"/>
        </w:rPr>
        <w:t xml:space="preserve"> </w:t>
      </w:r>
      <w:r w:rsidRPr="00A000DA">
        <w:rPr>
          <w:rFonts w:eastAsia="Calibri"/>
          <w:bCs/>
          <w:i/>
          <w:iCs/>
          <w:color w:val="000000"/>
          <w:sz w:val="24"/>
          <w:szCs w:val="24"/>
        </w:rPr>
        <w:t xml:space="preserve">a poplatky, ktorých cieľom je znižovať negatívne </w:t>
      </w:r>
      <w:proofErr w:type="spellStart"/>
      <w:r w:rsidRPr="00A000DA">
        <w:rPr>
          <w:rFonts w:eastAsia="Calibri"/>
          <w:bCs/>
          <w:i/>
          <w:iCs/>
          <w:color w:val="000000"/>
          <w:sz w:val="24"/>
          <w:szCs w:val="24"/>
        </w:rPr>
        <w:t>externality</w:t>
      </w:r>
      <w:proofErr w:type="spellEnd"/>
      <w:r w:rsidRPr="00D8247C">
        <w:rPr>
          <w:rFonts w:eastAsia="Calibri"/>
          <w:bCs/>
          <w:i/>
          <w:iCs/>
          <w:color w:val="000000"/>
          <w:sz w:val="24"/>
          <w:szCs w:val="24"/>
        </w:rPr>
        <w:t xml:space="preserve">, B. </w:t>
      </w:r>
      <w:r>
        <w:rPr>
          <w:rFonts w:eastAsia="Calibri"/>
          <w:bCs/>
          <w:i/>
          <w:iCs/>
          <w:color w:val="000000"/>
          <w:sz w:val="24"/>
          <w:szCs w:val="24"/>
        </w:rPr>
        <w:t>Iné p</w:t>
      </w:r>
      <w:r w:rsidRPr="00D8247C">
        <w:rPr>
          <w:rFonts w:eastAsia="Calibri"/>
          <w:bCs/>
          <w:i/>
          <w:iCs/>
          <w:color w:val="000000"/>
          <w:sz w:val="24"/>
          <w:szCs w:val="24"/>
        </w:rPr>
        <w:t>oplatky</w:t>
      </w:r>
      <w:r w:rsidRPr="00952CF6">
        <w:rPr>
          <w:rFonts w:eastAsia="Calibri"/>
          <w:bCs/>
          <w:i/>
          <w:iCs/>
          <w:color w:val="000000"/>
          <w:sz w:val="24"/>
          <w:szCs w:val="24"/>
        </w:rPr>
        <w:t>,</w:t>
      </w:r>
      <w:r w:rsidRPr="00D8247C">
        <w:rPr>
          <w:rFonts w:eastAsia="Calibri"/>
          <w:bCs/>
          <w:i/>
          <w:iCs/>
          <w:color w:val="000000"/>
          <w:sz w:val="24"/>
          <w:szCs w:val="24"/>
        </w:rPr>
        <w:t xml:space="preserve"> C. </w:t>
      </w:r>
      <w:r>
        <w:rPr>
          <w:rFonts w:eastAsia="Calibri"/>
          <w:bCs/>
          <w:i/>
          <w:iCs/>
          <w:color w:val="000000"/>
          <w:sz w:val="24"/>
          <w:szCs w:val="24"/>
        </w:rPr>
        <w:t>Sankcie</w:t>
      </w:r>
      <w:r w:rsidRPr="00D8247C">
        <w:rPr>
          <w:rFonts w:eastAsia="Calibri"/>
          <w:bCs/>
          <w:i/>
          <w:iCs/>
          <w:color w:val="000000"/>
          <w:sz w:val="24"/>
          <w:szCs w:val="24"/>
        </w:rPr>
        <w:t xml:space="preserve">, D. </w:t>
      </w:r>
      <w:r>
        <w:rPr>
          <w:rFonts w:eastAsia="Calibri"/>
          <w:bCs/>
          <w:i/>
          <w:iCs/>
          <w:color w:val="000000"/>
          <w:sz w:val="24"/>
          <w:szCs w:val="24"/>
        </w:rPr>
        <w:t xml:space="preserve">Nepriame finančné náklady, E. </w:t>
      </w:r>
      <w:r w:rsidRPr="00D8247C">
        <w:rPr>
          <w:rFonts w:eastAsia="Calibri"/>
          <w:bCs/>
          <w:i/>
          <w:iCs/>
          <w:color w:val="000000"/>
          <w:sz w:val="24"/>
          <w:szCs w:val="24"/>
        </w:rPr>
        <w:t xml:space="preserve">Administratívne náklady). Rozčleňte ich a vypočítajte v súlade s metodickým postupom. </w:t>
      </w:r>
    </w:p>
    <w:p w14:paraId="106A62FF" w14:textId="6DF7DF09" w:rsidR="0040239E" w:rsidRDefault="0040239E" w:rsidP="0040239E">
      <w:pPr>
        <w:rPr>
          <w:rFonts w:eastAsia="Calibri"/>
          <w:sz w:val="24"/>
          <w:szCs w:val="24"/>
        </w:rPr>
      </w:pPr>
    </w:p>
    <w:p w14:paraId="59343C40" w14:textId="77777777" w:rsidR="0040239E" w:rsidRPr="00EB5789" w:rsidRDefault="0040239E" w:rsidP="0040239E">
      <w:pPr>
        <w:rPr>
          <w:rFonts w:eastAsia="Calibri"/>
          <w:sz w:val="24"/>
          <w:szCs w:val="24"/>
        </w:rPr>
      </w:pPr>
    </w:p>
    <w:p w14:paraId="5C648BD4" w14:textId="77777777" w:rsidR="0040239E" w:rsidRPr="001F1B43" w:rsidRDefault="0040239E" w:rsidP="0040239E">
      <w:pPr>
        <w:jc w:val="both"/>
        <w:rPr>
          <w:rFonts w:eastAsia="Calibri"/>
          <w:b/>
          <w:bCs/>
          <w:i/>
          <w:sz w:val="24"/>
          <w:szCs w:val="24"/>
          <w:u w:val="single"/>
        </w:rPr>
      </w:pPr>
      <w:r>
        <w:rPr>
          <w:rFonts w:eastAsia="Calibri"/>
          <w:b/>
          <w:bCs/>
          <w:i/>
          <w:sz w:val="24"/>
          <w:szCs w:val="24"/>
          <w:u w:val="single"/>
        </w:rPr>
        <w:t>3.1.4 Odôvodnenie</w:t>
      </w:r>
      <w:r w:rsidRPr="00804BC8">
        <w:rPr>
          <w:rFonts w:eastAsia="Calibri"/>
          <w:b/>
          <w:bCs/>
          <w:i/>
          <w:sz w:val="24"/>
          <w:szCs w:val="24"/>
          <w:u w:val="single"/>
        </w:rPr>
        <w:t xml:space="preserve"> </w:t>
      </w:r>
      <w:proofErr w:type="spellStart"/>
      <w:r w:rsidRPr="00804BC8">
        <w:rPr>
          <w:rFonts w:eastAsia="Calibri"/>
          <w:b/>
          <w:bCs/>
          <w:i/>
          <w:sz w:val="24"/>
          <w:szCs w:val="24"/>
          <w:u w:val="single"/>
        </w:rPr>
        <w:t>goldplating</w:t>
      </w:r>
      <w:r>
        <w:rPr>
          <w:rFonts w:eastAsia="Calibri"/>
          <w:b/>
          <w:bCs/>
          <w:i/>
          <w:sz w:val="24"/>
          <w:szCs w:val="24"/>
          <w:u w:val="single"/>
        </w:rPr>
        <w:t>u</w:t>
      </w:r>
      <w:proofErr w:type="spellEnd"/>
      <w:r>
        <w:rPr>
          <w:rFonts w:eastAsia="Calibri"/>
          <w:b/>
          <w:bCs/>
          <w:i/>
          <w:sz w:val="24"/>
          <w:szCs w:val="24"/>
          <w:u w:val="single"/>
        </w:rPr>
        <w:t xml:space="preserve"> </w:t>
      </w:r>
      <w:r w:rsidRPr="00804BC8">
        <w:rPr>
          <w:rFonts w:eastAsia="Calibri"/>
          <w:b/>
          <w:bCs/>
          <w:i/>
          <w:sz w:val="24"/>
          <w:szCs w:val="24"/>
          <w:u w:val="single"/>
        </w:rPr>
        <w:t xml:space="preserve">podľa bodu 4 časti III </w:t>
      </w:r>
      <w:r>
        <w:rPr>
          <w:rFonts w:eastAsia="Calibri"/>
          <w:b/>
          <w:bCs/>
          <w:i/>
          <w:sz w:val="24"/>
          <w:szCs w:val="24"/>
          <w:u w:val="single"/>
        </w:rPr>
        <w:t>jednotnej metodiky a ďalšie d</w:t>
      </w:r>
      <w:r w:rsidRPr="001F1B43">
        <w:rPr>
          <w:rFonts w:eastAsia="Calibri"/>
          <w:b/>
          <w:bCs/>
          <w:i/>
          <w:sz w:val="24"/>
          <w:szCs w:val="24"/>
          <w:u w:val="single"/>
        </w:rPr>
        <w:t>oplňujúce informácie</w:t>
      </w:r>
      <w:r>
        <w:rPr>
          <w:rStyle w:val="Odkaznapoznmkupodiarou"/>
          <w:rFonts w:eastAsia="Calibri"/>
          <w:b/>
          <w:bCs/>
          <w:i/>
          <w:sz w:val="24"/>
          <w:szCs w:val="24"/>
        </w:rPr>
        <w:footnoteReference w:id="2"/>
      </w:r>
      <w:r w:rsidRPr="001F1B43">
        <w:rPr>
          <w:rFonts w:eastAsia="Calibri"/>
          <w:b/>
          <w:bCs/>
          <w:i/>
          <w:sz w:val="24"/>
          <w:szCs w:val="24"/>
          <w:u w:val="single"/>
        </w:rPr>
        <w:t xml:space="preserve"> </w:t>
      </w:r>
    </w:p>
    <w:p w14:paraId="185530E4" w14:textId="77777777" w:rsidR="0040239E" w:rsidRPr="000C5419" w:rsidRDefault="0040239E" w:rsidP="0040239E">
      <w:pPr>
        <w:jc w:val="both"/>
        <w:rPr>
          <w:rFonts w:eastAsia="Calibri"/>
          <w:bCs/>
          <w:i/>
          <w:iCs/>
          <w:color w:val="000000"/>
          <w:sz w:val="24"/>
          <w:szCs w:val="24"/>
        </w:rPr>
      </w:pPr>
      <w:r w:rsidRPr="000C5419">
        <w:rPr>
          <w:rFonts w:eastAsia="Calibri"/>
          <w:bCs/>
          <w:i/>
          <w:iCs/>
          <w:color w:val="000000"/>
          <w:sz w:val="24"/>
          <w:szCs w:val="24"/>
        </w:rPr>
        <w:t xml:space="preserve">Požadované informácie </w:t>
      </w:r>
      <w:r>
        <w:rPr>
          <w:rFonts w:eastAsia="Calibri"/>
          <w:bCs/>
          <w:i/>
          <w:iCs/>
          <w:color w:val="000000"/>
          <w:sz w:val="24"/>
          <w:szCs w:val="24"/>
        </w:rPr>
        <w:t>uveďte</w:t>
      </w:r>
      <w:r w:rsidRPr="000C5419">
        <w:rPr>
          <w:rFonts w:eastAsia="Calibri"/>
          <w:bCs/>
          <w:i/>
          <w:iCs/>
          <w:color w:val="000000"/>
          <w:sz w:val="24"/>
          <w:szCs w:val="24"/>
        </w:rPr>
        <w:t xml:space="preserve"> osobitne ku každému identifikovanému </w:t>
      </w:r>
      <w:proofErr w:type="spellStart"/>
      <w:r w:rsidRPr="000C5419">
        <w:rPr>
          <w:rFonts w:eastAsia="Calibri"/>
          <w:bCs/>
          <w:i/>
          <w:iCs/>
          <w:color w:val="000000"/>
          <w:sz w:val="24"/>
          <w:szCs w:val="24"/>
        </w:rPr>
        <w:t>goldplatingu</w:t>
      </w:r>
      <w:proofErr w:type="spellEnd"/>
      <w:r w:rsidRPr="000C5419">
        <w:rPr>
          <w:rFonts w:eastAsia="Calibri"/>
          <w:bCs/>
          <w:i/>
          <w:iCs/>
          <w:color w:val="000000"/>
          <w:sz w:val="24"/>
          <w:szCs w:val="24"/>
        </w:rPr>
        <w:t xml:space="preserve"> (ku každej hodnotenej regulácii s </w:t>
      </w:r>
      <w:proofErr w:type="spellStart"/>
      <w:r w:rsidRPr="000C5419">
        <w:rPr>
          <w:rFonts w:eastAsia="Calibri"/>
          <w:bCs/>
          <w:i/>
          <w:iCs/>
          <w:color w:val="000000"/>
          <w:sz w:val="24"/>
          <w:szCs w:val="24"/>
        </w:rPr>
        <w:t>goldplatingom</w:t>
      </w:r>
      <w:proofErr w:type="spellEnd"/>
      <w:r w:rsidRPr="000C5419">
        <w:rPr>
          <w:rFonts w:eastAsia="Calibri"/>
          <w:bCs/>
          <w:i/>
          <w:iCs/>
          <w:color w:val="000000"/>
          <w:sz w:val="24"/>
          <w:szCs w:val="24"/>
        </w:rPr>
        <w:t xml:space="preserve"> osobitne). </w:t>
      </w:r>
    </w:p>
    <w:p w14:paraId="17414B62" w14:textId="77777777" w:rsidR="0040239E" w:rsidRPr="000C5419" w:rsidRDefault="0040239E" w:rsidP="0040239E">
      <w:pPr>
        <w:jc w:val="both"/>
        <w:rPr>
          <w:rFonts w:eastAsia="Calibri"/>
          <w:bCs/>
          <w:i/>
          <w:iCs/>
          <w:color w:val="000000"/>
          <w:sz w:val="24"/>
          <w:szCs w:val="24"/>
        </w:rPr>
      </w:pPr>
      <w:r>
        <w:rPr>
          <w:rFonts w:eastAsia="Calibri"/>
          <w:bCs/>
          <w:i/>
          <w:iCs/>
          <w:color w:val="000000"/>
          <w:sz w:val="24"/>
          <w:szCs w:val="24"/>
        </w:rPr>
        <w:t>Uveďte o</w:t>
      </w:r>
      <w:r w:rsidRPr="004239D1">
        <w:rPr>
          <w:rFonts w:eastAsia="Calibri"/>
          <w:bCs/>
          <w:i/>
          <w:iCs/>
          <w:color w:val="000000"/>
          <w:sz w:val="24"/>
          <w:szCs w:val="24"/>
        </w:rPr>
        <w:t xml:space="preserve">dôvodnenie </w:t>
      </w:r>
      <w:proofErr w:type="spellStart"/>
      <w:r w:rsidRPr="004239D1">
        <w:rPr>
          <w:rFonts w:eastAsia="Calibri"/>
          <w:bCs/>
          <w:i/>
          <w:iCs/>
          <w:color w:val="000000"/>
          <w:sz w:val="24"/>
          <w:szCs w:val="24"/>
        </w:rPr>
        <w:t>goldplatingu</w:t>
      </w:r>
      <w:proofErr w:type="spellEnd"/>
      <w:r w:rsidRPr="004239D1">
        <w:rPr>
          <w:rFonts w:eastAsia="Calibri"/>
          <w:bCs/>
          <w:i/>
          <w:iCs/>
          <w:color w:val="000000"/>
          <w:sz w:val="24"/>
          <w:szCs w:val="24"/>
        </w:rPr>
        <w:t xml:space="preserve"> </w:t>
      </w:r>
      <w:r>
        <w:rPr>
          <w:rFonts w:eastAsia="Calibri"/>
          <w:bCs/>
          <w:i/>
          <w:iCs/>
          <w:color w:val="000000"/>
          <w:sz w:val="24"/>
          <w:szCs w:val="24"/>
        </w:rPr>
        <w:t xml:space="preserve">z hľadiska </w:t>
      </w:r>
      <w:r w:rsidRPr="004239D1">
        <w:rPr>
          <w:rFonts w:eastAsia="Calibri"/>
          <w:bCs/>
          <w:i/>
          <w:iCs/>
          <w:color w:val="000000"/>
          <w:sz w:val="24"/>
          <w:szCs w:val="24"/>
        </w:rPr>
        <w:t>jeho nespochybniteľnej nevyhnutnosti.</w:t>
      </w:r>
      <w:r>
        <w:rPr>
          <w:rFonts w:eastAsia="Calibri"/>
          <w:bCs/>
          <w:i/>
          <w:iCs/>
          <w:color w:val="000000"/>
          <w:sz w:val="24"/>
          <w:szCs w:val="24"/>
        </w:rPr>
        <w:t xml:space="preserve"> Odôvodnenie doložte dôkladným hodnotením prínosov a nákladov. </w:t>
      </w:r>
      <w:r w:rsidRPr="005D39D8">
        <w:rPr>
          <w:rFonts w:eastAsia="Calibri"/>
          <w:bCs/>
          <w:i/>
          <w:iCs/>
          <w:color w:val="000000"/>
          <w:sz w:val="24"/>
          <w:szCs w:val="24"/>
        </w:rPr>
        <w:t>Uveďte zvážené alternatívne riešenia.</w:t>
      </w:r>
      <w:r>
        <w:rPr>
          <w:rFonts w:eastAsia="Calibri"/>
          <w:bCs/>
          <w:i/>
          <w:iCs/>
          <w:color w:val="000000"/>
          <w:sz w:val="24"/>
          <w:szCs w:val="24"/>
        </w:rPr>
        <w:t>.</w:t>
      </w:r>
    </w:p>
    <w:p w14:paraId="3EF5BD0D" w14:textId="77777777" w:rsidR="0040239E" w:rsidRPr="000C5419" w:rsidRDefault="0040239E" w:rsidP="0040239E">
      <w:pPr>
        <w:jc w:val="both"/>
        <w:rPr>
          <w:rFonts w:eastAsia="Calibri"/>
          <w:bCs/>
          <w:i/>
          <w:iCs/>
          <w:color w:val="000000"/>
          <w:sz w:val="24"/>
          <w:szCs w:val="24"/>
        </w:rPr>
      </w:pPr>
      <w:r>
        <w:rPr>
          <w:rFonts w:eastAsia="Calibri"/>
          <w:bCs/>
          <w:i/>
          <w:iCs/>
          <w:color w:val="000000"/>
          <w:sz w:val="24"/>
          <w:szCs w:val="24"/>
        </w:rPr>
        <w:t xml:space="preserve">Zároveň uveďte </w:t>
      </w:r>
      <w:r w:rsidRPr="00284B8C">
        <w:rPr>
          <w:rFonts w:eastAsia="Calibri"/>
          <w:bCs/>
          <w:i/>
          <w:iCs/>
          <w:color w:val="000000"/>
          <w:sz w:val="24"/>
          <w:szCs w:val="24"/>
        </w:rPr>
        <w:t>konkrétne informácie súvisiace s </w:t>
      </w:r>
      <w:r>
        <w:rPr>
          <w:rFonts w:eastAsia="Calibri"/>
          <w:bCs/>
          <w:i/>
          <w:iCs/>
          <w:color w:val="000000"/>
          <w:sz w:val="24"/>
          <w:szCs w:val="24"/>
        </w:rPr>
        <w:t>kategóriou</w:t>
      </w:r>
      <w:r w:rsidRPr="00284B8C">
        <w:rPr>
          <w:rFonts w:eastAsia="Calibri"/>
          <w:bCs/>
          <w:i/>
          <w:iCs/>
          <w:color w:val="000000"/>
          <w:sz w:val="24"/>
          <w:szCs w:val="24"/>
        </w:rPr>
        <w:t xml:space="preserve"> </w:t>
      </w:r>
      <w:proofErr w:type="spellStart"/>
      <w:r w:rsidRPr="00284B8C">
        <w:rPr>
          <w:rFonts w:eastAsia="Calibri"/>
          <w:bCs/>
          <w:i/>
          <w:iCs/>
          <w:color w:val="000000"/>
          <w:sz w:val="24"/>
          <w:szCs w:val="24"/>
        </w:rPr>
        <w:t>goldplatingu</w:t>
      </w:r>
      <w:proofErr w:type="spellEnd"/>
      <w:r>
        <w:rPr>
          <w:rFonts w:eastAsia="Calibri"/>
          <w:bCs/>
          <w:i/>
          <w:iCs/>
          <w:color w:val="000000"/>
          <w:sz w:val="24"/>
          <w:szCs w:val="24"/>
        </w:rPr>
        <w:t xml:space="preserve"> podľa jednotnej metodiky</w:t>
      </w:r>
      <w:r w:rsidRPr="00284B8C">
        <w:rPr>
          <w:rFonts w:eastAsia="Calibri"/>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sz w:val="24"/>
          <w:szCs w:val="24"/>
        </w:rPr>
        <w:t xml:space="preserve"> požiadavky. </w:t>
      </w:r>
    </w:p>
    <w:p w14:paraId="74627C61" w14:textId="77777777" w:rsidR="0040239E" w:rsidRPr="00F244DC" w:rsidRDefault="0040239E" w:rsidP="0040239E">
      <w:pPr>
        <w:jc w:val="both"/>
        <w:rPr>
          <w:rFonts w:eastAsia="Calibri"/>
          <w:bCs/>
          <w:i/>
          <w:iCs/>
          <w:sz w:val="24"/>
          <w:szCs w:val="24"/>
        </w:rPr>
      </w:pPr>
      <w:r w:rsidRPr="00F244DC">
        <w:rPr>
          <w:rFonts w:eastAsia="Calibri"/>
          <w:bCs/>
          <w:i/>
          <w:iCs/>
          <w:sz w:val="24"/>
          <w:szCs w:val="24"/>
        </w:rPr>
        <w:t xml:space="preserve">Využitie </w:t>
      </w:r>
      <w:proofErr w:type="spellStart"/>
      <w:r w:rsidRPr="00F244DC">
        <w:rPr>
          <w:rFonts w:eastAsia="Calibri"/>
          <w:bCs/>
          <w:i/>
          <w:iCs/>
          <w:sz w:val="24"/>
          <w:szCs w:val="24"/>
        </w:rPr>
        <w:t>goldplatingu</w:t>
      </w:r>
      <w:proofErr w:type="spellEnd"/>
      <w:r w:rsidRPr="00F244DC">
        <w:rPr>
          <w:rFonts w:eastAsia="Calibri"/>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eastAsia="Calibri"/>
          <w:bCs/>
          <w:i/>
          <w:iCs/>
          <w:sz w:val="24"/>
          <w:szCs w:val="24"/>
        </w:rPr>
        <w:t>goldplatingu</w:t>
      </w:r>
      <w:proofErr w:type="spellEnd"/>
      <w:r w:rsidRPr="00F244DC">
        <w:rPr>
          <w:rFonts w:eastAsia="Calibri"/>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14A7B38" w14:textId="77777777" w:rsidR="0040239E" w:rsidRDefault="0040239E" w:rsidP="0040239E">
      <w:pPr>
        <w:jc w:val="both"/>
        <w:rPr>
          <w:rFonts w:eastAsia="Calibri"/>
          <w:b/>
          <w:sz w:val="24"/>
          <w:szCs w:val="24"/>
        </w:rPr>
      </w:pPr>
    </w:p>
    <w:p w14:paraId="2165CF10" w14:textId="5F06005D" w:rsidR="0040239E" w:rsidRDefault="0040239E" w:rsidP="0040239E">
      <w:pPr>
        <w:rPr>
          <w:rFonts w:eastAsia="Calibri"/>
          <w:b/>
          <w:sz w:val="24"/>
          <w:szCs w:val="24"/>
        </w:rPr>
      </w:pPr>
    </w:p>
    <w:p w14:paraId="59C569BC" w14:textId="77777777" w:rsidR="0040239E" w:rsidRPr="001F1B43" w:rsidRDefault="0040239E" w:rsidP="0040239E">
      <w:pPr>
        <w:jc w:val="both"/>
        <w:rPr>
          <w:rFonts w:eastAsia="Calibri"/>
          <w:b/>
          <w:sz w:val="24"/>
          <w:szCs w:val="24"/>
        </w:rPr>
      </w:pPr>
      <w:r w:rsidRPr="001F1B43">
        <w:rPr>
          <w:rFonts w:eastAsia="Calibri"/>
          <w:b/>
          <w:sz w:val="24"/>
          <w:szCs w:val="24"/>
        </w:rPr>
        <w:t>3.2 Vyhodnotenie konzultácií s podnikateľskými subjektmi pred predbežným pripomienkovým konaním</w:t>
      </w:r>
    </w:p>
    <w:p w14:paraId="05763D3C" w14:textId="77777777" w:rsidR="0040239E" w:rsidRPr="00D8247C" w:rsidRDefault="0040239E" w:rsidP="0040239E">
      <w:pPr>
        <w:jc w:val="both"/>
        <w:rPr>
          <w:rFonts w:eastAsia="Calibri"/>
          <w:i/>
          <w:sz w:val="24"/>
          <w:szCs w:val="24"/>
        </w:rPr>
      </w:pPr>
      <w:r w:rsidRPr="00D8247C">
        <w:rPr>
          <w:rFonts w:eastAsia="Calibri"/>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sz w:val="24"/>
          <w:szCs w:val="24"/>
        </w:rPr>
        <w:t>link</w:t>
      </w:r>
      <w:proofErr w:type="spellEnd"/>
      <w:r w:rsidRPr="00D8247C">
        <w:rPr>
          <w:rFonts w:eastAsia="Calibri"/>
          <w:i/>
          <w:sz w:val="24"/>
          <w:szCs w:val="24"/>
        </w:rPr>
        <w:t xml:space="preserve"> na webovú stránku, na ktorej boli konzultácie zverejnené. </w:t>
      </w:r>
    </w:p>
    <w:p w14:paraId="2417E032" w14:textId="77777777" w:rsidR="0040239E" w:rsidRPr="00D8247C" w:rsidRDefault="0040239E" w:rsidP="0040239E">
      <w:pPr>
        <w:jc w:val="both"/>
        <w:rPr>
          <w:rFonts w:eastAsia="Calibri"/>
          <w:i/>
          <w:sz w:val="24"/>
          <w:szCs w:val="24"/>
        </w:rPr>
      </w:pPr>
      <w:r w:rsidRPr="00D8247C">
        <w:rPr>
          <w:rFonts w:eastAsia="Calibri"/>
          <w:i/>
          <w:sz w:val="24"/>
          <w:szCs w:val="24"/>
        </w:rPr>
        <w:t xml:space="preserve">Uveďte hlavné body konzultácií a ich závery. </w:t>
      </w:r>
    </w:p>
    <w:p w14:paraId="430096E3" w14:textId="77777777" w:rsidR="0040239E" w:rsidRPr="00D8247C" w:rsidRDefault="0040239E" w:rsidP="0040239E">
      <w:pPr>
        <w:jc w:val="both"/>
        <w:rPr>
          <w:rFonts w:eastAsia="Calibri"/>
          <w:i/>
          <w:sz w:val="24"/>
          <w:szCs w:val="24"/>
        </w:rPr>
      </w:pPr>
      <w:r w:rsidRPr="00D8247C">
        <w:rPr>
          <w:rFonts w:eastAsia="Calibri"/>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8A94933" w14:textId="77777777" w:rsidR="0040239E" w:rsidRPr="00D8247C" w:rsidRDefault="0040239E" w:rsidP="0040239E">
      <w:pPr>
        <w:jc w:val="both"/>
        <w:rPr>
          <w:rFonts w:eastAsia="Calibri"/>
          <w:i/>
          <w:sz w:val="24"/>
          <w:szCs w:val="24"/>
        </w:rPr>
      </w:pPr>
      <w:r w:rsidRPr="00D8247C">
        <w:rPr>
          <w:rFonts w:eastAsia="Calibri"/>
          <w:i/>
          <w:sz w:val="24"/>
          <w:szCs w:val="24"/>
        </w:rPr>
        <w:t xml:space="preserve">Alternatívne namiesto vypĺňania bodu 3.2 môžete uviesť ako samostatnú prílohu tejto analýzy Záznam z konzultácií obsahujúci požadované informácie. </w:t>
      </w:r>
    </w:p>
    <w:p w14:paraId="6169EEFC" w14:textId="77777777" w:rsidR="0040239E" w:rsidRDefault="0040239E" w:rsidP="0040239E">
      <w:pPr>
        <w:jc w:val="both"/>
        <w:rPr>
          <w:rFonts w:eastAsia="Calibri"/>
          <w:i/>
          <w:sz w:val="24"/>
          <w:szCs w:val="24"/>
        </w:rPr>
      </w:pPr>
    </w:p>
    <w:p w14:paraId="380221FF" w14:textId="77777777" w:rsidR="0040239E" w:rsidRDefault="0040239E" w:rsidP="0040239E">
      <w:pPr>
        <w:jc w:val="both"/>
        <w:rPr>
          <w:rFonts w:eastAsia="Calibri"/>
          <w:sz w:val="24"/>
          <w:szCs w:val="24"/>
          <w:lang w:val="en-US"/>
        </w:rPr>
      </w:pPr>
      <w:r w:rsidRPr="001A2AAE">
        <w:rPr>
          <w:rFonts w:eastAsia="Calibri"/>
          <w:sz w:val="24"/>
          <w:szCs w:val="24"/>
        </w:rPr>
        <w:t xml:space="preserve">Návrh zákona bol pred jeho predložením na medzirezortné pripomienkové konanie zaslaný formou cielenej konzultácie </w:t>
      </w:r>
      <w:r>
        <w:rPr>
          <w:rFonts w:eastAsia="Calibri"/>
          <w:sz w:val="24"/>
          <w:szCs w:val="24"/>
        </w:rPr>
        <w:t xml:space="preserve">5 letiskových spoločnostiam, </w:t>
      </w:r>
      <w:r w:rsidRPr="009B74FA">
        <w:rPr>
          <w:rFonts w:eastAsia="Calibri"/>
          <w:sz w:val="24"/>
          <w:szCs w:val="24"/>
        </w:rPr>
        <w:t>Asociácii priemyselných zväzov a dopravy, Integrovanému odborovému zväzu</w:t>
      </w:r>
      <w:r w:rsidRPr="009B74FA">
        <w:rPr>
          <w:rFonts w:eastAsia="Calibri"/>
          <w:sz w:val="24"/>
          <w:szCs w:val="24"/>
          <w:lang w:val="en-US"/>
        </w:rPr>
        <w:t xml:space="preserve"> a </w:t>
      </w:r>
      <w:r w:rsidRPr="009B74FA">
        <w:rPr>
          <w:rFonts w:eastAsia="Calibri"/>
          <w:sz w:val="24"/>
          <w:szCs w:val="24"/>
        </w:rPr>
        <w:t>Únii dopravy, pôšt a telekomunikácií SR</w:t>
      </w:r>
      <w:r w:rsidRPr="001A2AAE">
        <w:rPr>
          <w:rFonts w:eastAsia="Calibri"/>
          <w:sz w:val="24"/>
          <w:szCs w:val="24"/>
          <w:lang w:val="en-US"/>
        </w:rPr>
        <w:t xml:space="preserve">. </w:t>
      </w:r>
    </w:p>
    <w:p w14:paraId="44DF156B" w14:textId="77777777" w:rsidR="0040239E" w:rsidRPr="009B74FA" w:rsidRDefault="0040239E" w:rsidP="0040239E">
      <w:pPr>
        <w:jc w:val="both"/>
        <w:rPr>
          <w:rFonts w:eastAsia="Calibri"/>
          <w:sz w:val="24"/>
          <w:szCs w:val="24"/>
        </w:rPr>
      </w:pPr>
    </w:p>
    <w:p w14:paraId="3D458549" w14:textId="77777777" w:rsidR="0040239E" w:rsidRPr="009B74FA" w:rsidRDefault="0040239E" w:rsidP="0040239E">
      <w:pPr>
        <w:jc w:val="both"/>
        <w:rPr>
          <w:rFonts w:eastAsia="Calibri"/>
          <w:sz w:val="24"/>
          <w:szCs w:val="24"/>
        </w:rPr>
      </w:pPr>
      <w:r w:rsidRPr="009B74FA">
        <w:rPr>
          <w:rFonts w:eastAsia="Calibri"/>
          <w:sz w:val="24"/>
          <w:szCs w:val="24"/>
        </w:rPr>
        <w:t xml:space="preserve">1 letisková spoločnosť </w:t>
      </w:r>
      <w:r>
        <w:rPr>
          <w:rFonts w:eastAsia="Calibri"/>
          <w:sz w:val="24"/>
          <w:szCs w:val="24"/>
        </w:rPr>
        <w:t xml:space="preserve">vzniesla pripomienku na úpravu § 3 ods. 5 </w:t>
      </w:r>
      <w:r>
        <w:rPr>
          <w:rFonts w:eastAsia="Calibri"/>
          <w:bCs/>
          <w:sz w:val="24"/>
          <w:szCs w:val="24"/>
        </w:rPr>
        <w:t>zákona č. 136/2004 Z. z., ktorá bola zohľadnená.</w:t>
      </w:r>
    </w:p>
    <w:p w14:paraId="2F170C13" w14:textId="12DD43A7" w:rsidR="0040239E" w:rsidRDefault="0040239E" w:rsidP="0040239E">
      <w:pPr>
        <w:jc w:val="both"/>
        <w:rPr>
          <w:rFonts w:eastAsia="Calibri"/>
          <w:sz w:val="24"/>
          <w:szCs w:val="24"/>
        </w:rPr>
      </w:pPr>
    </w:p>
    <w:p w14:paraId="4D790F58" w14:textId="77777777" w:rsidR="0040239E" w:rsidRDefault="0040239E" w:rsidP="0040239E">
      <w:pPr>
        <w:jc w:val="both"/>
        <w:rPr>
          <w:rFonts w:eastAsia="Calibri"/>
          <w:sz w:val="24"/>
          <w:szCs w:val="24"/>
        </w:rPr>
      </w:pPr>
    </w:p>
    <w:p w14:paraId="2237047A" w14:textId="77777777" w:rsidR="0040239E" w:rsidRPr="001F1B43" w:rsidRDefault="0040239E" w:rsidP="0040239E">
      <w:pPr>
        <w:jc w:val="both"/>
        <w:rPr>
          <w:rFonts w:eastAsia="Calibri"/>
          <w:b/>
          <w:sz w:val="24"/>
          <w:szCs w:val="24"/>
        </w:rPr>
      </w:pPr>
      <w:bookmarkStart w:id="1" w:name="_Hlk47698091"/>
      <w:r w:rsidRPr="001F1B43">
        <w:rPr>
          <w:rFonts w:eastAsia="Calibri"/>
          <w:b/>
          <w:sz w:val="24"/>
          <w:szCs w:val="24"/>
        </w:rPr>
        <w:t>3.3 Vplyvy na konkurencieschopnosť a produktivitu</w:t>
      </w:r>
    </w:p>
    <w:bookmarkEnd w:id="1"/>
    <w:p w14:paraId="33B3926A" w14:textId="77777777" w:rsidR="0040239E" w:rsidRPr="00D8247C" w:rsidRDefault="0040239E" w:rsidP="0040239E">
      <w:pPr>
        <w:jc w:val="both"/>
        <w:rPr>
          <w:rFonts w:eastAsia="Calibri"/>
          <w:i/>
          <w:sz w:val="24"/>
          <w:szCs w:val="24"/>
        </w:rPr>
      </w:pPr>
      <w:r w:rsidRPr="00D8247C">
        <w:rPr>
          <w:rFonts w:eastAsia="Calibri"/>
          <w:i/>
          <w:sz w:val="24"/>
          <w:szCs w:val="24"/>
        </w:rPr>
        <w:t xml:space="preserve">Dochádza k vytvoreniu resp. k zmene bariér na trhu? </w:t>
      </w:r>
    </w:p>
    <w:p w14:paraId="0B04BB09" w14:textId="77777777" w:rsidR="0040239E" w:rsidRPr="00D8247C" w:rsidRDefault="0040239E" w:rsidP="0040239E">
      <w:pPr>
        <w:jc w:val="both"/>
        <w:rPr>
          <w:rFonts w:eastAsia="Calibri"/>
          <w:i/>
          <w:sz w:val="24"/>
          <w:szCs w:val="24"/>
        </w:rPr>
      </w:pPr>
      <w:r w:rsidRPr="00D8247C">
        <w:rPr>
          <w:rFonts w:eastAsia="Calibri"/>
          <w:i/>
          <w:sz w:val="24"/>
          <w:szCs w:val="24"/>
        </w:rPr>
        <w:t xml:space="preserve">Bude sa s niektorými podnikmi alebo produktmi zaobchádzať v porovnateľnej situácii rôzne (napr. špeciálne režimy pre </w:t>
      </w:r>
      <w:proofErr w:type="spellStart"/>
      <w:r w:rsidRPr="00D8247C">
        <w:rPr>
          <w:rFonts w:eastAsia="Calibri"/>
          <w:i/>
          <w:sz w:val="24"/>
          <w:szCs w:val="24"/>
        </w:rPr>
        <w:t>mikro</w:t>
      </w:r>
      <w:proofErr w:type="spellEnd"/>
      <w:r w:rsidRPr="00D8247C">
        <w:rPr>
          <w:rFonts w:eastAsia="Calibri"/>
          <w:i/>
          <w:sz w:val="24"/>
          <w:szCs w:val="24"/>
        </w:rPr>
        <w:t xml:space="preserve">, malé a stredné podniky tzv. MSP)? </w:t>
      </w:r>
    </w:p>
    <w:p w14:paraId="4F880988" w14:textId="77777777" w:rsidR="0040239E" w:rsidRPr="00D8247C" w:rsidRDefault="0040239E" w:rsidP="0040239E">
      <w:pPr>
        <w:jc w:val="both"/>
        <w:rPr>
          <w:rFonts w:eastAsia="Calibri"/>
          <w:i/>
          <w:sz w:val="24"/>
          <w:szCs w:val="24"/>
        </w:rPr>
      </w:pPr>
      <w:r w:rsidRPr="00D8247C">
        <w:rPr>
          <w:rFonts w:eastAsia="Calibri"/>
          <w:i/>
          <w:sz w:val="24"/>
          <w:szCs w:val="24"/>
        </w:rPr>
        <w:t xml:space="preserve">Ovplyvňuje zmena regulácie cezhraničné investície (príliv/odliv zahraničných investícií resp. uplatnenie slovenských podnikov na zahraničných trhoch)? </w:t>
      </w:r>
    </w:p>
    <w:p w14:paraId="30E28844" w14:textId="77777777" w:rsidR="0040239E" w:rsidRDefault="0040239E" w:rsidP="0040239E">
      <w:pPr>
        <w:jc w:val="both"/>
        <w:rPr>
          <w:rFonts w:eastAsia="Calibri"/>
          <w:i/>
          <w:sz w:val="24"/>
          <w:szCs w:val="24"/>
        </w:rPr>
      </w:pPr>
      <w:r w:rsidRPr="00D8247C">
        <w:rPr>
          <w:rFonts w:eastAsia="Calibri"/>
          <w:i/>
          <w:sz w:val="24"/>
          <w:szCs w:val="24"/>
        </w:rPr>
        <w:t xml:space="preserve">Ovplyvní dostupnosť základných zdrojov (financie, pracovná sila, suroviny, mechanizmy, energie atď.)? </w:t>
      </w:r>
    </w:p>
    <w:p w14:paraId="7D9254B8" w14:textId="77777777" w:rsidR="0040239E" w:rsidRDefault="0040239E" w:rsidP="0040239E">
      <w:pPr>
        <w:jc w:val="both"/>
        <w:rPr>
          <w:rFonts w:eastAsia="Calibri"/>
          <w:i/>
          <w:sz w:val="24"/>
          <w:szCs w:val="24"/>
        </w:rPr>
      </w:pPr>
      <w:r>
        <w:rPr>
          <w:rFonts w:eastAsia="Calibri"/>
          <w:i/>
          <w:sz w:val="24"/>
          <w:szCs w:val="24"/>
        </w:rPr>
        <w:t>Ovplyvňuje zmena regulácie inovácie, vedu a výskum?</w:t>
      </w:r>
    </w:p>
    <w:p w14:paraId="71C903A3" w14:textId="77777777" w:rsidR="0040239E" w:rsidRPr="00D8247C" w:rsidRDefault="0040239E" w:rsidP="0040239E">
      <w:pPr>
        <w:jc w:val="both"/>
        <w:rPr>
          <w:rFonts w:eastAsia="Calibri"/>
          <w:i/>
          <w:sz w:val="24"/>
          <w:szCs w:val="24"/>
        </w:rPr>
      </w:pPr>
      <w:r>
        <w:rPr>
          <w:rFonts w:eastAsia="Calibri"/>
          <w:i/>
          <w:sz w:val="24"/>
          <w:szCs w:val="24"/>
        </w:rPr>
        <w:t>Ak bol identifikovaný goldplating, prispieva k zníženiu konkurencieschopnosti a produktivity? Akým spôsobom?</w:t>
      </w:r>
    </w:p>
    <w:p w14:paraId="479D7A87" w14:textId="77777777" w:rsidR="0040239E" w:rsidRPr="00D8247C" w:rsidRDefault="0040239E" w:rsidP="0040239E">
      <w:pPr>
        <w:jc w:val="both"/>
        <w:rPr>
          <w:rFonts w:eastAsia="Calibri"/>
          <w:i/>
          <w:sz w:val="24"/>
          <w:szCs w:val="24"/>
        </w:rPr>
      </w:pPr>
      <w:r w:rsidRPr="00D8247C">
        <w:rPr>
          <w:rFonts w:eastAsia="Calibri"/>
          <w:i/>
          <w:iCs/>
          <w:sz w:val="24"/>
          <w:szCs w:val="24"/>
        </w:rPr>
        <w:t>Ako prispieva zmena regulácie k cieľu Slovenska mať najlepšie podnikateľské prostredie spomedzi susediacich krajín EÚ?</w:t>
      </w:r>
    </w:p>
    <w:p w14:paraId="7F725FAF" w14:textId="77777777" w:rsidR="0040239E" w:rsidRPr="00D8247C" w:rsidRDefault="0040239E" w:rsidP="0040239E">
      <w:pPr>
        <w:jc w:val="both"/>
        <w:rPr>
          <w:rFonts w:eastAsia="Calibri"/>
          <w:i/>
          <w:sz w:val="24"/>
          <w:szCs w:val="24"/>
        </w:rPr>
      </w:pPr>
    </w:p>
    <w:p w14:paraId="61CDCA30" w14:textId="77777777" w:rsidR="0040239E" w:rsidRPr="00D8247C" w:rsidRDefault="0040239E" w:rsidP="0040239E">
      <w:pPr>
        <w:jc w:val="both"/>
        <w:rPr>
          <w:rFonts w:eastAsia="Calibri"/>
          <w:b/>
          <w:i/>
          <w:sz w:val="24"/>
          <w:szCs w:val="24"/>
        </w:rPr>
      </w:pPr>
      <w:r w:rsidRPr="00D8247C">
        <w:rPr>
          <w:rFonts w:eastAsia="Calibri"/>
          <w:b/>
          <w:i/>
          <w:sz w:val="24"/>
          <w:szCs w:val="24"/>
        </w:rPr>
        <w:t>Konkurencieschopnosť:</w:t>
      </w:r>
    </w:p>
    <w:p w14:paraId="2ED278F7" w14:textId="77777777" w:rsidR="0040239E" w:rsidRPr="00D8247C" w:rsidRDefault="0040239E" w:rsidP="0040239E">
      <w:pPr>
        <w:jc w:val="both"/>
        <w:rPr>
          <w:rFonts w:eastAsia="Calibri"/>
          <w:i/>
          <w:sz w:val="24"/>
          <w:szCs w:val="24"/>
        </w:rPr>
      </w:pPr>
      <w:r w:rsidRPr="00D8247C">
        <w:rPr>
          <w:rFonts w:eastAsia="Calibri"/>
          <w:i/>
          <w:sz w:val="24"/>
          <w:szCs w:val="24"/>
        </w:rPr>
        <w:t>Na základe uvedených odpovedí zaškrtnite a popíšte, či materiál konkurencieschopnosť:</w:t>
      </w:r>
    </w:p>
    <w:p w14:paraId="5B777A4A" w14:textId="77777777" w:rsidR="0040239E" w:rsidRPr="00D8247C" w:rsidRDefault="00441A0C" w:rsidP="0040239E">
      <w:pPr>
        <w:jc w:val="both"/>
        <w:rPr>
          <w:rFonts w:eastAsia="Calibri"/>
          <w:i/>
          <w:sz w:val="24"/>
          <w:szCs w:val="24"/>
        </w:rPr>
      </w:pPr>
      <w:sdt>
        <w:sdtPr>
          <w:rPr>
            <w:rFonts w:eastAsia="Calibri"/>
            <w:i/>
            <w:sz w:val="24"/>
            <w:szCs w:val="24"/>
          </w:rPr>
          <w:id w:val="798576880"/>
        </w:sdtPr>
        <w:sdtEndPr/>
        <w:sdtContent>
          <w:sdt>
            <w:sdtPr>
              <w:rPr>
                <w:rFonts w:eastAsia="Calibri"/>
                <w:i/>
                <w:sz w:val="24"/>
                <w:szCs w:val="24"/>
              </w:rPr>
              <w:id w:val="1729873660"/>
            </w:sdtPr>
            <w:sdtEndPr/>
            <w:sdtContent>
              <w:sdt>
                <w:sdtPr>
                  <w:rPr>
                    <w:rFonts w:eastAsia="Calibri"/>
                    <w:i/>
                    <w:sz w:val="24"/>
                    <w:szCs w:val="24"/>
                  </w:rPr>
                  <w:id w:val="-1464183109"/>
                </w:sdtPr>
                <w:sdtEndPr/>
                <w:sdtContent>
                  <w:r w:rsidR="0040239E" w:rsidRPr="00D8247C">
                    <w:rPr>
                      <w:rFonts w:ascii="Segoe UI Symbol" w:eastAsia="Calibri" w:hAnsi="Segoe UI Symbol" w:cs="Segoe UI Symbol"/>
                      <w:i/>
                      <w:sz w:val="24"/>
                      <w:szCs w:val="24"/>
                    </w:rPr>
                    <w:t>☐</w:t>
                  </w:r>
                </w:sdtContent>
              </w:sdt>
            </w:sdtContent>
          </w:sdt>
        </w:sdtContent>
      </w:sdt>
      <w:r w:rsidR="0040239E" w:rsidRPr="00D8247C">
        <w:rPr>
          <w:rFonts w:eastAsia="Calibri"/>
          <w:i/>
          <w:sz w:val="24"/>
          <w:szCs w:val="24"/>
        </w:rPr>
        <w:t xml:space="preserve"> zvyšuje  </w:t>
      </w:r>
      <w:r w:rsidR="0040239E" w:rsidRPr="00D8247C">
        <w:rPr>
          <w:rFonts w:eastAsia="Calibri"/>
          <w:i/>
          <w:sz w:val="24"/>
          <w:szCs w:val="24"/>
        </w:rPr>
        <w:tab/>
      </w:r>
      <w:sdt>
        <w:sdtPr>
          <w:rPr>
            <w:rFonts w:eastAsia="Calibri"/>
            <w:b/>
            <w:i/>
            <w:sz w:val="24"/>
            <w:szCs w:val="24"/>
          </w:rPr>
          <w:id w:val="256486042"/>
        </w:sdtPr>
        <w:sdtEndPr/>
        <w:sdtContent>
          <w:sdt>
            <w:sdtPr>
              <w:rPr>
                <w:rFonts w:eastAsia="Calibri"/>
                <w:b/>
                <w:i/>
                <w:sz w:val="24"/>
                <w:szCs w:val="24"/>
              </w:rPr>
              <w:id w:val="1019973539"/>
            </w:sdtPr>
            <w:sdtEndPr/>
            <w:sdtContent>
              <w:r w:rsidR="0040239E" w:rsidRPr="006235FB">
                <w:rPr>
                  <w:rFonts w:ascii="Segoe UI Symbol" w:eastAsia="Calibri" w:hAnsi="Segoe UI Symbol" w:cs="Segoe UI Symbol"/>
                  <w:b/>
                  <w:i/>
                  <w:sz w:val="24"/>
                  <w:szCs w:val="24"/>
                </w:rPr>
                <w:t>x</w:t>
              </w:r>
            </w:sdtContent>
          </w:sdt>
        </w:sdtContent>
      </w:sdt>
      <w:r w:rsidR="0040239E" w:rsidRPr="00D8247C">
        <w:rPr>
          <w:rFonts w:eastAsia="Calibri"/>
          <w:i/>
          <w:sz w:val="24"/>
          <w:szCs w:val="24"/>
        </w:rPr>
        <w:t xml:space="preserve"> nemení</w:t>
      </w:r>
      <w:r w:rsidR="0040239E" w:rsidRPr="00D8247C">
        <w:rPr>
          <w:rFonts w:eastAsia="Calibri"/>
          <w:i/>
          <w:sz w:val="24"/>
          <w:szCs w:val="24"/>
        </w:rPr>
        <w:tab/>
      </w:r>
      <w:sdt>
        <w:sdtPr>
          <w:rPr>
            <w:rFonts w:eastAsia="Calibri"/>
            <w:i/>
            <w:sz w:val="24"/>
            <w:szCs w:val="24"/>
          </w:rPr>
          <w:id w:val="-474604883"/>
        </w:sdtPr>
        <w:sdtEndPr/>
        <w:sdtContent>
          <w:sdt>
            <w:sdtPr>
              <w:rPr>
                <w:rFonts w:eastAsia="Calibri"/>
                <w:i/>
                <w:sz w:val="24"/>
                <w:szCs w:val="24"/>
              </w:rPr>
              <w:id w:val="-1706551548"/>
            </w:sdtPr>
            <w:sdtEndPr/>
            <w:sdtContent>
              <w:r w:rsidR="0040239E" w:rsidRPr="00D8247C">
                <w:rPr>
                  <w:rFonts w:ascii="Segoe UI Symbol" w:eastAsia="Calibri" w:hAnsi="Segoe UI Symbol" w:cs="Segoe UI Symbol"/>
                  <w:i/>
                  <w:sz w:val="24"/>
                  <w:szCs w:val="24"/>
                </w:rPr>
                <w:t>☐</w:t>
              </w:r>
            </w:sdtContent>
          </w:sdt>
        </w:sdtContent>
      </w:sdt>
      <w:r w:rsidR="0040239E" w:rsidRPr="00D8247C">
        <w:rPr>
          <w:rFonts w:eastAsia="Calibri"/>
          <w:i/>
          <w:sz w:val="24"/>
          <w:szCs w:val="24"/>
        </w:rPr>
        <w:t xml:space="preserve"> znižuje</w:t>
      </w:r>
    </w:p>
    <w:p w14:paraId="119B4B91" w14:textId="77777777" w:rsidR="0040239E" w:rsidRDefault="0040239E" w:rsidP="0040239E">
      <w:pPr>
        <w:jc w:val="both"/>
        <w:rPr>
          <w:rFonts w:eastAsia="Calibri"/>
          <w:i/>
          <w:sz w:val="24"/>
          <w:szCs w:val="24"/>
        </w:rPr>
      </w:pPr>
    </w:p>
    <w:p w14:paraId="0DAEB59F" w14:textId="77777777" w:rsidR="0040239E" w:rsidRDefault="0040239E" w:rsidP="0040239E">
      <w:pPr>
        <w:jc w:val="both"/>
        <w:rPr>
          <w:rFonts w:eastAsia="Calibri"/>
          <w:sz w:val="24"/>
          <w:szCs w:val="24"/>
        </w:rPr>
      </w:pPr>
    </w:p>
    <w:p w14:paraId="027A543B" w14:textId="77777777" w:rsidR="0040239E" w:rsidRPr="00D8247C" w:rsidRDefault="0040239E" w:rsidP="0040239E">
      <w:pPr>
        <w:jc w:val="both"/>
        <w:rPr>
          <w:rFonts w:eastAsia="Calibri"/>
          <w:b/>
          <w:i/>
          <w:sz w:val="24"/>
          <w:szCs w:val="24"/>
        </w:rPr>
      </w:pPr>
      <w:r w:rsidRPr="00D8247C">
        <w:rPr>
          <w:rFonts w:eastAsia="Calibri"/>
          <w:b/>
          <w:i/>
          <w:sz w:val="24"/>
          <w:szCs w:val="24"/>
        </w:rPr>
        <w:t>Produktivita:</w:t>
      </w:r>
    </w:p>
    <w:p w14:paraId="29FE0924" w14:textId="77777777" w:rsidR="0040239E" w:rsidRPr="00D8247C" w:rsidRDefault="0040239E" w:rsidP="0040239E">
      <w:pPr>
        <w:jc w:val="both"/>
        <w:rPr>
          <w:rFonts w:eastAsia="Calibri"/>
          <w:i/>
          <w:sz w:val="24"/>
          <w:szCs w:val="24"/>
        </w:rPr>
      </w:pPr>
      <w:r w:rsidRPr="00D8247C">
        <w:rPr>
          <w:rFonts w:eastAsia="Calibri"/>
          <w:i/>
          <w:sz w:val="24"/>
          <w:szCs w:val="24"/>
        </w:rPr>
        <w:t xml:space="preserve">Aký má materiál vplyv na zmenu pomeru medzi produkciou podnikov a ich nákladmi? </w:t>
      </w:r>
    </w:p>
    <w:p w14:paraId="11B17C48" w14:textId="77777777" w:rsidR="0040239E" w:rsidRPr="00D8247C" w:rsidRDefault="0040239E" w:rsidP="0040239E">
      <w:pPr>
        <w:jc w:val="both"/>
        <w:rPr>
          <w:rFonts w:eastAsia="Calibri"/>
          <w:i/>
          <w:sz w:val="24"/>
          <w:szCs w:val="24"/>
        </w:rPr>
      </w:pPr>
    </w:p>
    <w:p w14:paraId="60F9843C" w14:textId="77777777" w:rsidR="0040239E" w:rsidRPr="00D8247C" w:rsidRDefault="0040239E" w:rsidP="0040239E">
      <w:pPr>
        <w:jc w:val="both"/>
        <w:rPr>
          <w:rFonts w:eastAsia="Calibri"/>
          <w:i/>
          <w:sz w:val="24"/>
          <w:szCs w:val="24"/>
        </w:rPr>
      </w:pPr>
      <w:r w:rsidRPr="00D8247C">
        <w:rPr>
          <w:rFonts w:eastAsia="Calibri"/>
          <w:i/>
          <w:sz w:val="24"/>
          <w:szCs w:val="24"/>
        </w:rPr>
        <w:t>Na základe uvedenej odpovede zaškrtnite a popíšte, či materiál produktivitu:</w:t>
      </w:r>
    </w:p>
    <w:p w14:paraId="5F52E6D5" w14:textId="77777777" w:rsidR="0040239E" w:rsidRPr="00D8247C" w:rsidRDefault="00441A0C" w:rsidP="0040239E">
      <w:pPr>
        <w:jc w:val="both"/>
        <w:rPr>
          <w:rFonts w:eastAsia="Calibri"/>
          <w:i/>
          <w:sz w:val="24"/>
          <w:szCs w:val="24"/>
        </w:rPr>
      </w:pPr>
      <w:sdt>
        <w:sdtPr>
          <w:rPr>
            <w:rFonts w:eastAsia="Calibri"/>
            <w:i/>
            <w:sz w:val="24"/>
            <w:szCs w:val="24"/>
          </w:rPr>
          <w:id w:val="-1545903528"/>
        </w:sdtPr>
        <w:sdtEndPr/>
        <w:sdtContent>
          <w:sdt>
            <w:sdtPr>
              <w:rPr>
                <w:rFonts w:eastAsia="Calibri"/>
                <w:i/>
                <w:sz w:val="24"/>
                <w:szCs w:val="24"/>
              </w:rPr>
              <w:id w:val="825715010"/>
            </w:sdtPr>
            <w:sdtEndPr/>
            <w:sdtContent>
              <w:r w:rsidR="0040239E" w:rsidRPr="00D8247C">
                <w:rPr>
                  <w:rFonts w:ascii="Segoe UI Symbol" w:eastAsia="Calibri" w:hAnsi="Segoe UI Symbol" w:cs="Segoe UI Symbol"/>
                  <w:i/>
                  <w:sz w:val="24"/>
                  <w:szCs w:val="24"/>
                </w:rPr>
                <w:t>☐</w:t>
              </w:r>
            </w:sdtContent>
          </w:sdt>
        </w:sdtContent>
      </w:sdt>
      <w:r w:rsidR="0040239E" w:rsidRPr="00D8247C">
        <w:rPr>
          <w:rFonts w:eastAsia="Calibri"/>
          <w:i/>
          <w:sz w:val="24"/>
          <w:szCs w:val="24"/>
        </w:rPr>
        <w:t xml:space="preserve"> zvyšuje  </w:t>
      </w:r>
      <w:r w:rsidR="0040239E" w:rsidRPr="00D8247C">
        <w:rPr>
          <w:rFonts w:eastAsia="Calibri"/>
          <w:i/>
          <w:sz w:val="24"/>
          <w:szCs w:val="24"/>
        </w:rPr>
        <w:tab/>
      </w:r>
      <w:sdt>
        <w:sdtPr>
          <w:rPr>
            <w:rFonts w:eastAsia="Calibri"/>
            <w:b/>
            <w:i/>
            <w:sz w:val="24"/>
            <w:szCs w:val="24"/>
          </w:rPr>
          <w:id w:val="-353966921"/>
        </w:sdtPr>
        <w:sdtEndPr/>
        <w:sdtContent>
          <w:sdt>
            <w:sdtPr>
              <w:rPr>
                <w:rFonts w:eastAsia="Calibri"/>
                <w:b/>
                <w:i/>
                <w:sz w:val="24"/>
                <w:szCs w:val="24"/>
              </w:rPr>
              <w:id w:val="-1222205104"/>
            </w:sdtPr>
            <w:sdtEndPr/>
            <w:sdtContent>
              <w:r w:rsidR="0040239E" w:rsidRPr="006235FB">
                <w:rPr>
                  <w:rFonts w:ascii="Segoe UI Symbol" w:eastAsia="Calibri" w:hAnsi="Segoe UI Symbol" w:cs="Segoe UI Symbol"/>
                  <w:b/>
                  <w:i/>
                  <w:sz w:val="24"/>
                  <w:szCs w:val="24"/>
                </w:rPr>
                <w:t>x</w:t>
              </w:r>
            </w:sdtContent>
          </w:sdt>
        </w:sdtContent>
      </w:sdt>
      <w:r w:rsidR="0040239E" w:rsidRPr="00D8247C">
        <w:rPr>
          <w:rFonts w:eastAsia="Calibri"/>
          <w:i/>
          <w:sz w:val="24"/>
          <w:szCs w:val="24"/>
        </w:rPr>
        <w:t xml:space="preserve"> nemení</w:t>
      </w:r>
      <w:r w:rsidR="0040239E" w:rsidRPr="00D8247C">
        <w:rPr>
          <w:rFonts w:eastAsia="Calibri"/>
          <w:i/>
          <w:sz w:val="24"/>
          <w:szCs w:val="24"/>
        </w:rPr>
        <w:tab/>
      </w:r>
      <w:sdt>
        <w:sdtPr>
          <w:rPr>
            <w:rFonts w:eastAsia="Calibri"/>
            <w:i/>
            <w:sz w:val="24"/>
            <w:szCs w:val="24"/>
          </w:rPr>
          <w:id w:val="-1457723544"/>
        </w:sdtPr>
        <w:sdtEndPr/>
        <w:sdtContent>
          <w:sdt>
            <w:sdtPr>
              <w:rPr>
                <w:rFonts w:eastAsia="Calibri"/>
                <w:i/>
                <w:sz w:val="24"/>
                <w:szCs w:val="24"/>
              </w:rPr>
              <w:id w:val="-623767955"/>
            </w:sdtPr>
            <w:sdtEndPr/>
            <w:sdtContent>
              <w:r w:rsidR="0040239E" w:rsidRPr="00D8247C">
                <w:rPr>
                  <w:rFonts w:ascii="Segoe UI Symbol" w:eastAsia="Calibri" w:hAnsi="Segoe UI Symbol" w:cs="Segoe UI Symbol"/>
                  <w:i/>
                  <w:sz w:val="24"/>
                  <w:szCs w:val="24"/>
                </w:rPr>
                <w:t>☐</w:t>
              </w:r>
            </w:sdtContent>
          </w:sdt>
        </w:sdtContent>
      </w:sdt>
      <w:r w:rsidR="0040239E" w:rsidRPr="00D8247C">
        <w:rPr>
          <w:rFonts w:eastAsia="Calibri"/>
          <w:i/>
          <w:sz w:val="24"/>
          <w:szCs w:val="24"/>
        </w:rPr>
        <w:t xml:space="preserve"> znižuje</w:t>
      </w:r>
    </w:p>
    <w:p w14:paraId="0A6E6EF2" w14:textId="76B218C6" w:rsidR="0040239E" w:rsidRDefault="0040239E" w:rsidP="0040239E">
      <w:pPr>
        <w:rPr>
          <w:rFonts w:eastAsia="Calibri"/>
          <w:i/>
          <w:sz w:val="24"/>
          <w:szCs w:val="24"/>
        </w:rPr>
      </w:pPr>
    </w:p>
    <w:p w14:paraId="296D6781" w14:textId="77777777" w:rsidR="0040239E" w:rsidRDefault="0040239E" w:rsidP="0040239E">
      <w:pPr>
        <w:rPr>
          <w:rFonts w:eastAsia="Calibri"/>
          <w:i/>
          <w:sz w:val="24"/>
          <w:szCs w:val="24"/>
        </w:rPr>
      </w:pPr>
    </w:p>
    <w:p w14:paraId="49A2ED2A" w14:textId="77777777" w:rsidR="0040239E" w:rsidRPr="001F1B43" w:rsidRDefault="0040239E" w:rsidP="0040239E">
      <w:pPr>
        <w:jc w:val="both"/>
        <w:rPr>
          <w:rFonts w:eastAsia="Calibri"/>
          <w:b/>
          <w:sz w:val="24"/>
          <w:szCs w:val="24"/>
        </w:rPr>
      </w:pPr>
      <w:r w:rsidRPr="001F1B43">
        <w:rPr>
          <w:rFonts w:eastAsia="Calibri"/>
          <w:b/>
          <w:sz w:val="24"/>
          <w:szCs w:val="24"/>
        </w:rPr>
        <w:t xml:space="preserve">3.4  Iné vplyvy na podnikateľské prostredie </w:t>
      </w:r>
    </w:p>
    <w:p w14:paraId="0A714764" w14:textId="77777777" w:rsidR="0040239E" w:rsidRDefault="0040239E" w:rsidP="0040239E">
      <w:pPr>
        <w:jc w:val="both"/>
        <w:rPr>
          <w:rFonts w:eastAsia="Calibri"/>
          <w:i/>
          <w:sz w:val="24"/>
          <w:szCs w:val="24"/>
        </w:rPr>
      </w:pPr>
      <w:r>
        <w:rPr>
          <w:rFonts w:eastAsia="Calibri"/>
          <w:i/>
          <w:sz w:val="24"/>
          <w:szCs w:val="24"/>
        </w:rPr>
        <w:t xml:space="preserve">Ak má materiál vplyvy na PP, ktoré nemožno zaradiť do predchádzajúcich častí, či už pozitívne alebo negatívne, tu ich uveďte.  Patria sem: </w:t>
      </w:r>
    </w:p>
    <w:p w14:paraId="36CC86B8" w14:textId="77777777" w:rsidR="0040239E" w:rsidRDefault="0040239E" w:rsidP="0040239E">
      <w:pPr>
        <w:pStyle w:val="Odsekzoznamu"/>
        <w:numPr>
          <w:ilvl w:val="0"/>
          <w:numId w:val="28"/>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5F590DF2" w14:textId="77777777" w:rsidR="0040239E" w:rsidRDefault="0040239E" w:rsidP="0040239E">
      <w:pPr>
        <w:pStyle w:val="Odsekzoznamu"/>
        <w:numPr>
          <w:ilvl w:val="0"/>
          <w:numId w:val="28"/>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7678D33A" w14:textId="77777777" w:rsidR="0040239E" w:rsidRPr="00F244DC" w:rsidRDefault="0040239E" w:rsidP="0040239E">
      <w:pPr>
        <w:pStyle w:val="Odsekzoznamu"/>
        <w:numPr>
          <w:ilvl w:val="0"/>
          <w:numId w:val="28"/>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14:paraId="144C61DE" w14:textId="77777777" w:rsidR="0040239E" w:rsidRPr="00F244DC" w:rsidRDefault="0040239E" w:rsidP="0040239E">
      <w:pPr>
        <w:pStyle w:val="Odsekzoznamu"/>
        <w:numPr>
          <w:ilvl w:val="0"/>
          <w:numId w:val="28"/>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5153369F" w14:textId="77777777" w:rsidR="0040239E" w:rsidRDefault="0040239E" w:rsidP="0040239E">
      <w:pPr>
        <w:rPr>
          <w:b/>
          <w:sz w:val="28"/>
          <w:szCs w:val="28"/>
        </w:rPr>
      </w:pPr>
    </w:p>
    <w:p w14:paraId="00635BB7" w14:textId="77777777" w:rsidR="0040239E" w:rsidRPr="00066B92" w:rsidRDefault="0040239E" w:rsidP="0040239E">
      <w:pPr>
        <w:jc w:val="both"/>
        <w:rPr>
          <w:rFonts w:eastAsia="Calibri"/>
          <w:sz w:val="24"/>
          <w:szCs w:val="24"/>
        </w:rPr>
      </w:pPr>
      <w:r w:rsidRPr="00066B92">
        <w:rPr>
          <w:rFonts w:eastAsia="Calibri"/>
          <w:sz w:val="24"/>
          <w:szCs w:val="24"/>
        </w:rPr>
        <w:t>Návrhom zákona nie je možné jednoznačne kvantifikovať charakter a rozsah</w:t>
      </w:r>
      <w:r>
        <w:rPr>
          <w:rFonts w:eastAsia="Calibri"/>
          <w:sz w:val="24"/>
          <w:szCs w:val="24"/>
        </w:rPr>
        <w:t xml:space="preserve"> vplyvu na </w:t>
      </w:r>
      <w:r w:rsidRPr="00066B92">
        <w:rPr>
          <w:rFonts w:eastAsia="Calibri"/>
          <w:sz w:val="24"/>
          <w:szCs w:val="24"/>
        </w:rPr>
        <w:t>podnikateľské prostredie, keďže návrh zákona vytvára len právny rámec na usporiadanie vlastníckych vzťahov k pozemkom, ktoré nie sú vo vlastníctve štátu alebo letiskovej spoločnosti.</w:t>
      </w:r>
    </w:p>
    <w:p w14:paraId="7EC228CF" w14:textId="77777777" w:rsidR="0040239E" w:rsidRDefault="0040239E" w:rsidP="0040239E">
      <w:pPr>
        <w:jc w:val="both"/>
        <w:rPr>
          <w:rFonts w:eastAsia="Calibri"/>
          <w:sz w:val="24"/>
          <w:szCs w:val="24"/>
        </w:rPr>
      </w:pPr>
    </w:p>
    <w:p w14:paraId="79A48947" w14:textId="77777777" w:rsidR="0040239E" w:rsidRPr="00E62449" w:rsidRDefault="0040239E" w:rsidP="0040239E">
      <w:pPr>
        <w:jc w:val="both"/>
        <w:rPr>
          <w:rFonts w:eastAsia="Calibri"/>
          <w:sz w:val="24"/>
          <w:szCs w:val="24"/>
        </w:rPr>
      </w:pPr>
      <w:r w:rsidRPr="00E62449">
        <w:rPr>
          <w:rFonts w:eastAsia="Calibri"/>
          <w:sz w:val="24"/>
          <w:szCs w:val="24"/>
        </w:rPr>
        <w:t xml:space="preserve">Pozitívny vplyv na podnikateľské prostredie, konkrétne vo vzťahu k letiskovej spoločnosti, predstavuje skutočnosť, že ak letisková spoločnosť nemá k dispozícii dostatočné finančné prostriedky na výkup predmetných pozemkov, Ministerstvo dopravy Slovenskej republiky môže tieto pozemky </w:t>
      </w:r>
      <w:r w:rsidRPr="00E62449">
        <w:rPr>
          <w:rFonts w:eastAsia="Calibri"/>
          <w:sz w:val="24"/>
          <w:szCs w:val="24"/>
        </w:rPr>
        <w:lastRenderedPageBreak/>
        <w:t>vykúpiť a následne prenajať letiskovej spoločnosti za trhové nájomné. Možno predpokladať, že výška nájomného nebude pre letiskovú spoločnosť predstavovať, najmä z dlhodobého hľadiska, nárazovú finančnú záťaž ako v prípade výkupu pozemkov priamo letiskovou spoločnosťou.</w:t>
      </w:r>
    </w:p>
    <w:p w14:paraId="38336F97" w14:textId="77777777" w:rsidR="0040239E" w:rsidRPr="00E62449" w:rsidRDefault="0040239E" w:rsidP="0040239E">
      <w:pPr>
        <w:jc w:val="both"/>
        <w:rPr>
          <w:rFonts w:eastAsia="Calibri"/>
          <w:sz w:val="24"/>
          <w:szCs w:val="24"/>
        </w:rPr>
      </w:pPr>
    </w:p>
    <w:p w14:paraId="284CC501" w14:textId="77777777" w:rsidR="0040239E" w:rsidRPr="00E62449" w:rsidRDefault="0040239E" w:rsidP="0040239E">
      <w:pPr>
        <w:jc w:val="both"/>
        <w:rPr>
          <w:rFonts w:eastAsia="Calibri"/>
          <w:sz w:val="24"/>
          <w:szCs w:val="24"/>
        </w:rPr>
      </w:pPr>
      <w:r w:rsidRPr="64A07A04">
        <w:rPr>
          <w:rFonts w:eastAsia="Calibri"/>
          <w:sz w:val="24"/>
          <w:szCs w:val="24"/>
        </w:rPr>
        <w:t>Negatívny vplyv na podnikateľské prostredie, konkrétne vo vzťahu k letiskovej spoločnosti, by mohla predstavovať skutočnosť, že ak výkup pozemkov bude zabezpečovať Ministerstvo dopravy Slovenskej republiky, predmetné pozemky budú vo vlastníctve štátu a nie vo vlastníctve letiskovej spoločnosti, pričom letisková spoločnosť bude povinná platiť trhové nájomné. Vlastníctvo štátu predmetných pozemkov nepredstavuje až taký negatívny vplyv, pretože samotný zákon č. 136/2004 Z. z. o letiskových spoločnostiach a o zmene a doplnení zákona č. 143/1998 Z. z. o civilnom letectve (letecký zákon) a o zmene a doplnení niektorých zákonov v znení zákona č. 37/2002 Z. z. v znení neskorších predpisov v prípade prioritného infraštruktúrneho majetku, ktorý predstavuje špecifickú časť letiskovej infraštruktúry, uvádza, že takýto majetok môže byť len vo vlastníctve štátu alebo vo vlastníctve letiskovej spoločnosti.</w:t>
      </w:r>
    </w:p>
    <w:p w14:paraId="39454414" w14:textId="47634104" w:rsidR="0040239E" w:rsidRDefault="0040239E">
      <w:pPr>
        <w:widowControl/>
        <w:autoSpaceDE/>
        <w:autoSpaceDN/>
        <w:adjustRightInd/>
        <w:rPr>
          <w:sz w:val="28"/>
          <w:szCs w:val="28"/>
        </w:rPr>
      </w:pPr>
      <w:r>
        <w:rPr>
          <w:sz w:val="28"/>
          <w:szCs w:val="28"/>
        </w:rPr>
        <w:br w:type="page"/>
      </w:r>
    </w:p>
    <w:p w14:paraId="3F2533FE" w14:textId="77777777" w:rsidR="0040239E" w:rsidRPr="00B97336" w:rsidRDefault="0040239E" w:rsidP="0040239E">
      <w:pPr>
        <w:pStyle w:val="Default"/>
        <w:ind w:left="360"/>
        <w:jc w:val="center"/>
        <w:rPr>
          <w:color w:val="auto"/>
        </w:rPr>
      </w:pPr>
      <w:r w:rsidRPr="00B97336">
        <w:rPr>
          <w:b/>
          <w:bCs/>
          <w:color w:val="auto"/>
        </w:rPr>
        <w:lastRenderedPageBreak/>
        <w:t>DOLOŽKA ZLUČITEĽNOSTI</w:t>
      </w:r>
    </w:p>
    <w:p w14:paraId="11485DEF" w14:textId="77777777" w:rsidR="0040239E" w:rsidRPr="00B97336" w:rsidRDefault="0040239E" w:rsidP="0040239E">
      <w:pPr>
        <w:pStyle w:val="Default"/>
        <w:ind w:left="426"/>
        <w:jc w:val="center"/>
        <w:rPr>
          <w:b/>
          <w:bCs/>
          <w:color w:val="auto"/>
        </w:rPr>
      </w:pPr>
      <w:r w:rsidRPr="00B97336">
        <w:rPr>
          <w:b/>
          <w:bCs/>
          <w:color w:val="auto"/>
        </w:rPr>
        <w:t>návrhu zákon</w:t>
      </w:r>
      <w:r>
        <w:rPr>
          <w:b/>
          <w:bCs/>
          <w:color w:val="auto"/>
        </w:rPr>
        <w:t>a s </w:t>
      </w:r>
      <w:r w:rsidRPr="00B97336">
        <w:rPr>
          <w:b/>
          <w:bCs/>
          <w:color w:val="auto"/>
        </w:rPr>
        <w:t>právom Európskej únie</w:t>
      </w:r>
    </w:p>
    <w:p w14:paraId="20485851" w14:textId="77777777" w:rsidR="0040239E" w:rsidRPr="00B97336" w:rsidRDefault="0040239E" w:rsidP="0040239E">
      <w:pPr>
        <w:pStyle w:val="Default"/>
        <w:rPr>
          <w:color w:val="auto"/>
        </w:rPr>
      </w:pPr>
    </w:p>
    <w:p w14:paraId="1270E1A3" w14:textId="77777777" w:rsidR="0040239E" w:rsidRPr="00B97336" w:rsidRDefault="0040239E" w:rsidP="0040239E">
      <w:pPr>
        <w:pStyle w:val="Default"/>
        <w:numPr>
          <w:ilvl w:val="0"/>
          <w:numId w:val="35"/>
        </w:numPr>
        <w:adjustRightInd w:val="0"/>
        <w:ind w:left="567" w:hanging="567"/>
        <w:jc w:val="both"/>
        <w:rPr>
          <w:color w:val="auto"/>
        </w:rPr>
      </w:pPr>
      <w:r w:rsidRPr="00B97336">
        <w:rPr>
          <w:b/>
          <w:color w:val="auto"/>
        </w:rPr>
        <w:t>Navrhovateľ zákona</w:t>
      </w:r>
      <w:r w:rsidRPr="00B97336">
        <w:rPr>
          <w:color w:val="auto"/>
        </w:rPr>
        <w:t xml:space="preserve">: </w:t>
      </w:r>
      <w:r>
        <w:rPr>
          <w:color w:val="auto"/>
        </w:rPr>
        <w:t xml:space="preserve">Ministerstvo </w:t>
      </w:r>
      <w:r w:rsidRPr="00B97336">
        <w:rPr>
          <w:color w:val="auto"/>
        </w:rPr>
        <w:t>dopravy Slovenskej republiky</w:t>
      </w:r>
    </w:p>
    <w:p w14:paraId="0F8CE543" w14:textId="77777777" w:rsidR="0040239E" w:rsidRPr="00B97336" w:rsidRDefault="0040239E" w:rsidP="0040239E">
      <w:pPr>
        <w:pStyle w:val="Default"/>
        <w:jc w:val="both"/>
        <w:rPr>
          <w:color w:val="auto"/>
        </w:rPr>
      </w:pPr>
    </w:p>
    <w:p w14:paraId="2B43F3EA" w14:textId="77777777" w:rsidR="0040239E" w:rsidRPr="006B43EA" w:rsidRDefault="0040239E" w:rsidP="0040239E">
      <w:pPr>
        <w:pStyle w:val="Default"/>
        <w:numPr>
          <w:ilvl w:val="0"/>
          <w:numId w:val="35"/>
        </w:numPr>
        <w:adjustRightInd w:val="0"/>
        <w:ind w:left="567" w:hanging="567"/>
        <w:jc w:val="both"/>
      </w:pPr>
      <w:r w:rsidRPr="00B97336">
        <w:rPr>
          <w:b/>
          <w:color w:val="auto"/>
        </w:rPr>
        <w:t>Názo</w:t>
      </w:r>
      <w:r>
        <w:rPr>
          <w:b/>
          <w:color w:val="auto"/>
        </w:rPr>
        <w:t>v </w:t>
      </w:r>
      <w:r w:rsidRPr="00B97336">
        <w:rPr>
          <w:b/>
          <w:color w:val="auto"/>
        </w:rPr>
        <w:t>návrhu zákona</w:t>
      </w:r>
      <w:r w:rsidRPr="00B97336">
        <w:rPr>
          <w:color w:val="auto"/>
        </w:rPr>
        <w:t xml:space="preserve">: </w:t>
      </w:r>
      <w:r>
        <w:t>N</w:t>
      </w:r>
      <w:r w:rsidRPr="008C6C29">
        <w:t xml:space="preserve">ávrh zákona, </w:t>
      </w:r>
      <w:r w:rsidRPr="008C6C29">
        <w:rPr>
          <w:bCs/>
        </w:rPr>
        <w:t>ktorým sa mení a dopĺňa zákon č. 136/2004 Z. z. o letiskových spoločnostiach a o zmene a doplnení zákona č. 143/1998 Z. z. o civilnom letectve (letecký zákon) a o zmene a doplnení niektorých zákonov v znení zákona č. 37/2002 Z. z. v znení neskorších predpisov</w:t>
      </w:r>
    </w:p>
    <w:p w14:paraId="68F110CD" w14:textId="77777777" w:rsidR="0040239E" w:rsidRPr="00B97336" w:rsidRDefault="0040239E" w:rsidP="0040239E">
      <w:pPr>
        <w:rPr>
          <w:bCs/>
        </w:rPr>
      </w:pPr>
    </w:p>
    <w:p w14:paraId="031E7C8A" w14:textId="77777777" w:rsidR="0040239E" w:rsidRPr="00B97336" w:rsidRDefault="0040239E" w:rsidP="0040239E">
      <w:pPr>
        <w:pStyle w:val="Default"/>
        <w:numPr>
          <w:ilvl w:val="0"/>
          <w:numId w:val="35"/>
        </w:numPr>
        <w:adjustRightInd w:val="0"/>
        <w:ind w:left="567" w:hanging="567"/>
        <w:jc w:val="both"/>
        <w:rPr>
          <w:color w:val="auto"/>
        </w:rPr>
      </w:pPr>
      <w:r w:rsidRPr="00B97336">
        <w:rPr>
          <w:b/>
          <w:bCs/>
          <w:color w:val="auto"/>
        </w:rPr>
        <w:t>Predmet návrhu zákon</w:t>
      </w:r>
      <w:r>
        <w:rPr>
          <w:b/>
          <w:bCs/>
          <w:color w:val="auto"/>
        </w:rPr>
        <w:t>a </w:t>
      </w:r>
      <w:r w:rsidRPr="00B97336">
        <w:rPr>
          <w:b/>
          <w:bCs/>
          <w:color w:val="auto"/>
        </w:rPr>
        <w:t xml:space="preserve">je upravený </w:t>
      </w:r>
      <w:r>
        <w:rPr>
          <w:b/>
          <w:bCs/>
          <w:color w:val="auto"/>
        </w:rPr>
        <w:t>v </w:t>
      </w:r>
      <w:r w:rsidRPr="00B97336">
        <w:rPr>
          <w:b/>
          <w:bCs/>
          <w:color w:val="auto"/>
        </w:rPr>
        <w:t>práve Európskej únie</w:t>
      </w:r>
      <w:r w:rsidRPr="00B97336">
        <w:rPr>
          <w:color w:val="auto"/>
        </w:rPr>
        <w:t xml:space="preserve">: </w:t>
      </w:r>
    </w:p>
    <w:p w14:paraId="439C7B78" w14:textId="77777777" w:rsidR="0040239E" w:rsidRPr="00B97336" w:rsidRDefault="0040239E" w:rsidP="0040239E">
      <w:pPr>
        <w:pStyle w:val="Default"/>
        <w:numPr>
          <w:ilvl w:val="0"/>
          <w:numId w:val="36"/>
        </w:numPr>
        <w:adjustRightInd w:val="0"/>
        <w:ind w:left="1134" w:hanging="567"/>
        <w:jc w:val="both"/>
        <w:rPr>
          <w:color w:val="auto"/>
        </w:rPr>
      </w:pPr>
      <w:r>
        <w:rPr>
          <w:color w:val="auto"/>
        </w:rPr>
        <w:t>v </w:t>
      </w:r>
      <w:r w:rsidRPr="00B97336">
        <w:rPr>
          <w:color w:val="auto"/>
        </w:rPr>
        <w:t>primárnom práve</w:t>
      </w:r>
    </w:p>
    <w:p w14:paraId="6539936B" w14:textId="77777777" w:rsidR="0040239E" w:rsidRPr="00B97336" w:rsidRDefault="0040239E" w:rsidP="0040239E">
      <w:pPr>
        <w:pStyle w:val="Default"/>
        <w:numPr>
          <w:ilvl w:val="0"/>
          <w:numId w:val="39"/>
        </w:numPr>
        <w:adjustRightInd w:val="0"/>
        <w:ind w:left="1701" w:hanging="567"/>
        <w:jc w:val="both"/>
        <w:rPr>
          <w:color w:val="auto"/>
        </w:rPr>
      </w:pPr>
      <w:r w:rsidRPr="2A960CE0">
        <w:rPr>
          <w:color w:val="auto"/>
        </w:rPr>
        <w:t>Zmluva o fungovaní Európskej únie (</w:t>
      </w:r>
      <w:r>
        <w:t>čl. 107 a 108</w:t>
      </w:r>
      <w:r>
        <w:rPr>
          <w:color w:val="auto"/>
        </w:rPr>
        <w:t>)</w:t>
      </w:r>
    </w:p>
    <w:p w14:paraId="6CD96522" w14:textId="77777777" w:rsidR="0040239E" w:rsidRPr="00B97336" w:rsidRDefault="0040239E" w:rsidP="0040239E">
      <w:pPr>
        <w:jc w:val="both"/>
      </w:pPr>
    </w:p>
    <w:p w14:paraId="6B09AD74" w14:textId="77777777" w:rsidR="0040239E" w:rsidRDefault="0040239E" w:rsidP="0040239E">
      <w:pPr>
        <w:pStyle w:val="Default"/>
        <w:numPr>
          <w:ilvl w:val="0"/>
          <w:numId w:val="36"/>
        </w:numPr>
        <w:adjustRightInd w:val="0"/>
        <w:ind w:left="1134" w:hanging="567"/>
        <w:jc w:val="both"/>
        <w:rPr>
          <w:color w:val="auto"/>
        </w:rPr>
      </w:pPr>
      <w:r>
        <w:rPr>
          <w:color w:val="auto"/>
        </w:rPr>
        <w:t>v sekundárnom práve</w:t>
      </w:r>
    </w:p>
    <w:p w14:paraId="6D502EC1" w14:textId="77777777" w:rsidR="0040239E" w:rsidRPr="00185E7F" w:rsidRDefault="0040239E" w:rsidP="0040239E">
      <w:pPr>
        <w:pStyle w:val="Default"/>
        <w:numPr>
          <w:ilvl w:val="0"/>
          <w:numId w:val="39"/>
        </w:numPr>
        <w:adjustRightInd w:val="0"/>
        <w:ind w:left="1701" w:hanging="567"/>
        <w:jc w:val="both"/>
        <w:rPr>
          <w:color w:val="auto"/>
        </w:rPr>
      </w:pPr>
      <w:r w:rsidRPr="008E1375">
        <w:t xml:space="preserve">nariadenie Komisie (EÚ) č. 651/2014 zo 17. júna 2014 o vyhlásení určitých kategórií pomoci za zlučiteľné s vnútorným trhom podľa článkov 107 a 108 zmluvy (Ú. v. EÚ L 187, 26.6.2014) v platnom znení </w:t>
      </w:r>
      <w:r w:rsidRPr="0004081F">
        <w:t>- gestor: Ministerstvo dopravy Slovenskej republiky, Ministerstvo financií Slovenskej republiky, Ministerstvo životného prostredia Slovenskej republiky, Ministerstvo hospodárstva Slovenskej republiky, Ministerstvo pôdohospodárstva a rozvoja vidieka Slovenskej republiky, Ministerstvo práce, sociálnych veci a rodiny Slovenskej republiky, Ministerstvo školstva, výskumu, vývoja a mládeže Slovenskej republiky, Ministerstvo kultúry Slovenskej republiky, Ministerstvo cestovného ruchu a športu Slovenskej republiky</w:t>
      </w:r>
      <w:r>
        <w:t>,</w:t>
      </w:r>
    </w:p>
    <w:p w14:paraId="381E8671" w14:textId="77777777" w:rsidR="0040239E" w:rsidRPr="008E1375" w:rsidRDefault="0040239E" w:rsidP="0040239E">
      <w:pPr>
        <w:widowControl/>
        <w:numPr>
          <w:ilvl w:val="0"/>
          <w:numId w:val="39"/>
        </w:numPr>
        <w:autoSpaceDE/>
        <w:autoSpaceDN/>
        <w:adjustRightInd/>
        <w:ind w:left="1701" w:hanging="567"/>
        <w:jc w:val="both"/>
      </w:pPr>
      <w:r w:rsidRPr="008E1375">
        <w:t>nariadenie Európskeho parlamentu a Rady (EÚ) 2018/1139 zo 4. júla 2018 o spoločných pravidlách v oblasti civilného letectva, ktorým sa zriaďuje Agentúra Európskej únie pre bezpečnosť letectva a ktorým sa menia nariadenia Európskeho parlamentu a Rady (ES)</w:t>
      </w:r>
      <w:r>
        <w:t xml:space="preserve"> č. </w:t>
      </w:r>
      <w:r w:rsidRPr="008E1375">
        <w:t>2111/2005, (ES)</w:t>
      </w:r>
      <w:r>
        <w:t xml:space="preserve"> č. </w:t>
      </w:r>
      <w:r w:rsidRPr="008E1375">
        <w:t>1008/2008, (EÚ)</w:t>
      </w:r>
      <w:r>
        <w:t xml:space="preserve"> č. </w:t>
      </w:r>
      <w:r w:rsidRPr="008E1375">
        <w:t>996/2010, (EÚ)</w:t>
      </w:r>
      <w:r>
        <w:t xml:space="preserve"> č. </w:t>
      </w:r>
      <w:r w:rsidRPr="008E1375">
        <w:t>376/2014 a smernice Európskeho parlamentu a Rady 2014/30/EÚ a 2014/53/EÚ a zrušujú nariadenia Európskeho parlamentu a Rady (ES)</w:t>
      </w:r>
      <w:r>
        <w:t xml:space="preserve"> č. </w:t>
      </w:r>
      <w:r w:rsidRPr="008E1375">
        <w:t>552/2004 a (ES)</w:t>
      </w:r>
      <w:r>
        <w:t xml:space="preserve"> č. </w:t>
      </w:r>
      <w:r w:rsidRPr="008E1375">
        <w:t>216/2008 a nariadenie Rady (EHS)</w:t>
      </w:r>
      <w:r>
        <w:t xml:space="preserve"> č. </w:t>
      </w:r>
      <w:r w:rsidRPr="008E1375">
        <w:t>3922/91 (</w:t>
      </w:r>
      <w:r>
        <w:t>Ú. v.</w:t>
      </w:r>
      <w:r w:rsidRPr="008E1375">
        <w:t xml:space="preserve"> EÚ</w:t>
      </w:r>
      <w:r>
        <w:t xml:space="preserve"> L </w:t>
      </w:r>
      <w:r w:rsidRPr="008E1375">
        <w:t>212, 22.08.2018) v platnom znení - gestor: Ministerstvo dopravy Slovenskej republiky, Dopravný úrad, Úrad pre normalizáciu, metrológiu a skúšobníctvo Slovenskej republiky</w:t>
      </w:r>
    </w:p>
    <w:p w14:paraId="06187F49" w14:textId="77777777" w:rsidR="0040239E" w:rsidRPr="00B97336" w:rsidRDefault="0040239E" w:rsidP="0040239E">
      <w:pPr>
        <w:pStyle w:val="Default"/>
        <w:jc w:val="both"/>
        <w:rPr>
          <w:color w:val="auto"/>
        </w:rPr>
      </w:pPr>
    </w:p>
    <w:p w14:paraId="74D7CC03" w14:textId="77777777" w:rsidR="0040239E" w:rsidRDefault="0040239E" w:rsidP="0040239E">
      <w:pPr>
        <w:pStyle w:val="Default"/>
        <w:numPr>
          <w:ilvl w:val="0"/>
          <w:numId w:val="36"/>
        </w:numPr>
        <w:adjustRightInd w:val="0"/>
        <w:ind w:left="1134" w:hanging="567"/>
        <w:jc w:val="both"/>
        <w:rPr>
          <w:color w:val="auto"/>
        </w:rPr>
      </w:pPr>
      <w:r>
        <w:rPr>
          <w:color w:val="auto"/>
        </w:rPr>
        <w:t>v </w:t>
      </w:r>
      <w:r w:rsidRPr="00B97336">
        <w:rPr>
          <w:color w:val="auto"/>
        </w:rPr>
        <w:t>judikatúre Súdneh</w:t>
      </w:r>
      <w:r>
        <w:rPr>
          <w:color w:val="auto"/>
        </w:rPr>
        <w:t>o </w:t>
      </w:r>
      <w:r w:rsidRPr="00B97336">
        <w:rPr>
          <w:color w:val="auto"/>
        </w:rPr>
        <w:t>dvor</w:t>
      </w:r>
      <w:r>
        <w:rPr>
          <w:color w:val="auto"/>
        </w:rPr>
        <w:t>a </w:t>
      </w:r>
      <w:r w:rsidRPr="00B97336">
        <w:rPr>
          <w:color w:val="auto"/>
        </w:rPr>
        <w:t>Európskej únie napr.</w:t>
      </w:r>
    </w:p>
    <w:p w14:paraId="15BA8DA6" w14:textId="77777777" w:rsidR="0040239E" w:rsidRDefault="0040239E" w:rsidP="0040239E">
      <w:pPr>
        <w:pStyle w:val="Default"/>
        <w:numPr>
          <w:ilvl w:val="0"/>
          <w:numId w:val="38"/>
        </w:numPr>
        <w:adjustRightInd w:val="0"/>
        <w:ind w:left="1701" w:hanging="567"/>
        <w:rPr>
          <w:color w:val="auto"/>
        </w:rPr>
      </w:pPr>
      <w:r>
        <w:rPr>
          <w:color w:val="auto"/>
        </w:rPr>
        <w:t>Rozsudok Všeobecného súdu (ôsma rozšírená komora) z 25. januára 2018,</w:t>
      </w:r>
    </w:p>
    <w:p w14:paraId="30D8C4D7" w14:textId="77777777" w:rsidR="0040239E" w:rsidRDefault="0040239E" w:rsidP="0040239E">
      <w:pPr>
        <w:pStyle w:val="Default"/>
        <w:ind w:left="1701"/>
        <w:jc w:val="both"/>
        <w:rPr>
          <w:color w:val="auto"/>
        </w:rPr>
      </w:pPr>
      <w:proofErr w:type="spellStart"/>
      <w:r>
        <w:rPr>
          <w:color w:val="auto"/>
        </w:rPr>
        <w:t>Brussels</w:t>
      </w:r>
      <w:proofErr w:type="spellEnd"/>
      <w:r>
        <w:rPr>
          <w:color w:val="auto"/>
        </w:rPr>
        <w:t xml:space="preserve"> South </w:t>
      </w:r>
      <w:proofErr w:type="spellStart"/>
      <w:r>
        <w:rPr>
          <w:color w:val="auto"/>
        </w:rPr>
        <w:t>Charleroi</w:t>
      </w:r>
      <w:proofErr w:type="spellEnd"/>
      <w:r>
        <w:rPr>
          <w:color w:val="auto"/>
        </w:rPr>
        <w:t xml:space="preserve"> </w:t>
      </w:r>
      <w:proofErr w:type="spellStart"/>
      <w:r>
        <w:rPr>
          <w:color w:val="auto"/>
        </w:rPr>
        <w:t>Airport</w:t>
      </w:r>
      <w:proofErr w:type="spellEnd"/>
      <w:r>
        <w:rPr>
          <w:color w:val="auto"/>
        </w:rPr>
        <w:t xml:space="preserve"> (BSCA) proti Európska komisia (vec T-818/14)</w:t>
      </w:r>
    </w:p>
    <w:p w14:paraId="0704340A" w14:textId="77777777" w:rsidR="0040239E" w:rsidRPr="00B97336" w:rsidRDefault="0040239E" w:rsidP="0040239E">
      <w:pPr>
        <w:pStyle w:val="Default"/>
        <w:jc w:val="both"/>
        <w:rPr>
          <w:color w:val="auto"/>
        </w:rPr>
      </w:pPr>
    </w:p>
    <w:p w14:paraId="474D257F" w14:textId="77777777" w:rsidR="0040239E" w:rsidRPr="00B97336" w:rsidRDefault="0040239E" w:rsidP="0040239E">
      <w:pPr>
        <w:pStyle w:val="Default"/>
        <w:numPr>
          <w:ilvl w:val="0"/>
          <w:numId w:val="35"/>
        </w:numPr>
        <w:adjustRightInd w:val="0"/>
        <w:ind w:left="567" w:hanging="567"/>
        <w:jc w:val="both"/>
        <w:rPr>
          <w:color w:val="auto"/>
        </w:rPr>
      </w:pPr>
      <w:r w:rsidRPr="00B97336">
        <w:rPr>
          <w:b/>
          <w:bCs/>
          <w:color w:val="auto"/>
        </w:rPr>
        <w:t>Záväzky Slovenskej republiky v</w:t>
      </w:r>
      <w:r>
        <w:rPr>
          <w:b/>
          <w:bCs/>
          <w:color w:val="auto"/>
        </w:rPr>
        <w:t>o </w:t>
      </w:r>
      <w:r w:rsidRPr="00B97336">
        <w:rPr>
          <w:b/>
          <w:bCs/>
          <w:color w:val="auto"/>
        </w:rPr>
        <w:t xml:space="preserve">vzťahu </w:t>
      </w:r>
      <w:r>
        <w:rPr>
          <w:b/>
          <w:bCs/>
          <w:color w:val="auto"/>
        </w:rPr>
        <w:t>k </w:t>
      </w:r>
      <w:r w:rsidRPr="00B97336">
        <w:rPr>
          <w:b/>
          <w:bCs/>
          <w:color w:val="auto"/>
        </w:rPr>
        <w:t>Európskej únii</w:t>
      </w:r>
      <w:r w:rsidRPr="00B97336">
        <w:rPr>
          <w:color w:val="auto"/>
        </w:rPr>
        <w:t xml:space="preserve">: </w:t>
      </w:r>
    </w:p>
    <w:p w14:paraId="75A44603" w14:textId="77777777" w:rsidR="0040239E" w:rsidRPr="00B97336" w:rsidRDefault="0040239E" w:rsidP="0040239E">
      <w:pPr>
        <w:pStyle w:val="Default"/>
        <w:numPr>
          <w:ilvl w:val="0"/>
          <w:numId w:val="37"/>
        </w:numPr>
        <w:adjustRightInd w:val="0"/>
        <w:ind w:left="1134" w:hanging="567"/>
        <w:jc w:val="both"/>
        <w:rPr>
          <w:color w:val="auto"/>
        </w:rPr>
      </w:pPr>
      <w:r w:rsidRPr="00B97336">
        <w:rPr>
          <w:color w:val="auto"/>
        </w:rPr>
        <w:t>uviesť lehotu n</w:t>
      </w:r>
      <w:r>
        <w:rPr>
          <w:color w:val="auto"/>
        </w:rPr>
        <w:t>a </w:t>
      </w:r>
      <w:r w:rsidRPr="00B97336">
        <w:rPr>
          <w:color w:val="auto"/>
        </w:rPr>
        <w:t>prebranie príslušnéh</w:t>
      </w:r>
      <w:r>
        <w:rPr>
          <w:color w:val="auto"/>
        </w:rPr>
        <w:t>o </w:t>
      </w:r>
      <w:r w:rsidRPr="00B97336">
        <w:rPr>
          <w:color w:val="auto"/>
        </w:rPr>
        <w:t>právneh</w:t>
      </w:r>
      <w:r>
        <w:rPr>
          <w:color w:val="auto"/>
        </w:rPr>
        <w:t>o </w:t>
      </w:r>
      <w:r w:rsidRPr="00B97336">
        <w:rPr>
          <w:color w:val="auto"/>
        </w:rPr>
        <w:t>aktu Európskej únie, príp. aj osobitnú lehotu účinnosti jeh</w:t>
      </w:r>
      <w:r>
        <w:rPr>
          <w:color w:val="auto"/>
        </w:rPr>
        <w:t>o </w:t>
      </w:r>
      <w:r w:rsidRPr="00B97336">
        <w:rPr>
          <w:color w:val="auto"/>
        </w:rPr>
        <w:t xml:space="preserve">ustanovení </w:t>
      </w:r>
    </w:p>
    <w:p w14:paraId="3A1EC8DE" w14:textId="77777777" w:rsidR="0040239E" w:rsidRDefault="0040239E" w:rsidP="0040239E">
      <w:pPr>
        <w:widowControl/>
        <w:numPr>
          <w:ilvl w:val="0"/>
          <w:numId w:val="38"/>
        </w:numPr>
        <w:autoSpaceDE/>
        <w:autoSpaceDN/>
        <w:adjustRightInd/>
        <w:ind w:left="1701" w:hanging="567"/>
        <w:jc w:val="both"/>
      </w:pPr>
      <w:r w:rsidRPr="008E1375">
        <w:rPr>
          <w:lang w:eastAsia="ar-SA"/>
        </w:rPr>
        <w:t xml:space="preserve">nariadenie (EÚ) č. </w:t>
      </w:r>
      <w:r w:rsidRPr="008E1375">
        <w:t>651/2014 v platnom znení – 1. júl 2014</w:t>
      </w:r>
      <w:r>
        <w:t>,</w:t>
      </w:r>
    </w:p>
    <w:p w14:paraId="4A0CB627" w14:textId="77777777" w:rsidR="0040239E" w:rsidRDefault="0040239E" w:rsidP="0040239E">
      <w:pPr>
        <w:widowControl/>
        <w:numPr>
          <w:ilvl w:val="0"/>
          <w:numId w:val="38"/>
        </w:numPr>
        <w:autoSpaceDE/>
        <w:autoSpaceDN/>
        <w:adjustRightInd/>
        <w:ind w:left="1701" w:hanging="567"/>
        <w:jc w:val="both"/>
      </w:pPr>
      <w:r w:rsidRPr="008E1375">
        <w:t>nariadenie (EÚ) 2018/1139 v platnom znení – 11. september 2018</w:t>
      </w:r>
    </w:p>
    <w:p w14:paraId="64B4D746" w14:textId="77777777" w:rsidR="0040239E" w:rsidRPr="00B97336" w:rsidRDefault="0040239E" w:rsidP="0040239E">
      <w:pPr>
        <w:pStyle w:val="Default"/>
        <w:numPr>
          <w:ilvl w:val="0"/>
          <w:numId w:val="37"/>
        </w:numPr>
        <w:adjustRightInd w:val="0"/>
        <w:ind w:left="1134" w:hanging="567"/>
        <w:jc w:val="both"/>
        <w:rPr>
          <w:color w:val="auto"/>
        </w:rPr>
      </w:pPr>
      <w:r w:rsidRPr="00B97336">
        <w:rPr>
          <w:color w:val="auto"/>
        </w:rPr>
        <w:t xml:space="preserve">uviesť informáciu </w:t>
      </w:r>
      <w:r>
        <w:rPr>
          <w:color w:val="auto"/>
        </w:rPr>
        <w:t>o </w:t>
      </w:r>
      <w:r w:rsidRPr="00B97336">
        <w:rPr>
          <w:color w:val="auto"/>
        </w:rPr>
        <w:t>začatí konani</w:t>
      </w:r>
      <w:r>
        <w:rPr>
          <w:color w:val="auto"/>
        </w:rPr>
        <w:t>a v </w:t>
      </w:r>
      <w:r w:rsidRPr="00B97336">
        <w:rPr>
          <w:color w:val="auto"/>
        </w:rPr>
        <w:t>rámci „EÚ Pilot“ aleb</w:t>
      </w:r>
      <w:r>
        <w:rPr>
          <w:color w:val="auto"/>
        </w:rPr>
        <w:t>o o </w:t>
      </w:r>
      <w:r w:rsidRPr="00B97336">
        <w:rPr>
          <w:color w:val="auto"/>
        </w:rPr>
        <w:t>začatí postupu Európskej komisie, aleb</w:t>
      </w:r>
      <w:r>
        <w:rPr>
          <w:color w:val="auto"/>
        </w:rPr>
        <w:t>o o </w:t>
      </w:r>
      <w:r w:rsidRPr="00B97336">
        <w:rPr>
          <w:color w:val="auto"/>
        </w:rPr>
        <w:t>konaní Súdneh</w:t>
      </w:r>
      <w:r>
        <w:rPr>
          <w:color w:val="auto"/>
        </w:rPr>
        <w:t>o </w:t>
      </w:r>
      <w:r w:rsidRPr="00B97336">
        <w:rPr>
          <w:color w:val="auto"/>
        </w:rPr>
        <w:t>dvor</w:t>
      </w:r>
      <w:r>
        <w:rPr>
          <w:color w:val="auto"/>
        </w:rPr>
        <w:t>a </w:t>
      </w:r>
      <w:r w:rsidRPr="00B97336">
        <w:rPr>
          <w:color w:val="auto"/>
        </w:rPr>
        <w:t>Európskej únie proti Slovenskej republike podľ</w:t>
      </w:r>
      <w:r>
        <w:rPr>
          <w:color w:val="auto"/>
        </w:rPr>
        <w:t>a </w:t>
      </w:r>
      <w:r w:rsidRPr="00B97336">
        <w:rPr>
          <w:color w:val="auto"/>
        </w:rPr>
        <w:t xml:space="preserve">čl. 258 </w:t>
      </w:r>
      <w:r>
        <w:rPr>
          <w:color w:val="auto"/>
        </w:rPr>
        <w:t>a </w:t>
      </w:r>
      <w:r w:rsidRPr="00B97336">
        <w:rPr>
          <w:color w:val="auto"/>
        </w:rPr>
        <w:t xml:space="preserve">260 Zmluvy </w:t>
      </w:r>
      <w:r>
        <w:rPr>
          <w:color w:val="auto"/>
        </w:rPr>
        <w:t>o </w:t>
      </w:r>
      <w:r w:rsidRPr="00B97336">
        <w:rPr>
          <w:color w:val="auto"/>
        </w:rPr>
        <w:t xml:space="preserve">fungovaní Európskej únie </w:t>
      </w:r>
      <w:r>
        <w:rPr>
          <w:color w:val="auto"/>
        </w:rPr>
        <w:t>v </w:t>
      </w:r>
      <w:r w:rsidRPr="00B97336">
        <w:rPr>
          <w:color w:val="auto"/>
        </w:rPr>
        <w:t xml:space="preserve">jej platnom znení, spolu </w:t>
      </w:r>
      <w:r>
        <w:rPr>
          <w:color w:val="auto"/>
        </w:rPr>
        <w:t>s </w:t>
      </w:r>
      <w:r w:rsidRPr="00B97336">
        <w:rPr>
          <w:color w:val="auto"/>
        </w:rPr>
        <w:t>uvedením konkrétnych vytýkaných nedostatko</w:t>
      </w:r>
      <w:r>
        <w:rPr>
          <w:color w:val="auto"/>
        </w:rPr>
        <w:t>v a </w:t>
      </w:r>
      <w:r w:rsidRPr="00B97336">
        <w:rPr>
          <w:color w:val="auto"/>
        </w:rPr>
        <w:t>požiadavie</w:t>
      </w:r>
      <w:r>
        <w:rPr>
          <w:color w:val="auto"/>
        </w:rPr>
        <w:t>k </w:t>
      </w:r>
      <w:r w:rsidRPr="00B97336">
        <w:rPr>
          <w:color w:val="auto"/>
        </w:rPr>
        <w:t>n</w:t>
      </w:r>
      <w:r>
        <w:rPr>
          <w:color w:val="auto"/>
        </w:rPr>
        <w:t>a </w:t>
      </w:r>
      <w:r w:rsidRPr="00B97336">
        <w:rPr>
          <w:color w:val="auto"/>
        </w:rPr>
        <w:t>zabezpečenie nápravy s</w:t>
      </w:r>
      <w:r>
        <w:rPr>
          <w:color w:val="auto"/>
        </w:rPr>
        <w:t>o </w:t>
      </w:r>
      <w:r w:rsidRPr="00B97336">
        <w:rPr>
          <w:color w:val="auto"/>
        </w:rPr>
        <w:t>zreteľom n</w:t>
      </w:r>
      <w:r>
        <w:rPr>
          <w:color w:val="auto"/>
        </w:rPr>
        <w:t>a </w:t>
      </w:r>
      <w:r w:rsidRPr="00B97336">
        <w:rPr>
          <w:color w:val="auto"/>
        </w:rPr>
        <w:t>nariadenie Európskeh</w:t>
      </w:r>
      <w:r>
        <w:rPr>
          <w:color w:val="auto"/>
        </w:rPr>
        <w:t>o </w:t>
      </w:r>
      <w:r w:rsidRPr="00B97336">
        <w:rPr>
          <w:color w:val="auto"/>
        </w:rPr>
        <w:t xml:space="preserve">parlamentu </w:t>
      </w:r>
      <w:r>
        <w:rPr>
          <w:color w:val="auto"/>
        </w:rPr>
        <w:t>a </w:t>
      </w:r>
      <w:r w:rsidRPr="00B97336">
        <w:rPr>
          <w:color w:val="auto"/>
        </w:rPr>
        <w:t xml:space="preserve">Rady (ES) </w:t>
      </w:r>
      <w:r>
        <w:rPr>
          <w:color w:val="auto"/>
        </w:rPr>
        <w:t>č. </w:t>
      </w:r>
      <w:r w:rsidRPr="00B97336">
        <w:rPr>
          <w:color w:val="auto"/>
        </w:rPr>
        <w:t xml:space="preserve">1049/2001 </w:t>
      </w:r>
      <w:r>
        <w:rPr>
          <w:color w:val="auto"/>
        </w:rPr>
        <w:t>z </w:t>
      </w:r>
      <w:r w:rsidRPr="00B97336">
        <w:rPr>
          <w:color w:val="auto"/>
        </w:rPr>
        <w:t>30. máj</w:t>
      </w:r>
      <w:r>
        <w:rPr>
          <w:color w:val="auto"/>
        </w:rPr>
        <w:t>a </w:t>
      </w:r>
      <w:r w:rsidRPr="00B97336">
        <w:rPr>
          <w:color w:val="auto"/>
        </w:rPr>
        <w:t xml:space="preserve">2001 </w:t>
      </w:r>
      <w:r>
        <w:rPr>
          <w:color w:val="auto"/>
        </w:rPr>
        <w:t>o </w:t>
      </w:r>
      <w:r w:rsidRPr="00B97336">
        <w:rPr>
          <w:color w:val="auto"/>
        </w:rPr>
        <w:t xml:space="preserve">prístupe verejnosti </w:t>
      </w:r>
      <w:r>
        <w:rPr>
          <w:color w:val="auto"/>
        </w:rPr>
        <w:t>k </w:t>
      </w:r>
      <w:r w:rsidRPr="00B97336">
        <w:rPr>
          <w:color w:val="auto"/>
        </w:rPr>
        <w:t>dokumentom Európskeh</w:t>
      </w:r>
      <w:r>
        <w:rPr>
          <w:color w:val="auto"/>
        </w:rPr>
        <w:t>o </w:t>
      </w:r>
      <w:r w:rsidRPr="00B97336">
        <w:rPr>
          <w:color w:val="auto"/>
        </w:rPr>
        <w:t xml:space="preserve">parlamentu, Rady </w:t>
      </w:r>
      <w:r>
        <w:rPr>
          <w:color w:val="auto"/>
        </w:rPr>
        <w:t>a </w:t>
      </w:r>
      <w:r w:rsidRPr="00B97336">
        <w:rPr>
          <w:color w:val="auto"/>
        </w:rPr>
        <w:t>Komisie</w:t>
      </w:r>
    </w:p>
    <w:p w14:paraId="08B381DC" w14:textId="77777777" w:rsidR="0040239E" w:rsidRPr="004E51AF" w:rsidRDefault="0040239E" w:rsidP="0040239E">
      <w:pPr>
        <w:pStyle w:val="Default"/>
        <w:numPr>
          <w:ilvl w:val="0"/>
          <w:numId w:val="38"/>
        </w:numPr>
        <w:adjustRightInd w:val="0"/>
        <w:ind w:left="1701" w:hanging="567"/>
        <w:jc w:val="both"/>
        <w:rPr>
          <w:color w:val="auto"/>
        </w:rPr>
      </w:pPr>
      <w:r>
        <w:rPr>
          <w:color w:val="auto"/>
        </w:rPr>
        <w:t>bezpredmetné,</w:t>
      </w:r>
    </w:p>
    <w:p w14:paraId="698977D6" w14:textId="77777777" w:rsidR="0040239E" w:rsidRPr="00B97336" w:rsidRDefault="0040239E" w:rsidP="0040239E">
      <w:pPr>
        <w:pStyle w:val="Default"/>
        <w:numPr>
          <w:ilvl w:val="0"/>
          <w:numId w:val="37"/>
        </w:numPr>
        <w:adjustRightInd w:val="0"/>
        <w:ind w:left="1134" w:hanging="567"/>
        <w:jc w:val="both"/>
        <w:rPr>
          <w:color w:val="auto"/>
        </w:rPr>
      </w:pPr>
      <w:r w:rsidRPr="00B97336">
        <w:rPr>
          <w:color w:val="auto"/>
        </w:rPr>
        <w:lastRenderedPageBreak/>
        <w:t xml:space="preserve">uviesť informáciu </w:t>
      </w:r>
      <w:r>
        <w:rPr>
          <w:color w:val="auto"/>
        </w:rPr>
        <w:t>o </w:t>
      </w:r>
      <w:r w:rsidRPr="00B97336">
        <w:rPr>
          <w:color w:val="auto"/>
        </w:rPr>
        <w:t xml:space="preserve">právnych predpisoch, </w:t>
      </w:r>
      <w:r>
        <w:rPr>
          <w:color w:val="auto"/>
        </w:rPr>
        <w:t>v </w:t>
      </w:r>
      <w:r w:rsidRPr="00B97336">
        <w:rPr>
          <w:color w:val="auto"/>
        </w:rPr>
        <w:t xml:space="preserve">ktorých sú uvádzané právne akty Európskej únie už prebrané, spolu </w:t>
      </w:r>
      <w:r>
        <w:rPr>
          <w:color w:val="auto"/>
        </w:rPr>
        <w:t>s </w:t>
      </w:r>
      <w:r w:rsidRPr="00B97336">
        <w:rPr>
          <w:color w:val="auto"/>
        </w:rPr>
        <w:t>uvedením rozsahu ich prebrania, príp. potreby prijati</w:t>
      </w:r>
      <w:r>
        <w:rPr>
          <w:color w:val="auto"/>
        </w:rPr>
        <w:t xml:space="preserve">a </w:t>
      </w:r>
      <w:r w:rsidRPr="00B97336">
        <w:rPr>
          <w:color w:val="auto"/>
        </w:rPr>
        <w:t>ďalších úpra</w:t>
      </w:r>
      <w:r>
        <w:rPr>
          <w:color w:val="auto"/>
        </w:rPr>
        <w:t>v </w:t>
      </w:r>
    </w:p>
    <w:p w14:paraId="59C73F4E" w14:textId="77777777" w:rsidR="0040239E" w:rsidRPr="00B97336" w:rsidRDefault="0040239E" w:rsidP="0040239E">
      <w:pPr>
        <w:pStyle w:val="Default"/>
        <w:numPr>
          <w:ilvl w:val="0"/>
          <w:numId w:val="38"/>
        </w:numPr>
        <w:autoSpaceDE/>
        <w:autoSpaceDN/>
        <w:ind w:left="1701" w:hanging="567"/>
        <w:jc w:val="both"/>
        <w:rPr>
          <w:color w:val="auto"/>
        </w:rPr>
      </w:pPr>
      <w:r>
        <w:rPr>
          <w:color w:val="auto"/>
        </w:rPr>
        <w:t>bezpredmetné</w:t>
      </w:r>
      <w:r w:rsidRPr="00B97336">
        <w:rPr>
          <w:color w:val="auto"/>
        </w:rPr>
        <w:t>.</w:t>
      </w:r>
    </w:p>
    <w:p w14:paraId="4BD4891F" w14:textId="77777777" w:rsidR="0040239E" w:rsidRPr="00B97336" w:rsidRDefault="0040239E" w:rsidP="0040239E">
      <w:pPr>
        <w:pStyle w:val="Default"/>
        <w:jc w:val="both"/>
        <w:rPr>
          <w:color w:val="auto"/>
        </w:rPr>
      </w:pPr>
    </w:p>
    <w:p w14:paraId="339D58C8" w14:textId="77777777" w:rsidR="0040239E" w:rsidRPr="00B97336" w:rsidRDefault="0040239E" w:rsidP="0040239E">
      <w:pPr>
        <w:pStyle w:val="Default"/>
        <w:keepNext/>
        <w:numPr>
          <w:ilvl w:val="0"/>
          <w:numId w:val="35"/>
        </w:numPr>
        <w:adjustRightInd w:val="0"/>
        <w:ind w:left="567" w:hanging="567"/>
        <w:jc w:val="both"/>
        <w:rPr>
          <w:color w:val="auto"/>
        </w:rPr>
      </w:pPr>
      <w:r w:rsidRPr="00B97336">
        <w:rPr>
          <w:b/>
          <w:bCs/>
          <w:color w:val="auto"/>
        </w:rPr>
        <w:t>Návrh zákon</w:t>
      </w:r>
      <w:r>
        <w:rPr>
          <w:b/>
          <w:bCs/>
          <w:color w:val="auto"/>
        </w:rPr>
        <w:t>a </w:t>
      </w:r>
      <w:r w:rsidRPr="00B97336">
        <w:rPr>
          <w:b/>
          <w:bCs/>
          <w:color w:val="auto"/>
        </w:rPr>
        <w:t xml:space="preserve">je zlučiteľný </w:t>
      </w:r>
      <w:r>
        <w:rPr>
          <w:b/>
          <w:bCs/>
          <w:color w:val="auto"/>
        </w:rPr>
        <w:t>s </w:t>
      </w:r>
      <w:r w:rsidRPr="00B97336">
        <w:rPr>
          <w:b/>
          <w:bCs/>
          <w:color w:val="auto"/>
        </w:rPr>
        <w:t>právom Európskej únie</w:t>
      </w:r>
      <w:r w:rsidRPr="00B97336">
        <w:rPr>
          <w:color w:val="auto"/>
        </w:rPr>
        <w:t xml:space="preserve">: </w:t>
      </w:r>
    </w:p>
    <w:p w14:paraId="3663C76D" w14:textId="77777777" w:rsidR="0040239E" w:rsidRPr="00B97336" w:rsidRDefault="0040239E" w:rsidP="0040239E">
      <w:pPr>
        <w:pStyle w:val="Default"/>
        <w:ind w:firstLine="567"/>
        <w:jc w:val="both"/>
        <w:rPr>
          <w:color w:val="auto"/>
        </w:rPr>
      </w:pPr>
      <w:r w:rsidRPr="00B97336">
        <w:rPr>
          <w:color w:val="auto"/>
        </w:rPr>
        <w:t>Úplne</w:t>
      </w:r>
    </w:p>
    <w:p w14:paraId="1DAB187F" w14:textId="518CD1DE" w:rsidR="0040239E" w:rsidRDefault="0040239E">
      <w:pPr>
        <w:widowControl/>
        <w:autoSpaceDE/>
        <w:autoSpaceDN/>
        <w:adjustRightInd/>
        <w:rPr>
          <w:sz w:val="28"/>
          <w:szCs w:val="28"/>
        </w:rPr>
      </w:pPr>
      <w:r>
        <w:rPr>
          <w:sz w:val="28"/>
          <w:szCs w:val="28"/>
        </w:rPr>
        <w:br w:type="page"/>
      </w:r>
    </w:p>
    <w:p w14:paraId="1F46A2FC" w14:textId="77777777" w:rsidR="0040239E" w:rsidRPr="0070747D" w:rsidRDefault="0040239E" w:rsidP="0040239E">
      <w:pPr>
        <w:pStyle w:val="Nzov"/>
        <w:contextualSpacing/>
        <w:jc w:val="left"/>
        <w:rPr>
          <w:b w:val="0"/>
          <w:bCs w:val="0"/>
          <w:sz w:val="24"/>
          <w:szCs w:val="24"/>
        </w:rPr>
      </w:pPr>
      <w:r w:rsidRPr="0070747D">
        <w:rPr>
          <w:sz w:val="24"/>
          <w:szCs w:val="24"/>
        </w:rPr>
        <w:lastRenderedPageBreak/>
        <w:t>Osobitná časť</w:t>
      </w:r>
    </w:p>
    <w:p w14:paraId="73E74EFF" w14:textId="77777777" w:rsidR="0040239E" w:rsidRPr="0070747D" w:rsidRDefault="0040239E" w:rsidP="0040239E">
      <w:pPr>
        <w:widowControl/>
        <w:outlineLvl w:val="0"/>
        <w:rPr>
          <w:b/>
          <w:bCs/>
          <w:sz w:val="24"/>
          <w:szCs w:val="24"/>
        </w:rPr>
      </w:pPr>
    </w:p>
    <w:p w14:paraId="0BCE8859" w14:textId="77777777" w:rsidR="0040239E" w:rsidRPr="0070747D" w:rsidRDefault="0040239E" w:rsidP="0040239E">
      <w:pPr>
        <w:keepNext/>
        <w:jc w:val="both"/>
        <w:rPr>
          <w:sz w:val="24"/>
          <w:szCs w:val="24"/>
        </w:rPr>
      </w:pPr>
      <w:r w:rsidRPr="0070747D">
        <w:rPr>
          <w:rFonts w:cs="Arial"/>
          <w:b/>
          <w:sz w:val="24"/>
          <w:szCs w:val="24"/>
        </w:rPr>
        <w:t>K</w:t>
      </w:r>
      <w:r>
        <w:rPr>
          <w:rFonts w:cs="Arial"/>
          <w:b/>
          <w:sz w:val="24"/>
          <w:szCs w:val="24"/>
        </w:rPr>
        <w:t> </w:t>
      </w:r>
      <w:r w:rsidRPr="0070747D">
        <w:rPr>
          <w:rFonts w:cs="Arial"/>
          <w:b/>
          <w:sz w:val="24"/>
          <w:szCs w:val="24"/>
        </w:rPr>
        <w:t>Čl.</w:t>
      </w:r>
      <w:r>
        <w:rPr>
          <w:rFonts w:cs="Arial"/>
          <w:b/>
          <w:sz w:val="24"/>
          <w:szCs w:val="24"/>
        </w:rPr>
        <w:t> </w:t>
      </w:r>
      <w:r w:rsidRPr="0070747D">
        <w:rPr>
          <w:rFonts w:cs="Arial"/>
          <w:b/>
          <w:sz w:val="24"/>
          <w:szCs w:val="24"/>
        </w:rPr>
        <w:t>I</w:t>
      </w:r>
    </w:p>
    <w:p w14:paraId="0D516D9D" w14:textId="77777777" w:rsidR="0040239E" w:rsidRPr="0070747D" w:rsidRDefault="0040239E" w:rsidP="0040239E">
      <w:pPr>
        <w:pStyle w:val="Zkladntext"/>
        <w:keepNext/>
        <w:spacing w:after="0"/>
        <w:jc w:val="both"/>
      </w:pPr>
    </w:p>
    <w:p w14:paraId="07E6EB1E" w14:textId="77777777" w:rsidR="0040239E" w:rsidRPr="0070747D" w:rsidRDefault="0040239E" w:rsidP="0040239E">
      <w:pPr>
        <w:keepNext/>
        <w:jc w:val="both"/>
        <w:outlineLvl w:val="0"/>
        <w:rPr>
          <w:b/>
          <w:sz w:val="24"/>
          <w:szCs w:val="24"/>
        </w:rPr>
      </w:pPr>
      <w:r>
        <w:rPr>
          <w:b/>
          <w:sz w:val="24"/>
          <w:szCs w:val="24"/>
        </w:rPr>
        <w:t>K bodu 1</w:t>
      </w:r>
    </w:p>
    <w:p w14:paraId="40D69186" w14:textId="77777777" w:rsidR="0040239E" w:rsidRPr="0070747D" w:rsidRDefault="0040239E" w:rsidP="0040239E">
      <w:pPr>
        <w:jc w:val="both"/>
        <w:rPr>
          <w:sz w:val="24"/>
          <w:szCs w:val="24"/>
        </w:rPr>
      </w:pPr>
      <w:r>
        <w:rPr>
          <w:sz w:val="24"/>
          <w:szCs w:val="24"/>
        </w:rPr>
        <w:t xml:space="preserve">V nadväznosti na bližšiu </w:t>
      </w:r>
      <w:r w:rsidRPr="00127585">
        <w:rPr>
          <w:sz w:val="24"/>
          <w:szCs w:val="24"/>
        </w:rPr>
        <w:t>špecifik</w:t>
      </w:r>
      <w:r>
        <w:rPr>
          <w:sz w:val="24"/>
          <w:szCs w:val="24"/>
        </w:rPr>
        <w:t>áciu</w:t>
      </w:r>
      <w:r w:rsidRPr="00127585">
        <w:rPr>
          <w:sz w:val="24"/>
          <w:szCs w:val="24"/>
        </w:rPr>
        <w:t xml:space="preserve"> letisk</w:t>
      </w:r>
      <w:r>
        <w:rPr>
          <w:sz w:val="24"/>
          <w:szCs w:val="24"/>
        </w:rPr>
        <w:t>a</w:t>
      </w:r>
      <w:r w:rsidRPr="00127585">
        <w:rPr>
          <w:sz w:val="24"/>
          <w:szCs w:val="24"/>
        </w:rPr>
        <w:t xml:space="preserve"> prevádzkované</w:t>
      </w:r>
      <w:r>
        <w:rPr>
          <w:sz w:val="24"/>
          <w:szCs w:val="24"/>
        </w:rPr>
        <w:t>ho</w:t>
      </w:r>
      <w:r w:rsidRPr="00127585">
        <w:rPr>
          <w:sz w:val="24"/>
          <w:szCs w:val="24"/>
        </w:rPr>
        <w:t xml:space="preserve"> letiskovou spoločnosťou</w:t>
      </w:r>
      <w:r>
        <w:rPr>
          <w:sz w:val="24"/>
          <w:szCs w:val="24"/>
        </w:rPr>
        <w:t xml:space="preserve"> v § 2 sa navrhuje doplniť definíciu pojmu „malé letisko“ priamo v zákone č. 136/2004 Z. z. Predmetná definícia zhŕňa </w:t>
      </w:r>
      <w:r>
        <w:rPr>
          <w:rFonts w:ascii="Times" w:hAnsi="Times" w:cs="Times"/>
          <w:sz w:val="25"/>
          <w:szCs w:val="25"/>
        </w:rPr>
        <w:t>oblasť obchodnej leteckej dopravy vzhľadom na skutočnosť, že letisková spoločnosť je právnická o</w:t>
      </w:r>
      <w:r w:rsidRPr="00BF3E2B">
        <w:rPr>
          <w:rFonts w:ascii="Times" w:hAnsi="Times" w:cs="Times"/>
          <w:sz w:val="25"/>
          <w:szCs w:val="25"/>
        </w:rPr>
        <w:t>soba, ktorá prevádzkuje verejné letisko,</w:t>
      </w:r>
      <w:r>
        <w:rPr>
          <w:rFonts w:ascii="Times" w:hAnsi="Times" w:cs="Times"/>
          <w:sz w:val="25"/>
          <w:szCs w:val="25"/>
        </w:rPr>
        <w:t xml:space="preserve"> </w:t>
      </w:r>
      <w:r w:rsidRPr="00BF3E2B">
        <w:rPr>
          <w:rFonts w:ascii="Times" w:hAnsi="Times" w:cs="Times"/>
          <w:sz w:val="25"/>
          <w:szCs w:val="25"/>
        </w:rPr>
        <w:t>z</w:t>
      </w:r>
      <w:r>
        <w:rPr>
          <w:rFonts w:ascii="Times" w:hAnsi="Times" w:cs="Times"/>
          <w:sz w:val="25"/>
          <w:szCs w:val="25"/>
        </w:rPr>
        <w:t> </w:t>
      </w:r>
      <w:r w:rsidRPr="00BF3E2B">
        <w:rPr>
          <w:rFonts w:ascii="Times" w:hAnsi="Times" w:cs="Times"/>
          <w:sz w:val="25"/>
          <w:szCs w:val="25"/>
        </w:rPr>
        <w:t>ktorého sa vykonáva obchodná letecká doprava</w:t>
      </w:r>
      <w:r>
        <w:rPr>
          <w:rFonts w:ascii="Times" w:hAnsi="Times" w:cs="Times"/>
          <w:sz w:val="25"/>
          <w:szCs w:val="25"/>
        </w:rPr>
        <w:t xml:space="preserve"> </w:t>
      </w:r>
      <w:r w:rsidRPr="00BF3E2B">
        <w:rPr>
          <w:rFonts w:ascii="Times" w:hAnsi="Times" w:cs="Times"/>
          <w:sz w:val="25"/>
          <w:szCs w:val="25"/>
        </w:rPr>
        <w:t>a</w:t>
      </w:r>
      <w:r>
        <w:rPr>
          <w:rFonts w:ascii="Times" w:hAnsi="Times" w:cs="Times"/>
          <w:sz w:val="25"/>
          <w:szCs w:val="25"/>
        </w:rPr>
        <w:t> </w:t>
      </w:r>
      <w:r w:rsidRPr="00BF3E2B">
        <w:rPr>
          <w:rFonts w:ascii="Times" w:hAnsi="Times" w:cs="Times"/>
          <w:sz w:val="25"/>
          <w:szCs w:val="25"/>
        </w:rPr>
        <w:t>ktorá poskytuje letiskové služby leteckým dopravcom</w:t>
      </w:r>
      <w:r>
        <w:rPr>
          <w:rFonts w:ascii="Times" w:hAnsi="Times" w:cs="Times"/>
          <w:sz w:val="25"/>
          <w:szCs w:val="25"/>
        </w:rPr>
        <w:t>.</w:t>
      </w:r>
    </w:p>
    <w:p w14:paraId="0299A14B" w14:textId="77777777" w:rsidR="0040239E" w:rsidRDefault="0040239E" w:rsidP="0040239E">
      <w:pPr>
        <w:jc w:val="both"/>
        <w:rPr>
          <w:sz w:val="24"/>
          <w:szCs w:val="24"/>
        </w:rPr>
      </w:pPr>
    </w:p>
    <w:p w14:paraId="5ACD6507" w14:textId="77777777" w:rsidR="0040239E" w:rsidRPr="0070747D" w:rsidRDefault="0040239E" w:rsidP="0040239E">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Pr>
          <w:b/>
          <w:sz w:val="24"/>
          <w:szCs w:val="24"/>
        </w:rPr>
        <w:t>2</w:t>
      </w:r>
    </w:p>
    <w:p w14:paraId="14A9B2E3" w14:textId="77777777" w:rsidR="0040239E" w:rsidRDefault="0040239E" w:rsidP="0040239E">
      <w:pPr>
        <w:jc w:val="both"/>
        <w:rPr>
          <w:bCs/>
          <w:iCs/>
          <w:sz w:val="24"/>
          <w:szCs w:val="24"/>
        </w:rPr>
      </w:pPr>
      <w:proofErr w:type="spellStart"/>
      <w:r w:rsidRPr="0070747D">
        <w:rPr>
          <w:sz w:val="24"/>
          <w:szCs w:val="24"/>
        </w:rPr>
        <w:t>Legislatívnotechnická</w:t>
      </w:r>
      <w:proofErr w:type="spellEnd"/>
      <w:r w:rsidRPr="0070747D">
        <w:rPr>
          <w:sz w:val="24"/>
          <w:szCs w:val="24"/>
        </w:rPr>
        <w:t xml:space="preserve"> úprava</w:t>
      </w:r>
      <w:r>
        <w:rPr>
          <w:sz w:val="24"/>
          <w:szCs w:val="24"/>
        </w:rPr>
        <w:t xml:space="preserve"> zohľadňujúca skutkový stav, keďže pôvodné </w:t>
      </w:r>
      <w:r w:rsidRPr="00C735A1">
        <w:rPr>
          <w:bCs/>
          <w:iCs/>
          <w:sz w:val="24"/>
          <w:szCs w:val="24"/>
        </w:rPr>
        <w:t>znenie § 3 ods. 5 zákona č.</w:t>
      </w:r>
      <w:r>
        <w:rPr>
          <w:bCs/>
          <w:iCs/>
          <w:sz w:val="24"/>
          <w:szCs w:val="24"/>
        </w:rPr>
        <w:t> </w:t>
      </w:r>
      <w:r w:rsidRPr="00C735A1">
        <w:rPr>
          <w:bCs/>
          <w:iCs/>
          <w:sz w:val="24"/>
          <w:szCs w:val="24"/>
        </w:rPr>
        <w:t>136/2004</w:t>
      </w:r>
      <w:r>
        <w:rPr>
          <w:bCs/>
          <w:iCs/>
          <w:sz w:val="24"/>
          <w:szCs w:val="24"/>
        </w:rPr>
        <w:t> Z. </w:t>
      </w:r>
      <w:r w:rsidRPr="00C735A1">
        <w:rPr>
          <w:bCs/>
          <w:iCs/>
          <w:sz w:val="24"/>
          <w:szCs w:val="24"/>
        </w:rPr>
        <w:t>z. nereflektovalo skutočnosť, že doteraz bol prioritný infraštruktúrny majetok vo</w:t>
      </w:r>
      <w:r>
        <w:rPr>
          <w:bCs/>
          <w:iCs/>
          <w:sz w:val="24"/>
          <w:szCs w:val="24"/>
        </w:rPr>
        <w:t> </w:t>
      </w:r>
      <w:r w:rsidRPr="00C735A1">
        <w:rPr>
          <w:bCs/>
          <w:iCs/>
          <w:sz w:val="24"/>
          <w:szCs w:val="24"/>
        </w:rPr>
        <w:t>vlastníctve letiskovej spoločnosti a podľa platnej právnej úpravy môže majetok dávať do nájmu len jeho vlastník.</w:t>
      </w:r>
      <w:r>
        <w:rPr>
          <w:bCs/>
          <w:iCs/>
          <w:sz w:val="24"/>
          <w:szCs w:val="24"/>
        </w:rPr>
        <w:t xml:space="preserve"> </w:t>
      </w:r>
    </w:p>
    <w:p w14:paraId="4D4063D0" w14:textId="77777777" w:rsidR="0040239E" w:rsidRPr="00C735A1" w:rsidRDefault="0040239E" w:rsidP="0040239E">
      <w:pPr>
        <w:jc w:val="both"/>
        <w:rPr>
          <w:bCs/>
          <w:iCs/>
          <w:sz w:val="24"/>
          <w:szCs w:val="24"/>
        </w:rPr>
      </w:pPr>
      <w:r>
        <w:rPr>
          <w:bCs/>
          <w:iCs/>
          <w:sz w:val="24"/>
          <w:szCs w:val="24"/>
        </w:rPr>
        <w:t xml:space="preserve">Zároveň sa upravuje, aký súhlas bude potrebný </w:t>
      </w:r>
      <w:r w:rsidRPr="00C735A1">
        <w:rPr>
          <w:bCs/>
          <w:iCs/>
          <w:sz w:val="24"/>
          <w:szCs w:val="24"/>
        </w:rPr>
        <w:t>na platnosť nájomnej zmluvy,</w:t>
      </w:r>
      <w:r>
        <w:rPr>
          <w:bCs/>
          <w:iCs/>
          <w:sz w:val="24"/>
          <w:szCs w:val="24"/>
        </w:rPr>
        <w:t xml:space="preserve"> </w:t>
      </w:r>
      <w:r w:rsidRPr="00C735A1">
        <w:rPr>
          <w:bCs/>
          <w:iCs/>
          <w:sz w:val="24"/>
          <w:szCs w:val="24"/>
        </w:rPr>
        <w:t>ak prioritný infraštruktúrny majetok prenecháva do nájmu letisková spoločnosť</w:t>
      </w:r>
      <w:r>
        <w:rPr>
          <w:bCs/>
          <w:iCs/>
          <w:sz w:val="24"/>
          <w:szCs w:val="24"/>
        </w:rPr>
        <w:t>. Ak bude platnosť nájomnej zmluvy najviac 360 mesiacov, s cieľom zjednotenia</w:t>
      </w:r>
      <w:r w:rsidRPr="00C735A1">
        <w:rPr>
          <w:bCs/>
          <w:iCs/>
          <w:sz w:val="24"/>
          <w:szCs w:val="24"/>
        </w:rPr>
        <w:t xml:space="preserve"> právnej úpravy </w:t>
      </w:r>
      <w:r>
        <w:rPr>
          <w:bCs/>
          <w:iCs/>
          <w:sz w:val="24"/>
          <w:szCs w:val="24"/>
        </w:rPr>
        <w:t>s </w:t>
      </w:r>
      <w:r w:rsidRPr="00C735A1">
        <w:rPr>
          <w:bCs/>
          <w:iCs/>
          <w:sz w:val="24"/>
          <w:szCs w:val="24"/>
        </w:rPr>
        <w:t>inými</w:t>
      </w:r>
      <w:r>
        <w:rPr>
          <w:bCs/>
          <w:iCs/>
          <w:sz w:val="24"/>
          <w:szCs w:val="24"/>
        </w:rPr>
        <w:t xml:space="preserve"> osobitnými právnymi predpismi </w:t>
      </w:r>
      <w:r w:rsidRPr="00C735A1">
        <w:rPr>
          <w:bCs/>
          <w:iCs/>
          <w:sz w:val="24"/>
          <w:szCs w:val="24"/>
        </w:rPr>
        <w:t>v</w:t>
      </w:r>
      <w:r>
        <w:rPr>
          <w:bCs/>
          <w:iCs/>
          <w:sz w:val="24"/>
          <w:szCs w:val="24"/>
        </w:rPr>
        <w:t> </w:t>
      </w:r>
      <w:r w:rsidRPr="00C735A1">
        <w:rPr>
          <w:bCs/>
          <w:iCs/>
          <w:sz w:val="24"/>
          <w:szCs w:val="24"/>
        </w:rPr>
        <w:t>pôsobnosti Ministerstva dopravy Slovenskej republiky,</w:t>
      </w:r>
      <w:r>
        <w:rPr>
          <w:bCs/>
          <w:iCs/>
          <w:sz w:val="24"/>
          <w:szCs w:val="24"/>
        </w:rPr>
        <w:t xml:space="preserve"> sa bude vyžadovať predchádzajúci súhlas Ministerstva dopravy Slovenskej republiky z pohľadu jeho pôsobnosti „akcionára“</w:t>
      </w:r>
      <w:r w:rsidRPr="00C735A1">
        <w:rPr>
          <w:bCs/>
          <w:iCs/>
          <w:sz w:val="24"/>
          <w:szCs w:val="24"/>
        </w:rPr>
        <w:t>.</w:t>
      </w:r>
      <w:r>
        <w:rPr>
          <w:bCs/>
          <w:iCs/>
          <w:sz w:val="24"/>
          <w:szCs w:val="24"/>
        </w:rPr>
        <w:t xml:space="preserve"> V prípade platnosti nájomnej zmluvy od 361 do 600 mesiacov sa bude vyžadovať predchádzajúci súhlas vlády Slovenskej republiky.</w:t>
      </w:r>
    </w:p>
    <w:p w14:paraId="3A4208FD" w14:textId="77777777" w:rsidR="0040239E" w:rsidRPr="0070747D" w:rsidRDefault="0040239E" w:rsidP="0040239E">
      <w:pPr>
        <w:jc w:val="both"/>
        <w:rPr>
          <w:sz w:val="24"/>
          <w:szCs w:val="24"/>
        </w:rPr>
      </w:pPr>
    </w:p>
    <w:p w14:paraId="125FB75E" w14:textId="77777777" w:rsidR="0040239E" w:rsidRPr="0070747D" w:rsidRDefault="0040239E" w:rsidP="0040239E">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Pr>
          <w:b/>
          <w:sz w:val="24"/>
          <w:szCs w:val="24"/>
        </w:rPr>
        <w:t>3</w:t>
      </w:r>
    </w:p>
    <w:p w14:paraId="7D0A425F" w14:textId="77777777" w:rsidR="0040239E" w:rsidRDefault="0040239E" w:rsidP="0040239E">
      <w:pPr>
        <w:jc w:val="both"/>
        <w:rPr>
          <w:bCs/>
          <w:sz w:val="24"/>
          <w:szCs w:val="24"/>
        </w:rPr>
      </w:pPr>
      <w:proofErr w:type="spellStart"/>
      <w:r w:rsidRPr="0070747D">
        <w:rPr>
          <w:sz w:val="24"/>
          <w:szCs w:val="24"/>
        </w:rPr>
        <w:t>Legislatívnotechnická</w:t>
      </w:r>
      <w:proofErr w:type="spellEnd"/>
      <w:r w:rsidRPr="0070747D">
        <w:rPr>
          <w:sz w:val="24"/>
          <w:szCs w:val="24"/>
        </w:rPr>
        <w:t xml:space="preserve"> úprava týkajúca sa precizovania textu</w:t>
      </w:r>
      <w:r>
        <w:rPr>
          <w:sz w:val="24"/>
          <w:szCs w:val="24"/>
        </w:rPr>
        <w:t xml:space="preserve"> a bližšej špecifikácie stavieb a zariadení, ktoré možno </w:t>
      </w:r>
      <w:r w:rsidRPr="00360BC1">
        <w:rPr>
          <w:sz w:val="24"/>
          <w:szCs w:val="24"/>
        </w:rPr>
        <w:t>zriadiť a prevádzkovať</w:t>
      </w:r>
      <w:r>
        <w:rPr>
          <w:sz w:val="24"/>
          <w:szCs w:val="24"/>
        </w:rPr>
        <w:t xml:space="preserve"> n</w:t>
      </w:r>
      <w:r w:rsidRPr="00360BC1">
        <w:rPr>
          <w:sz w:val="24"/>
          <w:szCs w:val="24"/>
        </w:rPr>
        <w:t>a prenajatom prioritnom infraštruktúrnom majetku</w:t>
      </w:r>
      <w:r>
        <w:rPr>
          <w:sz w:val="24"/>
          <w:szCs w:val="24"/>
        </w:rPr>
        <w:t>,</w:t>
      </w:r>
      <w:r w:rsidRPr="00360BC1">
        <w:rPr>
          <w:sz w:val="24"/>
          <w:szCs w:val="24"/>
        </w:rPr>
        <w:t xml:space="preserve"> </w:t>
      </w:r>
      <w:r>
        <w:rPr>
          <w:sz w:val="24"/>
          <w:szCs w:val="24"/>
        </w:rPr>
        <w:t xml:space="preserve">zohľadňujúc posledné novely zákona </w:t>
      </w:r>
      <w:r w:rsidRPr="00667E67">
        <w:rPr>
          <w:bCs/>
          <w:sz w:val="24"/>
          <w:szCs w:val="24"/>
        </w:rPr>
        <w:t xml:space="preserve">č. 143/1998 Z. z. o civilnom letectve (letecký zákon) a o zmene a doplnení niektorých zákonov v znení neskorších </w:t>
      </w:r>
      <w:r>
        <w:rPr>
          <w:bCs/>
          <w:sz w:val="24"/>
          <w:szCs w:val="24"/>
        </w:rPr>
        <w:t>predpisov (ďalej len „zákon č. 143/1998 Z. z.“), ako aj právne záväzné akty Európskej únie v civilnom letectve.</w:t>
      </w:r>
    </w:p>
    <w:p w14:paraId="0DA143AE" w14:textId="77777777" w:rsidR="0040239E" w:rsidRPr="00667E67" w:rsidRDefault="0040239E" w:rsidP="0040239E">
      <w:pPr>
        <w:jc w:val="both"/>
        <w:rPr>
          <w:sz w:val="24"/>
          <w:szCs w:val="24"/>
        </w:rPr>
      </w:pPr>
      <w:r>
        <w:rPr>
          <w:sz w:val="24"/>
          <w:szCs w:val="24"/>
        </w:rPr>
        <w:t>Pojmy „letisková stavba, „</w:t>
      </w:r>
      <w:r w:rsidRPr="00BA2CFF">
        <w:rPr>
          <w:sz w:val="24"/>
          <w:szCs w:val="24"/>
        </w:rPr>
        <w:t>stavb</w:t>
      </w:r>
      <w:r>
        <w:rPr>
          <w:sz w:val="24"/>
          <w:szCs w:val="24"/>
        </w:rPr>
        <w:t>a</w:t>
      </w:r>
      <w:r w:rsidRPr="00BA2CFF">
        <w:rPr>
          <w:sz w:val="24"/>
          <w:szCs w:val="24"/>
        </w:rPr>
        <w:t xml:space="preserve"> pre letecké pozemné zariadenia</w:t>
      </w:r>
      <w:r>
        <w:rPr>
          <w:sz w:val="24"/>
          <w:szCs w:val="24"/>
        </w:rPr>
        <w:t>“ a „</w:t>
      </w:r>
      <w:r w:rsidRPr="00BA2CFF">
        <w:rPr>
          <w:sz w:val="24"/>
          <w:szCs w:val="24"/>
        </w:rPr>
        <w:t>súčasti letiskovej stavby alebo stavby pre letecké pozemné zariadenie</w:t>
      </w:r>
      <w:r>
        <w:rPr>
          <w:sz w:val="24"/>
          <w:szCs w:val="24"/>
        </w:rPr>
        <w:t>“ sú definované v § 2 zákona č. 143/1998 Z. z. Pojem „</w:t>
      </w:r>
      <w:r w:rsidRPr="00BA2CFF">
        <w:rPr>
          <w:sz w:val="24"/>
          <w:szCs w:val="24"/>
        </w:rPr>
        <w:t>vybavenie letiska súvisiace s</w:t>
      </w:r>
      <w:r>
        <w:rPr>
          <w:sz w:val="24"/>
          <w:szCs w:val="24"/>
        </w:rPr>
        <w:t> </w:t>
      </w:r>
      <w:r w:rsidRPr="00BA2CFF">
        <w:rPr>
          <w:sz w:val="24"/>
          <w:szCs w:val="24"/>
        </w:rPr>
        <w:t>bezpečnosťou</w:t>
      </w:r>
      <w:r>
        <w:rPr>
          <w:sz w:val="24"/>
          <w:szCs w:val="24"/>
        </w:rPr>
        <w:t>“ je definovaný v čl. 35</w:t>
      </w:r>
      <w:r w:rsidRPr="00BA2CFF">
        <w:rPr>
          <w:sz w:val="24"/>
          <w:szCs w:val="24"/>
        </w:rPr>
        <w:t xml:space="preserve">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p w14:paraId="7EAE25C7" w14:textId="77777777" w:rsidR="0040239E" w:rsidRPr="0070747D" w:rsidRDefault="0040239E" w:rsidP="0040239E">
      <w:pPr>
        <w:jc w:val="both"/>
        <w:rPr>
          <w:sz w:val="24"/>
          <w:szCs w:val="24"/>
        </w:rPr>
      </w:pPr>
    </w:p>
    <w:p w14:paraId="79EC2CA4" w14:textId="77777777" w:rsidR="0040239E" w:rsidRPr="0070747D" w:rsidRDefault="0040239E" w:rsidP="0040239E">
      <w:pPr>
        <w:keepNext/>
        <w:jc w:val="both"/>
        <w:outlineLvl w:val="0"/>
        <w:rPr>
          <w:b/>
          <w:sz w:val="24"/>
          <w:szCs w:val="24"/>
        </w:rPr>
      </w:pPr>
      <w:r>
        <w:rPr>
          <w:b/>
          <w:sz w:val="24"/>
          <w:szCs w:val="24"/>
        </w:rPr>
        <w:t>K bodu 4</w:t>
      </w:r>
    </w:p>
    <w:p w14:paraId="74797866" w14:textId="77777777" w:rsidR="0040239E" w:rsidRDefault="0040239E" w:rsidP="0040239E">
      <w:pPr>
        <w:widowControl/>
        <w:jc w:val="both"/>
        <w:rPr>
          <w:bCs/>
          <w:sz w:val="24"/>
          <w:szCs w:val="24"/>
        </w:rPr>
      </w:pPr>
      <w:r w:rsidRPr="00582A93">
        <w:rPr>
          <w:bCs/>
          <w:sz w:val="24"/>
          <w:szCs w:val="24"/>
        </w:rPr>
        <w:t xml:space="preserve">Zohľadňujúc špecifickosť infraštruktúry civilného letectva a pozemkov pod nimi, ako aj stanovisko Európskej komisie, generálneho riaditeľstva pre hospodársku súťaž, je potrebné upraviť správu tohto majetku štátu odlišne od zákona </w:t>
      </w:r>
      <w:r>
        <w:rPr>
          <w:bCs/>
          <w:sz w:val="24"/>
          <w:szCs w:val="24"/>
        </w:rPr>
        <w:t xml:space="preserve">Národnej rady Slovenskej republiky </w:t>
      </w:r>
      <w:r w:rsidRPr="00582A93">
        <w:rPr>
          <w:bCs/>
          <w:sz w:val="24"/>
          <w:szCs w:val="24"/>
        </w:rPr>
        <w:t xml:space="preserve">č. 278/1993 Z. z. </w:t>
      </w:r>
      <w:r>
        <w:rPr>
          <w:bCs/>
          <w:sz w:val="24"/>
          <w:szCs w:val="24"/>
        </w:rPr>
        <w:t xml:space="preserve">o správe majetku štátu v znení neskorších predpisov </w:t>
      </w:r>
      <w:r w:rsidRPr="00582A93">
        <w:rPr>
          <w:bCs/>
          <w:sz w:val="24"/>
          <w:szCs w:val="24"/>
        </w:rPr>
        <w:t xml:space="preserve">a zároveň upraviť , že ustanovenia </w:t>
      </w:r>
      <w:r>
        <w:rPr>
          <w:bCs/>
          <w:sz w:val="24"/>
          <w:szCs w:val="24"/>
        </w:rPr>
        <w:t xml:space="preserve">tohto </w:t>
      </w:r>
      <w:r w:rsidRPr="00582A93">
        <w:rPr>
          <w:bCs/>
          <w:sz w:val="24"/>
          <w:szCs w:val="24"/>
        </w:rPr>
        <w:t>zákona o prebytočnosti majetku štátu, o dočasnej prebytočnosti majetku štátu, o odňatí správy majetku štátu, o centrálnej evidencii majetku štátu, o súhlase Ministerstva financií Slovenskej republiky na platnosť nakladania s majetkom štátu, o nájme majetku štátu, o možnosti zriadenia objektu na majetku štátu a o možnosti použitia majetku štátu ako vkladu do základného imania právnickej osoby alebo ako vkladu pri založení právnickej osoby sa na pozemky nebudú vzťahovať.</w:t>
      </w:r>
    </w:p>
    <w:p w14:paraId="730CE5C0" w14:textId="77777777" w:rsidR="0040239E" w:rsidRDefault="0040239E" w:rsidP="0040239E">
      <w:pPr>
        <w:widowControl/>
        <w:jc w:val="both"/>
        <w:rPr>
          <w:bCs/>
          <w:sz w:val="24"/>
          <w:szCs w:val="24"/>
        </w:rPr>
      </w:pPr>
      <w:r>
        <w:rPr>
          <w:bCs/>
          <w:sz w:val="24"/>
          <w:szCs w:val="24"/>
        </w:rPr>
        <w:lastRenderedPageBreak/>
        <w:t>V § 3a ods. 1 sa ustanovuje oprávnenie Ministerstva dopravy Slovenskej republiky, ako správcu majetku štátu, na nadobudnutie predmetných pozemkov do vlastníctva štátu. Vzhľadom na skutočnosť, že o pozemkoch má najviac informácií letisková spoločnosť, ktorá pozná miestne pomery, má vypracované rôzne posudky a analýzy, sa môže Ministerstvo dopravy Slovenskej republiky rozhodnúť uzatvoriť zmluvu s touto letiskovou spoločnosťou, na základe ktorej bude letisková spoločnosť konať v mene Ministerstva dopravy Slovenskej republiky v procese riešenia kúpy pozemkov. Takýto zmluvný vzťah môže mať pozitívny vplyv na verejné financie, keďže nebude potrebné zabezpečovať ďalšie analýzy, ktoré by s najväčšou pravdepodobnosť obsahovo zodpovedali už existujúcim analýzam, posudkom a pod.</w:t>
      </w:r>
    </w:p>
    <w:p w14:paraId="50D6EAF7" w14:textId="77777777" w:rsidR="0040239E" w:rsidRDefault="0040239E" w:rsidP="0040239E">
      <w:pPr>
        <w:widowControl/>
        <w:jc w:val="both"/>
        <w:rPr>
          <w:bCs/>
          <w:sz w:val="24"/>
          <w:szCs w:val="24"/>
        </w:rPr>
      </w:pPr>
      <w:r>
        <w:rPr>
          <w:bCs/>
          <w:sz w:val="24"/>
          <w:szCs w:val="24"/>
        </w:rPr>
        <w:t>Zohľadňujúc jedinú možnosť ako usporiadať vlastnícke práva k pozemkom, ktorá je Európskou komisiou, generálnym</w:t>
      </w:r>
      <w:r w:rsidRPr="00DB4180">
        <w:rPr>
          <w:bCs/>
          <w:sz w:val="24"/>
          <w:szCs w:val="24"/>
        </w:rPr>
        <w:t xml:space="preserve"> riaditeľstv</w:t>
      </w:r>
      <w:r>
        <w:rPr>
          <w:bCs/>
          <w:sz w:val="24"/>
          <w:szCs w:val="24"/>
        </w:rPr>
        <w:t>om</w:t>
      </w:r>
      <w:r w:rsidRPr="00DB4180">
        <w:rPr>
          <w:bCs/>
          <w:sz w:val="24"/>
          <w:szCs w:val="24"/>
        </w:rPr>
        <w:t xml:space="preserve"> pre hospodársku súťaž</w:t>
      </w:r>
      <w:r>
        <w:rPr>
          <w:bCs/>
          <w:sz w:val="24"/>
          <w:szCs w:val="24"/>
        </w:rPr>
        <w:t>, akceptovaná, bude Ministerstvo dopravy Slovenskej republiky podľa § 3a ods. 2 oprávnené už vykúpené pozemky do vlastníctva štátu prenajať letiskovej spoločnosti za trhové nájomné. Právne vzťahy budú upravené nájomnou zmluvou, ktorá bude podrobne popisovať povinnosti letiskovej spoločnosti pri nakladaní s takto prenajatým pozemkom. Keďže Ministerstvo dopravy Slovenskej republiky ako správca majetku štátu je povinné chrániť záujmy štátu, vrátane majetku štátu, je potrebné priamo v zákone upraviť niektoré práva letiskovej spoločnosti. V § 3a ods. 4 je ustanovené, ako môže letisková spoločnosť nakladať s takto prenajatým pozemkom, pričom v odseku 3 sa explicitne uvádza, aké typy stavieb a vybavenia sa môžu zriadiť alebo prevádzkovať na prenajatom pozemku.</w:t>
      </w:r>
    </w:p>
    <w:p w14:paraId="6000D514" w14:textId="77777777" w:rsidR="0040239E" w:rsidRDefault="0040239E" w:rsidP="0040239E">
      <w:pPr>
        <w:jc w:val="both"/>
        <w:rPr>
          <w:sz w:val="24"/>
          <w:szCs w:val="24"/>
        </w:rPr>
      </w:pPr>
    </w:p>
    <w:p w14:paraId="1AFB47D2" w14:textId="77777777" w:rsidR="0040239E" w:rsidRPr="0070747D" w:rsidRDefault="0040239E" w:rsidP="0040239E">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Pr>
          <w:b/>
          <w:sz w:val="24"/>
          <w:szCs w:val="24"/>
        </w:rPr>
        <w:t>5</w:t>
      </w:r>
    </w:p>
    <w:p w14:paraId="34FEF7D1" w14:textId="77777777" w:rsidR="0040239E" w:rsidRDefault="0040239E" w:rsidP="0040239E">
      <w:pPr>
        <w:jc w:val="both"/>
        <w:rPr>
          <w:sz w:val="24"/>
          <w:szCs w:val="24"/>
        </w:rPr>
      </w:pPr>
      <w:proofErr w:type="spellStart"/>
      <w:r w:rsidRPr="0070747D">
        <w:rPr>
          <w:sz w:val="24"/>
          <w:szCs w:val="24"/>
        </w:rPr>
        <w:t>Legislatívnotechnická</w:t>
      </w:r>
      <w:proofErr w:type="spellEnd"/>
      <w:r w:rsidRPr="0070747D">
        <w:rPr>
          <w:sz w:val="24"/>
          <w:szCs w:val="24"/>
        </w:rPr>
        <w:t xml:space="preserve"> úprava </w:t>
      </w:r>
      <w:r>
        <w:rPr>
          <w:sz w:val="24"/>
          <w:szCs w:val="24"/>
        </w:rPr>
        <w:t>súvisiaca s bodom 1.</w:t>
      </w:r>
    </w:p>
    <w:p w14:paraId="2648CB3C" w14:textId="77777777" w:rsidR="0040239E" w:rsidRDefault="0040239E" w:rsidP="0040239E">
      <w:pPr>
        <w:jc w:val="both"/>
        <w:rPr>
          <w:sz w:val="24"/>
          <w:szCs w:val="24"/>
        </w:rPr>
      </w:pPr>
      <w:bookmarkStart w:id="2" w:name="_GoBack"/>
      <w:bookmarkEnd w:id="2"/>
    </w:p>
    <w:p w14:paraId="51A99044" w14:textId="77777777" w:rsidR="0040239E" w:rsidRPr="0070747D" w:rsidRDefault="0040239E" w:rsidP="0040239E">
      <w:pPr>
        <w:keepNext/>
        <w:widowControl/>
        <w:jc w:val="both"/>
        <w:outlineLvl w:val="0"/>
        <w:rPr>
          <w:sz w:val="24"/>
          <w:szCs w:val="24"/>
        </w:rPr>
      </w:pPr>
      <w:r>
        <w:rPr>
          <w:rFonts w:cs="Arial"/>
          <w:b/>
          <w:sz w:val="24"/>
          <w:szCs w:val="24"/>
        </w:rPr>
        <w:t>K </w:t>
      </w:r>
      <w:r w:rsidRPr="00B3067D">
        <w:rPr>
          <w:b/>
          <w:sz w:val="24"/>
          <w:szCs w:val="24"/>
        </w:rPr>
        <w:t>Čl</w:t>
      </w:r>
      <w:r w:rsidRPr="0070747D">
        <w:rPr>
          <w:rFonts w:cs="Arial"/>
          <w:b/>
          <w:sz w:val="24"/>
          <w:szCs w:val="24"/>
        </w:rPr>
        <w:t>.</w:t>
      </w:r>
      <w:r>
        <w:rPr>
          <w:rFonts w:cs="Arial"/>
          <w:b/>
          <w:sz w:val="24"/>
          <w:szCs w:val="24"/>
        </w:rPr>
        <w:t> II</w:t>
      </w:r>
    </w:p>
    <w:p w14:paraId="711067E0" w14:textId="77777777" w:rsidR="0040239E" w:rsidRPr="002C1A93" w:rsidRDefault="0040239E" w:rsidP="0040239E">
      <w:pPr>
        <w:jc w:val="both"/>
        <w:rPr>
          <w:b/>
          <w:bCs/>
          <w:sz w:val="24"/>
          <w:szCs w:val="24"/>
        </w:rPr>
      </w:pPr>
      <w:r>
        <w:rPr>
          <w:sz w:val="24"/>
          <w:szCs w:val="24"/>
        </w:rPr>
        <w:t>Účinnosť sa navrhuje vzhľadom na predpokladanú dĺžku legislatívneho predpisu.</w:t>
      </w:r>
    </w:p>
    <w:p w14:paraId="5FD9AABF" w14:textId="1E8875B9" w:rsidR="00BC2763" w:rsidRDefault="00BC2763">
      <w:pPr>
        <w:widowControl/>
        <w:autoSpaceDE/>
        <w:autoSpaceDN/>
        <w:adjustRightInd/>
        <w:rPr>
          <w:sz w:val="24"/>
          <w:szCs w:val="24"/>
        </w:rPr>
      </w:pPr>
    </w:p>
    <w:p w14:paraId="74190B5A" w14:textId="77777777" w:rsidR="009C2907" w:rsidRDefault="009C2907">
      <w:pPr>
        <w:widowControl/>
        <w:autoSpaceDE/>
        <w:autoSpaceDN/>
        <w:adjustRightInd/>
        <w:rPr>
          <w:sz w:val="24"/>
          <w:szCs w:val="24"/>
        </w:rPr>
      </w:pPr>
    </w:p>
    <w:p w14:paraId="6014239A" w14:textId="2DD4FDB4" w:rsidR="00BC2763" w:rsidRPr="00FD77FA" w:rsidRDefault="00BC2763" w:rsidP="00BC2763">
      <w:pPr>
        <w:widowControl/>
        <w:autoSpaceDE/>
        <w:autoSpaceDN/>
        <w:adjustRightInd/>
        <w:jc w:val="both"/>
        <w:rPr>
          <w:sz w:val="24"/>
          <w:szCs w:val="24"/>
          <w:lang w:eastAsia="en-US"/>
        </w:rPr>
      </w:pPr>
      <w:r w:rsidRPr="00FD77FA">
        <w:rPr>
          <w:sz w:val="24"/>
          <w:szCs w:val="24"/>
          <w:lang w:eastAsia="en-US"/>
        </w:rPr>
        <w:t xml:space="preserve">Bratislava  </w:t>
      </w:r>
      <w:r>
        <w:rPr>
          <w:sz w:val="24"/>
          <w:szCs w:val="24"/>
          <w:lang w:eastAsia="en-US"/>
        </w:rPr>
        <w:t>2</w:t>
      </w:r>
      <w:r w:rsidR="0040239E">
        <w:rPr>
          <w:sz w:val="24"/>
          <w:szCs w:val="24"/>
          <w:lang w:eastAsia="en-US"/>
        </w:rPr>
        <w:t>1</w:t>
      </w:r>
      <w:r>
        <w:rPr>
          <w:sz w:val="24"/>
          <w:szCs w:val="24"/>
          <w:lang w:eastAsia="en-US"/>
        </w:rPr>
        <w:t>. </w:t>
      </w:r>
      <w:r w:rsidR="0040239E">
        <w:rPr>
          <w:sz w:val="24"/>
          <w:szCs w:val="24"/>
          <w:lang w:eastAsia="en-US"/>
        </w:rPr>
        <w:t>augusta</w:t>
      </w:r>
      <w:r w:rsidR="008A162B">
        <w:rPr>
          <w:sz w:val="24"/>
          <w:szCs w:val="24"/>
          <w:lang w:eastAsia="en-US"/>
        </w:rPr>
        <w:t xml:space="preserve"> 2024</w:t>
      </w:r>
    </w:p>
    <w:tbl>
      <w:tblPr>
        <w:tblStyle w:val="Mriekatabuky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BC2763" w:rsidRPr="00FD77FA" w14:paraId="30CF6B0A" w14:textId="77777777" w:rsidTr="009C2907">
        <w:trPr>
          <w:trHeight w:val="2835"/>
        </w:trPr>
        <w:tc>
          <w:tcPr>
            <w:tcW w:w="9621" w:type="dxa"/>
            <w:vAlign w:val="bottom"/>
          </w:tcPr>
          <w:p w14:paraId="7FA6BB42" w14:textId="77777777" w:rsidR="00BC2763" w:rsidRPr="00FD77FA" w:rsidRDefault="00BC2763" w:rsidP="00E37EEC">
            <w:pPr>
              <w:widowControl/>
              <w:overflowPunct w:val="0"/>
              <w:jc w:val="center"/>
              <w:rPr>
                <w:b/>
                <w:szCs w:val="24"/>
                <w:lang w:eastAsia="cs-CZ"/>
              </w:rPr>
            </w:pPr>
            <w:r>
              <w:rPr>
                <w:b/>
                <w:szCs w:val="24"/>
                <w:lang w:eastAsia="cs-CZ"/>
              </w:rPr>
              <w:t>Robert Fico</w:t>
            </w:r>
          </w:p>
          <w:p w14:paraId="3A6ADDE5" w14:textId="77777777" w:rsidR="00BC2763" w:rsidRPr="00FD77FA" w:rsidRDefault="00BC2763" w:rsidP="00E37EEC">
            <w:pPr>
              <w:widowControl/>
              <w:overflowPunct w:val="0"/>
              <w:jc w:val="center"/>
              <w:rPr>
                <w:szCs w:val="24"/>
              </w:rPr>
            </w:pPr>
            <w:r w:rsidRPr="00FD77FA">
              <w:rPr>
                <w:szCs w:val="24"/>
              </w:rPr>
              <w:t>predseda vlády Slovenskej republiky</w:t>
            </w:r>
          </w:p>
        </w:tc>
      </w:tr>
      <w:tr w:rsidR="00BC2763" w:rsidRPr="00FD77FA" w14:paraId="53B3276C" w14:textId="77777777" w:rsidTr="009C2907">
        <w:trPr>
          <w:trHeight w:val="2835"/>
        </w:trPr>
        <w:tc>
          <w:tcPr>
            <w:tcW w:w="9621" w:type="dxa"/>
            <w:vAlign w:val="bottom"/>
          </w:tcPr>
          <w:p w14:paraId="204A3819" w14:textId="77777777" w:rsidR="00BC2763" w:rsidRPr="00FD77FA" w:rsidRDefault="00BC2763" w:rsidP="00E37EEC">
            <w:pPr>
              <w:autoSpaceDE/>
              <w:autoSpaceDN/>
              <w:jc w:val="center"/>
              <w:rPr>
                <w:b/>
                <w:szCs w:val="24"/>
              </w:rPr>
            </w:pPr>
            <w:r>
              <w:rPr>
                <w:b/>
                <w:szCs w:val="24"/>
              </w:rPr>
              <w:t>Jozef Ráž</w:t>
            </w:r>
          </w:p>
          <w:p w14:paraId="5A56EC46" w14:textId="77777777" w:rsidR="00BC2763" w:rsidRPr="00FD77FA" w:rsidRDefault="00BC2763" w:rsidP="00E37EEC">
            <w:pPr>
              <w:widowControl/>
              <w:tabs>
                <w:tab w:val="left" w:pos="708"/>
              </w:tabs>
              <w:autoSpaceDE/>
              <w:autoSpaceDN/>
              <w:adjustRightInd/>
              <w:jc w:val="center"/>
              <w:rPr>
                <w:szCs w:val="24"/>
              </w:rPr>
            </w:pPr>
            <w:r w:rsidRPr="00FD77FA">
              <w:rPr>
                <w:szCs w:val="24"/>
              </w:rPr>
              <w:t>minister dopravy Slovenskej republiky</w:t>
            </w:r>
          </w:p>
        </w:tc>
      </w:tr>
    </w:tbl>
    <w:p w14:paraId="1AFC4CF4" w14:textId="77777777" w:rsidR="00BC2763" w:rsidRPr="00031738" w:rsidRDefault="00BC2763" w:rsidP="00BC2763">
      <w:pPr>
        <w:widowControl/>
        <w:jc w:val="both"/>
        <w:rPr>
          <w:sz w:val="2"/>
          <w:szCs w:val="2"/>
        </w:rPr>
      </w:pPr>
    </w:p>
    <w:p w14:paraId="697A983F" w14:textId="77777777" w:rsidR="00BC2763" w:rsidRPr="00404286" w:rsidRDefault="00BC2763" w:rsidP="00DB1643">
      <w:pPr>
        <w:jc w:val="both"/>
        <w:rPr>
          <w:sz w:val="2"/>
          <w:szCs w:val="2"/>
        </w:rPr>
      </w:pPr>
    </w:p>
    <w:sectPr w:rsidR="00BC2763" w:rsidRPr="00404286" w:rsidSect="00B3067D">
      <w:headerReference w:type="even" r:id="rId16"/>
      <w:headerReference w:type="default" r:id="rId17"/>
      <w:footerReference w:type="even" r:id="rId18"/>
      <w:headerReference w:type="first" r:id="rId19"/>
      <w:footerReference w:type="first" r:id="rId20"/>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807C0" w14:textId="77777777" w:rsidR="00441A0C" w:rsidRDefault="00441A0C" w:rsidP="001A591C">
      <w:r>
        <w:separator/>
      </w:r>
    </w:p>
  </w:endnote>
  <w:endnote w:type="continuationSeparator" w:id="0">
    <w:p w14:paraId="7AB09B95" w14:textId="77777777" w:rsidR="00441A0C" w:rsidRDefault="00441A0C"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3007" w14:textId="77777777" w:rsidR="0040239E" w:rsidRDefault="0040239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9A86CEF" w14:textId="77777777" w:rsidR="0040239E" w:rsidRDefault="0040239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6BC9" w14:textId="0CFCC294" w:rsidR="0072678E" w:rsidRPr="0072678E" w:rsidRDefault="0072678E" w:rsidP="0072678E">
    <w:pPr>
      <w:pStyle w:val="Pta"/>
      <w:jc w:val="center"/>
      <w:rPr>
        <w:sz w:val="24"/>
        <w:szCs w:val="24"/>
      </w:rPr>
    </w:pPr>
    <w:r w:rsidRPr="0072678E">
      <w:rPr>
        <w:sz w:val="24"/>
        <w:szCs w:val="24"/>
      </w:rPr>
      <w:fldChar w:fldCharType="begin"/>
    </w:r>
    <w:r w:rsidRPr="0072678E">
      <w:rPr>
        <w:sz w:val="24"/>
        <w:szCs w:val="24"/>
      </w:rPr>
      <w:instrText>PAGE   \* MERGEFORMAT</w:instrText>
    </w:r>
    <w:r w:rsidRPr="0072678E">
      <w:rPr>
        <w:sz w:val="24"/>
        <w:szCs w:val="24"/>
      </w:rPr>
      <w:fldChar w:fldCharType="separate"/>
    </w:r>
    <w:r w:rsidR="009C2907">
      <w:rPr>
        <w:noProof/>
        <w:sz w:val="24"/>
        <w:szCs w:val="24"/>
      </w:rPr>
      <w:t>19</w:t>
    </w:r>
    <w:r w:rsidRPr="0072678E">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B6D43" w14:textId="77777777" w:rsidR="0040239E" w:rsidRDefault="0040239E">
    <w:pPr>
      <w:pStyle w:val="Pta"/>
      <w:jc w:val="right"/>
    </w:pPr>
    <w:r>
      <w:fldChar w:fldCharType="begin"/>
    </w:r>
    <w:r>
      <w:instrText>PAGE   \* MERGEFORMAT</w:instrText>
    </w:r>
    <w:r>
      <w:fldChar w:fldCharType="separate"/>
    </w:r>
    <w:r>
      <w:rPr>
        <w:noProof/>
      </w:rPr>
      <w:t>0</w:t>
    </w:r>
    <w:r>
      <w:fldChar w:fldCharType="end"/>
    </w:r>
  </w:p>
  <w:p w14:paraId="4D4B8AAA" w14:textId="77777777" w:rsidR="0040239E" w:rsidRDefault="0040239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4891" w14:textId="77777777" w:rsidR="002A4605" w:rsidRDefault="002A4605">
    <w:pPr>
      <w:pStyle w:val="Pta"/>
    </w:pPr>
  </w:p>
  <w:p w14:paraId="62792D2D" w14:textId="77777777" w:rsidR="002A4605" w:rsidRDefault="002A4605"/>
  <w:p w14:paraId="5A80BCA1" w14:textId="77777777" w:rsidR="002A4605" w:rsidRDefault="002A460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CCC3" w14:textId="77777777" w:rsidR="002A4605" w:rsidRDefault="002A46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AE2E8" w14:textId="77777777" w:rsidR="00441A0C" w:rsidRDefault="00441A0C" w:rsidP="001A591C">
      <w:r>
        <w:separator/>
      </w:r>
    </w:p>
  </w:footnote>
  <w:footnote w:type="continuationSeparator" w:id="0">
    <w:p w14:paraId="578DCB85" w14:textId="77777777" w:rsidR="00441A0C" w:rsidRDefault="00441A0C" w:rsidP="001A591C">
      <w:r>
        <w:continuationSeparator/>
      </w:r>
    </w:p>
  </w:footnote>
  <w:footnote w:id="1">
    <w:p w14:paraId="27E47C51" w14:textId="77777777" w:rsidR="0040239E" w:rsidRPr="000A6B7F" w:rsidRDefault="0040239E" w:rsidP="0040239E">
      <w:pPr>
        <w:pStyle w:val="Textpoznmkypodiarou"/>
      </w:pPr>
      <w:r>
        <w:rPr>
          <w:rStyle w:val="Odkaznapoznmkupodiarou"/>
        </w:rPr>
        <w:footnoteRef/>
      </w:r>
      <w:r>
        <w:t xml:space="preserve"> </w:t>
      </w:r>
      <w:r w:rsidRPr="000A6B7F">
        <w:t xml:space="preserve">Definícia </w:t>
      </w:r>
      <w:proofErr w:type="spellStart"/>
      <w:r w:rsidRPr="000A6B7F">
        <w:t>goldplatingu</w:t>
      </w:r>
      <w:proofErr w:type="spellEnd"/>
      <w:r w:rsidRPr="000A6B7F">
        <w:t xml:space="preserve"> </w:t>
      </w:r>
      <w:r w:rsidRPr="00D114ED">
        <w:t>je uvedená v bode 4 časti III. jednotnej metodiky.</w:t>
      </w:r>
    </w:p>
  </w:footnote>
  <w:footnote w:id="2">
    <w:p w14:paraId="2C294437" w14:textId="00FED996" w:rsidR="0040239E" w:rsidRDefault="0040239E" w:rsidP="0040239E">
      <w:pPr>
        <w:pStyle w:val="Textpoznmkypodiarou"/>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goldplating podľa tabuľky zhody alebo sa vykonáva implementácia nariadenia EÚ s </w:t>
      </w:r>
      <w:proofErr w:type="spellStart"/>
      <w:r w:rsidRPr="00804BC8">
        <w:t>goldplatingom</w:t>
      </w:r>
      <w:proofErr w:type="spellEnd"/>
      <w:r w:rsidRPr="00804BC8">
        <w:t>.</w:t>
      </w:r>
      <w:r>
        <w:t xml:space="preserve"> Informácie sa uvádzajú aj v prípade</w:t>
      </w:r>
      <w:r w:rsidRPr="00CF4D09">
        <w:t xml:space="preserve"> (ak nejde o transpozíciu smernice EÚ alebo implementáciu nariadenia EÚ)</w:t>
      </w:r>
      <w:r>
        <w:t>, ak sa predloženým návrhom odstraňuje goldplating, ktorého pôvod je v skoršom zachovaní existujúcej právnej úpravy (existujúcich vnútroštátnych požiadaviek).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329" w14:textId="77777777" w:rsidR="0040239E" w:rsidRDefault="0040239E" w:rsidP="002B63FD">
    <w:pPr>
      <w:pStyle w:val="Hlavika"/>
      <w:jc w:val="right"/>
      <w:rPr>
        <w:sz w:val="24"/>
        <w:szCs w:val="24"/>
      </w:rPr>
    </w:pPr>
    <w:r>
      <w:rPr>
        <w:sz w:val="24"/>
        <w:szCs w:val="24"/>
      </w:rPr>
      <w:t>Príloha č. 2</w:t>
    </w:r>
  </w:p>
  <w:p w14:paraId="0002B9DD" w14:textId="77777777" w:rsidR="0040239E" w:rsidRPr="00EB59C8" w:rsidRDefault="0040239E"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7083" w14:textId="77777777" w:rsidR="0040239E" w:rsidRPr="000A15AE" w:rsidRDefault="0040239E" w:rsidP="002B63FD">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C9A6" w14:textId="168DB0C3" w:rsidR="0040239E" w:rsidRPr="0040239E" w:rsidRDefault="0040239E" w:rsidP="0040239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B60C" w14:textId="4641A625" w:rsidR="002A4605" w:rsidRDefault="002A4605">
    <w:pPr>
      <w:pStyle w:val="Hlavika"/>
    </w:pPr>
  </w:p>
  <w:p w14:paraId="2BE05B22" w14:textId="77777777" w:rsidR="002A4605" w:rsidRDefault="002A4605"/>
  <w:p w14:paraId="02C9E37E" w14:textId="77777777" w:rsidR="002A4605" w:rsidRDefault="002A460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25E5" w14:textId="77777777" w:rsidR="002A4605" w:rsidRPr="002A4605" w:rsidRDefault="002A4605" w:rsidP="002A4605">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E76" w14:textId="53AA45B9" w:rsidR="002A4605" w:rsidRDefault="002A46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651B2"/>
    <w:lvl w:ilvl="0">
      <w:numFmt w:val="bullet"/>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14CAC"/>
    <w:multiLevelType w:val="hybridMultilevel"/>
    <w:tmpl w:val="86FAAB86"/>
    <w:lvl w:ilvl="0" w:tplc="4BEAB984">
      <w:start w:val="50"/>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9B4863"/>
    <w:multiLevelType w:val="hybridMultilevel"/>
    <w:tmpl w:val="85C8B84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797622"/>
    <w:multiLevelType w:val="hybridMultilevel"/>
    <w:tmpl w:val="7F1E38FE"/>
    <w:lvl w:ilvl="0" w:tplc="C88C2B4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4B42180"/>
    <w:multiLevelType w:val="hybridMultilevel"/>
    <w:tmpl w:val="D5D6207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873621B"/>
    <w:multiLevelType w:val="hybridMultilevel"/>
    <w:tmpl w:val="5EAE97D4"/>
    <w:lvl w:ilvl="0" w:tplc="4414315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A731F26"/>
    <w:multiLevelType w:val="hybridMultilevel"/>
    <w:tmpl w:val="F9A61504"/>
    <w:lvl w:ilvl="0" w:tplc="84DA2018">
      <w:numFmt w:val="bullet"/>
      <w:lvlText w:val="-"/>
      <w:lvlJc w:val="left"/>
      <w:pPr>
        <w:ind w:left="720" w:hanging="360"/>
      </w:pPr>
      <w:rPr>
        <w:rFonts w:ascii="Calibri" w:eastAsia="Calibri" w:hAnsi="Calibri"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40512A73"/>
    <w:multiLevelType w:val="hybridMultilevel"/>
    <w:tmpl w:val="44B085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12C086B"/>
    <w:multiLevelType w:val="hybridMultilevel"/>
    <w:tmpl w:val="E70A050E"/>
    <w:lvl w:ilvl="0" w:tplc="8ECA70EE">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5"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55A601B"/>
    <w:multiLevelType w:val="hybridMultilevel"/>
    <w:tmpl w:val="F63AD714"/>
    <w:lvl w:ilvl="0" w:tplc="6BE8FBB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AC0090"/>
    <w:multiLevelType w:val="multilevel"/>
    <w:tmpl w:val="651A2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A30F27"/>
    <w:multiLevelType w:val="hybridMultilevel"/>
    <w:tmpl w:val="F382781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4" w15:restartNumberingAfterBreak="0">
    <w:nsid w:val="601A0BE9"/>
    <w:multiLevelType w:val="hybridMultilevel"/>
    <w:tmpl w:val="F2788AA0"/>
    <w:lvl w:ilvl="0" w:tplc="C652DC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9768E5"/>
    <w:multiLevelType w:val="hybridMultilevel"/>
    <w:tmpl w:val="94B66F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84C08B4"/>
    <w:multiLevelType w:val="hybridMultilevel"/>
    <w:tmpl w:val="4648BC1C"/>
    <w:lvl w:ilvl="0" w:tplc="C4904EB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F00024"/>
    <w:multiLevelType w:val="hybridMultilevel"/>
    <w:tmpl w:val="A832EFDC"/>
    <w:lvl w:ilvl="0" w:tplc="514C3DAE">
      <w:numFmt w:val="bullet"/>
      <w:lvlText w:val="-"/>
      <w:lvlJc w:val="left"/>
      <w:pPr>
        <w:ind w:left="1494" w:hanging="360"/>
      </w:pPr>
      <w:rPr>
        <w:rFonts w:ascii="Times New Roman" w:eastAsia="Times New Roman" w:hAnsi="Times New Roman" w:hint="default"/>
      </w:rPr>
    </w:lvl>
    <w:lvl w:ilvl="1" w:tplc="041B0003">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71755D0E"/>
    <w:multiLevelType w:val="hybridMultilevel"/>
    <w:tmpl w:val="3EBAE6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9947003"/>
    <w:multiLevelType w:val="hybridMultilevel"/>
    <w:tmpl w:val="05F25C64"/>
    <w:lvl w:ilvl="0" w:tplc="C4904E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Calibri" w:hAnsi="Times New Roman" w:cs="Times New Roman"/>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Arial" w:hAnsi="Arial" w:cs="Arial" w:hint="default"/>
        </w:rPr>
      </w:lvl>
    </w:lvlOverride>
  </w:num>
  <w:num w:numId="2">
    <w:abstractNumId w:val="0"/>
    <w:lvlOverride w:ilvl="0">
      <w:lvl w:ilvl="0">
        <w:start w:val="65535"/>
        <w:numFmt w:val="bullet"/>
        <w:lvlText w:val="-"/>
        <w:legacy w:legacy="1" w:legacySpace="0" w:legacyIndent="153"/>
        <w:lvlJc w:val="left"/>
        <w:rPr>
          <w:rFonts w:ascii="Arial" w:hAnsi="Arial" w:cs="Arial" w:hint="default"/>
        </w:rPr>
      </w:lvl>
    </w:lvlOverride>
  </w:num>
  <w:num w:numId="3">
    <w:abstractNumId w:val="0"/>
    <w:lvlOverride w:ilvl="0">
      <w:lvl w:ilvl="0">
        <w:start w:val="65535"/>
        <w:numFmt w:val="bullet"/>
        <w:lvlText w:val="-"/>
        <w:legacy w:legacy="1" w:legacySpace="0" w:legacyIndent="143"/>
        <w:lvlJc w:val="left"/>
        <w:rPr>
          <w:rFonts w:ascii="Arial" w:hAnsi="Arial" w:cs="Arial" w:hint="default"/>
        </w:rPr>
      </w:lvl>
    </w:lvlOverride>
  </w:num>
  <w:num w:numId="4">
    <w:abstractNumId w:val="0"/>
    <w:lvlOverride w:ilvl="0">
      <w:lvl w:ilvl="0">
        <w:start w:val="65535"/>
        <w:numFmt w:val="bullet"/>
        <w:lvlText w:val="-"/>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0"/>
    <w:lvlOverride w:ilvl="0">
      <w:lvl w:ilvl="0">
        <w:start w:val="65535"/>
        <w:numFmt w:val="bullet"/>
        <w:lvlText w:val="V"/>
        <w:legacy w:legacy="1" w:legacySpace="0" w:legacyIndent="201"/>
        <w:lvlJc w:val="left"/>
        <w:rPr>
          <w:rFonts w:ascii="Arial" w:hAnsi="Arial" w:cs="Arial" w:hint="default"/>
        </w:rPr>
      </w:lvl>
    </w:lvlOverride>
  </w:num>
  <w:num w:numId="8">
    <w:abstractNumId w:val="6"/>
  </w:num>
  <w:num w:numId="9">
    <w:abstractNumId w:val="2"/>
  </w:num>
  <w:num w:numId="10">
    <w:abstractNumId w:val="1"/>
  </w:num>
  <w:num w:numId="11">
    <w:abstractNumId w:val="12"/>
  </w:num>
  <w:num w:numId="12">
    <w:abstractNumId w:val="19"/>
  </w:num>
  <w:num w:numId="13">
    <w:abstractNumId w:val="33"/>
  </w:num>
  <w:num w:numId="14">
    <w:abstractNumId w:val="20"/>
  </w:num>
  <w:num w:numId="15">
    <w:abstractNumId w:val="31"/>
  </w:num>
  <w:num w:numId="16">
    <w:abstractNumId w:val="18"/>
  </w:num>
  <w:num w:numId="17">
    <w:abstractNumId w:val="15"/>
  </w:num>
  <w:num w:numId="18">
    <w:abstractNumId w:val="21"/>
  </w:num>
  <w:num w:numId="19">
    <w:abstractNumId w:val="8"/>
  </w:num>
  <w:num w:numId="20">
    <w:abstractNumId w:val="7"/>
  </w:num>
  <w:num w:numId="21">
    <w:abstractNumId w:val="5"/>
  </w:num>
  <w:num w:numId="22">
    <w:abstractNumId w:val="13"/>
  </w:num>
  <w:num w:numId="23">
    <w:abstractNumId w:val="32"/>
  </w:num>
  <w:num w:numId="24">
    <w:abstractNumId w:val="23"/>
  </w:num>
  <w:num w:numId="25">
    <w:abstractNumId w:val="9"/>
  </w:num>
  <w:num w:numId="26">
    <w:abstractNumId w:val="26"/>
  </w:num>
  <w:num w:numId="27">
    <w:abstractNumId w:val="3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 w:numId="31">
    <w:abstractNumId w:val="4"/>
  </w:num>
  <w:num w:numId="32">
    <w:abstractNumId w:val="28"/>
  </w:num>
  <w:num w:numId="33">
    <w:abstractNumId w:val="11"/>
  </w:num>
  <w:num w:numId="34">
    <w:abstractNumId w:val="24"/>
  </w:num>
  <w:num w:numId="35">
    <w:abstractNumId w:val="10"/>
  </w:num>
  <w:num w:numId="36">
    <w:abstractNumId w:val="25"/>
  </w:num>
  <w:num w:numId="37">
    <w:abstractNumId w:val="29"/>
  </w:num>
  <w:num w:numId="38">
    <w:abstractNumId w:val="27"/>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0CA0"/>
    <w:rsid w:val="0000107B"/>
    <w:rsid w:val="000014DF"/>
    <w:rsid w:val="0000539F"/>
    <w:rsid w:val="00006D6F"/>
    <w:rsid w:val="00012DB5"/>
    <w:rsid w:val="00013AF5"/>
    <w:rsid w:val="00014481"/>
    <w:rsid w:val="000153EF"/>
    <w:rsid w:val="00020FE0"/>
    <w:rsid w:val="00023F64"/>
    <w:rsid w:val="0003191A"/>
    <w:rsid w:val="0003322C"/>
    <w:rsid w:val="000354EB"/>
    <w:rsid w:val="000358E8"/>
    <w:rsid w:val="00035942"/>
    <w:rsid w:val="00036DC1"/>
    <w:rsid w:val="000409C9"/>
    <w:rsid w:val="000434E6"/>
    <w:rsid w:val="0004753A"/>
    <w:rsid w:val="00051738"/>
    <w:rsid w:val="000518A8"/>
    <w:rsid w:val="0005233A"/>
    <w:rsid w:val="00052D7D"/>
    <w:rsid w:val="00053D30"/>
    <w:rsid w:val="0005408A"/>
    <w:rsid w:val="00054DF1"/>
    <w:rsid w:val="00056828"/>
    <w:rsid w:val="00063632"/>
    <w:rsid w:val="0006441D"/>
    <w:rsid w:val="00065F83"/>
    <w:rsid w:val="00066573"/>
    <w:rsid w:val="000667B6"/>
    <w:rsid w:val="00074F25"/>
    <w:rsid w:val="00075E0A"/>
    <w:rsid w:val="000778CE"/>
    <w:rsid w:val="00080A6A"/>
    <w:rsid w:val="00082DB0"/>
    <w:rsid w:val="0008349B"/>
    <w:rsid w:val="000846CD"/>
    <w:rsid w:val="00084FAB"/>
    <w:rsid w:val="000914AE"/>
    <w:rsid w:val="000951AB"/>
    <w:rsid w:val="000A2AC6"/>
    <w:rsid w:val="000B23F6"/>
    <w:rsid w:val="000B796F"/>
    <w:rsid w:val="000C0EA4"/>
    <w:rsid w:val="000D0354"/>
    <w:rsid w:val="000D5312"/>
    <w:rsid w:val="000D6B40"/>
    <w:rsid w:val="000D75E6"/>
    <w:rsid w:val="000E3DFD"/>
    <w:rsid w:val="000F1075"/>
    <w:rsid w:val="000F346B"/>
    <w:rsid w:val="000F66D6"/>
    <w:rsid w:val="001030C2"/>
    <w:rsid w:val="00105490"/>
    <w:rsid w:val="00106029"/>
    <w:rsid w:val="00106A9B"/>
    <w:rsid w:val="00112849"/>
    <w:rsid w:val="0011442D"/>
    <w:rsid w:val="00122017"/>
    <w:rsid w:val="001331E7"/>
    <w:rsid w:val="00141242"/>
    <w:rsid w:val="00141C3B"/>
    <w:rsid w:val="00147FC3"/>
    <w:rsid w:val="0016111E"/>
    <w:rsid w:val="00161519"/>
    <w:rsid w:val="00173074"/>
    <w:rsid w:val="001749C2"/>
    <w:rsid w:val="0018388E"/>
    <w:rsid w:val="00185053"/>
    <w:rsid w:val="00185A00"/>
    <w:rsid w:val="001A1BBC"/>
    <w:rsid w:val="001A23A3"/>
    <w:rsid w:val="001A591C"/>
    <w:rsid w:val="001B0910"/>
    <w:rsid w:val="001B104A"/>
    <w:rsid w:val="001B18C5"/>
    <w:rsid w:val="001B1EC4"/>
    <w:rsid w:val="001B2060"/>
    <w:rsid w:val="001B6901"/>
    <w:rsid w:val="001C5057"/>
    <w:rsid w:val="001D00D5"/>
    <w:rsid w:val="001D27BE"/>
    <w:rsid w:val="001D4C9A"/>
    <w:rsid w:val="001D584A"/>
    <w:rsid w:val="001D697A"/>
    <w:rsid w:val="001E267F"/>
    <w:rsid w:val="001E3066"/>
    <w:rsid w:val="001E6E12"/>
    <w:rsid w:val="001F2547"/>
    <w:rsid w:val="001F60FE"/>
    <w:rsid w:val="001F6B2A"/>
    <w:rsid w:val="00200562"/>
    <w:rsid w:val="0020661B"/>
    <w:rsid w:val="00207027"/>
    <w:rsid w:val="00210ED8"/>
    <w:rsid w:val="00213169"/>
    <w:rsid w:val="002172B1"/>
    <w:rsid w:val="002240E8"/>
    <w:rsid w:val="00226CB4"/>
    <w:rsid w:val="00240216"/>
    <w:rsid w:val="00241A2C"/>
    <w:rsid w:val="002461E5"/>
    <w:rsid w:val="00247F01"/>
    <w:rsid w:val="00255404"/>
    <w:rsid w:val="00255DCB"/>
    <w:rsid w:val="00256784"/>
    <w:rsid w:val="00256D36"/>
    <w:rsid w:val="00256FB7"/>
    <w:rsid w:val="0026322D"/>
    <w:rsid w:val="002649D2"/>
    <w:rsid w:val="00270C65"/>
    <w:rsid w:val="002712E0"/>
    <w:rsid w:val="002738A0"/>
    <w:rsid w:val="00274E4F"/>
    <w:rsid w:val="00275CF6"/>
    <w:rsid w:val="00281591"/>
    <w:rsid w:val="00281DBF"/>
    <w:rsid w:val="00282AF2"/>
    <w:rsid w:val="00283AA4"/>
    <w:rsid w:val="00290304"/>
    <w:rsid w:val="00291037"/>
    <w:rsid w:val="002961DC"/>
    <w:rsid w:val="002A008A"/>
    <w:rsid w:val="002A16DA"/>
    <w:rsid w:val="002A18FA"/>
    <w:rsid w:val="002A1F34"/>
    <w:rsid w:val="002A4605"/>
    <w:rsid w:val="002A7D50"/>
    <w:rsid w:val="002B40B1"/>
    <w:rsid w:val="002B4A4C"/>
    <w:rsid w:val="002B5E1F"/>
    <w:rsid w:val="002B78EB"/>
    <w:rsid w:val="002C1A93"/>
    <w:rsid w:val="002C717D"/>
    <w:rsid w:val="002D03B8"/>
    <w:rsid w:val="002D3C8B"/>
    <w:rsid w:val="002D628B"/>
    <w:rsid w:val="002D7E45"/>
    <w:rsid w:val="002E1467"/>
    <w:rsid w:val="002E2EBF"/>
    <w:rsid w:val="002E69D8"/>
    <w:rsid w:val="002E78A6"/>
    <w:rsid w:val="002F0C39"/>
    <w:rsid w:val="002F566C"/>
    <w:rsid w:val="002F64F3"/>
    <w:rsid w:val="002F756A"/>
    <w:rsid w:val="00304937"/>
    <w:rsid w:val="00310B16"/>
    <w:rsid w:val="00311A80"/>
    <w:rsid w:val="003139BF"/>
    <w:rsid w:val="00314F2F"/>
    <w:rsid w:val="00316DBC"/>
    <w:rsid w:val="00322603"/>
    <w:rsid w:val="00322E94"/>
    <w:rsid w:val="00324B50"/>
    <w:rsid w:val="00326593"/>
    <w:rsid w:val="003303BF"/>
    <w:rsid w:val="00332813"/>
    <w:rsid w:val="003338AD"/>
    <w:rsid w:val="00334934"/>
    <w:rsid w:val="0033598A"/>
    <w:rsid w:val="0033766F"/>
    <w:rsid w:val="003418BD"/>
    <w:rsid w:val="00341DAE"/>
    <w:rsid w:val="00343581"/>
    <w:rsid w:val="003442AC"/>
    <w:rsid w:val="00344D08"/>
    <w:rsid w:val="0034532C"/>
    <w:rsid w:val="00347014"/>
    <w:rsid w:val="003476D1"/>
    <w:rsid w:val="00347E43"/>
    <w:rsid w:val="00350409"/>
    <w:rsid w:val="00350B57"/>
    <w:rsid w:val="00353061"/>
    <w:rsid w:val="00353ECB"/>
    <w:rsid w:val="0036696F"/>
    <w:rsid w:val="00374AE0"/>
    <w:rsid w:val="00380084"/>
    <w:rsid w:val="00380A30"/>
    <w:rsid w:val="003860AE"/>
    <w:rsid w:val="00387D25"/>
    <w:rsid w:val="00395D48"/>
    <w:rsid w:val="003A007E"/>
    <w:rsid w:val="003A0EFA"/>
    <w:rsid w:val="003A5B39"/>
    <w:rsid w:val="003A6255"/>
    <w:rsid w:val="003A7C46"/>
    <w:rsid w:val="003B05F5"/>
    <w:rsid w:val="003B1084"/>
    <w:rsid w:val="003B5EBA"/>
    <w:rsid w:val="003C43BC"/>
    <w:rsid w:val="003C4465"/>
    <w:rsid w:val="003C5249"/>
    <w:rsid w:val="003C645E"/>
    <w:rsid w:val="003D0E0A"/>
    <w:rsid w:val="003D1C07"/>
    <w:rsid w:val="003D61B2"/>
    <w:rsid w:val="003E4096"/>
    <w:rsid w:val="003E4C5F"/>
    <w:rsid w:val="003F0B1A"/>
    <w:rsid w:val="003F1F3E"/>
    <w:rsid w:val="003F40E2"/>
    <w:rsid w:val="003F580F"/>
    <w:rsid w:val="003F7414"/>
    <w:rsid w:val="003F775E"/>
    <w:rsid w:val="0040239E"/>
    <w:rsid w:val="0040258D"/>
    <w:rsid w:val="00404286"/>
    <w:rsid w:val="00405D1E"/>
    <w:rsid w:val="00407B69"/>
    <w:rsid w:val="00407E90"/>
    <w:rsid w:val="00411993"/>
    <w:rsid w:val="00411A30"/>
    <w:rsid w:val="00413030"/>
    <w:rsid w:val="00413C63"/>
    <w:rsid w:val="00414192"/>
    <w:rsid w:val="004144D7"/>
    <w:rsid w:val="00414A12"/>
    <w:rsid w:val="00414D58"/>
    <w:rsid w:val="00416CF9"/>
    <w:rsid w:val="004223E8"/>
    <w:rsid w:val="004307E0"/>
    <w:rsid w:val="00431170"/>
    <w:rsid w:val="004374E1"/>
    <w:rsid w:val="00441A0C"/>
    <w:rsid w:val="00442CFE"/>
    <w:rsid w:val="00443376"/>
    <w:rsid w:val="00446D8F"/>
    <w:rsid w:val="0045173E"/>
    <w:rsid w:val="004563CF"/>
    <w:rsid w:val="00460256"/>
    <w:rsid w:val="00464584"/>
    <w:rsid w:val="00472D55"/>
    <w:rsid w:val="0047776C"/>
    <w:rsid w:val="00477E80"/>
    <w:rsid w:val="00481689"/>
    <w:rsid w:val="004818FB"/>
    <w:rsid w:val="00482888"/>
    <w:rsid w:val="00495FDF"/>
    <w:rsid w:val="004960AB"/>
    <w:rsid w:val="0049704E"/>
    <w:rsid w:val="004A5813"/>
    <w:rsid w:val="004A5E1F"/>
    <w:rsid w:val="004B7818"/>
    <w:rsid w:val="004C193A"/>
    <w:rsid w:val="004C2758"/>
    <w:rsid w:val="004C447E"/>
    <w:rsid w:val="004C54CC"/>
    <w:rsid w:val="004D0365"/>
    <w:rsid w:val="004D45D3"/>
    <w:rsid w:val="004D50F6"/>
    <w:rsid w:val="004D672C"/>
    <w:rsid w:val="004D6A78"/>
    <w:rsid w:val="004E1E11"/>
    <w:rsid w:val="004E4512"/>
    <w:rsid w:val="004E53E1"/>
    <w:rsid w:val="004E6F8C"/>
    <w:rsid w:val="004F08CA"/>
    <w:rsid w:val="004F0D4B"/>
    <w:rsid w:val="004F3377"/>
    <w:rsid w:val="004F3EE3"/>
    <w:rsid w:val="004F5C63"/>
    <w:rsid w:val="004F6684"/>
    <w:rsid w:val="00500157"/>
    <w:rsid w:val="0050143D"/>
    <w:rsid w:val="00501855"/>
    <w:rsid w:val="00502B68"/>
    <w:rsid w:val="00503BA7"/>
    <w:rsid w:val="00505A07"/>
    <w:rsid w:val="00512EC7"/>
    <w:rsid w:val="00515B08"/>
    <w:rsid w:val="00516675"/>
    <w:rsid w:val="00520B6C"/>
    <w:rsid w:val="005225AE"/>
    <w:rsid w:val="00526C8C"/>
    <w:rsid w:val="005308C6"/>
    <w:rsid w:val="005545A2"/>
    <w:rsid w:val="00557ADE"/>
    <w:rsid w:val="00557DB4"/>
    <w:rsid w:val="0056129A"/>
    <w:rsid w:val="00562A05"/>
    <w:rsid w:val="005739F5"/>
    <w:rsid w:val="005774E6"/>
    <w:rsid w:val="00583180"/>
    <w:rsid w:val="00583E1E"/>
    <w:rsid w:val="00596FCE"/>
    <w:rsid w:val="005A0023"/>
    <w:rsid w:val="005A00E4"/>
    <w:rsid w:val="005A0A43"/>
    <w:rsid w:val="005A654E"/>
    <w:rsid w:val="005A6CB3"/>
    <w:rsid w:val="005B08FF"/>
    <w:rsid w:val="005B29F9"/>
    <w:rsid w:val="005B4F1E"/>
    <w:rsid w:val="005B6576"/>
    <w:rsid w:val="005B79DE"/>
    <w:rsid w:val="005C07A7"/>
    <w:rsid w:val="005C22E9"/>
    <w:rsid w:val="005C23E7"/>
    <w:rsid w:val="005C31E4"/>
    <w:rsid w:val="005C3BA1"/>
    <w:rsid w:val="005C4126"/>
    <w:rsid w:val="005C52A7"/>
    <w:rsid w:val="005C6E8E"/>
    <w:rsid w:val="005C7489"/>
    <w:rsid w:val="005C7FAA"/>
    <w:rsid w:val="005D08A1"/>
    <w:rsid w:val="005D2C4F"/>
    <w:rsid w:val="005D300C"/>
    <w:rsid w:val="005D5B5B"/>
    <w:rsid w:val="005D60A2"/>
    <w:rsid w:val="005E02FA"/>
    <w:rsid w:val="005E4353"/>
    <w:rsid w:val="005F01FD"/>
    <w:rsid w:val="005F3069"/>
    <w:rsid w:val="005F32F8"/>
    <w:rsid w:val="005F5DAF"/>
    <w:rsid w:val="005F5E26"/>
    <w:rsid w:val="005F5F3E"/>
    <w:rsid w:val="005F7304"/>
    <w:rsid w:val="005F77FD"/>
    <w:rsid w:val="006008AA"/>
    <w:rsid w:val="006020AC"/>
    <w:rsid w:val="0060386D"/>
    <w:rsid w:val="00605E80"/>
    <w:rsid w:val="006105B1"/>
    <w:rsid w:val="00614055"/>
    <w:rsid w:val="006235FF"/>
    <w:rsid w:val="00623EC8"/>
    <w:rsid w:val="00624DE3"/>
    <w:rsid w:val="006256DC"/>
    <w:rsid w:val="00637003"/>
    <w:rsid w:val="0064013C"/>
    <w:rsid w:val="00644845"/>
    <w:rsid w:val="00653C2F"/>
    <w:rsid w:val="00654B97"/>
    <w:rsid w:val="006564EC"/>
    <w:rsid w:val="00656968"/>
    <w:rsid w:val="00656DBE"/>
    <w:rsid w:val="006575F4"/>
    <w:rsid w:val="006711A3"/>
    <w:rsid w:val="00673A3C"/>
    <w:rsid w:val="0067556A"/>
    <w:rsid w:val="006761E4"/>
    <w:rsid w:val="006827C8"/>
    <w:rsid w:val="006834A9"/>
    <w:rsid w:val="0068446A"/>
    <w:rsid w:val="006844C3"/>
    <w:rsid w:val="00685A83"/>
    <w:rsid w:val="0068688F"/>
    <w:rsid w:val="00686C6A"/>
    <w:rsid w:val="0069202A"/>
    <w:rsid w:val="00692E43"/>
    <w:rsid w:val="006946DD"/>
    <w:rsid w:val="00694A82"/>
    <w:rsid w:val="00695D2F"/>
    <w:rsid w:val="00696957"/>
    <w:rsid w:val="006A0B7A"/>
    <w:rsid w:val="006A0D6C"/>
    <w:rsid w:val="006A3F01"/>
    <w:rsid w:val="006A68C9"/>
    <w:rsid w:val="006B120B"/>
    <w:rsid w:val="006B36D2"/>
    <w:rsid w:val="006B6B14"/>
    <w:rsid w:val="006C12D7"/>
    <w:rsid w:val="006C25EA"/>
    <w:rsid w:val="006C6043"/>
    <w:rsid w:val="006C6103"/>
    <w:rsid w:val="006D453C"/>
    <w:rsid w:val="006E0DF6"/>
    <w:rsid w:val="006E1D96"/>
    <w:rsid w:val="006E24D1"/>
    <w:rsid w:val="006E3420"/>
    <w:rsid w:val="006E4A14"/>
    <w:rsid w:val="006E5851"/>
    <w:rsid w:val="006F1F77"/>
    <w:rsid w:val="006F7285"/>
    <w:rsid w:val="006F7620"/>
    <w:rsid w:val="0070061B"/>
    <w:rsid w:val="00700A99"/>
    <w:rsid w:val="007015A8"/>
    <w:rsid w:val="007030BE"/>
    <w:rsid w:val="00704C2F"/>
    <w:rsid w:val="00706053"/>
    <w:rsid w:val="0070747D"/>
    <w:rsid w:val="00710A86"/>
    <w:rsid w:val="00712A11"/>
    <w:rsid w:val="007130FA"/>
    <w:rsid w:val="00716855"/>
    <w:rsid w:val="00716C3A"/>
    <w:rsid w:val="00716DE0"/>
    <w:rsid w:val="007263C1"/>
    <w:rsid w:val="0072678E"/>
    <w:rsid w:val="00730BA1"/>
    <w:rsid w:val="00735D80"/>
    <w:rsid w:val="00742A01"/>
    <w:rsid w:val="00750056"/>
    <w:rsid w:val="007543B7"/>
    <w:rsid w:val="0075648F"/>
    <w:rsid w:val="00761007"/>
    <w:rsid w:val="0076339F"/>
    <w:rsid w:val="0077535E"/>
    <w:rsid w:val="0077553E"/>
    <w:rsid w:val="007765CC"/>
    <w:rsid w:val="007804B3"/>
    <w:rsid w:val="00780B8E"/>
    <w:rsid w:val="007814F3"/>
    <w:rsid w:val="007866DF"/>
    <w:rsid w:val="0079024E"/>
    <w:rsid w:val="00792C6A"/>
    <w:rsid w:val="00793155"/>
    <w:rsid w:val="00793AF8"/>
    <w:rsid w:val="007941DC"/>
    <w:rsid w:val="007951B8"/>
    <w:rsid w:val="00795A80"/>
    <w:rsid w:val="00795C93"/>
    <w:rsid w:val="007A6649"/>
    <w:rsid w:val="007B163B"/>
    <w:rsid w:val="007B55EC"/>
    <w:rsid w:val="007B651F"/>
    <w:rsid w:val="007C05FB"/>
    <w:rsid w:val="007C746A"/>
    <w:rsid w:val="007D04D6"/>
    <w:rsid w:val="007D10EE"/>
    <w:rsid w:val="007D435F"/>
    <w:rsid w:val="007D4D1A"/>
    <w:rsid w:val="007D7C73"/>
    <w:rsid w:val="007E0907"/>
    <w:rsid w:val="007E3DA7"/>
    <w:rsid w:val="007E5AA0"/>
    <w:rsid w:val="007E5B70"/>
    <w:rsid w:val="007F0315"/>
    <w:rsid w:val="007F1302"/>
    <w:rsid w:val="007F76A2"/>
    <w:rsid w:val="007F785D"/>
    <w:rsid w:val="008015F8"/>
    <w:rsid w:val="00801F93"/>
    <w:rsid w:val="008022D0"/>
    <w:rsid w:val="0081344B"/>
    <w:rsid w:val="0082047F"/>
    <w:rsid w:val="0082234E"/>
    <w:rsid w:val="00823CC5"/>
    <w:rsid w:val="008277C9"/>
    <w:rsid w:val="00834715"/>
    <w:rsid w:val="00842372"/>
    <w:rsid w:val="00843DA8"/>
    <w:rsid w:val="00845F4C"/>
    <w:rsid w:val="00857D39"/>
    <w:rsid w:val="00866C86"/>
    <w:rsid w:val="008703BE"/>
    <w:rsid w:val="00875379"/>
    <w:rsid w:val="00877A2F"/>
    <w:rsid w:val="00882D7A"/>
    <w:rsid w:val="008856DC"/>
    <w:rsid w:val="00893527"/>
    <w:rsid w:val="00893F60"/>
    <w:rsid w:val="008945CC"/>
    <w:rsid w:val="00896D15"/>
    <w:rsid w:val="008A162B"/>
    <w:rsid w:val="008A4F1E"/>
    <w:rsid w:val="008A7492"/>
    <w:rsid w:val="008B0AB8"/>
    <w:rsid w:val="008B4FF8"/>
    <w:rsid w:val="008B6AA8"/>
    <w:rsid w:val="008B7589"/>
    <w:rsid w:val="008C043B"/>
    <w:rsid w:val="008C1DAF"/>
    <w:rsid w:val="008C3761"/>
    <w:rsid w:val="008C3B2E"/>
    <w:rsid w:val="008C73F2"/>
    <w:rsid w:val="008D0507"/>
    <w:rsid w:val="008D0C28"/>
    <w:rsid w:val="008D3C13"/>
    <w:rsid w:val="008D3FB4"/>
    <w:rsid w:val="008D5331"/>
    <w:rsid w:val="008D5480"/>
    <w:rsid w:val="008D5A29"/>
    <w:rsid w:val="008E53BB"/>
    <w:rsid w:val="008F6B82"/>
    <w:rsid w:val="008F7634"/>
    <w:rsid w:val="00902667"/>
    <w:rsid w:val="009044A0"/>
    <w:rsid w:val="00905ED5"/>
    <w:rsid w:val="00911B7B"/>
    <w:rsid w:val="00917A43"/>
    <w:rsid w:val="00917D48"/>
    <w:rsid w:val="009224C1"/>
    <w:rsid w:val="00924DF6"/>
    <w:rsid w:val="0092611F"/>
    <w:rsid w:val="009326DC"/>
    <w:rsid w:val="0093298F"/>
    <w:rsid w:val="0093406F"/>
    <w:rsid w:val="00936620"/>
    <w:rsid w:val="00936A9D"/>
    <w:rsid w:val="00945563"/>
    <w:rsid w:val="00946899"/>
    <w:rsid w:val="00947A7B"/>
    <w:rsid w:val="009517F3"/>
    <w:rsid w:val="0095463F"/>
    <w:rsid w:val="009577C6"/>
    <w:rsid w:val="009602EF"/>
    <w:rsid w:val="0096065B"/>
    <w:rsid w:val="0096087D"/>
    <w:rsid w:val="00963BF3"/>
    <w:rsid w:val="00965A65"/>
    <w:rsid w:val="009676BB"/>
    <w:rsid w:val="0097055A"/>
    <w:rsid w:val="00970DEA"/>
    <w:rsid w:val="00973354"/>
    <w:rsid w:val="00976927"/>
    <w:rsid w:val="00976D6A"/>
    <w:rsid w:val="00986DC1"/>
    <w:rsid w:val="009873A1"/>
    <w:rsid w:val="00987AC8"/>
    <w:rsid w:val="00995D8F"/>
    <w:rsid w:val="009A2F9C"/>
    <w:rsid w:val="009A3C57"/>
    <w:rsid w:val="009A45DF"/>
    <w:rsid w:val="009A4BFA"/>
    <w:rsid w:val="009A7903"/>
    <w:rsid w:val="009B2290"/>
    <w:rsid w:val="009B298D"/>
    <w:rsid w:val="009B3A7B"/>
    <w:rsid w:val="009B3C48"/>
    <w:rsid w:val="009C2907"/>
    <w:rsid w:val="009C34FF"/>
    <w:rsid w:val="009C7C48"/>
    <w:rsid w:val="009D31A0"/>
    <w:rsid w:val="009D346D"/>
    <w:rsid w:val="009D61A5"/>
    <w:rsid w:val="009E4598"/>
    <w:rsid w:val="009E512C"/>
    <w:rsid w:val="009F04EC"/>
    <w:rsid w:val="009F135C"/>
    <w:rsid w:val="009F325B"/>
    <w:rsid w:val="009F39A2"/>
    <w:rsid w:val="009F3D71"/>
    <w:rsid w:val="009F43DD"/>
    <w:rsid w:val="009F4B9A"/>
    <w:rsid w:val="009F7002"/>
    <w:rsid w:val="009F7756"/>
    <w:rsid w:val="00A0410B"/>
    <w:rsid w:val="00A045E1"/>
    <w:rsid w:val="00A048F0"/>
    <w:rsid w:val="00A0516A"/>
    <w:rsid w:val="00A055A2"/>
    <w:rsid w:val="00A0587F"/>
    <w:rsid w:val="00A07B9A"/>
    <w:rsid w:val="00A108BA"/>
    <w:rsid w:val="00A1390D"/>
    <w:rsid w:val="00A27638"/>
    <w:rsid w:val="00A30C72"/>
    <w:rsid w:val="00A3483B"/>
    <w:rsid w:val="00A370FD"/>
    <w:rsid w:val="00A4113E"/>
    <w:rsid w:val="00A42699"/>
    <w:rsid w:val="00A45B00"/>
    <w:rsid w:val="00A463F1"/>
    <w:rsid w:val="00A46D80"/>
    <w:rsid w:val="00A47C8D"/>
    <w:rsid w:val="00A509E7"/>
    <w:rsid w:val="00A52453"/>
    <w:rsid w:val="00A52CEF"/>
    <w:rsid w:val="00A5426C"/>
    <w:rsid w:val="00A55867"/>
    <w:rsid w:val="00A56987"/>
    <w:rsid w:val="00A56EA6"/>
    <w:rsid w:val="00A60EE0"/>
    <w:rsid w:val="00A6204F"/>
    <w:rsid w:val="00A63F46"/>
    <w:rsid w:val="00A65564"/>
    <w:rsid w:val="00A74EDC"/>
    <w:rsid w:val="00A77755"/>
    <w:rsid w:val="00A86276"/>
    <w:rsid w:val="00A95A02"/>
    <w:rsid w:val="00AA1261"/>
    <w:rsid w:val="00AA13E5"/>
    <w:rsid w:val="00AA15C5"/>
    <w:rsid w:val="00AA432C"/>
    <w:rsid w:val="00AA56A2"/>
    <w:rsid w:val="00AA65D5"/>
    <w:rsid w:val="00AA6FC9"/>
    <w:rsid w:val="00AB2EDD"/>
    <w:rsid w:val="00AB4CCA"/>
    <w:rsid w:val="00AC1F26"/>
    <w:rsid w:val="00AC2156"/>
    <w:rsid w:val="00AC51C8"/>
    <w:rsid w:val="00AC6C4F"/>
    <w:rsid w:val="00AC6F44"/>
    <w:rsid w:val="00AC7169"/>
    <w:rsid w:val="00AD1027"/>
    <w:rsid w:val="00AD1805"/>
    <w:rsid w:val="00AD3C7E"/>
    <w:rsid w:val="00AD67E7"/>
    <w:rsid w:val="00AF0FD3"/>
    <w:rsid w:val="00AF4F48"/>
    <w:rsid w:val="00B00AE2"/>
    <w:rsid w:val="00B017CF"/>
    <w:rsid w:val="00B0438C"/>
    <w:rsid w:val="00B124EB"/>
    <w:rsid w:val="00B12F1E"/>
    <w:rsid w:val="00B14A3A"/>
    <w:rsid w:val="00B23B2D"/>
    <w:rsid w:val="00B2623E"/>
    <w:rsid w:val="00B3067D"/>
    <w:rsid w:val="00B30EAC"/>
    <w:rsid w:val="00B31898"/>
    <w:rsid w:val="00B32AD3"/>
    <w:rsid w:val="00B35339"/>
    <w:rsid w:val="00B35459"/>
    <w:rsid w:val="00B36404"/>
    <w:rsid w:val="00B4112F"/>
    <w:rsid w:val="00B43719"/>
    <w:rsid w:val="00B43DCB"/>
    <w:rsid w:val="00B46332"/>
    <w:rsid w:val="00B46E46"/>
    <w:rsid w:val="00B52224"/>
    <w:rsid w:val="00B5306C"/>
    <w:rsid w:val="00B5677A"/>
    <w:rsid w:val="00B57B4C"/>
    <w:rsid w:val="00B60205"/>
    <w:rsid w:val="00B61C66"/>
    <w:rsid w:val="00B66DA2"/>
    <w:rsid w:val="00B70555"/>
    <w:rsid w:val="00B713D1"/>
    <w:rsid w:val="00B94141"/>
    <w:rsid w:val="00B9494C"/>
    <w:rsid w:val="00B957B9"/>
    <w:rsid w:val="00B973ED"/>
    <w:rsid w:val="00B97E7C"/>
    <w:rsid w:val="00BA13B8"/>
    <w:rsid w:val="00BA5F5F"/>
    <w:rsid w:val="00BA7479"/>
    <w:rsid w:val="00BB00F1"/>
    <w:rsid w:val="00BB0643"/>
    <w:rsid w:val="00BB2FA9"/>
    <w:rsid w:val="00BB66BD"/>
    <w:rsid w:val="00BB7BF3"/>
    <w:rsid w:val="00BC2763"/>
    <w:rsid w:val="00BC33EA"/>
    <w:rsid w:val="00BC7C97"/>
    <w:rsid w:val="00BD097C"/>
    <w:rsid w:val="00BD725A"/>
    <w:rsid w:val="00BD7BF3"/>
    <w:rsid w:val="00BE1423"/>
    <w:rsid w:val="00BE4023"/>
    <w:rsid w:val="00BE5C31"/>
    <w:rsid w:val="00BF32EB"/>
    <w:rsid w:val="00BF3B88"/>
    <w:rsid w:val="00BF60B5"/>
    <w:rsid w:val="00BF7065"/>
    <w:rsid w:val="00C10C57"/>
    <w:rsid w:val="00C13B68"/>
    <w:rsid w:val="00C20A88"/>
    <w:rsid w:val="00C31B91"/>
    <w:rsid w:val="00C32F8F"/>
    <w:rsid w:val="00C33E18"/>
    <w:rsid w:val="00C42954"/>
    <w:rsid w:val="00C46FB8"/>
    <w:rsid w:val="00C50F72"/>
    <w:rsid w:val="00C51044"/>
    <w:rsid w:val="00C52DB9"/>
    <w:rsid w:val="00C5485D"/>
    <w:rsid w:val="00C5511B"/>
    <w:rsid w:val="00C56F62"/>
    <w:rsid w:val="00C604E8"/>
    <w:rsid w:val="00C60CD4"/>
    <w:rsid w:val="00C649A0"/>
    <w:rsid w:val="00C6563B"/>
    <w:rsid w:val="00C65642"/>
    <w:rsid w:val="00C670D8"/>
    <w:rsid w:val="00C72A36"/>
    <w:rsid w:val="00C74C7A"/>
    <w:rsid w:val="00C7776D"/>
    <w:rsid w:val="00C80986"/>
    <w:rsid w:val="00C82721"/>
    <w:rsid w:val="00C93557"/>
    <w:rsid w:val="00C94CC0"/>
    <w:rsid w:val="00CA39D3"/>
    <w:rsid w:val="00CA6B2B"/>
    <w:rsid w:val="00CB3689"/>
    <w:rsid w:val="00CB3CE3"/>
    <w:rsid w:val="00CB43A0"/>
    <w:rsid w:val="00CB793A"/>
    <w:rsid w:val="00CC6EE7"/>
    <w:rsid w:val="00CD0A8D"/>
    <w:rsid w:val="00CD5766"/>
    <w:rsid w:val="00CD716E"/>
    <w:rsid w:val="00CE066A"/>
    <w:rsid w:val="00CE0C60"/>
    <w:rsid w:val="00CE52F0"/>
    <w:rsid w:val="00CF0223"/>
    <w:rsid w:val="00CF2056"/>
    <w:rsid w:val="00CF3F40"/>
    <w:rsid w:val="00CF5B85"/>
    <w:rsid w:val="00CF5E18"/>
    <w:rsid w:val="00D02961"/>
    <w:rsid w:val="00D0379E"/>
    <w:rsid w:val="00D1019D"/>
    <w:rsid w:val="00D13206"/>
    <w:rsid w:val="00D13DE6"/>
    <w:rsid w:val="00D16C4F"/>
    <w:rsid w:val="00D17693"/>
    <w:rsid w:val="00D2106D"/>
    <w:rsid w:val="00D22961"/>
    <w:rsid w:val="00D266EE"/>
    <w:rsid w:val="00D26FD0"/>
    <w:rsid w:val="00D27823"/>
    <w:rsid w:val="00D309FB"/>
    <w:rsid w:val="00D30D11"/>
    <w:rsid w:val="00D31D23"/>
    <w:rsid w:val="00D36023"/>
    <w:rsid w:val="00D4073E"/>
    <w:rsid w:val="00D434A8"/>
    <w:rsid w:val="00D4649F"/>
    <w:rsid w:val="00D47BED"/>
    <w:rsid w:val="00D51A9F"/>
    <w:rsid w:val="00D54D28"/>
    <w:rsid w:val="00D551AB"/>
    <w:rsid w:val="00D55E12"/>
    <w:rsid w:val="00D56AB7"/>
    <w:rsid w:val="00D575D0"/>
    <w:rsid w:val="00D57EDF"/>
    <w:rsid w:val="00D60282"/>
    <w:rsid w:val="00D61A28"/>
    <w:rsid w:val="00D61CEA"/>
    <w:rsid w:val="00D71F09"/>
    <w:rsid w:val="00D71F0D"/>
    <w:rsid w:val="00D723DD"/>
    <w:rsid w:val="00D72C66"/>
    <w:rsid w:val="00D73AB3"/>
    <w:rsid w:val="00D8512B"/>
    <w:rsid w:val="00D8673A"/>
    <w:rsid w:val="00D905C4"/>
    <w:rsid w:val="00D94665"/>
    <w:rsid w:val="00D94B04"/>
    <w:rsid w:val="00D96AC5"/>
    <w:rsid w:val="00DA06B8"/>
    <w:rsid w:val="00DA490A"/>
    <w:rsid w:val="00DA7343"/>
    <w:rsid w:val="00DB0569"/>
    <w:rsid w:val="00DB1643"/>
    <w:rsid w:val="00DB16B0"/>
    <w:rsid w:val="00DB1B7E"/>
    <w:rsid w:val="00DC0920"/>
    <w:rsid w:val="00DC2B05"/>
    <w:rsid w:val="00DC3025"/>
    <w:rsid w:val="00DC3333"/>
    <w:rsid w:val="00DC3E21"/>
    <w:rsid w:val="00DC606A"/>
    <w:rsid w:val="00DC67E2"/>
    <w:rsid w:val="00DC7C2D"/>
    <w:rsid w:val="00DD2486"/>
    <w:rsid w:val="00DD53EE"/>
    <w:rsid w:val="00DE271C"/>
    <w:rsid w:val="00DE79A4"/>
    <w:rsid w:val="00DF1E46"/>
    <w:rsid w:val="00DF380B"/>
    <w:rsid w:val="00DF685D"/>
    <w:rsid w:val="00DF6F5A"/>
    <w:rsid w:val="00E018B6"/>
    <w:rsid w:val="00E1053D"/>
    <w:rsid w:val="00E11356"/>
    <w:rsid w:val="00E1231D"/>
    <w:rsid w:val="00E1378E"/>
    <w:rsid w:val="00E16159"/>
    <w:rsid w:val="00E22710"/>
    <w:rsid w:val="00E245EA"/>
    <w:rsid w:val="00E261AF"/>
    <w:rsid w:val="00E2749C"/>
    <w:rsid w:val="00E30D0B"/>
    <w:rsid w:val="00E349C2"/>
    <w:rsid w:val="00E40C9B"/>
    <w:rsid w:val="00E42792"/>
    <w:rsid w:val="00E45720"/>
    <w:rsid w:val="00E46550"/>
    <w:rsid w:val="00E56F01"/>
    <w:rsid w:val="00E57AC2"/>
    <w:rsid w:val="00E6169E"/>
    <w:rsid w:val="00E61982"/>
    <w:rsid w:val="00E72B45"/>
    <w:rsid w:val="00E72BD1"/>
    <w:rsid w:val="00E757C5"/>
    <w:rsid w:val="00E77136"/>
    <w:rsid w:val="00E81285"/>
    <w:rsid w:val="00E82FE4"/>
    <w:rsid w:val="00E84CCF"/>
    <w:rsid w:val="00E90B2F"/>
    <w:rsid w:val="00EA1683"/>
    <w:rsid w:val="00EA2CFF"/>
    <w:rsid w:val="00EA66D7"/>
    <w:rsid w:val="00EA6EB6"/>
    <w:rsid w:val="00EB480D"/>
    <w:rsid w:val="00EB64CF"/>
    <w:rsid w:val="00EB6989"/>
    <w:rsid w:val="00EB6A75"/>
    <w:rsid w:val="00EC2F25"/>
    <w:rsid w:val="00ED07A9"/>
    <w:rsid w:val="00ED5188"/>
    <w:rsid w:val="00ED5764"/>
    <w:rsid w:val="00ED6D7E"/>
    <w:rsid w:val="00EE1E1B"/>
    <w:rsid w:val="00EE3B70"/>
    <w:rsid w:val="00EE40D4"/>
    <w:rsid w:val="00EE4F8F"/>
    <w:rsid w:val="00EF0682"/>
    <w:rsid w:val="00EF3EFB"/>
    <w:rsid w:val="00EF643A"/>
    <w:rsid w:val="00F00AC8"/>
    <w:rsid w:val="00F01049"/>
    <w:rsid w:val="00F07111"/>
    <w:rsid w:val="00F11321"/>
    <w:rsid w:val="00F13A3A"/>
    <w:rsid w:val="00F1450C"/>
    <w:rsid w:val="00F14F60"/>
    <w:rsid w:val="00F23DA1"/>
    <w:rsid w:val="00F24457"/>
    <w:rsid w:val="00F3047C"/>
    <w:rsid w:val="00F33531"/>
    <w:rsid w:val="00F35941"/>
    <w:rsid w:val="00F37943"/>
    <w:rsid w:val="00F42D8C"/>
    <w:rsid w:val="00F43B1E"/>
    <w:rsid w:val="00F43D88"/>
    <w:rsid w:val="00F45342"/>
    <w:rsid w:val="00F50362"/>
    <w:rsid w:val="00F5050A"/>
    <w:rsid w:val="00F54501"/>
    <w:rsid w:val="00F54E6F"/>
    <w:rsid w:val="00F572C7"/>
    <w:rsid w:val="00F57DF6"/>
    <w:rsid w:val="00F678E7"/>
    <w:rsid w:val="00F70F2C"/>
    <w:rsid w:val="00F72ACA"/>
    <w:rsid w:val="00F82BE8"/>
    <w:rsid w:val="00F83E59"/>
    <w:rsid w:val="00F84F5F"/>
    <w:rsid w:val="00F86EBC"/>
    <w:rsid w:val="00F8717D"/>
    <w:rsid w:val="00F928CC"/>
    <w:rsid w:val="00F94415"/>
    <w:rsid w:val="00FA0784"/>
    <w:rsid w:val="00FA0907"/>
    <w:rsid w:val="00FA1C2D"/>
    <w:rsid w:val="00FA1E12"/>
    <w:rsid w:val="00FA26CB"/>
    <w:rsid w:val="00FA3961"/>
    <w:rsid w:val="00FA4409"/>
    <w:rsid w:val="00FA52F5"/>
    <w:rsid w:val="00FA5B01"/>
    <w:rsid w:val="00FA6CAC"/>
    <w:rsid w:val="00FB083B"/>
    <w:rsid w:val="00FB671B"/>
    <w:rsid w:val="00FC4099"/>
    <w:rsid w:val="00FC5BDD"/>
    <w:rsid w:val="00FC5E52"/>
    <w:rsid w:val="00FC7339"/>
    <w:rsid w:val="00FD4DB8"/>
    <w:rsid w:val="00FD584D"/>
    <w:rsid w:val="00FD6416"/>
    <w:rsid w:val="00FE010B"/>
    <w:rsid w:val="00FE434F"/>
    <w:rsid w:val="00FE54E4"/>
    <w:rsid w:val="00FF1E2B"/>
    <w:rsid w:val="00FF2923"/>
    <w:rsid w:val="00FF2EB8"/>
    <w:rsid w:val="00FF491C"/>
    <w:rsid w:val="00FF646C"/>
    <w:rsid w:val="00FF64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EEC99B"/>
  <w15:chartTrackingRefBased/>
  <w15:docId w15:val="{96C30B52-09C1-4839-8F52-3DD2E10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646C"/>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uiPriority w:val="99"/>
    <w:rsid w:val="001A591C"/>
    <w:pPr>
      <w:tabs>
        <w:tab w:val="center" w:pos="4536"/>
        <w:tab w:val="right" w:pos="9072"/>
      </w:tabs>
    </w:pPr>
  </w:style>
  <w:style w:type="character" w:customStyle="1" w:styleId="HlavikaChar">
    <w:name w:val="Hlavička Char"/>
    <w:link w:val="Hlavika"/>
    <w:uiPriority w:val="99"/>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
    <w:link w:val="Odsekzoznamu"/>
    <w:uiPriority w:val="34"/>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Sil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uiPriority w:val="99"/>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 w:type="table" w:customStyle="1" w:styleId="Mriekatabuky1">
    <w:name w:val="Mriežka tabuľky1"/>
    <w:basedOn w:val="Normlnatabuka"/>
    <w:next w:val="Mriekatabuky"/>
    <w:uiPriority w:val="59"/>
    <w:rsid w:val="002A46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A4605"/>
    <w:rPr>
      <w:rFonts w:cs="Times New Roman"/>
    </w:rPr>
  </w:style>
  <w:style w:type="table" w:customStyle="1" w:styleId="Mriekatabukysvetl1">
    <w:name w:val="Mriežka tabuľky – svetlá1"/>
    <w:basedOn w:val="Normlnatabuka"/>
    <w:uiPriority w:val="40"/>
    <w:rsid w:val="002A4605"/>
    <w:rPr>
      <w:rFonts w:ascii="Calibri" w:eastAsia="Calibri" w:hAnsi="Calibri"/>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Mriekatabuky71">
    <w:name w:val="Mriežka tabuľky71"/>
    <w:basedOn w:val="Normlnatabuka"/>
    <w:next w:val="Mriekatabuky"/>
    <w:uiPriority w:val="39"/>
    <w:rsid w:val="002A4605"/>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2A4605"/>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Mriekatabuky2">
    <w:name w:val="Mriežka tabuľky2"/>
    <w:basedOn w:val="Normlnatabuka"/>
    <w:next w:val="Mriekatabuky"/>
    <w:uiPriority w:val="59"/>
    <w:rsid w:val="002A46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BC2763"/>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1648484718305530482msolistparagraph">
    <w:name w:val="gmail-m_-1648484718305530482msolistparagraph"/>
    <w:basedOn w:val="Normlny"/>
    <w:rsid w:val="0040239E"/>
    <w:pPr>
      <w:widowControl/>
      <w:autoSpaceDE/>
      <w:autoSpaceDN/>
      <w:adjustRightInd/>
      <w:spacing w:before="100" w:beforeAutospacing="1" w:after="100" w:afterAutospacing="1"/>
    </w:pPr>
    <w:rPr>
      <w:rFonts w:ascii="Calibri" w:eastAsiaTheme="minorHAnsi" w:hAnsi="Calibri" w:cs="Calibri"/>
      <w:sz w:val="22"/>
      <w:szCs w:val="22"/>
    </w:rPr>
  </w:style>
  <w:style w:type="paragraph" w:styleId="Nzov">
    <w:name w:val="Title"/>
    <w:basedOn w:val="Normlny"/>
    <w:link w:val="NzovChar"/>
    <w:qFormat/>
    <w:rsid w:val="0040239E"/>
    <w:pPr>
      <w:widowControl/>
      <w:autoSpaceDE/>
      <w:autoSpaceDN/>
      <w:adjustRightInd/>
      <w:jc w:val="center"/>
    </w:pPr>
    <w:rPr>
      <w:b/>
      <w:bCs/>
      <w:sz w:val="28"/>
    </w:rPr>
  </w:style>
  <w:style w:type="character" w:customStyle="1" w:styleId="NzovChar">
    <w:name w:val="Názov Char"/>
    <w:basedOn w:val="Predvolenpsmoodseku"/>
    <w:link w:val="Nzov"/>
    <w:rsid w:val="0040239E"/>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874">
      <w:bodyDiv w:val="1"/>
      <w:marLeft w:val="0"/>
      <w:marRight w:val="0"/>
      <w:marTop w:val="0"/>
      <w:marBottom w:val="0"/>
      <w:divBdr>
        <w:top w:val="none" w:sz="0" w:space="0" w:color="auto"/>
        <w:left w:val="none" w:sz="0" w:space="0" w:color="auto"/>
        <w:bottom w:val="none" w:sz="0" w:space="0" w:color="auto"/>
        <w:right w:val="none" w:sz="0" w:space="0" w:color="auto"/>
      </w:divBdr>
    </w:div>
    <w:div w:id="185796663">
      <w:bodyDiv w:val="1"/>
      <w:marLeft w:val="0"/>
      <w:marRight w:val="0"/>
      <w:marTop w:val="0"/>
      <w:marBottom w:val="0"/>
      <w:divBdr>
        <w:top w:val="none" w:sz="0" w:space="0" w:color="auto"/>
        <w:left w:val="none" w:sz="0" w:space="0" w:color="auto"/>
        <w:bottom w:val="none" w:sz="0" w:space="0" w:color="auto"/>
        <w:right w:val="none" w:sz="0" w:space="0" w:color="auto"/>
      </w:divBdr>
    </w:div>
    <w:div w:id="289477219">
      <w:bodyDiv w:val="1"/>
      <w:marLeft w:val="0"/>
      <w:marRight w:val="0"/>
      <w:marTop w:val="0"/>
      <w:marBottom w:val="0"/>
      <w:divBdr>
        <w:top w:val="none" w:sz="0" w:space="0" w:color="auto"/>
        <w:left w:val="none" w:sz="0" w:space="0" w:color="auto"/>
        <w:bottom w:val="none" w:sz="0" w:space="0" w:color="auto"/>
        <w:right w:val="none" w:sz="0" w:space="0" w:color="auto"/>
      </w:divBdr>
    </w:div>
    <w:div w:id="338192398">
      <w:bodyDiv w:val="1"/>
      <w:marLeft w:val="0"/>
      <w:marRight w:val="0"/>
      <w:marTop w:val="0"/>
      <w:marBottom w:val="0"/>
      <w:divBdr>
        <w:top w:val="none" w:sz="0" w:space="0" w:color="auto"/>
        <w:left w:val="none" w:sz="0" w:space="0" w:color="auto"/>
        <w:bottom w:val="none" w:sz="0" w:space="0" w:color="auto"/>
        <w:right w:val="none" w:sz="0" w:space="0" w:color="auto"/>
      </w:divBdr>
    </w:div>
    <w:div w:id="366881543">
      <w:bodyDiv w:val="1"/>
      <w:marLeft w:val="0"/>
      <w:marRight w:val="0"/>
      <w:marTop w:val="0"/>
      <w:marBottom w:val="0"/>
      <w:divBdr>
        <w:top w:val="none" w:sz="0" w:space="0" w:color="auto"/>
        <w:left w:val="none" w:sz="0" w:space="0" w:color="auto"/>
        <w:bottom w:val="none" w:sz="0" w:space="0" w:color="auto"/>
        <w:right w:val="none" w:sz="0" w:space="0" w:color="auto"/>
      </w:divBdr>
    </w:div>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1179739037">
          <w:marLeft w:val="0"/>
          <w:marRight w:val="0"/>
          <w:marTop w:val="0"/>
          <w:marBottom w:val="0"/>
          <w:divBdr>
            <w:top w:val="none" w:sz="0" w:space="0" w:color="auto"/>
            <w:left w:val="none" w:sz="0" w:space="0" w:color="auto"/>
            <w:bottom w:val="none" w:sz="0" w:space="0" w:color="auto"/>
            <w:right w:val="none" w:sz="0" w:space="0" w:color="auto"/>
          </w:divBdr>
        </w:div>
        <w:div w:id="373314667">
          <w:marLeft w:val="0"/>
          <w:marRight w:val="0"/>
          <w:marTop w:val="0"/>
          <w:marBottom w:val="0"/>
          <w:divBdr>
            <w:top w:val="none" w:sz="0" w:space="0" w:color="auto"/>
            <w:left w:val="none" w:sz="0" w:space="0" w:color="auto"/>
            <w:bottom w:val="none" w:sz="0" w:space="0" w:color="auto"/>
            <w:right w:val="none" w:sz="0" w:space="0" w:color="auto"/>
          </w:divBdr>
        </w:div>
      </w:divsChild>
    </w:div>
    <w:div w:id="576092147">
      <w:bodyDiv w:val="1"/>
      <w:marLeft w:val="0"/>
      <w:marRight w:val="0"/>
      <w:marTop w:val="0"/>
      <w:marBottom w:val="0"/>
      <w:divBdr>
        <w:top w:val="none" w:sz="0" w:space="0" w:color="auto"/>
        <w:left w:val="none" w:sz="0" w:space="0" w:color="auto"/>
        <w:bottom w:val="none" w:sz="0" w:space="0" w:color="auto"/>
        <w:right w:val="none" w:sz="0" w:space="0" w:color="auto"/>
      </w:divBdr>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822044183">
      <w:bodyDiv w:val="1"/>
      <w:marLeft w:val="0"/>
      <w:marRight w:val="0"/>
      <w:marTop w:val="0"/>
      <w:marBottom w:val="0"/>
      <w:divBdr>
        <w:top w:val="none" w:sz="0" w:space="0" w:color="auto"/>
        <w:left w:val="none" w:sz="0" w:space="0" w:color="auto"/>
        <w:bottom w:val="none" w:sz="0" w:space="0" w:color="auto"/>
        <w:right w:val="none" w:sz="0" w:space="0" w:color="auto"/>
      </w:divBdr>
    </w:div>
    <w:div w:id="918321031">
      <w:bodyDiv w:val="1"/>
      <w:marLeft w:val="0"/>
      <w:marRight w:val="0"/>
      <w:marTop w:val="0"/>
      <w:marBottom w:val="0"/>
      <w:divBdr>
        <w:top w:val="none" w:sz="0" w:space="0" w:color="auto"/>
        <w:left w:val="none" w:sz="0" w:space="0" w:color="auto"/>
        <w:bottom w:val="none" w:sz="0" w:space="0" w:color="auto"/>
        <w:right w:val="none" w:sz="0" w:space="0" w:color="auto"/>
      </w:divBdr>
    </w:div>
    <w:div w:id="1079668589">
      <w:bodyDiv w:val="1"/>
      <w:marLeft w:val="0"/>
      <w:marRight w:val="0"/>
      <w:marTop w:val="0"/>
      <w:marBottom w:val="0"/>
      <w:divBdr>
        <w:top w:val="none" w:sz="0" w:space="0" w:color="auto"/>
        <w:left w:val="none" w:sz="0" w:space="0" w:color="auto"/>
        <w:bottom w:val="none" w:sz="0" w:space="0" w:color="auto"/>
        <w:right w:val="none" w:sz="0" w:space="0" w:color="auto"/>
      </w:divBdr>
    </w:div>
    <w:div w:id="1193958591">
      <w:bodyDiv w:val="1"/>
      <w:marLeft w:val="0"/>
      <w:marRight w:val="0"/>
      <w:marTop w:val="0"/>
      <w:marBottom w:val="0"/>
      <w:divBdr>
        <w:top w:val="none" w:sz="0" w:space="0" w:color="auto"/>
        <w:left w:val="none" w:sz="0" w:space="0" w:color="auto"/>
        <w:bottom w:val="none" w:sz="0" w:space="0" w:color="auto"/>
        <w:right w:val="none" w:sz="0" w:space="0" w:color="auto"/>
      </w:divBdr>
    </w:div>
    <w:div w:id="1388145867">
      <w:bodyDiv w:val="1"/>
      <w:marLeft w:val="0"/>
      <w:marRight w:val="0"/>
      <w:marTop w:val="0"/>
      <w:marBottom w:val="0"/>
      <w:divBdr>
        <w:top w:val="none" w:sz="0" w:space="0" w:color="auto"/>
        <w:left w:val="none" w:sz="0" w:space="0" w:color="auto"/>
        <w:bottom w:val="none" w:sz="0" w:space="0" w:color="auto"/>
        <w:right w:val="none" w:sz="0" w:space="0" w:color="auto"/>
      </w:divBdr>
    </w:div>
    <w:div w:id="1423380746">
      <w:bodyDiv w:val="1"/>
      <w:marLeft w:val="0"/>
      <w:marRight w:val="0"/>
      <w:marTop w:val="0"/>
      <w:marBottom w:val="0"/>
      <w:divBdr>
        <w:top w:val="none" w:sz="0" w:space="0" w:color="auto"/>
        <w:left w:val="none" w:sz="0" w:space="0" w:color="auto"/>
        <w:bottom w:val="none" w:sz="0" w:space="0" w:color="auto"/>
        <w:right w:val="none" w:sz="0" w:space="0" w:color="auto"/>
      </w:divBdr>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 w:id="1765107113">
      <w:bodyDiv w:val="1"/>
      <w:marLeft w:val="0"/>
      <w:marRight w:val="0"/>
      <w:marTop w:val="0"/>
      <w:marBottom w:val="0"/>
      <w:divBdr>
        <w:top w:val="none" w:sz="0" w:space="0" w:color="auto"/>
        <w:left w:val="none" w:sz="0" w:space="0" w:color="auto"/>
        <w:bottom w:val="none" w:sz="0" w:space="0" w:color="auto"/>
        <w:right w:val="none" w:sz="0" w:space="0" w:color="auto"/>
      </w:divBdr>
    </w:div>
    <w:div w:id="1946423633">
      <w:bodyDiv w:val="1"/>
      <w:marLeft w:val="0"/>
      <w:marRight w:val="0"/>
      <w:marTop w:val="0"/>
      <w:marBottom w:val="0"/>
      <w:divBdr>
        <w:top w:val="none" w:sz="0" w:space="0" w:color="auto"/>
        <w:left w:val="none" w:sz="0" w:space="0" w:color="auto"/>
        <w:bottom w:val="none" w:sz="0" w:space="0" w:color="auto"/>
        <w:right w:val="none" w:sz="0" w:space="0" w:color="auto"/>
      </w:divBdr>
    </w:div>
    <w:div w:id="2044138179">
      <w:bodyDiv w:val="1"/>
      <w:marLeft w:val="0"/>
      <w:marRight w:val="0"/>
      <w:marTop w:val="0"/>
      <w:marBottom w:val="0"/>
      <w:divBdr>
        <w:top w:val="none" w:sz="0" w:space="0" w:color="auto"/>
        <w:left w:val="none" w:sz="0" w:space="0" w:color="auto"/>
        <w:bottom w:val="none" w:sz="0" w:space="0" w:color="auto"/>
        <w:right w:val="none" w:sz="0" w:space="0" w:color="auto"/>
      </w:divBdr>
    </w:div>
    <w:div w:id="21287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hysek@mindop.sk"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hsr.sk/podnikatelske-prostredie/lepsia-regulacia/regulacne-zatazenie/kalkulacka-nakladov-regulacie"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68CF-9025-40BA-9919-B6BB57A9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6255</Words>
  <Characters>35657</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DÔVODOVÁ   SPRAVA</vt:lpstr>
    </vt:vector>
  </TitlesOfParts>
  <Company>LUSR</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cp:lastModifiedBy>Hýsek, Michal</cp:lastModifiedBy>
  <cp:revision>30</cp:revision>
  <cp:lastPrinted>2024-03-20T12:20:00Z</cp:lastPrinted>
  <dcterms:created xsi:type="dcterms:W3CDTF">2024-03-19T11:14:00Z</dcterms:created>
  <dcterms:modified xsi:type="dcterms:W3CDTF">2024-08-21T08:54:00Z</dcterms:modified>
</cp:coreProperties>
</file>