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7E3A1F1E" w:rsidR="00054C41" w:rsidRPr="001F1B43" w:rsidRDefault="00054C41" w:rsidP="00385D56">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385D56">
        <w:rPr>
          <w:rFonts w:ascii="Times New Roman" w:eastAsia="Calibri" w:hAnsi="Times New Roman" w:cs="Times New Roman"/>
          <w:b/>
          <w:sz w:val="24"/>
          <w:szCs w:val="24"/>
        </w:rPr>
        <w:t xml:space="preserve"> </w:t>
      </w:r>
      <w:r w:rsidR="00385D56" w:rsidRPr="00385D56">
        <w:rPr>
          <w:rFonts w:ascii="Times New Roman" w:eastAsia="Calibri" w:hAnsi="Times New Roman" w:cs="Times New Roman"/>
          <w:b/>
          <w:sz w:val="24"/>
          <w:szCs w:val="24"/>
        </w:rPr>
        <w:t>ZÁKON z … 2024</w:t>
      </w:r>
      <w:r w:rsidR="00385D56">
        <w:rPr>
          <w:rFonts w:ascii="Times New Roman" w:eastAsia="Calibri" w:hAnsi="Times New Roman" w:cs="Times New Roman"/>
          <w:b/>
          <w:sz w:val="24"/>
          <w:szCs w:val="24"/>
        </w:rPr>
        <w:t xml:space="preserve"> </w:t>
      </w:r>
      <w:r w:rsidR="00385D56" w:rsidRPr="00385D56">
        <w:rPr>
          <w:rFonts w:ascii="Times New Roman" w:eastAsia="Calibri" w:hAnsi="Times New Roman" w:cs="Times New Roman"/>
          <w:b/>
          <w:sz w:val="24"/>
          <w:szCs w:val="24"/>
        </w:rPr>
        <w:t>o vzdelávaní dospelých a o zmene a doplnení niektorých zákonov</w:t>
      </w:r>
    </w:p>
    <w:p w14:paraId="2711DC2C" w14:textId="751B1F9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385D56">
        <w:rPr>
          <w:rFonts w:ascii="Times New Roman" w:eastAsia="Calibri" w:hAnsi="Times New Roman" w:cs="Times New Roman"/>
          <w:b/>
          <w:sz w:val="24"/>
          <w:szCs w:val="24"/>
        </w:rPr>
        <w:t xml:space="preserve"> </w:t>
      </w:r>
      <w:proofErr w:type="spellStart"/>
      <w:r w:rsidR="00385D56">
        <w:rPr>
          <w:rFonts w:ascii="Times New Roman" w:eastAsia="Calibri" w:hAnsi="Times New Roman" w:cs="Times New Roman"/>
          <w:b/>
          <w:sz w:val="24"/>
          <w:szCs w:val="24"/>
        </w:rPr>
        <w:t>MŠVVaM</w:t>
      </w:r>
      <w:proofErr w:type="spellEnd"/>
      <w:r w:rsidR="00385D56">
        <w:rPr>
          <w:rFonts w:ascii="Times New Roman" w:eastAsia="Calibri" w:hAnsi="Times New Roman" w:cs="Times New Roman"/>
          <w:b/>
          <w:sz w:val="24"/>
          <w:szCs w:val="24"/>
        </w:rPr>
        <w:t xml:space="preserve"> SR</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0F790483"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7B64D12" w14:textId="77777777"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1231540" w14:textId="77777777"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80383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14:paraId="547BC8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10B7BDC5"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DE6ACB" w:rsidRPr="00895898" w14:paraId="609FED73"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7D629DA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4B47CD37"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1C988908"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22CDA76A"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69C472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4618A9C"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5D0F89C4"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3825113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1129C9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420D0685"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8BFFDBA"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758C9B"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022095BC"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302744A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D8155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5AB3E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5823171"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EAFA69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39720A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CCCE8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71B264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798052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E09713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B494DF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4076F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D05B96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F09B9B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326D60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3EECDF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B619397"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67ED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31066E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48865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545734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30771B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45FEA0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EA14B0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CC858D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8195AE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4DBC1D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DA738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326F55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89E62F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79A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90151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299637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188F0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1D718C3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81CEC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78A8DDA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14B7D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D495C8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514BE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7EE05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5143E9C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356D853D"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9D433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D2938F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17BA3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F2A96C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FE6B8D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14DEF9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5EC50E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5E7EBA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67FD2956"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14BCDC2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2C578C3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5AAA0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DD3812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60ED2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61B4BCC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6DBA927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99151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46F12C0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D3260F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0BF5AA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044CA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26381EE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C2DF2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39BDC25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FD55E5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77912E8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7B30C1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AE2E15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CEB6F1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6F10BC4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70151A8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4A6D8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FBF0B7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F26953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77777777" w:rsidR="001E24E8" w:rsidRDefault="001E24E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054C41">
      <w:pPr>
        <w:rPr>
          <w:rFonts w:ascii="Times New Roman" w:eastAsia="Calibri" w:hAnsi="Times New Roman" w:cs="Times New Roman"/>
          <w:i/>
          <w:sz w:val="24"/>
          <w:szCs w:val="24"/>
        </w:rPr>
      </w:pPr>
    </w:p>
    <w:p w14:paraId="4B6C06E6" w14:textId="77777777" w:rsidR="00024EE4" w:rsidRDefault="00024EE4" w:rsidP="00054C41">
      <w:pPr>
        <w:jc w:val="both"/>
        <w:rPr>
          <w:rFonts w:ascii="Times New Roman" w:eastAsia="Calibri" w:hAnsi="Times New Roman" w:cs="Times New Roman"/>
          <w:b/>
          <w:sz w:val="24"/>
          <w:szCs w:val="24"/>
        </w:rPr>
      </w:pP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09DEAD38"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3EA7FB16" w14:textId="37C23A9D" w:rsidR="007203B3" w:rsidRDefault="007203B3" w:rsidP="00054C41">
      <w:pPr>
        <w:spacing w:after="0"/>
        <w:jc w:val="both"/>
        <w:rPr>
          <w:rFonts w:ascii="Times New Roman" w:eastAsia="Calibri" w:hAnsi="Times New Roman" w:cs="Times New Roman"/>
          <w:i/>
          <w:sz w:val="24"/>
          <w:szCs w:val="24"/>
        </w:rPr>
      </w:pPr>
    </w:p>
    <w:p w14:paraId="7035837B" w14:textId="31B71DFD" w:rsidR="00705F4D" w:rsidRDefault="007203B3" w:rsidP="007203B3">
      <w:pPr>
        <w:jc w:val="both"/>
        <w:rPr>
          <w:rFonts w:ascii="Times New Roman" w:eastAsia="Calibri" w:hAnsi="Times New Roman" w:cs="Times New Roman"/>
          <w:sz w:val="24"/>
          <w:szCs w:val="24"/>
        </w:rPr>
      </w:pPr>
      <w:r>
        <w:rPr>
          <w:rFonts w:ascii="Times New Roman" w:eastAsia="Calibri" w:hAnsi="Times New Roman" w:cs="Times New Roman"/>
          <w:sz w:val="24"/>
          <w:szCs w:val="24"/>
        </w:rPr>
        <w:t>Návrh zákona o vzdelávaní dospelých pokračuje v implementácii aktivít, ktoré boli navrhnuté v Stratégii celoživotného vzdelávania a poradenstva na roky 2021 – 2030</w:t>
      </w:r>
      <w:r w:rsidR="00DE392D">
        <w:rPr>
          <w:rFonts w:ascii="Times New Roman" w:eastAsia="Calibri" w:hAnsi="Times New Roman" w:cs="Times New Roman"/>
          <w:sz w:val="24"/>
          <w:szCs w:val="24"/>
        </w:rPr>
        <w:t xml:space="preserve"> (Stratégia bola schválená Vládou SR dňa 24. novembra 2021; </w:t>
      </w:r>
      <w:hyperlink r:id="rId12" w:history="1">
        <w:r w:rsidR="00C634D1">
          <w:rPr>
            <w:rStyle w:val="Hypertextovprepojenie"/>
          </w:rPr>
          <w:t>Detail materiálu | Portal OV (gov.sk)</w:t>
        </w:r>
      </w:hyperlink>
      <w:r w:rsidR="00C634D1">
        <w:t xml:space="preserve"> </w:t>
      </w:r>
      <w:r w:rsidR="00DE392D">
        <w:rPr>
          <w:rFonts w:ascii="Times New Roman" w:eastAsia="Calibri" w:hAnsi="Times New Roman" w:cs="Times New Roman"/>
          <w:sz w:val="24"/>
          <w:szCs w:val="24"/>
        </w:rPr>
        <w:t>)</w:t>
      </w:r>
      <w:r>
        <w:rPr>
          <w:rFonts w:ascii="Times New Roman" w:eastAsia="Calibri" w:hAnsi="Times New Roman" w:cs="Times New Roman"/>
          <w:sz w:val="24"/>
          <w:szCs w:val="24"/>
        </w:rPr>
        <w:t xml:space="preserve"> a následne aj v Akčnom pláne k Stratégii celoživotného vzdelávania a poradenstva na roky 2022 – 2024</w:t>
      </w:r>
      <w:r w:rsidR="00C634D1">
        <w:rPr>
          <w:rFonts w:ascii="Times New Roman" w:eastAsia="Calibri" w:hAnsi="Times New Roman" w:cs="Times New Roman"/>
          <w:sz w:val="24"/>
          <w:szCs w:val="24"/>
        </w:rPr>
        <w:t xml:space="preserve"> (Akčný plán bol s</w:t>
      </w:r>
      <w:r w:rsidR="003B746B">
        <w:rPr>
          <w:rFonts w:ascii="Times New Roman" w:eastAsia="Calibri" w:hAnsi="Times New Roman" w:cs="Times New Roman"/>
          <w:sz w:val="24"/>
          <w:szCs w:val="24"/>
        </w:rPr>
        <w:t>c</w:t>
      </w:r>
      <w:r w:rsidR="00C634D1">
        <w:rPr>
          <w:rFonts w:ascii="Times New Roman" w:eastAsia="Calibri" w:hAnsi="Times New Roman" w:cs="Times New Roman"/>
          <w:sz w:val="24"/>
          <w:szCs w:val="24"/>
        </w:rPr>
        <w:t xml:space="preserve">hválený Vládou SR dňa </w:t>
      </w:r>
      <w:r w:rsidR="003E278A">
        <w:rPr>
          <w:rFonts w:ascii="Times New Roman" w:eastAsia="Calibri" w:hAnsi="Times New Roman" w:cs="Times New Roman"/>
          <w:sz w:val="24"/>
          <w:szCs w:val="24"/>
        </w:rPr>
        <w:t>7.</w:t>
      </w:r>
      <w:r w:rsidR="003B746B">
        <w:rPr>
          <w:rFonts w:ascii="Times New Roman" w:eastAsia="Calibri" w:hAnsi="Times New Roman" w:cs="Times New Roman"/>
          <w:sz w:val="24"/>
          <w:szCs w:val="24"/>
        </w:rPr>
        <w:t xml:space="preserve"> </w:t>
      </w:r>
      <w:r w:rsidR="003E278A">
        <w:rPr>
          <w:rFonts w:ascii="Times New Roman" w:eastAsia="Calibri" w:hAnsi="Times New Roman" w:cs="Times New Roman"/>
          <w:sz w:val="24"/>
          <w:szCs w:val="24"/>
        </w:rPr>
        <w:t xml:space="preserve">apríla 2022; </w:t>
      </w:r>
      <w:hyperlink r:id="rId13" w:history="1">
        <w:r w:rsidR="003E278A" w:rsidRPr="008311E7">
          <w:rPr>
            <w:rStyle w:val="Hypertextovprepojenie"/>
            <w:rFonts w:ascii="Times New Roman" w:eastAsia="Calibri" w:hAnsi="Times New Roman" w:cs="Times New Roman"/>
            <w:sz w:val="24"/>
            <w:szCs w:val="24"/>
          </w:rPr>
          <w:t>https://rokovania.gov.sk/RVL/Material/27153/1</w:t>
        </w:r>
      </w:hyperlink>
      <w:r w:rsidR="003E27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0747975B" w14:textId="45715EDB" w:rsidR="00D14E77" w:rsidRDefault="007203B3" w:rsidP="00D14E7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Návrh zákona </w:t>
      </w:r>
      <w:r w:rsidR="003E278A">
        <w:rPr>
          <w:rFonts w:ascii="Times New Roman" w:eastAsia="Calibri" w:hAnsi="Times New Roman" w:cs="Times New Roman"/>
          <w:sz w:val="24"/>
          <w:szCs w:val="24"/>
        </w:rPr>
        <w:t>bol konzultovaný so zapojením širokého okruhu relevantných aktérov</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Slovenská rektorská konferencia</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Klub dekanov</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G7</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SK8</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Republiková únia zamestnávateľov</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Asociácia priemyselných zväzov a</w:t>
      </w:r>
      <w:r w:rsidR="00D14E77">
        <w:rPr>
          <w:rFonts w:ascii="Times New Roman" w:eastAsia="Calibri" w:hAnsi="Times New Roman" w:cs="Times New Roman"/>
          <w:sz w:val="24"/>
          <w:szCs w:val="24"/>
        </w:rPr>
        <w:t> </w:t>
      </w:r>
      <w:r w:rsidR="00D14E77" w:rsidRPr="00D14E77">
        <w:rPr>
          <w:rFonts w:ascii="Times New Roman" w:eastAsia="Calibri" w:hAnsi="Times New Roman" w:cs="Times New Roman"/>
          <w:sz w:val="24"/>
          <w:szCs w:val="24"/>
        </w:rPr>
        <w:t>dopravy</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Asociácia zamestnávateľských zväzov a združení SR</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Klub 500</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Slovenská obchodná a priemyselná komora</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Odborový zväz školstva</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MH SR</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MV SR</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MPSVaR SR</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Asociácia inštitúcií vzdelávania dospelých</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Asociácia univerzít tretieho veku</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Aliancia sektorových rád</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Asociácia fakúlt VŠ SR pripravujúcich učiteľov</w:t>
      </w:r>
      <w:r w:rsidR="00D14E77">
        <w:rPr>
          <w:rFonts w:ascii="Times New Roman" w:eastAsia="Calibri" w:hAnsi="Times New Roman" w:cs="Times New Roman"/>
          <w:sz w:val="24"/>
          <w:szCs w:val="24"/>
        </w:rPr>
        <w:t xml:space="preserve">, </w:t>
      </w:r>
      <w:r w:rsidR="00D14E77" w:rsidRPr="00D14E77">
        <w:rPr>
          <w:rFonts w:ascii="Times New Roman" w:eastAsia="Calibri" w:hAnsi="Times New Roman" w:cs="Times New Roman"/>
          <w:sz w:val="24"/>
          <w:szCs w:val="24"/>
        </w:rPr>
        <w:t>MIRRI SR</w:t>
      </w:r>
      <w:r w:rsidR="00D14E77">
        <w:rPr>
          <w:rFonts w:ascii="Times New Roman" w:eastAsia="Calibri" w:hAnsi="Times New Roman" w:cs="Times New Roman"/>
          <w:sz w:val="24"/>
          <w:szCs w:val="24"/>
        </w:rPr>
        <w:t>).</w:t>
      </w:r>
      <w:r w:rsidR="003E278A">
        <w:rPr>
          <w:rFonts w:ascii="Times New Roman" w:eastAsia="Calibri" w:hAnsi="Times New Roman" w:cs="Times New Roman"/>
          <w:sz w:val="24"/>
          <w:szCs w:val="24"/>
        </w:rPr>
        <w:t xml:space="preserve"> </w:t>
      </w:r>
      <w:r w:rsidR="00D14E77">
        <w:rPr>
          <w:rFonts w:ascii="Times New Roman" w:eastAsia="Calibri" w:hAnsi="Times New Roman" w:cs="Times New Roman"/>
          <w:sz w:val="24"/>
          <w:szCs w:val="24"/>
        </w:rPr>
        <w:t>S uvedenými subjektmi sa pravidelne rokovalo a prechádzali sa ich pripomienky, pričom niektoré z nich boli zapracované a niektoré nie. Vzhľadom na početnosť stretnutí a konzultácií nie je možné jednotlivo vypísať všetky pripomienky, ktoré boli prerokúvané. Subjekty, ktoré posielali pripomienky, sú RÚZ, AZZZ, APZD, ASR, AIVD, KOZ, Klub 500, SOPK, MIRRI SR.</w:t>
      </w:r>
    </w:p>
    <w:p w14:paraId="7503B5A1" w14:textId="0DFB931E" w:rsidR="007203B3" w:rsidRPr="00826289" w:rsidRDefault="00705F4D" w:rsidP="00D14E77">
      <w:pPr>
        <w:jc w:val="both"/>
        <w:rPr>
          <w:rFonts w:ascii="Times New Roman" w:hAnsi="Times New Roman" w:cs="Times New Roman"/>
          <w:sz w:val="24"/>
          <w:szCs w:val="24"/>
        </w:rPr>
      </w:pPr>
      <w:r>
        <w:rPr>
          <w:rFonts w:ascii="Times New Roman" w:hAnsi="Times New Roman" w:cs="Times New Roman"/>
          <w:sz w:val="24"/>
          <w:szCs w:val="24"/>
        </w:rPr>
        <w:t xml:space="preserve">Nové systémové prvky rozvoja vzdelávania dospelých </w:t>
      </w:r>
      <w:r w:rsidR="007203B3">
        <w:rPr>
          <w:rFonts w:ascii="Times New Roman" w:hAnsi="Times New Roman" w:cs="Times New Roman"/>
          <w:sz w:val="24"/>
          <w:szCs w:val="24"/>
        </w:rPr>
        <w:t xml:space="preserve">boli diskutované a odsúhlasené všetkými zainteresovanými aktérmi už počas schvaľovacieho procesu Stratégie </w:t>
      </w:r>
      <w:proofErr w:type="spellStart"/>
      <w:r w:rsidR="007203B3">
        <w:rPr>
          <w:rFonts w:ascii="Times New Roman" w:hAnsi="Times New Roman" w:cs="Times New Roman"/>
          <w:sz w:val="24"/>
          <w:szCs w:val="24"/>
        </w:rPr>
        <w:t>CŽVaP</w:t>
      </w:r>
      <w:proofErr w:type="spellEnd"/>
      <w:r w:rsidR="007203B3">
        <w:rPr>
          <w:rFonts w:ascii="Times New Roman" w:hAnsi="Times New Roman" w:cs="Times New Roman"/>
          <w:sz w:val="24"/>
          <w:szCs w:val="24"/>
        </w:rPr>
        <w:t xml:space="preserve"> na roky 2021- 2030.</w:t>
      </w: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6716AB86" w:rsidR="00054C41" w:rsidRPr="00D8247C" w:rsidRDefault="00E6281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rPr>
            <w:u w:val="single"/>
          </w:rPr>
        </w:sdtEndPr>
        <w:sdtContent>
          <w:sdt>
            <w:sdtPr>
              <w:rPr>
                <w:rFonts w:ascii="Times New Roman" w:eastAsia="Calibri" w:hAnsi="Times New Roman" w:cs="Times New Roman"/>
                <w:i/>
                <w:sz w:val="24"/>
                <w:szCs w:val="24"/>
                <w:u w:val="single"/>
              </w:rPr>
              <w:id w:val="-80300261"/>
            </w:sdtPr>
            <w:sdtEndPr/>
            <w:sdtContent>
              <w:r w:rsidR="00C72C13" w:rsidRPr="00C72C13">
                <w:rPr>
                  <w:rFonts w:ascii="Times New Roman" w:eastAsia="Calibri" w:hAnsi="Times New Roman" w:cs="Times New Roman"/>
                  <w:i/>
                  <w:sz w:val="24"/>
                  <w:szCs w:val="24"/>
                  <w:u w:val="single"/>
                </w:rPr>
                <w:t>x</w:t>
              </w:r>
            </w:sdtContent>
          </w:sdt>
        </w:sdtContent>
      </w:sdt>
      <w:r w:rsidR="00054C41" w:rsidRPr="00C72C13">
        <w:rPr>
          <w:rFonts w:ascii="Times New Roman" w:eastAsia="Calibri" w:hAnsi="Times New Roman" w:cs="Times New Roman"/>
          <w:i/>
          <w:sz w:val="24"/>
          <w:szCs w:val="24"/>
          <w:u w:val="single"/>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24AA4F91" w:rsidR="00054C41" w:rsidRPr="00D8247C" w:rsidRDefault="00E6281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u w:val="single"/>
          </w:rPr>
          <w:id w:val="-353966921"/>
        </w:sdtPr>
        <w:sdtEndPr/>
        <w:sdtContent>
          <w:sdt>
            <w:sdtPr>
              <w:rPr>
                <w:rFonts w:ascii="Times New Roman" w:eastAsia="Calibri" w:hAnsi="Times New Roman" w:cs="Times New Roman"/>
                <w:i/>
                <w:sz w:val="24"/>
                <w:szCs w:val="24"/>
                <w:u w:val="single"/>
              </w:rPr>
              <w:id w:val="-1222205104"/>
            </w:sdtPr>
            <w:sdtEndPr/>
            <w:sdtContent>
              <w:r w:rsidR="00C72C13" w:rsidRPr="00C72C13">
                <w:rPr>
                  <w:rFonts w:ascii="Times New Roman" w:eastAsia="Calibri" w:hAnsi="Times New Roman" w:cs="Times New Roman"/>
                  <w:i/>
                  <w:sz w:val="24"/>
                  <w:szCs w:val="24"/>
                  <w:u w:val="single"/>
                </w:rPr>
                <w:t>X</w:t>
              </w:r>
            </w:sdtContent>
          </w:sdt>
        </w:sdtContent>
      </w:sdt>
      <w:r w:rsidR="00054C41" w:rsidRPr="00C72C13">
        <w:rPr>
          <w:rFonts w:ascii="Times New Roman" w:eastAsia="Calibri" w:hAnsi="Times New Roman" w:cs="Times New Roman"/>
          <w:i/>
          <w:sz w:val="24"/>
          <w:szCs w:val="24"/>
          <w:u w:val="single"/>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136F99E2" w14:textId="7B911484" w:rsidR="007B2DFA" w:rsidRDefault="007B2DFA" w:rsidP="007B2DFA">
      <w:pPr>
        <w:spacing w:after="0" w:line="240" w:lineRule="auto"/>
        <w:rPr>
          <w:rFonts w:ascii="Times New Roman" w:eastAsia="Times New Roman" w:hAnsi="Times New Roman" w:cs="Times New Roman"/>
          <w:b/>
          <w:sz w:val="28"/>
          <w:szCs w:val="28"/>
          <w:lang w:eastAsia="sk-SK"/>
        </w:rPr>
      </w:pPr>
    </w:p>
    <w:p w14:paraId="07CD11C7" w14:textId="05B450B5" w:rsidR="007B2DFA" w:rsidRDefault="007B2DFA" w:rsidP="007B2DFA">
      <w:pPr>
        <w:spacing w:after="0" w:line="240" w:lineRule="auto"/>
        <w:rPr>
          <w:rFonts w:ascii="Times New Roman" w:eastAsia="Times New Roman" w:hAnsi="Times New Roman" w:cs="Times New Roman"/>
          <w:b/>
          <w:sz w:val="28"/>
          <w:szCs w:val="28"/>
          <w:lang w:eastAsia="sk-SK"/>
        </w:rPr>
      </w:pPr>
    </w:p>
    <w:p w14:paraId="01F52A44" w14:textId="77777777" w:rsidR="00D56563" w:rsidRPr="00B13B92" w:rsidRDefault="007B2DFA" w:rsidP="007B2DFA">
      <w:pPr>
        <w:ind w:firstLine="360"/>
        <w:jc w:val="both"/>
        <w:rPr>
          <w:rFonts w:ascii="Times New Roman" w:eastAsia="Calibri" w:hAnsi="Times New Roman" w:cs="Times New Roman"/>
          <w:sz w:val="24"/>
          <w:szCs w:val="24"/>
        </w:rPr>
      </w:pPr>
      <w:r w:rsidRPr="00E5558C">
        <w:rPr>
          <w:rFonts w:ascii="Times New Roman" w:eastAsia="Calibri" w:hAnsi="Times New Roman" w:cs="Times New Roman"/>
          <w:sz w:val="24"/>
          <w:szCs w:val="24"/>
        </w:rPr>
        <w:t xml:space="preserve">Podľa ustanovenia § 5 ods. 7 písm. a) zákona č. 595/2003 o dani z príjmov je od dane oslobodená suma vynaložená zamestnávateľom na doškoľovanie zamestnanca, ktoré súvisí s činnosťou alebo s podnikaním zamestnávateľa; </w:t>
      </w:r>
      <w:r>
        <w:rPr>
          <w:rFonts w:ascii="Times New Roman" w:eastAsia="Calibri" w:hAnsi="Times New Roman" w:cs="Times New Roman"/>
          <w:sz w:val="24"/>
          <w:szCs w:val="24"/>
        </w:rPr>
        <w:t>t</w:t>
      </w:r>
      <w:r w:rsidRPr="00E5558C">
        <w:rPr>
          <w:rFonts w:ascii="Times New Roman" w:eastAsia="Calibri" w:hAnsi="Times New Roman" w:cs="Times New Roman"/>
          <w:sz w:val="24"/>
          <w:szCs w:val="24"/>
        </w:rPr>
        <w:t xml:space="preserve">oto oslobodenie sa nevzťahuje na príjmy, </w:t>
      </w:r>
      <w:r w:rsidRPr="00B13B92">
        <w:rPr>
          <w:rFonts w:ascii="Times New Roman" w:eastAsia="Calibri" w:hAnsi="Times New Roman" w:cs="Times New Roman"/>
          <w:sz w:val="24"/>
          <w:szCs w:val="24"/>
        </w:rPr>
        <w:t>vyplácané zamestnancovi ako náhrada za ušlý zdaniteľný príjem.</w:t>
      </w:r>
      <w:r w:rsidR="00D56563" w:rsidRPr="00B13B92">
        <w:rPr>
          <w:rFonts w:ascii="Times New Roman" w:eastAsia="Calibri" w:hAnsi="Times New Roman" w:cs="Times New Roman"/>
          <w:sz w:val="24"/>
          <w:szCs w:val="24"/>
        </w:rPr>
        <w:t xml:space="preserve"> </w:t>
      </w:r>
    </w:p>
    <w:p w14:paraId="51834627" w14:textId="738F97E4" w:rsidR="007B2DFA" w:rsidRDefault="00D56563" w:rsidP="007B2DFA">
      <w:pPr>
        <w:ind w:firstLine="360"/>
        <w:jc w:val="both"/>
        <w:rPr>
          <w:rFonts w:ascii="Times New Roman" w:eastAsia="Calibri" w:hAnsi="Times New Roman" w:cs="Times New Roman"/>
          <w:sz w:val="24"/>
          <w:szCs w:val="24"/>
        </w:rPr>
      </w:pPr>
      <w:r w:rsidRPr="00D513B2">
        <w:rPr>
          <w:rFonts w:ascii="Times New Roman" w:eastAsia="Calibri" w:hAnsi="Times New Roman" w:cs="Times New Roman"/>
          <w:sz w:val="24"/>
          <w:szCs w:val="24"/>
        </w:rPr>
        <w:t xml:space="preserve">Materiál </w:t>
      </w:r>
      <w:r w:rsidR="005C03DA" w:rsidRPr="00D513B2">
        <w:rPr>
          <w:rFonts w:ascii="Times New Roman" w:eastAsia="Calibri" w:hAnsi="Times New Roman" w:cs="Times New Roman"/>
          <w:sz w:val="24"/>
          <w:szCs w:val="24"/>
        </w:rPr>
        <w:t>rozširuje</w:t>
      </w:r>
      <w:r w:rsidRPr="00D513B2">
        <w:rPr>
          <w:rFonts w:ascii="Times New Roman" w:eastAsia="Calibri" w:hAnsi="Times New Roman" w:cs="Times New Roman"/>
          <w:sz w:val="24"/>
          <w:szCs w:val="24"/>
        </w:rPr>
        <w:t xml:space="preserve"> možnosti</w:t>
      </w:r>
      <w:r w:rsidRPr="00B13B92">
        <w:rPr>
          <w:rFonts w:ascii="Times New Roman" w:eastAsia="Calibri" w:hAnsi="Times New Roman" w:cs="Times New Roman"/>
          <w:sz w:val="24"/>
          <w:szCs w:val="24"/>
        </w:rPr>
        <w:t xml:space="preserve"> uplatniť si zníženie daňového základu o prostriedky poskytnuté zamestnávateľom na vzdelávanie svojich zamestnancov v zmysle zákona č. 595/2003 o dani z príjmov, čo predstavuje pozitívny vplyv na podnikateľské prostredie.</w:t>
      </w:r>
    </w:p>
    <w:p w14:paraId="222823A3" w14:textId="60D3EE08" w:rsidR="0096246A" w:rsidRDefault="0096246A" w:rsidP="007B2DFA">
      <w:pPr>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Ministerstvo školstva, výskumu, vývoja a mládeže úzko spolupracuje v rámci duálneho vzdelávania so zamestnávateľmi, pričom v súčasnosti </w:t>
      </w:r>
      <w:proofErr w:type="spellStart"/>
      <w:r>
        <w:rPr>
          <w:rFonts w:ascii="Times New Roman" w:eastAsia="Calibri" w:hAnsi="Times New Roman" w:cs="Times New Roman"/>
          <w:sz w:val="24"/>
          <w:szCs w:val="24"/>
        </w:rPr>
        <w:t>zapojenosť</w:t>
      </w:r>
      <w:proofErr w:type="spellEnd"/>
      <w:r>
        <w:rPr>
          <w:rFonts w:ascii="Times New Roman" w:eastAsia="Calibri" w:hAnsi="Times New Roman" w:cs="Times New Roman"/>
          <w:sz w:val="24"/>
          <w:szCs w:val="24"/>
        </w:rPr>
        <w:t xml:space="preserve"> malých a stredných podnikov (MSP) je viac ako 500 subjektov; celkový počet zamestnávateľov, zapojených do systému duálneho vzdelávania je vyše 700. </w:t>
      </w:r>
      <w:r w:rsidRPr="00D2224A">
        <w:rPr>
          <w:rFonts w:ascii="Times New Roman" w:eastAsia="Calibri" w:hAnsi="Times New Roman" w:cs="Times New Roman"/>
          <w:i/>
          <w:sz w:val="24"/>
          <w:szCs w:val="24"/>
        </w:rPr>
        <w:t>Očakáva sa, že minimálne rovnaký počet MSP zapojí svojich zames</w:t>
      </w:r>
      <w:r>
        <w:rPr>
          <w:rFonts w:ascii="Times New Roman" w:eastAsia="Calibri" w:hAnsi="Times New Roman" w:cs="Times New Roman"/>
          <w:i/>
          <w:sz w:val="24"/>
          <w:szCs w:val="24"/>
        </w:rPr>
        <w:t xml:space="preserve">tnancov do procesu </w:t>
      </w:r>
      <w:r w:rsidRPr="00D2224A">
        <w:rPr>
          <w:rFonts w:ascii="Times New Roman" w:eastAsia="Calibri" w:hAnsi="Times New Roman" w:cs="Times New Roman"/>
          <w:i/>
          <w:sz w:val="24"/>
          <w:szCs w:val="24"/>
        </w:rPr>
        <w:t xml:space="preserve"> vzdelávania v zmysle navrhnut</w:t>
      </w:r>
      <w:r>
        <w:rPr>
          <w:rFonts w:ascii="Times New Roman" w:eastAsia="Calibri" w:hAnsi="Times New Roman" w:cs="Times New Roman"/>
          <w:i/>
          <w:sz w:val="24"/>
          <w:szCs w:val="24"/>
        </w:rPr>
        <w:t xml:space="preserve">ého systému individuálnych vzdelávacích účtov a tiež v zmysle </w:t>
      </w:r>
      <w:r w:rsidRPr="00D2224A">
        <w:rPr>
          <w:rFonts w:ascii="Times New Roman" w:eastAsia="Calibri" w:hAnsi="Times New Roman" w:cs="Times New Roman"/>
          <w:i/>
          <w:sz w:val="24"/>
          <w:szCs w:val="24"/>
        </w:rPr>
        <w:t xml:space="preserve"> opatrení </w:t>
      </w:r>
      <w:r>
        <w:rPr>
          <w:rFonts w:ascii="Times New Roman" w:eastAsia="Calibri" w:hAnsi="Times New Roman" w:cs="Times New Roman"/>
          <w:i/>
          <w:sz w:val="24"/>
          <w:szCs w:val="24"/>
        </w:rPr>
        <w:t xml:space="preserve">Akčného plánu k </w:t>
      </w:r>
      <w:r w:rsidRPr="00D2224A">
        <w:rPr>
          <w:rFonts w:ascii="Times New Roman" w:eastAsia="Calibri" w:hAnsi="Times New Roman" w:cs="Times New Roman"/>
          <w:i/>
          <w:sz w:val="24"/>
          <w:szCs w:val="24"/>
        </w:rPr>
        <w:t>Stratégi</w:t>
      </w:r>
      <w:r>
        <w:rPr>
          <w:rFonts w:ascii="Times New Roman" w:eastAsia="Calibri" w:hAnsi="Times New Roman" w:cs="Times New Roman"/>
          <w:i/>
          <w:sz w:val="24"/>
          <w:szCs w:val="24"/>
        </w:rPr>
        <w:t>i</w:t>
      </w:r>
      <w:r w:rsidRPr="00D2224A">
        <w:rPr>
          <w:rFonts w:ascii="Times New Roman" w:eastAsia="Calibri" w:hAnsi="Times New Roman" w:cs="Times New Roman"/>
          <w:i/>
          <w:sz w:val="24"/>
          <w:szCs w:val="24"/>
        </w:rPr>
        <w:t xml:space="preserve"> celoživotného vzdelávania a poradenstva na roky 202</w:t>
      </w:r>
      <w:r>
        <w:rPr>
          <w:rFonts w:ascii="Times New Roman" w:eastAsia="Calibri" w:hAnsi="Times New Roman" w:cs="Times New Roman"/>
          <w:i/>
          <w:sz w:val="24"/>
          <w:szCs w:val="24"/>
        </w:rPr>
        <w:t>2</w:t>
      </w:r>
      <w:r w:rsidRPr="00D2224A">
        <w:rPr>
          <w:rFonts w:ascii="Times New Roman" w:eastAsia="Calibri" w:hAnsi="Times New Roman" w:cs="Times New Roman"/>
          <w:i/>
          <w:sz w:val="24"/>
          <w:szCs w:val="24"/>
        </w:rPr>
        <w:t>-20</w:t>
      </w:r>
      <w:r>
        <w:rPr>
          <w:rFonts w:ascii="Times New Roman" w:eastAsia="Calibri" w:hAnsi="Times New Roman" w:cs="Times New Roman"/>
          <w:i/>
          <w:sz w:val="24"/>
          <w:szCs w:val="24"/>
        </w:rPr>
        <w:t>24</w:t>
      </w:r>
      <w:r w:rsidRPr="00D2224A">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p>
    <w:p w14:paraId="3798C12B" w14:textId="3059C3C2" w:rsidR="00621BB7" w:rsidRDefault="00621BB7" w:rsidP="00621BB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Medzi plánované opatrenia návrhu Akčného plánu Stratégie celoživotného vzdelávania a poradenstva na roky 2022-2024 patrí p</w:t>
      </w:r>
      <w:r w:rsidRPr="0078223F">
        <w:rPr>
          <w:rFonts w:ascii="Times New Roman" w:hAnsi="Times New Roman" w:cs="Times New Roman"/>
          <w:sz w:val="24"/>
          <w:szCs w:val="24"/>
        </w:rPr>
        <w:t>osilnenie motivácií pre účasť dospelých na</w:t>
      </w:r>
      <w:r>
        <w:rPr>
          <w:rFonts w:ascii="Times New Roman" w:hAnsi="Times New Roman" w:cs="Times New Roman"/>
          <w:sz w:val="24"/>
          <w:szCs w:val="24"/>
        </w:rPr>
        <w:t xml:space="preserve"> </w:t>
      </w:r>
      <w:r w:rsidRPr="0078223F">
        <w:rPr>
          <w:rFonts w:ascii="Times New Roman" w:hAnsi="Times New Roman" w:cs="Times New Roman"/>
          <w:sz w:val="24"/>
          <w:szCs w:val="24"/>
        </w:rPr>
        <w:t>vzdelávaní</w:t>
      </w:r>
      <w:r>
        <w:rPr>
          <w:rFonts w:ascii="Times New Roman" w:hAnsi="Times New Roman" w:cs="Times New Roman"/>
          <w:sz w:val="24"/>
          <w:szCs w:val="24"/>
        </w:rPr>
        <w:t xml:space="preserve"> zavedením pilotáže nástroja tzv. i</w:t>
      </w:r>
      <w:r w:rsidRPr="0078223F">
        <w:rPr>
          <w:rFonts w:ascii="Times New Roman" w:hAnsi="Times New Roman" w:cs="Times New Roman"/>
          <w:sz w:val="24"/>
          <w:szCs w:val="24"/>
        </w:rPr>
        <w:t>ndividuáln</w:t>
      </w:r>
      <w:r>
        <w:rPr>
          <w:rFonts w:ascii="Times New Roman" w:hAnsi="Times New Roman" w:cs="Times New Roman"/>
          <w:sz w:val="24"/>
          <w:szCs w:val="24"/>
        </w:rPr>
        <w:t xml:space="preserve">ych </w:t>
      </w:r>
      <w:r w:rsidRPr="0078223F">
        <w:rPr>
          <w:rFonts w:ascii="Times New Roman" w:hAnsi="Times New Roman" w:cs="Times New Roman"/>
          <w:sz w:val="24"/>
          <w:szCs w:val="24"/>
        </w:rPr>
        <w:t>vzdelávac</w:t>
      </w:r>
      <w:r>
        <w:rPr>
          <w:rFonts w:ascii="Times New Roman" w:hAnsi="Times New Roman" w:cs="Times New Roman"/>
          <w:sz w:val="24"/>
          <w:szCs w:val="24"/>
        </w:rPr>
        <w:t xml:space="preserve">ích </w:t>
      </w:r>
      <w:r w:rsidRPr="0078223F">
        <w:rPr>
          <w:rFonts w:ascii="Times New Roman" w:hAnsi="Times New Roman" w:cs="Times New Roman"/>
          <w:sz w:val="24"/>
          <w:szCs w:val="24"/>
        </w:rPr>
        <w:t>účt</w:t>
      </w:r>
      <w:r>
        <w:rPr>
          <w:rFonts w:ascii="Times New Roman" w:hAnsi="Times New Roman" w:cs="Times New Roman"/>
          <w:sz w:val="24"/>
          <w:szCs w:val="24"/>
        </w:rPr>
        <w:t>ov – tento nástroj sa plánuje následne využiť ako systémový nástroj motivácie k</w:t>
      </w:r>
      <w:r w:rsidR="00BF21DF">
        <w:rPr>
          <w:rFonts w:ascii="Times New Roman" w:hAnsi="Times New Roman" w:cs="Times New Roman"/>
          <w:sz w:val="24"/>
          <w:szCs w:val="24"/>
        </w:rPr>
        <w:t> </w:t>
      </w:r>
      <w:r>
        <w:rPr>
          <w:rFonts w:ascii="Times New Roman" w:hAnsi="Times New Roman" w:cs="Times New Roman"/>
          <w:sz w:val="24"/>
          <w:szCs w:val="24"/>
        </w:rPr>
        <w:t>učeniu</w:t>
      </w:r>
      <w:r w:rsidR="00BF21DF">
        <w:rPr>
          <w:rFonts w:ascii="Times New Roman" w:hAnsi="Times New Roman" w:cs="Times New Roman"/>
          <w:sz w:val="24"/>
          <w:szCs w:val="24"/>
        </w:rPr>
        <w:t xml:space="preserve"> sa </w:t>
      </w:r>
      <w:r>
        <w:rPr>
          <w:rFonts w:ascii="Times New Roman" w:hAnsi="Times New Roman" w:cs="Times New Roman"/>
          <w:sz w:val="24"/>
          <w:szCs w:val="24"/>
        </w:rPr>
        <w:t>v zmysle návrhu zákona o vzdelávaní dospelých.</w:t>
      </w:r>
    </w:p>
    <w:p w14:paraId="4BDB7433" w14:textId="15DF6E57" w:rsidR="00621BB7" w:rsidRDefault="00621BB7" w:rsidP="00621BB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3D05AECE" w14:textId="77777777" w:rsidR="00621BB7" w:rsidRDefault="00621BB7" w:rsidP="00621BB7">
      <w:pPr>
        <w:spacing w:after="0"/>
        <w:jc w:val="both"/>
        <w:rPr>
          <w:rFonts w:ascii="Times New Roman" w:hAnsi="Times New Roman" w:cs="Times New Roman"/>
          <w:sz w:val="24"/>
          <w:szCs w:val="24"/>
        </w:rPr>
      </w:pPr>
      <w:proofErr w:type="spellStart"/>
      <w:r w:rsidRPr="0078223F">
        <w:rPr>
          <w:rFonts w:ascii="Times New Roman" w:hAnsi="Times New Roman" w:cs="Times New Roman"/>
          <w:sz w:val="24"/>
          <w:szCs w:val="24"/>
        </w:rPr>
        <w:t>Nárokovateľný</w:t>
      </w:r>
      <w:proofErr w:type="spellEnd"/>
      <w:r w:rsidRPr="0078223F">
        <w:rPr>
          <w:rFonts w:ascii="Times New Roman" w:hAnsi="Times New Roman" w:cs="Times New Roman"/>
          <w:sz w:val="24"/>
          <w:szCs w:val="24"/>
        </w:rPr>
        <w:t xml:space="preserve"> individuálny vzdelávací účet</w:t>
      </w:r>
      <w:r>
        <w:rPr>
          <w:rFonts w:ascii="Times New Roman" w:hAnsi="Times New Roman" w:cs="Times New Roman"/>
          <w:sz w:val="24"/>
          <w:szCs w:val="24"/>
        </w:rPr>
        <w:t xml:space="preserve"> (IVÚ)</w:t>
      </w:r>
      <w:r w:rsidRPr="0078223F">
        <w:rPr>
          <w:rFonts w:ascii="Times New Roman" w:hAnsi="Times New Roman" w:cs="Times New Roman"/>
          <w:sz w:val="24"/>
          <w:szCs w:val="24"/>
        </w:rPr>
        <w:t xml:space="preserve"> je taký, ktorý je odsúhlasený  a potvrdený samotným absolventom vzdelávania (pozitívne hodnotenie kvality vzdelávania účastníkom kurzu) a hodnota účtu (</w:t>
      </w:r>
      <w:r>
        <w:rPr>
          <w:rFonts w:ascii="Times New Roman" w:hAnsi="Times New Roman" w:cs="Times New Roman"/>
          <w:sz w:val="24"/>
          <w:szCs w:val="24"/>
        </w:rPr>
        <w:t xml:space="preserve"> v pilotnej schéme je stanovená na </w:t>
      </w:r>
      <w:r w:rsidRPr="0078223F">
        <w:rPr>
          <w:rFonts w:ascii="Times New Roman" w:hAnsi="Times New Roman" w:cs="Times New Roman"/>
          <w:sz w:val="24"/>
          <w:szCs w:val="24"/>
        </w:rPr>
        <w:t>200 EUR) je následne zaplatená vzdelávacej inštitúcii</w:t>
      </w:r>
      <w:r>
        <w:rPr>
          <w:rFonts w:ascii="Times New Roman" w:hAnsi="Times New Roman" w:cs="Times New Roman"/>
          <w:sz w:val="24"/>
          <w:szCs w:val="24"/>
        </w:rPr>
        <w:t xml:space="preserve">. </w:t>
      </w:r>
    </w:p>
    <w:p w14:paraId="1E0FEC5B" w14:textId="77777777" w:rsidR="00621BB7" w:rsidRDefault="00621BB7" w:rsidP="00621BB7">
      <w:pPr>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Pr="0078223F">
        <w:rPr>
          <w:rFonts w:ascii="Times New Roman" w:hAnsi="Times New Roman" w:cs="Times New Roman"/>
          <w:sz w:val="24"/>
          <w:szCs w:val="24"/>
        </w:rPr>
        <w:t>pilotn</w:t>
      </w:r>
      <w:r>
        <w:rPr>
          <w:rFonts w:ascii="Times New Roman" w:hAnsi="Times New Roman" w:cs="Times New Roman"/>
          <w:sz w:val="24"/>
          <w:szCs w:val="24"/>
        </w:rPr>
        <w:t xml:space="preserve">ej schéme </w:t>
      </w:r>
      <w:r w:rsidRPr="00452205">
        <w:rPr>
          <w:rFonts w:ascii="Times New Roman" w:hAnsi="Times New Roman" w:cs="Times New Roman"/>
          <w:sz w:val="24"/>
          <w:szCs w:val="24"/>
        </w:rPr>
        <w:t xml:space="preserve">pri výške pre 5 000 osôb </w:t>
      </w:r>
      <w:r>
        <w:rPr>
          <w:rFonts w:ascii="Times New Roman" w:hAnsi="Times New Roman" w:cs="Times New Roman"/>
          <w:sz w:val="24"/>
          <w:szCs w:val="24"/>
        </w:rPr>
        <w:t xml:space="preserve">a v hodnote 200,00 EUR / (IVÚ) </w:t>
      </w:r>
      <w:r w:rsidRPr="00452205">
        <w:rPr>
          <w:rFonts w:ascii="Times New Roman" w:hAnsi="Times New Roman" w:cs="Times New Roman"/>
          <w:sz w:val="24"/>
          <w:szCs w:val="24"/>
        </w:rPr>
        <w:t xml:space="preserve"> = 1 000 000 EUR</w:t>
      </w:r>
    </w:p>
    <w:p w14:paraId="63EB1887" w14:textId="77777777" w:rsidR="00621BB7" w:rsidRDefault="00621BB7" w:rsidP="00621BB7">
      <w:pPr>
        <w:jc w:val="both"/>
        <w:rPr>
          <w:rFonts w:ascii="Times New Roman" w:eastAsia="Calibri" w:hAnsi="Times New Roman" w:cs="Times New Roman"/>
          <w:sz w:val="24"/>
          <w:szCs w:val="24"/>
        </w:rPr>
      </w:pPr>
      <w:r>
        <w:rPr>
          <w:rFonts w:ascii="Times New Roman" w:eastAsia="Calibri" w:hAnsi="Times New Roman" w:cs="Times New Roman"/>
          <w:sz w:val="24"/>
          <w:szCs w:val="24"/>
        </w:rPr>
        <w:t>Tieto aktivity budú finančne kryté z prostriedkov štrukturálnych fondov EÚ.</w:t>
      </w:r>
    </w:p>
    <w:p w14:paraId="4D18D918" w14:textId="40FE16A7" w:rsidR="00621BB7" w:rsidRDefault="00621BB7" w:rsidP="00621BB7">
      <w:pPr>
        <w:jc w:val="both"/>
        <w:rPr>
          <w:rFonts w:ascii="Times New Roman" w:eastAsia="Calibri" w:hAnsi="Times New Roman" w:cs="Times New Roman"/>
          <w:sz w:val="24"/>
          <w:szCs w:val="24"/>
        </w:rPr>
      </w:pPr>
      <w:r>
        <w:rPr>
          <w:rFonts w:ascii="Times New Roman" w:eastAsia="Calibri" w:hAnsi="Times New Roman" w:cs="Times New Roman"/>
          <w:sz w:val="24"/>
          <w:szCs w:val="24"/>
        </w:rPr>
        <w:t>V prípade 1 podnikateľa s počtom zamestnancov 10, ktorí sa zúčastnia vzdelávania v pilotnej schéme IVÚ v hodnote 200,00 EUR bude mať regulácia pozitívny vplyv na podnikateľské prostredie vo forme zníženia daňového základu (viď. napr. bod b.):</w:t>
      </w:r>
    </w:p>
    <w:p w14:paraId="4D4D56B1" w14:textId="77777777" w:rsidR="00621BB7" w:rsidRDefault="00621BB7" w:rsidP="00621BB7">
      <w:pPr>
        <w:pStyle w:val="Odsekzoznamu"/>
        <w:numPr>
          <w:ilvl w:val="0"/>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ak podnikateľ neprispeje ďalšou finančnou podporou – 0 EUR</w:t>
      </w:r>
    </w:p>
    <w:p w14:paraId="2B03B080" w14:textId="77777777" w:rsidR="00621BB7" w:rsidRDefault="00621BB7" w:rsidP="00621BB7">
      <w:pPr>
        <w:pStyle w:val="Odsekzoznamu"/>
        <w:numPr>
          <w:ilvl w:val="0"/>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 podnikateľ prispeje ďalšou finančnou hodnotou napr. v rovnakej hodnote ako je hodnota IVÚ, t. j. 200,00 EUR – 200,00 x 10 = 2 000,00 EUR – úspora regulácie je vo výške dane z 2 000,00 EUR, teda 20%, t. j. 400 EUR.  </w:t>
      </w:r>
    </w:p>
    <w:p w14:paraId="3D5F939B" w14:textId="7A2D1973" w:rsidR="0096246A" w:rsidRDefault="0096246A" w:rsidP="00621BB7">
      <w:pPr>
        <w:jc w:val="both"/>
        <w:rPr>
          <w:rFonts w:ascii="Times New Roman" w:eastAsia="Calibri" w:hAnsi="Times New Roman" w:cs="Times New Roman"/>
          <w:sz w:val="24"/>
          <w:szCs w:val="24"/>
        </w:rPr>
      </w:pPr>
    </w:p>
    <w:p w14:paraId="2F364FA2" w14:textId="7936C930" w:rsidR="00621BB7" w:rsidRDefault="00621BB7" w:rsidP="00621BB7">
      <w:pPr>
        <w:jc w:val="both"/>
        <w:rPr>
          <w:rFonts w:ascii="Times New Roman" w:eastAsia="Calibri" w:hAnsi="Times New Roman" w:cs="Times New Roman"/>
          <w:sz w:val="24"/>
          <w:szCs w:val="24"/>
        </w:rPr>
      </w:pPr>
      <w:r w:rsidRPr="00452205">
        <w:rPr>
          <w:rFonts w:ascii="Times New Roman" w:eastAsia="Calibri" w:hAnsi="Times New Roman" w:cs="Times New Roman"/>
          <w:sz w:val="24"/>
          <w:szCs w:val="24"/>
        </w:rPr>
        <w:t>Pilotná schéma zavedenie IVÚ sprevádzaná informačnou kampaňou zníži finančné bariéry, cez internetovú a/alebo mobilnú aplikáciu posilní informovanosť o ponuke kurzov v mieste bydliska záujemcu a cez informačnú kampaň signalizuje záujem štátu posilniť individuálnu zodpovednosť za úroveň zručností jednotlivca. Očakáva sa zvýšenie záujmu o kurzy v neformálnom vzdelávaní a následne aj zvýšenie ponuky a diverzifikáciu jej foriem zo strany poskytovateľov</w:t>
      </w:r>
      <w:r>
        <w:rPr>
          <w:rFonts w:ascii="Times New Roman" w:eastAsia="Calibri" w:hAnsi="Times New Roman" w:cs="Times New Roman"/>
          <w:sz w:val="24"/>
          <w:szCs w:val="24"/>
        </w:rPr>
        <w:t xml:space="preserve">. </w:t>
      </w:r>
    </w:p>
    <w:p w14:paraId="45D12F39" w14:textId="42727F9F" w:rsidR="00621BB7" w:rsidRDefault="000E5B7C" w:rsidP="00621BB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Súčasný Informačný systém ďalšieho vzdelávania </w:t>
      </w:r>
      <w:hyperlink r:id="rId14" w:history="1">
        <w:r>
          <w:rPr>
            <w:rStyle w:val="Hypertextovprepojenie"/>
          </w:rPr>
          <w:t>isdv.iedu.sk/SearchForm.aspx</w:t>
        </w:r>
      </w:hyperlink>
      <w:r>
        <w:t xml:space="preserve"> </w:t>
      </w:r>
      <w:r w:rsidRPr="00BF21DF">
        <w:rPr>
          <w:rFonts w:ascii="Times New Roman" w:hAnsi="Times New Roman" w:cs="Times New Roman"/>
          <w:sz w:val="24"/>
          <w:szCs w:val="24"/>
        </w:rPr>
        <w:t>je v prevádzke od roku 2008</w:t>
      </w:r>
      <w:r w:rsidR="00D95A73" w:rsidRPr="00BF21DF">
        <w:rPr>
          <w:rFonts w:ascii="Times New Roman" w:hAnsi="Times New Roman" w:cs="Times New Roman"/>
          <w:sz w:val="24"/>
          <w:szCs w:val="24"/>
        </w:rPr>
        <w:t>,</w:t>
      </w:r>
      <w:r w:rsidR="00D95A73">
        <w:t xml:space="preserve"> </w:t>
      </w:r>
      <w:r w:rsidR="00D95A73" w:rsidRPr="00BF21DF">
        <w:rPr>
          <w:rFonts w:ascii="Times New Roman" w:hAnsi="Times New Roman" w:cs="Times New Roman"/>
          <w:sz w:val="24"/>
          <w:szCs w:val="24"/>
        </w:rPr>
        <w:t>pričom začiatkom roka 2024 systém eviduje 2 289 vzdelávacích inštitúcií a 10 503 vzdelávacích programov. Počas sledovaného obdobia rokov 2010 – 2024 (povinnosť registrovať vzdelávanie) absolvovalo vzdelávanie ukončené skúškou celkovo 170 613 osôb.</w:t>
      </w:r>
      <w:r w:rsidR="00D95A73">
        <w:t xml:space="preserve"> </w:t>
      </w:r>
    </w:p>
    <w:p w14:paraId="7A632196" w14:textId="7B41D342" w:rsidR="00A970A3" w:rsidRDefault="00C671E5" w:rsidP="00EA071E">
      <w:pPr>
        <w:jc w:val="both"/>
        <w:rPr>
          <w:rFonts w:ascii="Times New Roman" w:eastAsia="Calibri" w:hAnsi="Times New Roman" w:cs="Times New Roman"/>
          <w:sz w:val="24"/>
          <w:szCs w:val="24"/>
        </w:rPr>
      </w:pPr>
      <w:r>
        <w:rPr>
          <w:rFonts w:ascii="Times New Roman" w:eastAsia="Calibri" w:hAnsi="Times New Roman" w:cs="Times New Roman"/>
          <w:sz w:val="24"/>
          <w:szCs w:val="24"/>
        </w:rPr>
        <w:t>Vzhľadom na to, že n</w:t>
      </w:r>
      <w:r w:rsidRPr="00C671E5">
        <w:rPr>
          <w:rFonts w:ascii="Times New Roman" w:eastAsia="Calibri" w:hAnsi="Times New Roman" w:cs="Times New Roman"/>
          <w:sz w:val="24"/>
          <w:szCs w:val="24"/>
        </w:rPr>
        <w:t>ávrh zákona zavádza viacero nových prvkov</w:t>
      </w:r>
      <w:r>
        <w:rPr>
          <w:rFonts w:ascii="Times New Roman" w:eastAsia="Calibri" w:hAnsi="Times New Roman" w:cs="Times New Roman"/>
          <w:sz w:val="24"/>
          <w:szCs w:val="24"/>
        </w:rPr>
        <w:t xml:space="preserve"> (</w:t>
      </w:r>
      <w:r w:rsidRPr="00C671E5">
        <w:rPr>
          <w:rFonts w:ascii="Times New Roman" w:eastAsia="Calibri" w:hAnsi="Times New Roman" w:cs="Times New Roman"/>
          <w:sz w:val="24"/>
          <w:szCs w:val="24"/>
        </w:rPr>
        <w:t xml:space="preserve">certifikácia,  </w:t>
      </w:r>
      <w:proofErr w:type="spellStart"/>
      <w:r w:rsidRPr="00C671E5">
        <w:rPr>
          <w:rFonts w:ascii="Times New Roman" w:eastAsia="Calibri" w:hAnsi="Times New Roman" w:cs="Times New Roman"/>
          <w:sz w:val="24"/>
          <w:szCs w:val="24"/>
        </w:rPr>
        <w:t>mikroosvedčenie</w:t>
      </w:r>
      <w:proofErr w:type="spellEnd"/>
      <w:r w:rsidRPr="00C671E5">
        <w:rPr>
          <w:rFonts w:ascii="Times New Roman" w:eastAsia="Calibri" w:hAnsi="Times New Roman" w:cs="Times New Roman"/>
          <w:sz w:val="24"/>
          <w:szCs w:val="24"/>
        </w:rPr>
        <w:t>, oznamovacie povinnosti voči MŠVVM S</w:t>
      </w:r>
      <w:r>
        <w:rPr>
          <w:rFonts w:ascii="Times New Roman" w:eastAsia="Calibri" w:hAnsi="Times New Roman" w:cs="Times New Roman"/>
          <w:sz w:val="24"/>
          <w:szCs w:val="24"/>
        </w:rPr>
        <w:t>R)</w:t>
      </w:r>
      <w:r w:rsidRPr="00C671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má aj iné vplyvy, </w:t>
      </w:r>
      <w:r w:rsidRPr="00C671E5">
        <w:rPr>
          <w:rFonts w:ascii="Times New Roman" w:eastAsia="Calibri" w:hAnsi="Times New Roman" w:cs="Times New Roman"/>
          <w:sz w:val="24"/>
          <w:szCs w:val="24"/>
        </w:rPr>
        <w:t xml:space="preserve">ktoré predstavujú oproti aktuálne platnej legislatíve nárast administratívnej záťaže. </w:t>
      </w:r>
      <w:r>
        <w:rPr>
          <w:rFonts w:ascii="Times New Roman" w:eastAsia="Calibri" w:hAnsi="Times New Roman" w:cs="Times New Roman"/>
          <w:sz w:val="24"/>
          <w:szCs w:val="24"/>
        </w:rPr>
        <w:t>Tieto negatívne vplyvy sa však automaticky netýkajú všetkých vzdelávacích inštitúcií, ale iba tých, ktorí dobrovoľne požiadajú o</w:t>
      </w:r>
      <w:r w:rsidR="00EA071E">
        <w:rPr>
          <w:rFonts w:ascii="Times New Roman" w:eastAsia="Calibri" w:hAnsi="Times New Roman" w:cs="Times New Roman"/>
          <w:sz w:val="24"/>
          <w:szCs w:val="24"/>
        </w:rPr>
        <w:t> </w:t>
      </w:r>
      <w:r>
        <w:rPr>
          <w:rFonts w:ascii="Times New Roman" w:eastAsia="Calibri" w:hAnsi="Times New Roman" w:cs="Times New Roman"/>
          <w:sz w:val="24"/>
          <w:szCs w:val="24"/>
        </w:rPr>
        <w:t>certi</w:t>
      </w:r>
      <w:r w:rsidR="00EA071E">
        <w:rPr>
          <w:rFonts w:ascii="Times New Roman" w:eastAsia="Calibri" w:hAnsi="Times New Roman" w:cs="Times New Roman"/>
          <w:sz w:val="24"/>
          <w:szCs w:val="24"/>
        </w:rPr>
        <w:t>fikáciu, akreditáciu alebo o autorizáciu. Akreditácia a autorizácia (</w:t>
      </w:r>
      <w:r w:rsidR="00EA071E" w:rsidRPr="00EA071E">
        <w:rPr>
          <w:rFonts w:ascii="Times New Roman" w:eastAsia="Calibri" w:hAnsi="Times New Roman" w:cs="Times New Roman"/>
          <w:sz w:val="24"/>
          <w:szCs w:val="24"/>
        </w:rPr>
        <w:t>udeleni</w:t>
      </w:r>
      <w:r w:rsidR="00EA071E">
        <w:rPr>
          <w:rFonts w:ascii="Times New Roman" w:eastAsia="Calibri" w:hAnsi="Times New Roman" w:cs="Times New Roman"/>
          <w:sz w:val="24"/>
          <w:szCs w:val="24"/>
        </w:rPr>
        <w:t>e</w:t>
      </w:r>
      <w:r w:rsidR="00EA071E" w:rsidRPr="00EA071E">
        <w:rPr>
          <w:rFonts w:ascii="Times New Roman" w:eastAsia="Calibri" w:hAnsi="Times New Roman" w:cs="Times New Roman"/>
          <w:sz w:val="24"/>
          <w:szCs w:val="24"/>
        </w:rPr>
        <w:t xml:space="preserve"> oprávnenia na vykonávanie skúšky na overenie odbornej spôsobilosti</w:t>
      </w:r>
      <w:r w:rsidR="00EA071E">
        <w:rPr>
          <w:rFonts w:ascii="Times New Roman" w:eastAsia="Calibri" w:hAnsi="Times New Roman" w:cs="Times New Roman"/>
          <w:sz w:val="24"/>
          <w:szCs w:val="24"/>
        </w:rPr>
        <w:t>) už existujú aj v súčasnosti. Medzi iné vplyvy patria napríklad</w:t>
      </w:r>
      <w:r w:rsidRPr="00C671E5">
        <w:rPr>
          <w:rFonts w:ascii="Times New Roman" w:eastAsia="Calibri" w:hAnsi="Times New Roman" w:cs="Times New Roman"/>
          <w:sz w:val="24"/>
          <w:szCs w:val="24"/>
        </w:rPr>
        <w:t xml:space="preserve"> poskytova</w:t>
      </w:r>
      <w:r w:rsidR="00EA071E">
        <w:rPr>
          <w:rFonts w:ascii="Times New Roman" w:eastAsia="Calibri" w:hAnsi="Times New Roman" w:cs="Times New Roman"/>
          <w:sz w:val="24"/>
          <w:szCs w:val="24"/>
        </w:rPr>
        <w:t>nie</w:t>
      </w:r>
      <w:r w:rsidRPr="00C671E5">
        <w:rPr>
          <w:rFonts w:ascii="Times New Roman" w:eastAsia="Calibri" w:hAnsi="Times New Roman" w:cs="Times New Roman"/>
          <w:sz w:val="24"/>
          <w:szCs w:val="24"/>
        </w:rPr>
        <w:t xml:space="preserve"> údaj</w:t>
      </w:r>
      <w:r w:rsidR="00EA071E">
        <w:rPr>
          <w:rFonts w:ascii="Times New Roman" w:eastAsia="Calibri" w:hAnsi="Times New Roman" w:cs="Times New Roman"/>
          <w:sz w:val="24"/>
          <w:szCs w:val="24"/>
        </w:rPr>
        <w:t>ov</w:t>
      </w:r>
      <w:r w:rsidRPr="00C671E5">
        <w:rPr>
          <w:rFonts w:ascii="Times New Roman" w:eastAsia="Calibri" w:hAnsi="Times New Roman" w:cs="Times New Roman"/>
          <w:sz w:val="24"/>
          <w:szCs w:val="24"/>
        </w:rPr>
        <w:t xml:space="preserve"> do registra absolventov akreditovaných vzdelávacích programov</w:t>
      </w:r>
      <w:r w:rsidR="00EA071E">
        <w:rPr>
          <w:rFonts w:ascii="Times New Roman" w:eastAsia="Calibri" w:hAnsi="Times New Roman" w:cs="Times New Roman"/>
          <w:sz w:val="24"/>
          <w:szCs w:val="24"/>
        </w:rPr>
        <w:t xml:space="preserve">, </w:t>
      </w:r>
      <w:r w:rsidRPr="00C671E5">
        <w:rPr>
          <w:rFonts w:ascii="Times New Roman" w:eastAsia="Calibri" w:hAnsi="Times New Roman" w:cs="Times New Roman"/>
          <w:sz w:val="24"/>
          <w:szCs w:val="24"/>
        </w:rPr>
        <w:t>predklada</w:t>
      </w:r>
      <w:r w:rsidR="00EA071E">
        <w:rPr>
          <w:rFonts w:ascii="Times New Roman" w:eastAsia="Calibri" w:hAnsi="Times New Roman" w:cs="Times New Roman"/>
          <w:sz w:val="24"/>
          <w:szCs w:val="24"/>
        </w:rPr>
        <w:t>nie</w:t>
      </w:r>
      <w:r w:rsidRPr="00C671E5">
        <w:rPr>
          <w:rFonts w:ascii="Times New Roman" w:eastAsia="Calibri" w:hAnsi="Times New Roman" w:cs="Times New Roman"/>
          <w:sz w:val="24"/>
          <w:szCs w:val="24"/>
        </w:rPr>
        <w:t xml:space="preserve"> ministerstvu školstva údaje o absolventoch overovania vzdelávacích výstupov</w:t>
      </w:r>
      <w:r w:rsidR="00EA071E">
        <w:rPr>
          <w:rFonts w:ascii="Times New Roman" w:eastAsia="Calibri" w:hAnsi="Times New Roman" w:cs="Times New Roman"/>
          <w:sz w:val="24"/>
          <w:szCs w:val="24"/>
        </w:rPr>
        <w:t>,</w:t>
      </w:r>
      <w:r w:rsidRPr="00C671E5">
        <w:rPr>
          <w:rFonts w:ascii="Times New Roman" w:eastAsia="Calibri" w:hAnsi="Times New Roman" w:cs="Times New Roman"/>
          <w:sz w:val="24"/>
          <w:szCs w:val="24"/>
        </w:rPr>
        <w:t xml:space="preserve"> oznám</w:t>
      </w:r>
      <w:r w:rsidR="00EA071E">
        <w:rPr>
          <w:rFonts w:ascii="Times New Roman" w:eastAsia="Calibri" w:hAnsi="Times New Roman" w:cs="Times New Roman"/>
          <w:sz w:val="24"/>
          <w:szCs w:val="24"/>
        </w:rPr>
        <w:t>enie</w:t>
      </w:r>
      <w:r w:rsidRPr="00C671E5">
        <w:rPr>
          <w:rFonts w:ascii="Times New Roman" w:eastAsia="Calibri" w:hAnsi="Times New Roman" w:cs="Times New Roman"/>
          <w:sz w:val="24"/>
          <w:szCs w:val="24"/>
        </w:rPr>
        <w:t xml:space="preserve"> ministerstvu školstva začiatok a miesto uskutočnenia skúšky na overenie vzdelávacích výstupov alebo majstrovskej skúšky</w:t>
      </w:r>
      <w:r w:rsidR="0047577A">
        <w:rPr>
          <w:rFonts w:ascii="Times New Roman" w:eastAsia="Calibri" w:hAnsi="Times New Roman" w:cs="Times New Roman"/>
          <w:sz w:val="24"/>
          <w:szCs w:val="24"/>
        </w:rPr>
        <w:t>.</w:t>
      </w:r>
    </w:p>
    <w:p w14:paraId="27527C45" w14:textId="3F383864" w:rsidR="0047577A" w:rsidRPr="00B13B92" w:rsidRDefault="00946C38" w:rsidP="00EA071E">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Návrh zákona zavádza nasledovné poplatky:</w:t>
      </w:r>
    </w:p>
    <w:p w14:paraId="7C39370C" w14:textId="58A52B81" w:rsidR="00946C38" w:rsidRPr="00B13B92" w:rsidRDefault="00946C38" w:rsidP="00EA071E">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 xml:space="preserve">§8 </w:t>
      </w:r>
      <w:proofErr w:type="spellStart"/>
      <w:r w:rsidR="00EF0092" w:rsidRPr="00B13B92">
        <w:rPr>
          <w:rFonts w:ascii="Times New Roman" w:eastAsia="Calibri" w:hAnsi="Times New Roman" w:cs="Times New Roman"/>
          <w:i/>
          <w:sz w:val="24"/>
          <w:szCs w:val="24"/>
        </w:rPr>
        <w:t>Mikroosvečenie</w:t>
      </w:r>
      <w:proofErr w:type="spellEnd"/>
    </w:p>
    <w:p w14:paraId="6AD82805" w14:textId="44B76778" w:rsidR="00946C38" w:rsidRPr="00B13B92" w:rsidRDefault="00946C38" w:rsidP="00EA071E">
      <w:pPr>
        <w:jc w:val="both"/>
        <w:rPr>
          <w:rFonts w:ascii="Times New Roman" w:hAnsi="Times New Roman" w:cs="Times New Roman"/>
          <w:sz w:val="24"/>
          <w:szCs w:val="24"/>
        </w:rPr>
      </w:pPr>
      <w:r w:rsidRPr="00B13B92">
        <w:rPr>
          <w:rFonts w:ascii="Times New Roman" w:hAnsi="Times New Roman" w:cs="Times New Roman"/>
          <w:color w:val="000000"/>
          <w:sz w:val="24"/>
          <w:szCs w:val="24"/>
        </w:rPr>
        <w:lastRenderedPageBreak/>
        <w:t>(</w:t>
      </w:r>
      <w:r w:rsidRPr="00B13B92">
        <w:rPr>
          <w:rFonts w:ascii="Times New Roman" w:hAnsi="Times New Roman" w:cs="Times New Roman"/>
          <w:i/>
          <w:color w:val="000000"/>
          <w:sz w:val="24"/>
          <w:szCs w:val="24"/>
        </w:rPr>
        <w:t xml:space="preserve">14) Vysoká škola, stredná škola alebo národný garant je oprávnený požadovať od žiadateľa poplatok za posúdenie návrhu vzdelávacieho programu </w:t>
      </w:r>
      <w:r w:rsidRPr="00B13B92">
        <w:rPr>
          <w:rFonts w:ascii="Times New Roman" w:hAnsi="Times New Roman" w:cs="Times New Roman"/>
          <w:i/>
          <w:sz w:val="24"/>
          <w:szCs w:val="24"/>
        </w:rPr>
        <w:t xml:space="preserve">vedúceho k získaniu </w:t>
      </w:r>
      <w:proofErr w:type="spellStart"/>
      <w:r w:rsidRPr="00B13B92">
        <w:rPr>
          <w:rFonts w:ascii="Times New Roman" w:hAnsi="Times New Roman" w:cs="Times New Roman"/>
          <w:i/>
          <w:sz w:val="24"/>
          <w:szCs w:val="24"/>
        </w:rPr>
        <w:t>mikroosvedčenia</w:t>
      </w:r>
      <w:proofErr w:type="spellEnd"/>
      <w:r w:rsidRPr="00B13B92">
        <w:rPr>
          <w:rFonts w:ascii="Times New Roman" w:hAnsi="Times New Roman" w:cs="Times New Roman"/>
          <w:i/>
          <w:sz w:val="24"/>
          <w:szCs w:val="24"/>
        </w:rPr>
        <w:t xml:space="preserve">. Poskytovateľ vzdelávacieho programu vedúceho k získaniu </w:t>
      </w:r>
      <w:proofErr w:type="spellStart"/>
      <w:r w:rsidRPr="00B13B92">
        <w:rPr>
          <w:rFonts w:ascii="Times New Roman" w:hAnsi="Times New Roman" w:cs="Times New Roman"/>
          <w:i/>
          <w:sz w:val="24"/>
          <w:szCs w:val="24"/>
        </w:rPr>
        <w:t>mikroosvedčenia</w:t>
      </w:r>
      <w:proofErr w:type="spellEnd"/>
      <w:r w:rsidRPr="00B13B92">
        <w:rPr>
          <w:rFonts w:ascii="Times New Roman" w:hAnsi="Times New Roman" w:cs="Times New Roman"/>
          <w:i/>
          <w:sz w:val="24"/>
          <w:szCs w:val="24"/>
        </w:rPr>
        <w:t xml:space="preserve"> je oprávnený požadovať od uchádzača poplatok za účasť na vzdelávaní v tomto vzdelávacom programe. Sadzobník poplatkov zverejní vysoká škola alebo stredná škola na svojom webovom sídle. Národný garant zašle sadzobník poplatkov ministerstvu školstva, ktoré ho zverejní na svojom webovom sídle. Poplatok je príjmom vysokej školy</w:t>
      </w:r>
      <w:r w:rsidR="00EF0092" w:rsidRPr="00B13B92">
        <w:rPr>
          <w:rFonts w:ascii="Times New Roman" w:hAnsi="Times New Roman" w:cs="Times New Roman"/>
          <w:i/>
          <w:sz w:val="24"/>
          <w:szCs w:val="24"/>
        </w:rPr>
        <w:t>,</w:t>
      </w:r>
      <w:r w:rsidRPr="00B13B92">
        <w:rPr>
          <w:rFonts w:ascii="Times New Roman" w:hAnsi="Times New Roman" w:cs="Times New Roman"/>
          <w:i/>
          <w:sz w:val="24"/>
          <w:szCs w:val="24"/>
        </w:rPr>
        <w:t xml:space="preserve"> strednej školy alebo národného garanta</w:t>
      </w:r>
      <w:r w:rsidR="00EF0092" w:rsidRPr="00B13B92">
        <w:rPr>
          <w:rFonts w:ascii="Times New Roman" w:hAnsi="Times New Roman" w:cs="Times New Roman"/>
          <w:i/>
          <w:sz w:val="24"/>
          <w:szCs w:val="24"/>
        </w:rPr>
        <w:t>.</w:t>
      </w:r>
    </w:p>
    <w:p w14:paraId="4B093139" w14:textId="08449BA7" w:rsidR="00EF0092" w:rsidRPr="00B13B92" w:rsidRDefault="00EF0092" w:rsidP="00EA071E">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Poplatok za posúdenie návrhu vzdelávacieho programu predpokladáme vo výške 200 EUR, v priebehu roku počet podaných žiadostí odhadujeme na 50 žiadostí, čo činí 50 x 200 = 10 000 EUR.</w:t>
      </w:r>
    </w:p>
    <w:p w14:paraId="4B141CC6" w14:textId="4B52E420" w:rsidR="00EF0092" w:rsidRPr="00B13B92" w:rsidRDefault="00EF0092" w:rsidP="00EA071E">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 xml:space="preserve">Poplatok za účasť na vzdelávaní v tomto vzdelávacom programe za 1 kredit predpokladáme vo výške 500 EUR. V prípade </w:t>
      </w:r>
      <w:r w:rsidR="0059141D" w:rsidRPr="00B13B92">
        <w:rPr>
          <w:rFonts w:ascii="Times New Roman" w:eastAsia="Calibri" w:hAnsi="Times New Roman" w:cs="Times New Roman"/>
          <w:sz w:val="24"/>
          <w:szCs w:val="24"/>
        </w:rPr>
        <w:t xml:space="preserve">1000 absolventov vzdelávacích programov vedúcich k získaniu </w:t>
      </w:r>
      <w:proofErr w:type="spellStart"/>
      <w:r w:rsidR="0059141D" w:rsidRPr="00B13B92">
        <w:rPr>
          <w:rFonts w:ascii="Times New Roman" w:eastAsia="Calibri" w:hAnsi="Times New Roman" w:cs="Times New Roman"/>
          <w:sz w:val="24"/>
          <w:szCs w:val="24"/>
        </w:rPr>
        <w:t>mikroosvedčenia</w:t>
      </w:r>
      <w:proofErr w:type="spellEnd"/>
      <w:r w:rsidR="0059141D" w:rsidRPr="00B13B92">
        <w:rPr>
          <w:rFonts w:ascii="Times New Roman" w:eastAsia="Calibri" w:hAnsi="Times New Roman" w:cs="Times New Roman"/>
          <w:sz w:val="24"/>
          <w:szCs w:val="24"/>
        </w:rPr>
        <w:t xml:space="preserve"> bude príjem vzdelávacích inštitúcií vo výške 500 000 EUR.</w:t>
      </w:r>
    </w:p>
    <w:p w14:paraId="318C69EF" w14:textId="77777777" w:rsidR="0059141D" w:rsidRPr="00B13B92" w:rsidRDefault="0059141D" w:rsidP="0059141D">
      <w:pPr>
        <w:jc w:val="both"/>
        <w:rPr>
          <w:rFonts w:ascii="Times New Roman" w:eastAsia="Calibri" w:hAnsi="Times New Roman" w:cs="Times New Roman"/>
          <w:sz w:val="24"/>
          <w:szCs w:val="24"/>
        </w:rPr>
      </w:pPr>
    </w:p>
    <w:p w14:paraId="1E565C13" w14:textId="72C8B729" w:rsidR="00A970A3" w:rsidRPr="00B13B92" w:rsidRDefault="0059141D" w:rsidP="0059141D">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 13 Akreditácia vzdelávacieho programu</w:t>
      </w:r>
    </w:p>
    <w:p w14:paraId="192788B9" w14:textId="505282A6" w:rsidR="0059141D" w:rsidRPr="00B13B92" w:rsidRDefault="0059141D" w:rsidP="0059141D">
      <w:pPr>
        <w:jc w:val="both"/>
        <w:rPr>
          <w:rFonts w:ascii="Times New Roman" w:eastAsia="Calibri" w:hAnsi="Times New Roman" w:cs="Times New Roman"/>
          <w:sz w:val="24"/>
          <w:szCs w:val="24"/>
        </w:rPr>
      </w:pPr>
      <w:r w:rsidRPr="00B13B92">
        <w:rPr>
          <w:rFonts w:ascii="Times New Roman" w:eastAsia="Calibri" w:hAnsi="Times New Roman" w:cs="Times New Roman"/>
          <w:i/>
          <w:sz w:val="24"/>
          <w:szCs w:val="24"/>
        </w:rPr>
        <w:t>Aliancia je oprávnená požadovať od žiadateľa poplatok za posúdenie návrhu vzdelávacieho programu. Sadzobník poplatkov zverejní aliancia na svojom webovom sídle. Poplatok je príjmom aliancie</w:t>
      </w:r>
      <w:r w:rsidRPr="00B13B92">
        <w:rPr>
          <w:rFonts w:ascii="Times New Roman" w:eastAsia="Calibri" w:hAnsi="Times New Roman" w:cs="Times New Roman"/>
          <w:sz w:val="24"/>
          <w:szCs w:val="24"/>
        </w:rPr>
        <w:t>.</w:t>
      </w:r>
    </w:p>
    <w:p w14:paraId="086AF98B" w14:textId="4DD1A4A5" w:rsidR="0059141D" w:rsidRPr="00D513B2" w:rsidRDefault="0059141D" w:rsidP="0059141D">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 xml:space="preserve">Predpokladáme, že aliancia bude vyžadovať od žiadateľa poplatok za posúdenie návrhu vzdelávacieho programu vo výške 200 EUR, pričom odhadujeme približne 300 akreditácií za </w:t>
      </w:r>
      <w:bookmarkStart w:id="1" w:name="_GoBack"/>
      <w:bookmarkEnd w:id="1"/>
      <w:r w:rsidRPr="00D513B2">
        <w:rPr>
          <w:rFonts w:ascii="Times New Roman" w:eastAsia="Calibri" w:hAnsi="Times New Roman" w:cs="Times New Roman"/>
          <w:sz w:val="24"/>
          <w:szCs w:val="24"/>
        </w:rPr>
        <w:t>rok, t. j. 300 x 200 = 60 000 EUR.</w:t>
      </w:r>
    </w:p>
    <w:p w14:paraId="2899B739" w14:textId="48B22032" w:rsidR="005C03DA" w:rsidRPr="00D513B2" w:rsidRDefault="005C03DA" w:rsidP="005C03DA">
      <w:pPr>
        <w:jc w:val="both"/>
        <w:rPr>
          <w:rFonts w:ascii="Times New Roman" w:eastAsia="Calibri" w:hAnsi="Times New Roman" w:cs="Times New Roman"/>
          <w:i/>
          <w:sz w:val="24"/>
          <w:szCs w:val="24"/>
        </w:rPr>
      </w:pPr>
      <w:r w:rsidRPr="00D513B2">
        <w:rPr>
          <w:rFonts w:ascii="Times New Roman" w:eastAsia="Calibri" w:hAnsi="Times New Roman" w:cs="Times New Roman"/>
          <w:i/>
          <w:sz w:val="24"/>
          <w:szCs w:val="24"/>
        </w:rPr>
        <w:t>§ 18 Zánik autorizácie</w:t>
      </w:r>
    </w:p>
    <w:p w14:paraId="65E4C8FD" w14:textId="2C16D642" w:rsidR="0059141D" w:rsidRPr="00D513B2" w:rsidRDefault="005C03DA" w:rsidP="005C03DA">
      <w:pPr>
        <w:jc w:val="both"/>
        <w:rPr>
          <w:rFonts w:ascii="Times New Roman" w:eastAsia="Calibri" w:hAnsi="Times New Roman" w:cs="Times New Roman"/>
          <w:i/>
          <w:sz w:val="24"/>
          <w:szCs w:val="24"/>
        </w:rPr>
      </w:pPr>
      <w:r w:rsidRPr="00D513B2">
        <w:rPr>
          <w:rFonts w:ascii="Times New Roman" w:eastAsia="Calibri" w:hAnsi="Times New Roman" w:cs="Times New Roman"/>
          <w:i/>
          <w:sz w:val="24"/>
          <w:szCs w:val="24"/>
        </w:rPr>
        <w:t>(3)</w:t>
      </w:r>
      <w:r w:rsidRPr="00D513B2">
        <w:rPr>
          <w:rFonts w:ascii="Times New Roman" w:eastAsia="Calibri" w:hAnsi="Times New Roman" w:cs="Times New Roman"/>
          <w:i/>
          <w:sz w:val="24"/>
          <w:szCs w:val="24"/>
        </w:rPr>
        <w:tab/>
        <w:t>Právnická osoba, ktorá bola vymazaná z registra autorizovaných inštitúcií podľa odseku 2 písm. a) alebo písm. b), môže opätovne požiadať o autorizáciu najskôr po uplynutí dvoch rokov odo dňa výmazu.</w:t>
      </w:r>
    </w:p>
    <w:p w14:paraId="014D24C2" w14:textId="2E773F3C" w:rsidR="005C03DA" w:rsidRPr="005C03DA" w:rsidRDefault="005C03DA" w:rsidP="005C03DA">
      <w:pPr>
        <w:spacing w:line="240" w:lineRule="auto"/>
        <w:jc w:val="both"/>
        <w:rPr>
          <w:rFonts w:ascii="Times New Roman" w:hAnsi="Times New Roman" w:cs="Times New Roman"/>
          <w:bCs/>
          <w:sz w:val="24"/>
        </w:rPr>
      </w:pPr>
      <w:r w:rsidRPr="00D513B2">
        <w:rPr>
          <w:rFonts w:ascii="Times New Roman" w:hAnsi="Times New Roman" w:cs="Times New Roman"/>
          <w:bCs/>
          <w:sz w:val="24"/>
        </w:rPr>
        <w:t>Predĺženie lehoty, kedy právnická osoba môže opätovne požiadať o autorizáciu, a to najskôr po uplynutí dvoch rokov odo dňa výmazu, odkedy bola vymazaná z registra autorizovaných inštitúcií prispieva k negatívnemu vplyvu na podnikateľské prostredie.</w:t>
      </w:r>
    </w:p>
    <w:p w14:paraId="457D4DDD" w14:textId="77777777" w:rsidR="003D0733" w:rsidRPr="00B13B92" w:rsidRDefault="003D0733" w:rsidP="0059141D">
      <w:pPr>
        <w:jc w:val="both"/>
        <w:rPr>
          <w:rFonts w:ascii="Times New Roman" w:eastAsia="Calibri" w:hAnsi="Times New Roman" w:cs="Times New Roman"/>
          <w:i/>
          <w:sz w:val="24"/>
          <w:szCs w:val="24"/>
        </w:rPr>
      </w:pPr>
    </w:p>
    <w:p w14:paraId="4C76570D" w14:textId="14FF9018" w:rsidR="0059141D" w:rsidRPr="00B13B92" w:rsidRDefault="0059141D" w:rsidP="0059141D">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 19 Overovanie vzdelávacích výstupov vo vzdelávaní dospelých</w:t>
      </w:r>
    </w:p>
    <w:p w14:paraId="27A32A36" w14:textId="77777777" w:rsidR="0059141D" w:rsidRPr="00B13B92" w:rsidRDefault="0059141D" w:rsidP="0059141D">
      <w:pPr>
        <w:spacing w:after="0" w:line="240" w:lineRule="auto"/>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(15)</w:t>
      </w:r>
      <w:r w:rsidRPr="00B13B92">
        <w:rPr>
          <w:rFonts w:ascii="Times New Roman" w:eastAsia="Calibri" w:hAnsi="Times New Roman" w:cs="Times New Roman"/>
          <w:i/>
          <w:sz w:val="24"/>
          <w:szCs w:val="24"/>
        </w:rPr>
        <w:tab/>
        <w:t xml:space="preserve">Autorizovaná inštitúcia alebo </w:t>
      </w:r>
      <w:proofErr w:type="spellStart"/>
      <w:r w:rsidRPr="00B13B92">
        <w:rPr>
          <w:rFonts w:ascii="Times New Roman" w:eastAsia="Calibri" w:hAnsi="Times New Roman" w:cs="Times New Roman"/>
          <w:i/>
          <w:sz w:val="24"/>
          <w:szCs w:val="24"/>
        </w:rPr>
        <w:t>nadpodnikové</w:t>
      </w:r>
      <w:proofErr w:type="spellEnd"/>
      <w:r w:rsidRPr="00B13B92">
        <w:rPr>
          <w:rFonts w:ascii="Times New Roman" w:eastAsia="Calibri" w:hAnsi="Times New Roman" w:cs="Times New Roman"/>
          <w:i/>
          <w:sz w:val="24"/>
          <w:szCs w:val="24"/>
        </w:rPr>
        <w:t xml:space="preserve"> vzdelávacie centrum sú oprávnené požadovať od uchádzača </w:t>
      </w:r>
    </w:p>
    <w:p w14:paraId="399716C2" w14:textId="77777777" w:rsidR="0059141D" w:rsidRPr="00B13B92" w:rsidRDefault="0059141D" w:rsidP="0059141D">
      <w:pPr>
        <w:spacing w:after="0" w:line="240" w:lineRule="auto"/>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a)</w:t>
      </w:r>
      <w:r w:rsidRPr="00B13B92">
        <w:rPr>
          <w:rFonts w:ascii="Times New Roman" w:eastAsia="Calibri" w:hAnsi="Times New Roman" w:cs="Times New Roman"/>
          <w:i/>
          <w:sz w:val="24"/>
          <w:szCs w:val="24"/>
        </w:rPr>
        <w:tab/>
        <w:t xml:space="preserve">poplatok za overenie vzdelávacích výstupov a </w:t>
      </w:r>
    </w:p>
    <w:p w14:paraId="7450F2B4" w14:textId="77777777" w:rsidR="0059141D" w:rsidRPr="00B13B92" w:rsidRDefault="0059141D" w:rsidP="0059141D">
      <w:pPr>
        <w:spacing w:after="0" w:line="240" w:lineRule="auto"/>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b)</w:t>
      </w:r>
      <w:r w:rsidRPr="00B13B92">
        <w:rPr>
          <w:rFonts w:ascii="Times New Roman" w:eastAsia="Calibri" w:hAnsi="Times New Roman" w:cs="Times New Roman"/>
          <w:i/>
          <w:sz w:val="24"/>
          <w:szCs w:val="24"/>
        </w:rPr>
        <w:tab/>
        <w:t>poplatok za skúšku na overenie vzdelávacích výstupov alebo za majstrovskú skúšku.</w:t>
      </w:r>
    </w:p>
    <w:p w14:paraId="607BE89D" w14:textId="77777777" w:rsidR="0059141D" w:rsidRPr="00B13B92" w:rsidRDefault="0059141D" w:rsidP="0059141D">
      <w:pPr>
        <w:spacing w:after="0" w:line="240" w:lineRule="auto"/>
        <w:jc w:val="both"/>
        <w:rPr>
          <w:rFonts w:ascii="Times New Roman" w:eastAsia="Calibri" w:hAnsi="Times New Roman" w:cs="Times New Roman"/>
          <w:i/>
          <w:sz w:val="24"/>
          <w:szCs w:val="24"/>
        </w:rPr>
      </w:pPr>
    </w:p>
    <w:p w14:paraId="2B4797B3" w14:textId="331B6EBC" w:rsidR="0059141D" w:rsidRPr="00B13B92" w:rsidRDefault="0059141D" w:rsidP="0059141D">
      <w:pPr>
        <w:spacing w:after="0" w:line="240" w:lineRule="auto"/>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(16)</w:t>
      </w:r>
      <w:r w:rsidRPr="00B13B92">
        <w:rPr>
          <w:rFonts w:ascii="Times New Roman" w:eastAsia="Calibri" w:hAnsi="Times New Roman" w:cs="Times New Roman"/>
          <w:i/>
          <w:sz w:val="24"/>
          <w:szCs w:val="24"/>
        </w:rPr>
        <w:tab/>
        <w:t xml:space="preserve">Sadzobník poplatkov zverejní autorizovaná inštitúcia alebo </w:t>
      </w:r>
      <w:proofErr w:type="spellStart"/>
      <w:r w:rsidRPr="00B13B92">
        <w:rPr>
          <w:rFonts w:ascii="Times New Roman" w:eastAsia="Calibri" w:hAnsi="Times New Roman" w:cs="Times New Roman"/>
          <w:i/>
          <w:sz w:val="24"/>
          <w:szCs w:val="24"/>
        </w:rPr>
        <w:t>nadpodnikové</w:t>
      </w:r>
      <w:proofErr w:type="spellEnd"/>
      <w:r w:rsidRPr="00B13B92">
        <w:rPr>
          <w:rFonts w:ascii="Times New Roman" w:eastAsia="Calibri" w:hAnsi="Times New Roman" w:cs="Times New Roman"/>
          <w:i/>
          <w:sz w:val="24"/>
          <w:szCs w:val="24"/>
        </w:rPr>
        <w:t xml:space="preserve"> vzdelávacie centrum na svojom webovom sídle. Poplatok je príjmom autorizovanej inštitúcie alebo </w:t>
      </w:r>
      <w:proofErr w:type="spellStart"/>
      <w:r w:rsidRPr="00B13B92">
        <w:rPr>
          <w:rFonts w:ascii="Times New Roman" w:eastAsia="Calibri" w:hAnsi="Times New Roman" w:cs="Times New Roman"/>
          <w:i/>
          <w:sz w:val="24"/>
          <w:szCs w:val="24"/>
        </w:rPr>
        <w:t>nadpodnikového</w:t>
      </w:r>
      <w:proofErr w:type="spellEnd"/>
      <w:r w:rsidRPr="00B13B92">
        <w:rPr>
          <w:rFonts w:ascii="Times New Roman" w:eastAsia="Calibri" w:hAnsi="Times New Roman" w:cs="Times New Roman"/>
          <w:i/>
          <w:sz w:val="24"/>
          <w:szCs w:val="24"/>
        </w:rPr>
        <w:t xml:space="preserve"> vzdelávacieho centra.</w:t>
      </w:r>
    </w:p>
    <w:p w14:paraId="3E73F249" w14:textId="01229D66" w:rsidR="0059141D" w:rsidRPr="00B13B92" w:rsidRDefault="0059141D" w:rsidP="0059141D">
      <w:pPr>
        <w:spacing w:after="0" w:line="240" w:lineRule="auto"/>
        <w:jc w:val="both"/>
        <w:rPr>
          <w:rFonts w:ascii="Times New Roman" w:eastAsia="Calibri" w:hAnsi="Times New Roman" w:cs="Times New Roman"/>
          <w:i/>
          <w:sz w:val="24"/>
          <w:szCs w:val="24"/>
        </w:rPr>
      </w:pPr>
    </w:p>
    <w:p w14:paraId="27FCF6C5" w14:textId="1473EC94" w:rsidR="0059141D" w:rsidRPr="00B13B92" w:rsidRDefault="00427ECC" w:rsidP="0059141D">
      <w:pPr>
        <w:spacing w:after="0" w:line="240" w:lineRule="auto"/>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Predpokladaný počet uchádzačov o overenie vzdelávacích výstupov je 1000 osôb, pričom cena jedného overenia je na úrovni 300 EUR, t. j. 300 x 1000 = 300 000 EUR.</w:t>
      </w:r>
    </w:p>
    <w:p w14:paraId="1F9E8FFF" w14:textId="51AFA678" w:rsidR="00621BB7" w:rsidRPr="00B13B92" w:rsidRDefault="00621BB7" w:rsidP="00EA071E">
      <w:pPr>
        <w:jc w:val="both"/>
        <w:rPr>
          <w:rFonts w:ascii="Times New Roman" w:eastAsia="Calibri" w:hAnsi="Times New Roman" w:cs="Times New Roman"/>
          <w:sz w:val="24"/>
          <w:szCs w:val="24"/>
        </w:rPr>
      </w:pPr>
    </w:p>
    <w:p w14:paraId="5A92394F" w14:textId="5CDF562E" w:rsidR="00DA25B5" w:rsidRPr="00B13B92" w:rsidRDefault="00DA25B5" w:rsidP="00DA25B5">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 25 Financovanie vzdelávania dospelých</w:t>
      </w:r>
    </w:p>
    <w:p w14:paraId="7EFA131A" w14:textId="757083BE" w:rsidR="00DA25B5" w:rsidRPr="00B13B92" w:rsidRDefault="00DA25B5" w:rsidP="00DA25B5">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(12)</w:t>
      </w:r>
      <w:r w:rsidRPr="00B13B92">
        <w:rPr>
          <w:rFonts w:ascii="Times New Roman" w:eastAsia="Calibri" w:hAnsi="Times New Roman" w:cs="Times New Roman"/>
          <w:i/>
          <w:sz w:val="24"/>
          <w:szCs w:val="24"/>
        </w:rPr>
        <w:tab/>
        <w:t>Aliancia je oprávnená požadovať od žiadateľa poplatok za zápis do zoznamu podľa odseku 10. Sadzobník poplatkov zverejní aliancia na svojom webovom sídle. Poplatok je príjmom aliancie.</w:t>
      </w:r>
    </w:p>
    <w:p w14:paraId="787AF9BF" w14:textId="28F5812F" w:rsidR="00DA25B5" w:rsidRPr="00B13B92" w:rsidRDefault="00DA25B5" w:rsidP="00DA25B5">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 xml:space="preserve">Poplatok sa vyžaduje </w:t>
      </w:r>
      <w:r w:rsidR="009B2795" w:rsidRPr="00B13B92">
        <w:rPr>
          <w:rFonts w:ascii="Times New Roman" w:eastAsia="Calibri" w:hAnsi="Times New Roman" w:cs="Times New Roman"/>
          <w:sz w:val="24"/>
          <w:szCs w:val="24"/>
        </w:rPr>
        <w:t xml:space="preserve">zápis do zoznamu certifikovaných vzdelávacích inštitúcií, ktoré poskytujú </w:t>
      </w:r>
      <w:r w:rsidRPr="00B13B92">
        <w:rPr>
          <w:rFonts w:ascii="Times New Roman" w:eastAsia="Calibri" w:hAnsi="Times New Roman" w:cs="Times New Roman"/>
          <w:sz w:val="24"/>
          <w:szCs w:val="24"/>
        </w:rPr>
        <w:t xml:space="preserve">neformálne vzdelávanie vo vzdelávacom programe, ktoré vedie k získaniu, obnoveniu, rozšíreniu alebo k prehĺbeniu digitálnych zručností alebo zelených zručností. </w:t>
      </w:r>
    </w:p>
    <w:p w14:paraId="683E4BAC" w14:textId="3AAB2707" w:rsidR="00621BB7" w:rsidRPr="00B13B92" w:rsidRDefault="009B2795" w:rsidP="009B2795">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Predpokladaná výška poplatku za zápis je v hodnote 100 EUR, pričom odhadovaný počet žiadateľov očakávame na úrovni 100 inštitúcií, t. j. 100 x 100 = 10 000 EUR.</w:t>
      </w:r>
    </w:p>
    <w:p w14:paraId="5305174D" w14:textId="055BC410" w:rsidR="00BD4693" w:rsidRPr="00B13B92" w:rsidRDefault="00BD4693" w:rsidP="009B2795">
      <w:pPr>
        <w:jc w:val="both"/>
        <w:rPr>
          <w:rFonts w:ascii="Times New Roman" w:eastAsia="Calibri" w:hAnsi="Times New Roman" w:cs="Times New Roman"/>
          <w:sz w:val="24"/>
          <w:szCs w:val="24"/>
        </w:rPr>
      </w:pPr>
    </w:p>
    <w:p w14:paraId="2C7D3A2F" w14:textId="43507337" w:rsidR="00BD4693" w:rsidRPr="00B13B92" w:rsidRDefault="00BD4693" w:rsidP="00BD4693">
      <w:pPr>
        <w:jc w:val="both"/>
        <w:rPr>
          <w:rFonts w:ascii="Times New Roman" w:eastAsia="Calibri" w:hAnsi="Times New Roman" w:cs="Times New Roman"/>
          <w:i/>
          <w:sz w:val="24"/>
          <w:szCs w:val="24"/>
        </w:rPr>
      </w:pPr>
      <w:r w:rsidRPr="00B13B92">
        <w:rPr>
          <w:rFonts w:ascii="Times New Roman" w:eastAsia="Calibri" w:hAnsi="Times New Roman" w:cs="Times New Roman"/>
          <w:i/>
          <w:sz w:val="24"/>
          <w:szCs w:val="24"/>
        </w:rPr>
        <w:t>§ 32 Správne delikty</w:t>
      </w:r>
    </w:p>
    <w:p w14:paraId="528D6101" w14:textId="0375AE7B" w:rsidR="00A61FAC" w:rsidRPr="00BD4693" w:rsidRDefault="00BD4693" w:rsidP="00BD4693">
      <w:pPr>
        <w:jc w:val="both"/>
        <w:rPr>
          <w:rFonts w:ascii="Times New Roman" w:eastAsia="Calibri" w:hAnsi="Times New Roman" w:cs="Times New Roman"/>
          <w:sz w:val="24"/>
          <w:szCs w:val="24"/>
        </w:rPr>
      </w:pPr>
      <w:r w:rsidRPr="00B13B92">
        <w:rPr>
          <w:rFonts w:ascii="Times New Roman" w:eastAsia="Calibri" w:hAnsi="Times New Roman" w:cs="Times New Roman"/>
          <w:sz w:val="24"/>
          <w:szCs w:val="24"/>
        </w:rPr>
        <w:t>Návrh zákona zavádza správne delikty, ktoré bude možné uložiť kontrolovanému subjektu vo výške od 1000 Eur až do výšky 100 000 EUR za nedodržiavanie povinností stanovených v zákone.</w:t>
      </w:r>
      <w:r w:rsidR="00FA1582" w:rsidRPr="00B13B92">
        <w:rPr>
          <w:rFonts w:ascii="Times New Roman" w:eastAsia="Calibri" w:hAnsi="Times New Roman" w:cs="Times New Roman"/>
          <w:sz w:val="24"/>
          <w:szCs w:val="24"/>
        </w:rPr>
        <w:t xml:space="preserve"> </w:t>
      </w:r>
      <w:r w:rsidR="00A61FAC" w:rsidRPr="00B13B92">
        <w:rPr>
          <w:rFonts w:ascii="Times New Roman" w:eastAsia="Calibri" w:hAnsi="Times New Roman" w:cs="Times New Roman"/>
          <w:sz w:val="24"/>
          <w:szCs w:val="24"/>
        </w:rPr>
        <w:t xml:space="preserve">Návrh zákona nestanovuje výšku poplatkov za jednotlivé úkony, avšak nastavuje výšku pokuty pri nedodržaní povinností vzdelávacej inštitúcie na </w:t>
      </w:r>
      <w:r w:rsidR="00FA1582" w:rsidRPr="00B13B92">
        <w:rPr>
          <w:rFonts w:ascii="Times New Roman" w:eastAsia="Calibri" w:hAnsi="Times New Roman" w:cs="Times New Roman"/>
          <w:sz w:val="24"/>
          <w:szCs w:val="24"/>
        </w:rPr>
        <w:t>likvidačn</w:t>
      </w:r>
      <w:r w:rsidR="00A61FAC" w:rsidRPr="00B13B92">
        <w:rPr>
          <w:rFonts w:ascii="Times New Roman" w:eastAsia="Calibri" w:hAnsi="Times New Roman" w:cs="Times New Roman"/>
          <w:sz w:val="24"/>
          <w:szCs w:val="24"/>
        </w:rPr>
        <w:t xml:space="preserve">ú úroveň. Cieľom predkladateľa je zabezpečenie súčinnosti, </w:t>
      </w:r>
      <w:r w:rsidR="00FE71EA" w:rsidRPr="00B13B92">
        <w:rPr>
          <w:rFonts w:ascii="Times New Roman" w:eastAsia="Calibri" w:hAnsi="Times New Roman" w:cs="Times New Roman"/>
          <w:sz w:val="24"/>
          <w:szCs w:val="24"/>
        </w:rPr>
        <w:t xml:space="preserve">odstránenie zistených nedostatkov a </w:t>
      </w:r>
      <w:r w:rsidR="00A61FAC" w:rsidRPr="00B13B92">
        <w:rPr>
          <w:rFonts w:ascii="Times New Roman" w:eastAsia="Calibri" w:hAnsi="Times New Roman" w:cs="Times New Roman"/>
          <w:sz w:val="24"/>
          <w:szCs w:val="24"/>
        </w:rPr>
        <w:t>prevenci</w:t>
      </w:r>
      <w:r w:rsidR="00FE71EA" w:rsidRPr="00B13B92">
        <w:rPr>
          <w:rFonts w:ascii="Times New Roman" w:eastAsia="Calibri" w:hAnsi="Times New Roman" w:cs="Times New Roman"/>
          <w:sz w:val="24"/>
          <w:szCs w:val="24"/>
        </w:rPr>
        <w:t>a</w:t>
      </w:r>
      <w:r w:rsidR="00A61FAC" w:rsidRPr="00B13B92">
        <w:rPr>
          <w:rFonts w:ascii="Times New Roman" w:eastAsia="Calibri" w:hAnsi="Times New Roman" w:cs="Times New Roman"/>
          <w:sz w:val="24"/>
          <w:szCs w:val="24"/>
        </w:rPr>
        <w:t xml:space="preserve"> s odstrašujúcim účinkom</w:t>
      </w:r>
      <w:r w:rsidR="00FE71EA" w:rsidRPr="00B13B92">
        <w:rPr>
          <w:rFonts w:ascii="Times New Roman" w:eastAsia="Calibri" w:hAnsi="Times New Roman" w:cs="Times New Roman"/>
          <w:sz w:val="24"/>
          <w:szCs w:val="24"/>
        </w:rPr>
        <w:t>.</w:t>
      </w:r>
    </w:p>
    <w:sectPr w:rsidR="00A61FAC" w:rsidRPr="00BD4693"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A64E" w14:textId="77777777" w:rsidR="00E6281D" w:rsidRDefault="00E6281D" w:rsidP="00054C41">
      <w:pPr>
        <w:spacing w:after="0" w:line="240" w:lineRule="auto"/>
      </w:pPr>
      <w:r>
        <w:separator/>
      </w:r>
    </w:p>
  </w:endnote>
  <w:endnote w:type="continuationSeparator" w:id="0">
    <w:p w14:paraId="7F76F336" w14:textId="77777777" w:rsidR="00E6281D" w:rsidRDefault="00E6281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4435F41B" w:rsidR="007203B3" w:rsidRPr="006045CB" w:rsidRDefault="007203B3"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BF21DF">
          <w:rPr>
            <w:rFonts w:ascii="Times New Roman" w:hAnsi="Times New Roman" w:cs="Times New Roman"/>
            <w:noProof/>
            <w:sz w:val="24"/>
            <w:szCs w:val="24"/>
          </w:rPr>
          <w:t>6</w:t>
        </w:r>
        <w:r w:rsidRPr="006045CB">
          <w:rPr>
            <w:rFonts w:ascii="Times New Roman" w:hAnsi="Times New Roman" w:cs="Times New Roman"/>
            <w:sz w:val="24"/>
            <w:szCs w:val="24"/>
          </w:rPr>
          <w:fldChar w:fldCharType="end"/>
        </w:r>
      </w:p>
    </w:sdtContent>
  </w:sdt>
  <w:p w14:paraId="4556761F" w14:textId="77777777" w:rsidR="007203B3" w:rsidRPr="00FF7125" w:rsidRDefault="007203B3" w:rsidP="00054C41">
    <w:pPr>
      <w:pStyle w:val="Pta"/>
      <w:rPr>
        <w:sz w:val="24"/>
        <w:szCs w:val="24"/>
      </w:rPr>
    </w:pPr>
  </w:p>
  <w:p w14:paraId="20FE6A4A" w14:textId="77777777" w:rsidR="007203B3" w:rsidRDefault="007203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588B" w14:textId="77777777" w:rsidR="00E6281D" w:rsidRDefault="00E6281D" w:rsidP="00054C41">
      <w:pPr>
        <w:spacing w:after="0" w:line="240" w:lineRule="auto"/>
      </w:pPr>
      <w:r>
        <w:separator/>
      </w:r>
    </w:p>
  </w:footnote>
  <w:footnote w:type="continuationSeparator" w:id="0">
    <w:p w14:paraId="33F68352" w14:textId="77777777" w:rsidR="00E6281D" w:rsidRDefault="00E6281D" w:rsidP="00054C41">
      <w:pPr>
        <w:spacing w:after="0" w:line="240" w:lineRule="auto"/>
      </w:pPr>
      <w:r>
        <w:continuationSeparator/>
      </w:r>
    </w:p>
  </w:footnote>
  <w:footnote w:id="1">
    <w:p w14:paraId="6CC680CB" w14:textId="6BF8CDC6" w:rsidR="007203B3" w:rsidRPr="000A6B7F" w:rsidRDefault="007203B3"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7203B3" w:rsidRPr="00804BC8" w:rsidRDefault="007203B3"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7203B3" w:rsidRDefault="007203B3"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8E6B" w14:textId="77777777" w:rsidR="007203B3" w:rsidRPr="006045CB" w:rsidRDefault="007203B3"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7203B3" w:rsidRPr="006045CB" w:rsidRDefault="007203B3"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1C279CF"/>
    <w:multiLevelType w:val="hybridMultilevel"/>
    <w:tmpl w:val="26D4E19C"/>
    <w:lvl w:ilvl="0" w:tplc="245AEC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1"/>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2425A"/>
    <w:rsid w:val="00024EE4"/>
    <w:rsid w:val="00047C70"/>
    <w:rsid w:val="00050AAB"/>
    <w:rsid w:val="00054A53"/>
    <w:rsid w:val="00054C41"/>
    <w:rsid w:val="00060DA1"/>
    <w:rsid w:val="00061E85"/>
    <w:rsid w:val="000820E0"/>
    <w:rsid w:val="00091A43"/>
    <w:rsid w:val="0009490E"/>
    <w:rsid w:val="000A6B7F"/>
    <w:rsid w:val="000C5419"/>
    <w:rsid w:val="000C5E9A"/>
    <w:rsid w:val="000D15F0"/>
    <w:rsid w:val="000E5B7C"/>
    <w:rsid w:val="0011003B"/>
    <w:rsid w:val="001133DA"/>
    <w:rsid w:val="00126A2B"/>
    <w:rsid w:val="001332EB"/>
    <w:rsid w:val="00142154"/>
    <w:rsid w:val="001476A4"/>
    <w:rsid w:val="00162C6C"/>
    <w:rsid w:val="0016512E"/>
    <w:rsid w:val="0018715C"/>
    <w:rsid w:val="001A1561"/>
    <w:rsid w:val="001B4C03"/>
    <w:rsid w:val="001C7B91"/>
    <w:rsid w:val="001D1083"/>
    <w:rsid w:val="001D3FA0"/>
    <w:rsid w:val="001E24E8"/>
    <w:rsid w:val="001E53CB"/>
    <w:rsid w:val="001E7623"/>
    <w:rsid w:val="00207F43"/>
    <w:rsid w:val="002232D3"/>
    <w:rsid w:val="00225A83"/>
    <w:rsid w:val="00231B8F"/>
    <w:rsid w:val="00270EA5"/>
    <w:rsid w:val="002712B9"/>
    <w:rsid w:val="00284B8C"/>
    <w:rsid w:val="0029483F"/>
    <w:rsid w:val="002B66C4"/>
    <w:rsid w:val="002C2FC0"/>
    <w:rsid w:val="00302A17"/>
    <w:rsid w:val="00314D25"/>
    <w:rsid w:val="0031569B"/>
    <w:rsid w:val="00315BE2"/>
    <w:rsid w:val="00326BDD"/>
    <w:rsid w:val="003322EE"/>
    <w:rsid w:val="00337630"/>
    <w:rsid w:val="00340CFD"/>
    <w:rsid w:val="003413D5"/>
    <w:rsid w:val="00342621"/>
    <w:rsid w:val="00357F22"/>
    <w:rsid w:val="0036748D"/>
    <w:rsid w:val="00376039"/>
    <w:rsid w:val="0038255E"/>
    <w:rsid w:val="00385D56"/>
    <w:rsid w:val="00391648"/>
    <w:rsid w:val="0039304E"/>
    <w:rsid w:val="0039334E"/>
    <w:rsid w:val="00394AD2"/>
    <w:rsid w:val="003A02AF"/>
    <w:rsid w:val="003A3124"/>
    <w:rsid w:val="003A686F"/>
    <w:rsid w:val="003B746B"/>
    <w:rsid w:val="003D0733"/>
    <w:rsid w:val="003E278A"/>
    <w:rsid w:val="003E58B8"/>
    <w:rsid w:val="003F06D7"/>
    <w:rsid w:val="00400224"/>
    <w:rsid w:val="00400BA5"/>
    <w:rsid w:val="00410E62"/>
    <w:rsid w:val="00414FA7"/>
    <w:rsid w:val="00420090"/>
    <w:rsid w:val="004239D1"/>
    <w:rsid w:val="00427ECC"/>
    <w:rsid w:val="004329B1"/>
    <w:rsid w:val="00445638"/>
    <w:rsid w:val="00446432"/>
    <w:rsid w:val="00446512"/>
    <w:rsid w:val="00466D7A"/>
    <w:rsid w:val="0047577A"/>
    <w:rsid w:val="0048237B"/>
    <w:rsid w:val="00484D16"/>
    <w:rsid w:val="00491853"/>
    <w:rsid w:val="004A14CD"/>
    <w:rsid w:val="004A2C6B"/>
    <w:rsid w:val="004D20CB"/>
    <w:rsid w:val="004D65B2"/>
    <w:rsid w:val="004D681D"/>
    <w:rsid w:val="004E2324"/>
    <w:rsid w:val="004F63E6"/>
    <w:rsid w:val="005103DA"/>
    <w:rsid w:val="00511F8F"/>
    <w:rsid w:val="00512BA7"/>
    <w:rsid w:val="00515726"/>
    <w:rsid w:val="00562527"/>
    <w:rsid w:val="00562A1E"/>
    <w:rsid w:val="00563427"/>
    <w:rsid w:val="00581EB9"/>
    <w:rsid w:val="0059141D"/>
    <w:rsid w:val="0059521E"/>
    <w:rsid w:val="005B4E6E"/>
    <w:rsid w:val="005B56E4"/>
    <w:rsid w:val="005C03DA"/>
    <w:rsid w:val="005C795C"/>
    <w:rsid w:val="005D0E50"/>
    <w:rsid w:val="005D39D8"/>
    <w:rsid w:val="005D3D0D"/>
    <w:rsid w:val="0061097B"/>
    <w:rsid w:val="0061612F"/>
    <w:rsid w:val="006177C8"/>
    <w:rsid w:val="00621BB7"/>
    <w:rsid w:val="0062600A"/>
    <w:rsid w:val="0063777D"/>
    <w:rsid w:val="00643358"/>
    <w:rsid w:val="00646084"/>
    <w:rsid w:val="006564C3"/>
    <w:rsid w:val="006578CB"/>
    <w:rsid w:val="006A4E85"/>
    <w:rsid w:val="006A60C0"/>
    <w:rsid w:val="006A712F"/>
    <w:rsid w:val="006B5D74"/>
    <w:rsid w:val="006C25BE"/>
    <w:rsid w:val="006D7AD8"/>
    <w:rsid w:val="006F1D57"/>
    <w:rsid w:val="0070364C"/>
    <w:rsid w:val="00705F4D"/>
    <w:rsid w:val="00710EDF"/>
    <w:rsid w:val="007203B3"/>
    <w:rsid w:val="0072221D"/>
    <w:rsid w:val="0072357C"/>
    <w:rsid w:val="007259CB"/>
    <w:rsid w:val="00726031"/>
    <w:rsid w:val="00751DA9"/>
    <w:rsid w:val="00755E69"/>
    <w:rsid w:val="007648EE"/>
    <w:rsid w:val="0077106D"/>
    <w:rsid w:val="00780ACC"/>
    <w:rsid w:val="00787A11"/>
    <w:rsid w:val="00797B40"/>
    <w:rsid w:val="007A0C9D"/>
    <w:rsid w:val="007B2DFA"/>
    <w:rsid w:val="007B40FB"/>
    <w:rsid w:val="007B62AF"/>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23C0C"/>
    <w:rsid w:val="00946C38"/>
    <w:rsid w:val="0095170D"/>
    <w:rsid w:val="00952CF6"/>
    <w:rsid w:val="00960413"/>
    <w:rsid w:val="0096246A"/>
    <w:rsid w:val="00981995"/>
    <w:rsid w:val="00981C7F"/>
    <w:rsid w:val="00985515"/>
    <w:rsid w:val="00990813"/>
    <w:rsid w:val="0099544D"/>
    <w:rsid w:val="00997513"/>
    <w:rsid w:val="009A0E2C"/>
    <w:rsid w:val="009A4D56"/>
    <w:rsid w:val="009B1F04"/>
    <w:rsid w:val="009B2795"/>
    <w:rsid w:val="009E09F7"/>
    <w:rsid w:val="009E2D5C"/>
    <w:rsid w:val="009E3E44"/>
    <w:rsid w:val="009F4175"/>
    <w:rsid w:val="009F66A4"/>
    <w:rsid w:val="009F6C80"/>
    <w:rsid w:val="00A000DA"/>
    <w:rsid w:val="00A1736E"/>
    <w:rsid w:val="00A216DF"/>
    <w:rsid w:val="00A33F2C"/>
    <w:rsid w:val="00A50EE3"/>
    <w:rsid w:val="00A61FAC"/>
    <w:rsid w:val="00A83E11"/>
    <w:rsid w:val="00A94A0F"/>
    <w:rsid w:val="00A970A3"/>
    <w:rsid w:val="00AA3C6D"/>
    <w:rsid w:val="00AB57C4"/>
    <w:rsid w:val="00B11CF5"/>
    <w:rsid w:val="00B13B92"/>
    <w:rsid w:val="00B209FA"/>
    <w:rsid w:val="00B21D1F"/>
    <w:rsid w:val="00B410BA"/>
    <w:rsid w:val="00B420C5"/>
    <w:rsid w:val="00B43D68"/>
    <w:rsid w:val="00B44A3A"/>
    <w:rsid w:val="00B5600C"/>
    <w:rsid w:val="00B66E33"/>
    <w:rsid w:val="00B72FB1"/>
    <w:rsid w:val="00B91E37"/>
    <w:rsid w:val="00B953DA"/>
    <w:rsid w:val="00BA19B0"/>
    <w:rsid w:val="00BB3870"/>
    <w:rsid w:val="00BB45A7"/>
    <w:rsid w:val="00BD0EF7"/>
    <w:rsid w:val="00BD4693"/>
    <w:rsid w:val="00BD6778"/>
    <w:rsid w:val="00BF21DF"/>
    <w:rsid w:val="00BF5B26"/>
    <w:rsid w:val="00C01599"/>
    <w:rsid w:val="00C048D1"/>
    <w:rsid w:val="00C05563"/>
    <w:rsid w:val="00C11132"/>
    <w:rsid w:val="00C115B9"/>
    <w:rsid w:val="00C12FDD"/>
    <w:rsid w:val="00C145AA"/>
    <w:rsid w:val="00C14655"/>
    <w:rsid w:val="00C21399"/>
    <w:rsid w:val="00C446E2"/>
    <w:rsid w:val="00C535F5"/>
    <w:rsid w:val="00C560C4"/>
    <w:rsid w:val="00C634D1"/>
    <w:rsid w:val="00C671E5"/>
    <w:rsid w:val="00C6748F"/>
    <w:rsid w:val="00C72C13"/>
    <w:rsid w:val="00C74337"/>
    <w:rsid w:val="00C75DC8"/>
    <w:rsid w:val="00C929AE"/>
    <w:rsid w:val="00CA4344"/>
    <w:rsid w:val="00CA6348"/>
    <w:rsid w:val="00CB1232"/>
    <w:rsid w:val="00CB17A0"/>
    <w:rsid w:val="00CC3B7D"/>
    <w:rsid w:val="00CD5AE4"/>
    <w:rsid w:val="00CD5E86"/>
    <w:rsid w:val="00CE3B21"/>
    <w:rsid w:val="00CF4D09"/>
    <w:rsid w:val="00D005F2"/>
    <w:rsid w:val="00D03A8E"/>
    <w:rsid w:val="00D114ED"/>
    <w:rsid w:val="00D14E77"/>
    <w:rsid w:val="00D3032C"/>
    <w:rsid w:val="00D31A3B"/>
    <w:rsid w:val="00D513B2"/>
    <w:rsid w:val="00D5309D"/>
    <w:rsid w:val="00D56563"/>
    <w:rsid w:val="00D631FA"/>
    <w:rsid w:val="00D71064"/>
    <w:rsid w:val="00D811BB"/>
    <w:rsid w:val="00D82356"/>
    <w:rsid w:val="00D84EEE"/>
    <w:rsid w:val="00D90A61"/>
    <w:rsid w:val="00D946EF"/>
    <w:rsid w:val="00D95553"/>
    <w:rsid w:val="00D95A73"/>
    <w:rsid w:val="00DA25B5"/>
    <w:rsid w:val="00DC355F"/>
    <w:rsid w:val="00DD1E4C"/>
    <w:rsid w:val="00DE331A"/>
    <w:rsid w:val="00DE392D"/>
    <w:rsid w:val="00DE6ACB"/>
    <w:rsid w:val="00DE707C"/>
    <w:rsid w:val="00DF02CE"/>
    <w:rsid w:val="00DF1462"/>
    <w:rsid w:val="00DF2FD9"/>
    <w:rsid w:val="00E030DA"/>
    <w:rsid w:val="00E214C0"/>
    <w:rsid w:val="00E30D85"/>
    <w:rsid w:val="00E444EB"/>
    <w:rsid w:val="00E6281D"/>
    <w:rsid w:val="00E77A69"/>
    <w:rsid w:val="00E81A42"/>
    <w:rsid w:val="00E961E8"/>
    <w:rsid w:val="00E96244"/>
    <w:rsid w:val="00E96DE0"/>
    <w:rsid w:val="00EA071E"/>
    <w:rsid w:val="00EB2BEC"/>
    <w:rsid w:val="00EB74BF"/>
    <w:rsid w:val="00EC0704"/>
    <w:rsid w:val="00EC508B"/>
    <w:rsid w:val="00ED6B5D"/>
    <w:rsid w:val="00EE4C99"/>
    <w:rsid w:val="00EF0092"/>
    <w:rsid w:val="00F153D7"/>
    <w:rsid w:val="00F1599C"/>
    <w:rsid w:val="00F2433F"/>
    <w:rsid w:val="00F244DC"/>
    <w:rsid w:val="00F378F4"/>
    <w:rsid w:val="00F47912"/>
    <w:rsid w:val="00F541B6"/>
    <w:rsid w:val="00F57702"/>
    <w:rsid w:val="00F61361"/>
    <w:rsid w:val="00F613E8"/>
    <w:rsid w:val="00F74D3C"/>
    <w:rsid w:val="00F74FC9"/>
    <w:rsid w:val="00F91F47"/>
    <w:rsid w:val="00FA1582"/>
    <w:rsid w:val="00FA4F36"/>
    <w:rsid w:val="00FA6FFE"/>
    <w:rsid w:val="00FC121B"/>
    <w:rsid w:val="00FD3DFB"/>
    <w:rsid w:val="00FE71EA"/>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C634D1"/>
    <w:rPr>
      <w:color w:val="0000FF"/>
      <w:u w:val="single"/>
    </w:rPr>
  </w:style>
  <w:style w:type="character" w:styleId="Zvraznenie">
    <w:name w:val="Emphasis"/>
    <w:basedOn w:val="Predvolenpsmoodseku"/>
    <w:uiPriority w:val="20"/>
    <w:qFormat/>
    <w:rsid w:val="00A61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kovania.gov.sk/RVL/Material/27153/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okovania.gov.sk/RVL/Material/2663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isdv.iedu.sk/SearchForm.asp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d_analyza-vplyvov-na-podnik_prostredie"/>
    <f:field ref="objsubject" par="" edit="true" text=""/>
    <f:field ref="objcreatedby" par="" text="Kasenčák, René, JUDr."/>
    <f:field ref="objcreatedat" par="" text="18.4.2024 12:35:58"/>
    <f:field ref="objchangedby" par="" text="Administrator, System"/>
    <f:field ref="objmodifiedat" par="" text="18.4.2024 12:35:5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0945B06-1DE0-45F8-B881-5908BA47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2506</Words>
  <Characters>14287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Kasenčák René</cp:lastModifiedBy>
  <cp:revision>4</cp:revision>
  <dcterms:created xsi:type="dcterms:W3CDTF">2024-07-18T06:28:00Z</dcterms:created>
  <dcterms:modified xsi:type="dcterms:W3CDTF">2024-08-06T09:17:00Z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Školstvo a vzdelávanie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René Kasenčák</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o vzdelávaní dospelých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školstva,výskumu,vývoja a mládeže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 (úloha č. 5 na mesiac jún)</vt:lpwstr>
  </property>
  <property fmtid="{D5CDD505-2E9C-101B-9397-08002B2CF9AE}" pid="23" name="FSC#SKEDITIONSLOVLEX@103.510:plnynazovpredpis">
    <vt:lpwstr> Zákon o vzdelávaní dospelých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2024/9740-A1810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LP/2024/179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výskumu, vývoja a mládeže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Slovenskej republiky</vt:lpwstr>
  </property>
  <property fmtid="{D5CDD505-2E9C-101B-9397-08002B2CF9AE}" pid="142" name="FSC#SKEDITIONSLOVLEX@103.510:funkciaZodpPredAkuzativ">
    <vt:lpwstr>ministrovi školstva, vedy, výskumu a športu Slovenskej republiky</vt:lpwstr>
  </property>
  <property fmtid="{D5CDD505-2E9C-101B-9397-08002B2CF9AE}" pid="143" name="FSC#SKEDITIONSLOVLEX@103.510:funkciaZodpPredDativ">
    <vt:lpwstr>ministra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
minister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výskumu, vývoja a mládeže Slovenskej republiky predkladá na základe Plánu legislatívnych úloh vlády Slovenskej republiky na rok 2024&amp;nbsp; (úloha č. 5 na mesiac jún) návrh zákona o vzdelávaní dospelých a o zmene a doplnení niekto</vt:lpwstr>
  </property>
  <property fmtid="{D5CDD505-2E9C-101B-9397-08002B2CF9AE}" pid="150" name="FSC#SKEDITIONSLOVLEX@103.510:vytvorenedna">
    <vt:lpwstr>18. 4. 2024</vt:lpwstr>
  </property>
  <property fmtid="{D5CDD505-2E9C-101B-9397-08002B2CF9AE}" pid="151" name="FSC#COOSYSTEM@1.1:Container">
    <vt:lpwstr>COO.2145.1000.3.6136552</vt:lpwstr>
  </property>
  <property fmtid="{D5CDD505-2E9C-101B-9397-08002B2CF9AE}" pid="152" name="FSC#FSCFOLIO@1.1001:docpropproject">
    <vt:lpwstr/>
  </property>
</Properties>
</file>