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072C6" w14:textId="77777777" w:rsidR="007D5748" w:rsidRPr="003146A4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319FC429" w14:textId="77777777" w:rsidR="007D5748" w:rsidRPr="003146A4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59353581" w14:textId="77777777" w:rsidR="00E963A3" w:rsidRPr="003146A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52832E" w14:textId="77777777" w:rsidR="005307FC" w:rsidRPr="003146A4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7F7C71" w14:textId="77777777" w:rsidR="00E963A3" w:rsidRPr="003146A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3ED5B0C6" w14:textId="77777777" w:rsidR="007D5748" w:rsidRPr="003146A4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9"/>
        <w:gridCol w:w="1538"/>
        <w:gridCol w:w="1538"/>
        <w:gridCol w:w="1552"/>
        <w:gridCol w:w="1539"/>
        <w:gridCol w:w="76"/>
      </w:tblGrid>
      <w:tr w:rsidR="003146A4" w:rsidRPr="00D327A8" w14:paraId="10E98253" w14:textId="77777777" w:rsidTr="00D327A8">
        <w:trPr>
          <w:cantSplit/>
          <w:trHeight w:val="194"/>
          <w:jc w:val="center"/>
        </w:trPr>
        <w:tc>
          <w:tcPr>
            <w:tcW w:w="5659" w:type="dxa"/>
            <w:vMerge w:val="restart"/>
            <w:shd w:val="clear" w:color="auto" w:fill="BFBFBF" w:themeFill="background1" w:themeFillShade="BF"/>
            <w:vAlign w:val="center"/>
          </w:tcPr>
          <w:p w14:paraId="26EB7ED6" w14:textId="77777777" w:rsidR="007D5748" w:rsidRPr="00D327A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243" w:type="dxa"/>
            <w:gridSpan w:val="5"/>
            <w:shd w:val="clear" w:color="auto" w:fill="BFBFBF" w:themeFill="background1" w:themeFillShade="BF"/>
            <w:vAlign w:val="center"/>
          </w:tcPr>
          <w:p w14:paraId="336DA897" w14:textId="77777777" w:rsidR="007D5748" w:rsidRPr="00D327A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3146A4" w:rsidRPr="00D327A8" w14:paraId="63E3AADB" w14:textId="77777777" w:rsidTr="00D327A8">
        <w:trPr>
          <w:gridAfter w:val="1"/>
          <w:wAfter w:w="76" w:type="dxa"/>
          <w:cantSplit/>
          <w:trHeight w:val="70"/>
          <w:jc w:val="center"/>
        </w:trPr>
        <w:tc>
          <w:tcPr>
            <w:tcW w:w="5659" w:type="dxa"/>
            <w:vMerge/>
            <w:shd w:val="clear" w:color="auto" w:fill="BFBFBF" w:themeFill="background1" w:themeFillShade="BF"/>
            <w:vAlign w:val="center"/>
          </w:tcPr>
          <w:p w14:paraId="693958FB" w14:textId="77777777" w:rsidR="007D5748" w:rsidRPr="00D327A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5817832D" w14:textId="2EF477C1" w:rsidR="007D5748" w:rsidRPr="00D327A8" w:rsidRDefault="00B86E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6B12"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19104811" w14:textId="73A2F676" w:rsidR="007D5748" w:rsidRPr="00D327A8" w:rsidRDefault="00B86E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6B12"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20A96B2D" w14:textId="4DD5F46B" w:rsidR="007D5748" w:rsidRPr="00D327A8" w:rsidRDefault="00B86E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6B12"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39" w:type="dxa"/>
            <w:shd w:val="clear" w:color="auto" w:fill="BFBFBF" w:themeFill="background1" w:themeFillShade="BF"/>
            <w:vAlign w:val="center"/>
          </w:tcPr>
          <w:p w14:paraId="1E815D44" w14:textId="240E87E9" w:rsidR="007D5748" w:rsidRPr="00D327A8" w:rsidRDefault="00B86E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F6B12"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</w:tr>
      <w:tr w:rsidR="003146A4" w:rsidRPr="00D327A8" w14:paraId="23270CF4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shd w:val="clear" w:color="auto" w:fill="C0C0C0"/>
            <w:noWrap/>
            <w:vAlign w:val="center"/>
          </w:tcPr>
          <w:p w14:paraId="301E7365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538" w:type="dxa"/>
            <w:shd w:val="clear" w:color="auto" w:fill="C0C0C0"/>
            <w:vAlign w:val="center"/>
          </w:tcPr>
          <w:p w14:paraId="1B3DA962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shd w:val="clear" w:color="auto" w:fill="C0C0C0"/>
            <w:vAlign w:val="center"/>
          </w:tcPr>
          <w:p w14:paraId="2797D737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shd w:val="clear" w:color="auto" w:fill="C0C0C0"/>
            <w:vAlign w:val="center"/>
          </w:tcPr>
          <w:p w14:paraId="07281ED1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shd w:val="clear" w:color="auto" w:fill="C0C0C0"/>
            <w:vAlign w:val="center"/>
          </w:tcPr>
          <w:p w14:paraId="2932F67E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09523E7A" w14:textId="77777777" w:rsidTr="00D327A8">
        <w:trPr>
          <w:gridAfter w:val="1"/>
          <w:wAfter w:w="76" w:type="dxa"/>
          <w:trHeight w:val="132"/>
          <w:jc w:val="center"/>
        </w:trPr>
        <w:tc>
          <w:tcPr>
            <w:tcW w:w="5659" w:type="dxa"/>
            <w:noWrap/>
            <w:vAlign w:val="center"/>
          </w:tcPr>
          <w:p w14:paraId="2C28A391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538" w:type="dxa"/>
            <w:noWrap/>
            <w:vAlign w:val="center"/>
          </w:tcPr>
          <w:p w14:paraId="2E17AA9F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5CF97166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68803583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1991CC2B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53E66E5B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33339248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538" w:type="dxa"/>
            <w:noWrap/>
            <w:vAlign w:val="center"/>
          </w:tcPr>
          <w:p w14:paraId="5C7FA454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38" w:type="dxa"/>
            <w:noWrap/>
            <w:vAlign w:val="center"/>
          </w:tcPr>
          <w:p w14:paraId="27D011FE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2" w:type="dxa"/>
            <w:noWrap/>
            <w:vAlign w:val="center"/>
          </w:tcPr>
          <w:p w14:paraId="744F1131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39" w:type="dxa"/>
            <w:noWrap/>
            <w:vAlign w:val="center"/>
          </w:tcPr>
          <w:p w14:paraId="18536F6D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146A4" w:rsidRPr="00D327A8" w14:paraId="51C79BF0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4A247705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38" w:type="dxa"/>
            <w:noWrap/>
            <w:vAlign w:val="center"/>
          </w:tcPr>
          <w:p w14:paraId="73F6CC1C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5E015172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739E653E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1E9EEBC5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075A9373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71B628F1" w14:textId="77777777" w:rsidR="00AE4DB5" w:rsidRPr="00D327A8" w:rsidRDefault="00AE4DB5" w:rsidP="00AE4DB5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538" w:type="dxa"/>
            <w:noWrap/>
          </w:tcPr>
          <w:p w14:paraId="744D8ED2" w14:textId="77777777" w:rsidR="00AE4DB5" w:rsidRPr="00D327A8" w:rsidRDefault="00AE4DB5" w:rsidP="00AE4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38" w:type="dxa"/>
            <w:noWrap/>
          </w:tcPr>
          <w:p w14:paraId="5E6D166F" w14:textId="77777777" w:rsidR="00AE4DB5" w:rsidRPr="00D327A8" w:rsidRDefault="00AE4DB5" w:rsidP="00AE4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52" w:type="dxa"/>
            <w:noWrap/>
          </w:tcPr>
          <w:p w14:paraId="1A027BD0" w14:textId="77777777" w:rsidR="00AE4DB5" w:rsidRPr="00D327A8" w:rsidRDefault="00AE4DB5" w:rsidP="00AE4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39" w:type="dxa"/>
            <w:noWrap/>
          </w:tcPr>
          <w:p w14:paraId="6C54AC15" w14:textId="77777777" w:rsidR="00AE4DB5" w:rsidRPr="00D327A8" w:rsidRDefault="00AE4DB5" w:rsidP="00AE4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3146A4" w:rsidRPr="00D327A8" w14:paraId="4FA90B4C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38D752F5" w14:textId="77777777" w:rsidR="007D5748" w:rsidRPr="00D327A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538" w:type="dxa"/>
            <w:noWrap/>
            <w:vAlign w:val="center"/>
          </w:tcPr>
          <w:p w14:paraId="379652FA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CFA0FB9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4039E9F3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08D0DC88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25BA13DD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23233DCD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38" w:type="dxa"/>
            <w:noWrap/>
            <w:vAlign w:val="center"/>
          </w:tcPr>
          <w:p w14:paraId="1A069720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09E05C34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7F3DE57E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049A123B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4B7C7ACD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6E98C220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38" w:type="dxa"/>
            <w:noWrap/>
            <w:vAlign w:val="center"/>
          </w:tcPr>
          <w:p w14:paraId="755C3258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6D044962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588038B3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4A0C0DDC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6DFD32AB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017FE810" w14:textId="77777777" w:rsidR="007D5748" w:rsidRPr="00D327A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38" w:type="dxa"/>
            <w:noWrap/>
            <w:vAlign w:val="center"/>
          </w:tcPr>
          <w:p w14:paraId="22F65C45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603E8E38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5AE2E6CD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4DBD3092" w14:textId="77777777" w:rsidR="007D5748" w:rsidRPr="00D327A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68158A" w:rsidRPr="00D327A8" w14:paraId="3CF7D4A8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shd w:val="clear" w:color="auto" w:fill="C0C0C0"/>
            <w:noWrap/>
            <w:vAlign w:val="center"/>
          </w:tcPr>
          <w:p w14:paraId="258DBDF6" w14:textId="77777777" w:rsidR="0068158A" w:rsidRPr="00D327A8" w:rsidRDefault="0068158A" w:rsidP="00681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538" w:type="dxa"/>
            <w:shd w:val="clear" w:color="auto" w:fill="C0C0C0"/>
            <w:noWrap/>
          </w:tcPr>
          <w:p w14:paraId="49BD5950" w14:textId="230BDBE2" w:rsidR="0068158A" w:rsidRPr="00D327A8" w:rsidRDefault="0068158A" w:rsidP="00681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8" w:type="dxa"/>
            <w:shd w:val="clear" w:color="auto" w:fill="C0C0C0"/>
            <w:noWrap/>
          </w:tcPr>
          <w:p w14:paraId="00182ED4" w14:textId="65CF3DB6" w:rsidR="0068158A" w:rsidRPr="00D327A8" w:rsidRDefault="0068158A" w:rsidP="00681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99 641 957   </w:t>
            </w:r>
          </w:p>
        </w:tc>
        <w:tc>
          <w:tcPr>
            <w:tcW w:w="1552" w:type="dxa"/>
            <w:shd w:val="clear" w:color="auto" w:fill="C0C0C0"/>
            <w:noWrap/>
          </w:tcPr>
          <w:p w14:paraId="3AC9298C" w14:textId="64857DFA" w:rsidR="0068158A" w:rsidRPr="00D327A8" w:rsidRDefault="0068158A" w:rsidP="00681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100 345 734   </w:t>
            </w:r>
          </w:p>
        </w:tc>
        <w:tc>
          <w:tcPr>
            <w:tcW w:w="1539" w:type="dxa"/>
            <w:shd w:val="clear" w:color="auto" w:fill="C0C0C0"/>
            <w:noWrap/>
          </w:tcPr>
          <w:p w14:paraId="524BB1FB" w14:textId="3672DFDF" w:rsidR="0068158A" w:rsidRPr="00D327A8" w:rsidRDefault="0068158A" w:rsidP="00B40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101 168 680   </w:t>
            </w:r>
          </w:p>
        </w:tc>
      </w:tr>
      <w:tr w:rsidR="00D327A8" w:rsidRPr="00D327A8" w14:paraId="4A66AF1F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0AA60F25" w14:textId="41EB69A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proofErr w:type="spellStart"/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SR/078</w:t>
            </w:r>
          </w:p>
        </w:tc>
        <w:tc>
          <w:tcPr>
            <w:tcW w:w="1538" w:type="dxa"/>
            <w:noWrap/>
            <w:vAlign w:val="center"/>
          </w:tcPr>
          <w:p w14:paraId="1F9FB750" w14:textId="58D073E5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8" w:type="dxa"/>
            <w:noWrap/>
          </w:tcPr>
          <w:p w14:paraId="4D484CBB" w14:textId="4EA550EB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99 306 578   </w:t>
            </w:r>
          </w:p>
        </w:tc>
        <w:tc>
          <w:tcPr>
            <w:tcW w:w="1552" w:type="dxa"/>
            <w:noWrap/>
          </w:tcPr>
          <w:p w14:paraId="69B48583" w14:textId="1A5A2161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100 008 986   </w:t>
            </w:r>
          </w:p>
        </w:tc>
        <w:tc>
          <w:tcPr>
            <w:tcW w:w="1539" w:type="dxa"/>
            <w:noWrap/>
          </w:tcPr>
          <w:p w14:paraId="4D72DBCA" w14:textId="588BF95C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100 830 993   </w:t>
            </w:r>
          </w:p>
        </w:tc>
      </w:tr>
      <w:tr w:rsidR="00D327A8" w:rsidRPr="00D327A8" w14:paraId="64F31FF5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3FB329AB" w14:textId="361F6799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MPSVaR</w:t>
            </w: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538" w:type="dxa"/>
            <w:noWrap/>
            <w:vAlign w:val="center"/>
          </w:tcPr>
          <w:p w14:paraId="57524BED" w14:textId="1490293B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</w:tcPr>
          <w:p w14:paraId="0B37B5E4" w14:textId="5ACE3A20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109 014   </w:t>
            </w:r>
          </w:p>
        </w:tc>
        <w:tc>
          <w:tcPr>
            <w:tcW w:w="1552" w:type="dxa"/>
            <w:noWrap/>
          </w:tcPr>
          <w:p w14:paraId="7349A9CB" w14:textId="3498B19F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109 459   </w:t>
            </w:r>
          </w:p>
        </w:tc>
        <w:tc>
          <w:tcPr>
            <w:tcW w:w="1539" w:type="dxa"/>
            <w:noWrap/>
          </w:tcPr>
          <w:p w14:paraId="6C03B2E6" w14:textId="60E2F774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109 765   </w:t>
            </w:r>
          </w:p>
        </w:tc>
      </w:tr>
      <w:tr w:rsidR="00D327A8" w:rsidRPr="00D327A8" w14:paraId="1103FA34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58DE54AE" w14:textId="10B37E21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</w:t>
            </w: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538" w:type="dxa"/>
            <w:noWrap/>
            <w:vAlign w:val="center"/>
          </w:tcPr>
          <w:p w14:paraId="6463771E" w14:textId="798A7779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</w:tcPr>
          <w:p w14:paraId="56DDA6EB" w14:textId="44E4E82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226 364   </w:t>
            </w:r>
          </w:p>
        </w:tc>
        <w:tc>
          <w:tcPr>
            <w:tcW w:w="1552" w:type="dxa"/>
            <w:noWrap/>
          </w:tcPr>
          <w:p w14:paraId="10596A3A" w14:textId="1CAB0A7E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227 288   </w:t>
            </w:r>
          </w:p>
        </w:tc>
        <w:tc>
          <w:tcPr>
            <w:tcW w:w="1539" w:type="dxa"/>
            <w:noWrap/>
          </w:tcPr>
          <w:p w14:paraId="514CF947" w14:textId="68BE53F2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7A8">
              <w:rPr>
                <w:rFonts w:ascii="Times New Roman" w:hAnsi="Times New Roman" w:cs="Times New Roman"/>
                <w:sz w:val="24"/>
                <w:szCs w:val="24"/>
              </w:rPr>
              <w:t xml:space="preserve"> 227 922   </w:t>
            </w:r>
          </w:p>
        </w:tc>
      </w:tr>
      <w:tr w:rsidR="003146A4" w:rsidRPr="00D327A8" w14:paraId="12013D8A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605910D3" w14:textId="77777777" w:rsidR="000E566E" w:rsidRPr="00D327A8" w:rsidRDefault="000E566E" w:rsidP="000E5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538" w:type="dxa"/>
            <w:noWrap/>
            <w:vAlign w:val="center"/>
          </w:tcPr>
          <w:p w14:paraId="53E76351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38" w:type="dxa"/>
            <w:noWrap/>
            <w:vAlign w:val="center"/>
          </w:tcPr>
          <w:p w14:paraId="6ED9ED25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52" w:type="dxa"/>
            <w:noWrap/>
            <w:vAlign w:val="center"/>
          </w:tcPr>
          <w:p w14:paraId="396B92A9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39" w:type="dxa"/>
            <w:noWrap/>
            <w:vAlign w:val="center"/>
          </w:tcPr>
          <w:p w14:paraId="6EE63EB9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0FBA" w:rsidRPr="00D327A8" w14:paraId="0910B558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54A29433" w14:textId="77777777" w:rsidR="00AD0FBA" w:rsidRPr="00D327A8" w:rsidRDefault="00AD0FBA" w:rsidP="00AD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38" w:type="dxa"/>
            <w:noWrap/>
            <w:vAlign w:val="center"/>
          </w:tcPr>
          <w:p w14:paraId="7C1C43C9" w14:textId="0AF1BACF" w:rsidR="00AD0FBA" w:rsidRPr="00D327A8" w:rsidRDefault="00AD0FBA" w:rsidP="00AD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8" w:type="dxa"/>
            <w:noWrap/>
          </w:tcPr>
          <w:p w14:paraId="63617F5C" w14:textId="238708BA" w:rsidR="00AD0FBA" w:rsidRPr="00AD0FBA" w:rsidRDefault="00AD0FBA" w:rsidP="00AD0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FBA">
              <w:rPr>
                <w:rFonts w:ascii="Times New Roman" w:hAnsi="Times New Roman" w:cs="Times New Roman"/>
                <w:sz w:val="24"/>
                <w:szCs w:val="24"/>
              </w:rPr>
              <w:t xml:space="preserve"> 99 641 957   </w:t>
            </w:r>
          </w:p>
        </w:tc>
        <w:tc>
          <w:tcPr>
            <w:tcW w:w="1552" w:type="dxa"/>
            <w:noWrap/>
          </w:tcPr>
          <w:p w14:paraId="2E5FEAAD" w14:textId="0FE106A0" w:rsidR="00AD0FBA" w:rsidRPr="00AD0FBA" w:rsidRDefault="00AD0FBA" w:rsidP="00AD0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FBA">
              <w:rPr>
                <w:rFonts w:ascii="Times New Roman" w:hAnsi="Times New Roman" w:cs="Times New Roman"/>
                <w:sz w:val="24"/>
                <w:szCs w:val="24"/>
              </w:rPr>
              <w:t xml:space="preserve"> 100 345 734   </w:t>
            </w:r>
          </w:p>
        </w:tc>
        <w:tc>
          <w:tcPr>
            <w:tcW w:w="1539" w:type="dxa"/>
            <w:noWrap/>
          </w:tcPr>
          <w:p w14:paraId="30BACB29" w14:textId="7CBC0F0E" w:rsidR="00AD0FBA" w:rsidRPr="00AD0FBA" w:rsidRDefault="00AD0FBA" w:rsidP="00AD0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FBA">
              <w:rPr>
                <w:rFonts w:ascii="Times New Roman" w:hAnsi="Times New Roman" w:cs="Times New Roman"/>
                <w:sz w:val="24"/>
                <w:szCs w:val="24"/>
              </w:rPr>
              <w:t xml:space="preserve"> 101 168 680   </w:t>
            </w:r>
          </w:p>
        </w:tc>
      </w:tr>
      <w:tr w:rsidR="00AD0FBA" w:rsidRPr="00D327A8" w14:paraId="32363E4F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6109B574" w14:textId="77777777" w:rsidR="00AD0FBA" w:rsidRPr="00D327A8" w:rsidRDefault="00AD0FBA" w:rsidP="00AD0FBA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538" w:type="dxa"/>
            <w:noWrap/>
            <w:vAlign w:val="center"/>
          </w:tcPr>
          <w:p w14:paraId="4C82FDBA" w14:textId="02F55092" w:rsidR="00AD0FBA" w:rsidRPr="00D327A8" w:rsidRDefault="00AD0FBA" w:rsidP="00AD0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8" w:type="dxa"/>
            <w:noWrap/>
          </w:tcPr>
          <w:p w14:paraId="584CB990" w14:textId="40349C86" w:rsidR="00AD0FBA" w:rsidRPr="00AD0FBA" w:rsidRDefault="00AD0FBA" w:rsidP="00AD0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FBA">
              <w:rPr>
                <w:rFonts w:ascii="Times New Roman" w:hAnsi="Times New Roman" w:cs="Times New Roman"/>
                <w:sz w:val="24"/>
                <w:szCs w:val="24"/>
              </w:rPr>
              <w:t xml:space="preserve"> 99 641 957   </w:t>
            </w:r>
          </w:p>
        </w:tc>
        <w:tc>
          <w:tcPr>
            <w:tcW w:w="1552" w:type="dxa"/>
            <w:noWrap/>
          </w:tcPr>
          <w:p w14:paraId="12779FDC" w14:textId="7BEEA89E" w:rsidR="00AD0FBA" w:rsidRPr="00AD0FBA" w:rsidRDefault="00AD0FBA" w:rsidP="00AD0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FBA">
              <w:rPr>
                <w:rFonts w:ascii="Times New Roman" w:hAnsi="Times New Roman" w:cs="Times New Roman"/>
                <w:sz w:val="24"/>
                <w:szCs w:val="24"/>
              </w:rPr>
              <w:t xml:space="preserve"> 100 345 734   </w:t>
            </w:r>
          </w:p>
        </w:tc>
        <w:tc>
          <w:tcPr>
            <w:tcW w:w="1539" w:type="dxa"/>
            <w:noWrap/>
          </w:tcPr>
          <w:p w14:paraId="123C6689" w14:textId="405554DD" w:rsidR="00AD0FBA" w:rsidRPr="00AD0FBA" w:rsidRDefault="00AD0FBA" w:rsidP="00AD0F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0FBA">
              <w:rPr>
                <w:rFonts w:ascii="Times New Roman" w:hAnsi="Times New Roman" w:cs="Times New Roman"/>
                <w:sz w:val="24"/>
                <w:szCs w:val="24"/>
              </w:rPr>
              <w:t xml:space="preserve"> 101 168 680   </w:t>
            </w:r>
          </w:p>
        </w:tc>
      </w:tr>
      <w:tr w:rsidR="003146A4" w:rsidRPr="00D327A8" w14:paraId="3E88C8D9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66011A70" w14:textId="77777777" w:rsidR="000E566E" w:rsidRPr="00D327A8" w:rsidRDefault="000E566E" w:rsidP="000E56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538" w:type="dxa"/>
            <w:noWrap/>
            <w:vAlign w:val="center"/>
          </w:tcPr>
          <w:p w14:paraId="53602E4D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2BDD243A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5DC3A042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34E7DFFD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2421ED9F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208E01CE" w14:textId="77777777" w:rsidR="000E566E" w:rsidRPr="00D327A8" w:rsidRDefault="000E566E" w:rsidP="000E56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538" w:type="dxa"/>
            <w:noWrap/>
            <w:vAlign w:val="center"/>
          </w:tcPr>
          <w:p w14:paraId="02E7EE91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6B7E308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278D5FC9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75A05D23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793847FA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44A5A170" w14:textId="77777777" w:rsidR="000E566E" w:rsidRPr="00D327A8" w:rsidRDefault="000E566E" w:rsidP="000E5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38" w:type="dxa"/>
            <w:noWrap/>
            <w:vAlign w:val="center"/>
          </w:tcPr>
          <w:p w14:paraId="212F13C4" w14:textId="45EEFBB9" w:rsidR="000E566E" w:rsidRPr="00D327A8" w:rsidRDefault="002B7BA4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26160405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35A50809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17322168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69ABF253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7F2E40AC" w14:textId="77777777" w:rsidR="000E566E" w:rsidRPr="00D327A8" w:rsidRDefault="000E566E" w:rsidP="000E566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2C73F441" w14:textId="77777777" w:rsidR="000E566E" w:rsidRPr="00D327A8" w:rsidRDefault="000E566E" w:rsidP="000E566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538" w:type="dxa"/>
            <w:noWrap/>
            <w:vAlign w:val="center"/>
          </w:tcPr>
          <w:p w14:paraId="776E3F7F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5B86DBD4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5FAC350C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6C7BEFD0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4163D2A7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047C4C6C" w14:textId="77777777" w:rsidR="000E566E" w:rsidRPr="00D327A8" w:rsidRDefault="000E566E" w:rsidP="000E5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38" w:type="dxa"/>
            <w:noWrap/>
            <w:vAlign w:val="center"/>
          </w:tcPr>
          <w:p w14:paraId="2F8C7EC9" w14:textId="5B51981A" w:rsidR="000E566E" w:rsidRPr="00D327A8" w:rsidRDefault="002B7BA4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3BE8BDA9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6AC0D1A9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0238355D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40977D24" w14:textId="77777777" w:rsidTr="00D327A8">
        <w:trPr>
          <w:gridAfter w:val="1"/>
          <w:wAfter w:w="76" w:type="dxa"/>
          <w:trHeight w:val="125"/>
          <w:jc w:val="center"/>
        </w:trPr>
        <w:tc>
          <w:tcPr>
            <w:tcW w:w="5659" w:type="dxa"/>
            <w:noWrap/>
            <w:vAlign w:val="center"/>
          </w:tcPr>
          <w:p w14:paraId="2D952E68" w14:textId="77777777" w:rsidR="000E566E" w:rsidRPr="00D327A8" w:rsidRDefault="000E566E" w:rsidP="000E566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lastRenderedPageBreak/>
              <w:t xml:space="preserve">z toho vplyv nových úloh v zmysle ods. 2 Čl. 6 ústavného zákona č. 493/2011 Z. z. </w:t>
            </w:r>
          </w:p>
          <w:p w14:paraId="4F221F2D" w14:textId="77777777" w:rsidR="000E566E" w:rsidRPr="00D327A8" w:rsidRDefault="000E566E" w:rsidP="000E566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538" w:type="dxa"/>
            <w:noWrap/>
            <w:vAlign w:val="center"/>
          </w:tcPr>
          <w:p w14:paraId="6B12E18E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4E63E71E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69A63E57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29B284A5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146A4" w:rsidRPr="00D327A8" w14:paraId="1AE6E880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0EA8A7B2" w14:textId="77777777" w:rsidR="000E566E" w:rsidRPr="00D327A8" w:rsidRDefault="000E566E" w:rsidP="000E5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38" w:type="dxa"/>
            <w:noWrap/>
            <w:vAlign w:val="center"/>
          </w:tcPr>
          <w:p w14:paraId="7736146E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70BAA5B6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43742ABB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5A982C43" w14:textId="77777777" w:rsidR="000E566E" w:rsidRPr="00D327A8" w:rsidRDefault="000E566E" w:rsidP="000E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60699DE1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shd w:val="clear" w:color="auto" w:fill="BFBFBF" w:themeFill="background1" w:themeFillShade="BF"/>
            <w:noWrap/>
            <w:vAlign w:val="center"/>
          </w:tcPr>
          <w:p w14:paraId="27722808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538" w:type="dxa"/>
            <w:shd w:val="clear" w:color="auto" w:fill="BFBFBF" w:themeFill="background1" w:themeFillShade="BF"/>
            <w:noWrap/>
            <w:vAlign w:val="center"/>
          </w:tcPr>
          <w:p w14:paraId="617670DA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shd w:val="clear" w:color="auto" w:fill="BFBFBF" w:themeFill="background1" w:themeFillShade="BF"/>
            <w:noWrap/>
            <w:vAlign w:val="center"/>
          </w:tcPr>
          <w:p w14:paraId="17D45302" w14:textId="79BFBD73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shd w:val="clear" w:color="auto" w:fill="BFBFBF" w:themeFill="background1" w:themeFillShade="BF"/>
            <w:noWrap/>
            <w:vAlign w:val="center"/>
          </w:tcPr>
          <w:p w14:paraId="47813836" w14:textId="1C2F357C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shd w:val="clear" w:color="auto" w:fill="BFBFBF" w:themeFill="background1" w:themeFillShade="BF"/>
            <w:noWrap/>
            <w:vAlign w:val="center"/>
          </w:tcPr>
          <w:p w14:paraId="43564A35" w14:textId="205CCB7C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66CC103C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4EDABDA5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538" w:type="dxa"/>
            <w:noWrap/>
            <w:vAlign w:val="center"/>
          </w:tcPr>
          <w:p w14:paraId="38AA34EA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74BCC3E8" w14:textId="7A754B03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08B47F64" w14:textId="1FEE6B4E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0F87C638" w14:textId="00C801C3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1B1EF91E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3D97A8FC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38" w:type="dxa"/>
            <w:noWrap/>
            <w:vAlign w:val="center"/>
          </w:tcPr>
          <w:p w14:paraId="7E3AA78E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2B3AF4E3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0FD17D83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72C8C448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0550C138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0E47AA3A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38" w:type="dxa"/>
            <w:noWrap/>
            <w:vAlign w:val="center"/>
          </w:tcPr>
          <w:p w14:paraId="6E5A1AA1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1BC8F19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09CA6842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350E6BF7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68CC9C14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061136B2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38" w:type="dxa"/>
            <w:noWrap/>
            <w:vAlign w:val="center"/>
          </w:tcPr>
          <w:p w14:paraId="5D6C0ABA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4E46707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195128C6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5995F45E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0B3FFC82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shd w:val="clear" w:color="auto" w:fill="BFBFBF" w:themeFill="background1" w:themeFillShade="BF"/>
            <w:noWrap/>
            <w:vAlign w:val="center"/>
          </w:tcPr>
          <w:p w14:paraId="0C8C949E" w14:textId="537C4EF0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 (EK 610)</w:t>
            </w:r>
          </w:p>
        </w:tc>
        <w:tc>
          <w:tcPr>
            <w:tcW w:w="1538" w:type="dxa"/>
            <w:shd w:val="clear" w:color="auto" w:fill="BFBFBF" w:themeFill="background1" w:themeFillShade="BF"/>
            <w:noWrap/>
            <w:vAlign w:val="center"/>
          </w:tcPr>
          <w:p w14:paraId="082E33B7" w14:textId="2657D92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3 405 959</w:t>
            </w:r>
          </w:p>
        </w:tc>
        <w:tc>
          <w:tcPr>
            <w:tcW w:w="1538" w:type="dxa"/>
            <w:shd w:val="clear" w:color="auto" w:fill="BFBFBF" w:themeFill="background1" w:themeFillShade="BF"/>
            <w:noWrap/>
            <w:vAlign w:val="center"/>
          </w:tcPr>
          <w:p w14:paraId="6F829D70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shd w:val="clear" w:color="auto" w:fill="BFBFBF" w:themeFill="background1" w:themeFillShade="BF"/>
            <w:noWrap/>
            <w:vAlign w:val="center"/>
          </w:tcPr>
          <w:p w14:paraId="00DEC71B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shd w:val="clear" w:color="auto" w:fill="BFBFBF" w:themeFill="background1" w:themeFillShade="BF"/>
            <w:noWrap/>
            <w:vAlign w:val="center"/>
          </w:tcPr>
          <w:p w14:paraId="7D88FC32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33DBCE72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30C6CD49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ŠR*</w:t>
            </w:r>
          </w:p>
        </w:tc>
        <w:tc>
          <w:tcPr>
            <w:tcW w:w="1538" w:type="dxa"/>
            <w:noWrap/>
            <w:vAlign w:val="center"/>
          </w:tcPr>
          <w:p w14:paraId="55BE3CFD" w14:textId="133279D3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3 405 959</w:t>
            </w:r>
          </w:p>
        </w:tc>
        <w:tc>
          <w:tcPr>
            <w:tcW w:w="1538" w:type="dxa"/>
            <w:noWrap/>
            <w:vAlign w:val="center"/>
          </w:tcPr>
          <w:p w14:paraId="7E369D15" w14:textId="6FBB8285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10353368" w14:textId="7BFB1D8C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6401CB29" w14:textId="5F9B5E63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6030B20C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128BAA22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538" w:type="dxa"/>
            <w:noWrap/>
            <w:vAlign w:val="center"/>
          </w:tcPr>
          <w:p w14:paraId="130A8F1B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720AD7E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5BAC7478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01FCF431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7FC2E22C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472B63AF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538" w:type="dxa"/>
            <w:noWrap/>
            <w:vAlign w:val="center"/>
          </w:tcPr>
          <w:p w14:paraId="669BFB93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090F2FCA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26A915C0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3FB43786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370BA74D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726BB1A9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538" w:type="dxa"/>
            <w:noWrap/>
            <w:vAlign w:val="center"/>
          </w:tcPr>
          <w:p w14:paraId="288B8E04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0CD3FF68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3BF9E4FD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7CD29E31" w14:textId="7777777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5995616F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shd w:val="clear" w:color="auto" w:fill="C0C0C0"/>
            <w:noWrap/>
            <w:vAlign w:val="center"/>
          </w:tcPr>
          <w:p w14:paraId="551E0538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538" w:type="dxa"/>
            <w:shd w:val="clear" w:color="auto" w:fill="C0C0C0"/>
            <w:noWrap/>
            <w:vAlign w:val="center"/>
          </w:tcPr>
          <w:p w14:paraId="7BBB23C9" w14:textId="6F243A52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8" w:type="dxa"/>
            <w:shd w:val="clear" w:color="auto" w:fill="C0C0C0"/>
            <w:noWrap/>
            <w:vAlign w:val="center"/>
          </w:tcPr>
          <w:p w14:paraId="5558CC2E" w14:textId="6680D31B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52" w:type="dxa"/>
            <w:shd w:val="clear" w:color="auto" w:fill="C0C0C0"/>
            <w:noWrap/>
            <w:vAlign w:val="center"/>
          </w:tcPr>
          <w:p w14:paraId="4A9DEBC8" w14:textId="77A09D8D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9" w:type="dxa"/>
            <w:shd w:val="clear" w:color="auto" w:fill="C0C0C0"/>
            <w:noWrap/>
            <w:vAlign w:val="center"/>
          </w:tcPr>
          <w:p w14:paraId="276B4727" w14:textId="27AD548B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60 000 000</w:t>
            </w:r>
          </w:p>
        </w:tc>
      </w:tr>
      <w:tr w:rsidR="00D327A8" w:rsidRPr="00D327A8" w14:paraId="7D33A499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52C7B6FD" w14:textId="3ACCFDE5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MŠVVaM SR/078 </w:t>
            </w:r>
          </w:p>
        </w:tc>
        <w:tc>
          <w:tcPr>
            <w:tcW w:w="1538" w:type="dxa"/>
            <w:noWrap/>
            <w:vAlign w:val="center"/>
          </w:tcPr>
          <w:p w14:paraId="52C3F5AE" w14:textId="0BCAFC07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538" w:type="dxa"/>
            <w:noWrap/>
            <w:vAlign w:val="center"/>
          </w:tcPr>
          <w:p w14:paraId="42B4F205" w14:textId="420BD488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60 000 000 </w:t>
            </w:r>
          </w:p>
        </w:tc>
        <w:tc>
          <w:tcPr>
            <w:tcW w:w="1552" w:type="dxa"/>
            <w:noWrap/>
            <w:vAlign w:val="center"/>
          </w:tcPr>
          <w:p w14:paraId="32B5938B" w14:textId="5AE54C35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60 000 000 </w:t>
            </w:r>
          </w:p>
        </w:tc>
        <w:tc>
          <w:tcPr>
            <w:tcW w:w="1539" w:type="dxa"/>
            <w:noWrap/>
            <w:vAlign w:val="center"/>
          </w:tcPr>
          <w:p w14:paraId="7AE9FA48" w14:textId="29A96F30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60 000 000 </w:t>
            </w:r>
          </w:p>
        </w:tc>
      </w:tr>
      <w:tr w:rsidR="00D327A8" w:rsidRPr="00D327A8" w14:paraId="65C98D6B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4E536D53" w14:textId="039077AA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MPSVaR SR</w:t>
            </w:r>
          </w:p>
        </w:tc>
        <w:tc>
          <w:tcPr>
            <w:tcW w:w="1538" w:type="dxa"/>
            <w:noWrap/>
            <w:vAlign w:val="center"/>
          </w:tcPr>
          <w:p w14:paraId="7195E217" w14:textId="74579ADD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E0F7D80" w14:textId="3CA39631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534E55C4" w14:textId="3D6B92B0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7F3D17DE" w14:textId="5F422264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171E1B6F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58ED165F" w14:textId="5F91B848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MV SR</w:t>
            </w:r>
          </w:p>
        </w:tc>
        <w:tc>
          <w:tcPr>
            <w:tcW w:w="1538" w:type="dxa"/>
            <w:noWrap/>
            <w:vAlign w:val="center"/>
          </w:tcPr>
          <w:p w14:paraId="1A802ECE" w14:textId="5FDD0206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429044B7" w14:textId="6AC5B2DC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33A8FCF1" w14:textId="62E75203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74FC88EE" w14:textId="072E465A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66D10A4B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noWrap/>
            <w:vAlign w:val="center"/>
          </w:tcPr>
          <w:p w14:paraId="2DD84347" w14:textId="177BAC68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538" w:type="dxa"/>
            <w:noWrap/>
            <w:vAlign w:val="center"/>
          </w:tcPr>
          <w:p w14:paraId="5C99B9E2" w14:textId="7E91CA80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8" w:type="dxa"/>
            <w:noWrap/>
            <w:vAlign w:val="center"/>
          </w:tcPr>
          <w:p w14:paraId="107CF633" w14:textId="3A127D99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2" w:type="dxa"/>
            <w:noWrap/>
            <w:vAlign w:val="center"/>
          </w:tcPr>
          <w:p w14:paraId="24FDAB4A" w14:textId="72691C0A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39" w:type="dxa"/>
            <w:noWrap/>
            <w:vAlign w:val="center"/>
          </w:tcPr>
          <w:p w14:paraId="32A10888" w14:textId="45659415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D327A8" w:rsidRPr="00D327A8" w14:paraId="0C89FAC5" w14:textId="77777777" w:rsidTr="00D327A8">
        <w:trPr>
          <w:gridAfter w:val="1"/>
          <w:wAfter w:w="76" w:type="dxa"/>
          <w:trHeight w:val="70"/>
          <w:jc w:val="center"/>
        </w:trPr>
        <w:tc>
          <w:tcPr>
            <w:tcW w:w="5659" w:type="dxa"/>
            <w:shd w:val="clear" w:color="auto" w:fill="A6A6A6" w:themeFill="background1" w:themeFillShade="A6"/>
            <w:noWrap/>
            <w:vAlign w:val="center"/>
          </w:tcPr>
          <w:p w14:paraId="7AA3B5A0" w14:textId="77777777" w:rsidR="00D327A8" w:rsidRPr="00D327A8" w:rsidRDefault="00D327A8" w:rsidP="00D32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538" w:type="dxa"/>
            <w:shd w:val="clear" w:color="auto" w:fill="A6A6A6" w:themeFill="background1" w:themeFillShade="A6"/>
            <w:noWrap/>
          </w:tcPr>
          <w:p w14:paraId="757BC4FD" w14:textId="46F6FD25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</w:t>
            </w:r>
          </w:p>
        </w:tc>
        <w:tc>
          <w:tcPr>
            <w:tcW w:w="1538" w:type="dxa"/>
            <w:shd w:val="clear" w:color="auto" w:fill="A6A6A6" w:themeFill="background1" w:themeFillShade="A6"/>
            <w:noWrap/>
          </w:tcPr>
          <w:p w14:paraId="28412682" w14:textId="55945AD2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39 641 957   </w:t>
            </w:r>
          </w:p>
        </w:tc>
        <w:tc>
          <w:tcPr>
            <w:tcW w:w="1552" w:type="dxa"/>
            <w:shd w:val="clear" w:color="auto" w:fill="A6A6A6" w:themeFill="background1" w:themeFillShade="A6"/>
            <w:noWrap/>
          </w:tcPr>
          <w:p w14:paraId="666F01CC" w14:textId="6DCE05F1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40 345 734   </w:t>
            </w:r>
          </w:p>
        </w:tc>
        <w:tc>
          <w:tcPr>
            <w:tcW w:w="1539" w:type="dxa"/>
            <w:shd w:val="clear" w:color="auto" w:fill="A6A6A6" w:themeFill="background1" w:themeFillShade="A6"/>
            <w:noWrap/>
          </w:tcPr>
          <w:p w14:paraId="4BA4CE45" w14:textId="4D92042C" w:rsidR="00D327A8" w:rsidRPr="00D327A8" w:rsidRDefault="00D327A8" w:rsidP="00D32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41 168 680   </w:t>
            </w:r>
          </w:p>
        </w:tc>
      </w:tr>
    </w:tbl>
    <w:bookmarkEnd w:id="0"/>
    <w:p w14:paraId="6B0C2064" w14:textId="77777777" w:rsidR="008C786F" w:rsidRPr="003146A4" w:rsidRDefault="00F6179E" w:rsidP="00F6179E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</w:t>
      </w:r>
    </w:p>
    <w:p w14:paraId="265799B3" w14:textId="77777777" w:rsidR="00647DDC" w:rsidRPr="00FF08FC" w:rsidRDefault="00647DDC" w:rsidP="00FF08FC">
      <w:pPr>
        <w:pStyle w:val="Odsekzoznamu"/>
        <w:spacing w:after="0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422DFE0F" w14:textId="77777777" w:rsidR="00647DDC" w:rsidRPr="00FF08FC" w:rsidRDefault="00647DDC" w:rsidP="00FF08FC">
      <w:pPr>
        <w:pStyle w:val="Odsekzoznamu"/>
        <w:spacing w:after="0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4B4380E2" w14:textId="5E464330" w:rsidR="009D31CA" w:rsidRPr="003146A4" w:rsidRDefault="009D31CA" w:rsidP="009D31CA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lang w:eastAsia="sk-SK"/>
        </w:rPr>
        <w:t xml:space="preserve">Návrh zákona nepredpokladá vplyv na zamestnanosť ani na mzdové výdavky, nakoľko poskytovanie kompenzačného príspevku je navrhované formou bežného transferu jednotlivcovi. Z uvedeného dôvodu nie je súčasťou analýzy spracovaná tabuľka č. 5. Keďže školám a školským zariadeniam </w:t>
      </w:r>
      <w:r w:rsidR="008C786F" w:rsidRPr="003146A4">
        <w:rPr>
          <w:rFonts w:ascii="Times New Roman" w:eastAsia="Times New Roman" w:hAnsi="Times New Roman" w:cs="Times New Roman"/>
          <w:b/>
          <w:bCs/>
          <w:lang w:eastAsia="sk-SK"/>
        </w:rPr>
        <w:t>v zriaďovateľskej pôsobnosti obcí, VÚC, súkromných a cirkevných zriaďovateľov s</w:t>
      </w:r>
      <w:r w:rsidRPr="003146A4">
        <w:rPr>
          <w:rFonts w:ascii="Times New Roman" w:eastAsia="Times New Roman" w:hAnsi="Times New Roman" w:cs="Times New Roman"/>
          <w:b/>
          <w:bCs/>
          <w:lang w:eastAsia="sk-SK"/>
        </w:rPr>
        <w:t xml:space="preserve">a finančné prostriedky z kapitoly MŠVVaM SR poskytujú prostredníctvom rozpočtu ich zriaďovateľov, sú tieto výdavky súčasťou </w:t>
      </w:r>
      <w:r w:rsidR="008C786F" w:rsidRPr="003146A4">
        <w:rPr>
          <w:rFonts w:ascii="Times New Roman" w:eastAsia="Times New Roman" w:hAnsi="Times New Roman" w:cs="Times New Roman"/>
          <w:b/>
          <w:bCs/>
          <w:lang w:eastAsia="sk-SK"/>
        </w:rPr>
        <w:t>bežného transferu (kat. 640)</w:t>
      </w:r>
      <w:r w:rsidRPr="003146A4">
        <w:rPr>
          <w:rFonts w:ascii="Times New Roman" w:eastAsia="Times New Roman" w:hAnsi="Times New Roman" w:cs="Times New Roman"/>
          <w:b/>
          <w:bCs/>
          <w:lang w:eastAsia="sk-SK"/>
        </w:rPr>
        <w:t xml:space="preserve"> poskytovaného MŠVVaM SR týmto zriaďovateľom</w:t>
      </w:r>
      <w:r w:rsidR="008C786F" w:rsidRPr="003146A4">
        <w:rPr>
          <w:rFonts w:ascii="Times New Roman" w:eastAsia="Times New Roman" w:hAnsi="Times New Roman" w:cs="Times New Roman"/>
          <w:b/>
          <w:bCs/>
          <w:lang w:eastAsia="sk-SK"/>
        </w:rPr>
        <w:t xml:space="preserve">  </w:t>
      </w:r>
      <w:r w:rsidRPr="003146A4">
        <w:rPr>
          <w:rFonts w:ascii="Times New Roman" w:eastAsia="Times New Roman" w:hAnsi="Times New Roman" w:cs="Times New Roman"/>
          <w:b/>
          <w:bCs/>
          <w:lang w:eastAsia="sk-SK"/>
        </w:rPr>
        <w:t xml:space="preserve">a sú v štruktúre ekonomickej klasifikácie vyčíslené v tab. 4A a 4B. </w:t>
      </w:r>
    </w:p>
    <w:p w14:paraId="77B42EF2" w14:textId="77777777" w:rsidR="00F6179E" w:rsidRPr="003146A4" w:rsidRDefault="00F6179E" w:rsidP="009D31CA">
      <w:pPr>
        <w:pStyle w:val="Odsekzoznamu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1/B</w:t>
      </w:r>
    </w:p>
    <w:tbl>
      <w:tblPr>
        <w:tblW w:w="107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417"/>
        <w:gridCol w:w="1559"/>
        <w:gridCol w:w="1418"/>
        <w:gridCol w:w="1559"/>
      </w:tblGrid>
      <w:tr w:rsidR="003146A4" w:rsidRPr="003146A4" w14:paraId="419CEAFC" w14:textId="77777777" w:rsidTr="00E14378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79F9BE" w14:textId="77777777" w:rsidR="00D147BF" w:rsidRPr="003146A4" w:rsidRDefault="00D147BF" w:rsidP="00D14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6EC35E" w14:textId="1A661CF7" w:rsidR="00D147BF" w:rsidRPr="003146A4" w:rsidRDefault="00D147BF" w:rsidP="00D1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E14378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49C2B7" w14:textId="5A71E5FA" w:rsidR="00D147BF" w:rsidRPr="003146A4" w:rsidRDefault="00D147BF" w:rsidP="00D1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6606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BFD0F4" w14:textId="5E909524" w:rsidR="00D147BF" w:rsidRPr="003146A4" w:rsidRDefault="00D147BF" w:rsidP="00D1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6606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BFFEC0" w14:textId="6BB66070" w:rsidR="00D147BF" w:rsidRPr="003146A4" w:rsidRDefault="00D147BF" w:rsidP="00D14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A6606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</w:tr>
      <w:tr w:rsidR="005F7858" w:rsidRPr="003146A4" w14:paraId="47FC0EFC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EF9A37" w14:textId="77777777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Vplyvy na limit verejných výdavkov verejnej správy celkom (v metodike ESA 2010)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38F" w14:textId="4E9EAB23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E25" w14:textId="7D624C63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39 641 957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128B" w14:textId="4C2145AE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40 345 734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3724" w14:textId="128A923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41 168 680</w:t>
            </w:r>
          </w:p>
        </w:tc>
      </w:tr>
      <w:tr w:rsidR="005F7858" w:rsidRPr="003146A4" w14:paraId="002887B2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D7A826" w14:textId="5E757A1C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 tom: </w:t>
            </w:r>
            <w:proofErr w:type="spellStart"/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SR/078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820A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7102" w14:textId="5783EFC5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39 306 578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161E" w14:textId="3553928C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40 008 986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662C" w14:textId="776337F6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40 830 993</w:t>
            </w:r>
          </w:p>
        </w:tc>
      </w:tr>
      <w:tr w:rsidR="005F7858" w:rsidRPr="003146A4" w14:paraId="726B7942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0C00F6" w14:textId="390E8140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MPSVaR 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BB54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56D0" w14:textId="662DC633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109 014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467A" w14:textId="40CB855B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109 459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72CA" w14:textId="3ECB1B5F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109 765</w:t>
            </w:r>
          </w:p>
        </w:tc>
      </w:tr>
      <w:tr w:rsidR="005F7858" w:rsidRPr="003146A4" w14:paraId="4A0F7D4C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F6ABCE" w14:textId="7C8135F5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MV 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F25A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2B7A" w14:textId="604E8BD6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226 364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DDC8" w14:textId="790A54F9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227 288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2229" w14:textId="481CD859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2628">
              <w:rPr>
                <w:rFonts w:ascii="Times New Roman" w:hAnsi="Times New Roman" w:cs="Times New Roman"/>
                <w:sz w:val="20"/>
                <w:szCs w:val="20"/>
              </w:rPr>
              <w:t>227 922</w:t>
            </w:r>
          </w:p>
        </w:tc>
      </w:tr>
      <w:tr w:rsidR="005F7858" w:rsidRPr="003146A4" w14:paraId="1900EB14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EA65BF" w14:textId="77777777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1F11" w14:textId="15A4A51A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667" w14:textId="685E96F5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BDF" w14:textId="0FD21DE8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B88" w14:textId="0AD20C26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F7858" w:rsidRPr="003146A4" w14:paraId="7A42F84A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471A5B" w14:textId="77777777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8D2" w14:textId="3789F6AC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27B" w14:textId="33D33E93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39 641 957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BA0" w14:textId="0CD4DB2C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40 345 734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FC41" w14:textId="6C0ED2AA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41 168 680</w:t>
            </w:r>
          </w:p>
        </w:tc>
      </w:tr>
      <w:tr w:rsidR="005F7858" w:rsidRPr="003146A4" w14:paraId="1497CE97" w14:textId="77777777" w:rsidTr="0029262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3C354D" w14:textId="77777777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614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D7E3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0B95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773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</w:tr>
      <w:tr w:rsidR="005F7858" w:rsidRPr="003146A4" w14:paraId="310C285E" w14:textId="77777777" w:rsidTr="00292628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EDD3B6B" w14:textId="77777777" w:rsidR="005F7858" w:rsidRPr="003146A4" w:rsidRDefault="005F7858" w:rsidP="005F7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3311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D9AF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E57F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E13A" w14:textId="77777777" w:rsidR="005F7858" w:rsidRPr="00292628" w:rsidRDefault="005F7858" w:rsidP="00292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926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</w:tr>
    </w:tbl>
    <w:p w14:paraId="3A755DC3" w14:textId="77777777" w:rsidR="008C786F" w:rsidRPr="003146A4" w:rsidRDefault="008C786F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823C5CA" w14:textId="77777777" w:rsidR="007D5748" w:rsidRPr="003146A4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7F679492" w14:textId="77777777" w:rsidR="007D5748" w:rsidRPr="003146A4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43BB9C1A" w14:textId="77777777" w:rsidR="007D5748" w:rsidRPr="003146A4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8DCA0C" w14:textId="1B6F3E16" w:rsidR="00D02E3E" w:rsidRDefault="00F94B8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</w:rPr>
      </w:pPr>
      <w:r w:rsidRPr="003146A4">
        <w:rPr>
          <w:rFonts w:ascii="Times New Roman" w:hAnsi="Times New Roman" w:cs="Times New Roman"/>
          <w:noProof/>
        </w:rPr>
        <w:t>Návrh</w:t>
      </w:r>
      <w:r w:rsidR="00182812">
        <w:rPr>
          <w:rFonts w:ascii="Times New Roman" w:hAnsi="Times New Roman" w:cs="Times New Roman"/>
          <w:noProof/>
        </w:rPr>
        <w:t>, ktorého cieľom je r</w:t>
      </w:r>
      <w:r w:rsidR="00B46D00">
        <w:rPr>
          <w:rFonts w:ascii="Times New Roman" w:hAnsi="Times New Roman" w:cs="Times New Roman"/>
          <w:noProof/>
        </w:rPr>
        <w:t>iešenie nerovností</w:t>
      </w:r>
      <w:r w:rsidR="00182812">
        <w:rPr>
          <w:rFonts w:ascii="Times New Roman" w:hAnsi="Times New Roman" w:cs="Times New Roman"/>
          <w:noProof/>
        </w:rPr>
        <w:t>,</w:t>
      </w:r>
      <w:r w:rsidR="00B46D00">
        <w:rPr>
          <w:rFonts w:ascii="Times New Roman" w:hAnsi="Times New Roman" w:cs="Times New Roman"/>
          <w:noProof/>
        </w:rPr>
        <w:t xml:space="preserve"> </w:t>
      </w:r>
      <w:r w:rsidRPr="003146A4">
        <w:rPr>
          <w:rFonts w:ascii="Times New Roman" w:hAnsi="Times New Roman" w:cs="Times New Roman"/>
          <w:noProof/>
        </w:rPr>
        <w:t>má vplyv na rozpočet verejnej správy</w:t>
      </w:r>
      <w:r w:rsidR="00D02E3E">
        <w:rPr>
          <w:rFonts w:ascii="Times New Roman" w:hAnsi="Times New Roman" w:cs="Times New Roman"/>
          <w:noProof/>
        </w:rPr>
        <w:t xml:space="preserve">: </w:t>
      </w:r>
    </w:p>
    <w:p w14:paraId="2AC7B883" w14:textId="77777777" w:rsidR="00D02E3E" w:rsidRDefault="00D02E3E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</w:rPr>
      </w:pPr>
    </w:p>
    <w:p w14:paraId="0F605D0D" w14:textId="7D03E501" w:rsidR="007D5748" w:rsidRDefault="00D02E3E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F94B88" w:rsidRPr="003146A4">
        <w:rPr>
          <w:rFonts w:ascii="Times New Roman" w:hAnsi="Times New Roman" w:cs="Times New Roman"/>
          <w:noProof/>
        </w:rPr>
        <w:t xml:space="preserve">kapitoly MŠVVaM SR </w:t>
      </w:r>
      <w:r w:rsidR="004603E3" w:rsidRPr="003146A4">
        <w:rPr>
          <w:rFonts w:ascii="Times New Roman" w:hAnsi="Times New Roman" w:cs="Times New Roman"/>
          <w:noProof/>
        </w:rPr>
        <w:t xml:space="preserve"> v r. 2024 vo výške 60 mil. €, </w:t>
      </w:r>
      <w:r w:rsidR="00F94B88" w:rsidRPr="003146A4">
        <w:rPr>
          <w:rFonts w:ascii="Times New Roman" w:hAnsi="Times New Roman" w:cs="Times New Roman"/>
          <w:noProof/>
        </w:rPr>
        <w:t xml:space="preserve"> </w:t>
      </w:r>
      <w:r w:rsidR="00B46D00">
        <w:rPr>
          <w:rFonts w:ascii="Times New Roman" w:hAnsi="Times New Roman" w:cs="Times New Roman"/>
          <w:noProof/>
        </w:rPr>
        <w:t>návrh kompenzačného príspevku</w:t>
      </w:r>
      <w:r w:rsidR="00152184">
        <w:rPr>
          <w:rFonts w:ascii="Times New Roman" w:hAnsi="Times New Roman" w:cs="Times New Roman"/>
          <w:noProof/>
        </w:rPr>
        <w:t xml:space="preserve"> (s účinnosťou od 1.1.2025) </w:t>
      </w:r>
      <w:r w:rsidR="00F94B88" w:rsidRPr="003146A4">
        <w:rPr>
          <w:rFonts w:ascii="Times New Roman" w:hAnsi="Times New Roman" w:cs="Times New Roman"/>
          <w:noProof/>
        </w:rPr>
        <w:t xml:space="preserve">v r. 2025 vo výške </w:t>
      </w:r>
      <w:r>
        <w:rPr>
          <w:rFonts w:ascii="Times New Roman" w:hAnsi="Times New Roman" w:cs="Times New Roman"/>
          <w:noProof/>
        </w:rPr>
        <w:t>99 306 578</w:t>
      </w:r>
      <w:r w:rsidR="00F94B88" w:rsidRPr="003146A4">
        <w:rPr>
          <w:rFonts w:ascii="Times New Roman" w:hAnsi="Times New Roman" w:cs="Times New Roman"/>
          <w:noProof/>
        </w:rPr>
        <w:t xml:space="preserve"> €, v r. 2026 vo výške </w:t>
      </w:r>
      <w:r>
        <w:rPr>
          <w:rFonts w:ascii="Times New Roman" w:hAnsi="Times New Roman" w:cs="Times New Roman"/>
          <w:noProof/>
        </w:rPr>
        <w:t>100 008 986</w:t>
      </w:r>
      <w:r w:rsidR="00F94B88" w:rsidRPr="003146A4">
        <w:rPr>
          <w:rFonts w:ascii="Times New Roman" w:hAnsi="Times New Roman" w:cs="Times New Roman"/>
          <w:noProof/>
        </w:rPr>
        <w:t xml:space="preserve"> € a v roku 2027 vo výške </w:t>
      </w:r>
      <w:r>
        <w:rPr>
          <w:rFonts w:ascii="Times New Roman" w:hAnsi="Times New Roman" w:cs="Times New Roman"/>
          <w:noProof/>
        </w:rPr>
        <w:t>100 830 993</w:t>
      </w:r>
      <w:r w:rsidR="00F94B88" w:rsidRPr="003146A4">
        <w:rPr>
          <w:rFonts w:ascii="Times New Roman" w:hAnsi="Times New Roman" w:cs="Times New Roman"/>
          <w:noProof/>
        </w:rPr>
        <w:t xml:space="preserve"> €.  Kapitola MŠVVaM SR</w:t>
      </w:r>
      <w:r w:rsidR="004603E3" w:rsidRPr="003146A4">
        <w:rPr>
          <w:rFonts w:ascii="Times New Roman" w:hAnsi="Times New Roman" w:cs="Times New Roman"/>
          <w:noProof/>
        </w:rPr>
        <w:t xml:space="preserve"> má vo vo svojom rozpočte zabezpečené financovanie predmetného návrhu v každom z uvedených rokov vo výške 60 mil. €. Rozpočtovo krytý vplyv v plnej výške je v roku 2024 a nekrytý vplyv v ostatných rokoch je vo výške </w:t>
      </w:r>
      <w:r>
        <w:rPr>
          <w:rFonts w:ascii="Times New Roman" w:hAnsi="Times New Roman" w:cs="Times New Roman"/>
          <w:noProof/>
        </w:rPr>
        <w:t>39 306 578</w:t>
      </w:r>
      <w:r w:rsidR="004603E3" w:rsidRPr="003146A4">
        <w:rPr>
          <w:rFonts w:ascii="Times New Roman" w:hAnsi="Times New Roman" w:cs="Times New Roman"/>
          <w:noProof/>
        </w:rPr>
        <w:t xml:space="preserve"> v roku 2025, </w:t>
      </w:r>
      <w:r>
        <w:rPr>
          <w:rFonts w:ascii="Times New Roman" w:hAnsi="Times New Roman" w:cs="Times New Roman"/>
          <w:noProof/>
        </w:rPr>
        <w:t>40 008 986</w:t>
      </w:r>
      <w:r w:rsidR="004603E3" w:rsidRPr="003146A4">
        <w:rPr>
          <w:rFonts w:ascii="Times New Roman" w:hAnsi="Times New Roman" w:cs="Times New Roman"/>
          <w:noProof/>
        </w:rPr>
        <w:t xml:space="preserve"> v r. 2026 a</w:t>
      </w:r>
      <w:r>
        <w:rPr>
          <w:rFonts w:ascii="Times New Roman" w:hAnsi="Times New Roman" w:cs="Times New Roman"/>
          <w:noProof/>
        </w:rPr>
        <w:t> 40 830 993</w:t>
      </w:r>
      <w:r w:rsidR="004603E3" w:rsidRPr="003146A4">
        <w:rPr>
          <w:rFonts w:ascii="Times New Roman" w:hAnsi="Times New Roman" w:cs="Times New Roman"/>
          <w:noProof/>
        </w:rPr>
        <w:t xml:space="preserve"> € v r. 2027. Financovanie sa navrhuje zvýšením rozpočtu kapitoly MŠVVaM SR. Rozpočtovo nekrytý vplyv navrhujeme riešiť pri príprave rozpočtu verejnej správy na príslušný rozpočtový rok.</w:t>
      </w:r>
    </w:p>
    <w:p w14:paraId="18B40191" w14:textId="77777777" w:rsidR="00D02E3E" w:rsidRDefault="00D02E3E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</w:rPr>
      </w:pPr>
    </w:p>
    <w:p w14:paraId="35B9BCA5" w14:textId="0019979C" w:rsidR="00DB3DD3" w:rsidRPr="003146A4" w:rsidRDefault="00FA40BC" w:rsidP="00DB3D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- </w:t>
      </w:r>
      <w:r w:rsidR="00DB3DD3" w:rsidRPr="003146A4">
        <w:rPr>
          <w:rFonts w:ascii="Times New Roman" w:hAnsi="Times New Roman" w:cs="Times New Roman"/>
          <w:noProof/>
        </w:rPr>
        <w:t>kapitoly M</w:t>
      </w:r>
      <w:r w:rsidR="00DB3DD3">
        <w:rPr>
          <w:rFonts w:ascii="Times New Roman" w:hAnsi="Times New Roman" w:cs="Times New Roman"/>
          <w:noProof/>
        </w:rPr>
        <w:t>PSVaR</w:t>
      </w:r>
      <w:r w:rsidR="00DB3DD3" w:rsidRPr="003146A4">
        <w:rPr>
          <w:rFonts w:ascii="Times New Roman" w:hAnsi="Times New Roman" w:cs="Times New Roman"/>
          <w:noProof/>
        </w:rPr>
        <w:t xml:space="preserve"> SR v r. 2025 vo výške </w:t>
      </w:r>
      <w:r w:rsidR="00DB3DD3">
        <w:rPr>
          <w:rFonts w:ascii="Times New Roman" w:hAnsi="Times New Roman" w:cs="Times New Roman"/>
          <w:noProof/>
        </w:rPr>
        <w:t>109 014</w:t>
      </w:r>
      <w:r w:rsidR="00DB3DD3" w:rsidRPr="003146A4">
        <w:rPr>
          <w:rFonts w:ascii="Times New Roman" w:hAnsi="Times New Roman" w:cs="Times New Roman"/>
          <w:noProof/>
        </w:rPr>
        <w:t xml:space="preserve"> €, v r. 2026 vo výške </w:t>
      </w:r>
      <w:r w:rsidR="00DB3DD3">
        <w:rPr>
          <w:rFonts w:ascii="Times New Roman" w:hAnsi="Times New Roman" w:cs="Times New Roman"/>
          <w:noProof/>
        </w:rPr>
        <w:t>109</w:t>
      </w:r>
      <w:r w:rsidR="00D02E3E">
        <w:rPr>
          <w:rFonts w:ascii="Times New Roman" w:hAnsi="Times New Roman" w:cs="Times New Roman"/>
          <w:noProof/>
        </w:rPr>
        <w:t xml:space="preserve"> </w:t>
      </w:r>
      <w:r w:rsidR="00DB3DD3">
        <w:rPr>
          <w:rFonts w:ascii="Times New Roman" w:hAnsi="Times New Roman" w:cs="Times New Roman"/>
          <w:noProof/>
        </w:rPr>
        <w:t>459</w:t>
      </w:r>
      <w:r w:rsidR="00DB3DD3" w:rsidRPr="003146A4">
        <w:rPr>
          <w:rFonts w:ascii="Times New Roman" w:hAnsi="Times New Roman" w:cs="Times New Roman"/>
          <w:noProof/>
        </w:rPr>
        <w:t xml:space="preserve"> € a v roku 2027 vo výške </w:t>
      </w:r>
      <w:r w:rsidR="00DB3DD3">
        <w:rPr>
          <w:rFonts w:ascii="Times New Roman" w:hAnsi="Times New Roman" w:cs="Times New Roman"/>
          <w:noProof/>
        </w:rPr>
        <w:t>109</w:t>
      </w:r>
      <w:r w:rsidR="00D02E3E">
        <w:rPr>
          <w:rFonts w:ascii="Times New Roman" w:hAnsi="Times New Roman" w:cs="Times New Roman"/>
          <w:noProof/>
        </w:rPr>
        <w:t xml:space="preserve"> </w:t>
      </w:r>
      <w:r w:rsidR="00DB3DD3">
        <w:rPr>
          <w:rFonts w:ascii="Times New Roman" w:hAnsi="Times New Roman" w:cs="Times New Roman"/>
          <w:noProof/>
        </w:rPr>
        <w:t>765</w:t>
      </w:r>
      <w:r w:rsidR="00DB3DD3" w:rsidRPr="003146A4">
        <w:rPr>
          <w:rFonts w:ascii="Times New Roman" w:hAnsi="Times New Roman" w:cs="Times New Roman"/>
          <w:noProof/>
        </w:rPr>
        <w:t xml:space="preserve"> €.  Kapitola M</w:t>
      </w:r>
      <w:r w:rsidR="00DB3DD3">
        <w:rPr>
          <w:rFonts w:ascii="Times New Roman" w:hAnsi="Times New Roman" w:cs="Times New Roman"/>
          <w:noProof/>
        </w:rPr>
        <w:t>PSVaR</w:t>
      </w:r>
      <w:r w:rsidR="00DB3DD3" w:rsidRPr="003146A4">
        <w:rPr>
          <w:rFonts w:ascii="Times New Roman" w:hAnsi="Times New Roman" w:cs="Times New Roman"/>
          <w:noProof/>
        </w:rPr>
        <w:t xml:space="preserve"> SR </w:t>
      </w:r>
      <w:r w:rsidR="00DB3DD3">
        <w:rPr>
          <w:rFonts w:ascii="Times New Roman" w:hAnsi="Times New Roman" w:cs="Times New Roman"/>
          <w:noProof/>
        </w:rPr>
        <w:t>ne</w:t>
      </w:r>
      <w:r w:rsidR="00DB3DD3" w:rsidRPr="003146A4">
        <w:rPr>
          <w:rFonts w:ascii="Times New Roman" w:hAnsi="Times New Roman" w:cs="Times New Roman"/>
          <w:noProof/>
        </w:rPr>
        <w:t>má vo svojom rozpočte zabezpečené financovanie predmetného návrhu. Financovanie sa navrhuje zvýšením rozpočtu kapitoly M</w:t>
      </w:r>
      <w:r w:rsidR="00DB3DD3">
        <w:rPr>
          <w:rFonts w:ascii="Times New Roman" w:hAnsi="Times New Roman" w:cs="Times New Roman"/>
          <w:noProof/>
        </w:rPr>
        <w:t>PSVaR</w:t>
      </w:r>
      <w:r w:rsidR="00DB3DD3" w:rsidRPr="003146A4">
        <w:rPr>
          <w:rFonts w:ascii="Times New Roman" w:hAnsi="Times New Roman" w:cs="Times New Roman"/>
          <w:noProof/>
        </w:rPr>
        <w:t xml:space="preserve"> SR. Rozpočtovo nekrytý vplyv navrhujeme riešiť pri príprave rozpočtu verejnej správy na príslušný rozpočtový rok.</w:t>
      </w:r>
    </w:p>
    <w:p w14:paraId="1426F60B" w14:textId="77777777" w:rsidR="00DB3DD3" w:rsidRPr="003146A4" w:rsidRDefault="00DB3DD3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noProof/>
        </w:rPr>
      </w:pPr>
    </w:p>
    <w:p w14:paraId="37F216F7" w14:textId="4472BA81" w:rsidR="007D5748" w:rsidRPr="003146A4" w:rsidRDefault="00FA40BC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</w:rPr>
        <w:t xml:space="preserve">- </w:t>
      </w:r>
      <w:r w:rsidR="00D02E3E" w:rsidRPr="003146A4">
        <w:rPr>
          <w:rFonts w:ascii="Times New Roman" w:hAnsi="Times New Roman" w:cs="Times New Roman"/>
          <w:noProof/>
        </w:rPr>
        <w:t>kapitoly M</w:t>
      </w:r>
      <w:r w:rsidR="00D02E3E">
        <w:rPr>
          <w:rFonts w:ascii="Times New Roman" w:hAnsi="Times New Roman" w:cs="Times New Roman"/>
          <w:noProof/>
        </w:rPr>
        <w:t>V</w:t>
      </w:r>
      <w:r w:rsidR="00D02E3E" w:rsidRPr="003146A4">
        <w:rPr>
          <w:rFonts w:ascii="Times New Roman" w:hAnsi="Times New Roman" w:cs="Times New Roman"/>
          <w:noProof/>
        </w:rPr>
        <w:t xml:space="preserve"> SR v r. 2025 vo výške </w:t>
      </w:r>
      <w:r w:rsidR="00D02E3E">
        <w:rPr>
          <w:rFonts w:ascii="Times New Roman" w:hAnsi="Times New Roman" w:cs="Times New Roman"/>
          <w:noProof/>
        </w:rPr>
        <w:t>226 364</w:t>
      </w:r>
      <w:r w:rsidR="00D02E3E" w:rsidRPr="003146A4">
        <w:rPr>
          <w:rFonts w:ascii="Times New Roman" w:hAnsi="Times New Roman" w:cs="Times New Roman"/>
          <w:noProof/>
        </w:rPr>
        <w:t xml:space="preserve"> €, v r. 2026 vo výške </w:t>
      </w:r>
      <w:r w:rsidR="00D02E3E">
        <w:rPr>
          <w:rFonts w:ascii="Times New Roman" w:hAnsi="Times New Roman" w:cs="Times New Roman"/>
          <w:noProof/>
        </w:rPr>
        <w:t>227 288</w:t>
      </w:r>
      <w:r w:rsidR="00D02E3E" w:rsidRPr="003146A4">
        <w:rPr>
          <w:rFonts w:ascii="Times New Roman" w:hAnsi="Times New Roman" w:cs="Times New Roman"/>
          <w:noProof/>
        </w:rPr>
        <w:t xml:space="preserve"> € a v roku 2027 vo výške </w:t>
      </w:r>
      <w:r w:rsidR="00D02E3E">
        <w:rPr>
          <w:rFonts w:ascii="Times New Roman" w:hAnsi="Times New Roman" w:cs="Times New Roman"/>
          <w:noProof/>
        </w:rPr>
        <w:t>227 922</w:t>
      </w:r>
      <w:r w:rsidR="00D02E3E" w:rsidRPr="003146A4">
        <w:rPr>
          <w:rFonts w:ascii="Times New Roman" w:hAnsi="Times New Roman" w:cs="Times New Roman"/>
          <w:noProof/>
        </w:rPr>
        <w:t xml:space="preserve"> €.  Kapitola M</w:t>
      </w:r>
      <w:r w:rsidR="00D02E3E">
        <w:rPr>
          <w:rFonts w:ascii="Times New Roman" w:hAnsi="Times New Roman" w:cs="Times New Roman"/>
          <w:noProof/>
        </w:rPr>
        <w:t>V</w:t>
      </w:r>
      <w:r w:rsidR="00D02E3E" w:rsidRPr="003146A4">
        <w:rPr>
          <w:rFonts w:ascii="Times New Roman" w:hAnsi="Times New Roman" w:cs="Times New Roman"/>
          <w:noProof/>
        </w:rPr>
        <w:t xml:space="preserve"> SR </w:t>
      </w:r>
      <w:r w:rsidR="00D02E3E">
        <w:rPr>
          <w:rFonts w:ascii="Times New Roman" w:hAnsi="Times New Roman" w:cs="Times New Roman"/>
          <w:noProof/>
        </w:rPr>
        <w:t>ne</w:t>
      </w:r>
      <w:r w:rsidR="00D02E3E" w:rsidRPr="003146A4">
        <w:rPr>
          <w:rFonts w:ascii="Times New Roman" w:hAnsi="Times New Roman" w:cs="Times New Roman"/>
          <w:noProof/>
        </w:rPr>
        <w:t>má vo svojom rozpočte zabezpečené financovanie predmetného návrhu. Financovanie sa navrhuje zvýšením rozpočtu kapitoly M</w:t>
      </w:r>
      <w:r w:rsidR="00D02E3E">
        <w:rPr>
          <w:rFonts w:ascii="Times New Roman" w:hAnsi="Times New Roman" w:cs="Times New Roman"/>
          <w:noProof/>
        </w:rPr>
        <w:t>V</w:t>
      </w:r>
      <w:r w:rsidR="00D02E3E" w:rsidRPr="003146A4">
        <w:rPr>
          <w:rFonts w:ascii="Times New Roman" w:hAnsi="Times New Roman" w:cs="Times New Roman"/>
          <w:noProof/>
        </w:rPr>
        <w:t xml:space="preserve"> SR. Rozpočtovo nekrytý vplyv navrhujeme riešiť pri príprave rozpočtu verejnej správy na príslušný rozpočtový rok</w:t>
      </w:r>
      <w:r w:rsidR="00D02E3E">
        <w:rPr>
          <w:rFonts w:ascii="Times New Roman" w:hAnsi="Times New Roman" w:cs="Times New Roman"/>
          <w:noProof/>
        </w:rPr>
        <w:t>.</w:t>
      </w:r>
    </w:p>
    <w:p w14:paraId="5D67D593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 Popis a charakteristika návrhu</w:t>
      </w:r>
    </w:p>
    <w:p w14:paraId="73794C0E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7A542" w14:textId="77777777" w:rsidR="007D5748" w:rsidRPr="003146A4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163B854F" w14:textId="1E9BDDC6" w:rsidR="007A16E7" w:rsidRPr="003146A4" w:rsidRDefault="007A16E7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zákona, ktorým sa mení a dopĺňa zákon 138/2019 Z. z. o</w:t>
      </w:r>
      <w:r w:rsidR="00D911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pedagogických zamestnancoch a odborných zamestnancoch a o zmene a doplnení niektorých zákonov v znení neskorších predpisov</w:t>
      </w: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rieši zavedenie poskytovania kompenzačného príspevku pre pedagogických a odborných zamestnancov škôl a školských zariadení</w:t>
      </w:r>
      <w:r w:rsidR="00F563E5"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0475E140" w14:textId="488C6353" w:rsidR="007D5748" w:rsidRDefault="007040B5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Poskytovanie kompenzačného príspevku sa netýka škôl a ŠZ, ktoré sú financované z výnosu dane z príjmov fyzických osôb. </w:t>
      </w:r>
    </w:p>
    <w:p w14:paraId="6692F601" w14:textId="77777777" w:rsidR="003146A4" w:rsidRPr="003146A4" w:rsidRDefault="003146A4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4EF48B" w14:textId="77777777" w:rsidR="000D05DD" w:rsidRPr="003146A4" w:rsidRDefault="00DB5C6F" w:rsidP="00DB5C6F">
      <w:pPr>
        <w:pStyle w:val="Odsekzoznamu"/>
        <w:numPr>
          <w:ilvl w:val="3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Kompenzačný príspevok</w:t>
      </w:r>
    </w:p>
    <w:p w14:paraId="4CF20BE7" w14:textId="77777777" w:rsidR="001F6917" w:rsidRPr="003146A4" w:rsidRDefault="002B2946" w:rsidP="002B29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ompenzačn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príspev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slúžiť ako motivačný a stabilizačný nástroj pre 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pedagogických a odborných 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zamestnancov podľa aktuálnej potreby. Kompenzačný príspevok je určený </w:t>
      </w:r>
      <w:r w:rsidR="00471FB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na podporu pedagogických a odborných zamestnancov, ktorí pôsobia v prostredí s výrazným nedostatkom personálu, vyššou fluktuáciou alebo s pretrvávajúcimi ťažkosťami</w:t>
      </w:r>
      <w:r w:rsidR="009B4DBD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1F691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získavaní a udržaní kvalifikovaných zamestnancov a kde je potrebné zvýšiť atraktivitu pracovných pozícií.</w:t>
      </w:r>
    </w:p>
    <w:p w14:paraId="7CBF7E52" w14:textId="6FD46879" w:rsidR="007D5748" w:rsidRPr="003146A4" w:rsidRDefault="00761789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Kompenzačný príspevok bude pedagogickým a odborným zamestnancom</w:t>
      </w:r>
      <w:r w:rsidR="00F93DA7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vyplácať zamestnávateľ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F3856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Finančné prostriedky na jeho poskytovanie budú poskytované zriaďovateľom škôl a školských zariadení z rozpočtovej kapitoly </w:t>
      </w:r>
      <w:proofErr w:type="spellStart"/>
      <w:r w:rsidR="00BF3856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="00BF3856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</w:t>
      </w:r>
      <w:r w:rsidR="00626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616E" w:rsidRPr="0062616E">
        <w:rPr>
          <w:rFonts w:ascii="Times New Roman" w:eastAsia="Times New Roman" w:hAnsi="Times New Roman" w:cs="Times New Roman"/>
          <w:sz w:val="24"/>
          <w:szCs w:val="24"/>
          <w:lang w:eastAsia="sk-SK"/>
        </w:rPr>
        <w:t>a školám z rozpočtovej kapitoly</w:t>
      </w:r>
      <w:r w:rsidR="006261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MPSVaR SR a MV SR</w:t>
      </w:r>
      <w:r w:rsidR="000574E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95E1516" w14:textId="77777777" w:rsidR="00DB5C6F" w:rsidRPr="003146A4" w:rsidRDefault="00DB5C6F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5BCC3B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21B6A1BE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67B33D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0354145D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9DE829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3146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3E04577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4DD5A52B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182E52A4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C6115B" w:rsidRPr="003146A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Pr="003146A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4252642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60399328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CF55ED" w14:textId="77777777" w:rsidR="00C64BDB" w:rsidRPr="003146A4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202A41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901F28D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C2FDA3" w14:textId="77777777" w:rsidR="007D5748" w:rsidRPr="003146A4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05893E25" w14:textId="77777777" w:rsidR="007D5748" w:rsidRPr="003146A4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1076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341"/>
        <w:gridCol w:w="1483"/>
        <w:gridCol w:w="1559"/>
        <w:gridCol w:w="1848"/>
      </w:tblGrid>
      <w:tr w:rsidR="003146A4" w:rsidRPr="003146A4" w14:paraId="4EFB0211" w14:textId="77777777" w:rsidTr="00FF08FC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7D21C271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Objem aktivít</w:t>
            </w:r>
          </w:p>
        </w:tc>
        <w:tc>
          <w:tcPr>
            <w:tcW w:w="6231" w:type="dxa"/>
            <w:gridSpan w:val="4"/>
            <w:shd w:val="clear" w:color="auto" w:fill="BFBFBF" w:themeFill="background1" w:themeFillShade="BF"/>
            <w:vAlign w:val="center"/>
          </w:tcPr>
          <w:p w14:paraId="132D6150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3146A4" w:rsidRPr="003146A4" w14:paraId="603C050B" w14:textId="77777777" w:rsidTr="0076104B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0E8B355F" w14:textId="77777777" w:rsidR="00753FAB" w:rsidRPr="003146A4" w:rsidRDefault="00753FAB" w:rsidP="0075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14:paraId="0D8B4645" w14:textId="3BE962BD" w:rsidR="00753FAB" w:rsidRPr="003146A4" w:rsidRDefault="00532A92" w:rsidP="0075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331386DB" w14:textId="037DD111" w:rsidR="00753FAB" w:rsidRPr="003146A4" w:rsidRDefault="00753FAB" w:rsidP="0075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32A92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F294578" w14:textId="0CCA3BF1" w:rsidR="00753FAB" w:rsidRPr="003146A4" w:rsidRDefault="00753FAB" w:rsidP="0075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32A92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48" w:type="dxa"/>
            <w:shd w:val="clear" w:color="auto" w:fill="BFBFBF" w:themeFill="background1" w:themeFillShade="BF"/>
            <w:vAlign w:val="center"/>
          </w:tcPr>
          <w:p w14:paraId="3D5AD221" w14:textId="456A39F5" w:rsidR="00753FAB" w:rsidRPr="003146A4" w:rsidRDefault="00753FAB" w:rsidP="00753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532A92"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</w:tr>
      <w:tr w:rsidR="0076104B" w:rsidRPr="003146A4" w14:paraId="7BB5978D" w14:textId="77777777" w:rsidTr="0076104B">
        <w:trPr>
          <w:trHeight w:val="70"/>
        </w:trPr>
        <w:tc>
          <w:tcPr>
            <w:tcW w:w="4530" w:type="dxa"/>
          </w:tcPr>
          <w:p w14:paraId="799A54A7" w14:textId="5C97C39A" w:rsidR="0076104B" w:rsidRPr="003146A4" w:rsidRDefault="0076104B" w:rsidP="00761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Kompenzačný príspevok</w:t>
            </w:r>
          </w:p>
        </w:tc>
        <w:tc>
          <w:tcPr>
            <w:tcW w:w="1341" w:type="dxa"/>
          </w:tcPr>
          <w:p w14:paraId="30AE8CD2" w14:textId="0CC23FA2" w:rsidR="0076104B" w:rsidRPr="00FF08FC" w:rsidRDefault="0076104B" w:rsidP="007610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F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60 000 000</w:t>
            </w:r>
          </w:p>
        </w:tc>
        <w:tc>
          <w:tcPr>
            <w:tcW w:w="1483" w:type="dxa"/>
            <w:vAlign w:val="center"/>
          </w:tcPr>
          <w:p w14:paraId="335D1B66" w14:textId="0AA25708" w:rsidR="0076104B" w:rsidRPr="003146A4" w:rsidRDefault="0076104B" w:rsidP="0076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>99 641 957</w:t>
            </w:r>
          </w:p>
        </w:tc>
        <w:tc>
          <w:tcPr>
            <w:tcW w:w="1559" w:type="dxa"/>
            <w:vAlign w:val="center"/>
          </w:tcPr>
          <w:p w14:paraId="15F0D9FF" w14:textId="10F195D7" w:rsidR="0076104B" w:rsidRPr="003146A4" w:rsidRDefault="0076104B" w:rsidP="0076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>100 345 734</w:t>
            </w:r>
          </w:p>
        </w:tc>
        <w:tc>
          <w:tcPr>
            <w:tcW w:w="1848" w:type="dxa"/>
            <w:vAlign w:val="center"/>
          </w:tcPr>
          <w:p w14:paraId="53E7B91E" w14:textId="1F0E1AF8" w:rsidR="0076104B" w:rsidRPr="003146A4" w:rsidRDefault="0076104B" w:rsidP="00761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27A8">
              <w:rPr>
                <w:rFonts w:ascii="Times New Roman" w:hAnsi="Times New Roman" w:cs="Times New Roman"/>
                <w:b/>
                <w:sz w:val="24"/>
                <w:szCs w:val="24"/>
              </w:rPr>
              <w:t>101 168 680</w:t>
            </w:r>
          </w:p>
        </w:tc>
      </w:tr>
      <w:tr w:rsidR="003146A4" w:rsidRPr="003146A4" w14:paraId="6D3CE493" w14:textId="77777777" w:rsidTr="0076104B">
        <w:trPr>
          <w:trHeight w:val="70"/>
        </w:trPr>
        <w:tc>
          <w:tcPr>
            <w:tcW w:w="4530" w:type="dxa"/>
          </w:tcPr>
          <w:p w14:paraId="0083EC65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341" w:type="dxa"/>
          </w:tcPr>
          <w:p w14:paraId="60108F05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3" w:type="dxa"/>
          </w:tcPr>
          <w:p w14:paraId="764B92B9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4C48BBB1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8" w:type="dxa"/>
          </w:tcPr>
          <w:p w14:paraId="1D555224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3146A4" w14:paraId="2C6FA3A7" w14:textId="77777777" w:rsidTr="0076104B">
        <w:trPr>
          <w:trHeight w:val="70"/>
        </w:trPr>
        <w:tc>
          <w:tcPr>
            <w:tcW w:w="4530" w:type="dxa"/>
          </w:tcPr>
          <w:p w14:paraId="5419CFC4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341" w:type="dxa"/>
          </w:tcPr>
          <w:p w14:paraId="7D446F7C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83" w:type="dxa"/>
          </w:tcPr>
          <w:p w14:paraId="4575EDB8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582D877B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8" w:type="dxa"/>
          </w:tcPr>
          <w:p w14:paraId="65B35924" w14:textId="77777777" w:rsidR="007D5748" w:rsidRPr="003146A4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1E614E2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BC0C6E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3581C6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6C04A0C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7654EC" w14:textId="77777777" w:rsidR="007D5748" w:rsidRPr="003146A4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A4BA60" w14:textId="77777777" w:rsidR="007D5748" w:rsidRPr="003146A4" w:rsidRDefault="003868C5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2.2.4.1. Kompenzačný príspevok</w:t>
      </w:r>
    </w:p>
    <w:p w14:paraId="5A8ECA24" w14:textId="77777777" w:rsidR="003868C5" w:rsidRPr="003146A4" w:rsidRDefault="003868C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C39BD5" w14:textId="4CCB4DA7" w:rsidR="00234C1D" w:rsidRDefault="00760390" w:rsidP="00EC2B2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1" w:name="_Hlk170373754"/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roku 2024 sa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pilotne</w:t>
      </w:r>
      <w:proofErr w:type="spellEnd"/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kompenzovali regionálne rozdiely</w:t>
      </w: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pedagogickým a odborným zamestnancom prenesených kompetencií </w:t>
      </w:r>
      <w:r w:rsidR="00F07E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financovaný</w:t>
      </w:r>
      <w:r w:rsidR="00EF1C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="00F07E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zo štátneho rozpočtu </w:t>
      </w: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(okrem zariadení poradenstva a prevencie) v celkovom objeme 60 mil. eur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boli využité súčasné systémové možnosti</w:t>
      </w:r>
      <w:r w:rsidR="001521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Tento nástroj nebolo možné aplikovať u pedagogických a odborných zamestnancov, ktorých mzda bola financovaná z prostriedkov EÚ (realizované národné projekty)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nebola aplikovaná v prípade škôl iných ministerstiev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rovnako nebola aplikovaná u </w:t>
      </w:r>
      <w:r w:rsidR="00EF1C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pedagogických a odborných zamestnancov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ktorých mzda je hradená mimo zdrojov štátneho rozpočtu (</w:t>
      </w:r>
      <w:r w:rsidR="00EF1C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napr. 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MŠ, ŠMŠ,). V rámci pilotného overenia sa ukázalo, že použité riešenie vyvoláva ne</w:t>
      </w:r>
      <w:r w:rsidR="00EF1C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="009759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pokojnosť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medzi </w:t>
      </w:r>
      <w:r w:rsidR="009759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pedagogickými a odbornými 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zamestnancami v rámci rovnakej školy</w:t>
      </w:r>
      <w:r w:rsidR="009759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preto návrh predpokladá financovanie kompenzačného príspevku aj pre tých </w:t>
      </w:r>
      <w:r w:rsidR="009759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pedagogických a odborných 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zamestnancov, ktorých mzda je financovaná z prostriedkov EÚ a mimorozpočtových zdrojov</w:t>
      </w:r>
      <w:r w:rsidR="0018281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prípade, že pôsobia v škole/školskom zariadení, kde sa príspevok vypláca</w:t>
      </w:r>
      <w:r w:rsidR="00234C1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bookmarkEnd w:id="1"/>
    <w:p w14:paraId="7AA97E15" w14:textId="77777777" w:rsidR="00571763" w:rsidRDefault="00571763" w:rsidP="00EC2B2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BC06E4" w14:textId="1972759F" w:rsidR="00EC2B2F" w:rsidRDefault="002B2946" w:rsidP="00EC2B2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počíta so zachovaním </w:t>
      </w:r>
      <w:r w:rsidR="00760390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výšky príspevku z roku 2024, avšak rozširuje sa počet prijímateľov príspevku</w:t>
      </w:r>
      <w:r w:rsidR="00BF3856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Rozšírenie počtu prijímateľov vychádza </w:t>
      </w:r>
      <w:r w:rsidR="00760390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="00BF3856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navrhovanej novely zákona č. 597/2003 Z. z. o financovaní základných škôl, stredných škôl a školských zariadení v znení neskorších predpisov, na základe ktorej by od 1. 1. 2025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došlo k zmene zdroja financovania </w:t>
      </w:r>
      <w:r w:rsidR="00BF3856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MŠ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ŠMŠ</w:t>
      </w:r>
      <w:r w:rsidR="00BF3856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zriaďovateľskej pôsobnosti samosprávy, súkromných a cirkevných zriaďovateľov</w:t>
      </w:r>
      <w:r w:rsidR="007040B5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by už neboli financované z podielových daní v rámci originálnej pôsobnosti, ale </w:t>
      </w:r>
      <w:r w:rsidR="00BF3856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 rozpočtovej kapit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BF3856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ly MŠVVa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 SR v rámci preneseného výkonu štátnej správy</w:t>
      </w:r>
      <w:r w:rsidR="00B124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súvislosti s uvedenou zmenou financovania MŠ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ŠMŠ, </w:t>
      </w:r>
      <w:r w:rsidR="00D52CA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 zachovaní výšky regionálnych príspevkov z roku 2024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pridaním škôl iných ministerstiev</w:t>
      </w:r>
      <w:r w:rsidR="00B15B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zohľadnení nedostatku kvalifikovaných pedagogických a odborných zamestnancov pracujúcich v náročnejších podmienkach</w:t>
      </w:r>
      <w:r w:rsidR="00B15BAF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</w:t>
      </w:r>
      <w:r w:rsidR="00D52CA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r. 2025 </w:t>
      </w: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očakáva </w:t>
      </w:r>
      <w:r w:rsidR="009B4AE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celková </w:t>
      </w: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potreba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finančných prostriedkov</w:t>
      </w:r>
      <w:r w:rsidR="009B4AE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poskytovanie kompenzačného príspevku vo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výške 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99 641 957 </w:t>
      </w:r>
      <w:r w:rsidR="00563A28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9B4AE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v tom MŠ a ŠMŠ (doposiaľ financované z podielových daní) vo výške 17 572 011 € a 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školy iných ministerstiev</w:t>
      </w:r>
      <w:r w:rsidR="009B4AE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vo výške 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335 37</w:t>
      </w:r>
      <w:r w:rsidR="000009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="0090613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B4AE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€. </w:t>
      </w: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71763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zahŕňa </w:t>
      </w:r>
      <w:r w:rsidR="0057176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kompenzáciu rozdielov aj v prípade zamestnancov financovaných z EÚ a mimorozpočtových zdrojov</w:t>
      </w:r>
      <w:r w:rsidR="008863E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a to</w:t>
      </w:r>
      <w:r w:rsidR="0057176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vo výške </w:t>
      </w:r>
      <w:r w:rsidR="00571763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11 577 480 €</w:t>
      </w:r>
      <w:r w:rsidR="0057176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EC2B2F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Vo výdavkoch na poskytovanie kompenzačného príspevku je zohľadnené aj poskytovanie tohto príspevku pre pedagogických a odborných zamestnancov pôsobiacich v náročnejší podmienkach, kde je tiež nedostatok </w:t>
      </w:r>
      <w:r w:rsidR="00EC2B2F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kvalifikovaných zamestnancov, a to vo výške 10 042 385 €.</w:t>
      </w:r>
      <w:r w:rsidR="000009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 počíta s tým, že príspevok bude predmetom dane z príjmu fyzických osôb a</w:t>
      </w:r>
      <w:r w:rsidR="009C4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bude sa z neho odvádzať poistné na zdravotné a sociálne poistenie.</w:t>
      </w:r>
    </w:p>
    <w:p w14:paraId="18C16BED" w14:textId="27557813" w:rsidR="002B2946" w:rsidRPr="003146A4" w:rsidRDefault="009B4AE1" w:rsidP="002B294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Podrob</w:t>
      </w:r>
      <w:r w:rsidR="00081FD3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 štruktúra výdavkov </w:t>
      </w:r>
      <w:r w:rsidR="00BC192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poskytovanie kompenzačného príspevku </w:t>
      </w:r>
      <w:r w:rsidR="00081FD3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jednotlivých rokoch </w:t>
      </w:r>
      <w:r w:rsidR="00BC192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závislosti od druhu školy a zdroja financovania </w:t>
      </w:r>
      <w:r w:rsidR="00081FD3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uvedená v</w:t>
      </w:r>
      <w:r w:rsidR="00EC2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081FD3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</w:t>
      </w:r>
      <w:r w:rsidR="00EC2B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5E6B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B124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8863E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C1921"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 všetkých rokoch je vo výdavkoch zohľadnený medziročný percentuálny prognózovaný nárast počtu pedagogických a odborných zamestnancov v jednotlivých rokoch.</w:t>
      </w:r>
    </w:p>
    <w:p w14:paraId="4F5612E7" w14:textId="77777777" w:rsidR="00532A92" w:rsidRPr="003146A4" w:rsidRDefault="00532A92" w:rsidP="002B294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1FFD6A" w14:textId="6965299D" w:rsidR="00532A92" w:rsidRPr="003146A4" w:rsidRDefault="00532A92" w:rsidP="00532A9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14:paraId="3AFD3484" w14:textId="0D70D845" w:rsidR="007D5748" w:rsidRPr="003146A4" w:rsidRDefault="001D388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Tab</w:t>
      </w:r>
      <w:r w:rsidR="00EC2B2F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. </w:t>
      </w:r>
      <w:r w:rsidR="005E6BB1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1</w:t>
      </w:r>
      <w:r w:rsidR="00EF1CA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: </w:t>
      </w:r>
      <w:r w:rsidR="00081FD3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Štruktúra </w:t>
      </w:r>
      <w:r w:rsidR="003344A1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</w:t>
      </w:r>
      <w:r w:rsidR="00996295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výdavkov</w:t>
      </w:r>
      <w:r w:rsidR="003344A1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na </w:t>
      </w:r>
      <w:r w:rsidR="001F79B3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poskytovanie </w:t>
      </w:r>
      <w:r w:rsidR="003344A1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kompenzačn</w:t>
      </w:r>
      <w:r w:rsidR="001F79B3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ého</w:t>
      </w:r>
      <w:r w:rsidR="003344A1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príspev</w:t>
      </w:r>
      <w:r w:rsidR="001F79B3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ku v jednotlivých rokoch</w:t>
      </w:r>
      <w:r w:rsidR="00E34F2C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</w:t>
      </w:r>
      <w:r w:rsidR="002A0F47"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        </w:t>
      </w:r>
    </w:p>
    <w:p w14:paraId="6B998E0C" w14:textId="77777777" w:rsidR="00D52CA1" w:rsidRPr="003146A4" w:rsidRDefault="00D52CA1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eastAsia="sk-SK"/>
        </w:rPr>
      </w:pPr>
    </w:p>
    <w:tbl>
      <w:tblPr>
        <w:tblW w:w="1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360"/>
        <w:gridCol w:w="1780"/>
        <w:gridCol w:w="1780"/>
        <w:gridCol w:w="1780"/>
      </w:tblGrid>
      <w:tr w:rsidR="00321D5B" w:rsidRPr="00321D5B" w14:paraId="5AAB942E" w14:textId="77777777" w:rsidTr="00321D5B">
        <w:trPr>
          <w:trHeight w:val="288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E080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Kalendárny rok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6DF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A2F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F2F8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2026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04B6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2027</w:t>
            </w:r>
          </w:p>
        </w:tc>
      </w:tr>
      <w:tr w:rsidR="00321D5B" w:rsidRPr="00321D5B" w14:paraId="7A52CBA2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8F4B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Prognózovaný nárast počtu zamestnancov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D6E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80808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7FF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0,42%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2D3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0,41%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A38A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0,28%</w:t>
            </w:r>
          </w:p>
        </w:tc>
      </w:tr>
      <w:tr w:rsidR="00321D5B" w:rsidRPr="00321D5B" w14:paraId="43C2B009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55AF246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Regionálne rozdiely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0D3AFA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60 000 000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9C509B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89 599 572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CCFE3C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90 262 372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4218EB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91 057 181   </w:t>
            </w:r>
          </w:p>
        </w:tc>
      </w:tr>
      <w:tr w:rsidR="00321D5B" w:rsidRPr="00321D5B" w14:paraId="13265AC6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19BF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Počet zamestnancov RŠ celkom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B02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64 867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1586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98 784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A1CC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99 553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370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100 465   </w:t>
            </w:r>
          </w:p>
        </w:tc>
      </w:tr>
      <w:tr w:rsidR="00321D5B" w:rsidRPr="00321D5B" w14:paraId="5EE5A5EB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26A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v tom Š a ŠZ  - PK (štátny rozpočet) v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1719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60 000 000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E4B5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60 114 702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0A9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60 359 990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571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60 528 424   </w:t>
            </w:r>
          </w:p>
        </w:tc>
      </w:tr>
      <w:tr w:rsidR="00321D5B" w:rsidRPr="00321D5B" w14:paraId="02721754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085B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zamestnancov PK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58AF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64 867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124F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66 151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2748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66 421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D30B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66 606   </w:t>
            </w:r>
          </w:p>
        </w:tc>
      </w:tr>
      <w:tr w:rsidR="00321D5B" w:rsidRPr="00321D5B" w14:paraId="4FBDD19F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AC2F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v tom MŠ+ŠMŠ – OK (podielové dane) v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98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C65911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AE2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17 572 011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5033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17 643 710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DD0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17 692 945   </w:t>
            </w:r>
          </w:p>
        </w:tc>
      </w:tr>
      <w:tr w:rsidR="00321D5B" w:rsidRPr="00321D5B" w14:paraId="290F26F3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B187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zamestnancov MŠ a ŠMŠ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00C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3455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19 155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6EA7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19 233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B57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19 287   </w:t>
            </w:r>
          </w:p>
        </w:tc>
      </w:tr>
      <w:tr w:rsidR="00321D5B" w:rsidRPr="00321D5B" w14:paraId="7EC7ACB1" w14:textId="77777777" w:rsidTr="00321D5B">
        <w:trPr>
          <w:trHeight w:val="57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F08C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v tom  Š a ŠZ financované zo zdrojov EÚ a mimorozpočtových zdrojov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1483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C65911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9D69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11 577 480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B5A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11 921 924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5E1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12 498 124   </w:t>
            </w:r>
          </w:p>
        </w:tc>
      </w:tr>
      <w:tr w:rsidR="00321D5B" w:rsidRPr="00321D5B" w14:paraId="639282F4" w14:textId="77777777" w:rsidTr="00321D5B">
        <w:trPr>
          <w:trHeight w:val="576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65D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zamestnancov  financovaných zo zdrojov EÚ a MRZ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3590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9EBE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13 295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B92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13 716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4771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14 388   </w:t>
            </w:r>
          </w:p>
        </w:tc>
      </w:tr>
      <w:tr w:rsidR="00321D5B" w:rsidRPr="00321D5B" w14:paraId="5A71F679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C0BB" w14:textId="09BEC958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v tom </w:t>
            </w:r>
            <w:r w:rsidR="0094034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školy </w:t>
            </w: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>MPSVaR</w:t>
            </w:r>
            <w:r w:rsidR="0029262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SR</w:t>
            </w: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839A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713A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109 014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A672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109 459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E4E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109 765   </w:t>
            </w:r>
          </w:p>
        </w:tc>
      </w:tr>
      <w:tr w:rsidR="00321D5B" w:rsidRPr="00321D5B" w14:paraId="08AEB7AA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6C60" w14:textId="3B60B413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Počet zamestnancov </w:t>
            </w:r>
            <w:r w:rsidR="00940343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škôl </w:t>
            </w: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MPSVaR</w:t>
            </w:r>
            <w:r w:rsidR="00940343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98B5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3EEE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        46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EDF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        46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55C1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        46   </w:t>
            </w:r>
          </w:p>
        </w:tc>
      </w:tr>
      <w:tr w:rsidR="00321D5B" w:rsidRPr="00321D5B" w14:paraId="3EA5628F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B379" w14:textId="0FB4C7A3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v tom školy MV</w:t>
            </w:r>
            <w:r w:rsidR="0029262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>SR v 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411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FB95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226 364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6342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227 288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CE7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227 922   </w:t>
            </w:r>
          </w:p>
        </w:tc>
      </w:tr>
      <w:tr w:rsidR="00321D5B" w:rsidRPr="00321D5B" w14:paraId="658563DE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D37" w14:textId="255B5FB4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zamestnancov škôl MV</w:t>
            </w:r>
            <w:r w:rsidR="00292628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BF1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B25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     137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82D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     138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991A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                      138   </w:t>
            </w:r>
          </w:p>
        </w:tc>
      </w:tr>
      <w:tr w:rsidR="00321D5B" w:rsidRPr="00321D5B" w14:paraId="611CB380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9552B4B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Náročnejšie podmienky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6AA872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-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CD1334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10 042 385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667A0D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10 083 362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64F520" w14:textId="77777777" w:rsidR="00321D5B" w:rsidRPr="00321D5B" w:rsidRDefault="00321D5B" w:rsidP="00321D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10 111 499   </w:t>
            </w:r>
          </w:p>
        </w:tc>
      </w:tr>
      <w:tr w:rsidR="00321D5B" w:rsidRPr="00321D5B" w14:paraId="66CD94BD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F1E67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DE144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60 000 000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BCF735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99 641 957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64790F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100 345 734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84EEE4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101 168 680   </w:t>
            </w:r>
          </w:p>
        </w:tc>
      </w:tr>
      <w:tr w:rsidR="00321D5B" w:rsidRPr="00321D5B" w14:paraId="7BE778F8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016C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>Kryté výdavky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070E17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60 000 000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B43F93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60 000 000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F7E595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60 000 000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2F76A6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60 000 000   </w:t>
            </w:r>
          </w:p>
        </w:tc>
      </w:tr>
      <w:tr w:rsidR="00321D5B" w:rsidRPr="00321D5B" w14:paraId="0723724A" w14:textId="77777777" w:rsidTr="00321D5B">
        <w:trPr>
          <w:trHeight w:val="28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18CAE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Nekryté výdavky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2D4090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-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1287C9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39 641 957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0220F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40 345 734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574CA0" w14:textId="77777777" w:rsidR="00321D5B" w:rsidRPr="00321D5B" w:rsidRDefault="00321D5B" w:rsidP="00321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21D5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41 168 680   </w:t>
            </w:r>
          </w:p>
        </w:tc>
      </w:tr>
    </w:tbl>
    <w:p w14:paraId="0EE27750" w14:textId="1357F103" w:rsidR="004D2460" w:rsidRPr="003146A4" w:rsidRDefault="004D2460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Tab</w:t>
      </w:r>
      <w:r w:rsidR="00EC2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5E6B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</w:t>
      </w:r>
      <w:r w:rsidR="00EF1CA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</w:t>
      </w:r>
      <w:r w:rsidR="00BC1921"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Podrobná štruktúra výdavkov na poskytovanie kompenzačného príspevku podľa typu zriaďovateľa </w:t>
      </w:r>
    </w:p>
    <w:p w14:paraId="2107DEE1" w14:textId="77777777" w:rsidR="00BC1921" w:rsidRPr="003146A4" w:rsidRDefault="00BC1921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jednotlivých rokoch </w:t>
      </w:r>
    </w:p>
    <w:p w14:paraId="45FE14A9" w14:textId="77777777" w:rsidR="00D5557C" w:rsidRPr="003146A4" w:rsidRDefault="00D5557C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825"/>
        <w:gridCol w:w="2268"/>
        <w:gridCol w:w="2126"/>
        <w:gridCol w:w="1887"/>
      </w:tblGrid>
      <w:tr w:rsidR="003146A4" w:rsidRPr="003146A4" w14:paraId="52ECEDB9" w14:textId="77777777" w:rsidTr="00EF1CA8">
        <w:trPr>
          <w:trHeight w:val="576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B76B4" w14:textId="77777777" w:rsidR="00D5557C" w:rsidRPr="003146A4" w:rsidRDefault="00D5557C" w:rsidP="00D5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Typ zriaďovateľa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B308" w14:textId="3B36D5E0" w:rsidR="00D5557C" w:rsidRPr="003146A4" w:rsidRDefault="00D5557C" w:rsidP="00D5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2024</w:t>
            </w:r>
            <w:r w:rsidR="0050744E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F301" w14:textId="77777777" w:rsidR="00D5557C" w:rsidRPr="003146A4" w:rsidRDefault="00D5557C" w:rsidP="00D5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3094" w14:textId="77777777" w:rsidR="00D5557C" w:rsidRPr="003146A4" w:rsidRDefault="00D5557C" w:rsidP="00D5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E9E" w14:textId="77777777" w:rsidR="00D5557C" w:rsidRPr="003146A4" w:rsidRDefault="00D5557C" w:rsidP="00D55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2027</w:t>
            </w:r>
          </w:p>
        </w:tc>
      </w:tr>
      <w:tr w:rsidR="00292628" w:rsidRPr="003146A4" w14:paraId="53A29817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68A274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C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72D2A95" w14:textId="4DEC002A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4 235 881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C78C4A" w14:textId="10043FF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6 150 197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DDDE1" w14:textId="14A52F3D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6 193 724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5E944" w14:textId="6BE46F8E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6 244 681</w:t>
            </w:r>
          </w:p>
        </w:tc>
      </w:tr>
      <w:tr w:rsidR="00292628" w:rsidRPr="003146A4" w14:paraId="6E75965D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B181A6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7C7883B" w14:textId="71CF39BD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4 596 342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231DA" w14:textId="38212408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8 413 080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FF39C3" w14:textId="67D95142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8 474 995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579ED7" w14:textId="402614D8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8 549 043</w:t>
            </w:r>
          </w:p>
        </w:tc>
      </w:tr>
      <w:tr w:rsidR="00292628" w:rsidRPr="003146A4" w14:paraId="0E21F1A5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6678C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8F1FC7" w14:textId="35E6EE2A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31 690 718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2FECB" w14:textId="14917621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61 354 443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581FF" w14:textId="237E9C39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61 780 254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48DBB8" w14:textId="57FAD78F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62 273 182</w:t>
            </w:r>
          </w:p>
        </w:tc>
      </w:tr>
      <w:tr w:rsidR="00292628" w:rsidRPr="003146A4" w14:paraId="4F3E0B6B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400B93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F08EEEC" w14:textId="774B8750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3 532 021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C2E2DA" w14:textId="3D5D73F5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8 083 971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857647" w14:textId="4FC9772B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8 142 434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17344C" w14:textId="792C8FF5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8 211 700</w:t>
            </w:r>
          </w:p>
        </w:tc>
      </w:tr>
      <w:tr w:rsidR="00292628" w:rsidRPr="003146A4" w14:paraId="7024BF3C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8F07A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V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B3E3250" w14:textId="279301E6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15 945 038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1D1788" w14:textId="18DA799F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15 304 888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1C889C" w14:textId="7D61F25E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15 417 579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19819" w14:textId="46454B35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15 552 387</w:t>
            </w:r>
          </w:p>
        </w:tc>
      </w:tr>
      <w:tr w:rsidR="00292628" w:rsidRPr="003146A4" w14:paraId="2F38A1B5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BACD21D" w14:textId="06C668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MPSVaR SR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0057C4D" w14:textId="41BA5761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D7E60AE" w14:textId="5133B024" w:rsidR="00292628" w:rsidRDefault="00292628" w:rsidP="002926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109 014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44FAA5C" w14:textId="6124F80F" w:rsidR="00292628" w:rsidRDefault="00292628" w:rsidP="002926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109 459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F475946" w14:textId="477CA924" w:rsidR="00292628" w:rsidRDefault="00292628" w:rsidP="002926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109 765</w:t>
            </w:r>
          </w:p>
        </w:tc>
      </w:tr>
      <w:tr w:rsidR="00292628" w:rsidRPr="003146A4" w14:paraId="3CA7A8FB" w14:textId="77777777" w:rsidTr="00292628">
        <w:trPr>
          <w:trHeight w:val="28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2F3EA43" w14:textId="4C8906E6" w:rsidR="00292628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MV SR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26ED086" w14:textId="24B6F430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04289C3" w14:textId="64CD1582" w:rsidR="00292628" w:rsidRDefault="00292628" w:rsidP="002926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226 364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13ABB298" w14:textId="7FAA0587" w:rsidR="00292628" w:rsidRDefault="00292628" w:rsidP="002926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227 288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CEF1FE7" w14:textId="615BE72B" w:rsidR="00292628" w:rsidRDefault="00292628" w:rsidP="0029262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227 922</w:t>
            </w:r>
          </w:p>
        </w:tc>
      </w:tr>
      <w:tr w:rsidR="00292628" w:rsidRPr="003146A4" w14:paraId="39E7D0A8" w14:textId="77777777" w:rsidTr="00292628">
        <w:trPr>
          <w:trHeight w:val="576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C95DED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Spolu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341F" w14:textId="3EC3B77A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60 000 000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01A" w14:textId="73746D56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99 641 957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C11" w14:textId="37622706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100 345 734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A1F9" w14:textId="042E9E9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101 168 680</w:t>
            </w:r>
          </w:p>
        </w:tc>
      </w:tr>
    </w:tbl>
    <w:p w14:paraId="7653059B" w14:textId="77777777" w:rsidR="00EF1CA8" w:rsidRDefault="00EF1CA8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2" w:name="_Hlk169460534"/>
    </w:p>
    <w:p w14:paraId="3D72F859" w14:textId="4F4A0A8E" w:rsidR="004D2460" w:rsidRPr="003146A4" w:rsidRDefault="004D2460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Tab</w:t>
      </w:r>
      <w:r w:rsidR="00EC2B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5E6B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</w:p>
    <w:p w14:paraId="7EAE488B" w14:textId="77777777" w:rsidR="004D2460" w:rsidRPr="003146A4" w:rsidRDefault="00CC2640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Podrobná štruktúra počtov pedagogických a odborných zamestnancov podľa typu zriaďovateľa </w:t>
      </w:r>
    </w:p>
    <w:p w14:paraId="7F21F102" w14:textId="77777777" w:rsidR="00CC2640" w:rsidRPr="003146A4" w:rsidRDefault="004D2460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jednotlivých rokoch </w:t>
      </w:r>
      <w:r w:rsidR="00CC2640"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vo vzťahu k poskytovaniu kompenzačného príspevku </w:t>
      </w:r>
    </w:p>
    <w:p w14:paraId="5427C4F3" w14:textId="77777777" w:rsidR="00CC2640" w:rsidRPr="003146A4" w:rsidRDefault="00CC2640" w:rsidP="003868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66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280"/>
        <w:gridCol w:w="1280"/>
        <w:gridCol w:w="1280"/>
        <w:gridCol w:w="1280"/>
      </w:tblGrid>
      <w:tr w:rsidR="003146A4" w:rsidRPr="003146A4" w14:paraId="3D69320A" w14:textId="77777777" w:rsidTr="00EF1CA8">
        <w:trPr>
          <w:trHeight w:val="57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BB756C" w14:textId="77777777" w:rsidR="005D2003" w:rsidRPr="003146A4" w:rsidRDefault="005D2003" w:rsidP="005D20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Typ zriaďovateľa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6D39" w14:textId="41B7C672" w:rsidR="005D2003" w:rsidRPr="003146A4" w:rsidRDefault="005D2003" w:rsidP="005D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2024</w:t>
            </w:r>
            <w:r w:rsidR="0050744E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*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1E5E" w14:textId="77777777" w:rsidR="005D2003" w:rsidRPr="003146A4" w:rsidRDefault="005D2003" w:rsidP="005D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BCF7" w14:textId="77777777" w:rsidR="005D2003" w:rsidRPr="003146A4" w:rsidRDefault="005D2003" w:rsidP="005D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07C6" w14:textId="77777777" w:rsidR="005D2003" w:rsidRPr="003146A4" w:rsidRDefault="005D2003" w:rsidP="005D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i/>
                <w:iCs/>
                <w:lang w:eastAsia="sk-SK"/>
              </w:rPr>
              <w:t>2027</w:t>
            </w:r>
          </w:p>
        </w:tc>
      </w:tr>
      <w:tr w:rsidR="00292628" w:rsidRPr="003146A4" w14:paraId="7B72430A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16DE5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CD1AFE0" w14:textId="601203A6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4 116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4FB5E" w14:textId="49EC55E0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5 669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3C1A90" w14:textId="4D4960FE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5 713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2D40936" w14:textId="0421FF39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5 765</w:t>
            </w:r>
          </w:p>
        </w:tc>
      </w:tr>
      <w:tr w:rsidR="00292628" w:rsidRPr="003146A4" w14:paraId="5FE2495C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2E272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D362D84" w14:textId="2E22CFA6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6 923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D15B2" w14:textId="30AEC85C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8 512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B600FE" w14:textId="6393F29B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8 579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850D403" w14:textId="49016917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8 657</w:t>
            </w:r>
          </w:p>
        </w:tc>
      </w:tr>
      <w:tr w:rsidR="00292628" w:rsidRPr="003146A4" w14:paraId="0F247FE4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253933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A1006C9" w14:textId="0884CCB4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34 953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E11BC6" w14:textId="0CFCD2F4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62 119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F32ABC" w14:textId="55A7EEE7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62 603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4BB43CB" w14:textId="5687C74B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63 178</w:t>
            </w:r>
          </w:p>
        </w:tc>
      </w:tr>
      <w:tr w:rsidR="00292628" w:rsidRPr="003146A4" w14:paraId="2382B7BD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4B09B3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7BFD087" w14:textId="69ADCE1C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4 079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AF7CDE" w14:textId="2CCC62A9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6 239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5648D6" w14:textId="4C64B4CB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6 288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834FAB4" w14:textId="088FB454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6 346</w:t>
            </w:r>
          </w:p>
        </w:tc>
      </w:tr>
      <w:tr w:rsidR="00292628" w:rsidRPr="003146A4" w14:paraId="659470DC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F9A4F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F5FC1EE" w14:textId="4BC8F544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lang w:eastAsia="sk-SK"/>
              </w:rPr>
              <w:t>14 875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9FC39F" w14:textId="512198BF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16 061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205D7C" w14:textId="0AA36503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16 186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FAF5D20" w14:textId="39D30290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85C7E">
              <w:t>16 335</w:t>
            </w:r>
          </w:p>
        </w:tc>
      </w:tr>
      <w:tr w:rsidR="00292628" w:rsidRPr="003146A4" w14:paraId="69D66F3C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0BCFAD9" w14:textId="39A1A62D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MPSVaR SR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CF0244E" w14:textId="77777777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ADBD80" w14:textId="402350EF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E16857"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B4B7FF6" w14:textId="54388DA7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E16857"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A78DD80" w14:textId="29F5E9A9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E16857">
              <w:t>46</w:t>
            </w:r>
          </w:p>
        </w:tc>
      </w:tr>
      <w:tr w:rsidR="00292628" w:rsidRPr="003146A4" w14:paraId="6B1EABFF" w14:textId="77777777" w:rsidTr="00940343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47FFE4C" w14:textId="37AF4E92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MV SR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D4B8938" w14:textId="77777777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5DBFA7E" w14:textId="75797EF8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96A4D">
              <w:t>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32582C0" w14:textId="5FC65C0B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96A4D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115C475" w14:textId="61764593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96A4D">
              <w:t>138</w:t>
            </w:r>
          </w:p>
        </w:tc>
      </w:tr>
      <w:tr w:rsidR="00292628" w:rsidRPr="003146A4" w14:paraId="4B7D86CF" w14:textId="77777777" w:rsidTr="00940343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BA98C4" w14:textId="77777777" w:rsidR="00292628" w:rsidRPr="003146A4" w:rsidRDefault="00292628" w:rsidP="002926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Zamestnanci spolu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5FCF" w14:textId="16398CBD" w:rsidR="00292628" w:rsidRPr="003146A4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146A4">
              <w:rPr>
                <w:rFonts w:ascii="Calibri" w:eastAsia="Times New Roman" w:hAnsi="Calibri" w:cs="Calibri"/>
                <w:b/>
                <w:bCs/>
                <w:lang w:eastAsia="sk-SK"/>
              </w:rPr>
              <w:t>64 946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626A" w14:textId="52C1099D" w:rsidR="00292628" w:rsidRPr="00940343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40343">
              <w:rPr>
                <w:rFonts w:ascii="Calibri" w:hAnsi="Calibri" w:cs="Calibri"/>
                <w:b/>
                <w:color w:val="000000"/>
              </w:rPr>
              <w:t>98 784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4AA8" w14:textId="529AB469" w:rsidR="00292628" w:rsidRPr="00940343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40343">
              <w:rPr>
                <w:rFonts w:ascii="Calibri" w:hAnsi="Calibri" w:cs="Calibri"/>
                <w:b/>
                <w:color w:val="000000"/>
              </w:rPr>
              <w:t>99 553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FA2E" w14:textId="1407FAF6" w:rsidR="00292628" w:rsidRPr="00940343" w:rsidRDefault="00292628" w:rsidP="00940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40343">
              <w:rPr>
                <w:rFonts w:ascii="Calibri" w:hAnsi="Calibri" w:cs="Calibri"/>
                <w:b/>
                <w:color w:val="000000"/>
              </w:rPr>
              <w:t>100 465</w:t>
            </w:r>
          </w:p>
        </w:tc>
      </w:tr>
    </w:tbl>
    <w:p w14:paraId="3FAA59C7" w14:textId="553A8CFA" w:rsidR="0037592A" w:rsidRDefault="0050744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sk-SK"/>
        </w:rPr>
      </w:pPr>
      <w:bookmarkStart w:id="3" w:name="_Hlk167277494"/>
      <w:bookmarkEnd w:id="2"/>
      <w:r>
        <w:rPr>
          <w:rFonts w:ascii="Times New Roman" w:eastAsia="Times New Roman" w:hAnsi="Times New Roman" w:cs="Times New Roman"/>
          <w:bCs/>
          <w:szCs w:val="20"/>
          <w:lang w:eastAsia="sk-SK"/>
        </w:rPr>
        <w:t xml:space="preserve">* V roku 2024 sa </w:t>
      </w:r>
      <w:proofErr w:type="spellStart"/>
      <w:r>
        <w:rPr>
          <w:rFonts w:ascii="Times New Roman" w:eastAsia="Times New Roman" w:hAnsi="Times New Roman" w:cs="Times New Roman"/>
          <w:bCs/>
          <w:szCs w:val="20"/>
          <w:lang w:eastAsia="sk-SK"/>
        </w:rPr>
        <w:t>pilotne</w:t>
      </w:r>
      <w:proofErr w:type="spellEnd"/>
      <w:r>
        <w:rPr>
          <w:rFonts w:ascii="Times New Roman" w:eastAsia="Times New Roman" w:hAnsi="Times New Roman" w:cs="Times New Roman"/>
          <w:bCs/>
          <w:szCs w:val="20"/>
          <w:lang w:eastAsia="sk-SK"/>
        </w:rPr>
        <w:t xml:space="preserve"> </w:t>
      </w:r>
      <w:r w:rsidR="00D911E4">
        <w:rPr>
          <w:rFonts w:ascii="Times New Roman" w:eastAsia="Times New Roman" w:hAnsi="Times New Roman" w:cs="Times New Roman"/>
          <w:bCs/>
          <w:szCs w:val="20"/>
          <w:lang w:eastAsia="sk-SK"/>
        </w:rPr>
        <w:t xml:space="preserve">kompenzovali regionálne nerovnosti, a to formou </w:t>
      </w:r>
      <w:r w:rsidR="00CC7647">
        <w:rPr>
          <w:rFonts w:ascii="Times New Roman" w:eastAsia="Times New Roman" w:hAnsi="Times New Roman" w:cs="Times New Roman"/>
          <w:bCs/>
          <w:szCs w:val="20"/>
          <w:lang w:eastAsia="sk-SK"/>
        </w:rPr>
        <w:t xml:space="preserve">odmeny.  </w:t>
      </w:r>
    </w:p>
    <w:p w14:paraId="5A02814D" w14:textId="77777777" w:rsidR="0050744E" w:rsidRPr="003146A4" w:rsidRDefault="0050744E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sk-SK"/>
        </w:rPr>
      </w:pPr>
    </w:p>
    <w:p w14:paraId="054301E3" w14:textId="3539BA40" w:rsidR="0037592A" w:rsidRPr="003146A4" w:rsidRDefault="0037592A" w:rsidP="00375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37592A" w:rsidRPr="003146A4" w:rsidSect="00EC2B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lastRenderedPageBreak/>
        <w:t xml:space="preserve">Návrh nepredpokladá </w:t>
      </w:r>
      <w:r w:rsidR="003D5183"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z dôvodu </w:t>
      </w:r>
      <w:r w:rsidR="007431B3"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poskytovania kompenzačného príspevku </w:t>
      </w:r>
      <w:r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 rokoch 2025 až 2028 negatívny vplyv na rozpočet územnej samosprávy</w:t>
      </w:r>
      <w:r w:rsidR="007431B3"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a rozpočet súkromných a cirkevných zriaďovateľov škôl a ŠZ</w:t>
      </w:r>
      <w:r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 Dôvodom je</w:t>
      </w:r>
      <w:r w:rsidRPr="003146A4">
        <w:rPr>
          <w:rFonts w:ascii="Times New Roman" w:hAnsi="Times New Roman" w:cs="Times New Roman"/>
          <w:sz w:val="24"/>
          <w:szCs w:val="24"/>
        </w:rPr>
        <w:t xml:space="preserve"> primárny účel kompenzačného príspevku, ktorým je zlepšenie personálnej situácie v oblasti vzdelávania na Slovensku. Tento účel sa týka škôl, kde sa organizuje výchova a vzdelávania v súlade so štátnym vzdelávacím programom.</w:t>
      </w:r>
    </w:p>
    <w:bookmarkEnd w:id="3"/>
    <w:p w14:paraId="3DD78967" w14:textId="77777777" w:rsidR="0090613B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AC05BA" w14:textId="284017A3" w:rsidR="007D5748" w:rsidRPr="003146A4" w:rsidRDefault="003408F5" w:rsidP="0090613B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3</w:t>
      </w:r>
    </w:p>
    <w:p w14:paraId="389434B4" w14:textId="77777777" w:rsidR="006767E0" w:rsidRDefault="006767E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0B4F13F" w14:textId="77777777" w:rsidR="006767E0" w:rsidRDefault="006767E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page" w:horzAnchor="margin" w:tblpY="38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6767E0" w:rsidRPr="003146A4" w14:paraId="330D8953" w14:textId="77777777" w:rsidTr="0090613B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BD9DAD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6E8DD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303927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6767E0" w:rsidRPr="003146A4" w14:paraId="483FADB5" w14:textId="77777777" w:rsidTr="0090613B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0E3E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1393C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DB566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04D49C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5D3440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AFC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6767E0" w:rsidRPr="003146A4" w14:paraId="24043583" w14:textId="77777777" w:rsidTr="0090613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061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7CB18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3A19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CBDE2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D30B0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A282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67E0" w:rsidRPr="003146A4" w14:paraId="1507B85C" w14:textId="77777777" w:rsidTr="0090613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5BA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A0D2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D6060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EC4F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47DB2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1544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67E0" w:rsidRPr="003146A4" w14:paraId="13A326F9" w14:textId="77777777" w:rsidTr="0090613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4F34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570E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F93C5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4C4AF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386D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990C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67E0" w:rsidRPr="003146A4" w14:paraId="52BE0F80" w14:textId="77777777" w:rsidTr="0090613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C81D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071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A4EC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E294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1086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A677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67E0" w:rsidRPr="003146A4" w14:paraId="3EF512DB" w14:textId="77777777" w:rsidTr="0090613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D65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4B1C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4ED4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1D2A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C1BB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E4DF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767E0" w:rsidRPr="003146A4" w14:paraId="08D07372" w14:textId="77777777" w:rsidTr="0090613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13F36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42EACA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5F7A3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6A0129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B264F" w14:textId="77777777" w:rsidR="006767E0" w:rsidRPr="003146A4" w:rsidRDefault="006767E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0B9892E" w14:textId="77777777" w:rsidR="006767E0" w:rsidRPr="003146A4" w:rsidRDefault="006767E0" w:rsidP="0090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2B7C90FD" w14:textId="77777777" w:rsidR="006767E0" w:rsidRDefault="006767E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FA8558" w14:textId="15EFF387" w:rsidR="007D5748" w:rsidRPr="003146A4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54DA8092" w14:textId="77777777" w:rsidR="007D5748" w:rsidRPr="003146A4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D8347C4" w14:textId="77777777" w:rsidR="007D5748" w:rsidRPr="003146A4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1065052B" w14:textId="77777777" w:rsidR="007D5748" w:rsidRPr="003146A4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4943101B" w14:textId="77777777" w:rsidR="00EC2B2F" w:rsidRDefault="00EC2B2F" w:rsidP="00023663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FAC07D" w14:textId="77777777" w:rsidR="00023663" w:rsidRPr="000574E7" w:rsidRDefault="00023663" w:rsidP="00023663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0574E7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Tabuľka č. 4/A </w:t>
      </w:r>
    </w:p>
    <w:p w14:paraId="5DB77C10" w14:textId="77777777" w:rsidR="00023663" w:rsidRPr="003146A4" w:rsidRDefault="00023663" w:rsidP="0002366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3146A4" w:rsidRPr="003146A4" w14:paraId="1B0DC14B" w14:textId="77777777" w:rsidTr="008C786F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F4701" w14:textId="54BC92CA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 w:rsidR="006239F3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6239F3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MŠVVaM</w:t>
            </w:r>
            <w:proofErr w:type="spellEnd"/>
            <w:r w:rsidR="006239F3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SR</w:t>
            </w:r>
            <w:r w:rsidR="00E57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***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F3DF5C" w14:textId="77777777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CC98C6" w14:textId="77777777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146A4" w:rsidRPr="003146A4" w14:paraId="070148F5" w14:textId="77777777" w:rsidTr="008C786F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BD1A28" w14:textId="77777777" w:rsidR="00023663" w:rsidRPr="003146A4" w:rsidRDefault="00023663" w:rsidP="008C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16E69" w14:textId="3B08F742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  <w:r w:rsidR="002A59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591FA" w14:textId="3F150324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8E09E0" w14:textId="1D3D3DEB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1D98FC" w14:textId="6BCA1AC0" w:rsidR="00023663" w:rsidRPr="003146A4" w:rsidRDefault="00023663" w:rsidP="008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7BF" w14:textId="77777777" w:rsidR="00023663" w:rsidRPr="003146A4" w:rsidRDefault="00023663" w:rsidP="008C7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D0042D" w:rsidRPr="003146A4" w14:paraId="07B16C28" w14:textId="77777777" w:rsidTr="00D0042D">
        <w:trPr>
          <w:trHeight w:val="31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85D1" w14:textId="77777777" w:rsidR="00D0042D" w:rsidRPr="003146A4" w:rsidRDefault="00D0042D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4" w:name="_Hlk162266532"/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8035" w14:textId="0C8D9B78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60 000 000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76ED" w14:textId="6627DC95" w:rsidR="00D0042D" w:rsidRPr="00D0042D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99 306 578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3DBD" w14:textId="7764A4FE" w:rsidR="00D0042D" w:rsidRPr="00D0042D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100 008 986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34C1" w14:textId="795DFFE4" w:rsidR="00D0042D" w:rsidRPr="00D0042D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100 830 993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B9B0" w14:textId="77777777" w:rsidR="00D0042D" w:rsidRPr="003146A4" w:rsidRDefault="00D0042D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bookmarkEnd w:id="4"/>
      <w:tr w:rsidR="003146A4" w:rsidRPr="003146A4" w14:paraId="3C09086C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E7E" w14:textId="77777777" w:rsidR="00023663" w:rsidRPr="003146A4" w:rsidRDefault="00023663" w:rsidP="000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F7F2" w14:textId="14644807" w:rsidR="00023663" w:rsidRPr="00FA54BC" w:rsidRDefault="00FA54BC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A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3 405 959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E664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5E3F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8183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54445" w14:textId="77777777" w:rsidR="00023663" w:rsidRPr="003146A4" w:rsidRDefault="00023663" w:rsidP="0002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1C54B9FE" w14:textId="77777777" w:rsidTr="004A3DF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CA7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9F35" w14:textId="33E3BAD2" w:rsidR="00774265" w:rsidRPr="00FA54BC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A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1 190 383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743F" w14:textId="272D8177" w:rsidR="00774265" w:rsidRPr="00774265" w:rsidRDefault="00774265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3 063 794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4D02" w14:textId="1A2F825B" w:rsidR="00774265" w:rsidRPr="00774265" w:rsidRDefault="00774265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3 086 342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2171" w14:textId="7EBD526B" w:rsidR="00774265" w:rsidRPr="00774265" w:rsidRDefault="00774265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3 113 308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1AC1D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549AFD68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6A6" w14:textId="77777777" w:rsidR="00023663" w:rsidRPr="003146A4" w:rsidRDefault="00023663" w:rsidP="008C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30B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06D6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116A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E8E5" w14:textId="77777777" w:rsidR="00023663" w:rsidRPr="003146A4" w:rsidRDefault="00023663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8DC7" w14:textId="77777777" w:rsidR="00023663" w:rsidRPr="003146A4" w:rsidRDefault="00023663" w:rsidP="008C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A3DF3" w:rsidRPr="003146A4" w14:paraId="3C43D20B" w14:textId="77777777" w:rsidTr="004A3DF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132" w14:textId="77777777" w:rsidR="004A3DF3" w:rsidRPr="003146A4" w:rsidRDefault="004A3DF3" w:rsidP="004A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spolu (640)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4E1B7304" w14:textId="77777777" w:rsidR="004A3DF3" w:rsidRPr="003146A4" w:rsidRDefault="004A3DF3" w:rsidP="004A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v tom: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30DB" w14:textId="300FA7A5" w:rsidR="004A3DF3" w:rsidRPr="003146A4" w:rsidRDefault="004A3DF3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55 403 658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F136" w14:textId="793B33CD" w:rsidR="004A3DF3" w:rsidRPr="003146A4" w:rsidRDefault="004A3DF3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A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96 242 784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9289" w14:textId="6946B87C" w:rsidR="004A3DF3" w:rsidRPr="003146A4" w:rsidRDefault="004A3DF3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A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96 922 645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7D83" w14:textId="4A799407" w:rsidR="004A3DF3" w:rsidRPr="003146A4" w:rsidRDefault="004A3DF3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A3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97 717 685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61296" w14:textId="77777777" w:rsidR="004A3DF3" w:rsidRPr="003146A4" w:rsidRDefault="004A3DF3" w:rsidP="004A3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414AB" w:rsidRPr="003146A4" w14:paraId="6E92DDFD" w14:textId="77777777" w:rsidTr="006414AB">
        <w:trPr>
          <w:trHeight w:val="34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9C3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088C" w14:textId="2E448EF8" w:rsidR="006414AB" w:rsidRPr="003146A4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31 690 718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9A02" w14:textId="1F3CDC51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61 354 443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0C94" w14:textId="3D98194C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61 780 254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590A" w14:textId="56B5FBA9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62 273 182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B538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414AB" w:rsidRPr="003146A4" w14:paraId="4B84A33C" w14:textId="77777777" w:rsidTr="006414AB">
        <w:trPr>
          <w:trHeight w:val="34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190A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5E4A" w14:textId="6F046B5A" w:rsidR="006414AB" w:rsidRPr="003146A4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5 945 038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0591" w14:textId="5734F712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15 304 888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467E" w14:textId="1C688FAB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15 417 579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402A" w14:textId="5BFE4B5E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15 552 387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76C7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414AB" w:rsidRPr="003146A4" w14:paraId="51D43037" w14:textId="77777777" w:rsidTr="006414A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0DA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6CB0" w14:textId="314C0CA5" w:rsidR="006414AB" w:rsidRPr="003146A4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4 235 881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E45F8" w14:textId="655739B6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6 150 197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377A" w14:textId="6E482622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6 193 724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21F4" w14:textId="54D628E2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6 244 681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774A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414AB" w:rsidRPr="003146A4" w14:paraId="1F0261F8" w14:textId="77777777" w:rsidTr="006414A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21E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4791" w14:textId="47A20049" w:rsidR="006414AB" w:rsidRPr="003146A4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3 532 021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6A62" w14:textId="7CA453D4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8 083 971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E9E0" w14:textId="396A62F5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8 142 434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F9AA" w14:textId="14C88E22" w:rsidR="006414AB" w:rsidRPr="00774265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8 211 700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BA695" w14:textId="77777777" w:rsidR="006414AB" w:rsidRPr="003146A4" w:rsidRDefault="006414AB" w:rsidP="00641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1F267C96" w14:textId="77777777" w:rsidTr="004A3DF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37A4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7288" w14:textId="719A5EF2" w:rsidR="00774265" w:rsidRPr="00FA54BC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A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B116" w14:textId="395DDA72" w:rsidR="00774265" w:rsidRPr="00774265" w:rsidRDefault="00774265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5 349 286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5F20" w14:textId="5E0D4F13" w:rsidR="00774265" w:rsidRPr="00774265" w:rsidRDefault="00774265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5 388 653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290F" w14:textId="60656353" w:rsidR="00774265" w:rsidRPr="00774265" w:rsidRDefault="00774265" w:rsidP="004A3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5 435 735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22DDE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7AA17C6D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3F4A" w14:textId="77777777" w:rsidR="00023663" w:rsidRPr="003146A4" w:rsidRDefault="00023663" w:rsidP="008C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46A4">
              <w:t xml:space="preserve"> 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C796" w14:textId="71FDBCD4" w:rsidR="00023663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86D5" w14:textId="77777777" w:rsidR="00023663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5BD7" w14:textId="77777777" w:rsidR="00023663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255E" w14:textId="77777777" w:rsidR="00023663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4DF4" w14:textId="77777777" w:rsidR="00023663" w:rsidRPr="003146A4" w:rsidRDefault="00023663" w:rsidP="008C7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132A7DE0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C4B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351D" w14:textId="2E41F712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7865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92E1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B9EC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F7A10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27FCBF4C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77B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0DD" w14:textId="33B0304D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D654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14FA0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7163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A8A5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77D69A84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C1B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(721006)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74F4" w14:textId="0939CDBF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7082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0A16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C62F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CAE5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0E822A68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64C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A4A0" w14:textId="0996CEB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6112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CC4D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7ADE" w14:textId="77777777" w:rsidR="00373BDD" w:rsidRPr="003146A4" w:rsidRDefault="00373BD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A68C4" w14:textId="77777777" w:rsidR="00373BDD" w:rsidRPr="003146A4" w:rsidRDefault="00373BDD" w:rsidP="0037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D0E82" w:rsidRPr="003146A4" w14:paraId="499A9638" w14:textId="77777777" w:rsidTr="006414A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18D5B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8B106" w14:textId="7984EA0A" w:rsidR="001D0E82" w:rsidRPr="003146A4" w:rsidRDefault="001D0E82" w:rsidP="001D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60 000 000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6C32A3" w14:textId="4E0E4A82" w:rsidR="001D0E82" w:rsidRPr="001D0E82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99 641 957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F49A4" w14:textId="4DA28038" w:rsidR="001D0E82" w:rsidRPr="001D0E82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100 345 734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18FBC8" w14:textId="06B9BB61" w:rsidR="001D0E82" w:rsidRPr="001D0E82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101 168 680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1801461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00ED43F" w14:textId="77777777" w:rsidR="00E57757" w:rsidRDefault="00E57757" w:rsidP="00023663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81B909" w14:textId="16540349" w:rsidR="00023663" w:rsidRPr="003146A4" w:rsidRDefault="00023663" w:rsidP="00023663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6DA46E2D" w14:textId="77777777" w:rsidR="00023663" w:rsidRPr="003146A4" w:rsidRDefault="00082432" w:rsidP="00023663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181</w:t>
      </w:r>
    </w:p>
    <w:p w14:paraId="0B29B11B" w14:textId="77777777" w:rsidR="00E57757" w:rsidRDefault="00023663" w:rsidP="00023663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  <w:r w:rsidR="002A5931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** Rozpis v zmysle prideleného rozpočtu.</w:t>
      </w:r>
      <w:r w:rsidR="00E5775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</w:p>
    <w:p w14:paraId="5823A15E" w14:textId="29AC8AC3" w:rsidR="00023663" w:rsidRPr="002A5931" w:rsidRDefault="00E57757" w:rsidP="00023663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***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 týchto kalkuláciách sa ráta, že príspevok bude predmetom dane a odvodov.</w:t>
      </w:r>
    </w:p>
    <w:p w14:paraId="69F27813" w14:textId="0D5DA648" w:rsidR="00082432" w:rsidRDefault="00082432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C0DAB1" w14:textId="6D929D87" w:rsidR="00D0042D" w:rsidRDefault="00D0042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0042D" w:rsidRPr="003146A4" w14:paraId="6AE83C40" w14:textId="77777777" w:rsidTr="00321D5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2853FA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 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PSVaR 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2A7890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5FDE84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0042D" w:rsidRPr="003146A4" w14:paraId="14D0504F" w14:textId="77777777" w:rsidTr="00321D5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C5C55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4F1718" w14:textId="733C90A8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5FB57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F809C1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B0017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711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D0042D" w:rsidRPr="003146A4" w14:paraId="239D0D16" w14:textId="77777777" w:rsidTr="00D0042D">
        <w:trPr>
          <w:trHeight w:val="31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4F8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66F65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6376" w14:textId="77777777" w:rsidR="00D0042D" w:rsidRPr="000E2431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E2431">
              <w:rPr>
                <w:rFonts w:ascii="Times New Roman" w:hAnsi="Times New Roman" w:cs="Times New Roman"/>
                <w:b/>
                <w:iCs/>
                <w:color w:val="000000"/>
                <w:sz w:val="20"/>
              </w:rPr>
              <w:t>109 014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83C1" w14:textId="77777777" w:rsidR="00D0042D" w:rsidRPr="000E2431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E2431">
              <w:rPr>
                <w:rFonts w:ascii="Times New Roman" w:hAnsi="Times New Roman" w:cs="Times New Roman"/>
                <w:b/>
                <w:iCs/>
                <w:color w:val="000000"/>
                <w:sz w:val="20"/>
              </w:rPr>
              <w:t>109 459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4D72" w14:textId="77777777" w:rsidR="00D0042D" w:rsidRPr="000E2431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E2431">
              <w:rPr>
                <w:rFonts w:ascii="Times New Roman" w:hAnsi="Times New Roman" w:cs="Times New Roman"/>
                <w:b/>
                <w:iCs/>
                <w:color w:val="000000"/>
                <w:sz w:val="20"/>
              </w:rPr>
              <w:t>109 765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6C915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57CFFB80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264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3884" w14:textId="77777777" w:rsidR="00D0042D" w:rsidRPr="00FA54BC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1942" w14:textId="77777777" w:rsidR="00D0042D" w:rsidRPr="00632C76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FC2D" w14:textId="77777777" w:rsidR="00D0042D" w:rsidRPr="00632C76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2649" w14:textId="77777777" w:rsidR="00D0042D" w:rsidRPr="00632C76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937C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5E75" w:rsidRPr="003146A4" w14:paraId="34D37DD5" w14:textId="77777777" w:rsidTr="00845E7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637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bookmarkStart w:id="5" w:name="_GoBack"/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Poistné a príspevok do poisťovní (620)</w:t>
            </w:r>
            <w:bookmarkEnd w:id="5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B837" w14:textId="77777777" w:rsidR="00845E75" w:rsidRPr="00FA54BC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06D2" w14:textId="51E44D52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39 700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9568" w14:textId="7A27C2F1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39 862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9EEE" w14:textId="4789FB3E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39 973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FCBB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33983952" w14:textId="77777777" w:rsidTr="00845E7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D6F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08FB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8756" w14:textId="77777777" w:rsidR="00D0042D" w:rsidRPr="0077426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B559" w14:textId="77777777" w:rsidR="00D0042D" w:rsidRPr="0077426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FFA2" w14:textId="77777777" w:rsidR="00D0042D" w:rsidRPr="0077426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BDB3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5E75" w:rsidRPr="003146A4" w14:paraId="63381411" w14:textId="77777777" w:rsidTr="00845E7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97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spolu (640)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17AB45D7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v tom: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FBAF" w14:textId="77777777" w:rsidR="00845E75" w:rsidRPr="003146A4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335B" w14:textId="0A4E0685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4E82C" w14:textId="7BC73774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BD014" w14:textId="453039A5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69 792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5EEA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172AE21B" w14:textId="77777777" w:rsidTr="00845E75">
        <w:trPr>
          <w:trHeight w:val="34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0F1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C58C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908F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8BCD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06C0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CADF8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745BA9B4" w14:textId="77777777" w:rsidTr="00845E75">
        <w:trPr>
          <w:trHeight w:val="34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592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01FB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CE242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E348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C0AD0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7963F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02B03BDF" w14:textId="77777777" w:rsidTr="00845E7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EC8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3A2F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C35D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99A8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97D2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52AC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20A6DD0C" w14:textId="77777777" w:rsidTr="00845E7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402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DAD6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0082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60FA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4A49" w14:textId="77777777" w:rsidR="00D0042D" w:rsidRPr="00845E75" w:rsidRDefault="00D0042D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45E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A8EA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45E75" w:rsidRPr="003146A4" w14:paraId="67417F95" w14:textId="77777777" w:rsidTr="00845E7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623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642 014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012" w14:textId="77777777" w:rsidR="00845E75" w:rsidRPr="00FA54BC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A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56D4" w14:textId="7F8692F9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107C" w14:textId="5A05567E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1621" w14:textId="74A2E7A0" w:rsidR="00845E75" w:rsidRPr="00774265" w:rsidRDefault="00845E75" w:rsidP="0084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69 792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7A27E" w14:textId="77777777" w:rsidR="00845E75" w:rsidRPr="003146A4" w:rsidRDefault="00845E75" w:rsidP="00845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3D4598A7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FBA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46A4">
              <w:t xml:space="preserve"> 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5249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B40D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4863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ECF0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9671E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76A77853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25B2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EE22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91B3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69E6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8FA5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86C8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1DD4F528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7E9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1D96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AFD9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060D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020D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AB0D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5C042687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482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(721006)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A2D0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D942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8EB2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14B6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5FFD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43CAC64C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D09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FCA4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E629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90C8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12FC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F2E95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D0E82" w:rsidRPr="003146A4" w14:paraId="1DAEEB34" w14:textId="77777777" w:rsidTr="006414A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625FA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BD5E4" w14:textId="2B97D9FE" w:rsidR="001D0E82" w:rsidRPr="003146A4" w:rsidRDefault="006414AB" w:rsidP="001D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60 000 000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995F27" w14:textId="47EB6B02" w:rsidR="001D0E82" w:rsidRPr="00D0042D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99 641 957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40E0C" w14:textId="7E54D27B" w:rsidR="001D0E82" w:rsidRPr="00D0042D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100 345 734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FBA2A7" w14:textId="1D5CF08B" w:rsidR="001D0E82" w:rsidRPr="00D0042D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101 168 680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F9B8E4C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CB22D18" w14:textId="582CE48E" w:rsidR="00D0042D" w:rsidRDefault="00D0042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D0042D" w:rsidRPr="003146A4" w14:paraId="28650E89" w14:textId="77777777" w:rsidTr="00321D5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40F71" w14:textId="349F5B13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 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712376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6A55A9" w14:textId="77777777" w:rsidR="00D0042D" w:rsidRPr="003146A4" w:rsidRDefault="00D0042D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0042D" w:rsidRPr="003146A4" w14:paraId="3FDD9005" w14:textId="77777777" w:rsidTr="00D0042D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B64F4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8CAD8C" w14:textId="39F4C5AF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AA396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26F28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BF3E2E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2CB9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D0042D" w:rsidRPr="003146A4" w14:paraId="380D6564" w14:textId="77777777" w:rsidTr="00D0042D">
        <w:trPr>
          <w:trHeight w:val="31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F5A" w14:textId="77777777" w:rsidR="00D0042D" w:rsidRPr="003146A4" w:rsidRDefault="00D0042D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19E0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7978" w14:textId="398273A4" w:rsidR="00D0042D" w:rsidRPr="00D0042D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226 364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DB4B" w14:textId="4784B212" w:rsidR="00D0042D" w:rsidRPr="00D0042D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227 288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98E6" w14:textId="2C568B13" w:rsidR="00D0042D" w:rsidRPr="00D0042D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042D">
              <w:rPr>
                <w:rFonts w:ascii="Times New Roman" w:hAnsi="Times New Roman" w:cs="Times New Roman"/>
                <w:b/>
                <w:sz w:val="20"/>
                <w:szCs w:val="20"/>
              </w:rPr>
              <w:t>227 922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826E" w14:textId="77777777" w:rsidR="00D0042D" w:rsidRPr="003146A4" w:rsidRDefault="00D0042D" w:rsidP="00D0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6FE5C11D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657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AFB7" w14:textId="77777777" w:rsidR="00D0042D" w:rsidRPr="00FA54BC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DFE9" w14:textId="77777777" w:rsidR="00D0042D" w:rsidRPr="00632C76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E514" w14:textId="77777777" w:rsidR="00D0042D" w:rsidRPr="00632C76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1EA2" w14:textId="77777777" w:rsidR="00D0042D" w:rsidRPr="00632C76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91C0C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75974C56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DAF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EEFE" w14:textId="77777777" w:rsidR="00774265" w:rsidRPr="00FA54BC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801B" w14:textId="756B9753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82 435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7323" w14:textId="019F42D0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82 772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CBB3" w14:textId="12BDDEC0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83 003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5E87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672E65EF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3A4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02EC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D121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BE12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A5A3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D23AC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6A1A2258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39A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spolu (640)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553F0CB8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v tom: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DFC2" w14:textId="77777777" w:rsidR="00774265" w:rsidRPr="003146A4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0B69" w14:textId="2A79DEB0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143 929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B7BF" w14:textId="3CDAC4F8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1D37" w14:textId="6EC16371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144 920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D8027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0B458C6D" w14:textId="77777777" w:rsidTr="00774265">
        <w:trPr>
          <w:trHeight w:val="34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36E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D74C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4B42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1C36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1990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69E6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3E8BB061" w14:textId="77777777" w:rsidTr="00774265">
        <w:trPr>
          <w:trHeight w:val="344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58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AF07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8F2F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F0CA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52D2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B092B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160D3255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973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4CF3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B449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1C3A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B064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9C592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41107F16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483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30D2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A9DA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E790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B5135" w14:textId="77777777" w:rsidR="00D0042D" w:rsidRPr="00774265" w:rsidRDefault="00D0042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74C8C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13525A54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3BDF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9B6C" w14:textId="77777777" w:rsidR="00774265" w:rsidRPr="00FA54BC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A54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6E07" w14:textId="7EF6A203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143 929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9DCAF" w14:textId="1182A59D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ECC3" w14:textId="28131DB3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144 920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9761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18EFF8EE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62E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46A4">
              <w:t xml:space="preserve"> 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9FF5B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2E6E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3323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A541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5281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05E036E4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2AD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AF3DF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A7B9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4BD5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0C3C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3C55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0042D" w:rsidRPr="003146A4" w14:paraId="60FCFD8F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A2D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ED4E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A294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C80F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9514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11DC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4CD471A2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294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(721006)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ECBB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8A2A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4AFF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D508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56D1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0042D" w:rsidRPr="003146A4" w14:paraId="35011482" w14:textId="77777777" w:rsidTr="00D0042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84D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BA48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51B7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D989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2094" w14:textId="77777777" w:rsidR="00D0042D" w:rsidRPr="003146A4" w:rsidRDefault="00D0042D" w:rsidP="00D0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0B65E" w14:textId="77777777" w:rsidR="00D0042D" w:rsidRPr="003146A4" w:rsidRDefault="00D0042D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D0E82" w:rsidRPr="003146A4" w14:paraId="0C2B2A79" w14:textId="77777777" w:rsidTr="006414A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C8956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AD4E02" w14:textId="2C2AF647" w:rsidR="001D0E82" w:rsidRPr="003146A4" w:rsidRDefault="006414AB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60 000 000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966B2F" w14:textId="5A86F635" w:rsidR="001D0E82" w:rsidRPr="00D0042D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99 641 957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9AB65B" w14:textId="4DBEFC91" w:rsidR="001D0E82" w:rsidRPr="00D0042D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100 345 734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27117" w14:textId="2657E8C2" w:rsidR="001D0E82" w:rsidRPr="00D0042D" w:rsidRDefault="001D0E82" w:rsidP="0064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sk-SK"/>
              </w:rPr>
            </w:pPr>
            <w:r w:rsidRPr="001D0E82">
              <w:rPr>
                <w:rFonts w:ascii="Times New Roman" w:hAnsi="Times New Roman" w:cs="Times New Roman"/>
                <w:b/>
                <w:sz w:val="20"/>
                <w:szCs w:val="20"/>
              </w:rPr>
              <w:t>101 168 680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8C94363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D4903D0" w14:textId="77777777" w:rsidR="00D0042D" w:rsidRDefault="00D0042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53794DE" w14:textId="1056CDF6" w:rsidR="00D0042D" w:rsidRDefault="00D0042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D280A84" w14:textId="77777777" w:rsidR="00D0042D" w:rsidRPr="003146A4" w:rsidRDefault="00D0042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10A9B75" w14:textId="77777777" w:rsidR="00B801BA" w:rsidRPr="003146A4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3146A4" w:rsidRPr="003146A4" w14:paraId="6A07550B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FA8EE0" w14:textId="77777777" w:rsidR="00440A16" w:rsidRPr="003146A4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Vplyvy</w:t>
            </w:r>
            <w:r w:rsidR="003408F5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(v metodike ESA 2010</w:t>
            </w:r>
            <w:r w:rsidR="00440A16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  <w:r w:rsidR="006239F3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MŠVVaM 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80A21" w14:textId="77777777" w:rsidR="00440A16" w:rsidRPr="003146A4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3408F5"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B97D43" w14:textId="77777777" w:rsidR="00440A16" w:rsidRPr="003146A4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146A4" w:rsidRPr="003146A4" w14:paraId="0BC8A11C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681CE" w14:textId="77777777" w:rsidR="00532A92" w:rsidRPr="003146A4" w:rsidRDefault="00532A92" w:rsidP="00532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E8A83" w14:textId="7807EBCD" w:rsidR="00532A92" w:rsidRPr="003146A4" w:rsidRDefault="00532A92" w:rsidP="0053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D492CA" w14:textId="62EE12A7" w:rsidR="00532A92" w:rsidRPr="003146A4" w:rsidRDefault="00532A92" w:rsidP="0053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1028FF" w14:textId="624E822F" w:rsidR="00532A92" w:rsidRPr="003146A4" w:rsidRDefault="00532A92" w:rsidP="0053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1A1C5" w14:textId="78E52607" w:rsidR="00532A92" w:rsidRPr="003146A4" w:rsidRDefault="00532A92" w:rsidP="0053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1F5" w14:textId="77777777" w:rsidR="00532A92" w:rsidRPr="003146A4" w:rsidRDefault="00532A92" w:rsidP="00532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146A4" w:rsidRPr="003146A4" w14:paraId="7141A357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F21" w14:textId="77777777" w:rsidR="00F20986" w:rsidRPr="003146A4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320D" w14:textId="77777777" w:rsidR="00F20986" w:rsidRPr="00774265" w:rsidRDefault="00D35601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1E5A" w14:textId="77777777" w:rsidR="00F20986" w:rsidRPr="00774265" w:rsidRDefault="0071763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1F75" w14:textId="77777777" w:rsidR="00F20986" w:rsidRPr="00774265" w:rsidRDefault="0071763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D79F" w14:textId="77777777" w:rsidR="00F20986" w:rsidRPr="00774265" w:rsidRDefault="0071763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8BC03" w14:textId="77777777" w:rsidR="00F20986" w:rsidRPr="003146A4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D0E82" w:rsidRPr="003146A4" w14:paraId="7E3989B1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24E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45C" w14:textId="77777777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6829" w14:textId="558DE952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39 306 578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C575" w14:textId="7A873084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40 008 986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0E2C" w14:textId="22CAD01D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40 830 993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5A6C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1078F23E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ECE" w14:textId="77777777" w:rsidR="002260B0" w:rsidRPr="003146A4" w:rsidRDefault="002260B0" w:rsidP="0022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DFEC" w14:textId="77777777" w:rsidR="002260B0" w:rsidRPr="00774265" w:rsidRDefault="002260B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2538" w14:textId="77777777" w:rsidR="002260B0" w:rsidRPr="00774265" w:rsidRDefault="002260B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BE51" w14:textId="77777777" w:rsidR="002260B0" w:rsidRPr="00774265" w:rsidRDefault="002260B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15B3" w14:textId="77777777" w:rsidR="002260B0" w:rsidRPr="00774265" w:rsidRDefault="002260B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39A3" w14:textId="77777777" w:rsidR="002260B0" w:rsidRPr="003146A4" w:rsidRDefault="002260B0" w:rsidP="00226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5EF2" w:rsidRPr="003146A4" w14:paraId="68EBFFD4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7B4" w14:textId="77777777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9A30" w14:textId="77777777" w:rsidR="00105EF2" w:rsidRPr="00774265" w:rsidRDefault="00105EF2" w:rsidP="001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0D4F" w14:textId="1F8E3ABD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1 212 682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582DD" w14:textId="207FA42D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1 234 703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A3918" w14:textId="7589C50E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1 260 718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1B46" w14:textId="77777777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1D8166B8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5915" w14:textId="77777777" w:rsidR="00440A16" w:rsidRPr="003146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5823" w14:textId="77777777" w:rsidR="00440A16" w:rsidRPr="00774265" w:rsidRDefault="0071763D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22AEF" w14:textId="77777777" w:rsidR="00440A16" w:rsidRPr="00105EF2" w:rsidRDefault="0071763D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BBCF" w14:textId="77777777" w:rsidR="00440A16" w:rsidRPr="00105EF2" w:rsidRDefault="0071763D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DBC0" w14:textId="77777777" w:rsidR="00440A16" w:rsidRPr="00105EF2" w:rsidRDefault="0071763D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2FA3" w14:textId="77777777" w:rsidR="00440A16" w:rsidRPr="003146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05EF2" w:rsidRPr="003146A4" w14:paraId="3691EB10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6E8" w14:textId="77777777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Bežné transfery spolu (640)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42CE7F63" w14:textId="7843E049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v tom: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E025" w14:textId="77777777" w:rsidR="00105EF2" w:rsidRPr="00774265" w:rsidRDefault="00105EF2" w:rsidP="001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A37D" w14:textId="277F2F4A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38 093 897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C728" w14:textId="748081A2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38 774 283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0DB7" w14:textId="16F86241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39 570 275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0A90" w14:textId="77777777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D0E82" w:rsidRPr="003146A4" w14:paraId="68BA6905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9DC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5D9F" w14:textId="77777777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684A" w14:textId="3F7C4406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24 284 728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BC52" w14:textId="4E685D6F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24 715 432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5CAB" w14:textId="54D6AD69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25 217 205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05E2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D0E82" w:rsidRPr="003146A4" w14:paraId="2AEA06EF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E51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6C9AD" w14:textId="77777777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B9EE" w14:textId="632FA63B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6 057 834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AF42" w14:textId="13BCE084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6 167 863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61FA" w14:textId="5B05838B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6 297 859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75FB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D0E82" w:rsidRPr="003146A4" w14:paraId="64DACB98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61D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07D4" w14:textId="77777777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1C12" w14:textId="3D0F3C16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2 434 312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A008" w14:textId="48CD556E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2 477 824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CF1" w14:textId="7DF3CAEA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2 528 751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7F92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D0E82" w:rsidRPr="003146A4" w14:paraId="18F1BE5F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1F7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F236" w14:textId="77777777" w:rsidR="001D0E82" w:rsidRPr="00774265" w:rsidRDefault="001D0E82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E786" w14:textId="32F34381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3 199 720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B45A" w14:textId="5387B789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3 257 413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D522" w14:textId="3CA46F37" w:rsidR="001D0E82" w:rsidRPr="00105EF2" w:rsidRDefault="001D0E8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3 325 286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75DAF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05EF2" w:rsidRPr="003146A4" w14:paraId="243E19F0" w14:textId="77777777" w:rsidTr="00105EF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40B" w14:textId="77777777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FFF2" w14:textId="77777777" w:rsidR="00105EF2" w:rsidRPr="00774265" w:rsidRDefault="00105EF2" w:rsidP="001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B85D" w14:textId="4DB875E6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2 117 303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8C46" w14:textId="035E7DA6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2 155 752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0DA7" w14:textId="350582E0" w:rsidR="00105EF2" w:rsidRPr="00105EF2" w:rsidRDefault="00105EF2" w:rsidP="00105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5E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2 201 173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B0A9" w14:textId="77777777" w:rsidR="00105EF2" w:rsidRPr="003146A4" w:rsidRDefault="00105EF2" w:rsidP="0010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580015F3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E28" w14:textId="77777777" w:rsidR="004D2460" w:rsidRPr="003146A4" w:rsidRDefault="004D2460" w:rsidP="004D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46A4">
              <w:t xml:space="preserve"> 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99CC" w14:textId="77777777" w:rsidR="004D2460" w:rsidRPr="00774265" w:rsidRDefault="004D24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E4EC" w14:textId="77777777" w:rsidR="004D2460" w:rsidRPr="00774265" w:rsidRDefault="004D24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2C50" w14:textId="77777777" w:rsidR="004D2460" w:rsidRPr="00774265" w:rsidRDefault="004D24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FF90" w14:textId="77777777" w:rsidR="004D2460" w:rsidRPr="00774265" w:rsidRDefault="004D24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EC97" w14:textId="77777777" w:rsidR="004D2460" w:rsidRPr="003146A4" w:rsidRDefault="004D2460" w:rsidP="004D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5C13689C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4DB" w14:textId="77777777" w:rsidR="00F84B8F" w:rsidRPr="003146A4" w:rsidRDefault="00F84B8F" w:rsidP="00F84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266A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7479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EFC5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19AE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FC22" w14:textId="77777777" w:rsidR="00F84B8F" w:rsidRPr="003146A4" w:rsidRDefault="00F84B8F" w:rsidP="00F8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71F8F3F0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14B7" w14:textId="77777777" w:rsidR="00F84B8F" w:rsidRPr="003146A4" w:rsidRDefault="00F84B8F" w:rsidP="00F8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ADD7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C03B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A14E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E935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4EC0" w14:textId="77777777" w:rsidR="00F84B8F" w:rsidRPr="003146A4" w:rsidRDefault="00F84B8F" w:rsidP="00F8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14F0C6BA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65F" w14:textId="77777777" w:rsidR="00F84B8F" w:rsidRPr="003146A4" w:rsidRDefault="00F84B8F" w:rsidP="00F8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C1D6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E1B2A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DBA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DFBF" w14:textId="77777777" w:rsidR="00F84B8F" w:rsidRPr="00774265" w:rsidRDefault="00F84B8F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480DE" w14:textId="77777777" w:rsidR="00F84B8F" w:rsidRPr="003146A4" w:rsidRDefault="00F84B8F" w:rsidP="00F84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D0E82" w:rsidRPr="003146A4" w14:paraId="1A857B4F" w14:textId="77777777" w:rsidTr="00321D5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048DA2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BA654D" w14:textId="77777777" w:rsidR="001D0E82" w:rsidRPr="003146A4" w:rsidRDefault="001D0E82" w:rsidP="001D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CD3914" w14:textId="123FDFA1" w:rsidR="001D0E82" w:rsidRPr="001D0E82" w:rsidRDefault="001D0E82" w:rsidP="001D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D0E82">
              <w:rPr>
                <w:b/>
              </w:rPr>
              <w:t xml:space="preserve"> 39 641 957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1382B7" w14:textId="4B8B14F4" w:rsidR="001D0E82" w:rsidRPr="001D0E82" w:rsidRDefault="001D0E82" w:rsidP="001D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D0E82">
              <w:rPr>
                <w:b/>
              </w:rPr>
              <w:t xml:space="preserve"> 40 345 734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8A8724" w14:textId="3D5DA3FE" w:rsidR="001D0E82" w:rsidRPr="001D0E82" w:rsidRDefault="001D0E82" w:rsidP="001D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D0E82">
              <w:rPr>
                <w:b/>
              </w:rPr>
              <w:t xml:space="preserve"> 41 168 680  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E6F2FB1" w14:textId="77777777" w:rsidR="001D0E82" w:rsidRPr="003146A4" w:rsidRDefault="001D0E82" w:rsidP="001D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DD84FA8" w14:textId="60F49DA9" w:rsidR="003408F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2 –  výdavky rozpísať až do </w:t>
      </w:r>
      <w:r w:rsidR="00F20986"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pod</w:t>
      </w: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položiek platnej ekonomickej klasifikácie</w:t>
      </w:r>
    </w:p>
    <w:p w14:paraId="23515914" w14:textId="77777777" w:rsidR="006414AB" w:rsidRPr="003146A4" w:rsidRDefault="006414AB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6414AB" w:rsidRPr="003146A4" w14:paraId="7AABC9C0" w14:textId="77777777" w:rsidTr="00321D5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099270" w14:textId="5DDF7265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 (v metodike ESA 2010)  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PSVaR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43BA51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4F70EB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6414AB" w:rsidRPr="003146A4" w14:paraId="7AEA6464" w14:textId="77777777" w:rsidTr="00321D5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7CE8D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6BBE2E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BC513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7445FE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ADDDD1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6BC6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6414AB" w:rsidRPr="003146A4" w14:paraId="04DB1EDC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BE3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0B2C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F6A4F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0B94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ED0D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90615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2A02383F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F7B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22F6A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C768" w14:textId="6E59D6F1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iCs/>
                <w:color w:val="000000"/>
                <w:sz w:val="20"/>
              </w:rPr>
              <w:t>109 014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A8B6" w14:textId="672414E0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iCs/>
                <w:color w:val="000000"/>
                <w:sz w:val="20"/>
              </w:rPr>
              <w:t>109 459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3659" w14:textId="6DB14BB0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iCs/>
                <w:color w:val="000000"/>
                <w:sz w:val="20"/>
              </w:rPr>
              <w:t>109 765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59AD9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4F0FAA95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9251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0791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0CDB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1CD3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C0BD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7F6B0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00EF754E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FE82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75AE" w14:textId="777777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4D62" w14:textId="543D07A3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39 700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72C7" w14:textId="6D80BA81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39 862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35C1" w14:textId="071BDF0A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39 973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F186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676CAC4E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9B8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6460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97E8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81BD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FD36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EDA62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5ADBFB9B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9D9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Bežné transfery spolu (640)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5B5597AE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v tom: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8E3D8" w14:textId="777777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DC6A" w14:textId="726D6E8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AD97" w14:textId="16DE68BA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66F3" w14:textId="3E16EC41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69 792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6419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4960" w:rsidRPr="003146A4" w14:paraId="6617D5B1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520F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E0BD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A3F4" w14:textId="327453C3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93B2" w14:textId="242A94B6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D526" w14:textId="2C4AD41C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0992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0B319E5D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539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B116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BA0D6" w14:textId="2911975A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17B9" w14:textId="3BCA9F9B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CFD9" w14:textId="7991C1A6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27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3ED2CCF2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0020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  642 004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70CA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D2D2" w14:textId="2640E844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D892C" w14:textId="68FB5E85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3061" w14:textId="7CACA9CE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D971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050F0AF1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45C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7C18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9A47" w14:textId="6F687112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5D8" w14:textId="265ADD7F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69A5" w14:textId="42F0558F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8A141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4265" w:rsidRPr="003146A4" w14:paraId="7CB5DDAF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83D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B7D7" w14:textId="777777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3781D" w14:textId="1030912F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D58A" w14:textId="20B66621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E348" w14:textId="02C2FFCF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69 792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F3F5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414AB" w:rsidRPr="003146A4" w14:paraId="58B83D30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8120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46A4">
              <w:t xml:space="preserve"> 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0E2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CEC65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C6EB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240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42AA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414AB" w:rsidRPr="003146A4" w14:paraId="31FA434B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B95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513F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A79E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280C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316B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DC6A3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59479BF3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32F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2219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BB67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193C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1194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1B20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7FABEF19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6E6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956D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6891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40B7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959A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2F14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0476E9D1" w14:textId="77777777" w:rsidTr="0090613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009450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4668D9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3137FC" w14:textId="60C0D9C0" w:rsidR="006414AB" w:rsidRPr="0090613B" w:rsidRDefault="006414AB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13B">
              <w:rPr>
                <w:rFonts w:ascii="Times New Roman" w:hAnsi="Times New Roman" w:cs="Times New Roman"/>
                <w:b/>
                <w:sz w:val="20"/>
                <w:szCs w:val="20"/>
              </w:rPr>
              <w:t>39 641 957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D7F5D" w14:textId="66674BEC" w:rsidR="006414AB" w:rsidRPr="0090613B" w:rsidRDefault="006414AB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13B">
              <w:rPr>
                <w:rFonts w:ascii="Times New Roman" w:hAnsi="Times New Roman" w:cs="Times New Roman"/>
                <w:b/>
                <w:sz w:val="20"/>
                <w:szCs w:val="20"/>
              </w:rPr>
              <w:t>40 345 734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4BCAD6" w14:textId="43522B2D" w:rsidR="006414AB" w:rsidRPr="0090613B" w:rsidRDefault="006414AB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13B">
              <w:rPr>
                <w:rFonts w:ascii="Times New Roman" w:hAnsi="Times New Roman" w:cs="Times New Roman"/>
                <w:b/>
                <w:sz w:val="20"/>
                <w:szCs w:val="20"/>
              </w:rPr>
              <w:t>41 168 680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B1221F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E749E39" w14:textId="02D31156" w:rsidR="003408F5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6414AB" w:rsidRPr="003146A4" w14:paraId="6722F83B" w14:textId="77777777" w:rsidTr="00321D5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3D90F" w14:textId="56C9B002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 (v metodike ESA 2010)  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</w:t>
            </w: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1B0345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593A6B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6414AB" w:rsidRPr="003146A4" w14:paraId="53C5E3D0" w14:textId="77777777" w:rsidTr="00321D5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9D5B6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A87EA1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0EECAE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9ADBB4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B520B" w14:textId="77777777" w:rsidR="006414AB" w:rsidRPr="003146A4" w:rsidRDefault="006414AB" w:rsidP="003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5F0A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6414AB" w:rsidRPr="003146A4" w14:paraId="21B4CCCC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2F4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862A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C5D6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6EA5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89DC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66F33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2134DB76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CB6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1A5A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A611" w14:textId="79CCE61A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226 364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BCEE" w14:textId="720FAEFB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227 288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DFE3" w14:textId="70BB0F81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227 922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0D2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29681B29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92D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A583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8C34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52E0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26C0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899D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4569D0C7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68B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8362" w14:textId="777777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2BFA" w14:textId="1EDE3FDE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82 435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0CCE" w14:textId="221B0F54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82 772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25C2" w14:textId="2BDCB0A5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83 003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6509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414AB" w:rsidRPr="003146A4" w14:paraId="0B7EAB70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937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9B12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FBBD5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C05B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4525" w14:textId="77777777" w:rsidR="006414AB" w:rsidRPr="00774265" w:rsidRDefault="006414AB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64700" w14:textId="77777777" w:rsidR="006414AB" w:rsidRPr="003146A4" w:rsidRDefault="006414AB" w:rsidP="003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74265" w:rsidRPr="003146A4" w14:paraId="1800A9C8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266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Bežné transfery spolu (640)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14:paraId="73941B0F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v tom: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FDA5" w14:textId="777777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6BB2" w14:textId="29A2A9D8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143 929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73D1" w14:textId="0C49944B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DEFB" w14:textId="64786F65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144 920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B3D05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4960" w:rsidRPr="003146A4" w14:paraId="785E9215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3A3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1715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45A3" w14:textId="2C2FC95E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6338" w14:textId="61B8B97B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2F7D" w14:textId="78F3B939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A794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52BF807E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E1B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641 014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B307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D8A1" w14:textId="404CEBD9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5E18" w14:textId="06B0864B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B51B" w14:textId="3915B412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A65A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77ED27EA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BA6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EC09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C8C0" w14:textId="6200AF5C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1910" w14:textId="3D1CA039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2DD7" w14:textId="10A9F3D4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7653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0A126D4E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D13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0F7C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033A" w14:textId="4F5439DB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B997" w14:textId="0E3B6E4C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9072" w14:textId="62FBC4F6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6744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4265" w:rsidRPr="003146A4" w14:paraId="0AADF44B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564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642 014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F609" w14:textId="777777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A915" w14:textId="01217E84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143 929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8775" w14:textId="65B4DF32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144 516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8505" w14:textId="3D492E77" w:rsidR="00774265" w:rsidRPr="00774265" w:rsidRDefault="00774265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hAnsi="Times New Roman" w:cs="Times New Roman"/>
                <w:b/>
                <w:sz w:val="20"/>
                <w:szCs w:val="20"/>
              </w:rPr>
              <w:t>144 920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F1DA" w14:textId="77777777" w:rsidR="00774265" w:rsidRPr="003146A4" w:rsidRDefault="00774265" w:rsidP="00774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7FF944AB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848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3146A4">
              <w:t xml:space="preserve"> 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2458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3D47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A98E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817A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91DCE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14960" w:rsidRPr="003146A4" w14:paraId="21FF1EBE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5659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627B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3D5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02A1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A292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48AD6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4960" w:rsidRPr="003146A4" w14:paraId="2592F52C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12F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F0D4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A5F1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FFD7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CD85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4F2B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4960" w:rsidRPr="003146A4" w14:paraId="10EDB4B3" w14:textId="77777777" w:rsidTr="0077426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5694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3146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2B15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8AC4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3547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C7D8" w14:textId="77777777" w:rsidR="00114960" w:rsidRPr="00774265" w:rsidRDefault="00114960" w:rsidP="0077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74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EAE9D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14960" w:rsidRPr="003146A4" w14:paraId="17F425A9" w14:textId="77777777" w:rsidTr="0090613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39ED94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C033B" w14:textId="77777777" w:rsidR="00114960" w:rsidRPr="003146A4" w:rsidRDefault="00114960" w:rsidP="0011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F4DEAD" w14:textId="71BD3609" w:rsidR="00114960" w:rsidRPr="0090613B" w:rsidRDefault="0011496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13B">
              <w:rPr>
                <w:rFonts w:ascii="Times New Roman" w:hAnsi="Times New Roman" w:cs="Times New Roman"/>
                <w:b/>
                <w:sz w:val="20"/>
                <w:szCs w:val="20"/>
              </w:rPr>
              <w:t>39 641 957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0F7096" w14:textId="59A806BD" w:rsidR="00114960" w:rsidRPr="0090613B" w:rsidRDefault="0011496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13B">
              <w:rPr>
                <w:rFonts w:ascii="Times New Roman" w:hAnsi="Times New Roman" w:cs="Times New Roman"/>
                <w:b/>
                <w:sz w:val="20"/>
                <w:szCs w:val="20"/>
              </w:rPr>
              <w:t>40 345 734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5EE6E1" w14:textId="0378CC57" w:rsidR="00114960" w:rsidRPr="0090613B" w:rsidRDefault="00114960" w:rsidP="009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0613B">
              <w:rPr>
                <w:rFonts w:ascii="Times New Roman" w:hAnsi="Times New Roman" w:cs="Times New Roman"/>
                <w:b/>
                <w:sz w:val="20"/>
                <w:szCs w:val="20"/>
              </w:rPr>
              <w:t>41 168 680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CC555F" w14:textId="77777777" w:rsidR="00114960" w:rsidRPr="003146A4" w:rsidRDefault="00114960" w:rsidP="00114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64CC523" w14:textId="77777777" w:rsidR="006414AB" w:rsidRPr="003146A4" w:rsidRDefault="006414AB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AE6C168" w14:textId="77777777" w:rsidR="003408F5" w:rsidRPr="003146A4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21967E50" w14:textId="77777777" w:rsidR="003408F5" w:rsidRPr="003146A4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25787A23" w14:textId="77777777" w:rsidR="007D5748" w:rsidRPr="003146A4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F2579A" w14:textId="77777777" w:rsidR="007D5748" w:rsidRPr="003146A4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1175BFB" w14:textId="77777777" w:rsidR="007D5748" w:rsidRPr="003146A4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6199A41" w14:textId="5F00494D" w:rsidR="007D5748" w:rsidRPr="003146A4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</w:p>
    <w:p w14:paraId="0F3F8B7B" w14:textId="77777777" w:rsidR="007D5748" w:rsidRPr="003146A4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3146A4" w:rsidRPr="003146A4" w14:paraId="1EF7E95E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D69553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2B4800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760057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146A4" w:rsidRPr="003146A4" w14:paraId="64D9349D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C073DF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9F8BF" w14:textId="290907AF" w:rsidR="007D5748" w:rsidRPr="003146A4" w:rsidRDefault="006239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387CD8" w14:textId="5A788FF3" w:rsidR="007D5748" w:rsidRPr="003146A4" w:rsidRDefault="006239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A52EC" w14:textId="5E375323" w:rsidR="007D5748" w:rsidRPr="003146A4" w:rsidRDefault="006239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EBE34D" w14:textId="0B7D5B35" w:rsidR="007D5748" w:rsidRPr="003146A4" w:rsidRDefault="006239F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7BEA53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146A4" w:rsidRPr="003146A4" w14:paraId="66BCE29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94B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CAF6B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26860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AEFD0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B63C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1F40F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0468AE5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1139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7AB66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2CEB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2E414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48949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B44D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1365D75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435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95C5C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91DB9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6160C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8D460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85731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3BBEFEA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EC2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87401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727CC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AA5A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389B" w14:textId="77777777" w:rsidR="007D5748" w:rsidRPr="003146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A5A18" w14:textId="77777777" w:rsidR="007D5748" w:rsidRPr="003146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1508E33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BD510" w14:textId="77777777" w:rsidR="00AB37A2" w:rsidRPr="003146A4" w:rsidRDefault="00AB37A2" w:rsidP="00AB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poskytované zriaďovateľom ako transfer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98779" w14:textId="77777777" w:rsidR="00AB37A2" w:rsidRPr="003146A4" w:rsidRDefault="00AB37A2" w:rsidP="00AB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7F23CC" w14:textId="77777777" w:rsidR="00AB37A2" w:rsidRPr="003146A4" w:rsidRDefault="00AB37A2" w:rsidP="00AB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8CFFE1" w14:textId="77777777" w:rsidR="00AB37A2" w:rsidRPr="003146A4" w:rsidRDefault="00AB37A2" w:rsidP="00AB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41527A" w14:textId="77777777" w:rsidR="00AB37A2" w:rsidRPr="003146A4" w:rsidRDefault="00AB37A2" w:rsidP="00AB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705CFFC" w14:textId="77777777" w:rsidR="00AB37A2" w:rsidRPr="003146A4" w:rsidRDefault="00AB37A2" w:rsidP="00AB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70D65E3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72E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1429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2486E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16E23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B2E2D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738AF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72532DD0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9F0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587F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4C0CD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548F2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48E6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5895B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381EE510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8E2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D3DE9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CFE91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E23C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9DE4E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22D41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3D5F06AF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7779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21C92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EEF0C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56951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6069D" w14:textId="77777777" w:rsidR="006239F3" w:rsidRPr="003146A4" w:rsidRDefault="006239F3" w:rsidP="0062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8AC19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146A4" w:rsidRPr="003146A4" w14:paraId="00D0089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04BFB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F9EF3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17DB0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F8AC3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B3769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9B421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59D1498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47E56D74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4DF9F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3ABF5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89DA3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44292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A9209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41891DF6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CFF5760" w14:textId="77777777" w:rsidR="006239F3" w:rsidRPr="003146A4" w:rsidRDefault="006239F3" w:rsidP="006239F3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7AC7DDB4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4ECE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4818E814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F3A23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62D67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89659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C8435" w14:textId="77777777" w:rsidR="006239F3" w:rsidRPr="003146A4" w:rsidRDefault="006239F3" w:rsidP="0062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E8C26CC" w14:textId="77777777" w:rsidR="007D5748" w:rsidRPr="003146A4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0D9EE5C" w14:textId="77777777" w:rsidR="002B63FD" w:rsidRPr="003146A4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39A1597" w14:textId="77777777" w:rsidR="002B63FD" w:rsidRPr="003146A4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</w:t>
      </w:r>
    </w:p>
    <w:p w14:paraId="393B1759" w14:textId="77777777" w:rsidR="002B63FD" w:rsidRPr="003146A4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2AFB94D7" w14:textId="77777777" w:rsidR="002B63FD" w:rsidRPr="003146A4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89B7FA" w14:textId="77777777" w:rsidR="002B63FD" w:rsidRPr="003146A4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0E63AA52" w14:textId="77777777" w:rsidR="002B63FD" w:rsidRPr="003146A4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89BD9E" w14:textId="77777777" w:rsidR="002B63FD" w:rsidRPr="003146A4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                                                                                                                       </w:t>
      </w:r>
      <w:r w:rsidR="00D922E5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F3C2838" w14:textId="77777777" w:rsidR="00943733" w:rsidRPr="003146A4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46A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3146A4" w:rsidRPr="003146A4" w14:paraId="30C63704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21DFD3AC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22C83378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56B4F18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3146A4" w:rsidRPr="003146A4" w14:paraId="569D3253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3F39727D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9E9FDAE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0B5AEA3" w14:textId="77777777" w:rsidR="002B63FD" w:rsidRPr="003146A4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F9866C" w14:textId="77777777" w:rsidR="002B63FD" w:rsidRPr="003146A4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3A6A398" w14:textId="77777777" w:rsidR="002B63FD" w:rsidRPr="003146A4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ADEC732" w14:textId="77777777" w:rsidR="002B63FD" w:rsidRPr="003146A4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7F8CC637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30EC1ECF" w14:textId="77777777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67A08E37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157CBBAF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D38EB08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B9D9688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7A4A65D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28F1825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769E45E3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146A4" w:rsidRPr="003146A4" w14:paraId="0994DD3B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6D66C316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1A5725AB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C4CE292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C9CBF86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46C5245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A9CEBB2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310AE235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3146A4" w14:paraId="2F25FF52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2EF7C8F9" w14:textId="77777777" w:rsidR="002B63FD" w:rsidRPr="003146A4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46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72E5B632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18B8FC7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217A9A0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0D31AFE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2DBF6122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21FE2D8B" w14:textId="77777777" w:rsidR="002B63FD" w:rsidRPr="003146A4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FC0ADC0" w14:textId="77777777" w:rsidR="002B63FD" w:rsidRPr="003146A4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D68B18" w14:textId="77777777" w:rsidR="002B63FD" w:rsidRPr="003146A4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3146A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2AA30A96" w14:textId="77777777" w:rsidR="002B63FD" w:rsidRPr="003146A4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00ACD082" w14:textId="03659D65" w:rsidR="00CB3623" w:rsidRPr="003146A4" w:rsidRDefault="002B63FD" w:rsidP="00EC2B2F">
      <w:pPr>
        <w:spacing w:after="0" w:line="240" w:lineRule="auto"/>
        <w:jc w:val="both"/>
      </w:pPr>
      <w:r w:rsidRPr="003146A4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zavedenia všetkých opatrení súčasne.“</w:t>
      </w:r>
    </w:p>
    <w:sectPr w:rsidR="00CB3623" w:rsidRPr="003146A4" w:rsidSect="00EC2B2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D6B6A" w14:textId="77777777" w:rsidR="00E650B8" w:rsidRDefault="00E650B8">
      <w:pPr>
        <w:spacing w:after="0" w:line="240" w:lineRule="auto"/>
      </w:pPr>
      <w:r>
        <w:separator/>
      </w:r>
    </w:p>
  </w:endnote>
  <w:endnote w:type="continuationSeparator" w:id="0">
    <w:p w14:paraId="71171680" w14:textId="77777777" w:rsidR="00E650B8" w:rsidRDefault="00E650B8">
      <w:pPr>
        <w:spacing w:after="0" w:line="240" w:lineRule="auto"/>
      </w:pPr>
      <w:r>
        <w:continuationSeparator/>
      </w:r>
    </w:p>
  </w:endnote>
  <w:endnote w:type="continuationNotice" w:id="1">
    <w:p w14:paraId="7B80F8ED" w14:textId="77777777" w:rsidR="00E650B8" w:rsidRDefault="00E65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9925C" w14:textId="77777777" w:rsidR="00026284" w:rsidRDefault="0002628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1EF09D27" w14:textId="77777777" w:rsidR="00026284" w:rsidRDefault="0002628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1EFD" w14:textId="77777777" w:rsidR="00026284" w:rsidRDefault="0002628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55E9A51" w14:textId="77777777" w:rsidR="00026284" w:rsidRDefault="0002628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D66E" w14:textId="77777777" w:rsidR="00026284" w:rsidRDefault="0002628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8DE4507" w14:textId="77777777" w:rsidR="00026284" w:rsidRDefault="000262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7EFB2" w14:textId="77777777" w:rsidR="00E650B8" w:rsidRDefault="00E650B8">
      <w:pPr>
        <w:spacing w:after="0" w:line="240" w:lineRule="auto"/>
      </w:pPr>
      <w:r>
        <w:separator/>
      </w:r>
    </w:p>
  </w:footnote>
  <w:footnote w:type="continuationSeparator" w:id="0">
    <w:p w14:paraId="66E0ECBD" w14:textId="77777777" w:rsidR="00E650B8" w:rsidRDefault="00E650B8">
      <w:pPr>
        <w:spacing w:after="0" w:line="240" w:lineRule="auto"/>
      </w:pPr>
      <w:r>
        <w:continuationSeparator/>
      </w:r>
    </w:p>
  </w:footnote>
  <w:footnote w:type="continuationNotice" w:id="1">
    <w:p w14:paraId="00833061" w14:textId="77777777" w:rsidR="00E650B8" w:rsidRDefault="00E650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755C" w14:textId="77777777" w:rsidR="00026284" w:rsidRDefault="0002628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6A763A96" w14:textId="77777777" w:rsidR="00026284" w:rsidRPr="00EB59C8" w:rsidRDefault="0002628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0BFE5" w14:textId="77777777" w:rsidR="00026284" w:rsidRPr="0024067A" w:rsidRDefault="00026284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15F26" w14:textId="77777777" w:rsidR="00026284" w:rsidRPr="000A15AE" w:rsidRDefault="0002628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7B2F"/>
    <w:multiLevelType w:val="hybridMultilevel"/>
    <w:tmpl w:val="552CDEA8"/>
    <w:lvl w:ilvl="0" w:tplc="DC06933E">
      <w:start w:val="2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E1B79"/>
    <w:multiLevelType w:val="hybridMultilevel"/>
    <w:tmpl w:val="071ABD40"/>
    <w:lvl w:ilvl="0" w:tplc="041B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26868"/>
    <w:multiLevelType w:val="hybridMultilevel"/>
    <w:tmpl w:val="B608077E"/>
    <w:lvl w:ilvl="0" w:tplc="041B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3D5E"/>
    <w:multiLevelType w:val="hybridMultilevel"/>
    <w:tmpl w:val="108E9F48"/>
    <w:lvl w:ilvl="0" w:tplc="029C9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21838"/>
    <w:multiLevelType w:val="hybridMultilevel"/>
    <w:tmpl w:val="5E147E76"/>
    <w:lvl w:ilvl="0" w:tplc="9F9810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F7E47"/>
    <w:multiLevelType w:val="hybridMultilevel"/>
    <w:tmpl w:val="DB142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24C00"/>
    <w:multiLevelType w:val="multilevel"/>
    <w:tmpl w:val="9BD6F67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BF7AD3"/>
    <w:multiLevelType w:val="hybridMultilevel"/>
    <w:tmpl w:val="A658E866"/>
    <w:lvl w:ilvl="0" w:tplc="3744AA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00950"/>
    <w:rsid w:val="00021DFF"/>
    <w:rsid w:val="00023663"/>
    <w:rsid w:val="00024E31"/>
    <w:rsid w:val="00025A25"/>
    <w:rsid w:val="00026284"/>
    <w:rsid w:val="00035EB6"/>
    <w:rsid w:val="0004656C"/>
    <w:rsid w:val="00057135"/>
    <w:rsid w:val="000574E7"/>
    <w:rsid w:val="0007428B"/>
    <w:rsid w:val="00081FD3"/>
    <w:rsid w:val="00082432"/>
    <w:rsid w:val="00087A66"/>
    <w:rsid w:val="000B509B"/>
    <w:rsid w:val="000B520F"/>
    <w:rsid w:val="000C38FB"/>
    <w:rsid w:val="000D05DD"/>
    <w:rsid w:val="000D2B1E"/>
    <w:rsid w:val="000D74B0"/>
    <w:rsid w:val="000E566E"/>
    <w:rsid w:val="000F00DA"/>
    <w:rsid w:val="000F057B"/>
    <w:rsid w:val="000F4B2F"/>
    <w:rsid w:val="000F67D5"/>
    <w:rsid w:val="000F6B12"/>
    <w:rsid w:val="00105CB7"/>
    <w:rsid w:val="00105EF2"/>
    <w:rsid w:val="001127A8"/>
    <w:rsid w:val="00114960"/>
    <w:rsid w:val="00116F99"/>
    <w:rsid w:val="0012516E"/>
    <w:rsid w:val="001279B7"/>
    <w:rsid w:val="00140837"/>
    <w:rsid w:val="00144B36"/>
    <w:rsid w:val="00152184"/>
    <w:rsid w:val="00155EC4"/>
    <w:rsid w:val="0015782A"/>
    <w:rsid w:val="00162861"/>
    <w:rsid w:val="00170D2B"/>
    <w:rsid w:val="00172627"/>
    <w:rsid w:val="00182812"/>
    <w:rsid w:val="00193642"/>
    <w:rsid w:val="00193A2A"/>
    <w:rsid w:val="001B0E6D"/>
    <w:rsid w:val="001B77EA"/>
    <w:rsid w:val="001C36AD"/>
    <w:rsid w:val="001C721D"/>
    <w:rsid w:val="001D0E82"/>
    <w:rsid w:val="001D388E"/>
    <w:rsid w:val="001F3099"/>
    <w:rsid w:val="001F3494"/>
    <w:rsid w:val="001F5D86"/>
    <w:rsid w:val="001F624A"/>
    <w:rsid w:val="001F6917"/>
    <w:rsid w:val="001F79B3"/>
    <w:rsid w:val="00200898"/>
    <w:rsid w:val="00212894"/>
    <w:rsid w:val="002135D4"/>
    <w:rsid w:val="002177DB"/>
    <w:rsid w:val="002225CF"/>
    <w:rsid w:val="002260B0"/>
    <w:rsid w:val="002309F4"/>
    <w:rsid w:val="00234C1D"/>
    <w:rsid w:val="0025246B"/>
    <w:rsid w:val="00260910"/>
    <w:rsid w:val="00264A24"/>
    <w:rsid w:val="00274E8F"/>
    <w:rsid w:val="002825EA"/>
    <w:rsid w:val="00292628"/>
    <w:rsid w:val="0029343F"/>
    <w:rsid w:val="00293F91"/>
    <w:rsid w:val="00294CFE"/>
    <w:rsid w:val="0029508C"/>
    <w:rsid w:val="002A0F47"/>
    <w:rsid w:val="002A12DA"/>
    <w:rsid w:val="002A5931"/>
    <w:rsid w:val="002B2946"/>
    <w:rsid w:val="002B5AD4"/>
    <w:rsid w:val="002B63FD"/>
    <w:rsid w:val="002B7519"/>
    <w:rsid w:val="002B7BA4"/>
    <w:rsid w:val="002C5574"/>
    <w:rsid w:val="002C71D1"/>
    <w:rsid w:val="002F1C6E"/>
    <w:rsid w:val="003146A4"/>
    <w:rsid w:val="00317707"/>
    <w:rsid w:val="00317B90"/>
    <w:rsid w:val="00321D5B"/>
    <w:rsid w:val="003344A1"/>
    <w:rsid w:val="003408F5"/>
    <w:rsid w:val="00344805"/>
    <w:rsid w:val="00351186"/>
    <w:rsid w:val="00352BB3"/>
    <w:rsid w:val="003650CE"/>
    <w:rsid w:val="00367A29"/>
    <w:rsid w:val="00370247"/>
    <w:rsid w:val="00373BDD"/>
    <w:rsid w:val="00374084"/>
    <w:rsid w:val="0037592A"/>
    <w:rsid w:val="003868C5"/>
    <w:rsid w:val="0039197E"/>
    <w:rsid w:val="00397713"/>
    <w:rsid w:val="003A0C66"/>
    <w:rsid w:val="003A2CEA"/>
    <w:rsid w:val="003B44F8"/>
    <w:rsid w:val="003B7684"/>
    <w:rsid w:val="003C106D"/>
    <w:rsid w:val="003C5D33"/>
    <w:rsid w:val="003D50CA"/>
    <w:rsid w:val="003D5183"/>
    <w:rsid w:val="003D7948"/>
    <w:rsid w:val="003F35B7"/>
    <w:rsid w:val="004041BD"/>
    <w:rsid w:val="0041587E"/>
    <w:rsid w:val="0042480F"/>
    <w:rsid w:val="00440A16"/>
    <w:rsid w:val="00446310"/>
    <w:rsid w:val="00447C49"/>
    <w:rsid w:val="004603E3"/>
    <w:rsid w:val="00471FB7"/>
    <w:rsid w:val="00474F11"/>
    <w:rsid w:val="00475CA9"/>
    <w:rsid w:val="00487203"/>
    <w:rsid w:val="00491452"/>
    <w:rsid w:val="004A221B"/>
    <w:rsid w:val="004A2875"/>
    <w:rsid w:val="004A3DF3"/>
    <w:rsid w:val="004A4209"/>
    <w:rsid w:val="004D169C"/>
    <w:rsid w:val="004D2460"/>
    <w:rsid w:val="004E5E76"/>
    <w:rsid w:val="005005EC"/>
    <w:rsid w:val="005045A1"/>
    <w:rsid w:val="00505397"/>
    <w:rsid w:val="0050744E"/>
    <w:rsid w:val="0051168E"/>
    <w:rsid w:val="00526FA0"/>
    <w:rsid w:val="00527BB3"/>
    <w:rsid w:val="005307FC"/>
    <w:rsid w:val="00532A92"/>
    <w:rsid w:val="005427B5"/>
    <w:rsid w:val="0054483A"/>
    <w:rsid w:val="00553992"/>
    <w:rsid w:val="00563A28"/>
    <w:rsid w:val="00571763"/>
    <w:rsid w:val="00580D60"/>
    <w:rsid w:val="00592E96"/>
    <w:rsid w:val="005B051A"/>
    <w:rsid w:val="005B7D0C"/>
    <w:rsid w:val="005C1A2B"/>
    <w:rsid w:val="005D2003"/>
    <w:rsid w:val="005D3B44"/>
    <w:rsid w:val="005E3699"/>
    <w:rsid w:val="005E6BB1"/>
    <w:rsid w:val="005E779F"/>
    <w:rsid w:val="005F1402"/>
    <w:rsid w:val="005F2ACA"/>
    <w:rsid w:val="005F73A2"/>
    <w:rsid w:val="005F7858"/>
    <w:rsid w:val="006120FE"/>
    <w:rsid w:val="006239F3"/>
    <w:rsid w:val="0062616E"/>
    <w:rsid w:val="006414AB"/>
    <w:rsid w:val="006461A0"/>
    <w:rsid w:val="00647DDC"/>
    <w:rsid w:val="006767E0"/>
    <w:rsid w:val="0068158A"/>
    <w:rsid w:val="006866D0"/>
    <w:rsid w:val="006876DD"/>
    <w:rsid w:val="006A2947"/>
    <w:rsid w:val="006A6606"/>
    <w:rsid w:val="006C0729"/>
    <w:rsid w:val="006F4820"/>
    <w:rsid w:val="006F7653"/>
    <w:rsid w:val="00700D1D"/>
    <w:rsid w:val="007023D1"/>
    <w:rsid w:val="007040B5"/>
    <w:rsid w:val="007041A6"/>
    <w:rsid w:val="0071763D"/>
    <w:rsid w:val="007246BD"/>
    <w:rsid w:val="00727689"/>
    <w:rsid w:val="007431B3"/>
    <w:rsid w:val="0075010F"/>
    <w:rsid w:val="00753FAB"/>
    <w:rsid w:val="00760390"/>
    <w:rsid w:val="0076104B"/>
    <w:rsid w:val="00761789"/>
    <w:rsid w:val="00770125"/>
    <w:rsid w:val="00772EC3"/>
    <w:rsid w:val="00774265"/>
    <w:rsid w:val="0077530D"/>
    <w:rsid w:val="007759A2"/>
    <w:rsid w:val="00782B91"/>
    <w:rsid w:val="00783674"/>
    <w:rsid w:val="00783ACA"/>
    <w:rsid w:val="00785085"/>
    <w:rsid w:val="007850AB"/>
    <w:rsid w:val="00792F7A"/>
    <w:rsid w:val="007A16E7"/>
    <w:rsid w:val="007B36AA"/>
    <w:rsid w:val="007B7470"/>
    <w:rsid w:val="007C4F1B"/>
    <w:rsid w:val="007D5748"/>
    <w:rsid w:val="007D619E"/>
    <w:rsid w:val="007E48F3"/>
    <w:rsid w:val="007F3E01"/>
    <w:rsid w:val="008027DF"/>
    <w:rsid w:val="008205B7"/>
    <w:rsid w:val="00820741"/>
    <w:rsid w:val="008218B1"/>
    <w:rsid w:val="00832D80"/>
    <w:rsid w:val="008365F9"/>
    <w:rsid w:val="00844866"/>
    <w:rsid w:val="00845E75"/>
    <w:rsid w:val="00846314"/>
    <w:rsid w:val="00867A35"/>
    <w:rsid w:val="00877FA4"/>
    <w:rsid w:val="008863E3"/>
    <w:rsid w:val="00893B20"/>
    <w:rsid w:val="00893B76"/>
    <w:rsid w:val="00897BE7"/>
    <w:rsid w:val="008A031D"/>
    <w:rsid w:val="008C2B15"/>
    <w:rsid w:val="008C73F5"/>
    <w:rsid w:val="008C786F"/>
    <w:rsid w:val="008D27F7"/>
    <w:rsid w:val="008D339D"/>
    <w:rsid w:val="008E2736"/>
    <w:rsid w:val="008F0ED4"/>
    <w:rsid w:val="00902823"/>
    <w:rsid w:val="0090613B"/>
    <w:rsid w:val="00907688"/>
    <w:rsid w:val="0091327B"/>
    <w:rsid w:val="00923816"/>
    <w:rsid w:val="00940343"/>
    <w:rsid w:val="00943733"/>
    <w:rsid w:val="00944C31"/>
    <w:rsid w:val="00945A2A"/>
    <w:rsid w:val="00957D35"/>
    <w:rsid w:val="009706B7"/>
    <w:rsid w:val="00973AF6"/>
    <w:rsid w:val="00975995"/>
    <w:rsid w:val="009814AF"/>
    <w:rsid w:val="009819A3"/>
    <w:rsid w:val="00996295"/>
    <w:rsid w:val="009A55C3"/>
    <w:rsid w:val="009B07B8"/>
    <w:rsid w:val="009B4AE1"/>
    <w:rsid w:val="009B4DBD"/>
    <w:rsid w:val="009B5AF7"/>
    <w:rsid w:val="009C4089"/>
    <w:rsid w:val="009D31CA"/>
    <w:rsid w:val="009E7501"/>
    <w:rsid w:val="009F4258"/>
    <w:rsid w:val="00A04FAB"/>
    <w:rsid w:val="00A13AA8"/>
    <w:rsid w:val="00A222C2"/>
    <w:rsid w:val="00A25409"/>
    <w:rsid w:val="00A255B9"/>
    <w:rsid w:val="00A367F2"/>
    <w:rsid w:val="00A56EEB"/>
    <w:rsid w:val="00A72549"/>
    <w:rsid w:val="00A72E75"/>
    <w:rsid w:val="00A738C0"/>
    <w:rsid w:val="00A80346"/>
    <w:rsid w:val="00A82EFF"/>
    <w:rsid w:val="00AB2C52"/>
    <w:rsid w:val="00AB37A2"/>
    <w:rsid w:val="00AB5919"/>
    <w:rsid w:val="00AD0FBA"/>
    <w:rsid w:val="00AD3273"/>
    <w:rsid w:val="00AE4DB5"/>
    <w:rsid w:val="00AF227F"/>
    <w:rsid w:val="00B03763"/>
    <w:rsid w:val="00B124B6"/>
    <w:rsid w:val="00B15B33"/>
    <w:rsid w:val="00B15BAF"/>
    <w:rsid w:val="00B4045F"/>
    <w:rsid w:val="00B46D00"/>
    <w:rsid w:val="00B5214A"/>
    <w:rsid w:val="00B5535C"/>
    <w:rsid w:val="00B63043"/>
    <w:rsid w:val="00B71A04"/>
    <w:rsid w:val="00B801BA"/>
    <w:rsid w:val="00B86EDE"/>
    <w:rsid w:val="00B92F23"/>
    <w:rsid w:val="00BA0E74"/>
    <w:rsid w:val="00BA5E9D"/>
    <w:rsid w:val="00BB1689"/>
    <w:rsid w:val="00BC1921"/>
    <w:rsid w:val="00BC74E9"/>
    <w:rsid w:val="00BE21CF"/>
    <w:rsid w:val="00BE3522"/>
    <w:rsid w:val="00BE6C30"/>
    <w:rsid w:val="00BF3856"/>
    <w:rsid w:val="00BF5F9C"/>
    <w:rsid w:val="00C00E5D"/>
    <w:rsid w:val="00C15212"/>
    <w:rsid w:val="00C15D88"/>
    <w:rsid w:val="00C16C1B"/>
    <w:rsid w:val="00C30E63"/>
    <w:rsid w:val="00C33633"/>
    <w:rsid w:val="00C455E9"/>
    <w:rsid w:val="00C51FD4"/>
    <w:rsid w:val="00C6115B"/>
    <w:rsid w:val="00C611AD"/>
    <w:rsid w:val="00C64BDB"/>
    <w:rsid w:val="00C653D7"/>
    <w:rsid w:val="00C7027A"/>
    <w:rsid w:val="00C750E5"/>
    <w:rsid w:val="00C81ADC"/>
    <w:rsid w:val="00C96F4E"/>
    <w:rsid w:val="00CA18F2"/>
    <w:rsid w:val="00CB04E9"/>
    <w:rsid w:val="00CB1E4C"/>
    <w:rsid w:val="00CB228B"/>
    <w:rsid w:val="00CB3623"/>
    <w:rsid w:val="00CC0E46"/>
    <w:rsid w:val="00CC2640"/>
    <w:rsid w:val="00CC7647"/>
    <w:rsid w:val="00CD5699"/>
    <w:rsid w:val="00CE299A"/>
    <w:rsid w:val="00CE359E"/>
    <w:rsid w:val="00CF2C35"/>
    <w:rsid w:val="00CF3B28"/>
    <w:rsid w:val="00D0042D"/>
    <w:rsid w:val="00D02E3E"/>
    <w:rsid w:val="00D147BF"/>
    <w:rsid w:val="00D200BE"/>
    <w:rsid w:val="00D327A8"/>
    <w:rsid w:val="00D35601"/>
    <w:rsid w:val="00D526B2"/>
    <w:rsid w:val="00D52CA1"/>
    <w:rsid w:val="00D5557C"/>
    <w:rsid w:val="00D638F5"/>
    <w:rsid w:val="00D7236A"/>
    <w:rsid w:val="00D74113"/>
    <w:rsid w:val="00D812B5"/>
    <w:rsid w:val="00D85029"/>
    <w:rsid w:val="00D8643A"/>
    <w:rsid w:val="00D911E4"/>
    <w:rsid w:val="00D9171A"/>
    <w:rsid w:val="00D922E5"/>
    <w:rsid w:val="00DA7CBC"/>
    <w:rsid w:val="00DB37F1"/>
    <w:rsid w:val="00DB3DD3"/>
    <w:rsid w:val="00DB5C6F"/>
    <w:rsid w:val="00DD17F9"/>
    <w:rsid w:val="00DD1C28"/>
    <w:rsid w:val="00DE04C5"/>
    <w:rsid w:val="00DE5BF1"/>
    <w:rsid w:val="00DE7C8D"/>
    <w:rsid w:val="00DF4315"/>
    <w:rsid w:val="00E02F81"/>
    <w:rsid w:val="00E07CE9"/>
    <w:rsid w:val="00E14378"/>
    <w:rsid w:val="00E34F2C"/>
    <w:rsid w:val="00E4770B"/>
    <w:rsid w:val="00E50231"/>
    <w:rsid w:val="00E57757"/>
    <w:rsid w:val="00E62C9A"/>
    <w:rsid w:val="00E650B8"/>
    <w:rsid w:val="00E900D6"/>
    <w:rsid w:val="00E912A6"/>
    <w:rsid w:val="00E963A3"/>
    <w:rsid w:val="00EA1E90"/>
    <w:rsid w:val="00EA4A53"/>
    <w:rsid w:val="00EC14EF"/>
    <w:rsid w:val="00EC2B2F"/>
    <w:rsid w:val="00EC7378"/>
    <w:rsid w:val="00ED2B29"/>
    <w:rsid w:val="00EE0CA3"/>
    <w:rsid w:val="00EE28EB"/>
    <w:rsid w:val="00EE3E0C"/>
    <w:rsid w:val="00EF1CA8"/>
    <w:rsid w:val="00F03306"/>
    <w:rsid w:val="00F07E68"/>
    <w:rsid w:val="00F07EFA"/>
    <w:rsid w:val="00F10E08"/>
    <w:rsid w:val="00F20986"/>
    <w:rsid w:val="00F2530E"/>
    <w:rsid w:val="00F327FA"/>
    <w:rsid w:val="00F348E6"/>
    <w:rsid w:val="00F40136"/>
    <w:rsid w:val="00F563E5"/>
    <w:rsid w:val="00F6179E"/>
    <w:rsid w:val="00F84B8F"/>
    <w:rsid w:val="00F8701C"/>
    <w:rsid w:val="00F91890"/>
    <w:rsid w:val="00F93DA7"/>
    <w:rsid w:val="00F94B88"/>
    <w:rsid w:val="00FA40BC"/>
    <w:rsid w:val="00FA54BC"/>
    <w:rsid w:val="00FB30B5"/>
    <w:rsid w:val="00FB4A4A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7C1E"/>
  <w15:docId w15:val="{A3DFFF9B-97A7-4404-BA31-39B0C62B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71F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1F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1F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1F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1FB7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DB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E53FDDBD7F542805C64E693AD18E5" ma:contentTypeVersion="17" ma:contentTypeDescription="Create a new document." ma:contentTypeScope="" ma:versionID="c3e88905cf977898326b1077ad4b1b0e">
  <xsd:schema xmlns:xsd="http://www.w3.org/2001/XMLSchema" xmlns:xs="http://www.w3.org/2001/XMLSchema" xmlns:p="http://schemas.microsoft.com/office/2006/metadata/properties" xmlns:ns2="62dc8d3a-4265-423e-88e4-c330826fd5a8" xmlns:ns3="46f6adf5-eaad-4dbb-91ac-274e33425322" targetNamespace="http://schemas.microsoft.com/office/2006/metadata/properties" ma:root="true" ma:fieldsID="1d587a481d2feeb8b39800116ee310f4" ns2:_="" ns3:_="">
    <xsd:import namespace="62dc8d3a-4265-423e-88e4-c330826fd5a8"/>
    <xsd:import namespace="46f6adf5-eaad-4dbb-91ac-274e3342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c8d3a-4265-423e-88e4-c330826fd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6adf5-eaad-4dbb-91ac-274e3342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b7d6a8-50da-46b8-a875-4837218f5392}" ma:internalName="TaxCatchAll" ma:showField="CatchAllData" ma:web="46f6adf5-eaad-4dbb-91ac-274e3342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c8d3a-4265-423e-88e4-c330826fd5a8">
      <Terms xmlns="http://schemas.microsoft.com/office/infopath/2007/PartnerControls"/>
    </lcf76f155ced4ddcb4097134ff3c332f>
    <TaxCatchAll xmlns="46f6adf5-eaad-4dbb-91ac-274e33425322" xsi:nil="true"/>
  </documentManagement>
</p:properties>
</file>

<file path=customXml/item4.xml><?xml version="1.0" encoding="utf-8"?>
<f:fields xmlns:f="http://schemas.fabasoft.com/folio/2007/fields">
  <f:record ref="">
    <f:field ref="objname" par="" edit="true" text="07a_financne"/>
    <f:field ref="objsubject" par="" edit="true" text=""/>
    <f:field ref="objcreatedby" par="" text="Kasenčák, René, JUDr."/>
    <f:field ref="objcreatedat" par="" text="20.6.2024 7:26:45"/>
    <f:field ref="objchangedby" par="" text="Matúšek, Miloš, JUDr."/>
    <f:field ref="objmodifiedat" par="" text="27.6.2024 13:54:1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007A-7A1A-4599-8ED7-AE9C74232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c8d3a-4265-423e-88e4-c330826fd5a8"/>
    <ds:schemaRef ds:uri="46f6adf5-eaad-4dbb-91ac-274e3342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2AC83-0F0C-4A99-B620-456B3F5CF9FD}">
  <ds:schemaRefs>
    <ds:schemaRef ds:uri="http://schemas.microsoft.com/office/2006/metadata/properties"/>
    <ds:schemaRef ds:uri="http://schemas.microsoft.com/office/infopath/2007/PartnerControls"/>
    <ds:schemaRef ds:uri="62dc8d3a-4265-423e-88e4-c330826fd5a8"/>
    <ds:schemaRef ds:uri="46f6adf5-eaad-4dbb-91ac-274e33425322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BD116DE-FB1E-4CCB-8394-D5260C60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Analýza vplyvov na rozpočet verejnej správy</vt:lpstr>
    </vt:vector>
  </TitlesOfParts>
  <Company>MH SR</Company>
  <LinksUpToDate>false</LinksUpToDate>
  <CharactersWithSpaces>23862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vplyvov na rozpočet verejnej správy</dc:title>
  <dc:subject/>
  <dc:creator>Balberčáková Mária</dc:creator>
  <cp:keywords/>
  <dc:description/>
  <cp:lastModifiedBy>Kasenčák René</cp:lastModifiedBy>
  <cp:revision>5</cp:revision>
  <cp:lastPrinted>2024-06-17T13:10:00Z</cp:lastPrinted>
  <dcterms:created xsi:type="dcterms:W3CDTF">2024-08-07T14:45:00Z</dcterms:created>
  <dcterms:modified xsi:type="dcterms:W3CDTF">2024-08-08T05:12:00Z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René Kasenčák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>Ministerstvo školstva,výskumu,vývoja a mládeže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2024/9020-A1810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LP/2024/297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školstva, výskumu, vývoja a mládeže Slovenskej republiky predkladá ako iniciatívny materiál návrh zákona, ktorým sa mení a dopĺňa zákon č. 138/2019 Z. z. o pedagogických zamestnancoch a odborných zamestnancoch </vt:lpwstr>
  </property>
  <property fmtid="{D5CDD505-2E9C-101B-9397-08002B2CF9AE}" pid="150" name="FSC#SKEDITIONSLOVLEX@103.510:vytvorenedna">
    <vt:lpwstr>20. 6. 2024</vt:lpwstr>
  </property>
  <property fmtid="{D5CDD505-2E9C-101B-9397-08002B2CF9AE}" pid="151" name="FSC#COOSYSTEM@1.1:Container">
    <vt:lpwstr>COO.2145.1000.3.6220410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0x010100DBDE53FDDBD7F542805C64E693AD18E5</vt:lpwstr>
  </property>
  <property fmtid="{D5CDD505-2E9C-101B-9397-08002B2CF9AE}" pid="154" name="MediaServiceImageTags">
    <vt:lpwstr/>
  </property>
</Properties>
</file>