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C74E79">
        <w:rPr>
          <w:rFonts w:ascii="Arial" w:hAnsi="Arial" w:cs="Arial"/>
          <w:b/>
          <w:bCs/>
          <w:sz w:val="21"/>
          <w:szCs w:val="21"/>
        </w:rPr>
        <w:t xml:space="preserve">564/2004 Z.z.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C74E79">
        <w:rPr>
          <w:rFonts w:ascii="Arial" w:hAnsi="Arial" w:cs="Arial"/>
          <w:b/>
          <w:bCs/>
          <w:sz w:val="21"/>
          <w:szCs w:val="21"/>
        </w:rPr>
        <w:t>ZÁKON</w:t>
      </w:r>
    </w:p>
    <w:p w:rsidR="00701507" w:rsidRPr="00C74E79" w:rsidRDefault="00FA7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z 23. septembra 2004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C74E79">
        <w:rPr>
          <w:rFonts w:ascii="Arial" w:hAnsi="Arial" w:cs="Arial"/>
          <w:b/>
          <w:bCs/>
          <w:sz w:val="16"/>
          <w:szCs w:val="16"/>
        </w:rPr>
        <w:t xml:space="preserve">o rozpočtovom určení výnosu dane z príjmov územnej samospráve a o zmene a doplnení niektorých zákonov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Národná rada Slovenskej republiky sa uzniesla na tomto zákone: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74E79">
        <w:rPr>
          <w:rFonts w:ascii="Arial" w:hAnsi="Arial" w:cs="Arial"/>
          <w:sz w:val="18"/>
          <w:szCs w:val="18"/>
        </w:rPr>
        <w:t>Čl.I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74E79">
        <w:rPr>
          <w:rFonts w:ascii="Arial" w:hAnsi="Arial" w:cs="Arial"/>
          <w:sz w:val="18"/>
          <w:szCs w:val="18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§ 1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>Tento zákon upravuje rozpočtové určenie, termíny poukazovania, spôsob rozdeľovania a poukazovania výnosu dane z príjmov</w:t>
      </w:r>
      <w:r w:rsidRPr="00C74E79">
        <w:rPr>
          <w:rFonts w:ascii="Arial" w:hAnsi="Arial" w:cs="Arial"/>
          <w:sz w:val="16"/>
          <w:szCs w:val="16"/>
          <w:vertAlign w:val="superscript"/>
        </w:rPr>
        <w:t xml:space="preserve"> 1)</w:t>
      </w:r>
      <w:r w:rsidRPr="00C74E79">
        <w:rPr>
          <w:rFonts w:ascii="Arial" w:hAnsi="Arial" w:cs="Arial"/>
          <w:sz w:val="16"/>
          <w:szCs w:val="16"/>
        </w:rPr>
        <w:t xml:space="preserve"> fyzických osôb s výnimkou dane z príjmov, ktorá sa vyberá zrážkou (ďalej len "daň"), do rozpočtov obcí a rozpočtov vyšších územných celkov.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§ 2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Výnos dane v príslušnom rozpočtovom roku je príjmom rozpočtov obcí vo výške </w:t>
      </w:r>
      <w:r w:rsidRPr="00050D0F">
        <w:rPr>
          <w:rFonts w:ascii="Arial" w:hAnsi="Arial" w:cs="Arial"/>
          <w:strike/>
          <w:sz w:val="16"/>
          <w:szCs w:val="16"/>
        </w:rPr>
        <w:t>70,0</w:t>
      </w:r>
      <w:r w:rsidR="00050D0F">
        <w:rPr>
          <w:rFonts w:ascii="Arial" w:hAnsi="Arial" w:cs="Arial"/>
          <w:sz w:val="16"/>
          <w:szCs w:val="16"/>
        </w:rPr>
        <w:t xml:space="preserve"> </w:t>
      </w:r>
      <w:r w:rsidR="00050D0F" w:rsidRPr="00050D0F">
        <w:rPr>
          <w:rFonts w:ascii="Arial" w:hAnsi="Arial" w:cs="Arial"/>
          <w:color w:val="FF0000"/>
          <w:sz w:val="16"/>
          <w:szCs w:val="16"/>
        </w:rPr>
        <w:t>5</w:t>
      </w:r>
      <w:r w:rsidR="00582B7F">
        <w:rPr>
          <w:rFonts w:ascii="Arial" w:hAnsi="Arial" w:cs="Arial"/>
          <w:color w:val="FF0000"/>
          <w:sz w:val="16"/>
          <w:szCs w:val="16"/>
        </w:rPr>
        <w:t>6</w:t>
      </w:r>
      <w:r w:rsidR="00050D0F" w:rsidRPr="00050D0F">
        <w:rPr>
          <w:rFonts w:ascii="Arial" w:hAnsi="Arial" w:cs="Arial"/>
          <w:color w:val="FF0000"/>
          <w:sz w:val="16"/>
          <w:szCs w:val="16"/>
        </w:rPr>
        <w:t>,</w:t>
      </w:r>
      <w:r w:rsidR="00582B7F">
        <w:rPr>
          <w:rFonts w:ascii="Arial" w:hAnsi="Arial" w:cs="Arial"/>
          <w:color w:val="FF0000"/>
          <w:sz w:val="16"/>
          <w:szCs w:val="16"/>
        </w:rPr>
        <w:t xml:space="preserve">1 </w:t>
      </w:r>
      <w:r w:rsidR="00050D0F">
        <w:rPr>
          <w:rFonts w:ascii="Arial" w:hAnsi="Arial" w:cs="Arial"/>
          <w:sz w:val="16"/>
          <w:szCs w:val="16"/>
        </w:rPr>
        <w:t xml:space="preserve">% </w:t>
      </w:r>
      <w:r w:rsidRPr="00C74E79">
        <w:rPr>
          <w:rFonts w:ascii="Arial" w:hAnsi="Arial" w:cs="Arial"/>
          <w:sz w:val="16"/>
          <w:szCs w:val="16"/>
        </w:rPr>
        <w:t xml:space="preserve"> ak § 7c neustanovuje inak.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§ 3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Výnos dane v príslušnom rozpočtovom roku je príjmom rozpočtov vyšších územných celkov vo výške 30,0%.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§ 4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(1) Výnos dane podľa § 2 a 3 rozdeľuje a poukazuje obciam a vyšším územným celkom daňový úrad podľa kritérií, ktoré ustanoví vláda Slovenskej republiky nariadením; vláda Slovenskej republiky nariadením ustanoví aj spôsob rozdeľovania a poukazovania tohto výnosu dane. Návrhy zmien kritérií a spôsobu rozdeľovania a poukazovania výnosu dane podľa § 2 a 3 sa dohodnú s republikovými združeniami obcí a so zástupcami vyšších územných celkov.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(2) Výnos dane podľa § 2 rozdeľuje a poukazuje daňový úrad obciam vo svojej územnej pôsobnosti.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(3) Daňový úrad rozdeľuje a poukazuje výnos dane podľa § 3 vyššiemu územnému celku, na území ktorého má daňový úrad sídlo.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(4) Štatistický úrad Slovenskej republiky poskytne Ministerstvu financií Slovenskej republiky (ďalej len "ministerstvo"), daňovým úradom prostredníctvom Daňového riaditeľstva Slovenskej republiky, republikovým združeniam obcí a vyšším územným celkom údaje potrebné na rozdeľovanie a poukazovanie výnosu dane podľa § 2 a 3 do 31. októbra príslušného kalendárneho roka v štruktúre určenej ministerstvom, ak § 7a neustanovuje inak; opravy chýb v poskytnutých údajoch ministerstvo akceptuje v termíne do 31.marca nasledujúceho kalendárneho roka.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>(5) Subjekty verejnej správy</w:t>
      </w:r>
      <w:r w:rsidRPr="00C74E79">
        <w:rPr>
          <w:rFonts w:ascii="Arial" w:hAnsi="Arial" w:cs="Arial"/>
          <w:sz w:val="16"/>
          <w:szCs w:val="16"/>
          <w:vertAlign w:val="superscript"/>
        </w:rPr>
        <w:t xml:space="preserve"> 2)</w:t>
      </w:r>
      <w:r w:rsidRPr="00C74E79">
        <w:rPr>
          <w:rFonts w:ascii="Arial" w:hAnsi="Arial" w:cs="Arial"/>
          <w:sz w:val="16"/>
          <w:szCs w:val="16"/>
        </w:rPr>
        <w:t xml:space="preserve"> poskytujú Štatistickému úradu Slovenskej republiky súčinnosť na účely odseku 4 vrátane poskytovania údajov potrebných na rozdeľovanie a poukazovanie výnosu dane podľa § 2 a 3.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(6) Podiel na výnose dane podľa § 2 a 3 sa poukazuje obciam a vyšším územným celkom najneskôr do 20. dňa bežného mesiaca za predchádzajúci mesiac.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(7) Preplatky a nedoplatky zistené k 31. decembru príslušného kalendárneho roka vzniknuté pri rozdeľovaní a poukazovaní výnosu dane podľa § 2 a 3 vyrovnajú daňové úrady s obcami a vyššími územnými celkami do 31. marca nasledujúceho kalendárneho roka.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§ 5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>(1) Daňové úrady vyrovnajú preplatky a nedoplatky, ktoré vznikli v roku 2004 pri uplatňovaní osobitného predpisu,</w:t>
      </w:r>
      <w:r w:rsidRPr="00C74E79">
        <w:rPr>
          <w:rFonts w:ascii="Arial" w:hAnsi="Arial" w:cs="Arial"/>
          <w:sz w:val="16"/>
          <w:szCs w:val="16"/>
          <w:vertAlign w:val="superscript"/>
        </w:rPr>
        <w:t xml:space="preserve"> 3)</w:t>
      </w:r>
      <w:r w:rsidRPr="00C74E79">
        <w:rPr>
          <w:rFonts w:ascii="Arial" w:hAnsi="Arial" w:cs="Arial"/>
          <w:sz w:val="16"/>
          <w:szCs w:val="16"/>
        </w:rPr>
        <w:t xml:space="preserve"> s jednotlivými obcami do 31. marca 2005.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(2) Daňové úrady do 15. januára 2005 poukážu v súlade s § 4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a) obciam preddavok na výnos dane podľa § 2 vo výške jednej dvanástiny rozpočtovaného výnosu dane na rok 2005,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b) vyšším územným celkom preddavok na výnos dane podľa § 3 vo výške jednej dvanástiny rozpočtovaného výnosu na rok 2005.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(3) Sumu rozpočtovaného výnosu podľa odseku 2 oznámi ministerstvo Daňovému riaditeľstvu Slovenskej republiky do 5. januára 2005.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(4) Poskytnuté preddavky podľa odseku 2 daňové úrady vyporiadajú s obcami a vyššími územnými celkami do 31. marca 2005.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lastRenderedPageBreak/>
        <w:t xml:space="preserve">§ 6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>Pri zmene sadzby dane, ktorej dôsledkom je úbytok príjmov územnej samosprávy, vláda Slovenskej republiky v súlade s osobitným predpisom</w:t>
      </w:r>
      <w:r w:rsidRPr="00C74E79">
        <w:rPr>
          <w:rFonts w:ascii="Arial" w:hAnsi="Arial" w:cs="Arial"/>
          <w:sz w:val="16"/>
          <w:szCs w:val="16"/>
          <w:vertAlign w:val="superscript"/>
        </w:rPr>
        <w:t xml:space="preserve"> 4)</w:t>
      </w:r>
      <w:r w:rsidRPr="00C74E79">
        <w:rPr>
          <w:rFonts w:ascii="Arial" w:hAnsi="Arial" w:cs="Arial"/>
          <w:sz w:val="16"/>
          <w:szCs w:val="16"/>
        </w:rPr>
        <w:t xml:space="preserve"> prijme opatrenia na zabezpečenie úhrady úbytku týchto príjmov.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§ 7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Na účely určenia výnosu dane podľa § 2 a 3 sa v roku 2005 považuje za výnos dane najmenej suma 33 418 078 000 Sk.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§ 7a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Štatistický úrad Slovenskej republiky poskytne ministerstvu, daňovým úradom, prostredníctvom Daňového riaditeľstva Slovenskej republiky, republikovým združeniam obcí a vyšším územným celkom údaje potrebné na rozdeľovanie a poukazovanie výnosu dane podľa § 2 a 3 na rok 2011 do 10. marca 2011 v štruktúre určenej ministerstvom.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§ 7b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Daňové úrady rozdelia a poukážu výnos dane obciam a vyšším územným celkom podľa § 2 a 3 v znení účinnom od 1. januára 2012 prvýkrát v januári 2012.".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§ 7c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(1) V roku 2014 je výnos dane príjmom rozpočtov obcí vo výške 67%.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(2) Daňové úrady rozdelia a poukážu výnos dane obciam podľa odseku 1 prvýkrát v januári 2014.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§ 7d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Daňové úrady rozdelia a poukážu výnos dane obciam podľa § 2 v znení účinnom od 1. januára 2015 prvýkrát v januári 2015.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§ 7e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Daňové úrady rozdelia a poukážu výnos dane vyšším územným celkom podľa § 3 v znení účinnom od 1. januára 2015 prvýkrát v januári 2015.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§ 7f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Daňové úrady rozdelia a poukážu výnos dane obciam a vyšším územným celkom podľa § 2 a 3 v znení účinnom od 1. januára 2016 prvýkrát v januári 2016.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§ 7g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>Ministerstvo na účely rozdeľovania a poukazovania výnosu dane obciam na rok 2021 akceptuje zmeny v údajoch potrebných na rozdeľovanie a poukazovanie výnosu dane obciam poskytnutých Štatistickým úradom Slovenskej republiky do 31. októbra 2020 za oblasť zberu podľa osobitného predpisu</w:t>
      </w:r>
      <w:r w:rsidRPr="00C74E79">
        <w:rPr>
          <w:rFonts w:ascii="Arial" w:hAnsi="Arial" w:cs="Arial"/>
          <w:sz w:val="16"/>
          <w:szCs w:val="16"/>
          <w:vertAlign w:val="superscript"/>
        </w:rPr>
        <w:t>5)</w:t>
      </w:r>
      <w:r w:rsidRPr="00C74E79">
        <w:rPr>
          <w:rFonts w:ascii="Arial" w:hAnsi="Arial" w:cs="Arial"/>
          <w:sz w:val="16"/>
          <w:szCs w:val="16"/>
        </w:rPr>
        <w:t xml:space="preserve"> do 1. februára 2021.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§ 7h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>Ministerstvo na účely rozdeľovania a poukazovania výnosu dane obciam na rok 2023 akceptuje zmeny v údajoch potrebných na rozdeľovanie a poukazovanie výnosu dane obciam poskytnutých Štatistickým úradom Slovenskej republiky do 31. októbra 2022 za oblasť zberu podľa osobitného predpisu</w:t>
      </w:r>
      <w:r w:rsidRPr="00C74E79">
        <w:rPr>
          <w:rFonts w:ascii="Arial" w:hAnsi="Arial" w:cs="Arial"/>
          <w:sz w:val="16"/>
          <w:szCs w:val="16"/>
          <w:vertAlign w:val="superscript"/>
        </w:rPr>
        <w:t>6)</w:t>
      </w:r>
      <w:r w:rsidRPr="00C74E79">
        <w:rPr>
          <w:rFonts w:ascii="Arial" w:hAnsi="Arial" w:cs="Arial"/>
          <w:sz w:val="16"/>
          <w:szCs w:val="16"/>
        </w:rPr>
        <w:t xml:space="preserve"> do 1. februára 2023.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§ 7i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(1) Podiel výnosu dane podľa § 2 poukazovaný obciam sa v roku 2023 zvyšuje o sumu 228 059 000 eur zo zdrojov z príjmov z dane z príjmov právnických osôb. Podiel výnosu dane podľa § 2 poukazovaný obciam sa v roku 2024 zvyšuje o sumu 236 546 000 eur zo zdrojov z príjmov z dane z príjmov právnických osôb.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(2) Podiel výnosu dane podľa § 3 poukazovaný vyšším územným celkom sa v roku 2023 zvyšuje o sumu 97 739 000 eur zo zdrojov z príjmov z dane z príjmov právnických osôb. Podiel výnosu dane podľa § 3 poukazovaný vyšším územným celkom sa v roku 2024 zvyšuje o sumu 101 377 000 eur zo zdrojov z príjmov z dane z príjmov právnických osôb.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(3) Suma zvýšenia uvedená v odsekoch 1 a 2 sa považuje za podiel výnosu dane podľa § 2 a 3 a v príslušnom roku sa poukazuje obciam a vyšším územným celkom mesačne jednou dvanástinou zo súm zvýšenia uvedených v odsekoch 1 a 2.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(4) Na rozdeľovanie a poukazovanie súm zvýšenia uvedených v odsekoch 1 a 2 sa primerane použije § 4.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§ 7j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Suma zvýšenia uvedená v § 7i ods. 1 a 2 sa považuje za podiel výnosu dane podľa § 2 a 3 a v roku 2023 sa poukáže obciam a vyšším územným celkom do 28. apríla 2023 a v roku 2024 sa poukazuje obciam a vyšším územným celkom mesačne jednou dvanástinou zo súm zvýšenia uvedených v § 7i ods. 1 a 2. Ustanovenie § 7i ods. 3 sa od nadobudnutia účinnosti tohto zákona nepoužije. </w:t>
      </w:r>
    </w:p>
    <w:p w:rsidR="0021555A" w:rsidRDefault="0021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1555A" w:rsidRDefault="0021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21555A" w:rsidRDefault="0021555A" w:rsidP="0021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1555A">
        <w:rPr>
          <w:rFonts w:ascii="Arial" w:hAnsi="Arial" w:cs="Arial"/>
          <w:sz w:val="16"/>
          <w:szCs w:val="16"/>
        </w:rPr>
        <w:t>§ 7k</w:t>
      </w:r>
    </w:p>
    <w:p w:rsidR="0021555A" w:rsidRPr="0021555A" w:rsidRDefault="0021555A" w:rsidP="0021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1555A" w:rsidRDefault="0021555A" w:rsidP="0021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1555A">
        <w:rPr>
          <w:rFonts w:ascii="Arial" w:hAnsi="Arial" w:cs="Arial"/>
          <w:sz w:val="16"/>
          <w:szCs w:val="16"/>
        </w:rPr>
        <w:t>Suma zvýšenia uvedená v § 7i ods. 1 a 2 sa považuje za podiel výnosu dane podľa § 2 a 3 a v roku 2024 sa poukáže obciam a vyšším územným celkom do 31. mája 2024. Ustanovenie § 7j sa od nadobudnutia účinnosti tohto zákona nepoužije.</w:t>
      </w:r>
    </w:p>
    <w:p w:rsidR="0021555A" w:rsidRDefault="0021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1555A" w:rsidRDefault="0021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1555A" w:rsidRPr="0021555A" w:rsidRDefault="0021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1555A">
        <w:rPr>
          <w:rFonts w:ascii="Arial" w:hAnsi="Arial" w:cs="Arial"/>
          <w:color w:val="FF0000"/>
          <w:sz w:val="16"/>
          <w:szCs w:val="16"/>
        </w:rPr>
        <w:t>§ 7l</w:t>
      </w:r>
    </w:p>
    <w:p w:rsidR="0021555A" w:rsidRPr="0021555A" w:rsidRDefault="0021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21555A" w:rsidRPr="0021555A" w:rsidRDefault="0021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21555A">
        <w:rPr>
          <w:rFonts w:ascii="Arial" w:hAnsi="Arial" w:cs="Arial"/>
          <w:color w:val="FF0000"/>
          <w:sz w:val="16"/>
          <w:szCs w:val="16"/>
        </w:rPr>
        <w:t>Výnos dane podľa § 2 v znení účinnom od 1. januára 2025 sa rozdelí a poukáže obciam prvýkrát v januári 2025.</w:t>
      </w:r>
    </w:p>
    <w:p w:rsidR="0021555A" w:rsidRDefault="0021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1555A" w:rsidRDefault="0021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74E79">
        <w:rPr>
          <w:rFonts w:ascii="Arial" w:hAnsi="Arial" w:cs="Arial"/>
          <w:sz w:val="18"/>
          <w:szCs w:val="18"/>
        </w:rPr>
        <w:t>Čl.V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74E79">
        <w:rPr>
          <w:rFonts w:ascii="Arial" w:hAnsi="Arial" w:cs="Arial"/>
          <w:sz w:val="18"/>
          <w:szCs w:val="18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Tento zákon nadobúda účinnosť 1. januára 2005.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Zákon č. </w:t>
      </w:r>
      <w:hyperlink r:id="rId5" w:anchor="38;link='171/2005%20Z.z.'&amp;" w:history="1">
        <w:r w:rsidRPr="00C74E79">
          <w:rPr>
            <w:rFonts w:ascii="Arial" w:hAnsi="Arial" w:cs="Arial"/>
            <w:sz w:val="16"/>
            <w:szCs w:val="16"/>
          </w:rPr>
          <w:t>171/2005 Z.z.</w:t>
        </w:r>
      </w:hyperlink>
      <w:r w:rsidRPr="00C74E79">
        <w:rPr>
          <w:rFonts w:ascii="Arial" w:hAnsi="Arial" w:cs="Arial"/>
          <w:sz w:val="16"/>
          <w:szCs w:val="16"/>
        </w:rPr>
        <w:t xml:space="preserve"> nadobudol účinnosť 1. májom 2005.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Zákon č. </w:t>
      </w:r>
      <w:hyperlink r:id="rId6" w:anchor="38;link='479/2009%20Z.z.'&amp;" w:history="1">
        <w:r w:rsidRPr="00C74E79">
          <w:rPr>
            <w:rFonts w:ascii="Arial" w:hAnsi="Arial" w:cs="Arial"/>
            <w:sz w:val="16"/>
            <w:szCs w:val="16"/>
          </w:rPr>
          <w:t>479/2009 Z.z.</w:t>
        </w:r>
      </w:hyperlink>
      <w:r w:rsidRPr="00C74E79">
        <w:rPr>
          <w:rFonts w:ascii="Arial" w:hAnsi="Arial" w:cs="Arial"/>
          <w:sz w:val="16"/>
          <w:szCs w:val="16"/>
        </w:rPr>
        <w:t xml:space="preserve"> nadobudol účinnosť 1. januárom 2012.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Zákon č. </w:t>
      </w:r>
      <w:hyperlink r:id="rId7" w:anchor="38;link='38/2011%20Z.z.'&amp;" w:history="1">
        <w:r w:rsidRPr="00C74E79">
          <w:rPr>
            <w:rFonts w:ascii="Arial" w:hAnsi="Arial" w:cs="Arial"/>
            <w:sz w:val="16"/>
            <w:szCs w:val="16"/>
          </w:rPr>
          <w:t>38/2011 Z.z.</w:t>
        </w:r>
      </w:hyperlink>
      <w:r w:rsidRPr="00C74E79">
        <w:rPr>
          <w:rFonts w:ascii="Arial" w:hAnsi="Arial" w:cs="Arial"/>
          <w:sz w:val="16"/>
          <w:szCs w:val="16"/>
        </w:rPr>
        <w:t xml:space="preserve"> nadobudol účinnosť 1. marcom 2011.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Zákon č. </w:t>
      </w:r>
      <w:hyperlink r:id="rId8" w:anchor="38;link='548/2011%20Z.z.'&amp;" w:history="1">
        <w:r w:rsidRPr="00C74E79">
          <w:rPr>
            <w:rFonts w:ascii="Arial" w:hAnsi="Arial" w:cs="Arial"/>
            <w:sz w:val="16"/>
            <w:szCs w:val="16"/>
          </w:rPr>
          <w:t>548/2011 Z.z.</w:t>
        </w:r>
      </w:hyperlink>
      <w:r w:rsidRPr="00C74E79">
        <w:rPr>
          <w:rFonts w:ascii="Arial" w:hAnsi="Arial" w:cs="Arial"/>
          <w:sz w:val="16"/>
          <w:szCs w:val="16"/>
        </w:rPr>
        <w:t xml:space="preserve"> nadobudol účinnosť 1. januárom 2012.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Zákon č. </w:t>
      </w:r>
      <w:hyperlink r:id="rId9" w:anchor="38;link='463/2013%20Z.z.'&amp;" w:history="1">
        <w:r w:rsidRPr="00C74E79">
          <w:rPr>
            <w:rFonts w:ascii="Arial" w:hAnsi="Arial" w:cs="Arial"/>
            <w:sz w:val="16"/>
            <w:szCs w:val="16"/>
          </w:rPr>
          <w:t>463/2013 Z.z.</w:t>
        </w:r>
      </w:hyperlink>
      <w:r w:rsidRPr="00C74E79">
        <w:rPr>
          <w:rFonts w:ascii="Arial" w:hAnsi="Arial" w:cs="Arial"/>
          <w:sz w:val="16"/>
          <w:szCs w:val="16"/>
        </w:rPr>
        <w:t xml:space="preserve"> nadobudol účinnosť 1. januárom 2014.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Zákony č. </w:t>
      </w:r>
      <w:hyperlink r:id="rId10" w:anchor="38;link='333/2014%20Z.z.'&amp;" w:history="1">
        <w:r w:rsidRPr="00C74E79">
          <w:rPr>
            <w:rFonts w:ascii="Arial" w:hAnsi="Arial" w:cs="Arial"/>
            <w:sz w:val="16"/>
            <w:szCs w:val="16"/>
          </w:rPr>
          <w:t>333/2014 Z.z.</w:t>
        </w:r>
      </w:hyperlink>
      <w:r w:rsidRPr="00C74E79">
        <w:rPr>
          <w:rFonts w:ascii="Arial" w:hAnsi="Arial" w:cs="Arial"/>
          <w:sz w:val="16"/>
          <w:szCs w:val="16"/>
        </w:rPr>
        <w:t xml:space="preserve"> a č. </w:t>
      </w:r>
      <w:hyperlink r:id="rId11" w:anchor="38;link='361/2014%20Z.z.'&amp;" w:history="1">
        <w:r w:rsidRPr="00C74E79">
          <w:rPr>
            <w:rFonts w:ascii="Arial" w:hAnsi="Arial" w:cs="Arial"/>
            <w:sz w:val="16"/>
            <w:szCs w:val="16"/>
          </w:rPr>
          <w:t>361/2014 Z.z.</w:t>
        </w:r>
      </w:hyperlink>
      <w:r w:rsidRPr="00C74E79">
        <w:rPr>
          <w:rFonts w:ascii="Arial" w:hAnsi="Arial" w:cs="Arial"/>
          <w:sz w:val="16"/>
          <w:szCs w:val="16"/>
        </w:rPr>
        <w:t xml:space="preserve"> nadobudli účinnosť 1. januárom 2015.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Zákon č. </w:t>
      </w:r>
      <w:hyperlink r:id="rId12" w:anchor="38;link='337/2015%20Z.z.'&amp;" w:history="1">
        <w:r w:rsidRPr="00C74E79">
          <w:rPr>
            <w:rFonts w:ascii="Arial" w:hAnsi="Arial" w:cs="Arial"/>
            <w:sz w:val="16"/>
            <w:szCs w:val="16"/>
          </w:rPr>
          <w:t>337/2015 Z.z.</w:t>
        </w:r>
      </w:hyperlink>
      <w:r w:rsidRPr="00C74E79">
        <w:rPr>
          <w:rFonts w:ascii="Arial" w:hAnsi="Arial" w:cs="Arial"/>
          <w:sz w:val="16"/>
          <w:szCs w:val="16"/>
        </w:rPr>
        <w:t xml:space="preserve"> nadobudol účinnosť 1. januárom 2016.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Zákon č. </w:t>
      </w:r>
      <w:hyperlink r:id="rId13" w:anchor="38;link='371/2020%20Z.z.'&amp;" w:history="1">
        <w:r w:rsidRPr="00C74E79">
          <w:rPr>
            <w:rFonts w:ascii="Arial" w:hAnsi="Arial" w:cs="Arial"/>
            <w:sz w:val="16"/>
            <w:szCs w:val="16"/>
          </w:rPr>
          <w:t>371/2020 Z.z.</w:t>
        </w:r>
      </w:hyperlink>
      <w:r w:rsidRPr="00C74E79">
        <w:rPr>
          <w:rFonts w:ascii="Arial" w:hAnsi="Arial" w:cs="Arial"/>
          <w:sz w:val="16"/>
          <w:szCs w:val="16"/>
        </w:rPr>
        <w:t xml:space="preserve"> nadobudol účinnosť 1. januárom 2021.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Zákon č. </w:t>
      </w:r>
      <w:hyperlink r:id="rId14" w:anchor="38;link='394/2022%20Z.z.'&amp;" w:history="1">
        <w:r w:rsidRPr="00C74E79">
          <w:rPr>
            <w:rFonts w:ascii="Arial" w:hAnsi="Arial" w:cs="Arial"/>
            <w:sz w:val="16"/>
            <w:szCs w:val="16"/>
          </w:rPr>
          <w:t>394/2022 Z.z.</w:t>
        </w:r>
      </w:hyperlink>
      <w:r w:rsidRPr="00C74E79">
        <w:rPr>
          <w:rFonts w:ascii="Arial" w:hAnsi="Arial" w:cs="Arial"/>
          <w:sz w:val="16"/>
          <w:szCs w:val="16"/>
        </w:rPr>
        <w:t xml:space="preserve"> nadobudol účinnosť 29. novembrom 2022.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Zákon č. </w:t>
      </w:r>
      <w:hyperlink r:id="rId15" w:anchor="38;link='496/2022%20Z.z.'&amp;" w:history="1">
        <w:r w:rsidRPr="00C74E79">
          <w:rPr>
            <w:rFonts w:ascii="Arial" w:hAnsi="Arial" w:cs="Arial"/>
            <w:sz w:val="16"/>
            <w:szCs w:val="16"/>
          </w:rPr>
          <w:t>496/2022 Z.z.</w:t>
        </w:r>
      </w:hyperlink>
      <w:r w:rsidRPr="00C74E79">
        <w:rPr>
          <w:rFonts w:ascii="Arial" w:hAnsi="Arial" w:cs="Arial"/>
          <w:sz w:val="16"/>
          <w:szCs w:val="16"/>
        </w:rPr>
        <w:t xml:space="preserve"> nadobudol účinnosť 1. januárom 2023.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ab/>
        <w:t xml:space="preserve">Zákon č. </w:t>
      </w:r>
      <w:hyperlink r:id="rId16" w:anchor="38;link='130/2023%20Z.z.'&amp;" w:history="1">
        <w:r w:rsidRPr="00C74E79">
          <w:rPr>
            <w:rFonts w:ascii="Arial" w:hAnsi="Arial" w:cs="Arial"/>
            <w:sz w:val="16"/>
            <w:szCs w:val="16"/>
          </w:rPr>
          <w:t>130/2023 Z.z.</w:t>
        </w:r>
      </w:hyperlink>
      <w:r w:rsidRPr="00C74E79">
        <w:rPr>
          <w:rFonts w:ascii="Arial" w:hAnsi="Arial" w:cs="Arial"/>
          <w:sz w:val="16"/>
          <w:szCs w:val="16"/>
        </w:rPr>
        <w:t xml:space="preserve"> nadobudol účinnosť 19. aprílom 2023.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C74E79">
        <w:rPr>
          <w:rFonts w:ascii="Arial" w:hAnsi="Arial" w:cs="Arial"/>
          <w:b/>
          <w:bCs/>
          <w:sz w:val="16"/>
          <w:szCs w:val="16"/>
        </w:rPr>
        <w:t xml:space="preserve">Ivan Gašparovič v.r.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C74E79">
        <w:rPr>
          <w:rFonts w:ascii="Arial" w:hAnsi="Arial" w:cs="Arial"/>
          <w:b/>
          <w:bCs/>
          <w:sz w:val="16"/>
          <w:szCs w:val="16"/>
        </w:rPr>
        <w:t xml:space="preserve">Pavol Hrušovský v.r.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C74E79">
        <w:rPr>
          <w:rFonts w:ascii="Arial" w:hAnsi="Arial" w:cs="Arial"/>
          <w:b/>
          <w:bCs/>
          <w:sz w:val="16"/>
          <w:szCs w:val="16"/>
        </w:rPr>
        <w:t xml:space="preserve">Mikuláš Dzurinda v.r. 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>____________________</w:t>
      </w:r>
    </w:p>
    <w:p w:rsidR="00701507" w:rsidRPr="00C74E79" w:rsidRDefault="00701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4E79">
        <w:rPr>
          <w:rFonts w:ascii="Arial" w:hAnsi="Arial" w:cs="Arial"/>
          <w:sz w:val="16"/>
          <w:szCs w:val="16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C74E79">
        <w:rPr>
          <w:rFonts w:ascii="Arial" w:hAnsi="Arial" w:cs="Arial"/>
          <w:sz w:val="14"/>
          <w:szCs w:val="14"/>
        </w:rPr>
        <w:t xml:space="preserve">1) Zákon č. </w:t>
      </w:r>
      <w:hyperlink r:id="rId17" w:anchor="38;link='595/2003%20Z.z.'&amp;" w:history="1">
        <w:r w:rsidRPr="00C74E79">
          <w:rPr>
            <w:rFonts w:ascii="Arial" w:hAnsi="Arial" w:cs="Arial"/>
            <w:sz w:val="14"/>
            <w:szCs w:val="14"/>
          </w:rPr>
          <w:t>595/2003 Z.z.</w:t>
        </w:r>
      </w:hyperlink>
      <w:r w:rsidRPr="00C74E79">
        <w:rPr>
          <w:rFonts w:ascii="Arial" w:hAnsi="Arial" w:cs="Arial"/>
          <w:sz w:val="14"/>
          <w:szCs w:val="14"/>
        </w:rPr>
        <w:t xml:space="preserve"> o dani z príjmov znení neskorších predpisov.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C74E79">
        <w:rPr>
          <w:rFonts w:ascii="Arial" w:hAnsi="Arial" w:cs="Arial"/>
          <w:sz w:val="14"/>
          <w:szCs w:val="14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C74E79">
        <w:rPr>
          <w:rFonts w:ascii="Arial" w:hAnsi="Arial" w:cs="Arial"/>
          <w:sz w:val="14"/>
          <w:szCs w:val="14"/>
        </w:rPr>
        <w:t xml:space="preserve">2) </w:t>
      </w:r>
      <w:hyperlink r:id="rId18" w:anchor="38;link='523/2004%20Z.z.%25233'&amp;" w:history="1">
        <w:r w:rsidRPr="00C74E79">
          <w:rPr>
            <w:rFonts w:ascii="Arial" w:hAnsi="Arial" w:cs="Arial"/>
            <w:sz w:val="14"/>
            <w:szCs w:val="14"/>
          </w:rPr>
          <w:t>§ 3 zákona č. 523/2004 Z.z.</w:t>
        </w:r>
      </w:hyperlink>
      <w:r w:rsidRPr="00C74E79">
        <w:rPr>
          <w:rFonts w:ascii="Arial" w:hAnsi="Arial" w:cs="Arial"/>
          <w:sz w:val="14"/>
          <w:szCs w:val="14"/>
        </w:rPr>
        <w:t xml:space="preserve"> o rozpočtových pravidlách verejnej správy a o zmene a doplnení niektorých zákonov.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C74E79">
        <w:rPr>
          <w:rFonts w:ascii="Arial" w:hAnsi="Arial" w:cs="Arial"/>
          <w:sz w:val="14"/>
          <w:szCs w:val="14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C74E79">
        <w:rPr>
          <w:rFonts w:ascii="Arial" w:hAnsi="Arial" w:cs="Arial"/>
          <w:sz w:val="14"/>
          <w:szCs w:val="14"/>
        </w:rPr>
        <w:t xml:space="preserve">3) Zákon č. </w:t>
      </w:r>
      <w:hyperlink r:id="rId19" w:anchor="38;link='598/2003%20Z.z.'&amp;" w:history="1">
        <w:r w:rsidRPr="00C74E79">
          <w:rPr>
            <w:rFonts w:ascii="Arial" w:hAnsi="Arial" w:cs="Arial"/>
            <w:sz w:val="14"/>
            <w:szCs w:val="14"/>
          </w:rPr>
          <w:t>598/2003 Z.z.</w:t>
        </w:r>
      </w:hyperlink>
      <w:r w:rsidRPr="00C74E79">
        <w:rPr>
          <w:rFonts w:ascii="Arial" w:hAnsi="Arial" w:cs="Arial"/>
          <w:sz w:val="14"/>
          <w:szCs w:val="14"/>
        </w:rPr>
        <w:t xml:space="preserve"> o štátnom rozpočte na rok 2004.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C74E79">
        <w:rPr>
          <w:rFonts w:ascii="Arial" w:hAnsi="Arial" w:cs="Arial"/>
          <w:sz w:val="14"/>
          <w:szCs w:val="14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C74E79">
        <w:rPr>
          <w:rFonts w:ascii="Arial" w:hAnsi="Arial" w:cs="Arial"/>
          <w:sz w:val="14"/>
          <w:szCs w:val="14"/>
        </w:rPr>
        <w:t xml:space="preserve">4) </w:t>
      </w:r>
      <w:hyperlink r:id="rId20" w:anchor="38;link='523/2004%20Z.z.%252333'&amp;" w:history="1">
        <w:r w:rsidRPr="00C74E79">
          <w:rPr>
            <w:rFonts w:ascii="Arial" w:hAnsi="Arial" w:cs="Arial"/>
            <w:sz w:val="14"/>
            <w:szCs w:val="14"/>
          </w:rPr>
          <w:t>§ 33 zákona č. 523/2004 Z.z.</w:t>
        </w:r>
      </w:hyperlink>
      <w:r w:rsidRPr="00C74E79">
        <w:rPr>
          <w:rFonts w:ascii="Arial" w:hAnsi="Arial" w:cs="Arial"/>
          <w:sz w:val="14"/>
          <w:szCs w:val="14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C74E79">
        <w:rPr>
          <w:rFonts w:ascii="Arial" w:hAnsi="Arial" w:cs="Arial"/>
          <w:sz w:val="14"/>
          <w:szCs w:val="14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C74E79">
        <w:rPr>
          <w:rFonts w:ascii="Arial" w:hAnsi="Arial" w:cs="Arial"/>
          <w:sz w:val="14"/>
          <w:szCs w:val="14"/>
        </w:rPr>
        <w:t xml:space="preserve">5) </w:t>
      </w:r>
      <w:hyperlink r:id="rId21" w:anchor="38;link='597/2003%20Z.z.%25239j'&amp;" w:history="1">
        <w:r w:rsidRPr="00C74E79">
          <w:rPr>
            <w:rFonts w:ascii="Arial" w:hAnsi="Arial" w:cs="Arial"/>
            <w:sz w:val="14"/>
            <w:szCs w:val="14"/>
          </w:rPr>
          <w:t>§ 9j zákona č. 597/2003 Z.z.</w:t>
        </w:r>
      </w:hyperlink>
      <w:r w:rsidRPr="00C74E79">
        <w:rPr>
          <w:rFonts w:ascii="Arial" w:hAnsi="Arial" w:cs="Arial"/>
          <w:sz w:val="14"/>
          <w:szCs w:val="14"/>
        </w:rPr>
        <w:t xml:space="preserve"> o financovaní základných škôl, stredných škôl a školských zariadení v znení zákona č. </w:t>
      </w:r>
      <w:hyperlink r:id="rId22" w:anchor="38;link='371/2020%20Z.z.'&amp;" w:history="1">
        <w:r w:rsidRPr="00C74E79">
          <w:rPr>
            <w:rFonts w:ascii="Arial" w:hAnsi="Arial" w:cs="Arial"/>
            <w:sz w:val="14"/>
            <w:szCs w:val="14"/>
          </w:rPr>
          <w:t>371/2020 Z.z.</w:t>
        </w:r>
      </w:hyperlink>
      <w:r w:rsidRPr="00C74E79">
        <w:rPr>
          <w:rFonts w:ascii="Arial" w:hAnsi="Arial" w:cs="Arial"/>
          <w:sz w:val="14"/>
          <w:szCs w:val="14"/>
        </w:rPr>
        <w:t xml:space="preserve"> </w:t>
      </w:r>
    </w:p>
    <w:p w:rsidR="00701507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C74E79">
        <w:rPr>
          <w:rFonts w:ascii="Arial" w:hAnsi="Arial" w:cs="Arial"/>
          <w:sz w:val="14"/>
          <w:szCs w:val="14"/>
        </w:rPr>
        <w:t xml:space="preserve"> </w:t>
      </w:r>
    </w:p>
    <w:p w:rsidR="00172402" w:rsidRPr="00C74E79" w:rsidRDefault="00172402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74E79">
        <w:rPr>
          <w:rFonts w:ascii="Arial" w:hAnsi="Arial" w:cs="Arial"/>
          <w:sz w:val="14"/>
          <w:szCs w:val="14"/>
        </w:rPr>
        <w:t xml:space="preserve">6) </w:t>
      </w:r>
      <w:hyperlink r:id="rId23" w:anchor="38;link='597/2003%20Z.z.%25239o'&amp;" w:history="1">
        <w:r w:rsidRPr="00C74E79">
          <w:rPr>
            <w:rFonts w:ascii="Arial" w:hAnsi="Arial" w:cs="Arial"/>
            <w:sz w:val="14"/>
            <w:szCs w:val="14"/>
          </w:rPr>
          <w:t>§ 9o zákona č. 597/2003 Z.z.</w:t>
        </w:r>
      </w:hyperlink>
      <w:r w:rsidRPr="00C74E79">
        <w:rPr>
          <w:rFonts w:ascii="Arial" w:hAnsi="Arial" w:cs="Arial"/>
          <w:sz w:val="14"/>
          <w:szCs w:val="14"/>
        </w:rPr>
        <w:t xml:space="preserve"> v znení zákona č. </w:t>
      </w:r>
      <w:hyperlink r:id="rId24" w:anchor="38;link='394/2022%20Z.z.'&amp;" w:history="1">
        <w:r w:rsidRPr="00C74E79">
          <w:rPr>
            <w:rFonts w:ascii="Arial" w:hAnsi="Arial" w:cs="Arial"/>
            <w:sz w:val="14"/>
            <w:szCs w:val="14"/>
          </w:rPr>
          <w:t>394/2022 Z.z.</w:t>
        </w:r>
      </w:hyperlink>
    </w:p>
    <w:sectPr w:rsidR="00172402" w:rsidRPr="00C74E79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79"/>
    <w:rsid w:val="00050D0F"/>
    <w:rsid w:val="00093051"/>
    <w:rsid w:val="00172402"/>
    <w:rsid w:val="0021555A"/>
    <w:rsid w:val="0046384E"/>
    <w:rsid w:val="00582B7F"/>
    <w:rsid w:val="00701507"/>
    <w:rsid w:val="007F3B4E"/>
    <w:rsid w:val="00B763AB"/>
    <w:rsid w:val="00C74E79"/>
    <w:rsid w:val="00D43A0B"/>
    <w:rsid w:val="00FA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7A59A"/>
  <w14:defaultImageDpi w14:val="0"/>
  <w15:docId w15:val="{A719CFF0-1EC5-4CFA-941F-B3B9BE9E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15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5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644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9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" TargetMode="External"/><Relationship Id="rId13" Type="http://schemas.openxmlformats.org/officeDocument/2006/relationships/hyperlink" Target="aspi://module='ASPI'&amp;" TargetMode="External"/><Relationship Id="rId18" Type="http://schemas.openxmlformats.org/officeDocument/2006/relationships/hyperlink" Target="aspi://module='ASPI'&amp;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aspi://module='ASPI'&amp;" TargetMode="External"/><Relationship Id="rId7" Type="http://schemas.openxmlformats.org/officeDocument/2006/relationships/hyperlink" Target="aspi://module='ASPI'&amp;" TargetMode="External"/><Relationship Id="rId12" Type="http://schemas.openxmlformats.org/officeDocument/2006/relationships/hyperlink" Target="aspi://module='ASPI'&amp;" TargetMode="External"/><Relationship Id="rId17" Type="http://schemas.openxmlformats.org/officeDocument/2006/relationships/hyperlink" Target="aspi://module='ASPI'&amp;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aspi://module='ASPI'&amp;" TargetMode="External"/><Relationship Id="rId20" Type="http://schemas.openxmlformats.org/officeDocument/2006/relationships/hyperlink" Target="aspi://module='ASPI'&amp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aspi://module='ASPI'&amp;" TargetMode="External"/><Relationship Id="rId11" Type="http://schemas.openxmlformats.org/officeDocument/2006/relationships/hyperlink" Target="aspi://module='ASPI'&amp;" TargetMode="External"/><Relationship Id="rId24" Type="http://schemas.openxmlformats.org/officeDocument/2006/relationships/hyperlink" Target="aspi://module='ASPI'&amp;" TargetMode="External"/><Relationship Id="rId5" Type="http://schemas.openxmlformats.org/officeDocument/2006/relationships/hyperlink" Target="aspi://module='ASPI'&amp;" TargetMode="External"/><Relationship Id="rId15" Type="http://schemas.openxmlformats.org/officeDocument/2006/relationships/hyperlink" Target="aspi://module='ASPI'&amp;" TargetMode="External"/><Relationship Id="rId23" Type="http://schemas.openxmlformats.org/officeDocument/2006/relationships/hyperlink" Target="aspi://module='ASPI'&amp;" TargetMode="External"/><Relationship Id="rId10" Type="http://schemas.openxmlformats.org/officeDocument/2006/relationships/hyperlink" Target="aspi://module='ASPI'&amp;" TargetMode="External"/><Relationship Id="rId19" Type="http://schemas.openxmlformats.org/officeDocument/2006/relationships/hyperlink" Target="aspi://module='ASPI'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" TargetMode="External"/><Relationship Id="rId14" Type="http://schemas.openxmlformats.org/officeDocument/2006/relationships/hyperlink" Target="aspi://module='ASPI'&amp;" TargetMode="External"/><Relationship Id="rId22" Type="http://schemas.openxmlformats.org/officeDocument/2006/relationships/hyperlink" Target="aspi://module='ASPI'&amp;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564_konsolid"/>
    <f:field ref="objsubject" par="" edit="true" text=""/>
    <f:field ref="objcreatedby" par="" text="Ludva, Alexander, Mgr."/>
    <f:field ref="objcreatedat" par="" text="24.5.2024 15:26:28"/>
    <f:field ref="objchangedby" par="" text="Administrator, System"/>
    <f:field ref="objmodifiedat" par="" text="24.5.2024 15:26:2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Ludva Alexander</dc:creator>
  <cp:keywords/>
  <dc:description/>
  <cp:lastModifiedBy>Ludva Alexander</cp:lastModifiedBy>
  <cp:revision>8</cp:revision>
  <cp:lastPrinted>2024-05-02T12:08:00Z</cp:lastPrinted>
  <dcterms:created xsi:type="dcterms:W3CDTF">2024-06-11T07:52:00Z</dcterms:created>
  <dcterms:modified xsi:type="dcterms:W3CDTF">2024-08-21T11:41:00Z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 dopĺňa zákon č. 597/2003 Z. z. o financovaní základných škôl, stredných škôl a školských zariadení v znení neskorších predpisov a ktorým sa menia a dopĺňajú niektoré zákony informovaná pros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Alexander Ludva</vt:lpwstr>
  </property>
  <property fmtid="{D5CDD505-2E9C-101B-9397-08002B2CF9AE}" pid="12" name="FSC#SKEDITIONSLOVLEX@103.510:zodppredkladatel">
    <vt:lpwstr>Tomáš Drucker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597/2003 Z. z. o financovaní základných škôl, stredných škôl a školských zariadení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školstva,výskumu,vývoja a mládeže Slovenskej republiky</vt:lpwstr>
  </property>
  <property fmtid="{D5CDD505-2E9C-101B-9397-08002B2CF9AE}" pid="20" name="FSC#SKEDITIONSLOVLEX@103.510:pripomienkovatelia">
    <vt:lpwstr>Ministerstvo školstva,výskumu,vývoja a mládeže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SR č. 221 z 28. apríla 2021 k návrhu Plánu obnovy a odolnosti Slovenskej republiky_x000d_
Programové vyhlásenie vlády SR na roky 2023-2027 </vt:lpwstr>
  </property>
  <property fmtid="{D5CDD505-2E9C-101B-9397-08002B2CF9AE}" pid="23" name="FSC#SKEDITIONSLOVLEX@103.510:plnynazovpredpis">
    <vt:lpwstr> Zákon, ktorým sa mení a dopĺňa zákon č. 597/2003 Z. z. o financovaní základných škôl, stredných škôl a školských zariadení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2024/10482:6 - 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LP/2024/244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Dokument je priložený ako nepovinná príloha</vt:lpwstr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Slovenskej republiky</vt:lpwstr>
  </property>
  <property fmtid="{D5CDD505-2E9C-101B-9397-08002B2CF9AE}" pid="142" name="FSC#SKEDITIONSLOVLEX@103.510:funkciaZodpPredAkuzativ">
    <vt:lpwstr>ministrovi školstva, vedy, výskumu a športu Slovenskej republiky</vt:lpwstr>
  </property>
  <property fmtid="{D5CDD505-2E9C-101B-9397-08002B2CF9AE}" pid="143" name="FSC#SKEDITIONSLOVLEX@103.510:funkciaZodpPredDativ">
    <vt:lpwstr>ministra školstva, vedy, výskumu a športu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Tomáš Drucker_x000d_
minister školstva, vedy, výskumu a športu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Dokument je priložený ako nepovinná príloha.</vt:lpwstr>
  </property>
  <property fmtid="{D5CDD505-2E9C-101B-9397-08002B2CF9AE}" pid="150" name="FSC#SKEDITIONSLOVLEX@103.510:vytvorenedna">
    <vt:lpwstr>24. 5. 2024</vt:lpwstr>
  </property>
  <property fmtid="{D5CDD505-2E9C-101B-9397-08002B2CF9AE}" pid="151" name="FSC#COOSYSTEM@1.1:Container">
    <vt:lpwstr>COO.2145.1000.3.6183988</vt:lpwstr>
  </property>
  <property fmtid="{D5CDD505-2E9C-101B-9397-08002B2CF9AE}" pid="152" name="FSC#FSCFOLIO@1.1001:docpropproject">
    <vt:lpwstr/>
  </property>
</Properties>
</file>