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0E93" w14:textId="77777777" w:rsidR="007D5748" w:rsidRPr="00BD708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9B1F25F" w14:textId="77777777" w:rsidR="007D5748" w:rsidRPr="00BD708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AABFF9B" w14:textId="393C2AFD" w:rsidR="005307FC" w:rsidRPr="00BD708C" w:rsidRDefault="004358A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bookmarkStart w:id="0" w:name="_GoBack"/>
      <w:bookmarkEnd w:id="0"/>
    </w:p>
    <w:p w14:paraId="53798FA9" w14:textId="77777777" w:rsidR="00E161E5" w:rsidRPr="00BD708C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8922A1" w14:textId="77777777" w:rsidR="00E963A3" w:rsidRPr="00BD708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1D026B55" w14:textId="77777777" w:rsidR="007D5748" w:rsidRPr="00BD708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CA1407"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701"/>
        <w:gridCol w:w="1559"/>
        <w:gridCol w:w="1559"/>
      </w:tblGrid>
      <w:tr w:rsidR="009E0EC0" w:rsidRPr="00BD708C" w14:paraId="7B678345" w14:textId="77777777" w:rsidTr="00C81621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00DC64A3" w14:textId="77777777"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249" w:type="dxa"/>
            <w:gridSpan w:val="4"/>
            <w:shd w:val="clear" w:color="auto" w:fill="BFBFBF" w:themeFill="background1" w:themeFillShade="BF"/>
            <w:vAlign w:val="center"/>
          </w:tcPr>
          <w:p w14:paraId="220D8301" w14:textId="77777777"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9E0EC0" w:rsidRPr="00BD708C" w14:paraId="4770A0CA" w14:textId="77777777" w:rsidTr="00FE6D21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4D23E577" w14:textId="77777777" w:rsidR="007D5748" w:rsidRPr="00BD708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7526DDF8" w14:textId="77777777"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7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1E67D4" w14:textId="77777777"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C823037" w14:textId="77777777"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80A618" w14:textId="77777777" w:rsidR="007D5748" w:rsidRPr="00BD708C" w:rsidRDefault="00AB68C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3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5C409E" w:rsidRPr="00BD708C" w14:paraId="6636C4B8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6D53675" w14:textId="77777777" w:rsidR="005C409E" w:rsidRPr="00BD708C" w:rsidRDefault="005C409E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  <w:vAlign w:val="center"/>
          </w:tcPr>
          <w:p w14:paraId="7C96EE82" w14:textId="77777777" w:rsidR="005C409E" w:rsidRPr="00BD708C" w:rsidRDefault="005C409E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548E06C" w14:textId="77777777" w:rsidR="005C409E" w:rsidRPr="00BD708C" w:rsidRDefault="005C409E" w:rsidP="000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7D657FE" w14:textId="77777777" w:rsidR="005C409E" w:rsidRPr="00BD708C" w:rsidRDefault="000160C6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4FA6D10" w14:textId="77777777" w:rsidR="005C409E" w:rsidRPr="00BD708C" w:rsidRDefault="000160C6" w:rsidP="005C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14:paraId="795295D7" w14:textId="77777777" w:rsidTr="00FE6D2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E25B2BD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DPFO </w:t>
            </w:r>
          </w:p>
        </w:tc>
        <w:tc>
          <w:tcPr>
            <w:tcW w:w="1430" w:type="dxa"/>
            <w:noWrap/>
            <w:vAlign w:val="center"/>
          </w:tcPr>
          <w:p w14:paraId="6746EC14" w14:textId="77777777" w:rsidR="00AD03B2" w:rsidRPr="00083040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6DB98E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14:paraId="518697E2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337DA67F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76693777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14:paraId="3D81CE8F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37DE2761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60998F80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</w:p>
          <w:p w14:paraId="7E23047A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206FBA80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14:paraId="62C486A1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04B5509" w14:textId="77777777" w:rsidR="00AD03B2" w:rsidRPr="00B476A4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       </w:t>
            </w:r>
            <w:r w:rsidRPr="009D7B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DPFO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(</w:t>
            </w:r>
            <w:r w:rsidRPr="00B47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Obce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430" w:type="dxa"/>
            <w:noWrap/>
            <w:vAlign w:val="center"/>
          </w:tcPr>
          <w:p w14:paraId="150A24E5" w14:textId="77777777" w:rsidR="00AD03B2" w:rsidRPr="00BD708C" w:rsidRDefault="006E0587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1362AF3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561A8A3D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3361775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5D2EC06A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65988556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2740247D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14:paraId="695BA801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6DC9AC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14:paraId="16DE96A4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14:paraId="7445CC2B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4B68F79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AAAE68D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14:paraId="1958492E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C492712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1D6CCF48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258CCCD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53B5D7E5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02285D1D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6188CABE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7D6D77B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68156F36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14:paraId="144579C0" w14:textId="77777777" w:rsidTr="00FE6D21">
        <w:trPr>
          <w:trHeight w:val="402"/>
          <w:jc w:val="center"/>
        </w:trPr>
        <w:tc>
          <w:tcPr>
            <w:tcW w:w="4661" w:type="dxa"/>
            <w:noWrap/>
            <w:vAlign w:val="center"/>
          </w:tcPr>
          <w:p w14:paraId="6AFC2607" w14:textId="77777777" w:rsidR="00AD03B2" w:rsidRPr="00BD708C" w:rsidRDefault="00AD03B2" w:rsidP="00AD03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664BBCD9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298B6AA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37A44577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409B86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73F52867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1F1BEC75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0D4B13DB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14:paraId="56E44164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85C6F46" w14:textId="77777777" w:rsidR="00AD03B2" w:rsidRPr="00BD708C" w:rsidRDefault="00AD03B2" w:rsidP="00AD03B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14:paraId="1D25B6EF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AE7B4E2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6131593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52F6938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14:paraId="27927037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DAD6E13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51649316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A6B9813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2CB5C5A7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46C6CB6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5E93622C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72A2CF1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080AF62A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3B2" w:rsidRPr="00BD708C" w14:paraId="7335FEC3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7E7C858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51FDB40E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CF15FFF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2FC6420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799D2BA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14:paraId="74B1741F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97B6CD5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0F0B1A19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7F4E828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97B0D6A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0BE6EE8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14:paraId="3CA304B0" w14:textId="77777777" w:rsidTr="00FE6D21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6C0D228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3E4B1CFA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noWrap/>
            <w:vAlign w:val="center"/>
          </w:tcPr>
          <w:p w14:paraId="62A3717E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45E456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B5590DC" w14:textId="77777777" w:rsidR="00AD03B2" w:rsidRPr="00BD708C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14:paraId="03F187CE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F7B9B0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 </w:t>
            </w:r>
            <w:proofErr w:type="spellStart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**</w:t>
            </w:r>
          </w:p>
        </w:tc>
        <w:tc>
          <w:tcPr>
            <w:tcW w:w="1430" w:type="dxa"/>
            <w:noWrap/>
            <w:vAlign w:val="center"/>
          </w:tcPr>
          <w:p w14:paraId="3E9B886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FCCADBC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1A31E8BB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07BA02E9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060E683C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71C17320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256A8EB5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14:paraId="2C90A074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3F39957" w14:textId="77777777" w:rsidR="002F6599" w:rsidRPr="00B476A4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47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           Obce</w:t>
            </w:r>
          </w:p>
        </w:tc>
        <w:tc>
          <w:tcPr>
            <w:tcW w:w="1430" w:type="dxa"/>
            <w:noWrap/>
            <w:vAlign w:val="center"/>
          </w:tcPr>
          <w:p w14:paraId="134E7E9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55B347B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56F9336A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1365674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0C9F7E0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DB29CDF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2838F80C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14:paraId="35D00DE8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684F8B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14:paraId="13C05354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14:paraId="54496A19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1F781DD8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5E1DBC5C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14:paraId="5A009ED5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B25A1F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14:paraId="1A380CC3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34E62D6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2132AF52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07C8EC4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357DD4F6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375FC074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6F66E8DF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14:paraId="655202E3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4DA39E7" w14:textId="77777777" w:rsidR="002F6599" w:rsidRPr="00BD708C" w:rsidRDefault="002F6599" w:rsidP="002F659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14:paraId="22EC3BAB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BB9E669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05C93B71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13FA03BE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796E5182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1839DEFE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7F2C6600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F6599" w:rsidRPr="00BD708C" w14:paraId="742753FF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45A618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14:paraId="0901A23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EB8D400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3A9CA6F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3C7D44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14:paraId="48700A5F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3CE6449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14:paraId="3FEA07BB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037682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8A36421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F451629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14:paraId="6690A0CB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D4AB282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05AEF075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34B7A11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2196B58B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2DBF6765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22EE55A0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2C579CFD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- 559 639 294</w:t>
            </w:r>
          </w:p>
          <w:p w14:paraId="382E62CA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4350E" w:rsidRPr="00BD708C" w14:paraId="1481C127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5757B8A" w14:textId="77777777"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17113746" w14:textId="77777777"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14:paraId="0A823F9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1CF32F1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4E21746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0A3BC76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6B34F59B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DBB72E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180F3A87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B450637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20C3629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98695F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590B6FC2" w14:textId="77777777" w:rsidTr="00FE6D2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9BF2E52" w14:textId="77777777"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660F919" w14:textId="77777777" w:rsidR="0024350E" w:rsidRPr="00BD708C" w:rsidRDefault="0024350E" w:rsidP="0024350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14:paraId="314110D8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830035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4FDD8E8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977191E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417B93F3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CB59D8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62426A51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8F57DC5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CE6A7F6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7C66773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2E629F87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CE79DB4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1C99E6B9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57350300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27C0EEE5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2F997D24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03E74CE6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8EC288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ŠR*</w:t>
            </w:r>
          </w:p>
        </w:tc>
        <w:tc>
          <w:tcPr>
            <w:tcW w:w="1430" w:type="dxa"/>
            <w:noWrap/>
            <w:vAlign w:val="center"/>
          </w:tcPr>
          <w:p w14:paraId="37C98FA2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A98047B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4F0B93A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1FEB80A" w14:textId="77777777" w:rsidR="0024350E" w:rsidRPr="004621A9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7D20E597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7DD14B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04D31DD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22D652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28F4A8A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E2B45C9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08AE72EB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14CD2F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231083AE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B986A93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13D645E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B403142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2161F563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7B4EDB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408CE4DA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83448FF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8E15B9F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8849557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15F6F814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60F9515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5ED7105B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7B9B6911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141AB49A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5F8F427F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2FF6DD53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97C6FF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ŠR*</w:t>
            </w:r>
          </w:p>
        </w:tc>
        <w:tc>
          <w:tcPr>
            <w:tcW w:w="1430" w:type="dxa"/>
            <w:noWrap/>
            <w:vAlign w:val="center"/>
          </w:tcPr>
          <w:p w14:paraId="5FB9F329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BB25384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33AF72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8293585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7F9AE9FD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9597DB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14:paraId="01EF6792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864EDF1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3092AF5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1C1B720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3AB43F74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0F84EC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14:paraId="6F6B45CC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1618AE4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619EFF9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7C17DE33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4C33B19F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F31D2F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14:paraId="1CB357F6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7424193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3DA69A3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5D1365C2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F6599" w:rsidRPr="00BD708C" w14:paraId="7D4F5EDB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631FB0C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7678F6D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C0C0C0"/>
            <w:noWrap/>
            <w:vAlign w:val="center"/>
          </w:tcPr>
          <w:p w14:paraId="19A27D22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09A751E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72FDC882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0D0208E8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221C727E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614 433 722</w:t>
            </w:r>
          </w:p>
          <w:p w14:paraId="386106D1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F6599" w:rsidRPr="00BD708C" w14:paraId="6A1CF34B" w14:textId="77777777" w:rsidTr="00FE6D2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F6FD14" w14:textId="77777777" w:rsidR="002F6599" w:rsidRPr="00BD708C" w:rsidRDefault="002F6599" w:rsidP="002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/078 ***</w:t>
            </w:r>
          </w:p>
        </w:tc>
        <w:tc>
          <w:tcPr>
            <w:tcW w:w="1430" w:type="dxa"/>
            <w:noWrap/>
            <w:vAlign w:val="center"/>
          </w:tcPr>
          <w:p w14:paraId="6657DC7A" w14:textId="77777777"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3B229F5" w14:textId="77777777"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75007C95" w14:textId="77777777" w:rsidR="002F6599" w:rsidRPr="00083040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2EB86581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731AC5A0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14:paraId="651C7B11" w14:textId="77777777" w:rsidR="002F6599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614 433 722</w:t>
            </w:r>
          </w:p>
          <w:p w14:paraId="10AA2367" w14:textId="77777777" w:rsidR="002F6599" w:rsidRPr="00BD708C" w:rsidRDefault="002F6599" w:rsidP="002F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4350E" w:rsidRPr="00BD708C" w14:paraId="2621D3F9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3AE6C05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0572EB9D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24C599D0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4BAA87BE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</w:tcPr>
          <w:p w14:paraId="6826734A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4350E" w:rsidRPr="00BD708C" w14:paraId="71A8E3F2" w14:textId="77777777" w:rsidTr="00FE6D2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ACDB51F" w14:textId="77777777" w:rsidR="0024350E" w:rsidRPr="00BD708C" w:rsidRDefault="0024350E" w:rsidP="0024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14:paraId="40AA52E8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14:paraId="613B76CE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</w:tcPr>
          <w:p w14:paraId="4149A596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A6A6A6" w:themeFill="background1" w:themeFillShade="A6"/>
            <w:noWrap/>
            <w:vAlign w:val="center"/>
          </w:tcPr>
          <w:p w14:paraId="416242C9" w14:textId="77777777" w:rsidR="0024350E" w:rsidRPr="00BD708C" w:rsidRDefault="0024350E" w:rsidP="0024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14:paraId="773DAD54" w14:textId="77777777" w:rsidR="00A73E03" w:rsidRPr="00BD708C" w:rsidRDefault="00A73E03" w:rsidP="00A73E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2F5772" w14:textId="77777777" w:rsidR="00A73E03" w:rsidRPr="00BD708C" w:rsidRDefault="00A73E03" w:rsidP="00A73E0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  <w:gridCol w:w="1560"/>
      </w:tblGrid>
      <w:tr w:rsidR="00A73E03" w:rsidRPr="00BD708C" w14:paraId="628E227B" w14:textId="77777777" w:rsidTr="000538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3A617D" w14:textId="77777777" w:rsidR="00A73E03" w:rsidRPr="00BD708C" w:rsidRDefault="00A73E03" w:rsidP="00D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BAF7A4" w14:textId="77777777"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BB128A" w14:textId="77777777"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C3084E" w14:textId="77777777"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227FD0" w14:textId="77777777" w:rsidR="00A73E03" w:rsidRPr="00BD708C" w:rsidRDefault="00A73E03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5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A73E03" w:rsidRPr="00BD708C" w14:paraId="21183A69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CDB350" w14:textId="77777777" w:rsidR="00A73E03" w:rsidRPr="00BD708C" w:rsidRDefault="00A73E03" w:rsidP="00D71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362" w14:textId="77777777"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BD98" w14:textId="77777777"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5CA4" w14:textId="77777777"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D31F" w14:textId="77777777" w:rsidR="00A73E03" w:rsidRPr="00BD708C" w:rsidRDefault="005C409E" w:rsidP="00D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D03B2" w:rsidRPr="00BD708C" w14:paraId="311582F2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858212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  <w:proofErr w:type="spellStart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proofErr w:type="spellEnd"/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  <w:r w:rsidR="002F65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1A8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310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20E3DCED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26D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54A30A62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357C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545A8E64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14:paraId="3A32C7F5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14D57FB" w14:textId="77777777" w:rsidR="00AD03B2" w:rsidRPr="009431B6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Obce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F866" w14:textId="77777777" w:rsidR="00AD03B2" w:rsidRPr="00083040" w:rsidRDefault="002057AD" w:rsidP="0020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2E15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5336AAFA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205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7DC8B765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AA2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1E0ED5F5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03B2" w:rsidRPr="00BD708C" w14:paraId="43EDCC25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2DE56F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AE97" w14:textId="77777777" w:rsidR="00AD03B2" w:rsidRPr="00083040" w:rsidRDefault="002057AD" w:rsidP="0020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8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937A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60C7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CC6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03B2" w:rsidRPr="00BD708C" w14:paraId="22B596D1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BD924B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B79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1B96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25E42009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CB3E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155AD86D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8B56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434755DB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D03B2" w:rsidRPr="00BD708C" w14:paraId="60ED32A7" w14:textId="77777777" w:rsidTr="000538A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6784C0" w14:textId="77777777" w:rsidR="00AD03B2" w:rsidRPr="00BD708C" w:rsidRDefault="00AD03B2" w:rsidP="00AD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5C3" w14:textId="77777777" w:rsidR="00AD03B2" w:rsidRPr="00BD708C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5C7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6B1DE842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6D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1EE2F3C1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009" w14:textId="77777777" w:rsidR="00AD03B2" w:rsidRDefault="00AD03B2" w:rsidP="00AD0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31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559 639 294</w:t>
            </w:r>
          </w:p>
          <w:p w14:paraId="42DE303B" w14:textId="77777777" w:rsidR="00AD03B2" w:rsidRPr="009431B6" w:rsidRDefault="00AD03B2" w:rsidP="00A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431B6" w:rsidRPr="00BD708C" w14:paraId="6A304BEA" w14:textId="77777777" w:rsidTr="000538A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BD2E1A" w14:textId="77777777" w:rsidR="009431B6" w:rsidRPr="00BD708C" w:rsidRDefault="009431B6" w:rsidP="0094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179" w14:textId="77777777"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103" w14:textId="77777777"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D075" w14:textId="77777777"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CD1B" w14:textId="77777777" w:rsidR="009431B6" w:rsidRPr="00BD708C" w:rsidRDefault="009431B6" w:rsidP="009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14:paraId="59DD384F" w14:textId="77777777" w:rsidR="00A73E03" w:rsidRPr="00BD708C" w:rsidRDefault="00A73E03" w:rsidP="00A73E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C6028C" w14:textId="77777777" w:rsidR="00274444" w:rsidRDefault="00274444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*Keďže mzdové výdavky zamestnancov </w:t>
      </w:r>
      <w:r w:rsidR="00EF09A4"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materských škôl</w:t>
      </w:r>
      <w:r w:rsidR="007F4A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</w:t>
      </w:r>
      <w:r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sú súčasťou bežného transferu (kat. 640) poskytovaného zriaďovateľom, nie sú vyčíslené v tab. č. 1, len v tab. č. 5  - doplnené riadky</w:t>
      </w:r>
      <w:r w:rsidR="00EF09A4" w:rsidRPr="00BD7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.</w:t>
      </w:r>
      <w:r w:rsidR="002F65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</w:t>
      </w:r>
    </w:p>
    <w:p w14:paraId="455C7227" w14:textId="77777777" w:rsidR="002F6599" w:rsidRDefault="002F6599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** Rozdiel vo výške 54 794 428 € medzi vplyvom na limit verejných výdavkov a výdavkami verejnej správy celkom predstavuje objem FP, ktoré má ministerstvo zabezpečené v rozpočte kapitoly na financovanie návrhu.</w:t>
      </w:r>
    </w:p>
    <w:p w14:paraId="06940BFA" w14:textId="77777777" w:rsidR="002F6599" w:rsidRPr="00BD708C" w:rsidRDefault="002F6599" w:rsidP="0027444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*** V objeme finančných prostriedkov zabezpečených v rozpočte  na financovanie návrhu sú započítané FP vo výške 559 639 294 €, o ktoré  sa navrhuje znížiť DPFO obcí a FP vo výške 54 794 428 €, ktoré má ministerstvo zabezpečené v rozpočte. </w:t>
      </w:r>
    </w:p>
    <w:p w14:paraId="789C2612" w14:textId="77777777" w:rsidR="00A73E03" w:rsidRPr="00BD708C" w:rsidRDefault="00A73E03" w:rsidP="005307F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6D7FD8" w14:textId="77777777" w:rsidR="001421A1" w:rsidRPr="00BD708C" w:rsidRDefault="001421A1" w:rsidP="00083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18CE4C53" w14:textId="77777777" w:rsidR="001421A1" w:rsidRPr="001056A8" w:rsidRDefault="001421A1" w:rsidP="001421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</w:t>
      </w:r>
      <w:r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nepredpokladá rozpočtovo nekrytý vplyv  na rozpočet verejnej správy</w:t>
      </w:r>
      <w:r w:rsidR="005B3E90"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nepredpokladá ani vplyv na príjmy a výdavky verejnej správy celkom,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nakoľko dochádza k vzájomnej kompenzácii vplyvov na príjmy 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obcí a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príjmy 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štátn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eho</w:t>
      </w:r>
      <w:r w:rsidRPr="001056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="0008304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 vzájomnej kompenzácii výdavkov obcí a výdavkov štátneho rozpočtu a k dofinancovaniu </w:t>
      </w:r>
      <w:r w:rsidR="001D65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zvýšených vý</w:t>
      </w:r>
      <w:r w:rsidR="0008304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davkov Ministerstva školstva, výskumu, vývoja a mládeže SR nad rámec vzájomnej kompenzácie z vlastných zdrojov.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Rovnako 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</w:t>
      </w:r>
      <w:r w:rsidR="00043879" w:rsidRPr="009229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nepredpokladá ani vplyv na limit výdavkov verejnej správy,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nakoľko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dochádza k vzájomnej kompenzácii vplyvov na limit verejných výdavkov štátneho rozpočtu a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verejných výdavkov obcí.</w:t>
      </w:r>
    </w:p>
    <w:p w14:paraId="3D52D13D" w14:textId="77777777" w:rsidR="001421A1" w:rsidRPr="00BD708C" w:rsidRDefault="001421A1" w:rsidP="001421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Úpravy vyplývajúce z návrhu zákona budú v rokoch 202</w:t>
      </w:r>
      <w:r w:rsidR="00093A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</w:t>
      </w:r>
      <w:r w:rsidR="009229A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B3E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finančne zabezpečené v rozpočtovej kapitole 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inisterstva školstva, výskumu, vývoja a mládeže 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SR</w:t>
      </w:r>
      <w:r w:rsidR="000438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rámci limitu verejných výdavkov ŠR</w:t>
      </w: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2D31D6C5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091396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3416165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423BED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7E01E3F0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925D4F" w14:textId="77777777" w:rsidR="001421A1" w:rsidRPr="002023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ávrh zákona, ktorým sa mení a dopĺňa zákon č. 597/2003 Z. z. o financovaní základných škôl, stredných škôl a školských zariadení v znení neskorších predpisov a ktorým sa dopĺňajú niektoré zákony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„návrh“)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, rieši </w:t>
      </w:r>
      <w:r w:rsidR="001421A1" w:rsidRPr="0020238C">
        <w:rPr>
          <w:rFonts w:ascii="Times New Roman" w:eastAsia="Times New Roman" w:hAnsi="Times New Roman" w:cs="Times New Roman"/>
          <w:b/>
          <w:sz w:val="24"/>
          <w:szCs w:val="24"/>
        </w:rPr>
        <w:t xml:space="preserve">zavedenie normatívneho financovania materských </w:t>
      </w:r>
      <w:r w:rsidR="001421A1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škôl</w:t>
      </w:r>
      <w:r w:rsidR="00DC4C7C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vrátane </w:t>
      </w:r>
      <w:r w:rsidR="00DC4C7C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materských škôl pre deti so zdravotným znevýhodnením (ďalej len „MŠ) </w:t>
      </w:r>
      <w:r w:rsidR="001421A1" w:rsidRPr="002023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zo </w:t>
      </w:r>
      <w:r w:rsidR="001421A1" w:rsidRPr="0020238C">
        <w:rPr>
          <w:rFonts w:ascii="Times New Roman" w:eastAsia="Times New Roman" w:hAnsi="Times New Roman" w:cs="Times New Roman"/>
          <w:b/>
          <w:sz w:val="24"/>
          <w:szCs w:val="24"/>
        </w:rPr>
        <w:t>štátneho rozpočtu (ďalej len „ŠR“) bez ohľadu na typ zriaďovateľa (obec, samosprávny kraj, cirkevný zriaďovateľ, súkromný zriaďovateľ).</w:t>
      </w:r>
    </w:p>
    <w:p w14:paraId="6F12618F" w14:textId="77777777" w:rsidR="001421A1" w:rsidRPr="002023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59E31" w14:textId="77777777" w:rsidR="001421A1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V súčasnosti sa osobné náklady a prevádzka MŠ</w:t>
      </w:r>
      <w:r w:rsidR="0071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1B6" w:rsidRPr="00CF6A1A">
        <w:rPr>
          <w:rFonts w:ascii="Times New Roman" w:eastAsia="Times New Roman" w:hAnsi="Times New Roman" w:cs="Times New Roman"/>
          <w:sz w:val="24"/>
          <w:szCs w:val="24"/>
        </w:rPr>
        <w:t>v zriaďovateľskej pôsobnosti obcí,  cirkevných a súkromných zriaďovateľov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 xml:space="preserve"> financujú z  výnosu dane z príjmov fyzických osôb (ďalej len „DPFO“)</w:t>
      </w:r>
      <w:r w:rsidR="009431B6" w:rsidRPr="00CF6A1A">
        <w:rPr>
          <w:rFonts w:ascii="Times New Roman" w:eastAsia="Times New Roman" w:hAnsi="Times New Roman" w:cs="Times New Roman"/>
          <w:sz w:val="24"/>
          <w:szCs w:val="24"/>
        </w:rPr>
        <w:t>, prostredníctvom rozpočtov obcí</w:t>
      </w:r>
      <w:r w:rsidR="00DC4C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898">
        <w:rPr>
          <w:rFonts w:ascii="Times New Roman" w:eastAsia="Times New Roman" w:hAnsi="Times New Roman" w:cs="Times New Roman"/>
          <w:sz w:val="24"/>
          <w:szCs w:val="24"/>
        </w:rPr>
        <w:t xml:space="preserve"> MŠ sú originálnou kompet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 xml:space="preserve">enciou územnej samosprávy a o výške poskytnutých finančných prostriedkov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pre MŠ rozhoduje samospráva, prípadne zriaďovateľ. </w:t>
      </w:r>
    </w:p>
    <w:p w14:paraId="37027F5D" w14:textId="77777777" w:rsidR="001D6560" w:rsidRPr="00BD708C" w:rsidRDefault="001D656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CEA26" w14:textId="77777777"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Navrhovaná zmena financovania spočíva v</w:t>
      </w:r>
      <w:r w:rsidR="00CF6A1A">
        <w:rPr>
          <w:rFonts w:ascii="Times New Roman" w:eastAsia="Times New Roman" w:hAnsi="Times New Roman" w:cs="Times New Roman"/>
          <w:sz w:val="24"/>
          <w:szCs w:val="24"/>
        </w:rPr>
        <w:t> zmene zdroja financovania</w:t>
      </w:r>
      <w:r w:rsidR="00CC2213">
        <w:rPr>
          <w:rFonts w:ascii="Times New Roman" w:eastAsia="Times New Roman" w:hAnsi="Times New Roman" w:cs="Times New Roman"/>
          <w:sz w:val="24"/>
          <w:szCs w:val="24"/>
        </w:rPr>
        <w:t xml:space="preserve"> tak,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že MŠ už nebudú financované z výnosu DPFO, ale zo ŠR, z kapitoly Ministerstva školstva, výskumu, vývoja a mládeže Slovenskej republiky (ďalej len „</w:t>
      </w:r>
      <w:r w:rsidR="00CC2213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“). Zjednotí sa systém financovania MŠ  bez ohľadu na typ zriaďovateľa. Nový spôsob financovania MŠ bude postavený na normatívnom princípe, finančné prostriedky sa budú prideľovať na základe počtu detí MŠ  a normatívu určeného pre MŠ v danom kalendárnom roku. Zároveň budú MŠ financované zo ŠR aj prostredníctvom nenormatívnych príspevkov</w:t>
      </w:r>
      <w:r w:rsidR="00EF149C">
        <w:rPr>
          <w:rFonts w:ascii="Times New Roman" w:eastAsia="Times New Roman" w:hAnsi="Times New Roman" w:cs="Times New Roman"/>
          <w:sz w:val="24"/>
          <w:szCs w:val="24"/>
        </w:rPr>
        <w:t xml:space="preserve"> (dopravné, odchodné, príspevok na súčasti výchovno-vzdelávacieho procesu MŠ, podporné opatrenia)</w:t>
      </w:r>
      <w:r w:rsidR="00CF6A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FAC11" w14:textId="77777777" w:rsidR="001421A1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48D02E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6763E7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70840A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86356B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BC3624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75EEFA" w14:textId="77777777" w:rsidR="00CF6A1A" w:rsidRPr="00BD708C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5DB5DF" w14:textId="77777777" w:rsidR="00CF6A1A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  <w:r w:rsidR="00CF6A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56173009" w14:textId="77777777" w:rsidR="00CF6A1A" w:rsidRDefault="00CF6A1A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9AA535" w14:textId="77777777" w:rsidR="00443570" w:rsidRDefault="00443570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C0B73A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941DECC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D10D3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x </w:t>
      </w: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34B4AE4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A84D74E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6544BA4E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8AC1C8D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1DD01B60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B6F6A9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>Návrhom sa plní jeden z cieľov Plánu obnovy a odolnosti SR schváleného uznesením vlády SR č. 221 z 28. apríla 2021– ide o  cieľ reformy 1 komponentu 6.</w:t>
      </w:r>
    </w:p>
    <w:p w14:paraId="2D21817F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19F47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>Reforma 1 komponentu 6 je „</w:t>
      </w:r>
      <w:r w:rsidRPr="00BD708C">
        <w:rPr>
          <w:rFonts w:ascii="Times New Roman" w:hAnsi="Times New Roman" w:cs="Times New Roman"/>
          <w:i/>
          <w:sz w:val="24"/>
          <w:szCs w:val="24"/>
        </w:rPr>
        <w:t>Zabezpečenie podmienok na implementáciu povinného predprimárneho vzdelávania pre deti od 5 rokov a zavedenie právneho nároku na miesto v materskej škole alebo u iných poskytovateľov predprimárneho vzdelávania od 3 rokov</w:t>
      </w:r>
      <w:r w:rsidRPr="00BD708C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86533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Tento cieľ reformy sa už z časti splnil  zákonom č.182/2023 Z. z., ktorým sa mení a dopĺňa zákon č. 245/2008 Z. z. o výchove a vzdelávaní (školský zákon) a o zmene a doplnení niektorých zákonov v znení neskorších predpisov a ktorým sa menia a dopĺňajú niektoré zákony.  </w:t>
      </w:r>
    </w:p>
    <w:p w14:paraId="524F197D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A095" w14:textId="77777777"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Navrhovanou novelou zákona č. 597/2003 Z. z. sa začne plniť ďalší cieľ reformy, a to  č. 16: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adobudnutie účinnosti nového normatívneho systému financovania predprimárneho vzdelávania na základe štandardizovaných skutočných ročných nákladov na zamestnancov a prevádzkové náklady MŠ. </w:t>
      </w:r>
    </w:p>
    <w:p w14:paraId="50CA5B9B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291D3A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0A5324B2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3866C" w14:textId="77777777" w:rsidR="001421A1" w:rsidRPr="00BD708C" w:rsidRDefault="001421A1" w:rsidP="0014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Zmenou financovania MŠ sa nepredpokladá vplyv na zvýšenie alebo zníženie poskytovania výchovno-vzdelávacej činnosti, ktorú deťom poskytujú MŠ. </w:t>
      </w:r>
    </w:p>
    <w:p w14:paraId="2C38BB32" w14:textId="77777777" w:rsidR="001421A1" w:rsidRPr="00BD708C" w:rsidRDefault="001421A1" w:rsidP="00142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1421A1" w:rsidRPr="00BD708C" w14:paraId="005DE221" w14:textId="77777777" w:rsidTr="001421A1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7723E77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4D311C8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421A1" w:rsidRPr="00BD708C" w14:paraId="07091609" w14:textId="77777777" w:rsidTr="001421A1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2CB8AF81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31C573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70AFFC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1C1CE8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8DB942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1421A1" w:rsidRPr="00BD708C" w14:paraId="52819697" w14:textId="77777777" w:rsidTr="001421A1">
        <w:trPr>
          <w:trHeight w:val="70"/>
        </w:trPr>
        <w:tc>
          <w:tcPr>
            <w:tcW w:w="4530" w:type="dxa"/>
          </w:tcPr>
          <w:p w14:paraId="029F10E5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2B57C875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B1EAE0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18C70F7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3D66231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4DA2BB2A" w14:textId="77777777" w:rsidTr="001421A1">
        <w:trPr>
          <w:trHeight w:val="70"/>
        </w:trPr>
        <w:tc>
          <w:tcPr>
            <w:tcW w:w="4530" w:type="dxa"/>
          </w:tcPr>
          <w:p w14:paraId="507B0B4F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1B6DB83C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B4183CD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B6A3D8A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5C7D0D1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60C0ED5A" w14:textId="77777777" w:rsidTr="001421A1">
        <w:trPr>
          <w:trHeight w:val="70"/>
        </w:trPr>
        <w:tc>
          <w:tcPr>
            <w:tcW w:w="4530" w:type="dxa"/>
          </w:tcPr>
          <w:p w14:paraId="76F320E8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68425EA3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53584E1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1379AA3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D340C19" w14:textId="77777777" w:rsidR="001421A1" w:rsidRPr="00BD708C" w:rsidRDefault="001421A1" w:rsidP="00142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45E8BEE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2B1B6E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C80901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F0E2E20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0C5565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08C">
        <w:rPr>
          <w:rFonts w:ascii="Times New Roman" w:eastAsia="Times New Roman" w:hAnsi="Times New Roman" w:cs="Times New Roman"/>
          <w:sz w:val="24"/>
          <w:szCs w:val="24"/>
        </w:rPr>
        <w:t xml:space="preserve">MŠ sú v súčasnosti financované z výnosu DPFO na základe počtu detí podľa stavu k 15. 9. príslušného školského roka, pričom na základe týchto údajov sú zriaďovateľom MŠ poskytované podielové dane  od 1. 1. nasledujúceho kalendárneho roka. </w:t>
      </w:r>
    </w:p>
    <w:p w14:paraId="6A34F761" w14:textId="77777777" w:rsidR="001421A1" w:rsidRPr="002F17C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32F77" w14:textId="77777777" w:rsidR="002F17CB" w:rsidRPr="00575B5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Pri kvantifikovaní </w:t>
      </w:r>
      <w:r w:rsidR="00CC2213" w:rsidRPr="002F17CB">
        <w:rPr>
          <w:rFonts w:ascii="Times New Roman" w:eastAsia="Times New Roman" w:hAnsi="Times New Roman" w:cs="Times New Roman"/>
          <w:sz w:val="24"/>
          <w:szCs w:val="24"/>
        </w:rPr>
        <w:t xml:space="preserve">vplyvu navrhovanej legislatívnej úpravy na rozpočet obcí </w:t>
      </w:r>
      <w:r w:rsidR="009D3F84" w:rsidRPr="002F17CB">
        <w:rPr>
          <w:rFonts w:ascii="Times New Roman" w:eastAsia="Times New Roman" w:hAnsi="Times New Roman" w:cs="Times New Roman"/>
          <w:sz w:val="24"/>
          <w:szCs w:val="24"/>
        </w:rPr>
        <w:t>sa</w:t>
      </w:r>
      <w:r w:rsidR="00B14643" w:rsidRPr="002F17CB">
        <w:rPr>
          <w:rFonts w:ascii="Times New Roman" w:eastAsia="Times New Roman" w:hAnsi="Times New Roman" w:cs="Times New Roman"/>
          <w:sz w:val="24"/>
          <w:szCs w:val="24"/>
        </w:rPr>
        <w:t xml:space="preserve"> vychádzalo</w:t>
      </w:r>
      <w:r w:rsidR="00ED4BA5" w:rsidRPr="002F17C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4BA5" w:rsidRPr="002F17CB">
        <w:rPr>
          <w:rFonts w:ascii="Times New Roman" w:eastAsia="Times New Roman" w:hAnsi="Times New Roman" w:cs="Times New Roman"/>
          <w:sz w:val="24"/>
          <w:szCs w:val="24"/>
        </w:rPr>
        <w:t>objemu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 poskytnutých obciam na financovanie MŠ v r. 2023 z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>DPFO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, ktorý bol vo výške 544 869 626 €</w:t>
      </w:r>
      <w:r w:rsidR="006111AF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prognózovaného nárastu podielových daní v roku 2025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>. Po započítaní prognózovaného nárastu podielových daní v roku 2025 bola napočítaná suma 5</w:t>
      </w:r>
      <w:r w:rsidR="004372FF" w:rsidRPr="002F17CB">
        <w:rPr>
          <w:rFonts w:ascii="Times New Roman" w:eastAsia="Times New Roman" w:hAnsi="Times New Roman" w:cs="Times New Roman"/>
          <w:sz w:val="24"/>
          <w:szCs w:val="24"/>
        </w:rPr>
        <w:t>59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> 639 294 €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 xml:space="preserve">, o  ktorú sa navrhuje znížiť finančné prostriedky z DPFO obciam.  Táto suma je o 54 794 428 € nižšia, ako skutočná potreba finančných prostriedkov na zabezpečenie zmeny 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financovania MŠ zo ŠR, ktorá bola </w:t>
      </w:r>
      <w:r w:rsidR="00083991" w:rsidRPr="002F17CB">
        <w:rPr>
          <w:rFonts w:ascii="Times New Roman" w:eastAsia="Times New Roman" w:hAnsi="Times New Roman" w:cs="Times New Roman"/>
          <w:sz w:val="24"/>
          <w:szCs w:val="24"/>
        </w:rPr>
        <w:t xml:space="preserve">ministerstvom </w:t>
      </w:r>
      <w:r w:rsidR="00643F90" w:rsidRPr="002F17CB">
        <w:rPr>
          <w:rFonts w:ascii="Times New Roman" w:eastAsia="Times New Roman" w:hAnsi="Times New Roman" w:cs="Times New Roman"/>
          <w:sz w:val="24"/>
          <w:szCs w:val="24"/>
        </w:rPr>
        <w:t xml:space="preserve">napočítaná vo výške </w:t>
      </w:r>
      <w:r w:rsidR="00643F90" w:rsidRPr="00575B5B">
        <w:rPr>
          <w:rFonts w:ascii="Times New Roman" w:eastAsia="Times New Roman" w:hAnsi="Times New Roman" w:cs="Times New Roman"/>
          <w:b/>
          <w:sz w:val="24"/>
          <w:szCs w:val="24"/>
        </w:rPr>
        <w:t>614  433 722 €.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umu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5B" w:rsidRPr="00575B5B">
        <w:rPr>
          <w:rFonts w:ascii="Times New Roman" w:eastAsia="Times New Roman" w:hAnsi="Times New Roman" w:cs="Times New Roman"/>
          <w:b/>
          <w:sz w:val="24"/>
          <w:szCs w:val="24"/>
        </w:rPr>
        <w:t>54 794 428</w:t>
      </w:r>
      <w:r w:rsidR="00575B5B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  <w:r w:rsidR="002F17CB" w:rsidRPr="002F17CB">
        <w:rPr>
          <w:rFonts w:ascii="Times New Roman" w:eastAsia="Times New Roman" w:hAnsi="Times New Roman" w:cs="Times New Roman"/>
          <w:sz w:val="24"/>
          <w:szCs w:val="24"/>
        </w:rPr>
        <w:t>na financ</w:t>
      </w:r>
      <w:r w:rsidR="002F17CB" w:rsidRPr="00575B5B">
        <w:rPr>
          <w:rFonts w:ascii="Times New Roman" w:eastAsia="Times New Roman" w:hAnsi="Times New Roman" w:cs="Times New Roman"/>
          <w:sz w:val="24"/>
          <w:szCs w:val="24"/>
        </w:rPr>
        <w:t xml:space="preserve">ovanie legislatívneho návrhu </w:t>
      </w:r>
      <w:r w:rsidR="006E323A" w:rsidRPr="00575B5B">
        <w:rPr>
          <w:rFonts w:ascii="Times New Roman" w:eastAsia="Times New Roman" w:hAnsi="Times New Roman" w:cs="Times New Roman"/>
          <w:sz w:val="24"/>
          <w:szCs w:val="24"/>
        </w:rPr>
        <w:t>zabezpečí ministerstvo zo svojho rozpočtu</w:t>
      </w:r>
      <w:r w:rsidR="00575B5B" w:rsidRPr="00575B5B">
        <w:rPr>
          <w:rFonts w:ascii="Times New Roman" w:eastAsia="Times New Roman" w:hAnsi="Times New Roman" w:cs="Times New Roman"/>
          <w:sz w:val="24"/>
          <w:szCs w:val="24"/>
        </w:rPr>
        <w:t xml:space="preserve"> (z finančných prostriedkov rozpočtovaných na MŠ – príspevok na deti 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 predprimárnom vzdelávaní a detí z rodín v hmotnej núdzi</w:t>
      </w:r>
      <w:r w:rsidR="00575B5B" w:rsidRPr="00575B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323A" w:rsidRPr="00575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3F90" w:rsidRPr="0057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098EF" w14:textId="77777777" w:rsidR="002F17CB" w:rsidRPr="002F17CB" w:rsidRDefault="002F17CB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7E537" w14:textId="77777777" w:rsidR="00EE731C" w:rsidRPr="002F17CB" w:rsidRDefault="0008399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výpočte potreby finančných prostriedkov na zabezpečenie zmeny financovania MŠ ministerstvo vychádzalo</w:t>
      </w:r>
      <w:r w:rsidR="005919C8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643"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o spracovaných analýz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o skutočnej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potreb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 na osobné a prevádzkové náklady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 z dostupných zdrojov</w:t>
      </w:r>
      <w:r w:rsidR="007F5A29" w:rsidRPr="002F17CB">
        <w:rPr>
          <w:rFonts w:ascii="Times New Roman" w:eastAsia="Times New Roman" w:hAnsi="Times New Roman" w:cs="Times New Roman"/>
          <w:sz w:val="24"/>
          <w:szCs w:val="24"/>
        </w:rPr>
        <w:t xml:space="preserve">, pričom boli zohľadnené aj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vlastné</w:t>
      </w:r>
      <w:r w:rsidR="007F5A29" w:rsidRPr="002F17CB">
        <w:rPr>
          <w:rFonts w:ascii="Times New Roman" w:eastAsia="Times New Roman" w:hAnsi="Times New Roman" w:cs="Times New Roman"/>
          <w:sz w:val="24"/>
          <w:szCs w:val="24"/>
        </w:rPr>
        <w:t xml:space="preserve"> zdroje ministerstva na krytie výdavkov navrhovanej legislatívnej zmeny.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12108" w14:textId="77777777" w:rsidR="002D4A40" w:rsidRDefault="002D4A4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D16A2" w14:textId="77777777" w:rsidR="001421A1" w:rsidRPr="002F17CB" w:rsidRDefault="00E337E8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výpočte minimálnej potreby finančných prostriedkov na osobné náklady ministerstvo vychádzalo z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priemernej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 mesačnej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mzdy zamestnancov MŠ v zriaďovateľskej pôsobnosti obcí, súkromných a cirkevných zriaďovateľov vo výške 1260 €/1 zamestnanec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. Táto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bola vypočítaná z údajov zo 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štvrťročného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štatistického výkazu </w:t>
      </w:r>
      <w:proofErr w:type="spellStart"/>
      <w:r w:rsidRPr="002F17CB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>(MŠVVM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 xml:space="preserve"> SR</w:t>
      </w:r>
      <w:r w:rsidR="006E323A" w:rsidRPr="002F17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1-04 za obdobie január </w:t>
      </w:r>
      <w:r w:rsidR="00706EBF" w:rsidRPr="002F17CB">
        <w:rPr>
          <w:rFonts w:ascii="Times New Roman" w:eastAsia="Times New Roman" w:hAnsi="Times New Roman" w:cs="Times New Roman"/>
          <w:sz w:val="24"/>
          <w:szCs w:val="24"/>
        </w:rPr>
        <w:t>až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marec 2024, a to  z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 údajov o s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kuto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čnom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čerpan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miezd zamestnancov </w:t>
      </w:r>
      <w:r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MŠ</w:t>
      </w:r>
      <w:r w:rsidR="00086898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v zriaďovateľskej pôsobnosti obcí, súkromných a cirkevných zriaďovateľov</w:t>
      </w:r>
      <w:r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z</w:t>
      </w:r>
      <w:r w:rsidR="00EE731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údajov o</w:t>
      </w:r>
      <w:r w:rsidR="00706EBF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priemernom evidenčnom </w:t>
      </w:r>
      <w:r w:rsidR="00EE731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prepočítan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počt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zamestnancov týchto MŠ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za sledované obdobie.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základe toho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bol vyčíslený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minimálny objem finančných prostriedkov potrebných na úhradu miezd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výške  </w:t>
      </w:r>
      <w:r w:rsidR="00D15EC0" w:rsidRPr="00575B5B">
        <w:rPr>
          <w:rFonts w:ascii="Times New Roman" w:eastAsia="Times New Roman" w:hAnsi="Times New Roman" w:cs="Times New Roman"/>
          <w:sz w:val="24"/>
          <w:szCs w:val="24"/>
        </w:rPr>
        <w:t>379 118 880</w:t>
      </w:r>
      <w:r w:rsidR="00D15EC0" w:rsidRPr="00575B5B">
        <w:rPr>
          <w:rFonts w:ascii="Times New Roman" w:eastAsia="Times New Roman" w:hAnsi="Times New Roman" w:cs="Times New Roman"/>
          <w:b/>
          <w:sz w:val="24"/>
          <w:szCs w:val="24"/>
        </w:rPr>
        <w:t xml:space="preserve">  €,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čo spolu s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o zákonnými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 odvodmi 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zamestnávateľa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do poisťovní predstavuje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celkovú minimálnu výšku finančných prostriedkov potrebných </w:t>
      </w:r>
      <w:r w:rsidR="00EE731C" w:rsidRPr="00575B5B">
        <w:rPr>
          <w:rFonts w:ascii="Times New Roman" w:eastAsia="Times New Roman" w:hAnsi="Times New Roman" w:cs="Times New Roman"/>
          <w:b/>
          <w:sz w:val="24"/>
          <w:szCs w:val="24"/>
        </w:rPr>
        <w:t>na úhradu osobných nákladov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 zamestnancov, a to </w:t>
      </w:r>
      <w:r w:rsidR="00D15EC0" w:rsidRPr="00575B5B">
        <w:rPr>
          <w:rFonts w:ascii="Times New Roman" w:eastAsia="Times New Roman" w:hAnsi="Times New Roman" w:cs="Times New Roman"/>
          <w:b/>
          <w:sz w:val="24"/>
          <w:szCs w:val="24"/>
        </w:rPr>
        <w:t>516 359 915 €.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731C" w:rsidRPr="002F17CB">
        <w:rPr>
          <w:rFonts w:ascii="Times New Roman" w:eastAsia="Times New Roman" w:hAnsi="Times New Roman" w:cs="Times New Roman"/>
          <w:sz w:val="24"/>
          <w:szCs w:val="24"/>
        </w:rPr>
        <w:t xml:space="preserve">Ide o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objem finančných prostriedkov, z ktorých budú 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 xml:space="preserve">zriaďovateľom MŠ  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poskytované normatívne príspevky na osobné náklady. </w:t>
      </w:r>
    </w:p>
    <w:p w14:paraId="559A1FD0" w14:textId="77777777" w:rsidR="00EE731C" w:rsidRPr="002F17CB" w:rsidRDefault="00EE731C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35C09" w14:textId="77777777" w:rsidR="00D43E0D" w:rsidRPr="002F17CB" w:rsidRDefault="00D15EC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Pri výpočte potreby finančných prostriedkov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 xml:space="preserve">na prevádzkové </w:t>
      </w:r>
      <w:r w:rsidR="0020238C" w:rsidRPr="00575B5B">
        <w:rPr>
          <w:rFonts w:ascii="Times New Roman" w:eastAsia="Times New Roman" w:hAnsi="Times New Roman" w:cs="Times New Roman"/>
          <w:b/>
          <w:sz w:val="24"/>
          <w:szCs w:val="24"/>
        </w:rPr>
        <w:t>náklady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ministerstvo vychádzalo zo sumy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83991" w:rsidRPr="00575B5B">
        <w:rPr>
          <w:rFonts w:ascii="Times New Roman" w:eastAsia="Times New Roman" w:hAnsi="Times New Roman" w:cs="Times New Roman"/>
          <w:b/>
          <w:sz w:val="24"/>
          <w:szCs w:val="24"/>
        </w:rPr>
        <w:t>3 144 983 €</w:t>
      </w:r>
      <w:r w:rsidR="00D43E0D" w:rsidRPr="00575B5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čo </w:t>
      </w:r>
      <w:r w:rsidR="00D43E0D" w:rsidRPr="002F17CB">
        <w:rPr>
          <w:rFonts w:ascii="Times New Roman" w:eastAsia="Times New Roman" w:hAnsi="Times New Roman" w:cs="Times New Roman"/>
          <w:sz w:val="24"/>
          <w:szCs w:val="24"/>
        </w:rPr>
        <w:t>predstavuje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objem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skutočn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výdavk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obcí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vynaložených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r. 2023 zo zdroja 40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(vlastné príjmy obcí)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prevádzku MŠ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, ktorá bola 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znížená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 xml:space="preserve"> o výdavky obcí  na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odstupné 65 r., rekreačné poukazy, odchodné</w:t>
      </w:r>
      <w:r w:rsidR="00575B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E8735" w14:textId="77777777" w:rsidR="00D43E0D" w:rsidRPr="002F17CB" w:rsidRDefault="00D43E0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5D01A" w14:textId="77777777" w:rsidR="00D15EC0" w:rsidRPr="002F17CB" w:rsidRDefault="00D43E0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Výdavky na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15EC0" w:rsidRPr="002D4A40">
        <w:rPr>
          <w:rFonts w:ascii="Times New Roman" w:eastAsia="Times New Roman" w:hAnsi="Times New Roman" w:cs="Times New Roman"/>
          <w:b/>
          <w:sz w:val="24"/>
          <w:szCs w:val="24"/>
        </w:rPr>
        <w:t>dstupné</w:t>
      </w:r>
      <w:r w:rsidR="00186CF9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 65 r.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D15EC0" w:rsidRPr="002D4A40">
        <w:rPr>
          <w:rFonts w:ascii="Times New Roman" w:eastAsia="Times New Roman" w:hAnsi="Times New Roman" w:cs="Times New Roman"/>
          <w:b/>
          <w:sz w:val="24"/>
          <w:szCs w:val="24"/>
        </w:rPr>
        <w:t>rekreačné poukazy</w:t>
      </w:r>
      <w:r w:rsidR="00D15EC0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rozpočtované v kapitole ministerstva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>2 195 322 €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 xml:space="preserve">budú 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>poskytované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zriaďovateľom</w:t>
      </w:r>
      <w:r w:rsidR="00980DCD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nad rámec normatívnych príspevkov na prevád</w:t>
      </w:r>
      <w:r w:rsidR="00835E73" w:rsidRPr="002F17CB">
        <w:rPr>
          <w:rFonts w:ascii="Times New Roman" w:eastAsia="Times New Roman" w:hAnsi="Times New Roman" w:cs="Times New Roman"/>
          <w:sz w:val="24"/>
          <w:szCs w:val="24"/>
        </w:rPr>
        <w:t>zkové náklady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. Výdavky na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odchodné 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sú rozpočtované v kapitole ministerstva vo výške </w:t>
      </w:r>
      <w:r w:rsidR="00D32C04" w:rsidRPr="002D4A40">
        <w:rPr>
          <w:rFonts w:ascii="Times New Roman" w:eastAsia="Times New Roman" w:hAnsi="Times New Roman" w:cs="Times New Roman"/>
          <w:b/>
          <w:sz w:val="24"/>
          <w:szCs w:val="24"/>
        </w:rPr>
        <w:t>2 528 604 €</w:t>
      </w:r>
      <w:r w:rsidR="00D32C04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budú poskytované zriaďovateľom v rámci nenormatívneho financovania MŠ. </w:t>
      </w:r>
      <w:bookmarkStart w:id="2" w:name="_Hlk173838038"/>
    </w:p>
    <w:p w14:paraId="2F8D32BD" w14:textId="77777777" w:rsidR="00EF149C" w:rsidRPr="002F17CB" w:rsidRDefault="00EF149C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6E04677" w14:textId="77777777" w:rsidR="00EC6C02" w:rsidRPr="002F17CB" w:rsidRDefault="00980DC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V rámci analýzy potreby finančných prostriedkov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 na úhradu výdavkov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bola napočítaná aj potreba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ďalších </w:t>
      </w:r>
      <w:r w:rsidR="00835E73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nenormatívnych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finančných prostriedkov </w:t>
      </w:r>
      <w:r w:rsidR="00CD7DF5" w:rsidRPr="002D4A40">
        <w:rPr>
          <w:rFonts w:ascii="Times New Roman" w:eastAsia="Times New Roman" w:hAnsi="Times New Roman" w:cs="Times New Roman"/>
          <w:b/>
          <w:sz w:val="24"/>
          <w:szCs w:val="24"/>
        </w:rPr>
        <w:t>ŠR,</w:t>
      </w:r>
      <w:r w:rsidR="00CD7DF5" w:rsidRPr="002F17CB">
        <w:rPr>
          <w:rFonts w:ascii="Times New Roman" w:eastAsia="Times New Roman" w:hAnsi="Times New Roman" w:cs="Times New Roman"/>
          <w:sz w:val="24"/>
          <w:szCs w:val="24"/>
        </w:rPr>
        <w:t xml:space="preserve"> ktoré sú potrebné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krytie výdavkov MŠ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súlade s navrhovanou legislatívnou úpravou</w:t>
      </w:r>
      <w:r w:rsidR="00835E73" w:rsidRPr="002F17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5E73" w:rsidRPr="002D4A40">
        <w:rPr>
          <w:rFonts w:ascii="Times New Roman" w:eastAsia="Times New Roman" w:hAnsi="Times New Roman" w:cs="Times New Roman"/>
          <w:b/>
          <w:sz w:val="24"/>
          <w:szCs w:val="24"/>
        </w:rPr>
        <w:t xml:space="preserve">dopravné, príspevok na súčasti výchovno-vzdelávacieho procesu MŠ, príspevok na skvalitnenie podmienok výchovy a vzdelávania detí zo sociálne znevýhodneného prostredia vrátane detí z rodín v hmotnej núdzi </w:t>
      </w:r>
      <w:r w:rsidR="00835E73" w:rsidRPr="002D4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(ďalej len „SZP“)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pričom v tomto prípade sa vychádzalo </w:t>
      </w:r>
      <w:r w:rsidR="00186CF9" w:rsidRPr="002F17C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dostupných údajov ministerstva o skutočnom čerpaní finančných prostriedkov ŠR 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MŠ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 r. 2023</w:t>
      </w:r>
      <w:r w:rsidR="0068565D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rovnaký alebo obdobný druh výdavkov.  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Celkový objem týchto finančných prostriedkov vrátane odchodného predstavuje celkovú sumu </w:t>
      </w:r>
      <w:r w:rsidR="00EC6C02" w:rsidRPr="002D4A40">
        <w:rPr>
          <w:rFonts w:ascii="Times New Roman" w:eastAsia="Times New Roman" w:hAnsi="Times New Roman" w:cs="Times New Roman"/>
          <w:b/>
          <w:sz w:val="24"/>
          <w:szCs w:val="24"/>
        </w:rPr>
        <w:t>12 733 502 €.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FC19D8" w14:textId="77777777" w:rsidR="0068565D" w:rsidRPr="002F17CB" w:rsidRDefault="0068565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Podrobnejšia špecifikácia výdavkov je uvedená v priloženej tabuľke – Financovanie MŠ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872C7" w14:textId="77777777" w:rsidR="00CD7DF5" w:rsidRPr="002F17CB" w:rsidRDefault="00CD7DF5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7E0C8" w14:textId="77777777" w:rsidR="0068565D" w:rsidRPr="002F17CB" w:rsidRDefault="0068565D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Vo výpočte vplyvu navrhovanej zmeny na rozpočet 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verejnej správy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bo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l zohľadnený a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j objem FP, ktor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ministerstvo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má zabezpečený v rozpočte kapitoly na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poskyt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ovanie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príspe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vku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deti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 pre ktoré j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edprimárne vzdelávanie povinné a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deti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v hmotnej núdzi v celkovej výške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54 794 428 €</w:t>
      </w:r>
      <w:r w:rsidR="005E7FCA" w:rsidRPr="002D4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Navrhovaná legislatívna zmena predpokladá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zrušenie poskytovania týchto príspevkov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>ýdavky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, ktoré boli uhrádzané z týchto príspevkov bud</w:t>
      </w:r>
      <w:r w:rsidR="007F4DE0" w:rsidRPr="002F17CB">
        <w:rPr>
          <w:rFonts w:ascii="Times New Roman" w:eastAsia="Times New Roman" w:hAnsi="Times New Roman" w:cs="Times New Roman"/>
          <w:sz w:val="24"/>
          <w:szCs w:val="24"/>
        </w:rPr>
        <w:t>ú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02" w:rsidRPr="002F17CB">
        <w:rPr>
          <w:rFonts w:ascii="Times New Roman" w:eastAsia="Times New Roman" w:hAnsi="Times New Roman" w:cs="Times New Roman"/>
          <w:sz w:val="24"/>
          <w:szCs w:val="24"/>
        </w:rPr>
        <w:t xml:space="preserve">použité 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>na normatívne a nenormatívne financovanie MŠ, v tom aj f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>ormou vyšších normatívnych príspevkov</w:t>
      </w:r>
      <w:r w:rsidR="00086898" w:rsidRPr="002F17CB">
        <w:rPr>
          <w:rFonts w:ascii="Times New Roman" w:eastAsia="Times New Roman" w:hAnsi="Times New Roman" w:cs="Times New Roman"/>
          <w:sz w:val="24"/>
          <w:szCs w:val="24"/>
        </w:rPr>
        <w:t xml:space="preserve"> na deti v povinnom predprimárnom vzdelávaní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prostredníctvom 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vyšších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koeficientov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a poskytovaním </w:t>
      </w:r>
      <w:r w:rsidR="00126432" w:rsidRPr="002F17CB">
        <w:rPr>
          <w:rFonts w:ascii="Times New Roman" w:eastAsia="Times New Roman" w:hAnsi="Times New Roman" w:cs="Times New Roman"/>
          <w:sz w:val="24"/>
          <w:szCs w:val="24"/>
        </w:rPr>
        <w:lastRenderedPageBreak/>
        <w:t>nenormatívnych príspevkov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vrátane novo navrhovaného príspevku  na súčasti výchovno-</w:t>
      </w:r>
      <w:r w:rsidR="00126432" w:rsidRPr="002F17CB">
        <w:rPr>
          <w:rFonts w:ascii="Times New Roman" w:eastAsia="Times New Roman" w:hAnsi="Times New Roman" w:cs="Times New Roman"/>
          <w:sz w:val="24"/>
          <w:szCs w:val="24"/>
        </w:rPr>
        <w:t>vzdelávacieho procesu</w:t>
      </w:r>
      <w:r w:rsidR="005E7FCA" w:rsidRPr="002F17CB">
        <w:rPr>
          <w:rFonts w:ascii="Times New Roman" w:eastAsia="Times New Roman" w:hAnsi="Times New Roman" w:cs="Times New Roman"/>
          <w:sz w:val="24"/>
          <w:szCs w:val="24"/>
        </w:rPr>
        <w:t xml:space="preserve"> MŠ</w:t>
      </w:r>
      <w:r w:rsidR="00EF149C" w:rsidRPr="002F17CB">
        <w:rPr>
          <w:rFonts w:ascii="Times New Roman" w:eastAsia="Times New Roman" w:hAnsi="Times New Roman" w:cs="Times New Roman"/>
          <w:sz w:val="24"/>
          <w:szCs w:val="24"/>
        </w:rPr>
        <w:t xml:space="preserve"> alebo príspevku</w:t>
      </w:r>
      <w:r w:rsidR="00A93F7D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E5072B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skvalitnenie podmienok výchovy a vzdelávania detí  zo </w:t>
      </w:r>
      <w:r w:rsidR="00EF149C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SZP.</w:t>
      </w:r>
      <w:r w:rsidR="00E5072B" w:rsidRPr="002F1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D7441A" w14:textId="77777777" w:rsidR="00186CF9" w:rsidRPr="002F17CB" w:rsidRDefault="00186CF9" w:rsidP="006856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5C856B" w14:textId="77777777" w:rsidR="0068565D" w:rsidRPr="002F17CB" w:rsidRDefault="007F4DE0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Taktiež bola pri kvantifikácii objemu potreby finančných prostriedkov ŠR na zabezpečenie legislatívnej zmeny zohľadnená skutočnosť, že v rámci legislatívneho procesu bolo dohodnuté podpísanie </w:t>
      </w:r>
      <w:r w:rsidR="003A3CDC" w:rsidRPr="002F17CB">
        <w:rPr>
          <w:rFonts w:ascii="Times New Roman" w:eastAsia="Times New Roman" w:hAnsi="Times New Roman" w:cs="Times New Roman"/>
          <w:sz w:val="24"/>
          <w:szCs w:val="24"/>
        </w:rPr>
        <w:t>memoranda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medzi </w:t>
      </w:r>
      <w:r w:rsidRPr="00AB2765">
        <w:rPr>
          <w:rFonts w:ascii="Times New Roman" w:eastAsia="Times New Roman" w:hAnsi="Times New Roman" w:cs="Times New Roman"/>
          <w:sz w:val="24"/>
          <w:szCs w:val="24"/>
        </w:rPr>
        <w:t>ministerstvom, ZMOS a ÚMS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na základe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ktorého bude samospráva čiastočne prispievať z vlastných zdrojov na dofinancovanie niektorých výdavkov MŠ v procese prechodu MŠ z originálnej pôsobnosti samosprávy pod prenesený výkon štátnej správy. </w:t>
      </w:r>
    </w:p>
    <w:p w14:paraId="7E7729E4" w14:textId="77777777" w:rsidR="00980DCD" w:rsidRPr="002F17CB" w:rsidRDefault="0068565D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F0FBB" w14:textId="77777777" w:rsidR="00D27341" w:rsidRDefault="0068565D" w:rsidP="0068565D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b/>
          <w:sz w:val="24"/>
          <w:szCs w:val="24"/>
        </w:rPr>
        <w:t>Financovanie MŠ</w:t>
      </w:r>
      <w:r w:rsidR="004361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23B2">
        <w:rPr>
          <w:rFonts w:ascii="Times New Roman" w:eastAsia="Times New Roman" w:hAnsi="Times New Roman" w:cs="Times New Roman"/>
          <w:b/>
          <w:sz w:val="24"/>
          <w:szCs w:val="24"/>
        </w:rPr>
        <w:t xml:space="preserve">– špecifikácia výdavkov s výsledným vplyvom </w:t>
      </w:r>
    </w:p>
    <w:p w14:paraId="575B552B" w14:textId="77777777" w:rsidR="0068565D" w:rsidRPr="000F23B2" w:rsidRDefault="00D27341" w:rsidP="0068565D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68565D" w:rsidRPr="000F23B2">
        <w:rPr>
          <w:rFonts w:ascii="Times New Roman" w:eastAsia="Times New Roman" w:hAnsi="Times New Roman" w:cs="Times New Roman"/>
          <w:b/>
          <w:sz w:val="24"/>
          <w:szCs w:val="24"/>
        </w:rPr>
        <w:t>na ŠR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 rozpočet obcí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538"/>
      </w:tblGrid>
      <w:tr w:rsidR="0068565D" w:rsidRPr="000F23B2" w14:paraId="4E5C8FF5" w14:textId="77777777" w:rsidTr="00EC6C02">
        <w:tc>
          <w:tcPr>
            <w:tcW w:w="4804" w:type="dxa"/>
          </w:tcPr>
          <w:p w14:paraId="65DF4376" w14:textId="77777777"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Počet detí</w:t>
            </w:r>
            <w:r w:rsidR="00EC6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 15. 9. 2023</w:t>
            </w:r>
          </w:p>
        </w:tc>
        <w:tc>
          <w:tcPr>
            <w:tcW w:w="3538" w:type="dxa"/>
          </w:tcPr>
          <w:p w14:paraId="412BF4D6" w14:textId="77777777"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177 955</w:t>
            </w:r>
          </w:p>
        </w:tc>
      </w:tr>
      <w:tr w:rsidR="0068565D" w:rsidRPr="000F23B2" w14:paraId="12750287" w14:textId="77777777" w:rsidTr="00EC6C02">
        <w:tc>
          <w:tcPr>
            <w:tcW w:w="4804" w:type="dxa"/>
          </w:tcPr>
          <w:p w14:paraId="500B7827" w14:textId="77777777" w:rsidR="0068565D" w:rsidRPr="000F23B2" w:rsidRDefault="00EC6C02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Počet zamestnancov (priemerný</w:t>
            </w:r>
            <w:r w:rsidR="00EF1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evidenčný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prepočítaný </w:t>
            </w:r>
            <w:r w:rsidR="00EF149C">
              <w:rPr>
                <w:rFonts w:ascii="Times New Roman" w:eastAsia="Times New Roman" w:hAnsi="Times New Roman" w:cs="Times New Roman"/>
                <w:sz w:val="24"/>
                <w:szCs w:val="24"/>
              </w:rPr>
              <w:t>počet zamestnancov za 1. štvrťrok 2024)</w:t>
            </w:r>
          </w:p>
        </w:tc>
        <w:tc>
          <w:tcPr>
            <w:tcW w:w="3538" w:type="dxa"/>
          </w:tcPr>
          <w:p w14:paraId="630D5B50" w14:textId="77777777"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25 074</w:t>
            </w:r>
          </w:p>
        </w:tc>
      </w:tr>
      <w:tr w:rsidR="0068565D" w:rsidRPr="000F23B2" w14:paraId="4356DE92" w14:textId="77777777" w:rsidTr="00EC6C02">
        <w:tc>
          <w:tcPr>
            <w:tcW w:w="4804" w:type="dxa"/>
          </w:tcPr>
          <w:p w14:paraId="2DEEAF30" w14:textId="77777777"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Normatívne finančné prostriedky - osobné náklady (výpočet z normatívov na osobné náklady)</w:t>
            </w:r>
          </w:p>
        </w:tc>
        <w:tc>
          <w:tcPr>
            <w:tcW w:w="3538" w:type="dxa"/>
          </w:tcPr>
          <w:p w14:paraId="38C39C7B" w14:textId="77777777" w:rsidR="0068565D" w:rsidRPr="000F23B2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B2">
              <w:rPr>
                <w:rFonts w:ascii="Times New Roman" w:eastAsia="Times New Roman" w:hAnsi="Times New Roman" w:cs="Times New Roman"/>
                <w:sz w:val="24"/>
                <w:szCs w:val="24"/>
              </w:rPr>
              <w:t>516 359 915 €</w:t>
            </w:r>
          </w:p>
        </w:tc>
      </w:tr>
      <w:tr w:rsidR="000277D7" w:rsidRPr="000277D7" w14:paraId="2202E6CF" w14:textId="77777777" w:rsidTr="00EC6C02">
        <w:tc>
          <w:tcPr>
            <w:tcW w:w="4804" w:type="dxa"/>
          </w:tcPr>
          <w:p w14:paraId="76A5503E" w14:textId="77777777"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Normatívne finančné prostriedky - prevádzkové náklady (výpočet z normatívov na prevádzk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ové náklady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3538" w:type="dxa"/>
          </w:tcPr>
          <w:p w14:paraId="3F04461F" w14:textId="77777777"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83 144 983 €</w:t>
            </w:r>
          </w:p>
        </w:tc>
      </w:tr>
      <w:tr w:rsidR="000277D7" w:rsidRPr="000277D7" w14:paraId="58DBDC13" w14:textId="77777777" w:rsidTr="00EC6C02">
        <w:tc>
          <w:tcPr>
            <w:tcW w:w="4804" w:type="dxa"/>
          </w:tcPr>
          <w:p w14:paraId="645D5AFB" w14:textId="77777777"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Ostatné normatívne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finančné prostriedky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(osobitné ustanovenia zákona – dohodovacie konanie  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účel 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odstupné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PZ, OZ* – 65 rokov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príspevk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 rekreáciu)</w:t>
            </w:r>
          </w:p>
        </w:tc>
        <w:tc>
          <w:tcPr>
            <w:tcW w:w="3538" w:type="dxa"/>
          </w:tcPr>
          <w:p w14:paraId="6C782978" w14:textId="77777777"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2 195 322 €</w:t>
            </w:r>
          </w:p>
        </w:tc>
      </w:tr>
      <w:tr w:rsidR="000277D7" w:rsidRPr="000277D7" w14:paraId="2133E900" w14:textId="77777777" w:rsidTr="00EC6C02">
        <w:tc>
          <w:tcPr>
            <w:tcW w:w="4804" w:type="dxa"/>
          </w:tcPr>
          <w:p w14:paraId="0596ABEF" w14:textId="77777777" w:rsidR="0068565D" w:rsidRPr="000277D7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Nenormatívne finančné prostriedky - bežné výdavky (odchodné, dopravné, príspevok na súčasti výchovno-vzdelávacieho procesu,</w:t>
            </w:r>
            <w:r w:rsidR="002636EA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príspevok na SZ</w:t>
            </w:r>
            <w:r w:rsidR="00D061BF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004E99F0" w14:textId="77777777"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442CF" w14:textId="77777777" w:rsidR="0068565D" w:rsidRPr="000277D7" w:rsidRDefault="0068565D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12 733</w:t>
            </w:r>
            <w:r w:rsidR="00086898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</w:t>
            </w:r>
            <w:r w:rsidR="00086898" w:rsidRPr="00027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</w:tc>
      </w:tr>
      <w:tr w:rsidR="002F6599" w:rsidRPr="000277D7" w14:paraId="4C4C6EFE" w14:textId="77777777" w:rsidTr="00EC6C02">
        <w:tc>
          <w:tcPr>
            <w:tcW w:w="4804" w:type="dxa"/>
            <w:shd w:val="clear" w:color="auto" w:fill="D9D9D9" w:themeFill="background1" w:themeFillShade="D9"/>
          </w:tcPr>
          <w:p w14:paraId="5F7E7925" w14:textId="77777777" w:rsidR="002F6599" w:rsidRPr="00D27341" w:rsidRDefault="00D27341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SPOLU</w:t>
            </w:r>
            <w:r w:rsidRP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(normatívne a nenormatívne finančné prostriedky)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11FA599C" w14:textId="77777777" w:rsidR="002F6599" w:rsidRPr="00D27341" w:rsidRDefault="00D27341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614 433 722 €</w:t>
            </w:r>
          </w:p>
        </w:tc>
      </w:tr>
      <w:tr w:rsidR="000277D7" w:rsidRPr="000277D7" w14:paraId="75C60FA6" w14:textId="77777777" w:rsidTr="00EC6C02">
        <w:tc>
          <w:tcPr>
            <w:tcW w:w="4804" w:type="dxa"/>
          </w:tcPr>
          <w:p w14:paraId="2B4ADE64" w14:textId="77777777" w:rsidR="006E323A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toho: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Finančné prostriedky zabezpečené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72426D2E" w14:textId="77777777" w:rsidR="0068565D" w:rsidRPr="000277D7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27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 rozpočte ministerstva</w:t>
            </w:r>
          </w:p>
        </w:tc>
        <w:tc>
          <w:tcPr>
            <w:tcW w:w="3538" w:type="dxa"/>
          </w:tcPr>
          <w:p w14:paraId="79636928" w14:textId="77777777" w:rsidR="0068565D" w:rsidRPr="006E323A" w:rsidRDefault="006E323A" w:rsidP="00FE6D21">
            <w:pPr>
              <w:tabs>
                <w:tab w:val="center" w:pos="4536"/>
                <w:tab w:val="right" w:pos="9072"/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54 794 428 €  </w:t>
            </w:r>
          </w:p>
        </w:tc>
      </w:tr>
      <w:tr w:rsidR="0068565D" w:rsidRPr="00BD708C" w14:paraId="76296288" w14:textId="77777777" w:rsidTr="00EC6C02">
        <w:tc>
          <w:tcPr>
            <w:tcW w:w="4804" w:type="dxa"/>
            <w:shd w:val="clear" w:color="auto" w:fill="D9D9D9" w:themeFill="background1" w:themeFillShade="D9"/>
          </w:tcPr>
          <w:p w14:paraId="4A5357B4" w14:textId="77777777" w:rsidR="006E323A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6E323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Z toho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</w:t>
            </w:r>
            <w:r w:rsidR="002F17C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Výnos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z DPFO obcí</w:t>
            </w:r>
          </w:p>
          <w:p w14:paraId="7A586CBA" w14:textId="77777777" w:rsidR="0068565D" w:rsidRPr="00D27341" w:rsidRDefault="006E323A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          </w:t>
            </w:r>
            <w:r w:rsidR="00D27341"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 </w:t>
            </w:r>
            <w:r w:rsidR="00D27341" w:rsidRPr="00D2734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(zníženie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výnosu </w:t>
            </w:r>
            <w:r w:rsidR="00D27341" w:rsidRPr="00D2734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DPFO obcí)</w:t>
            </w:r>
            <w:r w:rsidR="0068565D"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2D5021B2" w14:textId="77777777" w:rsidR="0068565D" w:rsidRPr="00D27341" w:rsidRDefault="0068565D" w:rsidP="00FE6D21">
            <w:pPr>
              <w:pStyle w:val="Odsekzoznamu"/>
              <w:tabs>
                <w:tab w:val="center" w:pos="4536"/>
                <w:tab w:val="right" w:pos="9072"/>
                <w:tab w:val="left" w:pos="70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273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  559 639 294 €</w:t>
            </w:r>
          </w:p>
        </w:tc>
      </w:tr>
    </w:tbl>
    <w:p w14:paraId="2CB5F671" w14:textId="77777777" w:rsidR="001421A1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C0A6A" w14:textId="77777777" w:rsidR="000F23B2" w:rsidRPr="00DD2EAA" w:rsidRDefault="000F23B2" w:rsidP="000F23B2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2EAA">
        <w:rPr>
          <w:rFonts w:ascii="Times New Roman" w:eastAsia="Times New Roman" w:hAnsi="Times New Roman" w:cs="Times New Roman"/>
          <w:sz w:val="18"/>
          <w:szCs w:val="18"/>
        </w:rPr>
        <w:t>*PZ – pedagogickí zamestnanci</w:t>
      </w:r>
    </w:p>
    <w:p w14:paraId="57E87BA5" w14:textId="77777777" w:rsidR="000F23B2" w:rsidRDefault="000F23B2" w:rsidP="000F23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2EAA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DD2EAA">
        <w:rPr>
          <w:rFonts w:ascii="Times New Roman" w:eastAsia="Times New Roman" w:hAnsi="Times New Roman" w:cs="Times New Roman"/>
          <w:sz w:val="18"/>
          <w:szCs w:val="18"/>
        </w:rPr>
        <w:t xml:space="preserve"> OZ – odborní zamestnanci</w:t>
      </w:r>
    </w:p>
    <w:p w14:paraId="0CDC3B71" w14:textId="77777777" w:rsidR="00FC64BE" w:rsidRPr="00DD2EAA" w:rsidRDefault="00FC64BE" w:rsidP="000F23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E11100" w14:textId="77777777" w:rsidR="005066B2" w:rsidRPr="00BD708C" w:rsidRDefault="005066B2" w:rsidP="005066B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3848347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 xml:space="preserve"> o vyššie uvedenej 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>tabuľke Financovanie MŠ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poslednom riadku uveden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ý objem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finančných prostriedkov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 ktor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7CB">
        <w:rPr>
          <w:rFonts w:ascii="Times New Roman" w:eastAsia="Times New Roman" w:hAnsi="Times New Roman" w:cs="Times New Roman"/>
          <w:sz w:val="24"/>
          <w:szCs w:val="24"/>
        </w:rPr>
        <w:t xml:space="preserve">sa predpokladá zníženie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výnosu DPFO obciam vo výške </w:t>
      </w:r>
      <w:r w:rsidRPr="002D4A40">
        <w:rPr>
          <w:rFonts w:ascii="Times New Roman" w:eastAsia="Times New Roman" w:hAnsi="Times New Roman" w:cs="Times New Roman"/>
          <w:b/>
          <w:sz w:val="24"/>
          <w:szCs w:val="24"/>
        </w:rPr>
        <w:t>559 639 294 €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>pričom tieto finančné prostriedky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budú použité na normatívne financovanie MŠ zo ŠR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>. Tý</w:t>
      </w:r>
      <w:r>
        <w:rPr>
          <w:rFonts w:ascii="Times New Roman" w:eastAsia="Times New Roman" w:hAnsi="Times New Roman" w:cs="Times New Roman"/>
          <w:sz w:val="24"/>
          <w:szCs w:val="24"/>
        </w:rPr>
        <w:t>m sa začne napĺňať jeden z čiastkových cieľov reformy Plánu obnovy a odolnosti, a to zavedenie no</w:t>
      </w:r>
      <w:r w:rsidRPr="00BD708C">
        <w:rPr>
          <w:rFonts w:ascii="Times New Roman" w:eastAsia="Times New Roman" w:hAnsi="Times New Roman" w:cs="Times New Roman"/>
          <w:sz w:val="24"/>
          <w:szCs w:val="24"/>
        </w:rPr>
        <w:t>rmatívneho systému financovania predprimárneho vzdelávania na základe štandardizovaných skutočných ročných nákladov na zamestnancov a prevádzkové náklady MŠ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, nakoľko </w:t>
      </w:r>
      <w:r>
        <w:rPr>
          <w:rFonts w:ascii="Times New Roman" w:eastAsia="Times New Roman" w:hAnsi="Times New Roman" w:cs="Times New Roman"/>
          <w:sz w:val="24"/>
          <w:szCs w:val="24"/>
        </w:rPr>
        <w:t>v súlade s finančným výkazom FIN 1-12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o bežných výdavkoch obcí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rok 2023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boli z rozpočtu obcí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vynaložené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výdavky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predprimárne vzdelávania zo zdroja 40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lastRenderedPageBreak/>
        <w:t>535 078 787 €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a návrh predpokladá vynaloženie väčšieho objemu  výdavkov</w:t>
      </w:r>
      <w:r w:rsidR="005843AC">
        <w:rPr>
          <w:rFonts w:ascii="Times New Roman" w:eastAsia="Times New Roman" w:hAnsi="Times New Roman" w:cs="Times New Roman"/>
          <w:sz w:val="24"/>
          <w:szCs w:val="24"/>
        </w:rPr>
        <w:t xml:space="preserve">, a to vo výške 559 639 294 €. </w:t>
      </w:r>
      <w:r w:rsidR="00FC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10561AA0" w14:textId="77777777" w:rsidR="000F23B2" w:rsidRPr="00BD708C" w:rsidRDefault="000F23B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815B6" w14:textId="77777777" w:rsidR="001421A1" w:rsidRDefault="0012643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Vstupné dáta na spracovanie </w:t>
      </w:r>
      <w:r w:rsidR="00841A62">
        <w:rPr>
          <w:rFonts w:ascii="Times New Roman" w:eastAsia="Times New Roman" w:hAnsi="Times New Roman" w:cs="Times New Roman"/>
          <w:b/>
          <w:sz w:val="24"/>
          <w:szCs w:val="24"/>
        </w:rPr>
        <w:t>dopadov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zmeny financovania</w:t>
      </w:r>
      <w:r w:rsidR="00841A62">
        <w:rPr>
          <w:rFonts w:ascii="Times New Roman" w:eastAsia="Times New Roman" w:hAnsi="Times New Roman" w:cs="Times New Roman"/>
          <w:b/>
          <w:sz w:val="24"/>
          <w:szCs w:val="24"/>
        </w:rPr>
        <w:t xml:space="preserve"> MŠ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rozpočet obcí a rozpočet kapitoly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MŠVVaM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SR:</w:t>
      </w:r>
    </w:p>
    <w:p w14:paraId="3275B9B0" w14:textId="77777777" w:rsidR="000F23B2" w:rsidRPr="00BD708C" w:rsidRDefault="000F23B2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17538" w14:textId="77777777" w:rsidR="001421A1" w:rsidRPr="000F23B2" w:rsidRDefault="001421A1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poč</w:t>
      </w:r>
      <w:r w:rsidR="00A750FA" w:rsidRPr="000F23B2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detí MŠ</w:t>
      </w:r>
      <w:r w:rsidR="007606D5">
        <w:rPr>
          <w:rFonts w:ascii="Times New Roman" w:eastAsia="Times New Roman" w:hAnsi="Times New Roman" w:cs="Times New Roman"/>
          <w:sz w:val="24"/>
          <w:szCs w:val="24"/>
        </w:rPr>
        <w:t xml:space="preserve"> v zriaďovateľskej pôsobnosti obcí, súkromných a cirkevných zriaďovateľov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 v školskom roku 2023/2024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k 15. 9. 2023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základe výkazu </w:t>
      </w:r>
      <w:proofErr w:type="spellStart"/>
      <w:r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(MŠVVaŠ SR)</w:t>
      </w:r>
      <w:r w:rsidR="00706E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40–01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ACED7" w14:textId="77777777" w:rsidR="001421A1" w:rsidRPr="000F23B2" w:rsidRDefault="00FD44AF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priemerný evidenčný prepočítaný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č</w:t>
      </w:r>
      <w:r w:rsidR="00A750FA" w:rsidRPr="000F23B2">
        <w:rPr>
          <w:rFonts w:ascii="Times New Roman" w:eastAsia="Times New Roman" w:hAnsi="Times New Roman" w:cs="Times New Roman"/>
          <w:sz w:val="24"/>
          <w:szCs w:val="24"/>
        </w:rPr>
        <w:t>et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pedagogických, odborných a nepedagogických zamestnancov MŠ</w:t>
      </w:r>
      <w:r w:rsidR="00D061BF">
        <w:rPr>
          <w:rFonts w:ascii="Times New Roman" w:eastAsia="Times New Roman" w:hAnsi="Times New Roman" w:cs="Times New Roman"/>
          <w:sz w:val="24"/>
          <w:szCs w:val="24"/>
        </w:rPr>
        <w:t xml:space="preserve"> v zriaďovateľskej pôsobnosti obcí, súkromných a cirkevných zriaďovateľov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základe údajov zo štvrťročného štatistického výkazu </w:t>
      </w:r>
      <w:proofErr w:type="spellStart"/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1-04 o práci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školstve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obdobie január až marec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3E04B8" w14:textId="77777777" w:rsidR="001421A1" w:rsidRPr="000F23B2" w:rsidRDefault="003A3CDC" w:rsidP="001421A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objem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finančn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prostried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čerpan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mzdy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zamestnancov MŠ</w:t>
      </w:r>
      <w:r w:rsidR="00D061BF" w:rsidRPr="00D0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1BF">
        <w:rPr>
          <w:rFonts w:ascii="Times New Roman" w:eastAsia="Times New Roman" w:hAnsi="Times New Roman" w:cs="Times New Roman"/>
          <w:sz w:val="24"/>
          <w:szCs w:val="24"/>
        </w:rPr>
        <w:t>v zriaďovateľskej pôsobnosti obcí, súkromných a cirkevných zriaďovateľov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4AF">
        <w:rPr>
          <w:rFonts w:ascii="Times New Roman" w:eastAsia="Times New Roman" w:hAnsi="Times New Roman" w:cs="Times New Roman"/>
          <w:sz w:val="24"/>
          <w:szCs w:val="24"/>
        </w:rPr>
        <w:t xml:space="preserve">na základe údajov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4AF">
        <w:rPr>
          <w:rFonts w:ascii="Times New Roman" w:eastAsia="Times New Roman" w:hAnsi="Times New Roman" w:cs="Times New Roman"/>
          <w:sz w:val="24"/>
          <w:szCs w:val="24"/>
        </w:rPr>
        <w:t xml:space="preserve">zo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štvrťročného štatistického výkazu </w:t>
      </w:r>
      <w:proofErr w:type="spellStart"/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1-04 o práci v školstve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obdobie január až marec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4,</w:t>
      </w:r>
    </w:p>
    <w:p w14:paraId="4147CEED" w14:textId="77777777" w:rsidR="00126432" w:rsidRPr="000F23B2" w:rsidRDefault="00A750FA" w:rsidP="00FE6D21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f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inančn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>ý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výkaz FIN 1-12 za rok 2023 o bežných výdavko</w:t>
      </w:r>
      <w:r w:rsidR="007606D5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obcí vynaložených na </w:t>
      </w:r>
      <w:r w:rsidR="00126432" w:rsidRPr="00E94914">
        <w:rPr>
          <w:rFonts w:ascii="Times New Roman" w:eastAsia="Times New Roman" w:hAnsi="Times New Roman" w:cs="Times New Roman"/>
          <w:sz w:val="24"/>
          <w:szCs w:val="24"/>
        </w:rPr>
        <w:t>predprimárne vzdelávani</w:t>
      </w:r>
      <w:r w:rsidR="001D65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6432" w:rsidRPr="00E94914">
        <w:rPr>
          <w:rFonts w:ascii="Times New Roman" w:eastAsia="Times New Roman" w:hAnsi="Times New Roman" w:cs="Times New Roman"/>
          <w:sz w:val="24"/>
          <w:szCs w:val="24"/>
        </w:rPr>
        <w:t xml:space="preserve"> zo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zdroja 40 (vlastné príjmy obcí)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A29E5" w14:textId="77777777" w:rsidR="001421A1" w:rsidRDefault="00A750FA" w:rsidP="00126432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>legislatívne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ustanovenia navrhovanej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 úpravy financovania MŠ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432" w:rsidRPr="000F23B2">
        <w:rPr>
          <w:rFonts w:ascii="Times New Roman" w:eastAsia="Times New Roman" w:hAnsi="Times New Roman" w:cs="Times New Roman"/>
          <w:sz w:val="24"/>
          <w:szCs w:val="24"/>
        </w:rPr>
        <w:t xml:space="preserve">súlade so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 xml:space="preserve">zákonom </w:t>
      </w:r>
      <w:r w:rsidR="001421A1" w:rsidRPr="000F23B2">
        <w:rPr>
          <w:rFonts w:ascii="Times New Roman" w:eastAsia="Times New Roman" w:hAnsi="Times New Roman" w:cs="Times New Roman"/>
          <w:sz w:val="24"/>
          <w:szCs w:val="24"/>
        </w:rPr>
        <w:t>č. 597/2003 Z. z. o financovaní základných škôl, stredných škôl a školských zariadení v znení neskorších predpisov (normatívne a nenormatívne financovanie)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862131" w14:textId="77777777" w:rsidR="00FE2667" w:rsidRPr="000F23B2" w:rsidRDefault="00FE2667" w:rsidP="00126432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legislatívne ustanovenia zákona 564/2004 Z. z. o rozpočtovom určení výnosu dane z príjmov územnej samospráve a nariadenia vlády č. 668/2004 Z. z. o rozdeľovaní výnosu dane z príjmov územnej samospráve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416F7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1C41F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D8A31" w14:textId="77777777" w:rsidR="001421A1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23B2">
        <w:rPr>
          <w:rFonts w:ascii="Times New Roman" w:eastAsia="Times New Roman" w:hAnsi="Times New Roman" w:cs="Times New Roman"/>
          <w:sz w:val="24"/>
          <w:szCs w:val="24"/>
        </w:rPr>
        <w:t xml:space="preserve">Na základe vyššie uvedeného bol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vyčísle</w:t>
      </w:r>
      <w:r w:rsidR="001421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 w:rsidR="001421A1" w:rsidRPr="003A3CDC">
        <w:rPr>
          <w:rFonts w:ascii="Times New Roman" w:eastAsia="Times New Roman" w:hAnsi="Times New Roman" w:cs="Times New Roman"/>
          <w:b/>
          <w:sz w:val="24"/>
          <w:szCs w:val="24"/>
        </w:rPr>
        <w:t xml:space="preserve">celkový vplyv na </w:t>
      </w:r>
      <w:r w:rsidR="000F23B2" w:rsidRPr="003A3CDC">
        <w:rPr>
          <w:rFonts w:ascii="Times New Roman" w:eastAsia="Times New Roman" w:hAnsi="Times New Roman" w:cs="Times New Roman"/>
          <w:b/>
          <w:sz w:val="24"/>
          <w:szCs w:val="24"/>
        </w:rPr>
        <w:t>rozpočet verejnej správy vo</w:t>
      </w:r>
      <w:r w:rsidR="001421A1" w:rsidRPr="003A3CDC">
        <w:rPr>
          <w:rFonts w:ascii="Times New Roman" w:eastAsia="Times New Roman" w:hAnsi="Times New Roman" w:cs="Times New Roman"/>
          <w:b/>
          <w:sz w:val="24"/>
          <w:szCs w:val="24"/>
        </w:rPr>
        <w:t xml:space="preserve"> výške 0 €,</w:t>
      </w:r>
      <w:r w:rsidR="001421A1">
        <w:rPr>
          <w:rFonts w:ascii="Times New Roman" w:eastAsia="Times New Roman" w:hAnsi="Times New Roman" w:cs="Times New Roman"/>
          <w:sz w:val="24"/>
          <w:szCs w:val="24"/>
        </w:rPr>
        <w:t xml:space="preserve"> nakoľko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vyčíslená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potreba </w:t>
      </w:r>
      <w:r w:rsidR="001421A1">
        <w:rPr>
          <w:rFonts w:ascii="Times New Roman" w:eastAsia="Times New Roman" w:hAnsi="Times New Roman" w:cs="Times New Roman"/>
          <w:b/>
          <w:sz w:val="24"/>
          <w:szCs w:val="24"/>
        </w:rPr>
        <w:t xml:space="preserve">finančných prostriedkov pre kapitolu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3B2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ministerstva </w:t>
      </w:r>
      <w:bookmarkStart w:id="4" w:name="_Hlk173851902"/>
      <w:r w:rsidR="000F23B2" w:rsidRPr="001945F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zabezpečeni</w:t>
      </w:r>
      <w:r w:rsidR="001A7B33">
        <w:rPr>
          <w:rFonts w:ascii="Times New Roman" w:eastAsia="Times New Roman" w:hAnsi="Times New Roman" w:cs="Times New Roman"/>
          <w:sz w:val="24"/>
          <w:szCs w:val="24"/>
        </w:rPr>
        <w:t>e z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meny financovania MŠ na rok 2025 </w:t>
      </w:r>
      <w:r w:rsidR="001421A1" w:rsidRPr="00BD708C">
        <w:rPr>
          <w:rFonts w:ascii="Times New Roman" w:eastAsia="Times New Roman" w:hAnsi="Times New Roman" w:cs="Times New Roman"/>
          <w:b/>
          <w:sz w:val="24"/>
          <w:szCs w:val="24"/>
        </w:rPr>
        <w:t xml:space="preserve">vo výške </w:t>
      </w:r>
      <w:r w:rsidR="00FE2667">
        <w:rPr>
          <w:rFonts w:ascii="Times New Roman" w:eastAsia="Times New Roman" w:hAnsi="Times New Roman" w:cs="Times New Roman"/>
          <w:b/>
          <w:sz w:val="24"/>
          <w:szCs w:val="24"/>
        </w:rPr>
        <w:t xml:space="preserve">614 433 722 € sa predpokladá zabezpečiť znížením výnosu DPFO obciam vo výške </w:t>
      </w:r>
      <w:r w:rsidR="00A750FA">
        <w:rPr>
          <w:rFonts w:ascii="Times New Roman" w:eastAsia="Times New Roman" w:hAnsi="Times New Roman" w:cs="Times New Roman"/>
          <w:b/>
          <w:sz w:val="24"/>
          <w:szCs w:val="24"/>
        </w:rPr>
        <w:t xml:space="preserve">559 639 294 </w:t>
      </w:r>
      <w:r w:rsidR="000F23B2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667" w:rsidRPr="002D4A40">
        <w:rPr>
          <w:rFonts w:ascii="Times New Roman" w:eastAsia="Times New Roman" w:hAnsi="Times New Roman" w:cs="Times New Roman"/>
          <w:b/>
          <w:sz w:val="24"/>
          <w:szCs w:val="24"/>
        </w:rPr>
        <w:t>a vlastnými rozpočtovými zdrojmi ministerstva vo výške 54 794 428 €.</w:t>
      </w:r>
      <w:r w:rsidR="00FE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="001421A1" w:rsidRPr="006B663E">
        <w:rPr>
          <w:rFonts w:ascii="Times New Roman" w:eastAsia="Times New Roman" w:hAnsi="Times New Roman" w:cs="Times New Roman"/>
          <w:sz w:val="24"/>
          <w:szCs w:val="24"/>
        </w:rPr>
        <w:t>S rovnakými sumami sa uvažuje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aj na nasledujúce </w:t>
      </w:r>
      <w:r w:rsidR="001A7B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 rozpočtové roky.  </w:t>
      </w:r>
    </w:p>
    <w:p w14:paraId="2F1B44BB" w14:textId="77777777" w:rsidR="001421A1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885FC" w14:textId="77777777" w:rsidR="001421A1" w:rsidRPr="00CF6A1A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>V p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redloženom návrhu nie je zohľadnený prípadný nárast počtu detí MŠ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1A1" w:rsidRPr="00CF6A1A">
        <w:rPr>
          <w:rFonts w:ascii="Times New Roman" w:eastAsia="Times New Roman" w:hAnsi="Times New Roman" w:cs="Times New Roman"/>
          <w:sz w:val="24"/>
          <w:szCs w:val="24"/>
        </w:rPr>
        <w:t>v jednotlivých rozpočtových rokoch a s tým súvisiaci nárast počtu zamestnancov MŠ.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Pri súčasnom počte</w:t>
      </w:r>
      <w:r w:rsidR="00A75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50FA">
        <w:rPr>
          <w:rFonts w:ascii="Times New Roman" w:eastAsia="Times New Roman" w:hAnsi="Times New Roman" w:cs="Times New Roman"/>
          <w:sz w:val="24"/>
          <w:szCs w:val="24"/>
        </w:rPr>
        <w:t>25 074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474" w:rsidRPr="00CF6A1A">
        <w:rPr>
          <w:rFonts w:ascii="Times New Roman" w:eastAsia="Times New Roman" w:hAnsi="Times New Roman" w:cs="Times New Roman"/>
          <w:sz w:val="24"/>
          <w:szCs w:val="24"/>
        </w:rPr>
        <w:t xml:space="preserve">zamestnancov </w:t>
      </w:r>
      <w:r w:rsidR="00043879" w:rsidRPr="00CF6A1A">
        <w:rPr>
          <w:rFonts w:ascii="Times New Roman" w:eastAsia="Times New Roman" w:hAnsi="Times New Roman" w:cs="Times New Roman"/>
          <w:sz w:val="24"/>
          <w:szCs w:val="24"/>
        </w:rPr>
        <w:t xml:space="preserve"> sa nepredpokladá rozpočtovo nekrytý vplyv. </w:t>
      </w:r>
      <w:r w:rsidR="002D4A40">
        <w:rPr>
          <w:rFonts w:ascii="Times New Roman" w:eastAsia="Times New Roman" w:hAnsi="Times New Roman" w:cs="Times New Roman"/>
          <w:sz w:val="24"/>
          <w:szCs w:val="24"/>
        </w:rPr>
        <w:t>Z uvedeného vyplýva, že v prípade zmien výkonových ukazovateľov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4A40">
        <w:rPr>
          <w:rFonts w:ascii="Times New Roman" w:eastAsia="Times New Roman" w:hAnsi="Times New Roman" w:cs="Times New Roman"/>
          <w:sz w:val="24"/>
          <w:szCs w:val="24"/>
        </w:rPr>
        <w:t xml:space="preserve"> bude túto situáciu  ministerstvo riešiť v spolupráci s  MF SR. </w:t>
      </w:r>
    </w:p>
    <w:p w14:paraId="61A8FC65" w14:textId="77777777" w:rsidR="001421A1" w:rsidRPr="00BD708C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7A574" w14:textId="77777777" w:rsidR="001421A1" w:rsidRPr="002F17CB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V oblasti vplyvu zamestnanosti na rozpočet verejnej správy sa vychádzalo z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 údajov </w:t>
      </w:r>
      <w:r w:rsidR="00FD44AF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štvrťročného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štatistického výkazu </w:t>
      </w:r>
      <w:proofErr w:type="spellStart"/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Škol</w:t>
      </w:r>
      <w:proofErr w:type="spellEnd"/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5F3">
        <w:rPr>
          <w:rFonts w:ascii="Times New Roman" w:eastAsia="Times New Roman" w:hAnsi="Times New Roman" w:cs="Times New Roman"/>
          <w:sz w:val="24"/>
          <w:szCs w:val="24"/>
        </w:rPr>
        <w:t xml:space="preserve">(MŠVVM SR)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1-04 o </w:t>
      </w:r>
      <w:r w:rsidR="00FD44AF" w:rsidRPr="002F17CB">
        <w:rPr>
          <w:rFonts w:ascii="Times New Roman" w:eastAsia="Times New Roman" w:hAnsi="Times New Roman" w:cs="Times New Roman"/>
          <w:sz w:val="24"/>
          <w:szCs w:val="24"/>
        </w:rPr>
        <w:t xml:space="preserve"> práci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 v školstve za obdobie 1. štvrťroku 2024 o 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celkov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706EBF" w:rsidRPr="002F17CB">
        <w:rPr>
          <w:rFonts w:ascii="Times New Roman" w:eastAsia="Times New Roman" w:hAnsi="Times New Roman" w:cs="Times New Roman"/>
          <w:sz w:val="24"/>
          <w:szCs w:val="24"/>
        </w:rPr>
        <w:t xml:space="preserve">priemernom evidenčnom 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prepočítanom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 počt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 xml:space="preserve">pedagogických, odborných a nepedagogických zamestnancov, ktorí zabezpečujú výchovno-vzdelávací proces a prevádzku 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21A1" w:rsidRPr="002F17CB">
        <w:rPr>
          <w:rFonts w:ascii="Times New Roman" w:eastAsia="Times New Roman" w:hAnsi="Times New Roman" w:cs="Times New Roman"/>
          <w:sz w:val="24"/>
          <w:szCs w:val="24"/>
        </w:rPr>
        <w:t>MŠ</w:t>
      </w:r>
      <w:r w:rsidR="00D061BF" w:rsidRPr="002F17CB">
        <w:rPr>
          <w:rFonts w:ascii="Times New Roman" w:eastAsia="Times New Roman" w:hAnsi="Times New Roman" w:cs="Times New Roman"/>
          <w:sz w:val="24"/>
          <w:szCs w:val="24"/>
        </w:rPr>
        <w:t xml:space="preserve">  v zriaďovateľskej pôsobnosti obcí, súkromných a cirkevných zriaďovateľov</w:t>
      </w:r>
      <w:r w:rsidR="001A7B33" w:rsidRPr="002F1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32929" w14:textId="77777777" w:rsidR="001421A1" w:rsidRPr="002F17CB" w:rsidRDefault="001421A1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ED174" w14:textId="77777777" w:rsidR="001421A1" w:rsidRPr="00BD708C" w:rsidRDefault="006045CA" w:rsidP="001421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21A1" w:rsidRPr="00BD708C">
        <w:rPr>
          <w:rFonts w:ascii="Times New Roman" w:hAnsi="Times New Roman" w:cs="Times New Roman"/>
          <w:sz w:val="24"/>
          <w:szCs w:val="24"/>
        </w:rPr>
        <w:t xml:space="preserve">Aj keď sa novelou zákona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plní jeden z cieľov Plánu obnovy a odolnosti SR schváleného uznesením vlády SR č. 221 z 28. apríla 2021–  Reforma 1 komponent 6  - „</w:t>
      </w:r>
      <w:r w:rsidR="001421A1" w:rsidRPr="00BD708C">
        <w:rPr>
          <w:rFonts w:ascii="Times New Roman" w:hAnsi="Times New Roman" w:cs="Times New Roman"/>
          <w:i/>
          <w:sz w:val="24"/>
          <w:szCs w:val="24"/>
        </w:rPr>
        <w:t xml:space="preserve">Zabezpečenie podmienok na implementáciu povinného predprimárneho vzdelávania pre deti od 5 rokov a zavedenie právneho nároku na miesto v materskej škole alebo u iných poskytovateľov </w:t>
      </w:r>
      <w:r w:rsidR="001421A1" w:rsidRPr="00BD708C">
        <w:rPr>
          <w:rFonts w:ascii="Times New Roman" w:hAnsi="Times New Roman" w:cs="Times New Roman"/>
          <w:i/>
          <w:sz w:val="24"/>
          <w:szCs w:val="24"/>
        </w:rPr>
        <w:lastRenderedPageBreak/>
        <w:t>predprimárneho vzdelávania od 3 rokov</w:t>
      </w:r>
      <w:r w:rsidR="001421A1" w:rsidRPr="00BD708C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, nie je možné výdavky spojené so zmenou financovania uhrádzať z prostriedkov Plánu obnovy a odolnosti SR. F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inančné prostriedky, ktoré sú  poskytované z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>Plánu obnovy a odolnosti SR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sú časovo ohraničené do roku 2026 a 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Pláne obnovy a odolnosti SR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nikdy neuvažovalo s financovaním MŠ v zriaďovateľskej pôsobnosti samosprávy, cirkevných  a súkromných zriaďovateľov z finančných prostriedkov poskytovaných z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Plánu obnovy a odolnosti SR,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ani v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</w:rPr>
        <w:t xml:space="preserve">Pláne obnovy a odolnosti SR </w:t>
      </w:r>
      <w:r w:rsidR="001421A1"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neboli tieto zdroje kvantifikované.</w:t>
      </w:r>
    </w:p>
    <w:p w14:paraId="70861486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CE3A29" w14:textId="77777777" w:rsidR="001421A1" w:rsidRPr="00BD708C" w:rsidRDefault="001421A1" w:rsidP="0014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A1CE0" w14:textId="77777777" w:rsidR="001421A1" w:rsidRPr="00BD708C" w:rsidRDefault="001421A1" w:rsidP="001421A1">
      <w:pPr>
        <w:rPr>
          <w:rFonts w:ascii="Times New Roman" w:hAnsi="Times New Roman" w:cs="Times New Roman"/>
          <w:sz w:val="24"/>
          <w:szCs w:val="24"/>
        </w:rPr>
      </w:pPr>
    </w:p>
    <w:p w14:paraId="5F527904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9F97EC4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1421A1" w:rsidRPr="00BD708C" w:rsidSect="002B63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7381301E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E1FE61C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14:paraId="68CB99B6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421A1" w:rsidRPr="00BD708C" w14:paraId="08E0E2AD" w14:textId="77777777" w:rsidTr="001421A1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4B747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 w:rsidR="00E62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808AB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C154D8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14:paraId="576A99D2" w14:textId="77777777" w:rsidTr="001421A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23B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661CA" w14:textId="77777777"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B272DB" w14:textId="77777777"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ECE153" w14:textId="77777777"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CF59B" w14:textId="77777777" w:rsidR="001421A1" w:rsidRPr="00BD708C" w:rsidRDefault="00E62108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DF3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C4C7C" w:rsidRPr="00BD708C" w14:paraId="62799A40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F43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    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PFO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0DC3E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DF444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A1F4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F1E6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B961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14:paraId="3FE0188E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52F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B768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EA05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A878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D796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98714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14:paraId="4923CEF2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D708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0069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7FF5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9C3E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BFE1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EDE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14:paraId="29FA68DE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8CE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A9C072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48A7C3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58AF38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46C6D9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71B9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21A1" w:rsidRPr="00BD708C" w14:paraId="67FA36A0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0B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B4224C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948EA5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31279B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C95313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0413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4C7C" w:rsidRPr="00BD708C" w14:paraId="0479F0D9" w14:textId="77777777" w:rsidTr="001421A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E7D5B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BCEBF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74230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30C3F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99A70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D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1069473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5196BFA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B504A09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2350A8B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7E25715" w14:textId="77777777" w:rsidR="001421A1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1337947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EC0588F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4122F87" w14:textId="77777777" w:rsidR="00DC4C7C" w:rsidRDefault="00DC4C7C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8B6361E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1470233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C2C4E8B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CE198A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FB6A477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CD04131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C61FE71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66B28D1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809A5C1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528B00F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4F70C35" w14:textId="77777777" w:rsidR="007B2B83" w:rsidRPr="00BD708C" w:rsidRDefault="007B2B83" w:rsidP="007B2B83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9C4883" w14:textId="77777777" w:rsidR="007B2B83" w:rsidRPr="00BD708C" w:rsidRDefault="007B2B83" w:rsidP="007B2B83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3A969BC9" w14:textId="77777777"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B2B83" w:rsidRPr="00BD708C" w14:paraId="61BB2DDD" w14:textId="77777777" w:rsidTr="009D7B4C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351D3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6E365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0E6811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B2B83" w:rsidRPr="00BD708C" w14:paraId="315ED5E4" w14:textId="77777777" w:rsidTr="009D7B4C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6162" w14:textId="77777777" w:rsidR="007B2B83" w:rsidRPr="00BD708C" w:rsidRDefault="007B2B83" w:rsidP="009D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3CE3C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BA147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E6CD3A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BF8E6" w14:textId="77777777" w:rsidR="007B2B83" w:rsidRPr="00BD708C" w:rsidRDefault="007B2B83" w:rsidP="009D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653" w14:textId="77777777" w:rsidR="007B2B83" w:rsidRPr="00BD708C" w:rsidRDefault="007B2B83" w:rsidP="009D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C4C7C" w:rsidRPr="00BD708C" w14:paraId="4214ABDE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97F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   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PFO   (Obce)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0536C" w14:textId="77777777" w:rsidR="00DC4C7C" w:rsidRPr="00BD708C" w:rsidRDefault="00EA22A7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183F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03B3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C990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B637E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14:paraId="38BE7C35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E59" w14:textId="77777777"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78FD" w14:textId="77777777"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22E6B" w14:textId="77777777"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94A9" w14:textId="77777777"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16C7" w14:textId="77777777" w:rsidR="007B2B83" w:rsidRPr="00BD708C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D7BAE" w14:textId="77777777"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14:paraId="5234E927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75B" w14:textId="77777777"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E08D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49AE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647C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E5CE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8D3DF" w14:textId="77777777"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14:paraId="2424C4D2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086" w14:textId="77777777"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40C8FA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6ADF8E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0F4863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58FD44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90AEC" w14:textId="77777777"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B2B83" w:rsidRPr="00BD708C" w14:paraId="29311B8C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1E6" w14:textId="77777777" w:rsidR="007B2B83" w:rsidRPr="00BD708C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E15494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768B4D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CB0B80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84F129" w14:textId="77777777" w:rsidR="007B2B83" w:rsidRPr="00EA22A7" w:rsidRDefault="007B2B83" w:rsidP="007B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48C8F" w14:textId="77777777" w:rsidR="007B2B83" w:rsidRPr="00EA22A7" w:rsidRDefault="007B2B83" w:rsidP="007B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22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4C7C" w:rsidRPr="00BD708C" w14:paraId="6347256F" w14:textId="77777777" w:rsidTr="009D7B4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FA9C47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A4881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C483E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C4205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DAF4F" w14:textId="77777777" w:rsidR="00DC4C7C" w:rsidRPr="00BD708C" w:rsidRDefault="00DC4C7C" w:rsidP="00DC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AB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559 639 294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BBB15FB" w14:textId="77777777" w:rsidR="00DC4C7C" w:rsidRPr="00BD708C" w:rsidRDefault="00DC4C7C" w:rsidP="00DC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B73F8B4" w14:textId="77777777"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B18E203" w14:textId="77777777"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A37803" w14:textId="77777777" w:rsidR="007B2B83" w:rsidRPr="00BD708C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E3FECB8" w14:textId="77777777"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56942AE" w14:textId="77777777"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2300685" w14:textId="77777777" w:rsidR="007B2B83" w:rsidRDefault="007B2B83" w:rsidP="007B2B8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776F927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A412907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0CFE5E9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2B3D27F" w14:textId="77777777" w:rsidR="007B2B83" w:rsidRDefault="007B2B8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79F041E" w14:textId="77777777" w:rsidR="00E17CBB" w:rsidRDefault="00E17CBB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6DAC4B" w14:textId="77777777" w:rsidR="00E17CBB" w:rsidRPr="00BD708C" w:rsidRDefault="00E17CBB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C779854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1BBB9D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F93B7F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6C393A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DC217E" w14:textId="77777777" w:rsidR="001421A1" w:rsidRDefault="001421A1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FD93D2" w14:textId="77777777" w:rsidR="00375306" w:rsidRPr="00BD708C" w:rsidRDefault="00375306" w:rsidP="001421A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1CD036" w14:textId="77777777" w:rsidR="003A3CDC" w:rsidRDefault="003A3CDC" w:rsidP="001421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6C50E7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4/A </w:t>
      </w:r>
    </w:p>
    <w:p w14:paraId="7F688AFA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421A1" w:rsidRPr="00BD708C" w14:paraId="47D4C8D7" w14:textId="77777777" w:rsidTr="001421A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88996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32792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01CAFC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14:paraId="1124ED83" w14:textId="77777777" w:rsidTr="00FE6D21">
        <w:trPr>
          <w:cantSplit/>
          <w:trHeight w:val="142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9A8C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3D0833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707CEB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52EE6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4D3C5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878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15A74" w:rsidRPr="00BD708C" w14:paraId="6C446371" w14:textId="77777777" w:rsidTr="001421A1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CDE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5" w:name="_Hlk162266532"/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55EB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DE6F8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14:paraId="4F02A6B0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8BAD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14:paraId="2318283E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956F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 </w:t>
            </w:r>
          </w:p>
          <w:p w14:paraId="738DA507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0F85A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bookmarkEnd w:id="5"/>
      <w:tr w:rsidR="00415A74" w:rsidRPr="00BD708C" w14:paraId="3AE629D7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96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43C6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0CE03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FCB8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D816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0BB81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6684F6DC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F1D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AC57D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30F7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4493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B3C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09BC8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7215A142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066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57CD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5002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0C02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673CF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57FD3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3B9C0CE4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87D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00C78277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B48D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F23DE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EC26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35FFF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68C95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14:paraId="144118F4" w14:textId="77777777" w:rsidTr="001421A1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BB8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9A53" w14:textId="77777777"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655A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03C09A3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60D1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42713161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2EF5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4F9622E0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558 926 868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DC37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14:paraId="732E3DB3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C7E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3BED" w14:textId="77777777"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B7E2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25F2933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6A0A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23CB34F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C7F2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E7E7E7C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22 014 271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72047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14:paraId="105AE83C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A3F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5437" w14:textId="77777777"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FC050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72A17A20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1F40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52D6BD61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17FE" w14:textId="77777777" w:rsidR="00415A74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DA13861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33 492 582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C9131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4835ECE8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FAB3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61A5" w14:textId="77777777"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CEC1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BDD1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F6EE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F9E6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14:paraId="6EA09CD2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FF7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5ED9" w14:textId="77777777" w:rsidR="00415A74" w:rsidRPr="00711C0F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75B0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A607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F9CA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E8A68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5A74" w:rsidRPr="00BD708C" w14:paraId="248A9258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F24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8C73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16B5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EC0D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A7CE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780E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0CBC953D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AF7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8D22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1E4E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5EB7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7E28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78AE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7E44C22A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989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556" w14:textId="77777777" w:rsidR="00415A74" w:rsidRPr="00DD0032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128A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3137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F932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FFAC9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15A74" w:rsidRPr="00BD708C" w14:paraId="2E798098" w14:textId="77777777" w:rsidTr="001421A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9BA99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84470" w14:textId="77777777" w:rsidR="00415A74" w:rsidRPr="00BD708C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67A1F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7AD70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D561AD" w14:textId="77777777" w:rsidR="00415A74" w:rsidRPr="00E17CBB" w:rsidRDefault="00415A74" w:rsidP="004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614 433 722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E110855" w14:textId="77777777" w:rsidR="00415A74" w:rsidRPr="00BD708C" w:rsidRDefault="00415A74" w:rsidP="0041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6470749" w14:textId="77777777" w:rsidR="001421A1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DEF3A9B" w14:textId="77777777" w:rsidR="00E17CBB" w:rsidRPr="00BD708C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A84A44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0C35D338" w14:textId="77777777" w:rsidR="001421A1" w:rsidRPr="00DD0032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nepredpokladá rozpočtovo nekrytý vplyv  na rozpočet verejnej správy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 dochádza k vzájomnej kompenzácii vplyvov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 obcí a štátny rozpočet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 výdavky nad rámec kompenzácie sú zabezpečené v rozpočte ministerstva.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7F4CDE2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4/A </w:t>
      </w:r>
    </w:p>
    <w:p w14:paraId="558B15F7" w14:textId="77777777" w:rsidR="00E17CBB" w:rsidRPr="00BD708C" w:rsidRDefault="00E17CBB" w:rsidP="00E17CB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E17CBB" w:rsidRPr="00BD708C" w14:paraId="54195D9D" w14:textId="77777777" w:rsidTr="00E17CB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68DC7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Obce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9FE75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73AF50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17CBB" w:rsidRPr="00BD708C" w14:paraId="393B32C5" w14:textId="77777777" w:rsidTr="00E17CB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929CC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5682E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EA63EF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089CA6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6E481A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EF9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543BC" w:rsidRPr="00BD708C" w14:paraId="1380B74A" w14:textId="77777777" w:rsidTr="00E17CBB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104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3AF0" w14:textId="77777777"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AE3C6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14:paraId="545113EC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1B47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14:paraId="5F0144C3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E21A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 </w:t>
            </w:r>
          </w:p>
          <w:p w14:paraId="7F69E38C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B657A" w14:textId="77777777"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14:paraId="4763DF60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DAD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BDBD" w14:textId="77777777"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D7FA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3CE8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54C4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EBDCB" w14:textId="77777777"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14:paraId="5754EA52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C6A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A6D8" w14:textId="77777777"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7B5E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A942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EFDE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8D58A" w14:textId="77777777"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14:paraId="63072C51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7CC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BF6A" w14:textId="77777777"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F430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B580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9DBC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EB8C" w14:textId="77777777"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543BC" w:rsidRPr="00BD708C" w14:paraId="7535BB5F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87A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0B1DFD20" w14:textId="77777777" w:rsidR="00B543BC" w:rsidRPr="00BD708C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6F12" w14:textId="77777777" w:rsidR="00B543BC" w:rsidRPr="00BD708C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D317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FF31F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B6F6" w14:textId="77777777" w:rsidR="00B543BC" w:rsidRPr="001945F3" w:rsidRDefault="00B543BC" w:rsidP="00B5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4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-559 639 294  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DFF3D" w14:textId="77777777" w:rsidR="00B543BC" w:rsidRPr="001945F3" w:rsidRDefault="00B543BC" w:rsidP="00B5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14:paraId="06C98199" w14:textId="77777777" w:rsidTr="00E17CBB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127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8F8A" w14:textId="77777777"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67B7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7E98B55D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A17A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FA9A65B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AD27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53827E91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72DE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14:paraId="0BAE9D78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0FA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F214" w14:textId="77777777"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BB77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51C81AB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77B3B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12F2E72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A51A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5B6BC08B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7621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A3CDC" w:rsidRPr="00BD708C" w14:paraId="1042D0C8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107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285E" w14:textId="77777777" w:rsidR="003A3CDC" w:rsidRPr="00711C0F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7B49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F1670E5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BEB6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0A20477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137C" w14:textId="77777777" w:rsidR="003A3CDC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902561D" w14:textId="77777777" w:rsidR="003A3CDC" w:rsidRPr="00FE6D21" w:rsidRDefault="003A3CDC" w:rsidP="003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-20 051 066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E56BF" w14:textId="77777777" w:rsidR="003A3CDC" w:rsidRPr="00BD708C" w:rsidRDefault="003A3CDC" w:rsidP="003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14:paraId="361720AE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31A4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4822" w14:textId="77777777" w:rsidR="00E17CBB" w:rsidRPr="00711C0F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F506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8DB9F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2093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A1FC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7CBB" w:rsidRPr="00BD708C" w14:paraId="189EA212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EC6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1A6C" w14:textId="77777777" w:rsidR="00E17CBB" w:rsidRPr="00711C0F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6890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55985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0ACC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18E4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7CBB" w:rsidRPr="00BD708C" w14:paraId="7CF1A0E1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BB5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16F4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4AF5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7B4F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6B86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EEE1D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14:paraId="7B6596C8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97A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4355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F0F1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17F4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D3A5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118EA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14:paraId="05D86C64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554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5EF" w14:textId="77777777"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6110" w14:textId="77777777"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8858" w14:textId="77777777"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03E" w14:textId="77777777" w:rsidR="00E17CBB" w:rsidRPr="00DD0032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41DCE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17CBB" w:rsidRPr="00BD708C" w14:paraId="2AFE9AFB" w14:textId="77777777" w:rsidTr="00E17CB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2DD6B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52858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95C9C" w14:textId="77777777"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C29FB1" w14:textId="77777777"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5387E" w14:textId="77777777" w:rsidR="00E17CBB" w:rsidRPr="00BD708C" w:rsidRDefault="00B543BC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-559 639 294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0528E4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48C5518" w14:textId="77777777" w:rsidR="00E17CBB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6A93F41" w14:textId="77777777" w:rsidR="00E17CBB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EC69AA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099EA2C9" w14:textId="77777777" w:rsidR="00415A74" w:rsidRPr="00DD0032" w:rsidRDefault="00415A74" w:rsidP="0041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nepredpokladá rozpočtovo nekrytý vplyv  na rozpočet verejnej správy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 dochádza k vzájomnej kompenzácii vplyvov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 obcí a štátny rozpočet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 výdavky nad rámec kompenzácie sú zabezpečené v rozpočte ministerstva.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5D7AE98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E51D230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F95488" w14:textId="77777777" w:rsidR="001421A1" w:rsidRDefault="001421A1" w:rsidP="00E17CB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2C97C3" w14:textId="77777777"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C6C9B7" w14:textId="77777777"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1353BF6" w14:textId="77777777" w:rsidR="00E17CBB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24A14F9" w14:textId="77777777" w:rsidR="00E17CBB" w:rsidRPr="00BD708C" w:rsidRDefault="00E17CBB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bookmarkStart w:id="6" w:name="_Hlk166848897"/>
    </w:p>
    <w:p w14:paraId="4F136EAC" w14:textId="77777777" w:rsidR="001421A1" w:rsidRPr="00680243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2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421A1" w:rsidRPr="00BD708C" w14:paraId="31362397" w14:textId="77777777" w:rsidTr="001421A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8AA3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E1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985400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DB541A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14:paraId="740CCF1F" w14:textId="77777777" w:rsidTr="001421A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02FE6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A4E70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00E42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FBF4A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A2E08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2EE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21A1" w:rsidRPr="00BD708C" w14:paraId="50398DC8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03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AED35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BD34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96182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AE77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D6D5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19C87729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AC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3E6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84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967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69A9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2E7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7878EEAB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C23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460D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4AAB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7C2D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C66D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63C02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61D4381C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D12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18B8F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B5A1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C2AB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0A8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82F1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6878C2AC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C71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AE9A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2295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A9C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6C97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8B30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19035934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3F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215E8325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DB0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E13F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21F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4EFB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6B5A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3B18EB6A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6B3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2D75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9F78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73AA0C1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D4B9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F2E710F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1A99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F6D4ABB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8B80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3E8FA836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98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FA1B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CD61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0FAC77A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4080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008E5CA6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0061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96C6C4C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36393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25C7B092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71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F7A4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12D6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71C987C9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B2760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8D2635E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F0A6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422F18E6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B0E7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00F3EBA2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EBD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FA05D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D240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9926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249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A84C3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14CBBDF2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192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EEF7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3F4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4CB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61116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4591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211FAE9A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07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CDE0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B94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CDC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6AB5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49CCA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369FCFE8" w14:textId="77777777" w:rsidTr="001421A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CC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(721 006)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2F66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0E4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BC847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F2CE1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A51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51749C5E" w14:textId="77777777" w:rsidTr="001421A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7BB9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5690C" w14:textId="77777777" w:rsidR="002C0FEB" w:rsidRPr="00EB62D4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BEA98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B639F0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D80F1A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6C8508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C737F2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4EBA090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559 639 294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1F8D0F1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19FB4CB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podpoložiek platnej ekonomickej klasifikácie</w:t>
      </w:r>
    </w:p>
    <w:p w14:paraId="66E77FC6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A1DB954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415BAE1F" w14:textId="77777777" w:rsidR="001421A1" w:rsidRPr="00DD0032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nepredpokladá rozpočtovo nekrytý vplyv  na 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limit výdavkov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verejnej správy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vplyvy na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limit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 w:rsidR="00415A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obcí a štátny rozpočet  sú vzájomne vykompenzované. </w:t>
      </w:r>
    </w:p>
    <w:p w14:paraId="7533B699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bookmarkEnd w:id="6"/>
    <w:p w14:paraId="5BF0F587" w14:textId="77777777" w:rsidR="001421A1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083640" w14:textId="77777777"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1618E8" w14:textId="77777777"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C64617" w14:textId="77777777" w:rsidR="00680243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77B909C" w14:textId="77777777" w:rsidR="00680243" w:rsidRPr="00BD708C" w:rsidRDefault="00680243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67899D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11716D1" w14:textId="77777777" w:rsidR="00E17CBB" w:rsidRPr="00680243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02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E17CBB" w:rsidRPr="00BD708C" w14:paraId="5C2E4167" w14:textId="77777777" w:rsidTr="00E17CB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30E0B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Obce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CE85B9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ED0038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17CBB" w:rsidRPr="00BD708C" w14:paraId="690DD3F4" w14:textId="77777777" w:rsidTr="00E17CB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FFD2F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F0DC13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7A33D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E28EF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5477F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917A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17CBB" w:rsidRPr="00BD708C" w14:paraId="2470CD97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14A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F211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5C61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C5C9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93FA" w14:textId="77777777" w:rsidR="00E17CBB" w:rsidRPr="00BD708C" w:rsidRDefault="00E17CBB" w:rsidP="00E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9D49" w14:textId="77777777" w:rsidR="00E17CBB" w:rsidRPr="00BD708C" w:rsidRDefault="00E17CBB" w:rsidP="00E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7EB3F05F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C0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928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1CC9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1966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1162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0A05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58948A51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F00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34A1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F85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8150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FA8E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EE99B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6B00EA95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94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740B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BA9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F319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ECA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DC6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0BF7BA07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DAF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173F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BC05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147C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94D6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D3F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0E744A34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0A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092B9DD2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31C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1A0D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232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DB51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-559 639 294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97F5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5BD453F4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93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040F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A7ED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AE3039D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9A0B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5386327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89C2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9F1D953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509 082 472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3D1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67BCDEE9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059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3813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008E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548FE49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00ED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144045BD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1BA3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4F0E3A0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20 051 066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95FCD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104D8E32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DA0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60C11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B2F5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6B231F1E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DB1FE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4522CEC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36CB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374CFA84" w14:textId="77777777" w:rsidR="002C0FEB" w:rsidRPr="00711C0F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30 505 756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35B98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107CAE23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B94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708C">
              <w:t xml:space="preserve"> 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E512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C83E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D12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D52F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D240B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C0FEB" w:rsidRPr="00BD708C" w14:paraId="3ABB407B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D2C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48D42" w14:textId="77777777" w:rsidR="002C0FEB" w:rsidRPr="00711C0F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1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19BC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056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044E4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FBE11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4D11D169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244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FD8A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71E0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5093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0C10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FBAE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3261E226" w14:textId="77777777" w:rsidTr="00E17CB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A67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(721 006)</w:t>
            </w:r>
            <w:r w:rsidRPr="00BD70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626A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63E8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AE99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0EBF7" w14:textId="77777777" w:rsidR="002C0FEB" w:rsidRPr="00BD708C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92809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C0FEB" w:rsidRPr="00BD708C" w14:paraId="4599DB1C" w14:textId="77777777" w:rsidTr="00E17CB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2D8F76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5A2E5" w14:textId="77777777" w:rsidR="002C0FEB" w:rsidRPr="00EB62D4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6FCF0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342638C" w14:textId="77777777"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1BBF7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08C4BEDC" w14:textId="77777777"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DAC660" w14:textId="77777777" w:rsidR="002C0FEB" w:rsidRDefault="002C0FEB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29F94384" w14:textId="77777777" w:rsidR="002C0FEB" w:rsidRPr="00DD0032" w:rsidRDefault="00935244" w:rsidP="002C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2C0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559 639 294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9FF57E" w14:textId="77777777" w:rsidR="002C0FEB" w:rsidRPr="00BD708C" w:rsidRDefault="002C0FEB" w:rsidP="002C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A779012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podpoložiek platnej ekonomickej klasifikácie</w:t>
      </w:r>
    </w:p>
    <w:p w14:paraId="17DEE6A5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D431531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7190DD0D" w14:textId="77777777" w:rsidR="00415A74" w:rsidRPr="00DD0032" w:rsidRDefault="00415A74" w:rsidP="0041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nepredpokladá rozpočtovo nekrytý vplyv 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limit výdavkov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verejnej správy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vplyvy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limit 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</w:t>
      </w:r>
      <w:r w:rsidRPr="00DD00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obcí a štátny rozpočet  sú vzájomne vykompenzované. </w:t>
      </w:r>
    </w:p>
    <w:p w14:paraId="5D7D3D46" w14:textId="77777777" w:rsidR="00E17CBB" w:rsidRPr="00BD708C" w:rsidRDefault="00E17CBB" w:rsidP="00E17CB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A48285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2FE4DC" w14:textId="77777777" w:rsidR="001421A1" w:rsidRPr="00BD708C" w:rsidRDefault="001421A1" w:rsidP="001421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6B9CC5" w14:textId="77777777" w:rsidR="001421A1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6A0B07" w14:textId="77777777" w:rsidR="00680243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360719" w14:textId="77777777" w:rsidR="00680243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BB3826" w14:textId="77777777" w:rsidR="00680243" w:rsidRPr="00BD708C" w:rsidRDefault="00680243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66037D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A0ABA6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1AE5E5F6" w14:textId="77777777" w:rsidR="001421A1" w:rsidRPr="00BD708C" w:rsidRDefault="001421A1" w:rsidP="001421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1421A1" w:rsidRPr="00BD708C" w14:paraId="2CE86082" w14:textId="77777777" w:rsidTr="001421A1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3BC01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0173B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C7F3FF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14:paraId="5A548592" w14:textId="77777777" w:rsidTr="001421A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B155E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FFB58E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4CC79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85072A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09B7F" w14:textId="77777777" w:rsidR="001421A1" w:rsidRPr="00BD708C" w:rsidRDefault="001421A1" w:rsidP="0014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A0451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A3EAC" w:rsidRPr="00BD708C" w14:paraId="4D698225" w14:textId="77777777" w:rsidTr="001421A1">
        <w:trPr>
          <w:trHeight w:val="36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C53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 (orientačný ukazovateľ)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6C7A3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78E1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2037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949A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25 074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4C1BE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16A11EEE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379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 (orientačný ukazovateľ)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579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EE48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4235D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D6D25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ED6C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14:paraId="32997732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A02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F562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59575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36FB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17A8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1 260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6459C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722D1AA1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8704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E73BA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A8727" w14:textId="77777777" w:rsidR="006A3EAC" w:rsidRPr="00BD708C" w:rsidRDefault="00935244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A3E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1 260</w:t>
            </w:r>
            <w:r w:rsidR="006A3EAC"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FC22E" w14:textId="77777777" w:rsidR="006A3EAC" w:rsidRPr="00BD708C" w:rsidRDefault="00935244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A3E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1 260</w:t>
            </w:r>
            <w:r w:rsidR="006A3EAC"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91E79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9352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1 260</w:t>
            </w: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2F7E7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3397B428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377CB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Osobné výdavky celkom (v eurách)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F7706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FE81A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7E844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642BB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2AEB75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13464F29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567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8637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9EA2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7E99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93F1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04EA7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23A9FFC6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05B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68F9" w14:textId="77777777"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EED9" w14:textId="77777777"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E53A" w14:textId="77777777"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DF93" w14:textId="77777777" w:rsidR="006A3EAC" w:rsidRPr="00BD708C" w:rsidRDefault="006A3EAC" w:rsidP="006A3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CEDC2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2D7E9FD1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FAB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EA91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6F2E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FB8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05EA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D1BB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696BA127" w14:textId="77777777" w:rsidTr="001421A1">
        <w:trPr>
          <w:trHeight w:val="353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32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53EF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F1E3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40D2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8A5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DB1C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A3EAC" w:rsidRPr="00BD708C" w14:paraId="438A7D7A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24928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Osobné výdavky poskytované zriaďovateľom ako transfer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6444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0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C4B48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14:paraId="45F10D68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C192F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14:paraId="3E7F0813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59F3D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 </w:t>
            </w:r>
          </w:p>
          <w:p w14:paraId="179AB4F0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>516 359 915</w:t>
            </w: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sk-SK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1C237F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14:paraId="6A670467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FF5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Mzdy, platy, služobné príjmy a ostatné osobné vyrovnania (610) – normatívne FP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6D4B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8E12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13B30862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41CA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1FC9B6FB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716F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1F757649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379 118 880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78284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14:paraId="20F8B689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667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z  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80EDF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565B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B6A0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B029A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379 118 880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F85B0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14:paraId="076F8540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A85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Poistné a príspevok do poisťovní (620) – normatívne FP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DE24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C9CB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11AB5753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D82D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7A0F2C0F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2313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14:paraId="0CC071D6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137 241 035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BE1BA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3EAC" w:rsidRPr="00BD708C" w14:paraId="65D23DFD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235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F0AB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9BCD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14:paraId="04FECC7C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6FB0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14:paraId="58848715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09CB" w14:textId="77777777" w:rsidR="006A3EA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137 241 035</w:t>
            </w:r>
          </w:p>
          <w:p w14:paraId="6067906E" w14:textId="77777777" w:rsidR="006A3EAC" w:rsidRPr="00BD708C" w:rsidRDefault="006A3EAC" w:rsidP="006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CA428" w14:textId="77777777" w:rsidR="006A3EAC" w:rsidRPr="00BD708C" w:rsidRDefault="006A3EAC" w:rsidP="006A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57EF70D5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0FA3D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CCA88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28B1E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FAADB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A6CCC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CB4C2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4782ABD5" w14:textId="77777777" w:rsidTr="001421A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17C88D0C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  <w:r w:rsidR="0041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15A74" w:rsidRPr="00415A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Mzdové výdavky zamestnancov MŠ sú súčasťou bežného transferu (kat. 640) poskytovaného zriaďovateľom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7CDE5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27714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EE62D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110C1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CB618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354F3A3E" w14:textId="77777777" w:rsidTr="001421A1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7B06E09E" w14:textId="77777777" w:rsidR="001421A1" w:rsidRPr="00BD708C" w:rsidRDefault="001421A1" w:rsidP="00415A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4103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23CA4781" w14:textId="77777777" w:rsidTr="001421A1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A26B4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B9A7C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271BF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27909" w14:textId="77777777" w:rsidR="001421A1" w:rsidRPr="00BD708C" w:rsidRDefault="001421A1" w:rsidP="0014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225F5CF" w14:textId="77777777" w:rsidR="001421A1" w:rsidRPr="00BD708C" w:rsidRDefault="001421A1" w:rsidP="0014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</w:t>
      </w:r>
    </w:p>
    <w:p w14:paraId="2553C6CA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19FDFCE4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DB7192" w14:textId="77777777" w:rsidR="001421A1" w:rsidRPr="00BD708C" w:rsidRDefault="001421A1" w:rsidP="0014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60A0D776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76B983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Tabuľka č. 6</w:t>
      </w:r>
    </w:p>
    <w:p w14:paraId="06B7A2CC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1421A1" w:rsidRPr="00BD708C" w14:paraId="62AE7D58" w14:textId="77777777" w:rsidTr="001421A1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4DED152B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B520125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40298D9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1421A1" w:rsidRPr="00BD708C" w14:paraId="58201EE0" w14:textId="77777777" w:rsidTr="001421A1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B0B81DE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638206E0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E4EA86E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AA02A65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D876BDC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F41CAD5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1A0F4D95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482E7419" w14:textId="77777777" w:rsidTr="001421A1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34D57BB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292B9167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775E88D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1670B50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929EEB3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8B745C8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9FCF422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019DFA9A" w14:textId="77777777" w:rsidTr="001421A1">
        <w:trPr>
          <w:trHeight w:val="284"/>
        </w:trPr>
        <w:tc>
          <w:tcPr>
            <w:tcW w:w="2943" w:type="dxa"/>
            <w:shd w:val="clear" w:color="auto" w:fill="auto"/>
          </w:tcPr>
          <w:p w14:paraId="3928C251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BB37218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E2CE64C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B8BDAE1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F58F1CF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24166A5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20B969E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21A1" w:rsidRPr="00BD708C" w14:paraId="2AB8B96F" w14:textId="77777777" w:rsidTr="001421A1">
        <w:trPr>
          <w:trHeight w:val="284"/>
        </w:trPr>
        <w:tc>
          <w:tcPr>
            <w:tcW w:w="2943" w:type="dxa"/>
            <w:shd w:val="clear" w:color="auto" w:fill="auto"/>
          </w:tcPr>
          <w:p w14:paraId="24A39933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70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3338F64C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B4D8C80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913E640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B74FBFA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1F39C5C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9C236AE" w14:textId="77777777" w:rsidR="001421A1" w:rsidRPr="00BD708C" w:rsidRDefault="001421A1" w:rsidP="001421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BAEAA6C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CCB592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365E6EB1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5FC94F2B" w14:textId="77777777" w:rsidR="001421A1" w:rsidRPr="00BD708C" w:rsidRDefault="001421A1" w:rsidP="0014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1421A1" w:rsidRPr="00BD70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D70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</w:t>
      </w:r>
    </w:p>
    <w:p w14:paraId="48EF20C7" w14:textId="77777777" w:rsidR="001421A1" w:rsidRPr="00BD708C" w:rsidRDefault="001421A1" w:rsidP="001421A1">
      <w:pPr>
        <w:spacing w:after="0" w:line="240" w:lineRule="auto"/>
      </w:pPr>
    </w:p>
    <w:p w14:paraId="18C94B4F" w14:textId="77777777" w:rsidR="00CB3623" w:rsidRPr="00BD708C" w:rsidRDefault="00CB3623" w:rsidP="001421A1"/>
    <w:sectPr w:rsidR="00CB3623" w:rsidRPr="00BD708C" w:rsidSect="001421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FAA9B" w14:textId="77777777" w:rsidR="00A90941" w:rsidRDefault="00A90941">
      <w:pPr>
        <w:spacing w:after="0" w:line="240" w:lineRule="auto"/>
      </w:pPr>
      <w:r>
        <w:separator/>
      </w:r>
    </w:p>
  </w:endnote>
  <w:endnote w:type="continuationSeparator" w:id="0">
    <w:p w14:paraId="64CA0137" w14:textId="77777777" w:rsidR="00A90941" w:rsidRDefault="00A9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141A" w14:textId="77777777" w:rsidR="00083040" w:rsidRDefault="000830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C5F1CE9" w14:textId="77777777" w:rsidR="00083040" w:rsidRDefault="000830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7CCD" w14:textId="77777777"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77B7795E" w14:textId="77777777" w:rsidR="00083040" w:rsidRDefault="0008304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66FC" w14:textId="77777777"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B59BC67" w14:textId="77777777" w:rsidR="00083040" w:rsidRDefault="000830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8E91" w14:textId="77777777" w:rsidR="00083040" w:rsidRDefault="000830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AA5190E" w14:textId="77777777" w:rsidR="00083040" w:rsidRDefault="00083040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01FD" w14:textId="77777777"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EF530EF" w14:textId="77777777" w:rsidR="00083040" w:rsidRDefault="00083040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535B" w14:textId="77777777" w:rsidR="00083040" w:rsidRDefault="0008304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9C191E9" w14:textId="77777777" w:rsidR="00083040" w:rsidRDefault="0008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33E7" w14:textId="77777777" w:rsidR="00A90941" w:rsidRDefault="00A90941">
      <w:pPr>
        <w:spacing w:after="0" w:line="240" w:lineRule="auto"/>
      </w:pPr>
      <w:r>
        <w:separator/>
      </w:r>
    </w:p>
  </w:footnote>
  <w:footnote w:type="continuationSeparator" w:id="0">
    <w:p w14:paraId="1AD1A570" w14:textId="77777777" w:rsidR="00A90941" w:rsidRDefault="00A9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51A4" w14:textId="77777777" w:rsidR="00083040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F52A73E" w14:textId="77777777" w:rsidR="00083040" w:rsidRPr="00EB59C8" w:rsidRDefault="0008304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868F" w14:textId="77777777" w:rsidR="00083040" w:rsidRPr="0024067A" w:rsidRDefault="0008304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FDAA" w14:textId="77777777" w:rsidR="00083040" w:rsidRPr="000A15AE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9216" w14:textId="77777777" w:rsidR="00083040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E8806FF" w14:textId="77777777" w:rsidR="00083040" w:rsidRPr="00EB59C8" w:rsidRDefault="00083040" w:rsidP="002B63FD">
    <w:pPr>
      <w:pStyle w:val="Hlavika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EDB2" w14:textId="77777777" w:rsidR="00083040" w:rsidRPr="0024067A" w:rsidRDefault="00083040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3BE0" w14:textId="77777777" w:rsidR="00083040" w:rsidRPr="000A15AE" w:rsidRDefault="0008304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042"/>
    <w:multiLevelType w:val="hybridMultilevel"/>
    <w:tmpl w:val="E92E0A9C"/>
    <w:lvl w:ilvl="0" w:tplc="125E1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470"/>
    <w:multiLevelType w:val="hybridMultilevel"/>
    <w:tmpl w:val="4634B482"/>
    <w:lvl w:ilvl="0" w:tplc="041B0001">
      <w:start w:val="6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0CDA"/>
    <w:rsid w:val="000150D8"/>
    <w:rsid w:val="000160C6"/>
    <w:rsid w:val="00016333"/>
    <w:rsid w:val="0002590E"/>
    <w:rsid w:val="000277D7"/>
    <w:rsid w:val="00033279"/>
    <w:rsid w:val="00035EB6"/>
    <w:rsid w:val="000419E0"/>
    <w:rsid w:val="00043879"/>
    <w:rsid w:val="00047314"/>
    <w:rsid w:val="000538A5"/>
    <w:rsid w:val="00055D6E"/>
    <w:rsid w:val="00057135"/>
    <w:rsid w:val="00060E7E"/>
    <w:rsid w:val="000617B5"/>
    <w:rsid w:val="000711C5"/>
    <w:rsid w:val="00071D97"/>
    <w:rsid w:val="0007212D"/>
    <w:rsid w:val="00080B78"/>
    <w:rsid w:val="00081F0C"/>
    <w:rsid w:val="00083040"/>
    <w:rsid w:val="00083991"/>
    <w:rsid w:val="0008538C"/>
    <w:rsid w:val="00086898"/>
    <w:rsid w:val="000936F3"/>
    <w:rsid w:val="00093ABA"/>
    <w:rsid w:val="00095ACA"/>
    <w:rsid w:val="000A036F"/>
    <w:rsid w:val="000A438A"/>
    <w:rsid w:val="000B21E3"/>
    <w:rsid w:val="000B509B"/>
    <w:rsid w:val="000B6463"/>
    <w:rsid w:val="000C6D81"/>
    <w:rsid w:val="000C76BB"/>
    <w:rsid w:val="000D16EF"/>
    <w:rsid w:val="000D5044"/>
    <w:rsid w:val="000F00DA"/>
    <w:rsid w:val="000F23B2"/>
    <w:rsid w:val="000F45AB"/>
    <w:rsid w:val="001056A8"/>
    <w:rsid w:val="001058A6"/>
    <w:rsid w:val="001061E0"/>
    <w:rsid w:val="001127A8"/>
    <w:rsid w:val="00116B22"/>
    <w:rsid w:val="00126432"/>
    <w:rsid w:val="001421A1"/>
    <w:rsid w:val="00143E69"/>
    <w:rsid w:val="00144295"/>
    <w:rsid w:val="00144F70"/>
    <w:rsid w:val="00154121"/>
    <w:rsid w:val="00154F5F"/>
    <w:rsid w:val="001557D5"/>
    <w:rsid w:val="00157C95"/>
    <w:rsid w:val="00160A64"/>
    <w:rsid w:val="00165B28"/>
    <w:rsid w:val="0016758F"/>
    <w:rsid w:val="00167F3F"/>
    <w:rsid w:val="00170D2B"/>
    <w:rsid w:val="00180EB1"/>
    <w:rsid w:val="00186CF9"/>
    <w:rsid w:val="001925C8"/>
    <w:rsid w:val="001945F3"/>
    <w:rsid w:val="001A4A39"/>
    <w:rsid w:val="001A51DD"/>
    <w:rsid w:val="001A7B33"/>
    <w:rsid w:val="001B5D23"/>
    <w:rsid w:val="001D42AE"/>
    <w:rsid w:val="001D4F4A"/>
    <w:rsid w:val="001D5D2A"/>
    <w:rsid w:val="001D6560"/>
    <w:rsid w:val="001E381F"/>
    <w:rsid w:val="00200898"/>
    <w:rsid w:val="00200D59"/>
    <w:rsid w:val="0020238C"/>
    <w:rsid w:val="002057AD"/>
    <w:rsid w:val="00212894"/>
    <w:rsid w:val="00213D85"/>
    <w:rsid w:val="00214231"/>
    <w:rsid w:val="00221F19"/>
    <w:rsid w:val="00221F3D"/>
    <w:rsid w:val="00230A88"/>
    <w:rsid w:val="00232826"/>
    <w:rsid w:val="0023390E"/>
    <w:rsid w:val="00242FD4"/>
    <w:rsid w:val="0024350E"/>
    <w:rsid w:val="00243FD4"/>
    <w:rsid w:val="0024497F"/>
    <w:rsid w:val="00254DF5"/>
    <w:rsid w:val="00256305"/>
    <w:rsid w:val="00262EA5"/>
    <w:rsid w:val="002636EA"/>
    <w:rsid w:val="002660ED"/>
    <w:rsid w:val="00274444"/>
    <w:rsid w:val="00284CED"/>
    <w:rsid w:val="00295F1C"/>
    <w:rsid w:val="002A7F8E"/>
    <w:rsid w:val="002B5AD4"/>
    <w:rsid w:val="002B63FD"/>
    <w:rsid w:val="002B6CCB"/>
    <w:rsid w:val="002C0FEB"/>
    <w:rsid w:val="002C1437"/>
    <w:rsid w:val="002C6C4B"/>
    <w:rsid w:val="002C794E"/>
    <w:rsid w:val="002D3C23"/>
    <w:rsid w:val="002D4A40"/>
    <w:rsid w:val="002F17CB"/>
    <w:rsid w:val="002F6599"/>
    <w:rsid w:val="0030407C"/>
    <w:rsid w:val="00315340"/>
    <w:rsid w:val="00317B90"/>
    <w:rsid w:val="0032159B"/>
    <w:rsid w:val="0032522B"/>
    <w:rsid w:val="00330E82"/>
    <w:rsid w:val="00335923"/>
    <w:rsid w:val="003539F3"/>
    <w:rsid w:val="0036442F"/>
    <w:rsid w:val="003644E9"/>
    <w:rsid w:val="003662C8"/>
    <w:rsid w:val="003705D6"/>
    <w:rsid w:val="003743AB"/>
    <w:rsid w:val="00375306"/>
    <w:rsid w:val="00375CA4"/>
    <w:rsid w:val="00381AAD"/>
    <w:rsid w:val="0038658F"/>
    <w:rsid w:val="00390F8D"/>
    <w:rsid w:val="00395194"/>
    <w:rsid w:val="003A1D21"/>
    <w:rsid w:val="003A3CDC"/>
    <w:rsid w:val="003B7684"/>
    <w:rsid w:val="003C047B"/>
    <w:rsid w:val="003C7476"/>
    <w:rsid w:val="003D4840"/>
    <w:rsid w:val="003D6E7B"/>
    <w:rsid w:val="003E389E"/>
    <w:rsid w:val="003F1B59"/>
    <w:rsid w:val="003F4047"/>
    <w:rsid w:val="003F586F"/>
    <w:rsid w:val="003F5CA1"/>
    <w:rsid w:val="003F62FE"/>
    <w:rsid w:val="004005A4"/>
    <w:rsid w:val="004104AF"/>
    <w:rsid w:val="00415A74"/>
    <w:rsid w:val="00425548"/>
    <w:rsid w:val="004312C6"/>
    <w:rsid w:val="004358A8"/>
    <w:rsid w:val="00436145"/>
    <w:rsid w:val="004372FF"/>
    <w:rsid w:val="00443570"/>
    <w:rsid w:val="00443E5F"/>
    <w:rsid w:val="0044430E"/>
    <w:rsid w:val="004461A3"/>
    <w:rsid w:val="004621A9"/>
    <w:rsid w:val="004669E8"/>
    <w:rsid w:val="00474F11"/>
    <w:rsid w:val="00487203"/>
    <w:rsid w:val="0048740F"/>
    <w:rsid w:val="004936D7"/>
    <w:rsid w:val="004965E2"/>
    <w:rsid w:val="004A0789"/>
    <w:rsid w:val="004B65A9"/>
    <w:rsid w:val="004B6730"/>
    <w:rsid w:val="004E20D0"/>
    <w:rsid w:val="004E5E76"/>
    <w:rsid w:val="004F11C4"/>
    <w:rsid w:val="004F354F"/>
    <w:rsid w:val="005005EC"/>
    <w:rsid w:val="005066B2"/>
    <w:rsid w:val="005234A0"/>
    <w:rsid w:val="00525CA2"/>
    <w:rsid w:val="005307FC"/>
    <w:rsid w:val="005312EC"/>
    <w:rsid w:val="00536E66"/>
    <w:rsid w:val="00555F2A"/>
    <w:rsid w:val="0056183C"/>
    <w:rsid w:val="00572B2D"/>
    <w:rsid w:val="00575B5B"/>
    <w:rsid w:val="00576D62"/>
    <w:rsid w:val="005843AC"/>
    <w:rsid w:val="005919C8"/>
    <w:rsid w:val="00596167"/>
    <w:rsid w:val="005B1CEC"/>
    <w:rsid w:val="005B3578"/>
    <w:rsid w:val="005B3E90"/>
    <w:rsid w:val="005C0705"/>
    <w:rsid w:val="005C2624"/>
    <w:rsid w:val="005C37C3"/>
    <w:rsid w:val="005C409E"/>
    <w:rsid w:val="005C56E6"/>
    <w:rsid w:val="005D0A9F"/>
    <w:rsid w:val="005D4558"/>
    <w:rsid w:val="005E3699"/>
    <w:rsid w:val="005E7784"/>
    <w:rsid w:val="005E7FCA"/>
    <w:rsid w:val="005F40A5"/>
    <w:rsid w:val="00600A9B"/>
    <w:rsid w:val="00603D9B"/>
    <w:rsid w:val="006045CA"/>
    <w:rsid w:val="00604841"/>
    <w:rsid w:val="00607385"/>
    <w:rsid w:val="006111AF"/>
    <w:rsid w:val="00613495"/>
    <w:rsid w:val="006157AF"/>
    <w:rsid w:val="00617439"/>
    <w:rsid w:val="00624B10"/>
    <w:rsid w:val="00625F65"/>
    <w:rsid w:val="006345FC"/>
    <w:rsid w:val="00643F90"/>
    <w:rsid w:val="00656E5B"/>
    <w:rsid w:val="006613E6"/>
    <w:rsid w:val="00661DE9"/>
    <w:rsid w:val="00667DF4"/>
    <w:rsid w:val="006722EB"/>
    <w:rsid w:val="00680243"/>
    <w:rsid w:val="006814EA"/>
    <w:rsid w:val="0068565D"/>
    <w:rsid w:val="00693E5F"/>
    <w:rsid w:val="00696EBF"/>
    <w:rsid w:val="006A14D1"/>
    <w:rsid w:val="006A1CB2"/>
    <w:rsid w:val="006A2947"/>
    <w:rsid w:val="006A3E48"/>
    <w:rsid w:val="006A3EAC"/>
    <w:rsid w:val="006B0E83"/>
    <w:rsid w:val="006B663E"/>
    <w:rsid w:val="006B68F1"/>
    <w:rsid w:val="006D3157"/>
    <w:rsid w:val="006D3A0F"/>
    <w:rsid w:val="006E0587"/>
    <w:rsid w:val="006E323A"/>
    <w:rsid w:val="006E41F7"/>
    <w:rsid w:val="006E48E0"/>
    <w:rsid w:val="00706EBF"/>
    <w:rsid w:val="0071170E"/>
    <w:rsid w:val="00711AF3"/>
    <w:rsid w:val="00711C0F"/>
    <w:rsid w:val="00717552"/>
    <w:rsid w:val="007234B4"/>
    <w:rsid w:val="007246BD"/>
    <w:rsid w:val="00727689"/>
    <w:rsid w:val="00735888"/>
    <w:rsid w:val="00736BE9"/>
    <w:rsid w:val="00737756"/>
    <w:rsid w:val="00742EF9"/>
    <w:rsid w:val="007475F4"/>
    <w:rsid w:val="007507E8"/>
    <w:rsid w:val="007606D5"/>
    <w:rsid w:val="00772AD2"/>
    <w:rsid w:val="0077530D"/>
    <w:rsid w:val="007800C2"/>
    <w:rsid w:val="00786835"/>
    <w:rsid w:val="0079662B"/>
    <w:rsid w:val="007A1311"/>
    <w:rsid w:val="007B03E6"/>
    <w:rsid w:val="007B0BA5"/>
    <w:rsid w:val="007B2B83"/>
    <w:rsid w:val="007C0ED9"/>
    <w:rsid w:val="007C2FA6"/>
    <w:rsid w:val="007D2BE4"/>
    <w:rsid w:val="007D5748"/>
    <w:rsid w:val="007E4E5C"/>
    <w:rsid w:val="007E7446"/>
    <w:rsid w:val="007F1066"/>
    <w:rsid w:val="007F4A54"/>
    <w:rsid w:val="007F4DE0"/>
    <w:rsid w:val="007F5A29"/>
    <w:rsid w:val="007F7B56"/>
    <w:rsid w:val="0080171E"/>
    <w:rsid w:val="008122DF"/>
    <w:rsid w:val="008152DD"/>
    <w:rsid w:val="008205B7"/>
    <w:rsid w:val="008257F0"/>
    <w:rsid w:val="00830EA7"/>
    <w:rsid w:val="00835E73"/>
    <w:rsid w:val="00841A62"/>
    <w:rsid w:val="00852D88"/>
    <w:rsid w:val="00861491"/>
    <w:rsid w:val="00862069"/>
    <w:rsid w:val="00866FB4"/>
    <w:rsid w:val="00867734"/>
    <w:rsid w:val="0087297C"/>
    <w:rsid w:val="00876C25"/>
    <w:rsid w:val="00893B76"/>
    <w:rsid w:val="008979B7"/>
    <w:rsid w:val="008A1067"/>
    <w:rsid w:val="008A1E80"/>
    <w:rsid w:val="008A723A"/>
    <w:rsid w:val="008B0C98"/>
    <w:rsid w:val="008B1550"/>
    <w:rsid w:val="008C61A8"/>
    <w:rsid w:val="008C644C"/>
    <w:rsid w:val="008D339D"/>
    <w:rsid w:val="008D5488"/>
    <w:rsid w:val="008D64E2"/>
    <w:rsid w:val="008E2736"/>
    <w:rsid w:val="008E38B3"/>
    <w:rsid w:val="008F1817"/>
    <w:rsid w:val="008F2C63"/>
    <w:rsid w:val="008F6A5A"/>
    <w:rsid w:val="00910C37"/>
    <w:rsid w:val="00915645"/>
    <w:rsid w:val="009173E1"/>
    <w:rsid w:val="009229A3"/>
    <w:rsid w:val="00927C0A"/>
    <w:rsid w:val="00935244"/>
    <w:rsid w:val="00936432"/>
    <w:rsid w:val="009431B6"/>
    <w:rsid w:val="00943733"/>
    <w:rsid w:val="00957C93"/>
    <w:rsid w:val="0096065F"/>
    <w:rsid w:val="00961BCA"/>
    <w:rsid w:val="009706B7"/>
    <w:rsid w:val="0097106B"/>
    <w:rsid w:val="00980DCD"/>
    <w:rsid w:val="00981651"/>
    <w:rsid w:val="009904AD"/>
    <w:rsid w:val="009A0918"/>
    <w:rsid w:val="009A7B57"/>
    <w:rsid w:val="009B53DD"/>
    <w:rsid w:val="009C0E79"/>
    <w:rsid w:val="009C2CA9"/>
    <w:rsid w:val="009C53F5"/>
    <w:rsid w:val="009D2A9F"/>
    <w:rsid w:val="009D3F84"/>
    <w:rsid w:val="009D7B4C"/>
    <w:rsid w:val="009E0EC0"/>
    <w:rsid w:val="009E4F88"/>
    <w:rsid w:val="009E584D"/>
    <w:rsid w:val="009F40FC"/>
    <w:rsid w:val="009F52B9"/>
    <w:rsid w:val="00A0224E"/>
    <w:rsid w:val="00A039B4"/>
    <w:rsid w:val="00A06E68"/>
    <w:rsid w:val="00A07ED6"/>
    <w:rsid w:val="00A15FFE"/>
    <w:rsid w:val="00A2506E"/>
    <w:rsid w:val="00A30506"/>
    <w:rsid w:val="00A30A4D"/>
    <w:rsid w:val="00A41F9A"/>
    <w:rsid w:val="00A65312"/>
    <w:rsid w:val="00A655AC"/>
    <w:rsid w:val="00A73E03"/>
    <w:rsid w:val="00A750FA"/>
    <w:rsid w:val="00A81C30"/>
    <w:rsid w:val="00A845F2"/>
    <w:rsid w:val="00A877B0"/>
    <w:rsid w:val="00A90941"/>
    <w:rsid w:val="00A93F7D"/>
    <w:rsid w:val="00AA232A"/>
    <w:rsid w:val="00AB2765"/>
    <w:rsid w:val="00AB5919"/>
    <w:rsid w:val="00AB68C4"/>
    <w:rsid w:val="00AD03B2"/>
    <w:rsid w:val="00AD254D"/>
    <w:rsid w:val="00AE32A3"/>
    <w:rsid w:val="00AF0524"/>
    <w:rsid w:val="00AF417A"/>
    <w:rsid w:val="00B002F7"/>
    <w:rsid w:val="00B042DD"/>
    <w:rsid w:val="00B0544E"/>
    <w:rsid w:val="00B05ADC"/>
    <w:rsid w:val="00B05BCE"/>
    <w:rsid w:val="00B14643"/>
    <w:rsid w:val="00B14AD5"/>
    <w:rsid w:val="00B15502"/>
    <w:rsid w:val="00B15B33"/>
    <w:rsid w:val="00B1766B"/>
    <w:rsid w:val="00B202F2"/>
    <w:rsid w:val="00B22B39"/>
    <w:rsid w:val="00B4086C"/>
    <w:rsid w:val="00B46220"/>
    <w:rsid w:val="00B476A4"/>
    <w:rsid w:val="00B543BC"/>
    <w:rsid w:val="00B5535C"/>
    <w:rsid w:val="00B62CBA"/>
    <w:rsid w:val="00B645AA"/>
    <w:rsid w:val="00B65686"/>
    <w:rsid w:val="00B70677"/>
    <w:rsid w:val="00B7103B"/>
    <w:rsid w:val="00B81BB8"/>
    <w:rsid w:val="00B84C68"/>
    <w:rsid w:val="00B9049B"/>
    <w:rsid w:val="00B94902"/>
    <w:rsid w:val="00BA282F"/>
    <w:rsid w:val="00BA5A8B"/>
    <w:rsid w:val="00BB79CC"/>
    <w:rsid w:val="00BD3A82"/>
    <w:rsid w:val="00BD6642"/>
    <w:rsid w:val="00BD67B2"/>
    <w:rsid w:val="00BD6D68"/>
    <w:rsid w:val="00BD708C"/>
    <w:rsid w:val="00BF7C5C"/>
    <w:rsid w:val="00C00E3E"/>
    <w:rsid w:val="00C15212"/>
    <w:rsid w:val="00C16EE2"/>
    <w:rsid w:val="00C2189B"/>
    <w:rsid w:val="00C21B2A"/>
    <w:rsid w:val="00C40544"/>
    <w:rsid w:val="00C422B2"/>
    <w:rsid w:val="00C512EE"/>
    <w:rsid w:val="00C51FD4"/>
    <w:rsid w:val="00C5464F"/>
    <w:rsid w:val="00C653D7"/>
    <w:rsid w:val="00C81621"/>
    <w:rsid w:val="00C8360B"/>
    <w:rsid w:val="00CA1407"/>
    <w:rsid w:val="00CB3623"/>
    <w:rsid w:val="00CC2213"/>
    <w:rsid w:val="00CC457E"/>
    <w:rsid w:val="00CC54DE"/>
    <w:rsid w:val="00CD1157"/>
    <w:rsid w:val="00CD7DF5"/>
    <w:rsid w:val="00CE2319"/>
    <w:rsid w:val="00CE299A"/>
    <w:rsid w:val="00CE40C2"/>
    <w:rsid w:val="00CF254E"/>
    <w:rsid w:val="00CF66CB"/>
    <w:rsid w:val="00CF6A1A"/>
    <w:rsid w:val="00D061BF"/>
    <w:rsid w:val="00D10BC7"/>
    <w:rsid w:val="00D12078"/>
    <w:rsid w:val="00D14078"/>
    <w:rsid w:val="00D15EC0"/>
    <w:rsid w:val="00D200BE"/>
    <w:rsid w:val="00D250D8"/>
    <w:rsid w:val="00D27341"/>
    <w:rsid w:val="00D32C04"/>
    <w:rsid w:val="00D33DC4"/>
    <w:rsid w:val="00D347B5"/>
    <w:rsid w:val="00D37E80"/>
    <w:rsid w:val="00D43E0D"/>
    <w:rsid w:val="00D55863"/>
    <w:rsid w:val="00D60759"/>
    <w:rsid w:val="00D60888"/>
    <w:rsid w:val="00D649B5"/>
    <w:rsid w:val="00D702B5"/>
    <w:rsid w:val="00D7111E"/>
    <w:rsid w:val="00D731C7"/>
    <w:rsid w:val="00D733FA"/>
    <w:rsid w:val="00D773CD"/>
    <w:rsid w:val="00D8013D"/>
    <w:rsid w:val="00D867AC"/>
    <w:rsid w:val="00D9171A"/>
    <w:rsid w:val="00D922E5"/>
    <w:rsid w:val="00D923A2"/>
    <w:rsid w:val="00D94473"/>
    <w:rsid w:val="00D94775"/>
    <w:rsid w:val="00D963B1"/>
    <w:rsid w:val="00DB1D33"/>
    <w:rsid w:val="00DB34CD"/>
    <w:rsid w:val="00DB7551"/>
    <w:rsid w:val="00DC1B73"/>
    <w:rsid w:val="00DC4C7C"/>
    <w:rsid w:val="00DC5F7A"/>
    <w:rsid w:val="00DD0032"/>
    <w:rsid w:val="00DD01D3"/>
    <w:rsid w:val="00DD2A63"/>
    <w:rsid w:val="00DD2EAA"/>
    <w:rsid w:val="00DE3F9A"/>
    <w:rsid w:val="00DE5BF1"/>
    <w:rsid w:val="00DF3474"/>
    <w:rsid w:val="00DF3BB5"/>
    <w:rsid w:val="00DF46F5"/>
    <w:rsid w:val="00E01AC7"/>
    <w:rsid w:val="00E01D1F"/>
    <w:rsid w:val="00E053B3"/>
    <w:rsid w:val="00E05E0A"/>
    <w:rsid w:val="00E07C9C"/>
    <w:rsid w:val="00E07C9D"/>
    <w:rsid w:val="00E07CE9"/>
    <w:rsid w:val="00E13FC5"/>
    <w:rsid w:val="00E161E5"/>
    <w:rsid w:val="00E17CBB"/>
    <w:rsid w:val="00E25DDD"/>
    <w:rsid w:val="00E337E8"/>
    <w:rsid w:val="00E3772F"/>
    <w:rsid w:val="00E423F6"/>
    <w:rsid w:val="00E4770B"/>
    <w:rsid w:val="00E5072B"/>
    <w:rsid w:val="00E515D4"/>
    <w:rsid w:val="00E56C68"/>
    <w:rsid w:val="00E6110F"/>
    <w:rsid w:val="00E62108"/>
    <w:rsid w:val="00E63750"/>
    <w:rsid w:val="00E63DC9"/>
    <w:rsid w:val="00E656E7"/>
    <w:rsid w:val="00E65EF3"/>
    <w:rsid w:val="00E67771"/>
    <w:rsid w:val="00E90843"/>
    <w:rsid w:val="00E94914"/>
    <w:rsid w:val="00E94F2F"/>
    <w:rsid w:val="00E963A3"/>
    <w:rsid w:val="00EA1E90"/>
    <w:rsid w:val="00EA22A7"/>
    <w:rsid w:val="00EA77F9"/>
    <w:rsid w:val="00EB4249"/>
    <w:rsid w:val="00EB4D7E"/>
    <w:rsid w:val="00EB62D4"/>
    <w:rsid w:val="00EC0478"/>
    <w:rsid w:val="00EC6C02"/>
    <w:rsid w:val="00ED4BA5"/>
    <w:rsid w:val="00EE28EB"/>
    <w:rsid w:val="00EE539C"/>
    <w:rsid w:val="00EE731C"/>
    <w:rsid w:val="00EF09A4"/>
    <w:rsid w:val="00EF149C"/>
    <w:rsid w:val="00EF1EC5"/>
    <w:rsid w:val="00F00BD1"/>
    <w:rsid w:val="00F06CD3"/>
    <w:rsid w:val="00F13A37"/>
    <w:rsid w:val="00F14468"/>
    <w:rsid w:val="00F1697C"/>
    <w:rsid w:val="00F22314"/>
    <w:rsid w:val="00F25083"/>
    <w:rsid w:val="00F27BC2"/>
    <w:rsid w:val="00F348E6"/>
    <w:rsid w:val="00F40136"/>
    <w:rsid w:val="00F432FA"/>
    <w:rsid w:val="00F451CD"/>
    <w:rsid w:val="00F63D7E"/>
    <w:rsid w:val="00F66194"/>
    <w:rsid w:val="00F75E95"/>
    <w:rsid w:val="00F825CD"/>
    <w:rsid w:val="00F86621"/>
    <w:rsid w:val="00F87B75"/>
    <w:rsid w:val="00F95C1C"/>
    <w:rsid w:val="00F972F4"/>
    <w:rsid w:val="00FB07F4"/>
    <w:rsid w:val="00FB3DF4"/>
    <w:rsid w:val="00FB4136"/>
    <w:rsid w:val="00FB4A4A"/>
    <w:rsid w:val="00FC2F33"/>
    <w:rsid w:val="00FC64BE"/>
    <w:rsid w:val="00FC695E"/>
    <w:rsid w:val="00FD164B"/>
    <w:rsid w:val="00FD39CC"/>
    <w:rsid w:val="00FD44AF"/>
    <w:rsid w:val="00FE10D0"/>
    <w:rsid w:val="00FE2667"/>
    <w:rsid w:val="00FE2BF8"/>
    <w:rsid w:val="00FE5D4E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9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1D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152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5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5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5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52D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3743A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5464F"/>
    <w:pPr>
      <w:ind w:left="720"/>
      <w:contextualSpacing/>
    </w:pPr>
  </w:style>
  <w:style w:type="table" w:styleId="Mriekatabuky">
    <w:name w:val="Table Grid"/>
    <w:basedOn w:val="Normlnatabuka"/>
    <w:uiPriority w:val="59"/>
    <w:rsid w:val="0077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analýza-vplyvov_-rozpočet"/>
    <f:field ref="objsubject" par="" edit="true" text=""/>
    <f:field ref="objcreatedby" par="" text="Ludva, Alexander, Mgr."/>
    <f:field ref="objcreatedat" par="" text="24.5.2024 9:37:53"/>
    <f:field ref="objchangedby" par="" text="Administrator, System"/>
    <f:field ref="objmodifiedat" par="" text="24.5.2024 9:3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DB7004-2692-49FE-BB5C-4B5DDB1F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2024-08-19T10:17:00Z</dcterms:created>
  <dcterms:modified xsi:type="dcterms:W3CDTF">2024-08-21T11:38:00Z</dcterms:modified>
</cp:coreProperties>
</file>