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0503">
      <w:pPr>
        <w:jc w:val="center"/>
        <w:rPr>
          <w:rFonts w:ascii="Times New Roman" w:hAnsi="Times New Roman"/>
          <w:b/>
          <w:bCs/>
          <w:sz w:val="24"/>
          <w:szCs w:val="24"/>
        </w:rPr>
      </w:pPr>
      <w:r>
        <w:rPr>
          <w:rFonts w:ascii="Times New Roman" w:hAnsi="Times New Roman"/>
          <w:b/>
          <w:bCs/>
          <w:sz w:val="24"/>
          <w:szCs w:val="24"/>
        </w:rPr>
        <w:t>D ô v o d o v á   s p r á v a</w:t>
      </w:r>
    </w:p>
    <w:p w14:paraId="17E637E0">
      <w:pPr>
        <w:shd w:val="clear" w:color="auto" w:fill="FFFFFF"/>
        <w:spacing w:after="0" w:line="240" w:lineRule="auto"/>
        <w:jc w:val="both"/>
        <w:rPr>
          <w:rFonts w:ascii="Times New Roman" w:hAnsi="Times New Roman"/>
          <w:b/>
          <w:bCs/>
          <w:sz w:val="24"/>
          <w:szCs w:val="24"/>
        </w:rPr>
      </w:pPr>
    </w:p>
    <w:p w14:paraId="2AFBE256">
      <w:pPr>
        <w:ind w:firstLine="708"/>
        <w:rPr>
          <w:rFonts w:ascii="Times New Roman" w:hAnsi="Times New Roman"/>
          <w:b/>
          <w:bCs/>
          <w:sz w:val="24"/>
          <w:szCs w:val="24"/>
        </w:rPr>
      </w:pPr>
      <w:r>
        <w:rPr>
          <w:rFonts w:ascii="Times New Roman" w:hAnsi="Times New Roman"/>
          <w:b/>
          <w:bCs/>
          <w:sz w:val="24"/>
          <w:szCs w:val="24"/>
        </w:rPr>
        <w:t xml:space="preserve">A. Všeobecná časť </w:t>
      </w:r>
    </w:p>
    <w:p w14:paraId="58B6C498">
      <w:pPr>
        <w:shd w:val="clear" w:color="auto" w:fill="FFFFFF"/>
        <w:spacing w:after="0" w:line="240" w:lineRule="auto"/>
        <w:ind w:firstLine="708"/>
        <w:jc w:val="both"/>
        <w:outlineLvl w:val="1"/>
        <w:rPr>
          <w:rFonts w:hint="default" w:ascii="Times New Roman" w:hAnsi="Times New Roman" w:cs="Times New Roman"/>
          <w:sz w:val="24"/>
          <w:szCs w:val="24"/>
          <w:lang w:val="sk-SK"/>
        </w:rPr>
      </w:pPr>
      <w:r>
        <w:rPr>
          <w:rFonts w:ascii="Times New Roman" w:hAnsi="Times New Roman" w:cs="Times New Roman"/>
          <w:sz w:val="24"/>
          <w:szCs w:val="24"/>
          <w:shd w:val="clear" w:color="auto" w:fill="FFFFFF"/>
        </w:rPr>
        <w:t xml:space="preserve">Návrh zákona, ktorým dopĺňa zákon </w:t>
      </w:r>
      <w:r>
        <w:rPr>
          <w:rFonts w:ascii="Times New Roman" w:hAnsi="Times New Roman" w:eastAsia="Times New Roman" w:cs="Times New Roman"/>
          <w:color w:val="000000"/>
          <w:sz w:val="24"/>
          <w:szCs w:val="24"/>
          <w:lang w:eastAsia="sk-SK"/>
        </w:rPr>
        <w:t xml:space="preserve">č. 595/2003 Z. z. o daní z príjmov v znení neskorších predpisov predkladajú na rokovanie Národnej rady Slovenskej republiky poslanci Národnej rady Slovenskej republiky </w:t>
      </w:r>
      <w:r>
        <w:rPr>
          <w:rFonts w:ascii="Times New Roman" w:hAnsi="Times New Roman" w:cs="Times New Roman"/>
          <w:sz w:val="24"/>
          <w:szCs w:val="24"/>
        </w:rPr>
        <w:t>Vladimíra Marcinková</w:t>
      </w:r>
      <w:r>
        <w:rPr>
          <w:rFonts w:hint="default" w:ascii="Times New Roman" w:hAnsi="Times New Roman" w:cs="Times New Roman"/>
          <w:sz w:val="24"/>
          <w:szCs w:val="24"/>
          <w:lang w:val="sk-SK"/>
        </w:rPr>
        <w:t xml:space="preserve"> a</w:t>
      </w:r>
      <w:r>
        <w:rPr>
          <w:rFonts w:ascii="Times New Roman" w:hAnsi="Times New Roman" w:cs="Times New Roman"/>
          <w:sz w:val="24"/>
          <w:szCs w:val="24"/>
        </w:rPr>
        <w:t xml:space="preserve"> Vladimír Ledecký</w:t>
      </w:r>
      <w:r>
        <w:rPr>
          <w:rFonts w:hint="default" w:ascii="Times New Roman" w:hAnsi="Times New Roman" w:cs="Times New Roman"/>
          <w:sz w:val="24"/>
          <w:szCs w:val="24"/>
          <w:lang w:val="sk-SK"/>
        </w:rPr>
        <w:t xml:space="preserve">. </w:t>
      </w:r>
    </w:p>
    <w:p w14:paraId="275B3E86">
      <w:pPr>
        <w:shd w:val="clear" w:color="auto" w:fill="FFFFFF"/>
        <w:spacing w:after="0" w:line="240" w:lineRule="auto"/>
        <w:ind w:firstLine="708"/>
        <w:jc w:val="both"/>
        <w:outlineLvl w:val="1"/>
        <w:rPr>
          <w:rFonts w:hint="default" w:ascii="Times New Roman" w:hAnsi="Times New Roman" w:cs="Times New Roman"/>
          <w:sz w:val="24"/>
          <w:szCs w:val="24"/>
          <w:lang w:val="sk-SK"/>
        </w:rPr>
      </w:pPr>
    </w:p>
    <w:p w14:paraId="0D9B9376">
      <w:pPr>
        <w:shd w:val="clear" w:color="auto" w:fill="FFFFFF"/>
        <w:spacing w:after="0" w:line="240" w:lineRule="auto"/>
        <w:ind w:firstLine="708"/>
        <w:jc w:val="both"/>
        <w:outlineLvl w:val="1"/>
        <w:rPr>
          <w:rFonts w:hint="default" w:ascii="Times New Roman" w:hAnsi="Times New Roman" w:eastAsia="Segoe UI" w:cs="Times New Roman"/>
          <w:b/>
          <w:bCs/>
          <w:i w:val="0"/>
          <w:iCs w:val="0"/>
          <w:caps w:val="0"/>
          <w:color w:val="auto"/>
          <w:spacing w:val="0"/>
          <w:sz w:val="24"/>
          <w:szCs w:val="24"/>
          <w:shd w:val="clear" w:fill="FFFFFF"/>
          <w:lang w:val="sk-SK"/>
        </w:rPr>
      </w:pPr>
      <w:r>
        <w:rPr>
          <w:rFonts w:hint="default" w:ascii="Times New Roman" w:hAnsi="Times New Roman" w:cs="Times New Roman"/>
          <w:b/>
          <w:bCs/>
          <w:color w:val="auto"/>
          <w:sz w:val="24"/>
          <w:szCs w:val="24"/>
        </w:rPr>
        <w:t xml:space="preserve">Cieľom predkladanej právnej úpravy je </w:t>
      </w:r>
      <w:r>
        <w:rPr>
          <w:rFonts w:hint="default" w:ascii="Times New Roman" w:hAnsi="Times New Roman" w:cs="Times New Roman"/>
          <w:b/>
          <w:bCs/>
          <w:color w:val="auto"/>
          <w:sz w:val="24"/>
          <w:szCs w:val="24"/>
          <w:lang w:val="sk-SK"/>
        </w:rPr>
        <w:t xml:space="preserve">zjednodušenie možnosti umiestňovania detí zamestnancov do tzv. “firemných” materských škôl a jaslí; zjednodušenie spočíva v navrhovanej možnosti  zaradenia výdavkov </w:t>
      </w:r>
      <w:r>
        <w:rPr>
          <w:rFonts w:hint="default" w:ascii="Times New Roman" w:hAnsi="Times New Roman" w:eastAsia="Segoe UI" w:cs="Times New Roman"/>
          <w:b/>
          <w:bCs/>
          <w:i w:val="0"/>
          <w:iCs w:val="0"/>
          <w:caps w:val="0"/>
          <w:color w:val="auto"/>
          <w:spacing w:val="0"/>
          <w:sz w:val="24"/>
          <w:szCs w:val="24"/>
          <w:shd w:val="clear" w:fill="FFFFFF"/>
        </w:rPr>
        <w:t>na</w:t>
      </w:r>
      <w:r>
        <w:rPr>
          <w:rFonts w:hint="default" w:ascii="Times New Roman" w:hAnsi="Times New Roman" w:eastAsia="Segoe UI" w:cs="Times New Roman"/>
          <w:b/>
          <w:bCs/>
          <w:i w:val="0"/>
          <w:iCs w:val="0"/>
          <w:caps w:val="0"/>
          <w:color w:val="auto"/>
          <w:spacing w:val="0"/>
          <w:sz w:val="24"/>
          <w:szCs w:val="24"/>
          <w:shd w:val="clear" w:fill="FFFFFF"/>
          <w:lang w:val="sk-SK"/>
        </w:rPr>
        <w:t xml:space="preserve"> </w:t>
      </w:r>
      <w:r>
        <w:rPr>
          <w:rFonts w:hint="default" w:ascii="Times New Roman" w:hAnsi="Times New Roman" w:eastAsia="Segoe UI" w:cs="Times New Roman"/>
          <w:b/>
          <w:bCs/>
          <w:i w:val="0"/>
          <w:iCs w:val="0"/>
          <w:caps w:val="0"/>
          <w:color w:val="auto"/>
          <w:spacing w:val="0"/>
          <w:sz w:val="24"/>
          <w:szCs w:val="24"/>
          <w:shd w:val="clear" w:fill="FFFFFF"/>
        </w:rPr>
        <w:t>prevádzku materských škôl a zariadení starostlivosti o deti do troch rokov veku dieťaťa</w:t>
      </w:r>
      <w:r>
        <w:rPr>
          <w:rFonts w:hint="default" w:ascii="Times New Roman" w:hAnsi="Times New Roman" w:eastAsia="Segoe UI" w:cs="Times New Roman"/>
          <w:b/>
          <w:bCs/>
          <w:i w:val="0"/>
          <w:iCs w:val="0"/>
          <w:caps w:val="0"/>
          <w:color w:val="auto"/>
          <w:spacing w:val="0"/>
          <w:sz w:val="24"/>
          <w:szCs w:val="24"/>
          <w:shd w:val="clear" w:fill="FFFFFF"/>
          <w:lang w:val="sk-SK"/>
        </w:rPr>
        <w:t xml:space="preserve"> </w:t>
      </w:r>
      <w:r>
        <w:rPr>
          <w:rFonts w:hint="default" w:ascii="Times New Roman" w:hAnsi="Times New Roman" w:eastAsia="SimSun" w:cs="Times New Roman"/>
          <w:b/>
          <w:bCs/>
          <w:i w:val="0"/>
          <w:iCs w:val="0"/>
          <w:caps w:val="0"/>
          <w:color w:val="auto"/>
          <w:spacing w:val="0"/>
          <w:kern w:val="0"/>
          <w:sz w:val="24"/>
          <w:szCs w:val="24"/>
          <w:lang w:val="sk-SK" w:eastAsia="zh-CN" w:bidi="ar"/>
        </w:rPr>
        <w:t xml:space="preserve">(jaslí) prevádzkovaných </w:t>
      </w:r>
      <w:r>
        <w:rPr>
          <w:rFonts w:hint="default" w:ascii="Times New Roman" w:hAnsi="Times New Roman" w:eastAsia="SimSun" w:cs="Times New Roman"/>
          <w:b/>
          <w:bCs/>
          <w:i/>
          <w:iCs/>
          <w:caps w:val="0"/>
          <w:color w:val="auto"/>
          <w:spacing w:val="0"/>
          <w:kern w:val="0"/>
          <w:sz w:val="24"/>
          <w:szCs w:val="24"/>
          <w:lang w:val="sk-SK" w:eastAsia="zh-CN" w:bidi="ar"/>
        </w:rPr>
        <w:t>iným subjektom</w:t>
      </w:r>
      <w:r>
        <w:rPr>
          <w:rFonts w:hint="default" w:ascii="Times New Roman" w:hAnsi="Times New Roman" w:eastAsia="Segoe UI" w:cs="Times New Roman"/>
          <w:b/>
          <w:bCs/>
          <w:i w:val="0"/>
          <w:iCs w:val="0"/>
          <w:caps w:val="0"/>
          <w:color w:val="auto"/>
          <w:spacing w:val="0"/>
          <w:sz w:val="24"/>
          <w:szCs w:val="24"/>
          <w:shd w:val="clear" w:fill="FFFFFF"/>
          <w:lang w:val="sk-SK"/>
        </w:rPr>
        <w:t xml:space="preserve">, teda nielen </w:t>
      </w:r>
      <w:r>
        <w:rPr>
          <w:rFonts w:hint="default" w:ascii="Times New Roman" w:hAnsi="Times New Roman" w:eastAsia="Segoe UI" w:cs="Times New Roman"/>
          <w:b/>
          <w:bCs/>
          <w:i w:val="0"/>
          <w:iCs w:val="0"/>
          <w:caps w:val="0"/>
          <w:color w:val="auto"/>
          <w:spacing w:val="0"/>
          <w:sz w:val="24"/>
          <w:szCs w:val="24"/>
          <w:shd w:val="clear" w:fill="FFFFFF"/>
        </w:rPr>
        <w:t>vlastných</w:t>
      </w:r>
      <w:r>
        <w:rPr>
          <w:rFonts w:hint="default" w:ascii="Times New Roman" w:hAnsi="Times New Roman" w:eastAsia="Segoe UI" w:cs="Times New Roman"/>
          <w:b/>
          <w:bCs/>
          <w:i w:val="0"/>
          <w:iCs w:val="0"/>
          <w:caps w:val="0"/>
          <w:color w:val="auto"/>
          <w:spacing w:val="0"/>
          <w:sz w:val="24"/>
          <w:szCs w:val="24"/>
          <w:shd w:val="clear" w:fill="FFFFFF"/>
          <w:lang w:val="sk-SK"/>
        </w:rPr>
        <w:t xml:space="preserve"> (=patriacich zamestnávateľovi) materských škôl </w:t>
      </w:r>
      <w:r>
        <w:rPr>
          <w:rFonts w:hint="default" w:ascii="Times New Roman" w:hAnsi="Times New Roman" w:eastAsia="Segoe UI" w:cs="Times New Roman"/>
          <w:b/>
          <w:bCs/>
          <w:i w:val="0"/>
          <w:iCs w:val="0"/>
          <w:caps w:val="0"/>
          <w:color w:val="auto"/>
          <w:spacing w:val="0"/>
          <w:sz w:val="24"/>
          <w:szCs w:val="24"/>
          <w:shd w:val="clear" w:fill="FFFFFF"/>
        </w:rPr>
        <w:t>a zariadení starostlivosti o deti do troch rokov veku dieťaťa</w:t>
      </w:r>
      <w:r>
        <w:rPr>
          <w:rFonts w:hint="default" w:ascii="Times New Roman" w:hAnsi="Times New Roman" w:eastAsia="Segoe UI" w:cs="Times New Roman"/>
          <w:b/>
          <w:bCs/>
          <w:i w:val="0"/>
          <w:iCs w:val="0"/>
          <w:caps w:val="0"/>
          <w:color w:val="auto"/>
          <w:spacing w:val="0"/>
          <w:sz w:val="24"/>
          <w:szCs w:val="24"/>
          <w:shd w:val="clear" w:fill="FFFFFF"/>
          <w:lang w:val="sk-SK"/>
        </w:rPr>
        <w:t xml:space="preserve"> </w:t>
      </w:r>
      <w:r>
        <w:rPr>
          <w:rFonts w:hint="default" w:ascii="Times New Roman" w:hAnsi="Times New Roman" w:eastAsia="SimSun" w:cs="Times New Roman"/>
          <w:b/>
          <w:bCs/>
          <w:i w:val="0"/>
          <w:iCs w:val="0"/>
          <w:caps w:val="0"/>
          <w:color w:val="auto"/>
          <w:spacing w:val="0"/>
          <w:kern w:val="0"/>
          <w:sz w:val="24"/>
          <w:szCs w:val="24"/>
          <w:lang w:val="sk-SK" w:eastAsia="zh-CN" w:bidi="ar"/>
        </w:rPr>
        <w:t>(jaslí)</w:t>
      </w:r>
      <w:r>
        <w:rPr>
          <w:rFonts w:hint="default" w:ascii="Times New Roman" w:hAnsi="Times New Roman" w:eastAsia="Segoe UI" w:cs="Times New Roman"/>
          <w:b/>
          <w:bCs/>
          <w:i w:val="0"/>
          <w:iCs w:val="0"/>
          <w:caps w:val="0"/>
          <w:color w:val="auto"/>
          <w:spacing w:val="0"/>
          <w:sz w:val="24"/>
          <w:szCs w:val="24"/>
          <w:shd w:val="clear" w:fill="FFFFFF"/>
          <w:lang w:val="sk-SK"/>
        </w:rPr>
        <w:t xml:space="preserve"> medzi daňovo uznateľné výdavky. </w:t>
      </w:r>
    </w:p>
    <w:p w14:paraId="0D5A77CA">
      <w:pPr>
        <w:shd w:val="clear" w:color="auto" w:fill="FFFFFF"/>
        <w:spacing w:after="0" w:line="240" w:lineRule="auto"/>
        <w:ind w:firstLine="708"/>
        <w:jc w:val="both"/>
        <w:outlineLvl w:val="1"/>
        <w:rPr>
          <w:rFonts w:hint="default" w:ascii="Times New Roman" w:hAnsi="Times New Roman" w:eastAsia="Segoe UI" w:cs="Times New Roman"/>
          <w:b/>
          <w:bCs/>
          <w:i w:val="0"/>
          <w:iCs w:val="0"/>
          <w:caps w:val="0"/>
          <w:color w:val="auto"/>
          <w:spacing w:val="0"/>
          <w:sz w:val="24"/>
          <w:szCs w:val="24"/>
          <w:shd w:val="clear" w:fill="FFFFFF"/>
          <w:lang w:val="sk-SK"/>
        </w:rPr>
      </w:pPr>
    </w:p>
    <w:p w14:paraId="0883AE50">
      <w:pPr>
        <w:shd w:val="clear" w:color="auto" w:fill="FFFFFF"/>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Na základe </w:t>
      </w:r>
      <w:r>
        <w:rPr>
          <w:rFonts w:hint="default" w:ascii="Times New Roman" w:hAnsi="Times New Roman" w:cs="Times New Roman"/>
          <w:sz w:val="24"/>
          <w:szCs w:val="24"/>
          <w:lang w:val="sk-SK"/>
        </w:rPr>
        <w:t xml:space="preserve">v súčasnosti </w:t>
      </w:r>
      <w:r>
        <w:rPr>
          <w:rFonts w:ascii="Times New Roman" w:hAnsi="Times New Roman" w:cs="Times New Roman"/>
          <w:sz w:val="24"/>
          <w:szCs w:val="24"/>
        </w:rPr>
        <w:t xml:space="preserve">platnej právnej úpravy </w:t>
      </w:r>
      <w:r>
        <w:rPr>
          <w:rFonts w:hint="default" w:ascii="Times New Roman" w:hAnsi="Times New Roman" w:cs="Times New Roman"/>
          <w:sz w:val="24"/>
          <w:szCs w:val="24"/>
          <w:lang w:val="sk-SK"/>
        </w:rPr>
        <w:t>n</w:t>
      </w:r>
      <w:r>
        <w:rPr>
          <w:rFonts w:ascii="Times New Roman" w:hAnsi="Times New Roman" w:cs="Times New Roman"/>
          <w:sz w:val="24"/>
          <w:szCs w:val="24"/>
        </w:rPr>
        <w:t>a </w:t>
      </w:r>
      <w:r>
        <w:rPr>
          <w:rFonts w:hint="default" w:ascii="Times New Roman" w:hAnsi="Times New Roman" w:cs="Times New Roman"/>
          <w:sz w:val="24"/>
          <w:szCs w:val="24"/>
          <w:lang w:val="sk-SK"/>
        </w:rPr>
        <w:t xml:space="preserve">základe </w:t>
      </w:r>
      <w:r>
        <w:rPr>
          <w:rFonts w:ascii="Times New Roman" w:hAnsi="Times New Roman" w:cs="Times New Roman"/>
          <w:sz w:val="24"/>
          <w:szCs w:val="24"/>
        </w:rPr>
        <w:t>novel</w:t>
      </w:r>
      <w:r>
        <w:rPr>
          <w:rFonts w:hint="default" w:ascii="Times New Roman" w:hAnsi="Times New Roman" w:cs="Times New Roman"/>
          <w:sz w:val="24"/>
          <w:szCs w:val="24"/>
          <w:lang w:val="sk-SK"/>
        </w:rPr>
        <w:t xml:space="preserve">y zákona o dani z príjmov (novela zákon č. 60/2023 Z. z.) </w:t>
      </w:r>
      <w:r>
        <w:rPr>
          <w:rFonts w:ascii="Times New Roman" w:hAnsi="Times New Roman" w:cs="Times New Roman"/>
          <w:sz w:val="24"/>
          <w:szCs w:val="24"/>
        </w:rPr>
        <w:t>si zamestnávatelia môžu uznať ako daňovo uznateľné výdavky tie výdavky, ktoré im vznikli v súvislosti s prevádzk</w:t>
      </w:r>
      <w:r>
        <w:rPr>
          <w:rFonts w:ascii="Times New Roman" w:hAnsi="Times New Roman" w:cs="Times New Roman"/>
          <w:b w:val="0"/>
          <w:bCs w:val="0"/>
          <w:sz w:val="24"/>
          <w:szCs w:val="24"/>
          <w:u w:val="none"/>
        </w:rPr>
        <w:t xml:space="preserve">ou vlastných </w:t>
      </w:r>
      <w:r>
        <w:rPr>
          <w:rFonts w:hint="default" w:ascii="Times New Roman" w:hAnsi="Times New Roman" w:cs="Times New Roman"/>
          <w:sz w:val="24"/>
          <w:szCs w:val="24"/>
          <w:lang w:val="sk-SK"/>
        </w:rPr>
        <w:t>materských škôl</w:t>
      </w:r>
      <w:r>
        <w:rPr>
          <w:rFonts w:ascii="Times New Roman" w:hAnsi="Times New Roman" w:cs="Times New Roman"/>
          <w:sz w:val="24"/>
          <w:szCs w:val="24"/>
        </w:rPr>
        <w:t xml:space="preserve"> </w:t>
      </w:r>
      <w:r>
        <w:rPr>
          <w:rFonts w:hint="default" w:ascii="Times New Roman" w:hAnsi="Times New Roman" w:eastAsia="Segoe UI" w:cs="Times New Roman"/>
          <w:b w:val="0"/>
          <w:bCs w:val="0"/>
          <w:i w:val="0"/>
          <w:iCs w:val="0"/>
          <w:caps w:val="0"/>
          <w:color w:val="auto"/>
          <w:spacing w:val="0"/>
          <w:sz w:val="24"/>
          <w:szCs w:val="24"/>
          <w:shd w:val="clear" w:fill="FFFFFF"/>
        </w:rPr>
        <w:t>a zariadení starostlivosti o deti do troch rokov veku dieťaťa</w:t>
      </w:r>
      <w:r>
        <w:rPr>
          <w:rFonts w:hint="default" w:ascii="Times New Roman" w:hAnsi="Times New Roman" w:cs="Times New Roman"/>
          <w:sz w:val="24"/>
          <w:szCs w:val="24"/>
          <w:lang w:val="sk-SK"/>
        </w:rPr>
        <w:t xml:space="preserve"> (ďalej aj “firemné škôlky a jasle”)</w:t>
      </w:r>
      <w:r>
        <w:rPr>
          <w:rFonts w:ascii="Times New Roman" w:hAnsi="Times New Roman" w:cs="Times New Roman"/>
          <w:sz w:val="24"/>
          <w:szCs w:val="24"/>
        </w:rPr>
        <w:t xml:space="preserve">. Predmetná novelizácia zákona z roku 2023 mala evidentne pozitívny vplyv na zamestnávateľov a motivovala ich tieto zariadenia zakladať. Z aplikačnej praxe však vyplynulo, že hoci mnoho zamestnávateľov by tieto zariadenia chcelo založiť, samostatne na to nedisponujú dostatočnými kapacitami, prípadne im chýba iný potrebný kapitál. Vzhľadom na tieto skutočnosti si prevádzku </w:t>
      </w:r>
      <w:r>
        <w:rPr>
          <w:rFonts w:hint="default" w:ascii="Times New Roman" w:hAnsi="Times New Roman" w:cs="Times New Roman"/>
          <w:sz w:val="24"/>
          <w:szCs w:val="24"/>
          <w:lang w:val="sk-SK"/>
        </w:rPr>
        <w:t xml:space="preserve">materských škôl a zariadení pre deti do troch rokov veku v priestoroch bezprostredne nadväzujúcich na miesto výkonu práce zamestnanca </w:t>
      </w:r>
      <w:r>
        <w:rPr>
          <w:rFonts w:ascii="Times New Roman" w:hAnsi="Times New Roman" w:cs="Times New Roman"/>
          <w:sz w:val="24"/>
          <w:szCs w:val="24"/>
        </w:rPr>
        <w:t xml:space="preserve">zabezpečujú prostredníctvom tretej strany (dodávateľskej firmy). </w:t>
      </w:r>
      <w:r>
        <w:rPr>
          <w:rFonts w:hint="default" w:ascii="Times New Roman" w:hAnsi="Times New Roman" w:cs="Times New Roman"/>
          <w:sz w:val="24"/>
          <w:szCs w:val="24"/>
          <w:lang w:val="sk-SK"/>
        </w:rPr>
        <w:t>Tieto materské školy a zariadenia pre deti do troch rokov veku,</w:t>
      </w:r>
      <w:r>
        <w:rPr>
          <w:rFonts w:ascii="Times New Roman" w:hAnsi="Times New Roman" w:cs="Times New Roman"/>
          <w:sz w:val="24"/>
          <w:szCs w:val="24"/>
        </w:rPr>
        <w:t xml:space="preserve"> ktoré </w:t>
      </w:r>
      <w:r>
        <w:rPr>
          <w:rFonts w:hint="default" w:ascii="Times New Roman" w:hAnsi="Times New Roman" w:cs="Times New Roman"/>
          <w:sz w:val="24"/>
          <w:szCs w:val="24"/>
          <w:lang w:val="sk-SK"/>
        </w:rPr>
        <w:t>prevádzkuje iný subjekt ako zamestnávateľ, p</w:t>
      </w:r>
      <w:r>
        <w:rPr>
          <w:rFonts w:ascii="Times New Roman" w:hAnsi="Times New Roman" w:cs="Times New Roman"/>
          <w:sz w:val="24"/>
          <w:szCs w:val="24"/>
        </w:rPr>
        <w:t>lnia plnohodnotnú funkciu a </w:t>
      </w:r>
      <w:r>
        <w:rPr>
          <w:rFonts w:hint="default" w:ascii="Times New Roman" w:hAnsi="Times New Roman" w:cs="Times New Roman"/>
          <w:sz w:val="24"/>
          <w:szCs w:val="24"/>
          <w:lang w:val="sk-SK"/>
        </w:rPr>
        <w:t>poskytujú v</w:t>
      </w:r>
      <w:r>
        <w:rPr>
          <w:rFonts w:ascii="Times New Roman" w:hAnsi="Times New Roman" w:cs="Times New Roman"/>
          <w:sz w:val="24"/>
          <w:szCs w:val="24"/>
        </w:rPr>
        <w:t>šetky benefity ako firemné škôlky</w:t>
      </w:r>
      <w:r>
        <w:rPr>
          <w:rFonts w:hint="default" w:ascii="Times New Roman" w:hAnsi="Times New Roman" w:cs="Times New Roman"/>
          <w:sz w:val="24"/>
          <w:szCs w:val="24"/>
          <w:lang w:val="sk-SK"/>
        </w:rPr>
        <w:t xml:space="preserve"> a </w:t>
      </w:r>
      <w:r>
        <w:rPr>
          <w:rFonts w:ascii="Times New Roman" w:hAnsi="Times New Roman" w:cs="Times New Roman"/>
          <w:sz w:val="24"/>
          <w:szCs w:val="24"/>
        </w:rPr>
        <w:t xml:space="preserve">jasle, ktoré si prevádzkuje zamestnávateľ sám. V administratívnych centrách </w:t>
      </w:r>
      <w:r>
        <w:rPr>
          <w:rFonts w:hint="default" w:ascii="Times New Roman" w:hAnsi="Times New Roman" w:cs="Times New Roman"/>
          <w:sz w:val="24"/>
          <w:szCs w:val="24"/>
          <w:lang w:val="sk-SK"/>
        </w:rPr>
        <w:t>napríklad</w:t>
      </w:r>
      <w:r>
        <w:rPr>
          <w:rFonts w:ascii="Times New Roman" w:hAnsi="Times New Roman" w:cs="Times New Roman"/>
          <w:sz w:val="24"/>
          <w:szCs w:val="24"/>
        </w:rPr>
        <w:t xml:space="preserve"> dochádza k zdieľaniu </w:t>
      </w:r>
      <w:r>
        <w:rPr>
          <w:rFonts w:hint="default" w:ascii="Times New Roman" w:hAnsi="Times New Roman" w:cs="Times New Roman"/>
          <w:sz w:val="24"/>
          <w:szCs w:val="24"/>
          <w:lang w:val="sk-SK"/>
        </w:rPr>
        <w:t xml:space="preserve">materských škôl a </w:t>
      </w:r>
      <w:r>
        <w:rPr>
          <w:rFonts w:hint="default" w:ascii="Times New Roman" w:hAnsi="Times New Roman" w:eastAsia="Segoe UI" w:cs="Times New Roman"/>
          <w:b w:val="0"/>
          <w:bCs w:val="0"/>
          <w:i w:val="0"/>
          <w:iCs w:val="0"/>
          <w:caps w:val="0"/>
          <w:color w:val="auto"/>
          <w:spacing w:val="0"/>
          <w:sz w:val="24"/>
          <w:szCs w:val="24"/>
          <w:shd w:val="clear" w:fill="FFFFFF"/>
        </w:rPr>
        <w:t>zariadení starostlivosti o deti do troch rokov veku dieťaťa</w:t>
      </w:r>
      <w:r>
        <w:rPr>
          <w:rFonts w:hint="default" w:ascii="Times New Roman" w:hAnsi="Times New Roman" w:eastAsia="Segoe UI" w:cs="Times New Roman"/>
          <w:b w:val="0"/>
          <w:bCs w:val="0"/>
          <w:i w:val="0"/>
          <w:iCs w:val="0"/>
          <w:caps w:val="0"/>
          <w:color w:val="auto"/>
          <w:spacing w:val="0"/>
          <w:sz w:val="24"/>
          <w:szCs w:val="24"/>
          <w:shd w:val="clear" w:fill="FFFFFF"/>
          <w:lang w:val="sk-SK"/>
        </w:rPr>
        <w:t xml:space="preserve"> </w:t>
      </w:r>
      <w:r>
        <w:rPr>
          <w:rFonts w:hint="default" w:ascii="Times New Roman" w:hAnsi="Times New Roman" w:eastAsia="SimSun" w:cs="Times New Roman"/>
          <w:b w:val="0"/>
          <w:bCs w:val="0"/>
          <w:i w:val="0"/>
          <w:iCs w:val="0"/>
          <w:caps w:val="0"/>
          <w:color w:val="auto"/>
          <w:spacing w:val="0"/>
          <w:kern w:val="0"/>
          <w:sz w:val="24"/>
          <w:szCs w:val="24"/>
          <w:lang w:val="sk-SK" w:eastAsia="zh-CN" w:bidi="ar"/>
        </w:rPr>
        <w:t>(jaslí)</w:t>
      </w:r>
      <w:r>
        <w:rPr>
          <w:rFonts w:ascii="Times New Roman" w:hAnsi="Times New Roman" w:cs="Times New Roman"/>
          <w:sz w:val="24"/>
          <w:szCs w:val="24"/>
        </w:rPr>
        <w:t xml:space="preserve"> viacerými firmami. Platná legislatíva však zamestnávateľom v súčasnosti neumožňuje si tieto výdavky označovať za daňovo uznateľné. Vzhľadom na uvedené skutočnosti, predkladatelia predmetného návrhu zákona navrhujú okruh daňovo uznateľných výdavkov rozšíriť. </w:t>
      </w:r>
    </w:p>
    <w:p w14:paraId="2C67BD60">
      <w:pPr>
        <w:shd w:val="clear" w:color="auto" w:fill="FFFFFF"/>
        <w:spacing w:after="0" w:line="240" w:lineRule="auto"/>
        <w:ind w:firstLine="708"/>
        <w:jc w:val="both"/>
        <w:outlineLvl w:val="1"/>
        <w:rPr>
          <w:rFonts w:ascii="Times New Roman" w:hAnsi="Times New Roman" w:cs="Times New Roman"/>
          <w:sz w:val="24"/>
          <w:szCs w:val="24"/>
        </w:rPr>
      </w:pPr>
    </w:p>
    <w:p w14:paraId="71E97D94">
      <w:pPr>
        <w:shd w:val="clear" w:color="auto" w:fill="FFFFFF"/>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Nedostatok miest </w:t>
      </w:r>
      <w:r>
        <w:rPr>
          <w:rFonts w:hint="default" w:ascii="Times New Roman" w:hAnsi="Times New Roman" w:cs="Times New Roman"/>
          <w:sz w:val="24"/>
          <w:szCs w:val="24"/>
          <w:lang w:val="sk-SK"/>
        </w:rPr>
        <w:t xml:space="preserve">materských školách a zariadeniach pre deti do troch rokov veku </w:t>
      </w:r>
      <w:r>
        <w:rPr>
          <w:rFonts w:ascii="Times New Roman" w:hAnsi="Times New Roman" w:cs="Times New Roman"/>
          <w:sz w:val="24"/>
          <w:szCs w:val="24"/>
        </w:rPr>
        <w:t>je jedným z hlavných dôvodov, ktorý bráni rodičom malých detí v návrate do zamestnania. Z prieskumov vyplýva, že až 50 % matiek sa do zamestnania nemohlo vrátiť práve kvôli tomuto nedostatku.</w:t>
      </w:r>
      <w:r>
        <w:rPr>
          <w:rStyle w:val="8"/>
          <w:rFonts w:ascii="Times New Roman" w:hAnsi="Times New Roman" w:cs="Times New Roman"/>
          <w:sz w:val="24"/>
          <w:szCs w:val="24"/>
        </w:rPr>
        <w:footnoteReference w:id="0"/>
      </w:r>
      <w:r>
        <w:rPr>
          <w:rFonts w:ascii="Times New Roman" w:hAnsi="Times New Roman" w:cs="Times New Roman"/>
          <w:sz w:val="24"/>
          <w:szCs w:val="24"/>
        </w:rPr>
        <w:t xml:space="preserve"> Zároveň štát v súčasnosti nemá veľa efektívnych a časovo nenáročných nástrojov, ako tento nedostatok odstrániť. Súkromný sektor tak môže urobiť prostredníctvom firemných škôlok</w:t>
      </w:r>
      <w:r>
        <w:rPr>
          <w:rFonts w:hint="default" w:ascii="Times New Roman" w:hAnsi="Times New Roman" w:cs="Times New Roman"/>
          <w:sz w:val="24"/>
          <w:szCs w:val="24"/>
          <w:lang w:val="sk-SK"/>
        </w:rPr>
        <w:t xml:space="preserve"> a jaslí</w:t>
      </w:r>
      <w:r>
        <w:rPr>
          <w:rFonts w:ascii="Times New Roman" w:hAnsi="Times New Roman" w:cs="Times New Roman"/>
          <w:sz w:val="24"/>
          <w:szCs w:val="24"/>
        </w:rPr>
        <w:t>, prax a výskumy ukazujú, že prostredníctvom daňových nástrojov je možné zamestnávateľov motivovať takéto zariadenia zakladať. Okrem toho majú firemné škôlky</w:t>
      </w:r>
      <w:r>
        <w:rPr>
          <w:rFonts w:hint="default" w:ascii="Times New Roman" w:hAnsi="Times New Roman" w:cs="Times New Roman"/>
          <w:sz w:val="24"/>
          <w:szCs w:val="24"/>
          <w:lang w:val="sk-SK"/>
        </w:rPr>
        <w:t xml:space="preserve"> a jasle </w:t>
      </w:r>
      <w:r>
        <w:rPr>
          <w:rFonts w:ascii="Times New Roman" w:hAnsi="Times New Roman" w:cs="Times New Roman"/>
          <w:sz w:val="24"/>
          <w:szCs w:val="24"/>
        </w:rPr>
        <w:t xml:space="preserve">množstvo benefitov pre deti a rodičov, ako napríklad prispôsobený čas prevádzky </w:t>
      </w:r>
      <w:r>
        <w:rPr>
          <w:rFonts w:hint="default" w:ascii="Times New Roman" w:hAnsi="Times New Roman" w:cs="Times New Roman"/>
          <w:sz w:val="24"/>
          <w:szCs w:val="24"/>
          <w:lang w:val="sk-SK"/>
        </w:rPr>
        <w:t xml:space="preserve">firemnej </w:t>
      </w:r>
      <w:r>
        <w:rPr>
          <w:rFonts w:ascii="Times New Roman" w:hAnsi="Times New Roman" w:cs="Times New Roman"/>
          <w:sz w:val="24"/>
          <w:szCs w:val="24"/>
        </w:rPr>
        <w:t xml:space="preserve">škôlky alebo jaslí potrebám zamestnanca, zdravotné výhody pre matku a dieťa v dôsledku neprerušenia dojčenia, v prípade potreby je rodič okamžite pri dieťati, či väčšia istota udržania si pracovného miesta pre rodiča malého dieťaťa. </w:t>
      </w:r>
    </w:p>
    <w:p w14:paraId="21027D66">
      <w:pPr>
        <w:shd w:val="clear" w:color="auto" w:fill="FFFFFF"/>
        <w:spacing w:after="0" w:line="240" w:lineRule="auto"/>
        <w:ind w:firstLine="708"/>
        <w:jc w:val="both"/>
        <w:outlineLvl w:val="1"/>
        <w:rPr>
          <w:rFonts w:ascii="Times New Roman" w:hAnsi="Times New Roman" w:cs="Times New Roman"/>
          <w:sz w:val="24"/>
          <w:szCs w:val="24"/>
        </w:rPr>
      </w:pPr>
    </w:p>
    <w:p w14:paraId="24B3AD3F">
      <w:pPr>
        <w:shd w:val="clear" w:color="auto" w:fill="FFFFFF"/>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Zároveň zdôrazňujeme význam vzdelávania detí v ich rannom detstve. Výskumy ukazujú, že deti, ktoré sú vzdelávané v rannom detstve dosahujú lepšie kariérne výsledky a evidujeme v ich prípade nižšiu mieru kriminality. Zároveň sa ušetrí 7 – 10 % nákladov súvisiacich s ich vzdelávaním.</w:t>
      </w:r>
      <w:r>
        <w:rPr>
          <w:rStyle w:val="8"/>
          <w:rFonts w:ascii="Times New Roman" w:hAnsi="Times New Roman" w:cs="Times New Roman"/>
          <w:sz w:val="24"/>
          <w:szCs w:val="24"/>
        </w:rPr>
        <w:footnoteReference w:id="1"/>
      </w:r>
      <w:r>
        <w:rPr>
          <w:rFonts w:ascii="Times New Roman" w:hAnsi="Times New Roman" w:cs="Times New Roman"/>
          <w:sz w:val="24"/>
          <w:szCs w:val="24"/>
        </w:rPr>
        <w:t xml:space="preserve"> Na Slovensku vo vzdelávaní detí v ich rannom detstve zaostávame aj kvôli nedostatku miest v </w:t>
      </w:r>
      <w:r>
        <w:rPr>
          <w:rFonts w:hint="default" w:ascii="Times New Roman" w:hAnsi="Times New Roman" w:eastAsia="Segoe UI" w:cs="Times New Roman"/>
          <w:b w:val="0"/>
          <w:bCs w:val="0"/>
          <w:i w:val="0"/>
          <w:iCs w:val="0"/>
          <w:caps w:val="0"/>
          <w:color w:val="auto"/>
          <w:spacing w:val="0"/>
          <w:sz w:val="24"/>
          <w:szCs w:val="24"/>
          <w:shd w:val="clear" w:fill="FFFFFF"/>
        </w:rPr>
        <w:t>materských šk</w:t>
      </w:r>
      <w:r>
        <w:rPr>
          <w:rFonts w:hint="default" w:ascii="Times New Roman" w:hAnsi="Times New Roman" w:eastAsia="Segoe UI" w:cs="Times New Roman"/>
          <w:b w:val="0"/>
          <w:bCs w:val="0"/>
          <w:i w:val="0"/>
          <w:iCs w:val="0"/>
          <w:caps w:val="0"/>
          <w:color w:val="auto"/>
          <w:spacing w:val="0"/>
          <w:sz w:val="24"/>
          <w:szCs w:val="24"/>
          <w:shd w:val="clear" w:fill="FFFFFF"/>
          <w:lang w:val="sk-SK"/>
        </w:rPr>
        <w:t>olách</w:t>
      </w:r>
      <w:r>
        <w:rPr>
          <w:rFonts w:hint="default" w:ascii="Times New Roman" w:hAnsi="Times New Roman" w:eastAsia="Segoe UI" w:cs="Times New Roman"/>
          <w:b w:val="0"/>
          <w:bCs w:val="0"/>
          <w:i w:val="0"/>
          <w:iCs w:val="0"/>
          <w:caps w:val="0"/>
          <w:color w:val="auto"/>
          <w:spacing w:val="0"/>
          <w:sz w:val="24"/>
          <w:szCs w:val="24"/>
          <w:shd w:val="clear" w:fill="FFFFFF"/>
        </w:rPr>
        <w:t> a zariaden</w:t>
      </w:r>
      <w:r>
        <w:rPr>
          <w:rFonts w:hint="default" w:ascii="Times New Roman" w:hAnsi="Times New Roman" w:eastAsia="Segoe UI" w:cs="Times New Roman"/>
          <w:b w:val="0"/>
          <w:bCs w:val="0"/>
          <w:i w:val="0"/>
          <w:iCs w:val="0"/>
          <w:caps w:val="0"/>
          <w:color w:val="auto"/>
          <w:spacing w:val="0"/>
          <w:sz w:val="24"/>
          <w:szCs w:val="24"/>
          <w:shd w:val="clear" w:fill="FFFFFF"/>
          <w:lang w:val="sk-SK"/>
        </w:rPr>
        <w:t>iach</w:t>
      </w:r>
      <w:r>
        <w:rPr>
          <w:rFonts w:hint="default" w:ascii="Times New Roman" w:hAnsi="Times New Roman" w:eastAsia="Segoe UI" w:cs="Times New Roman"/>
          <w:b w:val="0"/>
          <w:bCs w:val="0"/>
          <w:i w:val="0"/>
          <w:iCs w:val="0"/>
          <w:caps w:val="0"/>
          <w:color w:val="auto"/>
          <w:spacing w:val="0"/>
          <w:sz w:val="24"/>
          <w:szCs w:val="24"/>
          <w:shd w:val="clear" w:fill="FFFFFF"/>
        </w:rPr>
        <w:t xml:space="preserve"> starostlivosti o deti do troch rokov veku dieťaťa</w:t>
      </w:r>
      <w:r>
        <w:rPr>
          <w:rFonts w:hint="default" w:ascii="Times New Roman" w:hAnsi="Times New Roman" w:eastAsia="Segoe UI" w:cs="Times New Roman"/>
          <w:b w:val="0"/>
          <w:bCs w:val="0"/>
          <w:i w:val="0"/>
          <w:iCs w:val="0"/>
          <w:caps w:val="0"/>
          <w:color w:val="auto"/>
          <w:spacing w:val="0"/>
          <w:sz w:val="24"/>
          <w:szCs w:val="24"/>
          <w:shd w:val="clear" w:fill="FFFFFF"/>
          <w:lang w:val="sk-SK"/>
        </w:rPr>
        <w:t xml:space="preserve"> </w:t>
      </w:r>
      <w:r>
        <w:rPr>
          <w:rFonts w:hint="default" w:ascii="Times New Roman" w:hAnsi="Times New Roman" w:eastAsia="SimSun" w:cs="Times New Roman"/>
          <w:b w:val="0"/>
          <w:bCs w:val="0"/>
          <w:i w:val="0"/>
          <w:iCs w:val="0"/>
          <w:caps w:val="0"/>
          <w:color w:val="auto"/>
          <w:spacing w:val="0"/>
          <w:kern w:val="0"/>
          <w:sz w:val="24"/>
          <w:szCs w:val="24"/>
          <w:lang w:val="sk-SK" w:eastAsia="zh-CN" w:bidi="ar"/>
        </w:rPr>
        <w:t>(jasliach)</w:t>
      </w:r>
      <w:r>
        <w:rPr>
          <w:rFonts w:ascii="Times New Roman" w:hAnsi="Times New Roman" w:cs="Times New Roman"/>
          <w:sz w:val="24"/>
          <w:szCs w:val="24"/>
        </w:rPr>
        <w:t xml:space="preserve">. Práve firemné škôlky a jasle môžu tento negatívny stav zlepšiť. </w:t>
      </w:r>
    </w:p>
    <w:p w14:paraId="7B1856BB">
      <w:pPr>
        <w:shd w:val="clear" w:color="auto" w:fill="FFFFFF"/>
        <w:spacing w:after="0" w:line="240" w:lineRule="auto"/>
        <w:ind w:firstLine="708"/>
        <w:jc w:val="both"/>
        <w:outlineLvl w:val="1"/>
        <w:rPr>
          <w:rFonts w:ascii="Times New Roman" w:hAnsi="Times New Roman" w:cs="Times New Roman"/>
          <w:sz w:val="24"/>
          <w:szCs w:val="24"/>
        </w:rPr>
      </w:pPr>
    </w:p>
    <w:p w14:paraId="2544EF9A">
      <w:pPr>
        <w:shd w:val="clear" w:color="auto" w:fill="FFFFFF"/>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Predkladaný návrh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149049A9">
      <w:pPr>
        <w:shd w:val="clear" w:color="auto" w:fill="FFFFFF"/>
        <w:spacing w:after="0" w:line="240" w:lineRule="auto"/>
        <w:ind w:firstLine="708"/>
        <w:jc w:val="both"/>
        <w:outlineLvl w:val="1"/>
        <w:rPr>
          <w:rFonts w:ascii="Times New Roman" w:hAnsi="Times New Roman" w:cs="Times New Roman"/>
          <w:sz w:val="24"/>
          <w:szCs w:val="24"/>
        </w:rPr>
      </w:pPr>
    </w:p>
    <w:p w14:paraId="4024AF45">
      <w:pPr>
        <w:shd w:val="clear" w:color="auto" w:fill="FFFFFF"/>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Návrh zákona bude mať mierne negatívny vplyv na rozpočet verejnej správy. Návrh zákona nemá vplyv na životné prostredie, na služby verejnej správy pre občana a ani vplyv na informatizáciu spoločnosti. Návrh zákona bude mať pozitívne sociálne vplyvy, ako aj pozitívny vplyv na manželstvo, rodičovstvo a rodinu. Zároveň bude mať návrh zákona pozitívny vplyv na podnikateľské prostredie. </w:t>
      </w:r>
    </w:p>
    <w:p w14:paraId="63211617">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710BF942">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4BE8431D">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25E2CF94">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12A7435A">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65BCB921">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6FDD1FB8">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5B7F7233">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5CD8C93E">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4D5345EF">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1985AFC1">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2BEF5B27">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49DE26DE">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32269009">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2BFCEF2B">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2766658D">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75D9E55F">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0A246833">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3E2A0043">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459A3503">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5050454E">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6745405D">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2ED1720C">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17D327D9">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71F3DFE9">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6B3F007D">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55693089">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05C4FD23">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4A90DED9">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13AAD8E3">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28A063BA">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0557A69B">
      <w:pPr>
        <w:shd w:val="clear" w:color="auto" w:fill="FFFFFF"/>
        <w:spacing w:after="0" w:line="240" w:lineRule="auto"/>
        <w:jc w:val="both"/>
        <w:outlineLvl w:val="1"/>
        <w:rPr>
          <w:rFonts w:ascii="Times New Roman" w:hAnsi="Times New Roman" w:cs="Times New Roman"/>
          <w:b/>
          <w:bCs/>
          <w:color w:val="000000" w:themeColor="text1"/>
          <w:sz w:val="24"/>
          <w:szCs w:val="24"/>
          <w14:textFill>
            <w14:solidFill>
              <w14:schemeClr w14:val="tx1"/>
            </w14:solidFill>
          </w14:textFill>
        </w:rPr>
      </w:pPr>
    </w:p>
    <w:p w14:paraId="47F59158">
      <w:pPr>
        <w:spacing w:after="0" w:line="240" w:lineRule="auto"/>
        <w:ind w:firstLine="708"/>
        <w:jc w:val="both"/>
        <w:rPr>
          <w:rFonts w:ascii="Times New Roman" w:hAnsi="Times New Roman" w:eastAsia="Times New Roman"/>
          <w:b/>
          <w:bCs/>
          <w:sz w:val="24"/>
          <w:szCs w:val="24"/>
          <w:lang w:eastAsia="sk-SK"/>
        </w:rPr>
      </w:pPr>
      <w:bookmarkStart w:id="0" w:name="_GoBack"/>
      <w:bookmarkEnd w:id="0"/>
      <w:r>
        <w:rPr>
          <w:rFonts w:ascii="Times New Roman" w:hAnsi="Times New Roman" w:eastAsia="Times New Roman"/>
          <w:b/>
          <w:bCs/>
          <w:sz w:val="24"/>
          <w:szCs w:val="24"/>
          <w:lang w:eastAsia="sk-SK"/>
        </w:rPr>
        <w:t>B. Osobitná časť</w:t>
      </w:r>
    </w:p>
    <w:p w14:paraId="32D5C233">
      <w:pPr>
        <w:spacing w:after="0" w:line="240" w:lineRule="auto"/>
        <w:jc w:val="both"/>
        <w:rPr>
          <w:rFonts w:ascii="Times New Roman" w:hAnsi="Times New Roman" w:eastAsia="Times New Roman"/>
          <w:b/>
          <w:bCs/>
          <w:sz w:val="24"/>
          <w:szCs w:val="24"/>
          <w:lang w:eastAsia="sk-SK"/>
        </w:rPr>
      </w:pPr>
    </w:p>
    <w:p w14:paraId="4D87E137">
      <w:pPr>
        <w:shd w:val="clear" w:color="auto" w:fill="FFFFFF"/>
        <w:spacing w:after="0" w:line="240" w:lineRule="auto"/>
        <w:ind w:firstLine="708"/>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K čl. I</w:t>
      </w:r>
    </w:p>
    <w:p w14:paraId="4C278409">
      <w:pPr>
        <w:keepNext w:val="0"/>
        <w:keepLines w:val="0"/>
        <w:widowControl/>
        <w:suppressLineNumbers w:val="0"/>
        <w:ind w:left="0" w:firstLine="708" w:firstLineChars="0"/>
        <w:jc w:val="both"/>
        <w:rPr>
          <w:rFonts w:hint="default" w:ascii="Times New Roman" w:hAnsi="Times New Roman" w:eastAsia="Segoe UI" w:cs="Times New Roman"/>
          <w:b/>
          <w:bCs/>
          <w:i w:val="0"/>
          <w:iCs w:val="0"/>
          <w:caps w:val="0"/>
          <w:color w:val="auto"/>
          <w:spacing w:val="0"/>
          <w:sz w:val="24"/>
          <w:szCs w:val="24"/>
          <w:shd w:val="clear" w:fill="FFFFFF"/>
          <w:lang w:val="sk-SK"/>
        </w:rPr>
      </w:pPr>
    </w:p>
    <w:p w14:paraId="3F25C55C">
      <w:pPr>
        <w:keepNext w:val="0"/>
        <w:keepLines w:val="0"/>
        <w:widowControl/>
        <w:suppressLineNumbers w:val="0"/>
        <w:ind w:left="0" w:firstLine="708" w:firstLineChars="0"/>
        <w:jc w:val="both"/>
        <w:rPr>
          <w:rFonts w:hint="default" w:ascii="Times New Roman" w:hAnsi="Times New Roman" w:eastAsia="Segoe UI" w:cs="Times New Roman"/>
          <w:b/>
          <w:bCs/>
          <w:i w:val="0"/>
          <w:iCs w:val="0"/>
          <w:caps w:val="0"/>
          <w:color w:val="auto"/>
          <w:spacing w:val="0"/>
          <w:sz w:val="24"/>
          <w:szCs w:val="24"/>
          <w:shd w:val="clear" w:fill="FFFFFF"/>
          <w:lang w:val="sk-SK"/>
        </w:rPr>
      </w:pPr>
      <w:r>
        <w:rPr>
          <w:rFonts w:hint="default" w:ascii="Times New Roman" w:hAnsi="Times New Roman" w:eastAsia="Segoe UI" w:cs="Times New Roman"/>
          <w:b/>
          <w:bCs/>
          <w:i w:val="0"/>
          <w:iCs w:val="0"/>
          <w:caps w:val="0"/>
          <w:color w:val="auto"/>
          <w:spacing w:val="0"/>
          <w:sz w:val="24"/>
          <w:szCs w:val="24"/>
          <w:shd w:val="clear" w:fill="FFFFFF"/>
          <w:lang w:val="sk-SK"/>
        </w:rPr>
        <w:t>K bodu 1</w:t>
      </w:r>
    </w:p>
    <w:p w14:paraId="100B1315">
      <w:pPr>
        <w:keepNext w:val="0"/>
        <w:keepLines w:val="0"/>
        <w:widowControl/>
        <w:suppressLineNumbers w:val="0"/>
        <w:ind w:left="0" w:firstLine="708" w:firstLineChars="0"/>
        <w:jc w:val="both"/>
        <w:rPr>
          <w:rFonts w:hint="default" w:ascii="Times New Roman" w:hAnsi="Times New Roman" w:eastAsia="Segoe UI" w:cs="Times New Roman"/>
          <w:b/>
          <w:bCs/>
          <w:i/>
          <w:iCs/>
          <w:caps w:val="0"/>
          <w:color w:val="auto"/>
          <w:spacing w:val="0"/>
          <w:sz w:val="24"/>
          <w:szCs w:val="24"/>
          <w:u w:val="none"/>
          <w:shd w:val="clear" w:fill="FFFFFF"/>
          <w:lang w:val="sk-SK"/>
        </w:rPr>
      </w:pPr>
      <w:r>
        <w:rPr>
          <w:rFonts w:hint="default" w:ascii="Times New Roman" w:hAnsi="Times New Roman" w:eastAsia="Segoe UI" w:cs="Times New Roman"/>
          <w:i w:val="0"/>
          <w:iCs w:val="0"/>
          <w:caps w:val="0"/>
          <w:color w:val="auto"/>
          <w:spacing w:val="0"/>
          <w:sz w:val="24"/>
          <w:szCs w:val="24"/>
          <w:shd w:val="clear" w:fill="FFFFFF"/>
          <w:lang w:val="sk-SK"/>
        </w:rPr>
        <w:t xml:space="preserve">Medzi daňové výdavky, </w:t>
      </w:r>
      <w:r>
        <w:rPr>
          <w:rFonts w:hint="default" w:ascii="Times New Roman" w:hAnsi="Times New Roman" w:eastAsia="Segoe UI" w:cs="Times New Roman"/>
          <w:i w:val="0"/>
          <w:iCs w:val="0"/>
          <w:caps w:val="0"/>
          <w:color w:val="auto"/>
          <w:spacing w:val="0"/>
          <w:sz w:val="24"/>
          <w:szCs w:val="24"/>
          <w:shd w:val="clear" w:fill="FFFFFF"/>
        </w:rPr>
        <w:t xml:space="preserve">ktoré možno uplatniť len v rozsahu a za podmienok ustanovených v tomto zákone, </w:t>
      </w:r>
      <w:r>
        <w:rPr>
          <w:rFonts w:hint="default" w:ascii="Times New Roman" w:hAnsi="Times New Roman" w:eastAsia="Segoe UI" w:cs="Times New Roman"/>
          <w:i w:val="0"/>
          <w:iCs w:val="0"/>
          <w:caps w:val="0"/>
          <w:color w:val="auto"/>
          <w:spacing w:val="0"/>
          <w:sz w:val="24"/>
          <w:szCs w:val="24"/>
          <w:shd w:val="clear" w:fill="FFFFFF"/>
          <w:lang w:val="sk-SK"/>
        </w:rPr>
        <w:t xml:space="preserve">podľa súčasnej úpravy patria výdavky (náklady) na </w:t>
      </w:r>
      <w:r>
        <w:rPr>
          <w:rFonts w:hint="default" w:ascii="Times New Roman" w:hAnsi="Times New Roman" w:eastAsia="Segoe UI" w:cs="Times New Roman"/>
          <w:i w:val="0"/>
          <w:iCs w:val="0"/>
          <w:caps w:val="0"/>
          <w:color w:val="auto"/>
          <w:spacing w:val="0"/>
          <w:sz w:val="24"/>
          <w:szCs w:val="24"/>
          <w:shd w:val="clear" w:fill="FFFFFF"/>
        </w:rPr>
        <w:t xml:space="preserve">prevádzku </w:t>
      </w:r>
      <w:r>
        <w:rPr>
          <w:rFonts w:hint="default" w:ascii="Times New Roman" w:hAnsi="Times New Roman" w:eastAsia="Segoe UI" w:cs="Times New Roman"/>
          <w:i w:val="0"/>
          <w:iCs w:val="0"/>
          <w:caps w:val="0"/>
          <w:color w:val="auto"/>
          <w:spacing w:val="0"/>
          <w:sz w:val="24"/>
          <w:szCs w:val="24"/>
          <w:u w:val="single"/>
          <w:shd w:val="clear" w:fill="FFFFFF"/>
        </w:rPr>
        <w:t>vlastných</w:t>
      </w:r>
      <w:r>
        <w:rPr>
          <w:rFonts w:hint="default" w:ascii="Times New Roman" w:hAnsi="Times New Roman" w:eastAsia="Segoe UI" w:cs="Times New Roman"/>
          <w:i w:val="0"/>
          <w:iCs w:val="0"/>
          <w:caps w:val="0"/>
          <w:color w:val="auto"/>
          <w:spacing w:val="0"/>
          <w:sz w:val="24"/>
          <w:szCs w:val="24"/>
          <w:shd w:val="clear" w:fill="FFFFFF"/>
        </w:rPr>
        <w:t xml:space="preserve"> materských škôl a zariadení starostlivosti o deti do troch rokov veku dieťaťa</w:t>
      </w:r>
      <w:r>
        <w:rPr>
          <w:rFonts w:hint="default" w:ascii="Times New Roman" w:hAnsi="Times New Roman" w:eastAsia="Segoe UI" w:cs="Times New Roman"/>
          <w:i w:val="0"/>
          <w:iCs w:val="0"/>
          <w:caps w:val="0"/>
          <w:color w:val="auto"/>
          <w:spacing w:val="0"/>
          <w:sz w:val="24"/>
          <w:szCs w:val="24"/>
          <w:shd w:val="clear" w:fill="FFFFFF"/>
          <w:lang w:val="sk-SK"/>
        </w:rPr>
        <w:t xml:space="preserve">. Predloženým návrhom sa vypúšťa slovo “vlastných”, v dôsledku čoho sa toto bude vzťahovať na akúkoľvek  </w:t>
      </w:r>
      <w:r>
        <w:rPr>
          <w:rFonts w:hint="default" w:ascii="Times New Roman" w:hAnsi="Times New Roman" w:eastAsia="Segoe UI" w:cs="Times New Roman"/>
          <w:i w:val="0"/>
          <w:iCs w:val="0"/>
          <w:caps w:val="0"/>
          <w:color w:val="auto"/>
          <w:spacing w:val="0"/>
          <w:sz w:val="24"/>
          <w:szCs w:val="24"/>
          <w:shd w:val="clear" w:fill="FFFFFF"/>
        </w:rPr>
        <w:t>matersk</w:t>
      </w:r>
      <w:r>
        <w:rPr>
          <w:rFonts w:hint="default" w:ascii="Times New Roman" w:hAnsi="Times New Roman" w:eastAsia="Segoe UI" w:cs="Times New Roman"/>
          <w:i w:val="0"/>
          <w:iCs w:val="0"/>
          <w:caps w:val="0"/>
          <w:color w:val="auto"/>
          <w:spacing w:val="0"/>
          <w:sz w:val="24"/>
          <w:szCs w:val="24"/>
          <w:shd w:val="clear" w:fill="FFFFFF"/>
          <w:lang w:val="sk-SK"/>
        </w:rPr>
        <w:t xml:space="preserve">ú </w:t>
      </w:r>
      <w:r>
        <w:rPr>
          <w:rFonts w:hint="default" w:ascii="Times New Roman" w:hAnsi="Times New Roman" w:eastAsia="Segoe UI" w:cs="Times New Roman"/>
          <w:i w:val="0"/>
          <w:iCs w:val="0"/>
          <w:caps w:val="0"/>
          <w:color w:val="auto"/>
          <w:spacing w:val="0"/>
          <w:sz w:val="24"/>
          <w:szCs w:val="24"/>
          <w:shd w:val="clear" w:fill="FFFFFF"/>
        </w:rPr>
        <w:t>šk</w:t>
      </w:r>
      <w:r>
        <w:rPr>
          <w:rFonts w:hint="default" w:ascii="Times New Roman" w:hAnsi="Times New Roman" w:eastAsia="Segoe UI" w:cs="Times New Roman"/>
          <w:i w:val="0"/>
          <w:iCs w:val="0"/>
          <w:caps w:val="0"/>
          <w:color w:val="auto"/>
          <w:spacing w:val="0"/>
          <w:sz w:val="24"/>
          <w:szCs w:val="24"/>
          <w:shd w:val="clear" w:fill="FFFFFF"/>
          <w:lang w:val="sk-SK"/>
        </w:rPr>
        <w:t>olu</w:t>
      </w:r>
      <w:r>
        <w:rPr>
          <w:rFonts w:hint="default" w:ascii="Times New Roman" w:hAnsi="Times New Roman" w:eastAsia="Segoe UI" w:cs="Times New Roman"/>
          <w:i w:val="0"/>
          <w:iCs w:val="0"/>
          <w:caps w:val="0"/>
          <w:color w:val="auto"/>
          <w:spacing w:val="0"/>
          <w:sz w:val="24"/>
          <w:szCs w:val="24"/>
          <w:shd w:val="clear" w:fill="FFFFFF"/>
        </w:rPr>
        <w:t> a zariaden</w:t>
      </w:r>
      <w:r>
        <w:rPr>
          <w:rFonts w:hint="default" w:ascii="Times New Roman" w:hAnsi="Times New Roman" w:eastAsia="Segoe UI" w:cs="Times New Roman"/>
          <w:i w:val="0"/>
          <w:iCs w:val="0"/>
          <w:caps w:val="0"/>
          <w:color w:val="auto"/>
          <w:spacing w:val="0"/>
          <w:sz w:val="24"/>
          <w:szCs w:val="24"/>
          <w:shd w:val="clear" w:fill="FFFFFF"/>
          <w:lang w:val="sk-SK"/>
        </w:rPr>
        <w:t xml:space="preserve">ie </w:t>
      </w:r>
      <w:r>
        <w:rPr>
          <w:rFonts w:hint="default" w:ascii="Times New Roman" w:hAnsi="Times New Roman" w:eastAsia="Segoe UI" w:cs="Times New Roman"/>
          <w:i w:val="0"/>
          <w:iCs w:val="0"/>
          <w:caps w:val="0"/>
          <w:color w:val="auto"/>
          <w:spacing w:val="0"/>
          <w:sz w:val="24"/>
          <w:szCs w:val="24"/>
          <w:shd w:val="clear" w:fill="FFFFFF"/>
        </w:rPr>
        <w:t>starostlivosti o deti do troch rokov veku dieťaťa</w:t>
      </w:r>
      <w:r>
        <w:rPr>
          <w:rFonts w:hint="default" w:ascii="Times New Roman" w:hAnsi="Times New Roman" w:eastAsia="Segoe UI" w:cs="Times New Roman"/>
          <w:i w:val="0"/>
          <w:iCs w:val="0"/>
          <w:caps w:val="0"/>
          <w:color w:val="auto"/>
          <w:spacing w:val="0"/>
          <w:sz w:val="24"/>
          <w:szCs w:val="24"/>
          <w:shd w:val="clear" w:fill="FFFFFF"/>
          <w:lang w:val="sk-SK"/>
        </w:rPr>
        <w:t xml:space="preserve">. </w:t>
      </w:r>
    </w:p>
    <w:p w14:paraId="15A4BE4D">
      <w:pPr>
        <w:keepNext w:val="0"/>
        <w:keepLines w:val="0"/>
        <w:widowControl/>
        <w:suppressLineNumbers w:val="0"/>
        <w:ind w:left="0" w:firstLine="708" w:firstLineChars="0"/>
        <w:jc w:val="both"/>
        <w:rPr>
          <w:rFonts w:hint="default" w:ascii="Times New Roman" w:hAnsi="Times New Roman" w:eastAsia="Segoe UI" w:cs="Times New Roman"/>
          <w:b/>
          <w:bCs/>
          <w:i w:val="0"/>
          <w:iCs w:val="0"/>
          <w:caps w:val="0"/>
          <w:color w:val="auto"/>
          <w:spacing w:val="0"/>
          <w:sz w:val="24"/>
          <w:szCs w:val="24"/>
          <w:shd w:val="clear" w:fill="FFFFFF"/>
          <w:lang w:val="sk-SK"/>
        </w:rPr>
      </w:pPr>
      <w:r>
        <w:rPr>
          <w:rFonts w:hint="default" w:ascii="Times New Roman" w:hAnsi="Times New Roman" w:eastAsia="Segoe UI" w:cs="Times New Roman"/>
          <w:b/>
          <w:bCs/>
          <w:i w:val="0"/>
          <w:iCs w:val="0"/>
          <w:caps w:val="0"/>
          <w:color w:val="auto"/>
          <w:spacing w:val="0"/>
          <w:sz w:val="24"/>
          <w:szCs w:val="24"/>
          <w:shd w:val="clear" w:fill="FFFFFF"/>
          <w:lang w:val="sk-SK"/>
        </w:rPr>
        <w:t>K bodu 2</w:t>
      </w:r>
    </w:p>
    <w:p w14:paraId="4B3156CC">
      <w:pPr>
        <w:shd w:val="clear" w:color="auto" w:fill="FFFFFF"/>
        <w:spacing w:after="0" w:line="240" w:lineRule="auto"/>
        <w:ind w:firstLine="708"/>
        <w:jc w:val="both"/>
        <w:rPr>
          <w:rFonts w:hint="default" w:ascii="Times New Roman" w:hAnsi="Times New Roman" w:cs="Times New Roman"/>
          <w:color w:val="auto"/>
          <w:sz w:val="24"/>
          <w:szCs w:val="24"/>
          <w:lang w:val="sk-SK"/>
        </w:rPr>
      </w:pPr>
      <w:r>
        <w:rPr>
          <w:rFonts w:hint="default" w:ascii="Times New Roman" w:hAnsi="Times New Roman" w:cs="Times New Roman"/>
          <w:color w:val="auto"/>
          <w:sz w:val="24"/>
          <w:szCs w:val="24"/>
          <w:lang w:val="sk-SK"/>
        </w:rPr>
        <w:t xml:space="preserve">Navrhuje sa prechodné ustanovenie, podľa ktorého sa nová právna úprava, účinná od 1. januára 2025 použije prvýkrát </w:t>
      </w:r>
      <w:r>
        <w:rPr>
          <w:rFonts w:hint="default" w:ascii="Times New Roman" w:hAnsi="Times New Roman" w:cs="Times New Roman"/>
          <w:color w:val="auto"/>
          <w:sz w:val="24"/>
          <w:szCs w:val="24"/>
        </w:rPr>
        <w:t>prvýkrát v zdaňovacom období, ktoré sa začína 1. januára 2025</w:t>
      </w:r>
      <w:r>
        <w:rPr>
          <w:rFonts w:hint="default" w:ascii="Times New Roman" w:hAnsi="Times New Roman" w:cs="Times New Roman"/>
          <w:color w:val="auto"/>
          <w:sz w:val="24"/>
          <w:szCs w:val="24"/>
          <w:lang w:val="sk-SK"/>
        </w:rPr>
        <w:t>.</w:t>
      </w:r>
    </w:p>
    <w:p w14:paraId="21916EB9">
      <w:pPr>
        <w:pStyle w:val="13"/>
        <w:numPr>
          <w:ilvl w:val="0"/>
          <w:numId w:val="0"/>
        </w:numPr>
        <w:shd w:val="clear" w:color="auto" w:fill="FFFFFF"/>
        <w:spacing w:after="0" w:line="240" w:lineRule="auto"/>
        <w:ind w:leftChars="0"/>
        <w:jc w:val="both"/>
        <w:rPr>
          <w:rFonts w:hint="default" w:ascii="Times New Roman" w:hAnsi="Times New Roman" w:cs="Times New Roman"/>
          <w:color w:val="auto"/>
          <w:sz w:val="24"/>
          <w:szCs w:val="24"/>
          <w:lang w:val="sk-SK"/>
        </w:rPr>
      </w:pPr>
    </w:p>
    <w:p w14:paraId="0176D651">
      <w:pPr>
        <w:shd w:val="clear" w:color="auto" w:fill="FFFFFF"/>
        <w:spacing w:after="0" w:line="240" w:lineRule="auto"/>
        <w:ind w:firstLine="708"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K čl. II</w:t>
      </w:r>
    </w:p>
    <w:p w14:paraId="235E0DA7">
      <w:pPr>
        <w:shd w:val="clear" w:color="auto" w:fill="FFFFFF"/>
        <w:spacing w:after="0" w:line="240" w:lineRule="auto"/>
        <w:jc w:val="both"/>
        <w:rPr>
          <w:rFonts w:hint="default" w:ascii="Times New Roman" w:hAnsi="Times New Roman" w:cs="Times New Roman"/>
          <w:b/>
          <w:bCs/>
          <w:color w:val="auto"/>
          <w:sz w:val="24"/>
          <w:szCs w:val="24"/>
        </w:rPr>
      </w:pPr>
    </w:p>
    <w:p w14:paraId="179A1C04">
      <w:pPr>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Nadobudnutie účinnosti predkladanej novely zákona sa navrhuje na </w:t>
      </w:r>
      <w:r>
        <w:rPr>
          <w:rFonts w:hint="default" w:ascii="Times New Roman" w:hAnsi="Times New Roman" w:cs="Times New Roman"/>
          <w:color w:val="auto"/>
          <w:sz w:val="24"/>
          <w:szCs w:val="24"/>
          <w:lang w:val="sk-SK"/>
        </w:rPr>
        <w:t>1. januára 2025.</w:t>
      </w:r>
      <w:r>
        <w:rPr>
          <w:rFonts w:hint="default" w:ascii="Times New Roman" w:hAnsi="Times New Roman" w:cs="Times New Roman"/>
          <w:color w:val="auto"/>
          <w:sz w:val="24"/>
          <w:szCs w:val="24"/>
        </w:rPr>
        <w:t xml:space="preserve"> </w:t>
      </w:r>
    </w:p>
    <w:p w14:paraId="79A733BC">
      <w:pPr>
        <w:shd w:val="clear" w:color="auto" w:fill="FFFFFF"/>
        <w:spacing w:after="0" w:line="240" w:lineRule="auto"/>
        <w:ind w:firstLine="708"/>
        <w:jc w:val="both"/>
        <w:rPr>
          <w:rFonts w:hint="default" w:ascii="Times New Roman" w:hAnsi="Times New Roman" w:cs="Times New Roman"/>
          <w:color w:val="auto"/>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5A16B65C">
      <w:pPr>
        <w:pStyle w:val="9"/>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Pozri: https://www.pracujucemamy.sk/pre-firmy</w:t>
      </w:r>
    </w:p>
  </w:footnote>
  <w:footnote w:id="1">
    <w:p w14:paraId="4FFC726D">
      <w:pPr>
        <w:pStyle w:val="9"/>
      </w:pPr>
      <w:r>
        <w:rPr>
          <w:rStyle w:val="8"/>
          <w:rFonts w:ascii="Times New Roman" w:hAnsi="Times New Roman" w:cs="Times New Roman"/>
        </w:rPr>
        <w:footnoteRef/>
      </w:r>
      <w:r>
        <w:rPr>
          <w:rFonts w:ascii="Times New Roman" w:hAnsi="Times New Roman" w:cs="Times New Roman"/>
        </w:rPr>
        <w:t xml:space="preserve"> Pozri: https://heckmanequation.org/resource/invest-in-early-childhood-development-reduce-deficits-strengthen-the-economy/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4"/>
    <w:footnote w:id="5"/>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CD"/>
    <w:rsid w:val="0001507A"/>
    <w:rsid w:val="00025F95"/>
    <w:rsid w:val="0003537C"/>
    <w:rsid w:val="00040201"/>
    <w:rsid w:val="00062DC5"/>
    <w:rsid w:val="0007133E"/>
    <w:rsid w:val="00082656"/>
    <w:rsid w:val="000921AA"/>
    <w:rsid w:val="000A4B98"/>
    <w:rsid w:val="000B32AB"/>
    <w:rsid w:val="000B4A57"/>
    <w:rsid w:val="000E10C7"/>
    <w:rsid w:val="00100FB1"/>
    <w:rsid w:val="001334B5"/>
    <w:rsid w:val="00154B6C"/>
    <w:rsid w:val="001B1047"/>
    <w:rsid w:val="001B1144"/>
    <w:rsid w:val="001E0669"/>
    <w:rsid w:val="001E4475"/>
    <w:rsid w:val="001F4090"/>
    <w:rsid w:val="00200FDA"/>
    <w:rsid w:val="00254FBC"/>
    <w:rsid w:val="002D1194"/>
    <w:rsid w:val="002E3B0F"/>
    <w:rsid w:val="002E5CEE"/>
    <w:rsid w:val="002F68B4"/>
    <w:rsid w:val="00304FF9"/>
    <w:rsid w:val="00314AC8"/>
    <w:rsid w:val="00315A22"/>
    <w:rsid w:val="00316439"/>
    <w:rsid w:val="0034063B"/>
    <w:rsid w:val="003A1236"/>
    <w:rsid w:val="003A2D51"/>
    <w:rsid w:val="003A5D31"/>
    <w:rsid w:val="003D428E"/>
    <w:rsid w:val="003E5593"/>
    <w:rsid w:val="003F26A9"/>
    <w:rsid w:val="00420F57"/>
    <w:rsid w:val="00431186"/>
    <w:rsid w:val="00435F1C"/>
    <w:rsid w:val="004675E8"/>
    <w:rsid w:val="0047530B"/>
    <w:rsid w:val="00485F9F"/>
    <w:rsid w:val="00490F12"/>
    <w:rsid w:val="004953F3"/>
    <w:rsid w:val="004A1926"/>
    <w:rsid w:val="004B1D11"/>
    <w:rsid w:val="004D275B"/>
    <w:rsid w:val="004D6262"/>
    <w:rsid w:val="004F7DFE"/>
    <w:rsid w:val="00524381"/>
    <w:rsid w:val="00541E90"/>
    <w:rsid w:val="00545A2B"/>
    <w:rsid w:val="00546E27"/>
    <w:rsid w:val="005A295D"/>
    <w:rsid w:val="005B6B4F"/>
    <w:rsid w:val="005C0754"/>
    <w:rsid w:val="005C520A"/>
    <w:rsid w:val="005E1AA3"/>
    <w:rsid w:val="00612CA6"/>
    <w:rsid w:val="00634769"/>
    <w:rsid w:val="00651D9F"/>
    <w:rsid w:val="006661F2"/>
    <w:rsid w:val="00670067"/>
    <w:rsid w:val="006F3691"/>
    <w:rsid w:val="00724F3C"/>
    <w:rsid w:val="007374DB"/>
    <w:rsid w:val="007674D0"/>
    <w:rsid w:val="00795DE2"/>
    <w:rsid w:val="007A006F"/>
    <w:rsid w:val="007C078B"/>
    <w:rsid w:val="007C5633"/>
    <w:rsid w:val="008414C4"/>
    <w:rsid w:val="00853652"/>
    <w:rsid w:val="008679FC"/>
    <w:rsid w:val="008B15C5"/>
    <w:rsid w:val="008B6808"/>
    <w:rsid w:val="008C6561"/>
    <w:rsid w:val="008D5EA6"/>
    <w:rsid w:val="008E71A6"/>
    <w:rsid w:val="008F3BAB"/>
    <w:rsid w:val="008F64DB"/>
    <w:rsid w:val="00947B0A"/>
    <w:rsid w:val="00975D7F"/>
    <w:rsid w:val="0098157C"/>
    <w:rsid w:val="009823C6"/>
    <w:rsid w:val="009864CD"/>
    <w:rsid w:val="009C590A"/>
    <w:rsid w:val="009D3E58"/>
    <w:rsid w:val="009E0E94"/>
    <w:rsid w:val="009E289D"/>
    <w:rsid w:val="00A407EA"/>
    <w:rsid w:val="00A47281"/>
    <w:rsid w:val="00A678EC"/>
    <w:rsid w:val="00AA25D5"/>
    <w:rsid w:val="00AC4A8D"/>
    <w:rsid w:val="00AC5C84"/>
    <w:rsid w:val="00B30AA5"/>
    <w:rsid w:val="00B463AE"/>
    <w:rsid w:val="00B55894"/>
    <w:rsid w:val="00B560F1"/>
    <w:rsid w:val="00B73F13"/>
    <w:rsid w:val="00B74030"/>
    <w:rsid w:val="00B81731"/>
    <w:rsid w:val="00BB0154"/>
    <w:rsid w:val="00BB5D5B"/>
    <w:rsid w:val="00BD234C"/>
    <w:rsid w:val="00BF1157"/>
    <w:rsid w:val="00C025D8"/>
    <w:rsid w:val="00C32D75"/>
    <w:rsid w:val="00C8754E"/>
    <w:rsid w:val="00C961EC"/>
    <w:rsid w:val="00CA6605"/>
    <w:rsid w:val="00CF33FF"/>
    <w:rsid w:val="00CF35AB"/>
    <w:rsid w:val="00D07B1C"/>
    <w:rsid w:val="00D2603C"/>
    <w:rsid w:val="00D331C8"/>
    <w:rsid w:val="00D66232"/>
    <w:rsid w:val="00DB3830"/>
    <w:rsid w:val="00DB68A9"/>
    <w:rsid w:val="00DB73A7"/>
    <w:rsid w:val="00DF6577"/>
    <w:rsid w:val="00E106D3"/>
    <w:rsid w:val="00E14F7D"/>
    <w:rsid w:val="00E20DC5"/>
    <w:rsid w:val="00E2276A"/>
    <w:rsid w:val="00E34595"/>
    <w:rsid w:val="00E85F3E"/>
    <w:rsid w:val="00EC6819"/>
    <w:rsid w:val="00EC7D76"/>
    <w:rsid w:val="00F31507"/>
    <w:rsid w:val="00F337EE"/>
    <w:rsid w:val="00F429E7"/>
    <w:rsid w:val="00F45324"/>
    <w:rsid w:val="00F45AC0"/>
    <w:rsid w:val="00F476FB"/>
    <w:rsid w:val="00F5609A"/>
    <w:rsid w:val="00F71E98"/>
    <w:rsid w:val="00F9133D"/>
    <w:rsid w:val="00F94A7F"/>
    <w:rsid w:val="00F9533D"/>
    <w:rsid w:val="00FB477D"/>
    <w:rsid w:val="00FC2A11"/>
    <w:rsid w:val="00FC72D9"/>
    <w:rsid w:val="00FE21EF"/>
    <w:rsid w:val="00FE2C62"/>
    <w:rsid w:val="00FE59F5"/>
    <w:rsid w:val="00FE6991"/>
    <w:rsid w:val="0E6522EE"/>
    <w:rsid w:val="132C7521"/>
    <w:rsid w:val="2D472040"/>
    <w:rsid w:val="2F922799"/>
    <w:rsid w:val="3FDF2EC8"/>
    <w:rsid w:val="6CEB6143"/>
    <w:rsid w:val="77341978"/>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qFormat/>
    <w:uiPriority w:val="99"/>
    <w:pPr>
      <w:spacing w:line="240" w:lineRule="auto"/>
    </w:pPr>
    <w:rPr>
      <w:sz w:val="20"/>
      <w:szCs w:val="20"/>
    </w:rPr>
  </w:style>
  <w:style w:type="paragraph" w:styleId="7">
    <w:name w:val="annotation subject"/>
    <w:basedOn w:val="6"/>
    <w:next w:val="6"/>
    <w:link w:val="17"/>
    <w:semiHidden/>
    <w:unhideWhenUsed/>
    <w:qFormat/>
    <w:uiPriority w:val="99"/>
    <w:rPr>
      <w:b/>
      <w:bCs/>
    </w:rPr>
  </w:style>
  <w:style w:type="character" w:styleId="8">
    <w:name w:val="footnote reference"/>
    <w:basedOn w:val="2"/>
    <w:semiHidden/>
    <w:unhideWhenUsed/>
    <w:qFormat/>
    <w:uiPriority w:val="99"/>
    <w:rPr>
      <w:vertAlign w:val="superscript"/>
    </w:rPr>
  </w:style>
  <w:style w:type="paragraph" w:styleId="9">
    <w:name w:val="footnote text"/>
    <w:basedOn w:val="1"/>
    <w:link w:val="18"/>
    <w:semiHidden/>
    <w:unhideWhenUsed/>
    <w:qFormat/>
    <w:uiPriority w:val="99"/>
    <w:pPr>
      <w:spacing w:after="0" w:line="240" w:lineRule="auto"/>
    </w:pPr>
    <w:rPr>
      <w:sz w:val="20"/>
      <w:szCs w:val="20"/>
    </w:rPr>
  </w:style>
  <w:style w:type="character" w:styleId="10">
    <w:name w:val="Hyperlink"/>
    <w:basedOn w:val="2"/>
    <w:semiHidden/>
    <w:unhideWhenUsed/>
    <w:qFormat/>
    <w:uiPriority w:val="99"/>
    <w:rPr>
      <w:color w:val="0000FF"/>
      <w:u w:val="single"/>
    </w:rPr>
  </w:style>
  <w:style w:type="character" w:customStyle="1" w:styleId="11">
    <w:name w:val="h1a"/>
    <w:basedOn w:val="2"/>
    <w:qFormat/>
    <w:uiPriority w:val="0"/>
  </w:style>
  <w:style w:type="character" w:customStyle="1" w:styleId="12">
    <w:name w:val="Text bubliny Char"/>
    <w:basedOn w:val="2"/>
    <w:link w:val="4"/>
    <w:semiHidden/>
    <w:qFormat/>
    <w:uiPriority w:val="99"/>
    <w:rPr>
      <w:rFonts w:ascii="Segoe UI" w:hAnsi="Segoe UI" w:cs="Segoe UI"/>
      <w:sz w:val="18"/>
      <w:szCs w:val="18"/>
    </w:rPr>
  </w:style>
  <w:style w:type="paragraph" w:styleId="13">
    <w:name w:val="List Paragraph"/>
    <w:basedOn w:val="1"/>
    <w:link w:val="14"/>
    <w:qFormat/>
    <w:uiPriority w:val="34"/>
    <w:pPr>
      <w:spacing w:after="200" w:line="276" w:lineRule="auto"/>
      <w:ind w:left="720"/>
      <w:contextualSpacing/>
    </w:pPr>
    <w:rPr>
      <w:rFonts w:ascii="Calibri" w:hAnsi="Calibri" w:eastAsia="Calibri" w:cs="Times New Roman"/>
    </w:rPr>
  </w:style>
  <w:style w:type="character" w:customStyle="1" w:styleId="14">
    <w:name w:val="Odsek zoznamu Char"/>
    <w:basedOn w:val="2"/>
    <w:link w:val="13"/>
    <w:qFormat/>
    <w:locked/>
    <w:uiPriority w:val="34"/>
    <w:rPr>
      <w:rFonts w:ascii="Calibri" w:hAnsi="Calibri" w:eastAsia="Calibri" w:cs="Times New Roman"/>
    </w:rPr>
  </w:style>
  <w:style w:type="paragraph" w:customStyle="1" w:styleId="15">
    <w:name w:val="Revision"/>
    <w:hidden/>
    <w:semiHidden/>
    <w:qFormat/>
    <w:uiPriority w:val="99"/>
    <w:pPr>
      <w:spacing w:after="0" w:line="240" w:lineRule="auto"/>
    </w:pPr>
    <w:rPr>
      <w:rFonts w:asciiTheme="minorHAnsi" w:hAnsiTheme="minorHAnsi" w:eastAsiaTheme="minorHAnsi" w:cstheme="minorBidi"/>
      <w:sz w:val="22"/>
      <w:szCs w:val="22"/>
      <w:lang w:val="sk-SK" w:eastAsia="en-US" w:bidi="ar-SA"/>
    </w:rPr>
  </w:style>
  <w:style w:type="character" w:customStyle="1" w:styleId="16">
    <w:name w:val="Text komentára Char"/>
    <w:basedOn w:val="2"/>
    <w:link w:val="6"/>
    <w:semiHidden/>
    <w:qFormat/>
    <w:uiPriority w:val="99"/>
    <w:rPr>
      <w:sz w:val="20"/>
      <w:szCs w:val="20"/>
    </w:rPr>
  </w:style>
  <w:style w:type="character" w:customStyle="1" w:styleId="17">
    <w:name w:val="Predmet komentára Char"/>
    <w:basedOn w:val="16"/>
    <w:link w:val="7"/>
    <w:semiHidden/>
    <w:qFormat/>
    <w:uiPriority w:val="99"/>
    <w:rPr>
      <w:b/>
      <w:bCs/>
      <w:sz w:val="20"/>
      <w:szCs w:val="20"/>
    </w:rPr>
  </w:style>
  <w:style w:type="character" w:customStyle="1" w:styleId="18">
    <w:name w:val="Text poznámky pod čiarou Char"/>
    <w:basedOn w:val="2"/>
    <w:link w:val="9"/>
    <w:semiHidden/>
    <w:qFormat/>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CBFD-9FB7-4521-B95A-E090154763D3}">
  <ds:schemaRefs/>
</ds:datastoreItem>
</file>

<file path=docProps/app.xml><?xml version="1.0" encoding="utf-8"?>
<Properties xmlns="http://schemas.openxmlformats.org/officeDocument/2006/extended-properties" xmlns:vt="http://schemas.openxmlformats.org/officeDocument/2006/docPropsVTypes">
  <Template>Normal</Template>
  <Company>Ministerstvo spravodlivosti SR</Company>
  <Pages>3</Pages>
  <Words>600</Words>
  <Characters>3625</Characters>
  <Lines>68</Lines>
  <Paragraphs>14</Paragraphs>
  <TotalTime>13</TotalTime>
  <ScaleCrop>false</ScaleCrop>
  <LinksUpToDate>false</LinksUpToDate>
  <CharactersWithSpaces>4231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2024-08-14T19:24:00Z</dcterms:created>
  <dc:creator>MARTAUS Tomáš</dc:creator>
  <cp:lastModifiedBy>Asus</cp:lastModifiedBy>
  <cp:lastPrinted>2021-11-10T10:11:00Z</cp:lastPrinted>
  <dcterms:modified xsi:type="dcterms:W3CDTF">2024-08-21T15:59:53Z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643d90633751739652f3b3914cba5473a1219769192f49b10369ec0c9d926007</vt:lpwstr>
  </property>
  <property fmtid="{D5CDD505-2E9C-101B-9397-08002B2CF9AE}" pid="3" name="KSOProductBuildVer">
    <vt:lpwstr>1033-12.2.0.17562</vt:lpwstr>
  </property>
  <property fmtid="{D5CDD505-2E9C-101B-9397-08002B2CF9AE}" pid="4" name="ICV">
    <vt:lpwstr>CB1FB5BF6A274D44B82BA1BD781D5525_12</vt:lpwstr>
  </property>
</Properties>
</file>