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594B0">
      <w:pPr>
        <w:ind w:firstLine="708"/>
        <w:jc w:val="center"/>
        <w:rPr>
          <w:b/>
          <w:bCs/>
        </w:rPr>
      </w:pPr>
      <w:r>
        <w:rPr>
          <w:b/>
          <w:bCs/>
        </w:rPr>
        <w:t>D ô v o d o v á   s p r á v a</w:t>
      </w:r>
    </w:p>
    <w:p w14:paraId="1E25E341">
      <w:pPr>
        <w:pStyle w:val="11"/>
        <w:numPr>
          <w:ilvl w:val="0"/>
          <w:numId w:val="1"/>
        </w:numPr>
        <w:jc w:val="both"/>
        <w:rPr>
          <w:b/>
          <w:bCs/>
        </w:rPr>
      </w:pPr>
      <w:r>
        <w:rPr>
          <w:b/>
          <w:bCs/>
        </w:rPr>
        <w:t xml:space="preserve">Všeobecná časť </w:t>
      </w:r>
    </w:p>
    <w:p w14:paraId="2E8BFABF">
      <w:pPr>
        <w:pStyle w:val="11"/>
        <w:rPr>
          <w:rFonts w:eastAsia="Times New Roman"/>
          <w:lang w:eastAsia="sk-SK"/>
        </w:rPr>
      </w:pPr>
    </w:p>
    <w:p w14:paraId="58671D5D">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hint="default" w:ascii="Times New Roman" w:hAnsi="Times New Roman" w:cs="Times New Roman"/>
          <w:sz w:val="24"/>
          <w:szCs w:val="24"/>
          <w:lang w:val="sk-SK"/>
        </w:rPr>
      </w:pPr>
      <w:r>
        <w:rPr>
          <w:rFonts w:ascii="Times New Roman" w:hAnsi="Times New Roman" w:cs="Times New Roman"/>
          <w:sz w:val="24"/>
          <w:szCs w:val="24"/>
          <w:shd w:val="clear" w:color="auto" w:fill="FFFFFF"/>
        </w:rPr>
        <w:t xml:space="preserve">Návrh zákona, ktorým sa </w:t>
      </w:r>
      <w:r>
        <w:rPr>
          <w:rFonts w:hint="default" w:cs="Times New Roman"/>
          <w:sz w:val="24"/>
          <w:szCs w:val="24"/>
          <w:shd w:val="clear" w:color="auto" w:fill="FFFFFF"/>
          <w:lang w:val="sk-SK"/>
        </w:rPr>
        <w:t xml:space="preserve">mení </w:t>
      </w:r>
      <w:r>
        <w:rPr>
          <w:rFonts w:ascii="Times New Roman" w:hAnsi="Times New Roman" w:cs="Times New Roman"/>
          <w:color w:val="auto"/>
          <w:sz w:val="24"/>
          <w:szCs w:val="24"/>
          <w:shd w:val="clear" w:color="auto" w:fill="FFFFFF"/>
        </w:rPr>
        <w:t>záko</w:t>
      </w:r>
      <w:r>
        <w:rPr>
          <w:rFonts w:ascii="Times New Roman" w:hAnsi="Times New Roman" w:cs="Times New Roman"/>
          <w:sz w:val="24"/>
          <w:szCs w:val="24"/>
          <w:shd w:val="clear" w:color="auto" w:fill="FFFFFF"/>
        </w:rPr>
        <w:t xml:space="preserve">n </w:t>
      </w:r>
      <w:r>
        <w:rPr>
          <w:rFonts w:ascii="Times New Roman" w:hAnsi="Times New Roman" w:eastAsia="Times New Roman" w:cs="Times New Roman"/>
          <w:color w:val="000000"/>
          <w:sz w:val="24"/>
          <w:szCs w:val="24"/>
          <w:lang w:eastAsia="sk-SK"/>
        </w:rPr>
        <w:t xml:space="preserve">č. 36/2005 Z. z. o rodine v znení neskorších predpisov predkladajú na rokovanie Národnej rady Slovenskej republiky poslanci Národnej rady Slovenskej republiky </w:t>
      </w:r>
      <w:r>
        <w:rPr>
          <w:rFonts w:ascii="Times New Roman" w:hAnsi="Times New Roman" w:cs="Times New Roman"/>
          <w:sz w:val="24"/>
          <w:szCs w:val="24"/>
        </w:rPr>
        <w:t>Vladimíra Marcinková</w:t>
      </w:r>
      <w:r>
        <w:rPr>
          <w:rFonts w:hint="default" w:cs="Times New Roman"/>
          <w:sz w:val="24"/>
          <w:szCs w:val="24"/>
          <w:lang w:val="sk-SK"/>
        </w:rPr>
        <w:t xml:space="preserve">, </w:t>
      </w:r>
      <w:r>
        <w:rPr>
          <w:rFonts w:ascii="Times New Roman" w:hAnsi="Times New Roman" w:cs="Times New Roman"/>
          <w:sz w:val="24"/>
          <w:szCs w:val="24"/>
        </w:rPr>
        <w:t>Vladimír Ledecký</w:t>
      </w:r>
      <w:r>
        <w:rPr>
          <w:rFonts w:hint="default" w:cs="Times New Roman"/>
          <w:sz w:val="24"/>
          <w:szCs w:val="24"/>
          <w:lang w:val="sk-SK"/>
        </w:rPr>
        <w:t xml:space="preserve"> a Ondrej Dostál.</w:t>
      </w:r>
    </w:p>
    <w:p w14:paraId="7313A196">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sz w:val="24"/>
          <w:szCs w:val="24"/>
        </w:rPr>
      </w:pPr>
    </w:p>
    <w:p w14:paraId="11AD29E0">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b/>
          <w:bCs/>
          <w:sz w:val="24"/>
          <w:szCs w:val="24"/>
        </w:rPr>
      </w:pPr>
      <w:r>
        <w:rPr>
          <w:rFonts w:ascii="Times New Roman" w:hAnsi="Times New Roman" w:cs="Times New Roman"/>
          <w:b/>
          <w:bCs/>
          <w:sz w:val="24"/>
          <w:szCs w:val="24"/>
        </w:rPr>
        <w:t xml:space="preserve">Cieľom predkladanej právnej úpravy je, aby rozvod manželov, ktorým bolo maloleté dieťa zverené do spoločnej náhradnej osobnej starostlivosti alebo do spoločnej pestúnskej starostlivosti, nespôsoboval zánik týchto starostlivostí. Novelou zákona sa ustanovuje, aby príslušný súd pri rozvode manželov aj bez návrhu jedného z nich rozhodol a určil, ktorý z bývalých manželov bude mať  po rozvode dieťa zverené do náhradnej osobnej starostlivosti alebo do pestúnskej starostlivosti. </w:t>
      </w:r>
    </w:p>
    <w:p w14:paraId="6A8584BD">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b/>
          <w:bCs/>
          <w:sz w:val="24"/>
          <w:szCs w:val="24"/>
        </w:rPr>
      </w:pPr>
    </w:p>
    <w:p w14:paraId="2621E44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sz w:val="24"/>
          <w:szCs w:val="24"/>
        </w:rPr>
      </w:pPr>
      <w:r>
        <w:rPr>
          <w:rFonts w:ascii="Times New Roman" w:hAnsi="Times New Roman" w:cs="Times New Roman"/>
          <w:sz w:val="24"/>
          <w:szCs w:val="24"/>
        </w:rPr>
        <w:t xml:space="preserve">Aktuálna právna úprava (zákon č. 36/2005 Z. z., ďalej len </w:t>
      </w:r>
      <w:r>
        <w:rPr>
          <w:rFonts w:hint="default" w:cs="Times New Roman"/>
          <w:sz w:val="24"/>
          <w:szCs w:val="24"/>
          <w:lang w:val="sk-SK"/>
        </w:rPr>
        <w:t>“</w:t>
      </w:r>
      <w:r>
        <w:rPr>
          <w:rFonts w:ascii="Times New Roman" w:hAnsi="Times New Roman" w:cs="Times New Roman"/>
          <w:sz w:val="24"/>
          <w:szCs w:val="24"/>
        </w:rPr>
        <w:t>zákon o rodine</w:t>
      </w:r>
      <w:r>
        <w:rPr>
          <w:rFonts w:hint="default" w:cs="Times New Roman"/>
          <w:sz w:val="24"/>
          <w:szCs w:val="24"/>
          <w:lang w:val="sk-SK"/>
        </w:rPr>
        <w:t>”</w:t>
      </w:r>
      <w:r>
        <w:rPr>
          <w:rFonts w:ascii="Times New Roman" w:hAnsi="Times New Roman" w:cs="Times New Roman"/>
          <w:sz w:val="24"/>
          <w:szCs w:val="24"/>
        </w:rPr>
        <w:t xml:space="preserve">) stanovuje, že rozvodom manželov zaniká náhradná osobná starostlivosť a pestúnska starostlivosť. Predkladatelia predmetnej novely zákona majú za to, že aktuálne znenie zákona je v rozpore s najlepším záujmom dieťaťa a medzinárodnými dohovormi, ktorými sme ako Slovenská republika viazaní, napríklad Dohovorom o právach dieťaťa. Ponechanie dieťaťa v právnom vákuu po rozvode manželov, ktorí ho mali zverené do náhradnej osobnej starostlivosti alebo pestúnskej starostlivosti vystavuje dieťa veľkému riziku, nakoľko stráca osoby, ktoré by za neho prevzali právnu zodpovednosť. Pokiaľ predmetnú situáciu vysvetlíme na príklade ad absudrum o maloleté dieťa sa po rozvode jeho pestúni a opatrovníci môžu prestať starať a zároveň sa týmto konaním nijak neprevinia voči platnej právnej úprave, nakoľko podľa zákona o rodine rozvodom po právnej stránke strácajú zodpovednosť za dieťa. Súčasnú právnu úpravu, ktorá ruší rozvodom náhradnú osobnú starostlivosť aj pestúnsku starostlivosť možno považovať za absurdnú aj z toho dôvodu, že samotný vznik týchto foriem starostlivosti nie je naviazaný na manželstvo. </w:t>
      </w:r>
    </w:p>
    <w:p w14:paraId="672F8C2F">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1"/>
        <w:rPr>
          <w:rFonts w:ascii="Times New Roman" w:hAnsi="Times New Roman" w:cs="Times New Roman"/>
          <w:sz w:val="24"/>
          <w:szCs w:val="24"/>
        </w:rPr>
      </w:pPr>
    </w:p>
    <w:p w14:paraId="103A1229">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sz w:val="24"/>
          <w:szCs w:val="24"/>
        </w:rPr>
      </w:pPr>
      <w:r>
        <w:rPr>
          <w:rFonts w:ascii="Times New Roman" w:hAnsi="Times New Roman" w:cs="Times New Roman"/>
          <w:sz w:val="24"/>
          <w:szCs w:val="24"/>
        </w:rPr>
        <w:t>V súčasnosti ak si rozvádzajúci rodič chce aj naďalej ponechať dieťa vo vyššie uvedených formách starostlivosti</w:t>
      </w:r>
      <w:r>
        <w:rPr>
          <w:rFonts w:hint="default" w:cs="Times New Roman"/>
          <w:sz w:val="24"/>
          <w:szCs w:val="24"/>
          <w:lang w:val="sk-SK"/>
        </w:rPr>
        <w:t>,</w:t>
      </w:r>
      <w:r>
        <w:rPr>
          <w:rFonts w:ascii="Times New Roman" w:hAnsi="Times New Roman" w:cs="Times New Roman"/>
          <w:sz w:val="24"/>
          <w:szCs w:val="24"/>
        </w:rPr>
        <w:t xml:space="preserve"> musí v rozvodom konaní požiadať súd o pokračovanie v starostlivosti o dieťa. V takomto prípade súd môže, ale nemusí o návrhu rozhodnúť. Z aplikačnej praxe vyplynulo, že manželia v rozvodom konaní nemajú vedomosť o tom, že tento osobitý návrh o ponechaní dieťaťa v náhradnej osobnej starostlivosti alebo pestúnskej starostlivosti musia podať. Súčasne súdy tieto návrhy môžu zamietnuť a bývalí manželia musia po rozvode podať nový návrh o zverenie dieťaťa do náhradnej osobnej starostlivosti alebo pestúnskej starostlivosti, ktorého vybavenie môže byť časovo náročné.</w:t>
      </w:r>
    </w:p>
    <w:p w14:paraId="5E94843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sz w:val="24"/>
          <w:szCs w:val="24"/>
        </w:rPr>
      </w:pPr>
    </w:p>
    <w:p w14:paraId="0A255935">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sz w:val="24"/>
          <w:szCs w:val="24"/>
        </w:rPr>
      </w:pPr>
      <w:r>
        <w:rPr>
          <w:rFonts w:ascii="Times New Roman" w:hAnsi="Times New Roman" w:cs="Times New Roman"/>
          <w:sz w:val="24"/>
          <w:szCs w:val="24"/>
        </w:rPr>
        <w:t xml:space="preserve">V prípade, že rodičia v rozvodom konaní vyššie opísaný návrh nepodajú alebo súd o ňom nerozhodne, nakoľko mu takáto povinnosť v súčasnosti na základe zákona nevzniká,  náhradná osobná starostlivosť a pestúnska starostlivosť sa rozvodom skončia. V takomto prípade dieťa ostáva v takzvanom právnom vákuu. Aktuálna právna úprava totižto nerieši, kto za maloleté dieťa preberá zodpovednosť. V starostlivosti o dieťa zvyčajne pokračujú, respektíve pokračuje, jeden z bývalých manželov, ktorí mali dieťa zverené do pestúnskej alebo náhradnej osobnej starostlivosti. Podľa zákona o rodine však za dieťa právne zodpovední už nie sú. Zároveň sa im rozvodom a skončením týchto foriem starostlivosti končí aj finančná a sociálna podpora na výchovu dieťaťa. Prichádzajú o všetky príspevky, na ktoré v súvislosti s výchovou dieťaťa majú nárok. Zároveň kvôli absencii súdneho rozhodnutia nemajú nárok ani na výživné od bývalého manžela alebo manželky.  </w:t>
      </w:r>
    </w:p>
    <w:p w14:paraId="039C234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sz w:val="24"/>
          <w:szCs w:val="24"/>
        </w:rPr>
      </w:pPr>
    </w:p>
    <w:p w14:paraId="279E7D0B">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sz w:val="24"/>
          <w:szCs w:val="24"/>
        </w:rPr>
      </w:pPr>
      <w:r>
        <w:rPr>
          <w:rFonts w:ascii="Times New Roman" w:hAnsi="Times New Roman" w:cs="Times New Roman"/>
          <w:sz w:val="24"/>
          <w:szCs w:val="24"/>
        </w:rPr>
        <w:t>Na základe predkladanej novely zákona v rozhodnutí súdu, súd musí určiť, ktorí z bývalých manželov bude v pestúnskej alebo náhradnej osobnej starostlivosti pokračovať, pri čom nedôjde k jej zániku ani zmene formy. Zároveň súd v tomto rozhodnutí určí, ktorému z bývalých manželov sa starostlivosť ruší.</w:t>
      </w:r>
    </w:p>
    <w:p w14:paraId="227239B5">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1"/>
        <w:rPr>
          <w:rFonts w:ascii="Times New Roman" w:hAnsi="Times New Roman" w:cs="Times New Roman"/>
          <w:sz w:val="24"/>
          <w:szCs w:val="24"/>
        </w:rPr>
      </w:pPr>
    </w:p>
    <w:p w14:paraId="4AF33677">
      <w:pPr>
        <w:keepNext w:val="0"/>
        <w:keepLines w:val="0"/>
        <w:pageBreakBefore w:val="0"/>
        <w:widowControl/>
        <w:shd w:val="clear" w:color="auto" w:fill="FFFFFF"/>
        <w:kinsoku/>
        <w:wordWrap/>
        <w:overflowPunct/>
        <w:topLinePunct w:val="0"/>
        <w:autoSpaceDE/>
        <w:autoSpaceDN/>
        <w:bidi w:val="0"/>
        <w:adjustRightInd/>
        <w:snapToGrid/>
        <w:spacing w:after="0" w:line="240" w:lineRule="auto"/>
        <w:jc w:val="both"/>
        <w:textAlignment w:val="auto"/>
        <w:outlineLvl w:val="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Predkladatelia predmetnej novely zákona myslia aj na situáciu, ak ani jeden z bývalých manželov nemá záujem v pokračovaní v náhradnej osobnej starostlivosti alebo v pestúnskej starostlivosti. V takomto prípade súd tieto formy starostlivosti zruší. </w:t>
      </w:r>
    </w:p>
    <w:p w14:paraId="0B06EF37">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8"/>
        <w:jc w:val="both"/>
        <w:textAlignment w:val="auto"/>
        <w:outlineLvl w:val="1"/>
        <w:rPr>
          <w:rFonts w:ascii="Times New Roman" w:hAnsi="Times New Roman" w:cs="Times New Roman"/>
          <w:sz w:val="24"/>
          <w:szCs w:val="24"/>
        </w:rPr>
      </w:pPr>
    </w:p>
    <w:p w14:paraId="442E4E6E">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both"/>
        <w:textAlignment w:val="auto"/>
        <w:outlineLvl w:val="1"/>
        <w:rPr>
          <w:rFonts w:ascii="Times New Roman" w:hAnsi="Times New Roman" w:cs="Times New Roman"/>
          <w:sz w:val="24"/>
          <w:szCs w:val="24"/>
        </w:rPr>
      </w:pPr>
      <w:r>
        <w:rPr>
          <w:rFonts w:ascii="Times New Roman" w:hAnsi="Times New Roman" w:cs="Times New Roman"/>
          <w:sz w:val="24"/>
          <w:szCs w:val="24"/>
        </w:rPr>
        <w:t>Predkladaný návrh zákona sleduje najlepší záujem dieťaťa. Zároveň by po prijatí tejto novely nedochádzalo k narušeniu väzieb dieťaťa a osoby, ktoré ho malo zverené do pestúnskej alebo náhradnej osobnej starostlivosti.</w:t>
      </w:r>
    </w:p>
    <w:p w14:paraId="0F1FE8E8">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both"/>
        <w:textAlignment w:val="auto"/>
        <w:outlineLvl w:val="1"/>
        <w:rPr>
          <w:rFonts w:ascii="Times New Roman" w:hAnsi="Times New Roman" w:cs="Times New Roman"/>
          <w:sz w:val="24"/>
          <w:szCs w:val="24"/>
        </w:rPr>
      </w:pPr>
    </w:p>
    <w:p w14:paraId="4FD2B37A">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09"/>
        <w:jc w:val="both"/>
        <w:textAlignment w:val="auto"/>
        <w:outlineLvl w:val="1"/>
        <w:rPr>
          <w:rFonts w:hint="default" w:eastAsia="Times New Roman"/>
          <w:color w:val="000000"/>
          <w:lang w:val="en-US" w:eastAsia="sk-SK"/>
        </w:rPr>
      </w:pPr>
      <w:r>
        <w:rPr>
          <w:rFonts w:hint="default" w:eastAsia="Times New Roman"/>
          <w:color w:val="000000"/>
          <w:lang w:val="en-US" w:eastAsia="sk-SK"/>
        </w:rPr>
        <w:t>Uvedený návrh je prevzatím pôvodného návrhu z roku 2016 (tlač 216), ktorého predkladateľmi boli poslanci Národnej rady Slovenskej republiky Natália Blahová a Ondrej Dostál. Pri hlasovaní návrh nezískal podporu vtedajšej koaličnej väčšiny.</w:t>
      </w:r>
    </w:p>
    <w:p w14:paraId="43A20CD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rFonts w:eastAsia="Times New Roman"/>
          <w:color w:val="000000"/>
          <w:lang w:eastAsia="sk-SK"/>
        </w:rPr>
      </w:pPr>
    </w:p>
    <w:p w14:paraId="033148F5">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708"/>
        <w:jc w:val="both"/>
        <w:textAlignment w:val="auto"/>
        <w:rPr>
          <w:rFonts w:eastAsia="Times New Roman"/>
          <w:color w:val="000000"/>
          <w:lang w:eastAsia="sk-SK"/>
        </w:rPr>
      </w:pPr>
      <w:bookmarkStart w:id="0" w:name="_GoBack"/>
      <w:bookmarkEnd w:id="0"/>
      <w:r>
        <w:rPr>
          <w:rFonts w:eastAsia="Times New Roman"/>
          <w:color w:val="000000"/>
          <w:lang w:eastAsia="sk-SK"/>
        </w:rPr>
        <w:t xml:space="preserve">Predložený návrh zákona nebude mať </w:t>
      </w:r>
      <w:r>
        <w:rPr>
          <w:rFonts w:hint="default" w:eastAsia="Times New Roman"/>
          <w:color w:val="000000"/>
          <w:lang w:val="en-US" w:eastAsia="sk-SK"/>
        </w:rPr>
        <w:t xml:space="preserve">vplyv </w:t>
      </w:r>
      <w:r>
        <w:rPr>
          <w:rFonts w:eastAsia="Times New Roman"/>
          <w:color w:val="000000"/>
          <w:lang w:eastAsia="sk-SK"/>
        </w:rPr>
        <w:t>na rozpočet verejnej správ</w:t>
      </w:r>
      <w:r>
        <w:rPr>
          <w:rFonts w:hint="default" w:eastAsia="Times New Roman"/>
          <w:color w:val="000000"/>
          <w:lang w:val="en-US" w:eastAsia="sk-SK"/>
        </w:rPr>
        <w:t xml:space="preserve"> a podnikateľské prostredie</w:t>
      </w:r>
      <w:r>
        <w:rPr>
          <w:rFonts w:eastAsia="Times New Roman"/>
          <w:color w:val="000000"/>
          <w:lang w:eastAsia="sk-SK"/>
        </w:rPr>
        <w:t>. Predložený návrh zákona bude mať pozitívn</w:t>
      </w:r>
      <w:r>
        <w:rPr>
          <w:rFonts w:hint="default" w:eastAsia="Times New Roman"/>
          <w:color w:val="000000"/>
          <w:lang w:val="en-US" w:eastAsia="sk-SK"/>
        </w:rPr>
        <w:t>e</w:t>
      </w:r>
      <w:r>
        <w:rPr>
          <w:rFonts w:eastAsia="Times New Roman"/>
          <w:color w:val="000000"/>
          <w:lang w:eastAsia="sk-SK"/>
        </w:rPr>
        <w:t xml:space="preserve"> sociálne vplyvy</w:t>
      </w:r>
      <w:r>
        <w:rPr>
          <w:rFonts w:hint="default" w:eastAsia="Times New Roman"/>
          <w:color w:val="000000"/>
          <w:lang w:val="en-US" w:eastAsia="sk-SK"/>
        </w:rPr>
        <w:t xml:space="preserve"> a pozitívny vplyv </w:t>
      </w:r>
      <w:r>
        <w:rPr>
          <w:rFonts w:eastAsia="Times New Roman"/>
          <w:color w:val="000000"/>
          <w:lang w:eastAsia="sk-SK"/>
        </w:rPr>
        <w:t xml:space="preserve"> na manželstvo, rodičovstvo a rodin</w:t>
      </w:r>
      <w:r>
        <w:rPr>
          <w:rFonts w:hint="default" w:eastAsia="Times New Roman"/>
          <w:color w:val="000000"/>
          <w:lang w:val="en-US" w:eastAsia="sk-SK"/>
        </w:rPr>
        <w:t xml:space="preserve">u. </w:t>
      </w:r>
      <w:r>
        <w:rPr>
          <w:rFonts w:eastAsia="Times New Roman"/>
          <w:color w:val="000000"/>
          <w:lang w:eastAsia="sk-SK"/>
        </w:rPr>
        <w:t xml:space="preserve">Predložený návrh zákona nebude mať </w:t>
      </w:r>
      <w:r>
        <w:rPr>
          <w:rFonts w:hint="default" w:eastAsia="Times New Roman"/>
          <w:color w:val="000000"/>
          <w:lang w:val="en-US" w:eastAsia="sk-SK"/>
        </w:rPr>
        <w:t>vplyv</w:t>
      </w:r>
      <w:r>
        <w:rPr>
          <w:rFonts w:eastAsia="Times New Roman"/>
          <w:color w:val="000000"/>
          <w:lang w:eastAsia="sk-SK"/>
        </w:rPr>
        <w:t xml:space="preserve"> na životné prostredie a</w:t>
      </w:r>
      <w:r>
        <w:rPr>
          <w:rFonts w:hint="default" w:eastAsia="Times New Roman"/>
          <w:color w:val="000000"/>
          <w:lang w:val="en-US" w:eastAsia="sk-SK"/>
        </w:rPr>
        <w:t xml:space="preserve"> na</w:t>
      </w:r>
      <w:r>
        <w:rPr>
          <w:rFonts w:eastAsia="Times New Roman"/>
          <w:color w:val="000000"/>
          <w:lang w:eastAsia="sk-SK"/>
        </w:rPr>
        <w:t xml:space="preserve"> informatizáciu spoločnosti. Návrh zákona taktiež nebude mať vplyv služby verejnej správy pre občana. </w:t>
      </w:r>
    </w:p>
    <w:p w14:paraId="14C88226">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eastAsia="Times New Roman"/>
          <w:color w:val="000000"/>
          <w:lang w:eastAsia="sk-SK"/>
        </w:rPr>
      </w:pPr>
      <w:r>
        <w:rPr>
          <w:rFonts w:eastAsia="Times New Roman"/>
          <w:color w:val="000000"/>
          <w:lang w:eastAsia="sk-SK"/>
        </w:rPr>
        <w:t>Návrh</w:t>
      </w:r>
      <w:r>
        <w:rPr>
          <w:rFonts w:eastAsia="Times New Roman"/>
          <w:color w:val="000000"/>
          <w:spacing w:val="42"/>
          <w:lang w:eastAsia="sk-SK"/>
        </w:rPr>
        <w:t xml:space="preserve"> </w:t>
      </w:r>
      <w:r>
        <w:rPr>
          <w:rFonts w:eastAsia="Times New Roman"/>
          <w:color w:val="000000"/>
          <w:lang w:eastAsia="sk-SK"/>
        </w:rPr>
        <w:t>zákona</w:t>
      </w:r>
      <w:r>
        <w:rPr>
          <w:rFonts w:eastAsia="Times New Roman"/>
          <w:color w:val="000000"/>
          <w:spacing w:val="42"/>
          <w:lang w:eastAsia="sk-SK"/>
        </w:rPr>
        <w:t xml:space="preserve"> </w:t>
      </w:r>
      <w:r>
        <w:rPr>
          <w:rFonts w:eastAsia="Times New Roman"/>
          <w:color w:val="000000"/>
          <w:lang w:eastAsia="sk-SK"/>
        </w:rPr>
        <w:t>je</w:t>
      </w:r>
      <w:r>
        <w:rPr>
          <w:rFonts w:eastAsia="Times New Roman"/>
          <w:color w:val="000000"/>
          <w:spacing w:val="42"/>
          <w:lang w:eastAsia="sk-SK"/>
        </w:rPr>
        <w:t xml:space="preserve"> </w:t>
      </w:r>
      <w:r>
        <w:rPr>
          <w:rFonts w:eastAsia="Times New Roman"/>
          <w:color w:val="000000"/>
          <w:lang w:eastAsia="sk-SK"/>
        </w:rPr>
        <w:t>v</w:t>
      </w:r>
      <w:r>
        <w:rPr>
          <w:rFonts w:eastAsia="Times New Roman"/>
          <w:color w:val="000000"/>
          <w:spacing w:val="42"/>
          <w:lang w:eastAsia="sk-SK"/>
        </w:rPr>
        <w:t xml:space="preserve"> </w:t>
      </w:r>
      <w:r>
        <w:rPr>
          <w:rFonts w:eastAsia="Times New Roman"/>
          <w:color w:val="000000"/>
          <w:lang w:eastAsia="sk-SK"/>
        </w:rPr>
        <w:t>súlade</w:t>
      </w:r>
      <w:r>
        <w:rPr>
          <w:rFonts w:eastAsia="Times New Roman"/>
          <w:color w:val="000000"/>
          <w:spacing w:val="42"/>
          <w:lang w:eastAsia="sk-SK"/>
        </w:rPr>
        <w:t xml:space="preserve"> </w:t>
      </w:r>
      <w:r>
        <w:rPr>
          <w:rFonts w:eastAsia="Times New Roman"/>
          <w:color w:val="000000"/>
          <w:lang w:eastAsia="sk-SK"/>
        </w:rPr>
        <w:t>s</w:t>
      </w:r>
      <w:r>
        <w:rPr>
          <w:rFonts w:eastAsia="Times New Roman"/>
          <w:color w:val="000000"/>
          <w:spacing w:val="42"/>
          <w:lang w:eastAsia="sk-SK"/>
        </w:rPr>
        <w:t xml:space="preserve"> </w:t>
      </w:r>
      <w:r>
        <w:rPr>
          <w:rFonts w:eastAsia="Times New Roman"/>
          <w:color w:val="000000"/>
          <w:lang w:eastAsia="sk-SK"/>
        </w:rPr>
        <w:t>Ústavou</w:t>
      </w:r>
      <w:r>
        <w:rPr>
          <w:rFonts w:eastAsia="Times New Roman"/>
          <w:color w:val="000000"/>
          <w:spacing w:val="42"/>
          <w:lang w:eastAsia="sk-SK"/>
        </w:rPr>
        <w:t xml:space="preserve"> </w:t>
      </w:r>
      <w:r>
        <w:rPr>
          <w:rFonts w:eastAsia="Times New Roman"/>
          <w:color w:val="000000"/>
          <w:lang w:eastAsia="sk-SK"/>
        </w:rPr>
        <w:t>Slovenskej</w:t>
      </w:r>
      <w:r>
        <w:rPr>
          <w:rFonts w:eastAsia="Times New Roman"/>
          <w:color w:val="000000"/>
          <w:spacing w:val="42"/>
          <w:lang w:eastAsia="sk-SK"/>
        </w:rPr>
        <w:t xml:space="preserve"> </w:t>
      </w:r>
      <w:r>
        <w:rPr>
          <w:rFonts w:eastAsia="Times New Roman"/>
          <w:color w:val="000000"/>
          <w:lang w:eastAsia="sk-SK"/>
        </w:rPr>
        <w:t>republiky,</w:t>
      </w:r>
      <w:r>
        <w:rPr>
          <w:rFonts w:eastAsia="Times New Roman"/>
          <w:color w:val="000000"/>
          <w:spacing w:val="42"/>
          <w:lang w:eastAsia="sk-SK"/>
        </w:rPr>
        <w:t xml:space="preserve"> </w:t>
      </w:r>
      <w:r>
        <w:rPr>
          <w:rFonts w:eastAsia="Times New Roman"/>
          <w:color w:val="000000"/>
          <w:lang w:eastAsia="sk-SK"/>
        </w:rPr>
        <w:t>ústavnými</w:t>
      </w:r>
      <w:r>
        <w:rPr>
          <w:rFonts w:eastAsia="Times New Roman"/>
          <w:color w:val="000000"/>
          <w:spacing w:val="42"/>
          <w:lang w:eastAsia="sk-SK"/>
        </w:rPr>
        <w:t xml:space="preserve"> </w:t>
      </w:r>
      <w:r>
        <w:rPr>
          <w:rFonts w:eastAsia="Times New Roman"/>
          <w:color w:val="000000"/>
          <w:lang w:eastAsia="sk-SK"/>
        </w:rPr>
        <w:t>zákonmi</w:t>
      </w:r>
      <w:r>
        <w:rPr>
          <w:rFonts w:eastAsia="Times New Roman"/>
          <w:color w:val="000000"/>
          <w:spacing w:val="42"/>
          <w:lang w:eastAsia="sk-SK"/>
        </w:rPr>
        <w:t xml:space="preserve"> </w:t>
      </w:r>
      <w:r>
        <w:rPr>
          <w:rFonts w:eastAsia="Times New Roman"/>
          <w:color w:val="000000"/>
          <w:lang w:eastAsia="sk-SK"/>
        </w:rPr>
        <w:t>a ostatnými</w:t>
      </w:r>
      <w:r>
        <w:rPr>
          <w:rFonts w:eastAsia="Times New Roman"/>
          <w:color w:val="000000"/>
          <w:spacing w:val="-9"/>
          <w:lang w:eastAsia="sk-SK"/>
        </w:rPr>
        <w:t xml:space="preserve"> </w:t>
      </w:r>
      <w:r>
        <w:rPr>
          <w:rFonts w:eastAsia="Times New Roman"/>
          <w:color w:val="000000"/>
          <w:lang w:eastAsia="sk-SK"/>
        </w:rPr>
        <w:t>všeobecne</w:t>
      </w:r>
      <w:r>
        <w:rPr>
          <w:rFonts w:eastAsia="Times New Roman"/>
          <w:color w:val="000000"/>
          <w:spacing w:val="-9"/>
          <w:lang w:eastAsia="sk-SK"/>
        </w:rPr>
        <w:t xml:space="preserve"> </w:t>
      </w:r>
      <w:r>
        <w:rPr>
          <w:rFonts w:eastAsia="Times New Roman"/>
          <w:color w:val="000000"/>
          <w:lang w:eastAsia="sk-SK"/>
        </w:rPr>
        <w:t>záväznými</w:t>
      </w:r>
      <w:r>
        <w:rPr>
          <w:rFonts w:eastAsia="Times New Roman"/>
          <w:color w:val="000000"/>
          <w:spacing w:val="-9"/>
          <w:lang w:eastAsia="sk-SK"/>
        </w:rPr>
        <w:t xml:space="preserve"> </w:t>
      </w:r>
      <w:r>
        <w:rPr>
          <w:rFonts w:eastAsia="Times New Roman"/>
          <w:color w:val="000000"/>
          <w:lang w:eastAsia="sk-SK"/>
        </w:rPr>
        <w:t>právnymi</w:t>
      </w:r>
      <w:r>
        <w:rPr>
          <w:rFonts w:eastAsia="Times New Roman"/>
          <w:color w:val="000000"/>
          <w:spacing w:val="-9"/>
          <w:lang w:eastAsia="sk-SK"/>
        </w:rPr>
        <w:t xml:space="preserve"> </w:t>
      </w:r>
      <w:r>
        <w:rPr>
          <w:rFonts w:eastAsia="Times New Roman"/>
          <w:color w:val="000000"/>
          <w:lang w:eastAsia="sk-SK"/>
        </w:rPr>
        <w:t>predpismi</w:t>
      </w:r>
      <w:r>
        <w:rPr>
          <w:rFonts w:eastAsia="Times New Roman"/>
          <w:color w:val="000000"/>
          <w:spacing w:val="-9"/>
          <w:lang w:eastAsia="sk-SK"/>
        </w:rPr>
        <w:t xml:space="preserve"> </w:t>
      </w:r>
      <w:r>
        <w:rPr>
          <w:rFonts w:eastAsia="Times New Roman"/>
          <w:color w:val="000000"/>
          <w:lang w:eastAsia="sk-SK"/>
        </w:rPr>
        <w:t>Slovenskej</w:t>
      </w:r>
      <w:r>
        <w:rPr>
          <w:rFonts w:eastAsia="Times New Roman"/>
          <w:color w:val="000000"/>
          <w:spacing w:val="-9"/>
          <w:lang w:eastAsia="sk-SK"/>
        </w:rPr>
        <w:t xml:space="preserve"> </w:t>
      </w:r>
      <w:r>
        <w:rPr>
          <w:rFonts w:eastAsia="Times New Roman"/>
          <w:color w:val="000000"/>
          <w:lang w:eastAsia="sk-SK"/>
        </w:rPr>
        <w:t>republiky,</w:t>
      </w:r>
      <w:r>
        <w:rPr>
          <w:rFonts w:eastAsia="Times New Roman"/>
          <w:color w:val="000000"/>
          <w:spacing w:val="-9"/>
          <w:lang w:eastAsia="sk-SK"/>
        </w:rPr>
        <w:t xml:space="preserve"> </w:t>
      </w:r>
      <w:r>
        <w:rPr>
          <w:rFonts w:eastAsia="Times New Roman"/>
          <w:color w:val="000000"/>
          <w:lang w:eastAsia="sk-SK"/>
        </w:rPr>
        <w:t>medzinárodnými zmluvami</w:t>
      </w:r>
      <w:r>
        <w:rPr>
          <w:rFonts w:eastAsia="Times New Roman"/>
          <w:color w:val="000000"/>
          <w:spacing w:val="21"/>
          <w:lang w:eastAsia="sk-SK"/>
        </w:rPr>
        <w:t xml:space="preserve"> </w:t>
      </w:r>
      <w:r>
        <w:rPr>
          <w:rFonts w:eastAsia="Times New Roman"/>
          <w:color w:val="000000"/>
          <w:lang w:eastAsia="sk-SK"/>
        </w:rPr>
        <w:t>a</w:t>
      </w:r>
      <w:r>
        <w:rPr>
          <w:rFonts w:eastAsia="Times New Roman"/>
          <w:color w:val="000000"/>
          <w:spacing w:val="21"/>
          <w:lang w:eastAsia="sk-SK"/>
        </w:rPr>
        <w:t xml:space="preserve"> </w:t>
      </w:r>
      <w:r>
        <w:rPr>
          <w:rFonts w:eastAsia="Times New Roman"/>
          <w:color w:val="000000"/>
          <w:lang w:eastAsia="sk-SK"/>
        </w:rPr>
        <w:t>inými</w:t>
      </w:r>
      <w:r>
        <w:rPr>
          <w:rFonts w:eastAsia="Times New Roman"/>
          <w:color w:val="000000"/>
          <w:spacing w:val="21"/>
          <w:lang w:eastAsia="sk-SK"/>
        </w:rPr>
        <w:t xml:space="preserve"> </w:t>
      </w:r>
      <w:r>
        <w:rPr>
          <w:rFonts w:eastAsia="Times New Roman"/>
          <w:color w:val="000000"/>
          <w:lang w:eastAsia="sk-SK"/>
        </w:rPr>
        <w:t>medzinárodnými</w:t>
      </w:r>
      <w:r>
        <w:rPr>
          <w:rFonts w:eastAsia="Times New Roman"/>
          <w:color w:val="000000"/>
          <w:spacing w:val="21"/>
          <w:lang w:eastAsia="sk-SK"/>
        </w:rPr>
        <w:t xml:space="preserve"> </w:t>
      </w:r>
      <w:r>
        <w:rPr>
          <w:rFonts w:eastAsia="Times New Roman"/>
          <w:color w:val="000000"/>
          <w:lang w:eastAsia="sk-SK"/>
        </w:rPr>
        <w:t>dokumentmi,</w:t>
      </w:r>
      <w:r>
        <w:rPr>
          <w:rFonts w:eastAsia="Times New Roman"/>
          <w:color w:val="000000"/>
          <w:spacing w:val="21"/>
          <w:lang w:eastAsia="sk-SK"/>
        </w:rPr>
        <w:t xml:space="preserve"> </w:t>
      </w:r>
      <w:r>
        <w:rPr>
          <w:rFonts w:eastAsia="Times New Roman"/>
          <w:color w:val="000000"/>
          <w:lang w:eastAsia="sk-SK"/>
        </w:rPr>
        <w:t>ktorými</w:t>
      </w:r>
      <w:r>
        <w:rPr>
          <w:rFonts w:eastAsia="Times New Roman"/>
          <w:color w:val="000000"/>
          <w:spacing w:val="21"/>
          <w:lang w:eastAsia="sk-SK"/>
        </w:rPr>
        <w:t xml:space="preserve"> </w:t>
      </w:r>
      <w:r>
        <w:rPr>
          <w:rFonts w:eastAsia="Times New Roman"/>
          <w:color w:val="000000"/>
          <w:lang w:eastAsia="sk-SK"/>
        </w:rPr>
        <w:t>je</w:t>
      </w:r>
      <w:r>
        <w:rPr>
          <w:rFonts w:eastAsia="Times New Roman"/>
          <w:color w:val="000000"/>
          <w:spacing w:val="21"/>
          <w:lang w:eastAsia="sk-SK"/>
        </w:rPr>
        <w:t xml:space="preserve"> </w:t>
      </w:r>
      <w:r>
        <w:rPr>
          <w:rFonts w:eastAsia="Times New Roman"/>
          <w:color w:val="000000"/>
          <w:lang w:eastAsia="sk-SK"/>
        </w:rPr>
        <w:t>Slovenská</w:t>
      </w:r>
      <w:r>
        <w:rPr>
          <w:rFonts w:eastAsia="Times New Roman"/>
          <w:color w:val="000000"/>
          <w:spacing w:val="21"/>
          <w:lang w:eastAsia="sk-SK"/>
        </w:rPr>
        <w:t xml:space="preserve"> </w:t>
      </w:r>
      <w:r>
        <w:rPr>
          <w:rFonts w:eastAsia="Times New Roman"/>
          <w:color w:val="000000"/>
          <w:lang w:eastAsia="sk-SK"/>
        </w:rPr>
        <w:t>republika</w:t>
      </w:r>
      <w:r>
        <w:rPr>
          <w:rFonts w:eastAsia="Times New Roman"/>
          <w:color w:val="000000"/>
          <w:spacing w:val="21"/>
          <w:lang w:eastAsia="sk-SK"/>
        </w:rPr>
        <w:t xml:space="preserve"> </w:t>
      </w:r>
      <w:r>
        <w:rPr>
          <w:rFonts w:eastAsia="Times New Roman"/>
          <w:color w:val="000000"/>
          <w:lang w:eastAsia="sk-SK"/>
        </w:rPr>
        <w:t>viazaná, ako aj s právom Európskej únie.</w:t>
      </w:r>
    </w:p>
    <w:p w14:paraId="1CF6DC7C">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eastAsia="Times New Roman"/>
          <w:color w:val="000000"/>
          <w:lang w:eastAsia="sk-SK"/>
        </w:rPr>
      </w:pPr>
    </w:p>
    <w:p w14:paraId="2A209FD7">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eastAsia="Times New Roman"/>
          <w:color w:val="000000"/>
          <w:lang w:eastAsia="sk-SK"/>
        </w:rPr>
      </w:pPr>
    </w:p>
    <w:p w14:paraId="4F31F0E6">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eastAsia="Times New Roman"/>
          <w:color w:val="000000"/>
          <w:lang w:eastAsia="sk-SK"/>
        </w:rPr>
      </w:pPr>
    </w:p>
    <w:p w14:paraId="00694298">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eastAsia="Times New Roman"/>
          <w:color w:val="000000"/>
          <w:lang w:eastAsia="sk-SK"/>
        </w:rPr>
      </w:pPr>
    </w:p>
    <w:p w14:paraId="04D5761C">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eastAsia="Times New Roman"/>
          <w:color w:val="000000"/>
          <w:lang w:eastAsia="sk-SK"/>
        </w:rPr>
      </w:pPr>
    </w:p>
    <w:p w14:paraId="52D6B6F0">
      <w:pPr>
        <w:keepNext w:val="0"/>
        <w:keepLines w:val="0"/>
        <w:pageBreakBefore w:val="0"/>
        <w:widowControl/>
        <w:kinsoku/>
        <w:wordWrap/>
        <w:overflowPunct/>
        <w:topLinePunct w:val="0"/>
        <w:autoSpaceDE/>
        <w:autoSpaceDN/>
        <w:bidi w:val="0"/>
        <w:adjustRightInd/>
        <w:snapToGrid/>
        <w:spacing w:after="0" w:line="240" w:lineRule="auto"/>
        <w:ind w:firstLine="708"/>
        <w:jc w:val="both"/>
        <w:textAlignment w:val="auto"/>
        <w:rPr>
          <w:rFonts w:eastAsia="Times New Roman"/>
          <w:color w:val="000000"/>
          <w:lang w:eastAsia="sk-SK"/>
        </w:rPr>
      </w:pPr>
    </w:p>
    <w:p w14:paraId="7368C4A4">
      <w:pPr>
        <w:spacing w:after="0" w:line="240" w:lineRule="auto"/>
        <w:ind w:firstLine="708"/>
        <w:jc w:val="both"/>
        <w:rPr>
          <w:rFonts w:eastAsia="Times New Roman"/>
          <w:color w:val="000000"/>
          <w:lang w:eastAsia="sk-SK"/>
        </w:rPr>
      </w:pPr>
    </w:p>
    <w:p w14:paraId="43EAC4B2">
      <w:pPr>
        <w:spacing w:after="0" w:line="240" w:lineRule="auto"/>
        <w:ind w:firstLine="708"/>
        <w:jc w:val="both"/>
        <w:rPr>
          <w:rFonts w:eastAsia="Times New Roman"/>
          <w:color w:val="000000"/>
          <w:lang w:eastAsia="sk-SK"/>
        </w:rPr>
      </w:pPr>
    </w:p>
    <w:p w14:paraId="5D7C1FCB">
      <w:pPr>
        <w:spacing w:after="0" w:line="240" w:lineRule="auto"/>
        <w:ind w:firstLine="708"/>
        <w:jc w:val="both"/>
        <w:rPr>
          <w:rFonts w:eastAsia="Times New Roman"/>
          <w:color w:val="000000"/>
          <w:lang w:eastAsia="sk-SK"/>
        </w:rPr>
      </w:pPr>
    </w:p>
    <w:p w14:paraId="2D378C36">
      <w:pPr>
        <w:spacing w:after="0" w:line="240" w:lineRule="auto"/>
        <w:ind w:firstLine="708"/>
        <w:jc w:val="both"/>
        <w:rPr>
          <w:rFonts w:eastAsia="Times New Roman"/>
          <w:color w:val="000000"/>
          <w:lang w:eastAsia="sk-SK"/>
        </w:rPr>
      </w:pPr>
    </w:p>
    <w:p w14:paraId="73346DBF">
      <w:pPr>
        <w:spacing w:after="0" w:line="240" w:lineRule="auto"/>
        <w:ind w:firstLine="708"/>
        <w:jc w:val="both"/>
        <w:rPr>
          <w:rFonts w:eastAsia="Times New Roman"/>
          <w:color w:val="000000"/>
          <w:lang w:eastAsia="sk-SK"/>
        </w:rPr>
      </w:pPr>
    </w:p>
    <w:p w14:paraId="0ADAA4B7">
      <w:pPr>
        <w:spacing w:after="0" w:line="240" w:lineRule="auto"/>
        <w:ind w:firstLine="708"/>
        <w:jc w:val="both"/>
        <w:rPr>
          <w:rFonts w:eastAsia="Times New Roman"/>
          <w:color w:val="000000"/>
          <w:lang w:eastAsia="sk-SK"/>
        </w:rPr>
      </w:pPr>
    </w:p>
    <w:p w14:paraId="3548058C">
      <w:pPr>
        <w:spacing w:after="0" w:line="240" w:lineRule="auto"/>
        <w:ind w:firstLine="708"/>
        <w:jc w:val="both"/>
        <w:rPr>
          <w:rFonts w:eastAsia="Times New Roman"/>
          <w:color w:val="000000"/>
          <w:lang w:eastAsia="sk-SK"/>
        </w:rPr>
      </w:pPr>
    </w:p>
    <w:p w14:paraId="529ACF6C">
      <w:pPr>
        <w:spacing w:after="0" w:line="240" w:lineRule="auto"/>
        <w:ind w:firstLine="708"/>
        <w:jc w:val="both"/>
        <w:rPr>
          <w:rFonts w:eastAsia="Times New Roman"/>
          <w:color w:val="000000"/>
          <w:lang w:eastAsia="sk-SK"/>
        </w:rPr>
      </w:pPr>
    </w:p>
    <w:p w14:paraId="70AEEC64">
      <w:pPr>
        <w:spacing w:after="0" w:line="240" w:lineRule="auto"/>
        <w:ind w:firstLine="708"/>
        <w:jc w:val="both"/>
        <w:rPr>
          <w:rFonts w:eastAsia="Times New Roman"/>
          <w:color w:val="000000"/>
          <w:lang w:eastAsia="sk-SK"/>
        </w:rPr>
      </w:pPr>
    </w:p>
    <w:p w14:paraId="73765BBD">
      <w:pPr>
        <w:spacing w:after="0" w:line="240" w:lineRule="auto"/>
        <w:ind w:firstLine="708"/>
        <w:jc w:val="both"/>
        <w:rPr>
          <w:rFonts w:eastAsia="Times New Roman"/>
          <w:color w:val="000000"/>
          <w:lang w:eastAsia="sk-SK"/>
        </w:rPr>
      </w:pPr>
    </w:p>
    <w:p w14:paraId="00021F73">
      <w:pPr>
        <w:spacing w:after="0" w:line="240" w:lineRule="auto"/>
        <w:ind w:firstLine="708"/>
        <w:jc w:val="both"/>
        <w:rPr>
          <w:rFonts w:eastAsia="Times New Roman"/>
          <w:color w:val="000000"/>
          <w:lang w:eastAsia="sk-SK"/>
        </w:rPr>
      </w:pPr>
    </w:p>
    <w:p w14:paraId="3046ADF9">
      <w:pPr>
        <w:spacing w:after="0" w:line="240" w:lineRule="auto"/>
        <w:ind w:firstLine="708"/>
        <w:jc w:val="both"/>
        <w:rPr>
          <w:rFonts w:eastAsia="Times New Roman"/>
          <w:color w:val="000000"/>
          <w:lang w:eastAsia="sk-SK"/>
        </w:rPr>
      </w:pPr>
    </w:p>
    <w:p w14:paraId="7BB9DEEF">
      <w:pPr>
        <w:spacing w:after="0" w:line="240" w:lineRule="auto"/>
        <w:ind w:firstLine="708"/>
        <w:jc w:val="both"/>
        <w:rPr>
          <w:rFonts w:eastAsia="Times New Roman"/>
          <w:color w:val="000000"/>
          <w:lang w:eastAsia="sk-SK"/>
        </w:rPr>
      </w:pPr>
    </w:p>
    <w:p w14:paraId="484BC740">
      <w:pPr>
        <w:spacing w:after="0" w:line="240" w:lineRule="auto"/>
        <w:ind w:firstLine="708"/>
        <w:jc w:val="both"/>
        <w:rPr>
          <w:rFonts w:eastAsia="Times New Roman"/>
          <w:color w:val="000000"/>
          <w:lang w:eastAsia="sk-SK"/>
        </w:rPr>
      </w:pPr>
    </w:p>
    <w:p w14:paraId="01E1ACC4">
      <w:pPr>
        <w:spacing w:after="0" w:line="240" w:lineRule="auto"/>
        <w:ind w:firstLine="708"/>
        <w:jc w:val="both"/>
        <w:rPr>
          <w:rFonts w:eastAsia="Times New Roman"/>
          <w:color w:val="000000"/>
          <w:lang w:eastAsia="sk-SK"/>
        </w:rPr>
      </w:pPr>
    </w:p>
    <w:p w14:paraId="578A0012">
      <w:pPr>
        <w:spacing w:after="0" w:line="240" w:lineRule="auto"/>
        <w:ind w:firstLine="708"/>
        <w:jc w:val="both"/>
        <w:rPr>
          <w:rFonts w:eastAsia="Times New Roman"/>
          <w:color w:val="000000"/>
          <w:lang w:eastAsia="sk-SK"/>
        </w:rPr>
      </w:pPr>
    </w:p>
    <w:p w14:paraId="47E659AA">
      <w:pPr>
        <w:spacing w:after="0" w:line="240" w:lineRule="auto"/>
        <w:ind w:firstLine="708"/>
        <w:jc w:val="both"/>
        <w:rPr>
          <w:rFonts w:eastAsia="Times New Roman"/>
          <w:color w:val="000000"/>
          <w:lang w:eastAsia="sk-SK"/>
        </w:rPr>
      </w:pPr>
    </w:p>
    <w:p w14:paraId="0443494A">
      <w:pPr>
        <w:pStyle w:val="11"/>
        <w:numPr>
          <w:ilvl w:val="0"/>
          <w:numId w:val="1"/>
        </w:numPr>
        <w:jc w:val="both"/>
        <w:rPr>
          <w:b/>
          <w:bCs/>
        </w:rPr>
      </w:pPr>
      <w:r>
        <w:rPr>
          <w:b/>
          <w:bCs/>
        </w:rPr>
        <w:t xml:space="preserve">Osobitná časť </w:t>
      </w:r>
    </w:p>
    <w:p w14:paraId="245F5C40">
      <w:pPr>
        <w:shd w:val="clear" w:color="auto" w:fill="FFFFFF"/>
        <w:spacing w:after="0" w:line="240" w:lineRule="auto"/>
        <w:ind w:left="372" w:firstLine="348"/>
        <w:jc w:val="both"/>
        <w:rPr>
          <w:b/>
          <w:bCs/>
        </w:rPr>
      </w:pPr>
      <w:r>
        <w:rPr>
          <w:b/>
          <w:bCs/>
          <w:kern w:val="2"/>
          <w14:ligatures w14:val="standardContextual"/>
        </w:rPr>
        <w:t>K čl. I</w:t>
      </w:r>
    </w:p>
    <w:p w14:paraId="7962B7D9">
      <w:pPr>
        <w:shd w:val="clear" w:color="auto" w:fill="FFFFFF"/>
        <w:spacing w:after="0" w:line="240" w:lineRule="auto"/>
        <w:ind w:left="372" w:firstLine="348"/>
        <w:jc w:val="both"/>
        <w:rPr>
          <w:b/>
          <w:bCs/>
        </w:rPr>
      </w:pPr>
    </w:p>
    <w:p w14:paraId="77CF6CD4">
      <w:pPr>
        <w:shd w:val="clear" w:color="auto" w:fill="FFFFFF"/>
        <w:spacing w:after="0" w:line="240" w:lineRule="auto"/>
        <w:ind w:left="372" w:firstLine="348"/>
        <w:jc w:val="both"/>
        <w:rPr>
          <w:rFonts w:hint="default"/>
          <w:b/>
          <w:bCs/>
          <w:lang w:val="sk-SK"/>
        </w:rPr>
      </w:pPr>
      <w:r>
        <w:rPr>
          <w:rFonts w:hint="default"/>
          <w:b/>
          <w:bCs/>
          <w:lang w:val="sk-SK"/>
        </w:rPr>
        <w:t>K bodu 1</w:t>
      </w:r>
    </w:p>
    <w:p w14:paraId="23010437">
      <w:pPr>
        <w:shd w:val="clear" w:color="auto" w:fill="FFFFFF"/>
        <w:spacing w:after="0" w:line="240" w:lineRule="auto"/>
        <w:ind w:left="372" w:firstLine="348"/>
        <w:jc w:val="both"/>
        <w:rPr>
          <w:rFonts w:hint="default"/>
          <w:b/>
          <w:bCs/>
          <w:lang w:val="sk-SK"/>
        </w:rPr>
      </w:pPr>
    </w:p>
    <w:p w14:paraId="0E59D5C3">
      <w:pPr>
        <w:shd w:val="clear" w:color="auto" w:fill="FFFFFF"/>
        <w:spacing w:after="0" w:line="240" w:lineRule="auto"/>
        <w:ind w:firstLine="708"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Navrhuje sa zrušiť ustanovenie zákona o rodine, ktorým sa náhradná osobná starostlivosť končí rozvodom. </w:t>
      </w:r>
    </w:p>
    <w:p w14:paraId="041447AD">
      <w:pPr>
        <w:shd w:val="clear" w:color="auto" w:fill="FFFFFF"/>
        <w:spacing w:after="0" w:line="240" w:lineRule="auto"/>
        <w:ind w:firstLine="708" w:firstLineChars="0"/>
        <w:jc w:val="both"/>
        <w:rPr>
          <w:rFonts w:ascii="Times New Roman" w:hAnsi="Times New Roman" w:cs="Times New Roman"/>
          <w:sz w:val="24"/>
          <w:szCs w:val="24"/>
          <w:highlight w:val="none"/>
        </w:rPr>
      </w:pPr>
    </w:p>
    <w:p w14:paraId="5BC9E2A9">
      <w:pPr>
        <w:shd w:val="clear" w:color="auto" w:fill="FFFFFF"/>
        <w:spacing w:after="0" w:line="240" w:lineRule="auto"/>
        <w:ind w:firstLine="708" w:firstLineChars="0"/>
        <w:jc w:val="both"/>
        <w:rPr>
          <w:rFonts w:hint="default" w:cs="Times New Roman"/>
          <w:b/>
          <w:bCs/>
          <w:sz w:val="24"/>
          <w:szCs w:val="24"/>
          <w:highlight w:val="none"/>
          <w:lang w:val="sk-SK"/>
        </w:rPr>
      </w:pPr>
      <w:r>
        <w:rPr>
          <w:rFonts w:hint="default" w:cs="Times New Roman"/>
          <w:b/>
          <w:bCs/>
          <w:sz w:val="24"/>
          <w:szCs w:val="24"/>
          <w:highlight w:val="none"/>
          <w:lang w:val="sk-SK"/>
        </w:rPr>
        <w:t>K bodu 2</w:t>
      </w:r>
    </w:p>
    <w:p w14:paraId="22581362">
      <w:pPr>
        <w:shd w:val="clear" w:color="auto" w:fill="FFFFFF"/>
        <w:spacing w:after="0" w:line="240" w:lineRule="auto"/>
        <w:ind w:firstLine="708" w:firstLineChars="0"/>
        <w:jc w:val="both"/>
        <w:rPr>
          <w:rFonts w:hint="default" w:cs="Times New Roman"/>
          <w:sz w:val="24"/>
          <w:szCs w:val="24"/>
          <w:highlight w:val="none"/>
          <w:lang w:val="sk-SK"/>
        </w:rPr>
      </w:pPr>
    </w:p>
    <w:p w14:paraId="3B4FD677">
      <w:pPr>
        <w:shd w:val="clear" w:color="auto" w:fill="FFFFFF"/>
        <w:spacing w:after="0" w:line="240" w:lineRule="auto"/>
        <w:ind w:firstLine="708" w:firstLineChars="0"/>
        <w:jc w:val="both"/>
        <w:rPr>
          <w:rFonts w:ascii="Times New Roman" w:hAnsi="Times New Roman" w:cs="Times New Roman"/>
          <w:sz w:val="24"/>
          <w:szCs w:val="24"/>
          <w:highlight w:val="none"/>
        </w:rPr>
      </w:pPr>
      <w:r>
        <w:rPr>
          <w:rFonts w:ascii="Times New Roman" w:hAnsi="Times New Roman" w:cs="Times New Roman"/>
          <w:sz w:val="24"/>
          <w:szCs w:val="24"/>
          <w:highlight w:val="none"/>
        </w:rPr>
        <w:t>Navrhuje sa prijatie právnej úpravy, ktorá súdu určí povinnosť pri rozvode manželov určiť, ktorý z nich bude v náhradnej osobnej starostlivosti o maloleté dieťaťa pokračovať a ktorému z nich sa starostlivosť ruší. K zmene typu starostlivosti nedochádza. V prípade, že ani jeden z rodičov nemá záujem v náhradnej osobnej starostlivosti pokračovať, rozvodom táto starostlivosť končí (podľa zákona o rodine § 47 ods. 1 písm. e).</w:t>
      </w:r>
    </w:p>
    <w:p w14:paraId="1E681A19">
      <w:pPr>
        <w:shd w:val="clear" w:color="auto" w:fill="FFFFFF"/>
        <w:spacing w:after="0" w:line="240" w:lineRule="auto"/>
        <w:ind w:left="0" w:firstLine="708"/>
        <w:jc w:val="both"/>
        <w:rPr>
          <w:b/>
          <w:bCs/>
          <w:kern w:val="2"/>
          <w14:ligatures w14:val="standardContextual"/>
        </w:rPr>
      </w:pPr>
      <w:r>
        <w:rPr>
          <w:i/>
          <w:iCs/>
          <w:color w:val="FF0000"/>
          <w:highlight w:val="none"/>
        </w:rPr>
        <w:t xml:space="preserve"> </w:t>
      </w:r>
    </w:p>
    <w:p w14:paraId="0BBDD308">
      <w:pPr>
        <w:shd w:val="clear" w:color="auto" w:fill="FFFFFF"/>
        <w:spacing w:after="0" w:line="240" w:lineRule="auto"/>
        <w:ind w:left="372" w:firstLine="348"/>
        <w:jc w:val="both"/>
        <w:rPr>
          <w:rFonts w:hint="default"/>
          <w:b/>
          <w:bCs/>
          <w:highlight w:val="none"/>
          <w:lang w:val="sk-SK"/>
        </w:rPr>
      </w:pPr>
      <w:r>
        <w:rPr>
          <w:rFonts w:hint="default"/>
          <w:b/>
          <w:bCs/>
          <w:highlight w:val="none"/>
          <w:lang w:val="sk-SK"/>
        </w:rPr>
        <w:t>K bodu 3</w:t>
      </w:r>
    </w:p>
    <w:p w14:paraId="0D3AC77F">
      <w:pPr>
        <w:shd w:val="clear" w:color="auto" w:fill="FFFFFF"/>
        <w:spacing w:after="0" w:line="240" w:lineRule="auto"/>
        <w:ind w:left="372" w:firstLine="348"/>
        <w:jc w:val="both"/>
        <w:rPr>
          <w:rFonts w:hint="default"/>
          <w:b/>
          <w:bCs/>
          <w:highlight w:val="none"/>
          <w:lang w:val="sk-SK"/>
        </w:rPr>
      </w:pPr>
    </w:p>
    <w:p w14:paraId="320BEBB0">
      <w:pPr>
        <w:shd w:val="clear" w:color="auto" w:fill="FFFFFF"/>
        <w:spacing w:after="0" w:line="240"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Navrhuje sa zrušiť ustanovenie zákona o rodine, ktorým sa pestúnska starostlivosť končí rozvodom. </w:t>
      </w:r>
    </w:p>
    <w:p w14:paraId="665DF750">
      <w:pPr>
        <w:shd w:val="clear" w:color="auto" w:fill="FFFFFF"/>
        <w:spacing w:after="0" w:line="240" w:lineRule="auto"/>
        <w:ind w:firstLine="708"/>
        <w:jc w:val="both"/>
        <w:rPr>
          <w:rFonts w:ascii="Times New Roman" w:hAnsi="Times New Roman" w:cs="Times New Roman"/>
          <w:sz w:val="24"/>
          <w:szCs w:val="24"/>
          <w:highlight w:val="none"/>
        </w:rPr>
      </w:pPr>
    </w:p>
    <w:p w14:paraId="55E76FD6">
      <w:pPr>
        <w:shd w:val="clear" w:color="auto" w:fill="FFFFFF"/>
        <w:spacing w:after="0" w:line="240" w:lineRule="auto"/>
        <w:ind w:firstLine="708" w:firstLineChars="0"/>
        <w:jc w:val="both"/>
        <w:rPr>
          <w:rFonts w:hint="default" w:cs="Times New Roman"/>
          <w:b/>
          <w:bCs/>
          <w:sz w:val="24"/>
          <w:szCs w:val="24"/>
          <w:highlight w:val="none"/>
          <w:lang w:val="sk-SK"/>
        </w:rPr>
      </w:pPr>
      <w:r>
        <w:rPr>
          <w:rFonts w:hint="default" w:cs="Times New Roman"/>
          <w:b/>
          <w:bCs/>
          <w:sz w:val="24"/>
          <w:szCs w:val="24"/>
          <w:highlight w:val="none"/>
          <w:lang w:val="sk-SK"/>
        </w:rPr>
        <w:t>K bodu 4</w:t>
      </w:r>
    </w:p>
    <w:p w14:paraId="74C34052">
      <w:pPr>
        <w:shd w:val="clear" w:color="auto" w:fill="FFFFFF"/>
        <w:spacing w:after="0" w:line="240" w:lineRule="auto"/>
        <w:ind w:firstLine="708" w:firstLineChars="0"/>
        <w:jc w:val="both"/>
        <w:rPr>
          <w:rFonts w:hint="default" w:cs="Times New Roman"/>
          <w:b/>
          <w:bCs/>
          <w:sz w:val="24"/>
          <w:szCs w:val="24"/>
          <w:highlight w:val="none"/>
          <w:lang w:val="sk-SK"/>
        </w:rPr>
      </w:pPr>
    </w:p>
    <w:p w14:paraId="091C40E3">
      <w:pPr>
        <w:shd w:val="clear" w:color="auto" w:fill="FFFFFF"/>
        <w:spacing w:after="0" w:line="240" w:lineRule="auto"/>
        <w:ind w:firstLine="708"/>
        <w:jc w:val="both"/>
        <w:rPr>
          <w:rFonts w:ascii="Times New Roman" w:hAnsi="Times New Roman" w:cs="Times New Roman"/>
          <w:sz w:val="24"/>
          <w:szCs w:val="24"/>
          <w:highlight w:val="none"/>
        </w:rPr>
      </w:pPr>
      <w:r>
        <w:rPr>
          <w:rFonts w:ascii="Times New Roman" w:hAnsi="Times New Roman" w:cs="Times New Roman"/>
          <w:sz w:val="24"/>
          <w:szCs w:val="24"/>
          <w:highlight w:val="none"/>
        </w:rPr>
        <w:t>Navrhuje sa prijatie právnej úpravy, ktorá súdu určí povinnosť pri rozvode manželov určiť, ktorý z nich bude v pestúnskej starostlivosti o maloleté dieťaťa pokračovať a ktorému z nich sa starostlivosť ruší. K zmene typu starostlivosti nedochádza. V prípade, že ani jeden z rodičov nemá záujem v náhradnej osobnej starostlivosti pokračovať, rozvodom táto starostlivosť končí (podľa zákona o rodine § 52 ods. 1 písm. e).</w:t>
      </w:r>
    </w:p>
    <w:p w14:paraId="0DAF63C3">
      <w:pPr>
        <w:shd w:val="clear" w:color="auto" w:fill="FFFFFF"/>
        <w:spacing w:after="0" w:line="240" w:lineRule="auto"/>
        <w:ind w:left="372" w:firstLine="348"/>
        <w:jc w:val="both"/>
        <w:rPr>
          <w:b/>
          <w:bCs/>
          <w:kern w:val="2"/>
          <w:highlight w:val="none"/>
          <w14:ligatures w14:val="standardContextual"/>
        </w:rPr>
      </w:pPr>
    </w:p>
    <w:p w14:paraId="4293EF57">
      <w:pPr>
        <w:shd w:val="clear" w:color="auto" w:fill="FFFFFF"/>
        <w:spacing w:after="0" w:line="240" w:lineRule="auto"/>
        <w:ind w:left="372" w:firstLine="348"/>
        <w:jc w:val="both"/>
        <w:rPr>
          <w:b/>
          <w:bCs/>
          <w:kern w:val="2"/>
          <w:highlight w:val="none"/>
          <w14:ligatures w14:val="standardContextual"/>
        </w:rPr>
      </w:pPr>
      <w:r>
        <w:rPr>
          <w:b/>
          <w:bCs/>
          <w:kern w:val="2"/>
          <w:highlight w:val="none"/>
          <w14:ligatures w14:val="standardContextual"/>
        </w:rPr>
        <w:t xml:space="preserve">K čl. </w:t>
      </w:r>
      <w:r>
        <w:rPr>
          <w:rFonts w:hint="default"/>
          <w:b/>
          <w:bCs/>
          <w:kern w:val="2"/>
          <w:highlight w:val="none"/>
          <w:lang w:val="sk-SK"/>
          <w14:ligatures w14:val="standardContextual"/>
        </w:rPr>
        <w:t>I</w:t>
      </w:r>
      <w:r>
        <w:rPr>
          <w:b/>
          <w:bCs/>
          <w:kern w:val="2"/>
          <w:highlight w:val="none"/>
          <w14:ligatures w14:val="standardContextual"/>
        </w:rPr>
        <w:t>II</w:t>
      </w:r>
    </w:p>
    <w:p w14:paraId="15A7C123">
      <w:pPr>
        <w:shd w:val="clear" w:color="auto" w:fill="FFFFFF"/>
        <w:spacing w:after="0" w:line="240" w:lineRule="auto"/>
        <w:jc w:val="both"/>
        <w:rPr>
          <w:rFonts w:eastAsia="Times New Roman"/>
          <w:lang w:eastAsia="sk-SK"/>
        </w:rPr>
      </w:pPr>
    </w:p>
    <w:p w14:paraId="443EA58D">
      <w:pPr>
        <w:shd w:val="clear" w:color="auto" w:fill="FFFFFF"/>
        <w:spacing w:after="0" w:line="240" w:lineRule="auto"/>
        <w:jc w:val="both"/>
        <w:rPr>
          <w:rFonts w:eastAsia="Times New Roman"/>
          <w:lang w:eastAsia="sk-SK"/>
        </w:rPr>
      </w:pPr>
      <w:r>
        <w:rPr>
          <w:rFonts w:eastAsia="Times New Roman"/>
          <w:lang w:eastAsia="sk-SK"/>
        </w:rPr>
        <w:tab/>
      </w:r>
      <w:r>
        <w:rPr>
          <w:rFonts w:eastAsia="Times New Roman"/>
          <w:lang w:eastAsia="sk-SK"/>
        </w:rPr>
        <w:t xml:space="preserve">Navrhuje sa nadobudnutie účinnosti predloženého návrhu zákona na 1. januára 2025. </w:t>
      </w:r>
    </w:p>
    <w:p w14:paraId="3261E804">
      <w:pPr>
        <w:spacing w:after="0" w:line="240" w:lineRule="auto"/>
        <w:ind w:firstLine="708"/>
        <w:jc w:val="both"/>
        <w:rPr>
          <w:rFonts w:eastAsia="Times New Roman"/>
          <w:color w:val="000000"/>
          <w:lang w:eastAsia="sk-SK"/>
        </w:rPr>
      </w:pPr>
    </w:p>
    <w:p w14:paraId="710EBA77">
      <w:pPr>
        <w:pStyle w:val="11"/>
        <w:rPr>
          <w:rFonts w:eastAsia="Times New Roman"/>
          <w:lang w:eastAsia="sk-SK"/>
        </w:rPr>
      </w:pPr>
    </w:p>
    <w:p w14:paraId="5D145F57"/>
    <w:p w14:paraId="6C78AE20"/>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AB37B">
    <w:pPr>
      <w:pStyle w:val="8"/>
      <w:jc w:val="center"/>
    </w:pPr>
  </w:p>
  <w:p w14:paraId="60FD9884">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5356D4"/>
    <w:multiLevelType w:val="multilevel"/>
    <w:tmpl w:val="745356D4"/>
    <w:lvl w:ilvl="0" w:tentative="0">
      <w:start w:val="1"/>
      <w:numFmt w:val="upperLetter"/>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7F3"/>
    <w:rsid w:val="00067352"/>
    <w:rsid w:val="000713B3"/>
    <w:rsid w:val="00074968"/>
    <w:rsid w:val="00082B94"/>
    <w:rsid w:val="00082CCE"/>
    <w:rsid w:val="00083040"/>
    <w:rsid w:val="00083CA6"/>
    <w:rsid w:val="00094927"/>
    <w:rsid w:val="00096EF0"/>
    <w:rsid w:val="000A3C72"/>
    <w:rsid w:val="000B1B08"/>
    <w:rsid w:val="000B5F7C"/>
    <w:rsid w:val="000F20BD"/>
    <w:rsid w:val="000F2ECC"/>
    <w:rsid w:val="00131D67"/>
    <w:rsid w:val="0013526D"/>
    <w:rsid w:val="001358C5"/>
    <w:rsid w:val="0014328A"/>
    <w:rsid w:val="00143C60"/>
    <w:rsid w:val="00144279"/>
    <w:rsid w:val="00144EB2"/>
    <w:rsid w:val="00151342"/>
    <w:rsid w:val="00163DD8"/>
    <w:rsid w:val="001661C8"/>
    <w:rsid w:val="00174DF4"/>
    <w:rsid w:val="00175EC2"/>
    <w:rsid w:val="00181767"/>
    <w:rsid w:val="00192FA7"/>
    <w:rsid w:val="001A2554"/>
    <w:rsid w:val="001A40FD"/>
    <w:rsid w:val="001B0C52"/>
    <w:rsid w:val="001B7D0D"/>
    <w:rsid w:val="001D2361"/>
    <w:rsid w:val="001D3795"/>
    <w:rsid w:val="001D7269"/>
    <w:rsid w:val="001F43D7"/>
    <w:rsid w:val="002069DD"/>
    <w:rsid w:val="002208E7"/>
    <w:rsid w:val="0022794D"/>
    <w:rsid w:val="00232EED"/>
    <w:rsid w:val="0024500F"/>
    <w:rsid w:val="00261704"/>
    <w:rsid w:val="0026570C"/>
    <w:rsid w:val="0028089F"/>
    <w:rsid w:val="002944A8"/>
    <w:rsid w:val="00295513"/>
    <w:rsid w:val="002A2721"/>
    <w:rsid w:val="002B5F56"/>
    <w:rsid w:val="002C0060"/>
    <w:rsid w:val="002D304D"/>
    <w:rsid w:val="002D3FD8"/>
    <w:rsid w:val="002E5F36"/>
    <w:rsid w:val="002F72C6"/>
    <w:rsid w:val="0031070D"/>
    <w:rsid w:val="0035448D"/>
    <w:rsid w:val="003954E1"/>
    <w:rsid w:val="003B3659"/>
    <w:rsid w:val="003D1347"/>
    <w:rsid w:val="003D1D47"/>
    <w:rsid w:val="003E2A47"/>
    <w:rsid w:val="003F1B2D"/>
    <w:rsid w:val="00405BE7"/>
    <w:rsid w:val="00415538"/>
    <w:rsid w:val="00424849"/>
    <w:rsid w:val="00445409"/>
    <w:rsid w:val="00454013"/>
    <w:rsid w:val="00490BFF"/>
    <w:rsid w:val="004D282A"/>
    <w:rsid w:val="004E21F5"/>
    <w:rsid w:val="004F49BF"/>
    <w:rsid w:val="004F4FC4"/>
    <w:rsid w:val="00521E79"/>
    <w:rsid w:val="005302E5"/>
    <w:rsid w:val="005441AF"/>
    <w:rsid w:val="005461FA"/>
    <w:rsid w:val="00547A34"/>
    <w:rsid w:val="00565F37"/>
    <w:rsid w:val="00567CAE"/>
    <w:rsid w:val="0057609A"/>
    <w:rsid w:val="005937AC"/>
    <w:rsid w:val="00604889"/>
    <w:rsid w:val="00606C1B"/>
    <w:rsid w:val="006073E1"/>
    <w:rsid w:val="00622A1A"/>
    <w:rsid w:val="00633794"/>
    <w:rsid w:val="00636103"/>
    <w:rsid w:val="0065539E"/>
    <w:rsid w:val="00665FC4"/>
    <w:rsid w:val="00671C1A"/>
    <w:rsid w:val="00685B70"/>
    <w:rsid w:val="006A6574"/>
    <w:rsid w:val="006D60AE"/>
    <w:rsid w:val="006E3EAE"/>
    <w:rsid w:val="006E48FD"/>
    <w:rsid w:val="006E66A8"/>
    <w:rsid w:val="00713A36"/>
    <w:rsid w:val="00720F54"/>
    <w:rsid w:val="00725458"/>
    <w:rsid w:val="00734A30"/>
    <w:rsid w:val="00735BF8"/>
    <w:rsid w:val="0074768C"/>
    <w:rsid w:val="007536FF"/>
    <w:rsid w:val="00777385"/>
    <w:rsid w:val="00783EE4"/>
    <w:rsid w:val="007A1161"/>
    <w:rsid w:val="007A42E6"/>
    <w:rsid w:val="007B13F5"/>
    <w:rsid w:val="007B1B0B"/>
    <w:rsid w:val="007B4B40"/>
    <w:rsid w:val="007C2047"/>
    <w:rsid w:val="007D6E86"/>
    <w:rsid w:val="007E7389"/>
    <w:rsid w:val="007F233B"/>
    <w:rsid w:val="0081271F"/>
    <w:rsid w:val="00813170"/>
    <w:rsid w:val="00814306"/>
    <w:rsid w:val="00822B85"/>
    <w:rsid w:val="00823801"/>
    <w:rsid w:val="0084015C"/>
    <w:rsid w:val="00843B7E"/>
    <w:rsid w:val="00852CB5"/>
    <w:rsid w:val="008559B5"/>
    <w:rsid w:val="00863D94"/>
    <w:rsid w:val="00871000"/>
    <w:rsid w:val="00873543"/>
    <w:rsid w:val="008A0292"/>
    <w:rsid w:val="008D2616"/>
    <w:rsid w:val="008D38B2"/>
    <w:rsid w:val="008E538F"/>
    <w:rsid w:val="008F602C"/>
    <w:rsid w:val="009141ED"/>
    <w:rsid w:val="00926F35"/>
    <w:rsid w:val="00942D27"/>
    <w:rsid w:val="009473E3"/>
    <w:rsid w:val="009536E3"/>
    <w:rsid w:val="009623D7"/>
    <w:rsid w:val="00980CE6"/>
    <w:rsid w:val="00984AEB"/>
    <w:rsid w:val="00994269"/>
    <w:rsid w:val="009A4576"/>
    <w:rsid w:val="009A7EBA"/>
    <w:rsid w:val="009B5786"/>
    <w:rsid w:val="009D24AD"/>
    <w:rsid w:val="009F7788"/>
    <w:rsid w:val="00A03AF5"/>
    <w:rsid w:val="00A17B95"/>
    <w:rsid w:val="00A25ABB"/>
    <w:rsid w:val="00A40CE6"/>
    <w:rsid w:val="00A41405"/>
    <w:rsid w:val="00A45A59"/>
    <w:rsid w:val="00A61E7B"/>
    <w:rsid w:val="00A74651"/>
    <w:rsid w:val="00A914F6"/>
    <w:rsid w:val="00AC36D3"/>
    <w:rsid w:val="00AD5684"/>
    <w:rsid w:val="00AD7374"/>
    <w:rsid w:val="00AE39A7"/>
    <w:rsid w:val="00AE6176"/>
    <w:rsid w:val="00AE64D6"/>
    <w:rsid w:val="00AF2FEB"/>
    <w:rsid w:val="00AF7077"/>
    <w:rsid w:val="00B14A8A"/>
    <w:rsid w:val="00B32FF1"/>
    <w:rsid w:val="00B43564"/>
    <w:rsid w:val="00B504F9"/>
    <w:rsid w:val="00B520D0"/>
    <w:rsid w:val="00B52105"/>
    <w:rsid w:val="00B74BA6"/>
    <w:rsid w:val="00B81F9E"/>
    <w:rsid w:val="00B935BA"/>
    <w:rsid w:val="00BA46A6"/>
    <w:rsid w:val="00BB254B"/>
    <w:rsid w:val="00BB59BF"/>
    <w:rsid w:val="00BC0402"/>
    <w:rsid w:val="00BD0A69"/>
    <w:rsid w:val="00BD27E1"/>
    <w:rsid w:val="00BF303E"/>
    <w:rsid w:val="00BF3269"/>
    <w:rsid w:val="00C21011"/>
    <w:rsid w:val="00C363FF"/>
    <w:rsid w:val="00C367C9"/>
    <w:rsid w:val="00C410A0"/>
    <w:rsid w:val="00C47548"/>
    <w:rsid w:val="00C51938"/>
    <w:rsid w:val="00C568F0"/>
    <w:rsid w:val="00C61AE4"/>
    <w:rsid w:val="00C6333E"/>
    <w:rsid w:val="00C72910"/>
    <w:rsid w:val="00C811F2"/>
    <w:rsid w:val="00C9310A"/>
    <w:rsid w:val="00CA2A54"/>
    <w:rsid w:val="00CD17DE"/>
    <w:rsid w:val="00CE1BC7"/>
    <w:rsid w:val="00CE2CFF"/>
    <w:rsid w:val="00CF0CF0"/>
    <w:rsid w:val="00D05B18"/>
    <w:rsid w:val="00D06198"/>
    <w:rsid w:val="00D13469"/>
    <w:rsid w:val="00D134CD"/>
    <w:rsid w:val="00D22433"/>
    <w:rsid w:val="00D32208"/>
    <w:rsid w:val="00D345AB"/>
    <w:rsid w:val="00D438FC"/>
    <w:rsid w:val="00D47B8B"/>
    <w:rsid w:val="00D74C6F"/>
    <w:rsid w:val="00D77666"/>
    <w:rsid w:val="00D86E5C"/>
    <w:rsid w:val="00DA4CA3"/>
    <w:rsid w:val="00DA5842"/>
    <w:rsid w:val="00DA7AEF"/>
    <w:rsid w:val="00DD0327"/>
    <w:rsid w:val="00DD15D9"/>
    <w:rsid w:val="00DD220B"/>
    <w:rsid w:val="00DE0A66"/>
    <w:rsid w:val="00DE6291"/>
    <w:rsid w:val="00DF2228"/>
    <w:rsid w:val="00E020A2"/>
    <w:rsid w:val="00E13359"/>
    <w:rsid w:val="00E52D7A"/>
    <w:rsid w:val="00E67D16"/>
    <w:rsid w:val="00E76487"/>
    <w:rsid w:val="00ED5801"/>
    <w:rsid w:val="00EE1417"/>
    <w:rsid w:val="00EF1942"/>
    <w:rsid w:val="00F07B57"/>
    <w:rsid w:val="00F17BFB"/>
    <w:rsid w:val="00F51936"/>
    <w:rsid w:val="00F55700"/>
    <w:rsid w:val="00F716FC"/>
    <w:rsid w:val="00F744B3"/>
    <w:rsid w:val="00F900C3"/>
    <w:rsid w:val="00F90457"/>
    <w:rsid w:val="00F92F89"/>
    <w:rsid w:val="00FA30B8"/>
    <w:rsid w:val="00FB3F3A"/>
    <w:rsid w:val="00FC03A8"/>
    <w:rsid w:val="00FC1AD6"/>
    <w:rsid w:val="00FC45AE"/>
    <w:rsid w:val="00FC4BAD"/>
    <w:rsid w:val="00FE67F3"/>
    <w:rsid w:val="00FF2A5F"/>
    <w:rsid w:val="0BB43441"/>
    <w:rsid w:val="178C04B1"/>
    <w:rsid w:val="26691012"/>
    <w:rsid w:val="2954525D"/>
    <w:rsid w:val="29F21105"/>
    <w:rsid w:val="345F6B7A"/>
    <w:rsid w:val="385C2B84"/>
    <w:rsid w:val="4A6C71EE"/>
    <w:rsid w:val="4FE2609D"/>
    <w:rsid w:val="6855023B"/>
    <w:rsid w:val="7A852148"/>
    <w:rsid w:val="7BEB56E8"/>
    <w:rsid w:val="7CFD53D9"/>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cs="Times New Roman" w:eastAsiaTheme="minorHAnsi"/>
      <w:sz w:val="24"/>
      <w:szCs w:val="24"/>
      <w:lang w:val="sk-SK"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Segoe UI" w:hAnsi="Segoe UI" w:cs="Segoe UI"/>
      <w:sz w:val="18"/>
      <w:szCs w:val="18"/>
    </w:rPr>
  </w:style>
  <w:style w:type="character" w:styleId="5">
    <w:name w:val="annotation reference"/>
    <w:basedOn w:val="2"/>
    <w:semiHidden/>
    <w:unhideWhenUsed/>
    <w:qFormat/>
    <w:uiPriority w:val="99"/>
    <w:rPr>
      <w:sz w:val="16"/>
      <w:szCs w:val="16"/>
    </w:rPr>
  </w:style>
  <w:style w:type="paragraph" w:styleId="6">
    <w:name w:val="annotation text"/>
    <w:basedOn w:val="1"/>
    <w:link w:val="15"/>
    <w:semiHidden/>
    <w:unhideWhenUsed/>
    <w:qFormat/>
    <w:uiPriority w:val="99"/>
    <w:pPr>
      <w:spacing w:line="240" w:lineRule="auto"/>
    </w:pPr>
    <w:rPr>
      <w:sz w:val="20"/>
      <w:szCs w:val="20"/>
    </w:rPr>
  </w:style>
  <w:style w:type="paragraph" w:styleId="7">
    <w:name w:val="annotation subject"/>
    <w:basedOn w:val="6"/>
    <w:next w:val="6"/>
    <w:link w:val="16"/>
    <w:semiHidden/>
    <w:unhideWhenUsed/>
    <w:qFormat/>
    <w:uiPriority w:val="99"/>
    <w:rPr>
      <w:b/>
      <w:bCs/>
    </w:rPr>
  </w:style>
  <w:style w:type="paragraph" w:styleId="8">
    <w:name w:val="footer"/>
    <w:basedOn w:val="1"/>
    <w:link w:val="13"/>
    <w:unhideWhenUsed/>
    <w:qFormat/>
    <w:uiPriority w:val="99"/>
    <w:pPr>
      <w:tabs>
        <w:tab w:val="center" w:pos="4536"/>
        <w:tab w:val="right" w:pos="9072"/>
      </w:tabs>
      <w:spacing w:after="0" w:line="240" w:lineRule="auto"/>
    </w:pPr>
  </w:style>
  <w:style w:type="paragraph" w:styleId="9">
    <w:name w:val="header"/>
    <w:basedOn w:val="1"/>
    <w:link w:val="12"/>
    <w:unhideWhenUsed/>
    <w:qFormat/>
    <w:uiPriority w:val="99"/>
    <w:pPr>
      <w:tabs>
        <w:tab w:val="center" w:pos="4536"/>
        <w:tab w:val="right" w:pos="9072"/>
      </w:tabs>
      <w:spacing w:after="0" w:line="240" w:lineRule="auto"/>
    </w:pPr>
  </w:style>
  <w:style w:type="character" w:styleId="10">
    <w:name w:val="Hyperlink"/>
    <w:basedOn w:val="2"/>
    <w:semiHidden/>
    <w:unhideWhenUsed/>
    <w:qFormat/>
    <w:uiPriority w:val="99"/>
    <w:rPr>
      <w:color w:val="0000FF"/>
      <w:u w:val="single"/>
    </w:rPr>
  </w:style>
  <w:style w:type="paragraph" w:styleId="11">
    <w:name w:val="List Paragraph"/>
    <w:basedOn w:val="1"/>
    <w:qFormat/>
    <w:uiPriority w:val="34"/>
    <w:pPr>
      <w:ind w:left="720"/>
      <w:contextualSpacing/>
    </w:pPr>
  </w:style>
  <w:style w:type="character" w:customStyle="1" w:styleId="12">
    <w:name w:val="Hlavička Char"/>
    <w:basedOn w:val="2"/>
    <w:link w:val="9"/>
    <w:uiPriority w:val="99"/>
  </w:style>
  <w:style w:type="character" w:customStyle="1" w:styleId="13">
    <w:name w:val="Päta Char"/>
    <w:basedOn w:val="2"/>
    <w:link w:val="8"/>
    <w:qFormat/>
    <w:uiPriority w:val="99"/>
  </w:style>
  <w:style w:type="character" w:customStyle="1" w:styleId="14">
    <w:name w:val="Text bubliny Char"/>
    <w:basedOn w:val="2"/>
    <w:link w:val="4"/>
    <w:semiHidden/>
    <w:uiPriority w:val="99"/>
    <w:rPr>
      <w:rFonts w:ascii="Segoe UI" w:hAnsi="Segoe UI" w:cs="Segoe UI"/>
      <w:sz w:val="18"/>
      <w:szCs w:val="18"/>
    </w:rPr>
  </w:style>
  <w:style w:type="character" w:customStyle="1" w:styleId="15">
    <w:name w:val="Text komentára Char"/>
    <w:basedOn w:val="2"/>
    <w:link w:val="6"/>
    <w:semiHidden/>
    <w:uiPriority w:val="99"/>
    <w:rPr>
      <w:sz w:val="20"/>
      <w:szCs w:val="20"/>
    </w:rPr>
  </w:style>
  <w:style w:type="character" w:customStyle="1" w:styleId="16">
    <w:name w:val="Predmet komentára Char"/>
    <w:basedOn w:val="15"/>
    <w:link w:val="7"/>
    <w:semiHidden/>
    <w:uiPriority w:val="99"/>
    <w:rPr>
      <w:b/>
      <w:bCs/>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570</Words>
  <Characters>3563</Characters>
  <Lines>67</Lines>
  <Paragraphs>16</Paragraphs>
  <TotalTime>9</TotalTime>
  <ScaleCrop>false</ScaleCrop>
  <LinksUpToDate>false</LinksUpToDate>
  <CharactersWithSpaces>4130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2024-04-16T20:35:00Z</dcterms:created>
  <dc:creator>ASUS 2020</dc:creator>
  <cp:lastModifiedBy>Asus</cp:lastModifiedBy>
  <cp:lastPrinted>2020-12-17T09:22:00Z</cp:lastPrinted>
  <dcterms:modified xsi:type="dcterms:W3CDTF">2024-08-20T15:35:41Z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adf0f1d4662391daa5f068b1cc79c6536df3244a2f5d85b65c56ff407103a42c</vt:lpwstr>
  </property>
  <property fmtid="{D5CDD505-2E9C-101B-9397-08002B2CF9AE}" pid="3" name="KSOProductBuildVer">
    <vt:lpwstr>1033-12.2.0.17562</vt:lpwstr>
  </property>
  <property fmtid="{D5CDD505-2E9C-101B-9397-08002B2CF9AE}" pid="4" name="ICV">
    <vt:lpwstr>1BBC895EFE454A9E990F783CDFC18653_12</vt:lpwstr>
  </property>
</Properties>
</file>