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7E" w:rsidRPr="0031503F" w:rsidRDefault="00CE6B7E" w:rsidP="00CB3223">
      <w:pPr>
        <w:spacing w:after="0" w:line="240" w:lineRule="auto"/>
        <w:jc w:val="center"/>
        <w:rPr>
          <w:rFonts w:ascii="Times New Roman" w:hAnsi="Times New Roman" w:cs="Times New Roman"/>
          <w:b/>
          <w:sz w:val="20"/>
          <w:szCs w:val="20"/>
        </w:rPr>
      </w:pPr>
      <w:bookmarkStart w:id="0" w:name="_GoBack"/>
      <w:r w:rsidRPr="0031503F">
        <w:rPr>
          <w:rFonts w:ascii="Times New Roman" w:hAnsi="Times New Roman" w:cs="Times New Roman"/>
          <w:b/>
          <w:sz w:val="20"/>
          <w:szCs w:val="20"/>
        </w:rPr>
        <w:t>TABUĽKA ZHODY</w:t>
      </w:r>
    </w:p>
    <w:p w:rsidR="00CE6B7E" w:rsidRPr="0031503F" w:rsidRDefault="00CE6B7E" w:rsidP="00CB3223">
      <w:pPr>
        <w:spacing w:after="0" w:line="240" w:lineRule="auto"/>
        <w:jc w:val="center"/>
        <w:rPr>
          <w:rFonts w:ascii="Times New Roman" w:hAnsi="Times New Roman" w:cs="Times New Roman"/>
          <w:b/>
          <w:sz w:val="20"/>
          <w:szCs w:val="20"/>
        </w:rPr>
      </w:pPr>
      <w:r w:rsidRPr="0031503F">
        <w:rPr>
          <w:rFonts w:ascii="Times New Roman" w:hAnsi="Times New Roman" w:cs="Times New Roman"/>
          <w:b/>
          <w:sz w:val="20"/>
          <w:szCs w:val="20"/>
        </w:rPr>
        <w:t>návrhu právneho predpisu s právom Európskej únie</w:t>
      </w:r>
    </w:p>
    <w:p w:rsidR="00CE6B7E" w:rsidRPr="0031503F" w:rsidRDefault="00CE6B7E" w:rsidP="00CB3223">
      <w:pPr>
        <w:spacing w:after="0" w:line="240" w:lineRule="auto"/>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878"/>
        <w:gridCol w:w="2837"/>
        <w:gridCol w:w="828"/>
        <w:gridCol w:w="1015"/>
        <w:gridCol w:w="1667"/>
        <w:gridCol w:w="2051"/>
        <w:gridCol w:w="727"/>
        <w:gridCol w:w="1191"/>
        <w:gridCol w:w="1137"/>
        <w:gridCol w:w="1663"/>
      </w:tblGrid>
      <w:tr w:rsidR="00423B5D" w:rsidRPr="0031503F" w:rsidTr="000706E5">
        <w:trPr>
          <w:trHeight w:val="1427"/>
        </w:trPr>
        <w:tc>
          <w:tcPr>
            <w:tcW w:w="4543" w:type="dxa"/>
            <w:gridSpan w:val="3"/>
            <w:tcBorders>
              <w:top w:val="single" w:sz="4" w:space="0" w:color="auto"/>
              <w:left w:val="single" w:sz="4" w:space="0" w:color="auto"/>
              <w:bottom w:val="single" w:sz="4" w:space="0" w:color="auto"/>
              <w:right w:val="single" w:sz="4" w:space="0" w:color="auto"/>
            </w:tcBorders>
          </w:tcPr>
          <w:p w:rsidR="00253B21" w:rsidRPr="0031503F" w:rsidRDefault="00666E7F" w:rsidP="00CB3223">
            <w:pPr>
              <w:jc w:val="both"/>
              <w:rPr>
                <w:rFonts w:ascii="Times New Roman" w:hAnsi="Times New Roman" w:cs="Times New Roman"/>
                <w:b/>
                <w:sz w:val="20"/>
                <w:szCs w:val="20"/>
                <w:shd w:val="clear" w:color="auto" w:fill="FFFFFF"/>
              </w:rPr>
            </w:pPr>
            <w:r w:rsidRPr="0031503F">
              <w:rPr>
                <w:rFonts w:ascii="Times New Roman" w:hAnsi="Times New Roman" w:cs="Times New Roman"/>
                <w:b/>
                <w:sz w:val="20"/>
                <w:szCs w:val="20"/>
              </w:rPr>
              <w:t xml:space="preserve">Smernica </w:t>
            </w:r>
            <w:r w:rsidR="008E01FE" w:rsidRPr="0031503F">
              <w:rPr>
                <w:rFonts w:ascii="Times New Roman" w:hAnsi="Times New Roman" w:cs="Times New Roman"/>
                <w:b/>
                <w:sz w:val="20"/>
                <w:szCs w:val="20"/>
              </w:rPr>
              <w:t>Európskeho parlamentu a Rady (EÚ</w:t>
            </w:r>
            <w:r w:rsidRPr="0031503F">
              <w:rPr>
                <w:rFonts w:ascii="Times New Roman" w:hAnsi="Times New Roman" w:cs="Times New Roman"/>
                <w:b/>
                <w:sz w:val="20"/>
                <w:szCs w:val="20"/>
              </w:rPr>
              <w:t>) 2022/2381 zo dňa 23. novembra 2022 o zlepšení rodovej vyváženosti medzi riadiacimi pracovníkmi kótovaných spoločností a súvisiacich opatreniach</w:t>
            </w:r>
            <w:r w:rsidR="00726283" w:rsidRPr="0031503F">
              <w:rPr>
                <w:rFonts w:ascii="Times New Roman" w:hAnsi="Times New Roman" w:cs="Times New Roman"/>
                <w:b/>
                <w:sz w:val="20"/>
                <w:szCs w:val="20"/>
                <w:shd w:val="clear" w:color="auto" w:fill="FFFFFF"/>
              </w:rPr>
              <w:t xml:space="preserve"> </w:t>
            </w:r>
          </w:p>
          <w:p w:rsidR="00CE6B7E" w:rsidRPr="0031503F" w:rsidRDefault="008759E2" w:rsidP="00CB3223">
            <w:pPr>
              <w:jc w:val="both"/>
              <w:rPr>
                <w:rFonts w:ascii="Times New Roman" w:hAnsi="Times New Roman" w:cs="Times New Roman"/>
                <w:b/>
                <w:sz w:val="20"/>
                <w:szCs w:val="20"/>
              </w:rPr>
            </w:pPr>
            <w:r w:rsidRPr="0031503F">
              <w:rPr>
                <w:rFonts w:ascii="Times New Roman" w:hAnsi="Times New Roman" w:cs="Times New Roman"/>
                <w:b/>
                <w:sz w:val="20"/>
                <w:szCs w:val="20"/>
              </w:rPr>
              <w:t>(Ú. v. EÚ L 315, 7.12.2022)</w:t>
            </w:r>
          </w:p>
        </w:tc>
        <w:tc>
          <w:tcPr>
            <w:tcW w:w="9451" w:type="dxa"/>
            <w:gridSpan w:val="7"/>
            <w:tcBorders>
              <w:top w:val="single" w:sz="4" w:space="0" w:color="auto"/>
              <w:left w:val="single" w:sz="4" w:space="0" w:color="auto"/>
              <w:bottom w:val="single" w:sz="4" w:space="0" w:color="auto"/>
              <w:right w:val="single" w:sz="4" w:space="0" w:color="auto"/>
            </w:tcBorders>
          </w:tcPr>
          <w:p w:rsidR="00DE4FCA" w:rsidRPr="0031503F" w:rsidRDefault="007D7DC8" w:rsidP="00FA7BB0">
            <w:pPr>
              <w:pStyle w:val="Standard"/>
              <w:shd w:val="clear" w:color="auto" w:fill="FFFFFF" w:themeFill="background1"/>
              <w:spacing w:line="240" w:lineRule="auto"/>
              <w:jc w:val="both"/>
              <w:rPr>
                <w:rFonts w:ascii="Times New Roman" w:hAnsi="Times New Roman" w:cs="Times New Roman"/>
                <w:b/>
                <w:i/>
                <w:sz w:val="20"/>
                <w:szCs w:val="20"/>
              </w:rPr>
            </w:pPr>
            <w:r w:rsidRPr="0031503F">
              <w:rPr>
                <w:rFonts w:ascii="Times New Roman" w:hAnsi="Times New Roman" w:cs="Times New Roman"/>
                <w:b/>
                <w:sz w:val="20"/>
                <w:szCs w:val="20"/>
              </w:rPr>
              <w:t xml:space="preserve"> </w:t>
            </w:r>
            <w:r w:rsidR="00F572A8" w:rsidRPr="0031503F">
              <w:rPr>
                <w:rFonts w:ascii="Times New Roman" w:hAnsi="Times New Roman" w:cs="Times New Roman"/>
                <w:b/>
                <w:sz w:val="20"/>
                <w:szCs w:val="20"/>
              </w:rPr>
              <w:t>Návrh zákona o</w:t>
            </w:r>
            <w:r w:rsidR="00D74FD5" w:rsidRPr="0031503F">
              <w:rPr>
                <w:rFonts w:ascii="Times New Roman" w:hAnsi="Times New Roman" w:cs="Times New Roman"/>
                <w:b/>
                <w:sz w:val="20"/>
                <w:szCs w:val="20"/>
              </w:rPr>
              <w:t xml:space="preserve"> niektorých opatreniach s</w:t>
            </w:r>
            <w:r w:rsidR="00AE361E" w:rsidRPr="0031503F">
              <w:rPr>
                <w:rFonts w:ascii="Times New Roman" w:hAnsi="Times New Roman" w:cs="Times New Roman"/>
                <w:b/>
                <w:sz w:val="20"/>
                <w:szCs w:val="20"/>
              </w:rPr>
              <w:t>úvisiacich s riadením kótovanej spoločnosti</w:t>
            </w:r>
            <w:r w:rsidR="00D74FD5" w:rsidRPr="0031503F">
              <w:rPr>
                <w:rFonts w:ascii="Times New Roman" w:hAnsi="Times New Roman" w:cs="Times New Roman"/>
                <w:b/>
                <w:sz w:val="20"/>
                <w:szCs w:val="20"/>
              </w:rPr>
              <w:t xml:space="preserve"> (ďalej</w:t>
            </w:r>
            <w:r w:rsidR="001655E3" w:rsidRPr="0031503F">
              <w:rPr>
                <w:rFonts w:ascii="Times New Roman" w:hAnsi="Times New Roman" w:cs="Times New Roman"/>
                <w:b/>
                <w:sz w:val="20"/>
                <w:szCs w:val="20"/>
              </w:rPr>
              <w:t xml:space="preserve"> </w:t>
            </w:r>
            <w:r w:rsidR="00DE4FCA" w:rsidRPr="0031503F">
              <w:rPr>
                <w:rFonts w:ascii="Times New Roman" w:hAnsi="Times New Roman" w:cs="Times New Roman"/>
                <w:b/>
                <w:sz w:val="20"/>
                <w:szCs w:val="20"/>
              </w:rPr>
              <w:t xml:space="preserve">len „návrh </w:t>
            </w:r>
            <w:r w:rsidR="00F7130C" w:rsidRPr="0031503F">
              <w:rPr>
                <w:rFonts w:ascii="Times New Roman" w:hAnsi="Times New Roman" w:cs="Times New Roman"/>
                <w:b/>
                <w:sz w:val="20"/>
                <w:szCs w:val="20"/>
              </w:rPr>
              <w:t xml:space="preserve"> </w:t>
            </w:r>
            <w:r w:rsidR="007D2F5A" w:rsidRPr="0031503F">
              <w:rPr>
                <w:rFonts w:ascii="Times New Roman" w:hAnsi="Times New Roman" w:cs="Times New Roman"/>
                <w:b/>
                <w:sz w:val="20"/>
                <w:szCs w:val="20"/>
              </w:rPr>
              <w:t xml:space="preserve">  </w:t>
            </w:r>
            <w:r w:rsidR="00DE4FCA" w:rsidRPr="0031503F">
              <w:rPr>
                <w:rFonts w:ascii="Times New Roman" w:hAnsi="Times New Roman" w:cs="Times New Roman"/>
                <w:b/>
                <w:sz w:val="20"/>
                <w:szCs w:val="20"/>
              </w:rPr>
              <w:t>zákona“)</w:t>
            </w:r>
          </w:p>
          <w:tbl>
            <w:tblPr>
              <w:tblW w:w="0" w:type="auto"/>
              <w:tblBorders>
                <w:top w:val="nil"/>
                <w:left w:val="nil"/>
                <w:bottom w:val="nil"/>
                <w:right w:val="nil"/>
              </w:tblBorders>
              <w:tblLayout w:type="fixed"/>
              <w:tblLook w:val="0000" w:firstRow="0" w:lastRow="0" w:firstColumn="0" w:lastColumn="0" w:noHBand="0" w:noVBand="0"/>
            </w:tblPr>
            <w:tblGrid>
              <w:gridCol w:w="9235"/>
            </w:tblGrid>
            <w:tr w:rsidR="00DE4FCA" w:rsidRPr="0031503F" w:rsidTr="000706E5">
              <w:trPr>
                <w:trHeight w:val="204"/>
              </w:trPr>
              <w:tc>
                <w:tcPr>
                  <w:tcW w:w="9235" w:type="dxa"/>
                </w:tcPr>
                <w:p w:rsidR="00DE4FCA" w:rsidRPr="0031503F" w:rsidRDefault="00DE4FCA" w:rsidP="00FA7BB0">
                  <w:pPr>
                    <w:pStyle w:val="Odsekzoznamu"/>
                    <w:spacing w:after="0" w:line="240" w:lineRule="auto"/>
                    <w:ind w:left="0"/>
                    <w:jc w:val="both"/>
                    <w:rPr>
                      <w:rFonts w:ascii="Times New Roman" w:hAnsi="Times New Roman" w:cs="Times New Roman"/>
                      <w:b/>
                      <w:bCs/>
                      <w:sz w:val="20"/>
                      <w:szCs w:val="20"/>
                    </w:rPr>
                  </w:pPr>
                  <w:r w:rsidRPr="0031503F">
                    <w:rPr>
                      <w:rFonts w:ascii="Times New Roman" w:hAnsi="Times New Roman" w:cs="Times New Roman"/>
                      <w:b/>
                      <w:bCs/>
                      <w:sz w:val="20"/>
                      <w:szCs w:val="20"/>
                    </w:rPr>
                    <w:t>Zákon č. 575/2001 Z. z. o organizácii činnosti vlády a organizácii ústrednej štátnej správy a o zmene a doplnení niektorých zákonov v znení neskorších predpisov (ďalej len „zákon č. 575/2001 Z z.“)</w:t>
                  </w:r>
                </w:p>
                <w:p w:rsidR="00DE4FCA" w:rsidRPr="0031503F" w:rsidRDefault="00F7130C" w:rsidP="00FA7BB0">
                  <w:pPr>
                    <w:pStyle w:val="Odsekzoznamu"/>
                    <w:spacing w:after="0" w:line="240" w:lineRule="auto"/>
                    <w:ind w:left="0"/>
                    <w:jc w:val="both"/>
                    <w:rPr>
                      <w:rFonts w:ascii="Times New Roman" w:hAnsi="Times New Roman" w:cs="Times New Roman"/>
                      <w:b/>
                      <w:bCs/>
                      <w:sz w:val="20"/>
                      <w:szCs w:val="20"/>
                    </w:rPr>
                  </w:pPr>
                  <w:r w:rsidRPr="0031503F">
                    <w:rPr>
                      <w:rFonts w:ascii="Times New Roman" w:hAnsi="Times New Roman" w:cs="Times New Roman"/>
                      <w:b/>
                      <w:bCs/>
                      <w:sz w:val="20"/>
                      <w:szCs w:val="20"/>
                    </w:rPr>
                    <w:t>Zákon č. 343/2015 Z. z. o verejnom obstarávaní a o zmene a doplnení niektorých zákonov (ďalej len „zákon č. 343/2015 Z. z.“)</w:t>
                  </w:r>
                </w:p>
                <w:p w:rsidR="00F869A6" w:rsidRPr="0031503F" w:rsidRDefault="00F869A6" w:rsidP="00FA7BB0">
                  <w:pPr>
                    <w:pStyle w:val="Odsekzoznamu"/>
                    <w:spacing w:after="0" w:line="240" w:lineRule="auto"/>
                    <w:ind w:left="0"/>
                    <w:jc w:val="both"/>
                    <w:rPr>
                      <w:rFonts w:ascii="Times New Roman" w:hAnsi="Times New Roman" w:cs="Times New Roman"/>
                      <w:b/>
                      <w:bCs/>
                      <w:sz w:val="20"/>
                      <w:szCs w:val="20"/>
                    </w:rPr>
                  </w:pPr>
                  <w:r w:rsidRPr="0031503F">
                    <w:rPr>
                      <w:rFonts w:ascii="Times New Roman" w:hAnsi="Times New Roman" w:cs="Times New Roman"/>
                      <w:b/>
                      <w:bCs/>
                      <w:sz w:val="20"/>
                      <w:szCs w:val="20"/>
                    </w:rPr>
                    <w:t>Zákon č. 400/2015 Z. z. o</w:t>
                  </w:r>
                  <w:r w:rsidRPr="0031503F">
                    <w:rPr>
                      <w:rFonts w:ascii="Times New Roman" w:hAnsi="Times New Roman" w:cs="Times New Roman"/>
                      <w:b/>
                      <w:bCs/>
                      <w:sz w:val="20"/>
                      <w:szCs w:val="20"/>
                      <w:shd w:val="clear" w:color="auto" w:fill="FFFFFF"/>
                    </w:rPr>
                    <w:t xml:space="preserve"> tvorbe právnych predpisov a o Zbierke zákonov Slovenskej republiky a o zmene a doplnení niektorých zákonov (ďalej len „zákon č. 400/2015 Z. z.“)</w:t>
                  </w:r>
                </w:p>
                <w:p w:rsidR="00DE4FCA" w:rsidRPr="0031503F" w:rsidRDefault="00DE4FCA" w:rsidP="00FA7BB0">
                  <w:pPr>
                    <w:pStyle w:val="Default"/>
                    <w:jc w:val="both"/>
                    <w:rPr>
                      <w:color w:val="auto"/>
                      <w:sz w:val="20"/>
                      <w:szCs w:val="20"/>
                    </w:rPr>
                  </w:pPr>
                </w:p>
              </w:tc>
            </w:tr>
          </w:tbl>
          <w:p w:rsidR="001941F5" w:rsidRPr="0031503F" w:rsidRDefault="001941F5" w:rsidP="00D74FD5">
            <w:pPr>
              <w:pStyle w:val="Nadpis4"/>
              <w:jc w:val="left"/>
              <w:outlineLvl w:val="3"/>
              <w:rPr>
                <w:sz w:val="20"/>
                <w:szCs w:val="20"/>
              </w:rPr>
            </w:pPr>
          </w:p>
        </w:tc>
      </w:tr>
      <w:tr w:rsidR="000706E5" w:rsidRPr="0031503F" w:rsidTr="00E50929">
        <w:tc>
          <w:tcPr>
            <w:tcW w:w="878"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1</w:t>
            </w:r>
          </w:p>
        </w:tc>
        <w:tc>
          <w:tcPr>
            <w:tcW w:w="2837" w:type="dxa"/>
            <w:tcBorders>
              <w:top w:val="single" w:sz="4" w:space="0" w:color="auto"/>
              <w:bottom w:val="single" w:sz="4" w:space="0" w:color="auto"/>
            </w:tcBorders>
          </w:tcPr>
          <w:p w:rsidR="00CE6B7E" w:rsidRPr="0031503F" w:rsidRDefault="00CE6B7E" w:rsidP="001C143D">
            <w:pPr>
              <w:jc w:val="both"/>
              <w:rPr>
                <w:rFonts w:ascii="Times New Roman" w:hAnsi="Times New Roman" w:cs="Times New Roman"/>
                <w:sz w:val="20"/>
                <w:szCs w:val="20"/>
              </w:rPr>
            </w:pPr>
            <w:r w:rsidRPr="0031503F">
              <w:rPr>
                <w:rFonts w:ascii="Times New Roman" w:hAnsi="Times New Roman" w:cs="Times New Roman"/>
                <w:sz w:val="20"/>
                <w:szCs w:val="20"/>
              </w:rPr>
              <w:t>2</w:t>
            </w:r>
          </w:p>
        </w:tc>
        <w:tc>
          <w:tcPr>
            <w:tcW w:w="828" w:type="dxa"/>
            <w:tcBorders>
              <w:top w:val="single" w:sz="4" w:space="0" w:color="auto"/>
              <w:bottom w:val="single" w:sz="4" w:space="0" w:color="auto"/>
            </w:tcBorders>
          </w:tcPr>
          <w:p w:rsidR="00CE6B7E" w:rsidRPr="0031503F" w:rsidRDefault="00CE6B7E" w:rsidP="007B580A">
            <w:pPr>
              <w:jc w:val="center"/>
              <w:rPr>
                <w:rFonts w:ascii="Times New Roman" w:hAnsi="Times New Roman" w:cs="Times New Roman"/>
                <w:sz w:val="20"/>
                <w:szCs w:val="20"/>
              </w:rPr>
            </w:pPr>
            <w:r w:rsidRPr="0031503F">
              <w:rPr>
                <w:rFonts w:ascii="Times New Roman" w:hAnsi="Times New Roman" w:cs="Times New Roman"/>
                <w:sz w:val="20"/>
                <w:szCs w:val="20"/>
              </w:rPr>
              <w:t>3</w:t>
            </w:r>
          </w:p>
        </w:tc>
        <w:tc>
          <w:tcPr>
            <w:tcW w:w="1015" w:type="dxa"/>
            <w:tcBorders>
              <w:top w:val="single" w:sz="4" w:space="0" w:color="auto"/>
              <w:bottom w:val="single" w:sz="4" w:space="0" w:color="auto"/>
            </w:tcBorders>
          </w:tcPr>
          <w:p w:rsidR="00CE6B7E" w:rsidRPr="0031503F" w:rsidRDefault="00CE6B7E" w:rsidP="007B580A">
            <w:pPr>
              <w:jc w:val="center"/>
              <w:rPr>
                <w:rFonts w:ascii="Times New Roman" w:hAnsi="Times New Roman" w:cs="Times New Roman"/>
                <w:sz w:val="20"/>
                <w:szCs w:val="20"/>
              </w:rPr>
            </w:pPr>
            <w:r w:rsidRPr="0031503F">
              <w:rPr>
                <w:rFonts w:ascii="Times New Roman" w:hAnsi="Times New Roman" w:cs="Times New Roman"/>
                <w:sz w:val="20"/>
                <w:szCs w:val="20"/>
              </w:rPr>
              <w:t>4</w:t>
            </w:r>
          </w:p>
        </w:tc>
        <w:tc>
          <w:tcPr>
            <w:tcW w:w="1667" w:type="dxa"/>
            <w:tcBorders>
              <w:top w:val="single" w:sz="4" w:space="0" w:color="auto"/>
              <w:bottom w:val="single" w:sz="4" w:space="0" w:color="auto"/>
            </w:tcBorders>
          </w:tcPr>
          <w:p w:rsidR="00CE6B7E" w:rsidRPr="0031503F" w:rsidRDefault="00CE6B7E" w:rsidP="001C143D">
            <w:pPr>
              <w:jc w:val="both"/>
              <w:rPr>
                <w:rFonts w:ascii="Times New Roman" w:hAnsi="Times New Roman" w:cs="Times New Roman"/>
                <w:sz w:val="20"/>
                <w:szCs w:val="20"/>
              </w:rPr>
            </w:pPr>
            <w:r w:rsidRPr="0031503F">
              <w:rPr>
                <w:rFonts w:ascii="Times New Roman" w:hAnsi="Times New Roman" w:cs="Times New Roman"/>
                <w:sz w:val="20"/>
                <w:szCs w:val="20"/>
              </w:rPr>
              <w:t>5</w:t>
            </w:r>
          </w:p>
        </w:tc>
        <w:tc>
          <w:tcPr>
            <w:tcW w:w="2051"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6</w:t>
            </w:r>
          </w:p>
        </w:tc>
        <w:tc>
          <w:tcPr>
            <w:tcW w:w="727"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7</w:t>
            </w:r>
          </w:p>
        </w:tc>
        <w:tc>
          <w:tcPr>
            <w:tcW w:w="1191"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8</w:t>
            </w:r>
          </w:p>
        </w:tc>
        <w:tc>
          <w:tcPr>
            <w:tcW w:w="1137"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9</w:t>
            </w:r>
          </w:p>
        </w:tc>
        <w:tc>
          <w:tcPr>
            <w:tcW w:w="1663"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10</w:t>
            </w:r>
          </w:p>
        </w:tc>
      </w:tr>
      <w:tr w:rsidR="000706E5" w:rsidRPr="0031503F" w:rsidTr="00E50929">
        <w:tc>
          <w:tcPr>
            <w:tcW w:w="878" w:type="dxa"/>
            <w:tcBorders>
              <w:top w:val="single" w:sz="4" w:space="0" w:color="auto"/>
              <w:bottom w:val="single" w:sz="4" w:space="0" w:color="auto"/>
            </w:tcBorders>
          </w:tcPr>
          <w:p w:rsidR="00CE6B7E" w:rsidRPr="0031503F" w:rsidRDefault="00CE6B7E" w:rsidP="00CB3223">
            <w:pPr>
              <w:pStyle w:val="Normlny0"/>
              <w:jc w:val="center"/>
            </w:pPr>
            <w:r w:rsidRPr="0031503F">
              <w:t>Článok</w:t>
            </w:r>
          </w:p>
          <w:p w:rsidR="00CE6B7E" w:rsidRPr="0031503F" w:rsidRDefault="00CE6B7E" w:rsidP="00CB3223">
            <w:pPr>
              <w:pStyle w:val="Normlny0"/>
              <w:jc w:val="center"/>
            </w:pPr>
          </w:p>
        </w:tc>
        <w:tc>
          <w:tcPr>
            <w:tcW w:w="2837" w:type="dxa"/>
            <w:tcBorders>
              <w:top w:val="single" w:sz="4" w:space="0" w:color="auto"/>
              <w:bottom w:val="single" w:sz="4" w:space="0" w:color="auto"/>
            </w:tcBorders>
          </w:tcPr>
          <w:p w:rsidR="00CE6B7E" w:rsidRPr="0031503F" w:rsidRDefault="00CE6B7E" w:rsidP="001C143D">
            <w:pPr>
              <w:pStyle w:val="Normlny0"/>
              <w:jc w:val="both"/>
            </w:pPr>
            <w:r w:rsidRPr="0031503F">
              <w:t>Text</w:t>
            </w:r>
          </w:p>
        </w:tc>
        <w:tc>
          <w:tcPr>
            <w:tcW w:w="828" w:type="dxa"/>
            <w:tcBorders>
              <w:top w:val="single" w:sz="4" w:space="0" w:color="auto"/>
              <w:bottom w:val="single" w:sz="4" w:space="0" w:color="auto"/>
            </w:tcBorders>
          </w:tcPr>
          <w:p w:rsidR="00CE6B7E" w:rsidRPr="0031503F" w:rsidRDefault="00CE6B7E" w:rsidP="007B580A">
            <w:pPr>
              <w:pStyle w:val="Normlny0"/>
              <w:jc w:val="center"/>
            </w:pPr>
            <w:r w:rsidRPr="0031503F">
              <w:t>Spôsob transp.</w:t>
            </w:r>
          </w:p>
        </w:tc>
        <w:tc>
          <w:tcPr>
            <w:tcW w:w="1015" w:type="dxa"/>
            <w:tcBorders>
              <w:top w:val="single" w:sz="4" w:space="0" w:color="auto"/>
              <w:bottom w:val="single" w:sz="4" w:space="0" w:color="auto"/>
            </w:tcBorders>
          </w:tcPr>
          <w:p w:rsidR="00CE6B7E" w:rsidRPr="0031503F" w:rsidRDefault="00CE6B7E" w:rsidP="007B580A">
            <w:pPr>
              <w:pStyle w:val="Normlny0"/>
              <w:jc w:val="center"/>
            </w:pPr>
            <w:r w:rsidRPr="0031503F">
              <w:t>Číslo</w:t>
            </w:r>
          </w:p>
        </w:tc>
        <w:tc>
          <w:tcPr>
            <w:tcW w:w="1667" w:type="dxa"/>
            <w:tcBorders>
              <w:top w:val="single" w:sz="4" w:space="0" w:color="auto"/>
              <w:bottom w:val="single" w:sz="4" w:space="0" w:color="auto"/>
            </w:tcBorders>
          </w:tcPr>
          <w:p w:rsidR="00CE6B7E" w:rsidRPr="0031503F" w:rsidRDefault="00CE6B7E" w:rsidP="001C143D">
            <w:pPr>
              <w:pStyle w:val="Normlny0"/>
              <w:jc w:val="center"/>
            </w:pPr>
            <w:r w:rsidRPr="0031503F">
              <w:t>Článok</w:t>
            </w:r>
          </w:p>
        </w:tc>
        <w:tc>
          <w:tcPr>
            <w:tcW w:w="2051" w:type="dxa"/>
            <w:tcBorders>
              <w:top w:val="single" w:sz="4" w:space="0" w:color="auto"/>
              <w:bottom w:val="single" w:sz="4" w:space="0" w:color="auto"/>
            </w:tcBorders>
          </w:tcPr>
          <w:p w:rsidR="00CE6B7E" w:rsidRPr="0031503F" w:rsidRDefault="00CE6B7E" w:rsidP="00CB3223">
            <w:pPr>
              <w:pStyle w:val="Normlny0"/>
              <w:jc w:val="center"/>
            </w:pPr>
            <w:r w:rsidRPr="0031503F">
              <w:t>Text</w:t>
            </w:r>
          </w:p>
        </w:tc>
        <w:tc>
          <w:tcPr>
            <w:tcW w:w="727" w:type="dxa"/>
            <w:tcBorders>
              <w:top w:val="single" w:sz="4" w:space="0" w:color="auto"/>
              <w:bottom w:val="single" w:sz="4" w:space="0" w:color="auto"/>
            </w:tcBorders>
          </w:tcPr>
          <w:p w:rsidR="00CE6B7E" w:rsidRPr="0031503F" w:rsidRDefault="00CE6B7E" w:rsidP="00CB3223">
            <w:pPr>
              <w:pStyle w:val="Normlny0"/>
              <w:jc w:val="center"/>
            </w:pPr>
            <w:r w:rsidRPr="0031503F">
              <w:t>Zhoda</w:t>
            </w:r>
          </w:p>
        </w:tc>
        <w:tc>
          <w:tcPr>
            <w:tcW w:w="1191" w:type="dxa"/>
            <w:tcBorders>
              <w:top w:val="single" w:sz="4" w:space="0" w:color="auto"/>
              <w:bottom w:val="single" w:sz="4" w:space="0" w:color="auto"/>
            </w:tcBorders>
          </w:tcPr>
          <w:p w:rsidR="00CE6B7E" w:rsidRPr="0031503F" w:rsidRDefault="00CE6B7E" w:rsidP="00CB3223">
            <w:pPr>
              <w:pStyle w:val="Normlny0"/>
              <w:jc w:val="center"/>
            </w:pPr>
            <w:r w:rsidRPr="0031503F">
              <w:t>Poznámky</w:t>
            </w:r>
          </w:p>
          <w:p w:rsidR="00CE6B7E" w:rsidRPr="0031503F" w:rsidRDefault="00CE6B7E" w:rsidP="00CB3223">
            <w:pPr>
              <w:pStyle w:val="Normlny0"/>
              <w:jc w:val="center"/>
            </w:pPr>
          </w:p>
        </w:tc>
        <w:tc>
          <w:tcPr>
            <w:tcW w:w="1137"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Identifikácia goldplatingu</w:t>
            </w:r>
          </w:p>
        </w:tc>
        <w:tc>
          <w:tcPr>
            <w:tcW w:w="1663"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r w:rsidRPr="0031503F">
              <w:rPr>
                <w:rFonts w:ascii="Times New Roman" w:hAnsi="Times New Roman" w:cs="Times New Roman"/>
                <w:sz w:val="20"/>
                <w:szCs w:val="20"/>
              </w:rPr>
              <w:t>Identifikácia oblasti gold- platingu a  vyjadrenie k opodstatnenosti goldplatingu*</w:t>
            </w:r>
          </w:p>
        </w:tc>
      </w:tr>
      <w:tr w:rsidR="000706E5" w:rsidRPr="0031503F" w:rsidTr="00E50929">
        <w:tc>
          <w:tcPr>
            <w:tcW w:w="878" w:type="dxa"/>
            <w:tcBorders>
              <w:top w:val="single" w:sz="4" w:space="0" w:color="auto"/>
              <w:bottom w:val="single" w:sz="4" w:space="0" w:color="auto"/>
            </w:tcBorders>
          </w:tcPr>
          <w:p w:rsidR="003D1570" w:rsidRPr="0031503F" w:rsidRDefault="003D1570"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1</w:t>
            </w:r>
          </w:p>
        </w:tc>
        <w:tc>
          <w:tcPr>
            <w:tcW w:w="2837" w:type="dxa"/>
            <w:tcBorders>
              <w:top w:val="single" w:sz="4" w:space="0" w:color="auto"/>
              <w:bottom w:val="single" w:sz="4" w:space="0" w:color="auto"/>
            </w:tcBorders>
          </w:tcPr>
          <w:p w:rsidR="003D1570" w:rsidRPr="0031503F" w:rsidRDefault="003D1570" w:rsidP="001C143D">
            <w:pPr>
              <w:adjustRightInd w:val="0"/>
              <w:jc w:val="both"/>
              <w:rPr>
                <w:rFonts w:ascii="Times New Roman" w:hAnsi="Times New Roman" w:cs="Times New Roman"/>
                <w:b/>
                <w:sz w:val="20"/>
                <w:szCs w:val="20"/>
              </w:rPr>
            </w:pPr>
            <w:r w:rsidRPr="0031503F">
              <w:rPr>
                <w:rFonts w:ascii="Times New Roman" w:hAnsi="Times New Roman" w:cs="Times New Roman"/>
                <w:b/>
                <w:sz w:val="20"/>
                <w:szCs w:val="20"/>
              </w:rPr>
              <w:t>Účel</w:t>
            </w:r>
          </w:p>
        </w:tc>
        <w:tc>
          <w:tcPr>
            <w:tcW w:w="828" w:type="dxa"/>
            <w:tcBorders>
              <w:top w:val="single" w:sz="4" w:space="0" w:color="auto"/>
              <w:bottom w:val="single" w:sz="4" w:space="0" w:color="auto"/>
            </w:tcBorders>
          </w:tcPr>
          <w:p w:rsidR="003D1570" w:rsidRPr="0031503F" w:rsidRDefault="003D1570"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3D1570" w:rsidRPr="0031503F" w:rsidRDefault="003D1570"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3D1570" w:rsidRPr="0031503F" w:rsidRDefault="00F55BF4" w:rsidP="001C143D">
            <w:pPr>
              <w:pStyle w:val="Normlny0"/>
              <w:jc w:val="center"/>
              <w:rPr>
                <w:b/>
              </w:rPr>
            </w:pPr>
            <w:r w:rsidRPr="0031503F">
              <w:rPr>
                <w:b/>
              </w:rPr>
              <w:t>§ 1</w:t>
            </w:r>
          </w:p>
        </w:tc>
        <w:tc>
          <w:tcPr>
            <w:tcW w:w="2051" w:type="dxa"/>
            <w:tcBorders>
              <w:top w:val="single" w:sz="4" w:space="0" w:color="auto"/>
              <w:bottom w:val="single" w:sz="4" w:space="0" w:color="auto"/>
            </w:tcBorders>
          </w:tcPr>
          <w:p w:rsidR="003D1570" w:rsidRPr="0031503F" w:rsidRDefault="003D1570" w:rsidP="00CB3223">
            <w:pPr>
              <w:jc w:val="both"/>
              <w:rPr>
                <w:rFonts w:ascii="Times New Roman" w:hAnsi="Times New Roman" w:cs="Times New Roman"/>
                <w:b/>
                <w:sz w:val="20"/>
                <w:szCs w:val="20"/>
              </w:rPr>
            </w:pPr>
            <w:r w:rsidRPr="0031503F">
              <w:rPr>
                <w:rFonts w:ascii="Times New Roman" w:hAnsi="Times New Roman" w:cs="Times New Roman"/>
                <w:b/>
                <w:sz w:val="20"/>
                <w:szCs w:val="20"/>
              </w:rPr>
              <w:t xml:space="preserve">Predmet zákona </w:t>
            </w:r>
          </w:p>
        </w:tc>
        <w:tc>
          <w:tcPr>
            <w:tcW w:w="727" w:type="dxa"/>
            <w:tcBorders>
              <w:top w:val="single" w:sz="4" w:space="0" w:color="auto"/>
              <w:bottom w:val="single" w:sz="4" w:space="0" w:color="auto"/>
            </w:tcBorders>
          </w:tcPr>
          <w:p w:rsidR="003D1570" w:rsidRPr="0031503F" w:rsidRDefault="003D1570"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3D1570" w:rsidRPr="0031503F" w:rsidRDefault="003D1570"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3D1570" w:rsidRPr="0031503F" w:rsidRDefault="003D1570"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3D1570" w:rsidRPr="0031503F" w:rsidRDefault="003D1570" w:rsidP="00CB3223">
            <w:pPr>
              <w:jc w:val="center"/>
              <w:rPr>
                <w:rFonts w:ascii="Times New Roman" w:hAnsi="Times New Roman" w:cs="Times New Roman"/>
                <w:sz w:val="20"/>
                <w:szCs w:val="20"/>
              </w:rPr>
            </w:pPr>
          </w:p>
        </w:tc>
      </w:tr>
      <w:tr w:rsidR="000706E5" w:rsidRPr="0031503F" w:rsidTr="00E50929">
        <w:trPr>
          <w:trHeight w:val="127"/>
        </w:trPr>
        <w:tc>
          <w:tcPr>
            <w:tcW w:w="878" w:type="dxa"/>
            <w:tcBorders>
              <w:top w:val="single" w:sz="4" w:space="0" w:color="auto"/>
              <w:bottom w:val="single" w:sz="4" w:space="0" w:color="auto"/>
            </w:tcBorders>
          </w:tcPr>
          <w:p w:rsidR="00CE6B7E" w:rsidRPr="0031503F" w:rsidRDefault="00D71136" w:rsidP="00CB3223">
            <w:pPr>
              <w:rPr>
                <w:rFonts w:ascii="Times New Roman" w:hAnsi="Times New Roman" w:cs="Times New Roman"/>
                <w:b/>
                <w:bCs/>
                <w:sz w:val="20"/>
                <w:szCs w:val="20"/>
              </w:rPr>
            </w:pPr>
            <w:r w:rsidRPr="0031503F">
              <w:rPr>
                <w:rFonts w:ascii="Times New Roman" w:hAnsi="Times New Roman" w:cs="Times New Roman"/>
                <w:b/>
                <w:bCs/>
                <w:sz w:val="20"/>
                <w:szCs w:val="20"/>
              </w:rPr>
              <w:t>Č: 1</w:t>
            </w:r>
          </w:p>
          <w:p w:rsidR="00CE6B7E" w:rsidRPr="0031503F" w:rsidRDefault="00CE6B7E" w:rsidP="00CB3223">
            <w:pPr>
              <w:rPr>
                <w:rFonts w:ascii="Times New Roman" w:hAnsi="Times New Roman" w:cs="Times New Roman"/>
                <w:b/>
                <w:bCs/>
                <w:sz w:val="20"/>
                <w:szCs w:val="20"/>
              </w:rPr>
            </w:pPr>
          </w:p>
          <w:p w:rsidR="00CE6B7E" w:rsidRPr="0031503F" w:rsidRDefault="00CE6B7E" w:rsidP="00CB3223">
            <w:pPr>
              <w:rPr>
                <w:rFonts w:ascii="Times New Roman" w:hAnsi="Times New Roman" w:cs="Times New Roman"/>
                <w:b/>
                <w:bCs/>
                <w:sz w:val="20"/>
                <w:szCs w:val="20"/>
              </w:rPr>
            </w:pPr>
          </w:p>
        </w:tc>
        <w:tc>
          <w:tcPr>
            <w:tcW w:w="2837" w:type="dxa"/>
            <w:tcBorders>
              <w:top w:val="single" w:sz="4" w:space="0" w:color="auto"/>
              <w:bottom w:val="single" w:sz="4" w:space="0" w:color="auto"/>
            </w:tcBorders>
          </w:tcPr>
          <w:p w:rsidR="00CE6B7E" w:rsidRPr="0031503F" w:rsidRDefault="000B2935"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Cieľom tejto smernice je dosiahnuť vyváženejšie zastúpenie žien a mužov medzi riadiacimi pracovníkmi kótovaných spoločností tým, že sa zavádzajú účinné opatrenia, ktoré sa zameriavajú na urýchlenie pokroku v oblasti rodovej vyváženosti, pričom sa kótovaným spoločnostiam poskytuje dostatočný čas na vykonanie opatrení potrebných na tento účel.</w:t>
            </w:r>
          </w:p>
          <w:p w:rsidR="00643B09" w:rsidRPr="0031503F" w:rsidRDefault="00643B09" w:rsidP="001C143D">
            <w:pPr>
              <w:shd w:val="clear" w:color="auto" w:fill="FFFFFF"/>
              <w:jc w:val="both"/>
              <w:rPr>
                <w:rFonts w:ascii="Times New Roman" w:eastAsia="Times New Roman" w:hAnsi="Times New Roman" w:cs="Times New Roman"/>
                <w:color w:val="333333"/>
                <w:sz w:val="20"/>
                <w:szCs w:val="20"/>
                <w:lang w:eastAsia="sk-SK"/>
              </w:rPr>
            </w:pPr>
          </w:p>
          <w:p w:rsidR="00643B09" w:rsidRPr="0031503F" w:rsidRDefault="00643B09" w:rsidP="001C143D">
            <w:pPr>
              <w:shd w:val="clear" w:color="auto" w:fill="FFFFFF"/>
              <w:jc w:val="both"/>
              <w:rPr>
                <w:rFonts w:ascii="Times New Roman" w:eastAsia="Times New Roman" w:hAnsi="Times New Roman" w:cs="Times New Roman"/>
                <w:color w:val="333333"/>
                <w:sz w:val="20"/>
                <w:szCs w:val="20"/>
                <w:lang w:eastAsia="sk-SK"/>
              </w:rPr>
            </w:pPr>
          </w:p>
          <w:p w:rsidR="001E29CC" w:rsidRPr="0031503F" w:rsidRDefault="001E29CC" w:rsidP="001C143D">
            <w:pPr>
              <w:shd w:val="clear" w:color="auto" w:fill="FFFFFF"/>
              <w:jc w:val="both"/>
              <w:rPr>
                <w:rFonts w:ascii="Times New Roman" w:eastAsia="Times New Roman" w:hAnsi="Times New Roman" w:cs="Times New Roman"/>
                <w:color w:val="333333"/>
                <w:sz w:val="20"/>
                <w:szCs w:val="20"/>
                <w:lang w:eastAsia="sk-SK"/>
              </w:rPr>
            </w:pPr>
          </w:p>
          <w:p w:rsidR="001E29CC" w:rsidRPr="0031503F" w:rsidRDefault="001E29CC" w:rsidP="001C143D">
            <w:pPr>
              <w:jc w:val="both"/>
              <w:rPr>
                <w:rFonts w:ascii="Times New Roman" w:eastAsia="Times New Roman" w:hAnsi="Times New Roman" w:cs="Times New Roman"/>
                <w:sz w:val="20"/>
                <w:szCs w:val="20"/>
                <w:lang w:eastAsia="sk-SK"/>
              </w:rPr>
            </w:pPr>
          </w:p>
          <w:p w:rsidR="001E29CC" w:rsidRPr="0031503F" w:rsidRDefault="001E29CC" w:rsidP="001C143D">
            <w:pPr>
              <w:jc w:val="both"/>
              <w:rPr>
                <w:rFonts w:ascii="Times New Roman" w:eastAsia="Times New Roman" w:hAnsi="Times New Roman" w:cs="Times New Roman"/>
                <w:sz w:val="20"/>
                <w:szCs w:val="20"/>
                <w:lang w:eastAsia="sk-SK"/>
              </w:rPr>
            </w:pPr>
          </w:p>
          <w:p w:rsidR="00643B09" w:rsidRPr="0031503F" w:rsidRDefault="00643B09" w:rsidP="001C143D">
            <w:pPr>
              <w:jc w:val="both"/>
              <w:rPr>
                <w:rFonts w:ascii="Times New Roman" w:eastAsia="Times New Roman" w:hAnsi="Times New Roman" w:cs="Times New Roman"/>
                <w:sz w:val="20"/>
                <w:szCs w:val="20"/>
                <w:lang w:eastAsia="sk-SK"/>
              </w:rPr>
            </w:pPr>
          </w:p>
        </w:tc>
        <w:tc>
          <w:tcPr>
            <w:tcW w:w="828" w:type="dxa"/>
            <w:tcBorders>
              <w:top w:val="single" w:sz="4" w:space="0" w:color="auto"/>
              <w:bottom w:val="single" w:sz="4" w:space="0" w:color="auto"/>
            </w:tcBorders>
          </w:tcPr>
          <w:p w:rsidR="00CE6B7E" w:rsidRPr="0031503F" w:rsidRDefault="00A42A64"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p w:rsidR="00FF54D3" w:rsidRPr="0031503F" w:rsidRDefault="00FF54D3"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3F74B8" w:rsidRPr="0031503F" w:rsidRDefault="003D1570" w:rsidP="007B580A">
            <w:pPr>
              <w:jc w:val="center"/>
              <w:rPr>
                <w:rFonts w:ascii="Times New Roman" w:hAnsi="Times New Roman" w:cs="Times New Roman"/>
                <w:sz w:val="20"/>
                <w:szCs w:val="20"/>
              </w:rPr>
            </w:pPr>
            <w:r w:rsidRPr="0031503F">
              <w:rPr>
                <w:rFonts w:ascii="Times New Roman" w:hAnsi="Times New Roman" w:cs="Times New Roman"/>
                <w:sz w:val="20"/>
                <w:szCs w:val="20"/>
                <w:shd w:val="clear" w:color="auto" w:fill="FFFFFF"/>
              </w:rPr>
              <w:t>N</w:t>
            </w:r>
            <w:r w:rsidR="00643B09" w:rsidRPr="0031503F">
              <w:rPr>
                <w:rFonts w:ascii="Times New Roman" w:hAnsi="Times New Roman" w:cs="Times New Roman"/>
                <w:sz w:val="20"/>
                <w:szCs w:val="20"/>
                <w:shd w:val="clear" w:color="auto" w:fill="FFFFFF"/>
              </w:rPr>
              <w:t>ávrh záko</w:t>
            </w:r>
            <w:r w:rsidR="001E29CC" w:rsidRPr="0031503F">
              <w:rPr>
                <w:rFonts w:ascii="Times New Roman" w:hAnsi="Times New Roman" w:cs="Times New Roman"/>
                <w:sz w:val="20"/>
                <w:szCs w:val="20"/>
                <w:shd w:val="clear" w:color="auto" w:fill="FFFFFF"/>
              </w:rPr>
              <w:t>n</w:t>
            </w:r>
            <w:r w:rsidRPr="0031503F">
              <w:rPr>
                <w:rFonts w:ascii="Times New Roman" w:hAnsi="Times New Roman" w:cs="Times New Roman"/>
                <w:sz w:val="20"/>
                <w:szCs w:val="20"/>
                <w:shd w:val="clear" w:color="auto" w:fill="FFFFFF"/>
              </w:rPr>
              <w:t>a</w:t>
            </w:r>
          </w:p>
        </w:tc>
        <w:tc>
          <w:tcPr>
            <w:tcW w:w="1667" w:type="dxa"/>
            <w:tcBorders>
              <w:top w:val="single" w:sz="4" w:space="0" w:color="auto"/>
              <w:bottom w:val="single" w:sz="4" w:space="0" w:color="auto"/>
            </w:tcBorders>
          </w:tcPr>
          <w:p w:rsidR="00F23B1E" w:rsidRPr="0031503F" w:rsidRDefault="00F55BF4" w:rsidP="001C143D">
            <w:pPr>
              <w:pStyle w:val="Normlny0"/>
              <w:jc w:val="center"/>
            </w:pPr>
            <w:r w:rsidRPr="0031503F">
              <w:t>§ 1</w:t>
            </w:r>
          </w:p>
          <w:p w:rsidR="00F23B1E" w:rsidRPr="0031503F" w:rsidRDefault="00F23B1E" w:rsidP="001C143D">
            <w:pPr>
              <w:pStyle w:val="Standard"/>
              <w:shd w:val="clear" w:color="auto" w:fill="FFFFFF" w:themeFill="background1"/>
              <w:spacing w:line="240" w:lineRule="auto"/>
              <w:jc w:val="center"/>
              <w:rPr>
                <w:rFonts w:ascii="Times New Roman" w:hAnsi="Times New Roman" w:cs="Times New Roman"/>
                <w:sz w:val="20"/>
                <w:szCs w:val="20"/>
              </w:rPr>
            </w:pPr>
          </w:p>
        </w:tc>
        <w:tc>
          <w:tcPr>
            <w:tcW w:w="2051" w:type="dxa"/>
            <w:tcBorders>
              <w:top w:val="single" w:sz="4" w:space="0" w:color="auto"/>
              <w:bottom w:val="single" w:sz="4" w:space="0" w:color="auto"/>
            </w:tcBorders>
          </w:tcPr>
          <w:p w:rsidR="001C143D" w:rsidRPr="0031503F" w:rsidRDefault="001C143D" w:rsidP="001C143D">
            <w:pPr>
              <w:pStyle w:val="Normlny0"/>
              <w:jc w:val="both"/>
            </w:pPr>
            <w:r w:rsidRPr="0031503F">
              <w:t>Predmet zákona</w:t>
            </w:r>
          </w:p>
          <w:p w:rsidR="001C143D" w:rsidRPr="0031503F" w:rsidRDefault="001C143D" w:rsidP="001C143D">
            <w:pPr>
              <w:pStyle w:val="Normlny0"/>
              <w:jc w:val="both"/>
            </w:pPr>
          </w:p>
          <w:p w:rsidR="00A6312D" w:rsidRPr="0031503F" w:rsidRDefault="001C143D" w:rsidP="001C143D">
            <w:pPr>
              <w:jc w:val="both"/>
              <w:rPr>
                <w:rFonts w:ascii="Times New Roman" w:hAnsi="Times New Roman" w:cs="Times New Roman"/>
                <w:sz w:val="20"/>
                <w:szCs w:val="20"/>
              </w:rPr>
            </w:pPr>
            <w:r w:rsidRPr="0031503F">
              <w:rPr>
                <w:rFonts w:ascii="Times New Roman" w:hAnsi="Times New Roman" w:cs="Times New Roman"/>
                <w:sz w:val="20"/>
                <w:szCs w:val="20"/>
              </w:rPr>
              <w:t>Tento zákon upravuje niektoré opatrenia</w:t>
            </w:r>
            <w:r w:rsidR="00C941A3" w:rsidRPr="0031503F">
              <w:rPr>
                <w:rFonts w:ascii="Times New Roman" w:hAnsi="Times New Roman" w:cs="Times New Roman"/>
                <w:sz w:val="20"/>
                <w:szCs w:val="20"/>
              </w:rPr>
              <w:t xml:space="preserve"> súvisiace s riadením kótovanej</w:t>
            </w:r>
            <w:r w:rsidRPr="0031503F">
              <w:rPr>
                <w:rFonts w:ascii="Times New Roman" w:hAnsi="Times New Roman" w:cs="Times New Roman"/>
                <w:sz w:val="20"/>
                <w:szCs w:val="20"/>
              </w:rPr>
              <w:t xml:space="preserve"> </w:t>
            </w:r>
            <w:r w:rsidR="00B821B2" w:rsidRPr="0031503F">
              <w:rPr>
                <w:rFonts w:ascii="Times New Roman" w:hAnsi="Times New Roman" w:cs="Times New Roman"/>
                <w:sz w:val="20"/>
                <w:szCs w:val="20"/>
              </w:rPr>
              <w:t>s</w:t>
            </w:r>
            <w:r w:rsidR="00C941A3" w:rsidRPr="0031503F">
              <w:rPr>
                <w:rFonts w:ascii="Times New Roman" w:hAnsi="Times New Roman" w:cs="Times New Roman"/>
                <w:sz w:val="20"/>
                <w:szCs w:val="20"/>
              </w:rPr>
              <w:t>poločnosti</w:t>
            </w:r>
            <w:r w:rsidRPr="0031503F">
              <w:rPr>
                <w:rFonts w:ascii="Times New Roman" w:hAnsi="Times New Roman" w:cs="Times New Roman"/>
                <w:sz w:val="20"/>
                <w:szCs w:val="20"/>
              </w:rPr>
              <w:t>, pokiaľ ide o zastúp</w:t>
            </w:r>
            <w:r w:rsidR="00C941A3" w:rsidRPr="0031503F">
              <w:rPr>
                <w:rFonts w:ascii="Times New Roman" w:hAnsi="Times New Roman" w:cs="Times New Roman"/>
                <w:sz w:val="20"/>
                <w:szCs w:val="20"/>
              </w:rPr>
              <w:t>enie mužov a žien vo vrcholovom orgáne kótovanej spoločnosti</w:t>
            </w:r>
            <w:r w:rsidRPr="0031503F">
              <w:rPr>
                <w:rFonts w:ascii="Times New Roman" w:hAnsi="Times New Roman" w:cs="Times New Roman"/>
                <w:sz w:val="20"/>
                <w:szCs w:val="20"/>
              </w:rPr>
              <w:t>.</w:t>
            </w:r>
          </w:p>
          <w:p w:rsidR="00A6312D" w:rsidRPr="0031503F" w:rsidRDefault="00A6312D" w:rsidP="00CB3223">
            <w:pPr>
              <w:rPr>
                <w:rFonts w:ascii="Times New Roman" w:hAnsi="Times New Roman" w:cs="Times New Roman"/>
                <w:sz w:val="20"/>
                <w:szCs w:val="20"/>
              </w:rPr>
            </w:pPr>
          </w:p>
          <w:p w:rsidR="00A6312D" w:rsidRPr="0031503F" w:rsidRDefault="00A6312D" w:rsidP="00CB3223">
            <w:pPr>
              <w:rPr>
                <w:rFonts w:ascii="Times New Roman" w:hAnsi="Times New Roman" w:cs="Times New Roman"/>
                <w:sz w:val="20"/>
                <w:szCs w:val="20"/>
              </w:rPr>
            </w:pPr>
          </w:p>
          <w:p w:rsidR="00A6312D" w:rsidRPr="0031503F" w:rsidRDefault="00A6312D" w:rsidP="00CB3223">
            <w:pPr>
              <w:rPr>
                <w:rFonts w:ascii="Times New Roman" w:hAnsi="Times New Roman" w:cs="Times New Roman"/>
                <w:sz w:val="20"/>
                <w:szCs w:val="20"/>
              </w:rPr>
            </w:pPr>
          </w:p>
        </w:tc>
        <w:tc>
          <w:tcPr>
            <w:tcW w:w="727" w:type="dxa"/>
            <w:tcBorders>
              <w:top w:val="single" w:sz="4" w:space="0" w:color="auto"/>
              <w:bottom w:val="single" w:sz="4" w:space="0" w:color="auto"/>
            </w:tcBorders>
          </w:tcPr>
          <w:p w:rsidR="00CE6B7E" w:rsidRPr="0031503F" w:rsidRDefault="00A42A64"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CE6B7E" w:rsidRPr="0031503F" w:rsidRDefault="00CE6B7E"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b/>
                <w:sz w:val="20"/>
                <w:szCs w:val="20"/>
              </w:rPr>
            </w:pPr>
          </w:p>
          <w:p w:rsidR="00ED191A" w:rsidRPr="0031503F" w:rsidRDefault="00ED191A" w:rsidP="00CB3223">
            <w:pPr>
              <w:jc w:val="center"/>
              <w:rPr>
                <w:rFonts w:ascii="Times New Roman" w:hAnsi="Times New Roman" w:cs="Times New Roman"/>
                <w:sz w:val="20"/>
                <w:szCs w:val="20"/>
              </w:rPr>
            </w:pPr>
          </w:p>
        </w:tc>
        <w:tc>
          <w:tcPr>
            <w:tcW w:w="1663" w:type="dxa"/>
            <w:tcBorders>
              <w:top w:val="single" w:sz="4" w:space="0" w:color="auto"/>
              <w:bottom w:val="single" w:sz="4" w:space="0" w:color="auto"/>
            </w:tcBorders>
          </w:tcPr>
          <w:p w:rsidR="00CE6B7E" w:rsidRPr="0031503F" w:rsidRDefault="00CE6B7E"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643B09" w:rsidRPr="0031503F" w:rsidRDefault="00643B0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2 </w:t>
            </w:r>
          </w:p>
        </w:tc>
        <w:tc>
          <w:tcPr>
            <w:tcW w:w="2837" w:type="dxa"/>
            <w:tcBorders>
              <w:top w:val="single" w:sz="4" w:space="0" w:color="auto"/>
              <w:bottom w:val="single" w:sz="4" w:space="0" w:color="auto"/>
            </w:tcBorders>
          </w:tcPr>
          <w:p w:rsidR="00643B09" w:rsidRPr="0031503F" w:rsidRDefault="00643B09" w:rsidP="001C143D">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Rozsah pôsobnosti</w:t>
            </w:r>
          </w:p>
        </w:tc>
        <w:tc>
          <w:tcPr>
            <w:tcW w:w="828" w:type="dxa"/>
            <w:tcBorders>
              <w:top w:val="single" w:sz="4" w:space="0" w:color="auto"/>
              <w:bottom w:val="single" w:sz="4" w:space="0" w:color="auto"/>
            </w:tcBorders>
          </w:tcPr>
          <w:p w:rsidR="00643B09" w:rsidRPr="0031503F" w:rsidRDefault="00643B09"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643B09" w:rsidRPr="0031503F" w:rsidRDefault="00643B09"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643B09" w:rsidRPr="0031503F" w:rsidRDefault="00643B09" w:rsidP="001C143D">
            <w:pPr>
              <w:pStyle w:val="Normlny0"/>
              <w:jc w:val="center"/>
              <w:rPr>
                <w:b/>
              </w:rPr>
            </w:pPr>
            <w:r w:rsidRPr="0031503F">
              <w:rPr>
                <w:b/>
              </w:rPr>
              <w:t>§ 2</w:t>
            </w:r>
          </w:p>
        </w:tc>
        <w:tc>
          <w:tcPr>
            <w:tcW w:w="2051" w:type="dxa"/>
            <w:tcBorders>
              <w:top w:val="single" w:sz="4" w:space="0" w:color="auto"/>
              <w:bottom w:val="single" w:sz="4" w:space="0" w:color="auto"/>
            </w:tcBorders>
          </w:tcPr>
          <w:p w:rsidR="00643B09" w:rsidRPr="0031503F" w:rsidRDefault="00643B09" w:rsidP="00CB3223">
            <w:pPr>
              <w:jc w:val="both"/>
              <w:rPr>
                <w:rFonts w:ascii="Times New Roman" w:hAnsi="Times New Roman" w:cs="Times New Roman"/>
                <w:b/>
                <w:sz w:val="20"/>
                <w:szCs w:val="20"/>
              </w:rPr>
            </w:pPr>
            <w:r w:rsidRPr="0031503F">
              <w:rPr>
                <w:rFonts w:ascii="Times New Roman" w:hAnsi="Times New Roman" w:cs="Times New Roman"/>
                <w:b/>
                <w:sz w:val="20"/>
                <w:szCs w:val="20"/>
              </w:rPr>
              <w:t xml:space="preserve">Rozsah pôsobnosti </w:t>
            </w:r>
          </w:p>
        </w:tc>
        <w:tc>
          <w:tcPr>
            <w:tcW w:w="727" w:type="dxa"/>
            <w:tcBorders>
              <w:top w:val="single" w:sz="4" w:space="0" w:color="auto"/>
              <w:bottom w:val="single" w:sz="4" w:space="0" w:color="auto"/>
            </w:tcBorders>
          </w:tcPr>
          <w:p w:rsidR="00643B09" w:rsidRPr="0031503F" w:rsidRDefault="00643B09"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643B09" w:rsidRPr="0031503F" w:rsidRDefault="00643B09"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643B09" w:rsidRPr="0031503F" w:rsidRDefault="00643B09"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643B09" w:rsidRPr="0031503F" w:rsidRDefault="00643B09"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1E29CC" w:rsidRPr="0031503F" w:rsidRDefault="001E29CC"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2 </w:t>
            </w:r>
          </w:p>
        </w:tc>
        <w:tc>
          <w:tcPr>
            <w:tcW w:w="2837" w:type="dxa"/>
            <w:tcBorders>
              <w:top w:val="single" w:sz="4" w:space="0" w:color="auto"/>
              <w:bottom w:val="single" w:sz="4" w:space="0" w:color="auto"/>
            </w:tcBorders>
          </w:tcPr>
          <w:p w:rsidR="001E29CC" w:rsidRPr="0031503F" w:rsidRDefault="001E29CC"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Táto smernica sa vzťahuje na kótované spoločnosti. Táto smernica sa nevzťahuje na mikropodniky, malé a stredné podniky (ďalej len „MSP“).</w:t>
            </w:r>
          </w:p>
          <w:p w:rsidR="001E29CC" w:rsidRPr="0031503F" w:rsidRDefault="001E29CC" w:rsidP="001C143D">
            <w:pPr>
              <w:shd w:val="clear" w:color="auto" w:fill="FFFFFF"/>
              <w:jc w:val="both"/>
              <w:rPr>
                <w:rFonts w:ascii="Times New Roman" w:eastAsia="Times New Roman" w:hAnsi="Times New Roman" w:cs="Times New Roman"/>
                <w:b/>
                <w:color w:val="333333"/>
                <w:sz w:val="20"/>
                <w:szCs w:val="20"/>
                <w:lang w:eastAsia="sk-SK"/>
              </w:rPr>
            </w:pPr>
          </w:p>
        </w:tc>
        <w:tc>
          <w:tcPr>
            <w:tcW w:w="828" w:type="dxa"/>
            <w:tcBorders>
              <w:top w:val="single" w:sz="4" w:space="0" w:color="auto"/>
              <w:bottom w:val="single" w:sz="4" w:space="0" w:color="auto"/>
            </w:tcBorders>
          </w:tcPr>
          <w:p w:rsidR="001E29CC" w:rsidRPr="0031503F" w:rsidRDefault="001E29CC"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1E29CC" w:rsidRPr="0031503F" w:rsidRDefault="001E29CC"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1E29CC" w:rsidRPr="0031503F" w:rsidRDefault="001E29CC" w:rsidP="001C143D">
            <w:pPr>
              <w:pStyle w:val="Normlny0"/>
              <w:jc w:val="center"/>
            </w:pPr>
            <w:r w:rsidRPr="0031503F">
              <w:t>§ 2</w:t>
            </w:r>
          </w:p>
          <w:p w:rsidR="00C277F0" w:rsidRPr="0031503F" w:rsidRDefault="00C277F0" w:rsidP="001C143D">
            <w:pPr>
              <w:pStyle w:val="Normlny0"/>
              <w:jc w:val="center"/>
            </w:pPr>
            <w:r w:rsidRPr="0031503F">
              <w:t>O: 1</w:t>
            </w:r>
          </w:p>
          <w:p w:rsidR="00C277F0" w:rsidRPr="0031503F" w:rsidRDefault="00C277F0" w:rsidP="001C143D">
            <w:pPr>
              <w:pStyle w:val="Normlny0"/>
              <w:jc w:val="center"/>
            </w:pPr>
          </w:p>
          <w:p w:rsidR="00C277F0" w:rsidRPr="0031503F" w:rsidRDefault="00C277F0"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C277F0" w:rsidRPr="0031503F" w:rsidRDefault="00C277F0" w:rsidP="001C143D">
            <w:pPr>
              <w:pStyle w:val="Normlny0"/>
              <w:jc w:val="center"/>
            </w:pPr>
            <w:r w:rsidRPr="0031503F">
              <w:t>O:2</w:t>
            </w:r>
          </w:p>
        </w:tc>
        <w:tc>
          <w:tcPr>
            <w:tcW w:w="2051" w:type="dxa"/>
            <w:tcBorders>
              <w:top w:val="single" w:sz="4" w:space="0" w:color="auto"/>
              <w:bottom w:val="single" w:sz="4" w:space="0" w:color="auto"/>
            </w:tcBorders>
          </w:tcPr>
          <w:p w:rsidR="00C277F0" w:rsidRPr="0031503F" w:rsidRDefault="00C277F0" w:rsidP="00CB3223">
            <w:pPr>
              <w:pStyle w:val="Standard"/>
              <w:shd w:val="clear" w:color="auto" w:fill="FFFFFF" w:themeFill="background1"/>
              <w:spacing w:line="240" w:lineRule="auto"/>
              <w:rPr>
                <w:rFonts w:ascii="Times New Roman" w:hAnsi="Times New Roman" w:cs="Times New Roman"/>
                <w:sz w:val="20"/>
                <w:szCs w:val="20"/>
              </w:rPr>
            </w:pPr>
          </w:p>
          <w:p w:rsidR="00C277F0" w:rsidRPr="0031503F" w:rsidRDefault="00C277F0" w:rsidP="00CB3223">
            <w:pPr>
              <w:pStyle w:val="Standard"/>
              <w:shd w:val="clear" w:color="auto" w:fill="FFFFFF" w:themeFill="background1"/>
              <w:spacing w:line="240" w:lineRule="auto"/>
              <w:rPr>
                <w:rFonts w:ascii="Times New Roman" w:hAnsi="Times New Roman" w:cs="Times New Roman"/>
                <w:sz w:val="20"/>
                <w:szCs w:val="20"/>
                <w:vertAlign w:val="superscript"/>
              </w:rPr>
            </w:pPr>
            <w:r w:rsidRPr="0031503F">
              <w:rPr>
                <w:rFonts w:ascii="Times New Roman" w:hAnsi="Times New Roman" w:cs="Times New Roman"/>
                <w:sz w:val="20"/>
                <w:szCs w:val="20"/>
              </w:rPr>
              <w:t>Tento zákon sa v</w:t>
            </w:r>
            <w:r w:rsidR="00C941A3" w:rsidRPr="0031503F">
              <w:rPr>
                <w:rFonts w:ascii="Times New Roman" w:hAnsi="Times New Roman" w:cs="Times New Roman"/>
                <w:sz w:val="20"/>
                <w:szCs w:val="20"/>
              </w:rPr>
              <w:t>zťahuje na kótovanú spoločnosť</w:t>
            </w:r>
            <w:r w:rsidR="007F2394" w:rsidRPr="0031503F">
              <w:rPr>
                <w:rFonts w:ascii="Times New Roman" w:hAnsi="Times New Roman" w:cs="Times New Roman"/>
                <w:sz w:val="20"/>
                <w:szCs w:val="20"/>
              </w:rPr>
              <w:t xml:space="preserve"> so sídlom na území Slovenskej republiky. </w:t>
            </w:r>
          </w:p>
          <w:p w:rsidR="00C277F0" w:rsidRPr="0031503F" w:rsidRDefault="00C277F0" w:rsidP="00CB3223">
            <w:pPr>
              <w:pStyle w:val="Standard"/>
              <w:shd w:val="clear" w:color="auto" w:fill="FFFFFF" w:themeFill="background1"/>
              <w:spacing w:line="240" w:lineRule="auto"/>
              <w:rPr>
                <w:rFonts w:ascii="Times New Roman" w:hAnsi="Times New Roman" w:cs="Times New Roman"/>
                <w:sz w:val="20"/>
                <w:szCs w:val="20"/>
              </w:rPr>
            </w:pPr>
          </w:p>
          <w:p w:rsidR="00C277F0" w:rsidRPr="0031503F" w:rsidRDefault="00C277F0" w:rsidP="00CB3223">
            <w:pPr>
              <w:pStyle w:val="Standard"/>
              <w:shd w:val="clear" w:color="auto" w:fill="FFFFFF" w:themeFill="background1"/>
              <w:spacing w:line="240" w:lineRule="auto"/>
              <w:rPr>
                <w:rFonts w:ascii="Times New Roman" w:hAnsi="Times New Roman" w:cs="Times New Roman"/>
                <w:sz w:val="20"/>
                <w:szCs w:val="20"/>
              </w:rPr>
            </w:pPr>
            <w:r w:rsidRPr="0031503F">
              <w:rPr>
                <w:rFonts w:ascii="Times New Roman" w:hAnsi="Times New Roman" w:cs="Times New Roman"/>
                <w:sz w:val="20"/>
                <w:szCs w:val="20"/>
              </w:rPr>
              <w:t>Tento zákon sa nevzťahuje na mikro</w:t>
            </w:r>
            <w:r w:rsidR="00C941A3" w:rsidRPr="0031503F">
              <w:rPr>
                <w:rFonts w:ascii="Times New Roman" w:hAnsi="Times New Roman" w:cs="Times New Roman"/>
                <w:sz w:val="20"/>
                <w:szCs w:val="20"/>
              </w:rPr>
              <w:t>podniky</w:t>
            </w:r>
            <w:r w:rsidR="005866F5" w:rsidRPr="0031503F">
              <w:rPr>
                <w:rFonts w:ascii="Times New Roman" w:hAnsi="Times New Roman" w:cs="Times New Roman"/>
                <w:sz w:val="20"/>
                <w:szCs w:val="20"/>
                <w:vertAlign w:val="superscript"/>
              </w:rPr>
              <w:t>1)</w:t>
            </w:r>
            <w:r w:rsidR="00C941A3" w:rsidRPr="0031503F">
              <w:rPr>
                <w:rFonts w:ascii="Times New Roman" w:hAnsi="Times New Roman" w:cs="Times New Roman"/>
                <w:sz w:val="20"/>
                <w:szCs w:val="20"/>
              </w:rPr>
              <w:t xml:space="preserve">, malé </w:t>
            </w:r>
            <w:r w:rsidR="005866F5" w:rsidRPr="0031503F">
              <w:rPr>
                <w:rFonts w:ascii="Times New Roman" w:hAnsi="Times New Roman" w:cs="Times New Roman"/>
                <w:sz w:val="20"/>
                <w:szCs w:val="20"/>
              </w:rPr>
              <w:t>podniky</w:t>
            </w:r>
            <w:r w:rsidR="005866F5" w:rsidRPr="0031503F">
              <w:rPr>
                <w:rFonts w:ascii="Times New Roman" w:hAnsi="Times New Roman" w:cs="Times New Roman"/>
                <w:sz w:val="20"/>
                <w:szCs w:val="20"/>
                <w:vertAlign w:val="superscript"/>
              </w:rPr>
              <w:t>2)</w:t>
            </w:r>
            <w:r w:rsidR="005866F5" w:rsidRPr="0031503F">
              <w:rPr>
                <w:rFonts w:ascii="Times New Roman" w:hAnsi="Times New Roman" w:cs="Times New Roman"/>
                <w:sz w:val="20"/>
                <w:szCs w:val="20"/>
              </w:rPr>
              <w:t xml:space="preserve"> </w:t>
            </w:r>
            <w:r w:rsidR="00C941A3" w:rsidRPr="0031503F">
              <w:rPr>
                <w:rFonts w:ascii="Times New Roman" w:hAnsi="Times New Roman" w:cs="Times New Roman"/>
                <w:sz w:val="20"/>
                <w:szCs w:val="20"/>
              </w:rPr>
              <w:t>a</w:t>
            </w:r>
            <w:r w:rsidR="005866F5" w:rsidRPr="0031503F">
              <w:rPr>
                <w:rFonts w:ascii="Times New Roman" w:hAnsi="Times New Roman" w:cs="Times New Roman"/>
                <w:sz w:val="20"/>
                <w:szCs w:val="20"/>
              </w:rPr>
              <w:t> </w:t>
            </w:r>
            <w:r w:rsidR="00C941A3" w:rsidRPr="0031503F">
              <w:rPr>
                <w:rFonts w:ascii="Times New Roman" w:hAnsi="Times New Roman" w:cs="Times New Roman"/>
                <w:sz w:val="20"/>
                <w:szCs w:val="20"/>
              </w:rPr>
              <w:t>stredné</w:t>
            </w:r>
            <w:r w:rsidR="005866F5" w:rsidRPr="0031503F">
              <w:rPr>
                <w:rFonts w:ascii="Times New Roman" w:hAnsi="Times New Roman" w:cs="Times New Roman"/>
                <w:sz w:val="20"/>
                <w:szCs w:val="20"/>
                <w:vertAlign w:val="superscript"/>
              </w:rPr>
              <w:t>3)</w:t>
            </w:r>
            <w:r w:rsidR="00C941A3" w:rsidRPr="0031503F">
              <w:rPr>
                <w:rFonts w:ascii="Times New Roman" w:hAnsi="Times New Roman" w:cs="Times New Roman"/>
                <w:sz w:val="20"/>
                <w:szCs w:val="20"/>
              </w:rPr>
              <w:t xml:space="preserve"> podniky.</w:t>
            </w:r>
          </w:p>
          <w:p w:rsidR="005866F5" w:rsidRPr="0031503F" w:rsidRDefault="005866F5" w:rsidP="00CB3223">
            <w:pPr>
              <w:pStyle w:val="Standard"/>
              <w:shd w:val="clear" w:color="auto" w:fill="FFFFFF" w:themeFill="background1"/>
              <w:spacing w:line="240" w:lineRule="auto"/>
              <w:rPr>
                <w:rFonts w:ascii="Times New Roman" w:hAnsi="Times New Roman" w:cs="Times New Roman"/>
                <w:sz w:val="20"/>
                <w:szCs w:val="20"/>
              </w:rPr>
            </w:pPr>
            <w:r w:rsidRPr="0031503F">
              <w:rPr>
                <w:rFonts w:ascii="Times New Roman" w:hAnsi="Times New Roman" w:cs="Times New Roman"/>
                <w:sz w:val="20"/>
                <w:szCs w:val="20"/>
              </w:rPr>
              <w:t>Poznámky pod čiarou k odkazom 1 až 3 znejú:</w:t>
            </w:r>
          </w:p>
          <w:p w:rsidR="005866F5" w:rsidRPr="0031503F" w:rsidRDefault="005866F5" w:rsidP="005866F5">
            <w:pPr>
              <w:pStyle w:val="Textpoznmkypodiarou"/>
              <w:rPr>
                <w:rFonts w:ascii="Times New Roman" w:hAnsi="Times New Roman" w:cs="Times New Roman"/>
              </w:rPr>
            </w:pPr>
            <w:r w:rsidRPr="0031503F">
              <w:rPr>
                <w:rStyle w:val="Odkaznapoznmkupodiarou"/>
                <w:rFonts w:ascii="Times New Roman" w:hAnsi="Times New Roman" w:cs="Times New Roman"/>
              </w:rPr>
              <w:footnoteRef/>
            </w:r>
            <w:r w:rsidRPr="0031503F">
              <w:rPr>
                <w:rFonts w:ascii="Times New Roman" w:hAnsi="Times New Roman" w:cs="Times New Roman"/>
              </w:rPr>
              <w:t xml:space="preserve">) </w:t>
            </w:r>
            <w:r w:rsidRPr="0031503F">
              <w:rPr>
                <w:rFonts w:ascii="Times New Roman" w:hAnsi="Times New Roman" w:cs="Times New Roman"/>
                <w:shd w:val="clear" w:color="auto" w:fill="FFFFFF"/>
              </w:rPr>
              <w:t>Čl. 2 ods. 3 prílohy I nariadenia Komisie (EÚ) č. 651/2014 zo 17. júna 2014 o vyhlásení určitých kategórií pomoci za zlučiteľné s vnútorným trhom podľa článkov 107 a 108 Zmluvy (Ú. v. EÚ L 187, 26. 6. 2014) v platnom znení.</w:t>
            </w:r>
          </w:p>
          <w:p w:rsidR="005866F5" w:rsidRPr="0031503F" w:rsidRDefault="005866F5" w:rsidP="005866F5">
            <w:pPr>
              <w:pStyle w:val="Textpoznmkypodiarou"/>
              <w:rPr>
                <w:rFonts w:ascii="Times New Roman" w:hAnsi="Times New Roman" w:cs="Times New Roman"/>
              </w:rPr>
            </w:pPr>
            <w:r w:rsidRPr="0031503F">
              <w:rPr>
                <w:rStyle w:val="Odkaznapoznmkupodiarou"/>
                <w:rFonts w:ascii="Times New Roman" w:hAnsi="Times New Roman" w:cs="Times New Roman"/>
              </w:rPr>
              <w:footnoteRef/>
            </w:r>
            <w:r w:rsidRPr="0031503F">
              <w:rPr>
                <w:rFonts w:ascii="Times New Roman" w:hAnsi="Times New Roman" w:cs="Times New Roman"/>
              </w:rPr>
              <w:t>) Čl. 2 ods. 2 prílohy I nariadenia EÚ č. 651/2014 v platnom znení.</w:t>
            </w:r>
          </w:p>
          <w:p w:rsidR="001E29CC" w:rsidRPr="0031503F" w:rsidRDefault="005866F5" w:rsidP="005866F5">
            <w:pPr>
              <w:pStyle w:val="Standard"/>
              <w:shd w:val="clear" w:color="auto" w:fill="FFFFFF" w:themeFill="background1"/>
              <w:spacing w:line="240" w:lineRule="auto"/>
              <w:rPr>
                <w:rFonts w:ascii="Times New Roman" w:hAnsi="Times New Roman" w:cs="Times New Roman"/>
                <w:sz w:val="20"/>
                <w:szCs w:val="20"/>
              </w:rPr>
            </w:pPr>
            <w:r w:rsidRPr="0031503F">
              <w:rPr>
                <w:rStyle w:val="Odkaznapoznmkupodiarou"/>
                <w:rFonts w:ascii="Times New Roman" w:hAnsi="Times New Roman" w:cs="Times New Roman"/>
                <w:sz w:val="20"/>
                <w:szCs w:val="20"/>
              </w:rPr>
              <w:footnoteRef/>
            </w:r>
            <w:r w:rsidRPr="0031503F">
              <w:rPr>
                <w:rFonts w:ascii="Times New Roman" w:hAnsi="Times New Roman" w:cs="Times New Roman"/>
                <w:sz w:val="20"/>
                <w:szCs w:val="20"/>
              </w:rPr>
              <w:t>) Čl. 2 prílohy I nariadenia EÚ č. 651/2014 v platnom znení.</w:t>
            </w:r>
          </w:p>
        </w:tc>
        <w:tc>
          <w:tcPr>
            <w:tcW w:w="727" w:type="dxa"/>
            <w:tcBorders>
              <w:top w:val="single" w:sz="4" w:space="0" w:color="auto"/>
              <w:bottom w:val="single" w:sz="4" w:space="0" w:color="auto"/>
            </w:tcBorders>
          </w:tcPr>
          <w:p w:rsidR="001E29CC" w:rsidRPr="0031503F" w:rsidRDefault="001E29CC"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1E29CC" w:rsidRPr="0031503F" w:rsidRDefault="001E29CC"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8E01FE" w:rsidRPr="0031503F" w:rsidRDefault="008E01FE" w:rsidP="00CB3223">
            <w:pPr>
              <w:jc w:val="center"/>
              <w:rPr>
                <w:rFonts w:ascii="Times New Roman" w:hAnsi="Times New Roman" w:cs="Times New Roman"/>
                <w:b/>
                <w:sz w:val="20"/>
                <w:szCs w:val="20"/>
              </w:rPr>
            </w:pPr>
          </w:p>
          <w:p w:rsidR="001E29CC" w:rsidRPr="0031503F" w:rsidRDefault="001E29CC"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1E29CC" w:rsidRPr="0031503F" w:rsidRDefault="001E29CC"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9107D6" w:rsidRPr="0031503F" w:rsidRDefault="00DC0E82"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3 </w:t>
            </w:r>
          </w:p>
        </w:tc>
        <w:tc>
          <w:tcPr>
            <w:tcW w:w="2837" w:type="dxa"/>
            <w:tcBorders>
              <w:top w:val="single" w:sz="4" w:space="0" w:color="auto"/>
              <w:bottom w:val="single" w:sz="4" w:space="0" w:color="auto"/>
            </w:tcBorders>
          </w:tcPr>
          <w:p w:rsidR="009107D6" w:rsidRPr="0031503F" w:rsidRDefault="00DC0E82" w:rsidP="001C143D">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Vymedzenie pojmov</w:t>
            </w:r>
          </w:p>
        </w:tc>
        <w:tc>
          <w:tcPr>
            <w:tcW w:w="828" w:type="dxa"/>
            <w:tcBorders>
              <w:top w:val="single" w:sz="4" w:space="0" w:color="auto"/>
              <w:bottom w:val="single" w:sz="4" w:space="0" w:color="auto"/>
            </w:tcBorders>
          </w:tcPr>
          <w:p w:rsidR="009107D6" w:rsidRPr="0031503F" w:rsidRDefault="009107D6" w:rsidP="007B580A">
            <w:pPr>
              <w:jc w:val="center"/>
              <w:rPr>
                <w:rFonts w:ascii="Times New Roman" w:hAnsi="Times New Roman" w:cs="Times New Roman"/>
                <w:b/>
                <w:sz w:val="20"/>
                <w:szCs w:val="20"/>
              </w:rPr>
            </w:pPr>
          </w:p>
        </w:tc>
        <w:tc>
          <w:tcPr>
            <w:tcW w:w="1015" w:type="dxa"/>
            <w:tcBorders>
              <w:top w:val="single" w:sz="4" w:space="0" w:color="auto"/>
              <w:bottom w:val="single" w:sz="4" w:space="0" w:color="auto"/>
            </w:tcBorders>
          </w:tcPr>
          <w:p w:rsidR="009107D6" w:rsidRPr="0031503F" w:rsidRDefault="009107D6" w:rsidP="007B580A">
            <w:pPr>
              <w:jc w:val="center"/>
              <w:rPr>
                <w:rFonts w:ascii="Times New Roman" w:hAnsi="Times New Roman" w:cs="Times New Roman"/>
                <w:b/>
                <w:sz w:val="20"/>
                <w:szCs w:val="20"/>
                <w:shd w:val="clear" w:color="auto" w:fill="FFFFFF"/>
              </w:rPr>
            </w:pPr>
          </w:p>
        </w:tc>
        <w:tc>
          <w:tcPr>
            <w:tcW w:w="1667" w:type="dxa"/>
            <w:tcBorders>
              <w:top w:val="single" w:sz="4" w:space="0" w:color="auto"/>
              <w:bottom w:val="single" w:sz="4" w:space="0" w:color="auto"/>
            </w:tcBorders>
          </w:tcPr>
          <w:p w:rsidR="009107D6" w:rsidRPr="0031503F" w:rsidRDefault="00DC0E82" w:rsidP="001C143D">
            <w:pPr>
              <w:pStyle w:val="Normlny0"/>
              <w:jc w:val="center"/>
              <w:rPr>
                <w:b/>
              </w:rPr>
            </w:pPr>
            <w:r w:rsidRPr="0031503F">
              <w:rPr>
                <w:b/>
              </w:rPr>
              <w:t>§ 3</w:t>
            </w:r>
          </w:p>
        </w:tc>
        <w:tc>
          <w:tcPr>
            <w:tcW w:w="2051" w:type="dxa"/>
            <w:tcBorders>
              <w:top w:val="single" w:sz="4" w:space="0" w:color="auto"/>
              <w:bottom w:val="single" w:sz="4" w:space="0" w:color="auto"/>
            </w:tcBorders>
          </w:tcPr>
          <w:p w:rsidR="009107D6" w:rsidRPr="0031503F" w:rsidRDefault="00DC0E82" w:rsidP="00CB3223">
            <w:pPr>
              <w:pStyle w:val="Standard"/>
              <w:shd w:val="clear" w:color="auto" w:fill="FFFFFF" w:themeFill="background1"/>
              <w:spacing w:line="240" w:lineRule="auto"/>
              <w:rPr>
                <w:rFonts w:ascii="Times New Roman" w:hAnsi="Times New Roman" w:cs="Times New Roman"/>
                <w:b/>
                <w:sz w:val="20"/>
                <w:szCs w:val="20"/>
              </w:rPr>
            </w:pPr>
            <w:r w:rsidRPr="0031503F">
              <w:rPr>
                <w:rFonts w:ascii="Times New Roman" w:hAnsi="Times New Roman" w:cs="Times New Roman"/>
                <w:b/>
                <w:sz w:val="20"/>
                <w:szCs w:val="20"/>
              </w:rPr>
              <w:t xml:space="preserve">Vymedzenie pojmov </w:t>
            </w:r>
          </w:p>
        </w:tc>
        <w:tc>
          <w:tcPr>
            <w:tcW w:w="727"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9107D6" w:rsidRPr="0031503F" w:rsidRDefault="009107D6"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sz w:val="20"/>
                <w:szCs w:val="20"/>
              </w:rPr>
            </w:pPr>
          </w:p>
        </w:tc>
      </w:tr>
      <w:tr w:rsidR="000706E5" w:rsidRPr="0031503F" w:rsidTr="00DE2986">
        <w:trPr>
          <w:trHeight w:val="6936"/>
        </w:trPr>
        <w:tc>
          <w:tcPr>
            <w:tcW w:w="878" w:type="dxa"/>
            <w:tcBorders>
              <w:top w:val="single" w:sz="4" w:space="0" w:color="auto"/>
              <w:bottom w:val="single" w:sz="4" w:space="0" w:color="auto"/>
            </w:tcBorders>
          </w:tcPr>
          <w:p w:rsidR="009107D6" w:rsidRPr="0031503F" w:rsidRDefault="00DC0E82"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3</w:t>
            </w:r>
          </w:p>
          <w:p w:rsidR="00DC0E82" w:rsidRPr="0031503F" w:rsidRDefault="00DC0E82"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B: 1 až 8</w:t>
            </w:r>
          </w:p>
        </w:tc>
        <w:tc>
          <w:tcPr>
            <w:tcW w:w="2837" w:type="dxa"/>
            <w:tcBorders>
              <w:top w:val="single" w:sz="4" w:space="0" w:color="auto"/>
              <w:bottom w:val="single" w:sz="4" w:space="0" w:color="auto"/>
            </w:tcBorders>
          </w:tcPr>
          <w:p w:rsidR="00DC0E82" w:rsidRPr="0031503F" w:rsidRDefault="00DC0E82"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Na účely tejto smernice sa uplatňuje toto vymedzenie pojmov:</w:t>
            </w:r>
          </w:p>
          <w:p w:rsidR="00E71FB2" w:rsidRPr="0031503F" w:rsidRDefault="00E71FB2" w:rsidP="001C143D">
            <w:pPr>
              <w:shd w:val="clear" w:color="auto" w:fill="FFFFFF"/>
              <w:jc w:val="both"/>
              <w:rPr>
                <w:rFonts w:ascii="Times New Roman" w:eastAsia="Times New Roman" w:hAnsi="Times New Roman" w:cs="Times New Roman"/>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w:t>
                  </w:r>
                </w:p>
              </w:tc>
              <w:tc>
                <w:tcPr>
                  <w:tcW w:w="2471" w:type="dxa"/>
                  <w:shd w:val="clear" w:color="auto" w:fill="auto"/>
                  <w:hideMark/>
                </w:tcPr>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„kótovaná spoločnosť“ je spoločnosť so sídlom v členskom štáte, ktorej akcie sú v jednom alebo viacerých členských štátoch prijaté na obchodovanie na regulovanom trhu v zmysle článku 4 ods. 1 bodu 21 smernice 2014/65/EÚ;</w:t>
                  </w:r>
                </w:p>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435168" w:rsidRPr="0031503F" w:rsidRDefault="00435168" w:rsidP="001C143D">
                  <w:pPr>
                    <w:spacing w:after="0" w:line="240" w:lineRule="auto"/>
                    <w:jc w:val="both"/>
                    <w:rPr>
                      <w:rFonts w:ascii="Times New Roman" w:eastAsia="Times New Roman" w:hAnsi="Times New Roman" w:cs="Times New Roman"/>
                      <w:sz w:val="20"/>
                      <w:szCs w:val="20"/>
                      <w:lang w:eastAsia="sk-SK"/>
                    </w:rPr>
                  </w:pPr>
                </w:p>
                <w:p w:rsidR="008919F9" w:rsidRPr="0031503F" w:rsidRDefault="008919F9" w:rsidP="001C143D">
                  <w:pPr>
                    <w:spacing w:after="0" w:line="240" w:lineRule="auto"/>
                    <w:jc w:val="both"/>
                    <w:rPr>
                      <w:rFonts w:ascii="Times New Roman" w:eastAsia="Times New Roman" w:hAnsi="Times New Roman" w:cs="Times New Roman"/>
                      <w:sz w:val="20"/>
                      <w:szCs w:val="20"/>
                      <w:lang w:eastAsia="sk-SK"/>
                    </w:rPr>
                  </w:pPr>
                </w:p>
                <w:p w:rsidR="008919F9" w:rsidRPr="0031503F" w:rsidRDefault="008919F9" w:rsidP="001C143D">
                  <w:pPr>
                    <w:spacing w:after="0" w:line="240" w:lineRule="auto"/>
                    <w:jc w:val="both"/>
                    <w:rPr>
                      <w:rFonts w:ascii="Times New Roman" w:eastAsia="Times New Roman" w:hAnsi="Times New Roman" w:cs="Times New Roman"/>
                      <w:sz w:val="20"/>
                      <w:szCs w:val="20"/>
                      <w:lang w:eastAsia="sk-SK"/>
                    </w:rPr>
                  </w:pPr>
                </w:p>
                <w:p w:rsidR="008919F9" w:rsidRPr="0031503F" w:rsidRDefault="008919F9" w:rsidP="001C143D">
                  <w:pPr>
                    <w:spacing w:after="0" w:line="240" w:lineRule="auto"/>
                    <w:jc w:val="both"/>
                    <w:rPr>
                      <w:rFonts w:ascii="Times New Roman" w:eastAsia="Times New Roman" w:hAnsi="Times New Roman" w:cs="Times New Roman"/>
                      <w:sz w:val="20"/>
                      <w:szCs w:val="20"/>
                      <w:lang w:eastAsia="sk-SK"/>
                    </w:rPr>
                  </w:pPr>
                </w:p>
                <w:p w:rsidR="007D44CF" w:rsidRPr="0031503F" w:rsidRDefault="007D44CF" w:rsidP="001C143D">
                  <w:pPr>
                    <w:spacing w:after="0" w:line="240" w:lineRule="auto"/>
                    <w:jc w:val="both"/>
                    <w:rPr>
                      <w:rFonts w:ascii="Times New Roman" w:eastAsia="Times New Roman" w:hAnsi="Times New Roman" w:cs="Times New Roman"/>
                      <w:sz w:val="20"/>
                      <w:szCs w:val="20"/>
                      <w:lang w:eastAsia="sk-SK"/>
                    </w:rPr>
                  </w:pPr>
                </w:p>
                <w:p w:rsidR="007D44CF" w:rsidRPr="0031503F" w:rsidRDefault="007D44CF" w:rsidP="001C143D">
                  <w:pPr>
                    <w:spacing w:after="0" w:line="240" w:lineRule="auto"/>
                    <w:jc w:val="both"/>
                    <w:rPr>
                      <w:rFonts w:ascii="Times New Roman" w:eastAsia="Times New Roman" w:hAnsi="Times New Roman" w:cs="Times New Roman"/>
                      <w:sz w:val="20"/>
                      <w:szCs w:val="20"/>
                      <w:lang w:eastAsia="sk-SK"/>
                    </w:rPr>
                  </w:pPr>
                </w:p>
                <w:p w:rsidR="007D44CF" w:rsidRPr="0031503F" w:rsidRDefault="007D44CF" w:rsidP="001C143D">
                  <w:pPr>
                    <w:spacing w:after="0" w:line="240" w:lineRule="auto"/>
                    <w:jc w:val="both"/>
                    <w:rPr>
                      <w:rFonts w:ascii="Times New Roman" w:eastAsia="Times New Roman" w:hAnsi="Times New Roman" w:cs="Times New Roman"/>
                      <w:sz w:val="20"/>
                      <w:szCs w:val="20"/>
                      <w:lang w:eastAsia="sk-SK"/>
                    </w:rPr>
                  </w:pPr>
                </w:p>
                <w:p w:rsidR="007D44CF" w:rsidRPr="0031503F" w:rsidRDefault="007D44CF" w:rsidP="001C143D">
                  <w:pPr>
                    <w:spacing w:after="0" w:line="240" w:lineRule="auto"/>
                    <w:jc w:val="both"/>
                    <w:rPr>
                      <w:rFonts w:ascii="Times New Roman" w:eastAsia="Times New Roman" w:hAnsi="Times New Roman" w:cs="Times New Roman"/>
                      <w:sz w:val="20"/>
                      <w:szCs w:val="20"/>
                      <w:lang w:eastAsia="sk-SK"/>
                    </w:rPr>
                  </w:pPr>
                </w:p>
                <w:p w:rsidR="00435168" w:rsidRPr="0031503F" w:rsidRDefault="00435168"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„vrcholový orgán“ je správny, riadiaci alebo dozorný orgán kótovanej spoločnosti;</w:t>
                  </w:r>
                </w:p>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8E01FE" w:rsidRPr="0031503F" w:rsidRDefault="008E01FE"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„riadiaci pracovník“ je člen vrcholového orgánu vrátane člena, ktorý je zástupcom zamestnancov;</w:t>
                  </w:r>
                </w:p>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p w:rsidR="007F2394" w:rsidRPr="0031503F" w:rsidRDefault="007F2394"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„výkonný riadiaci pracovník“ je člen unitárneho vrcholového orgánu, ktorý je zapojený do každodenného riadenia kótovanej spoločnosti alebo v prípade duálneho systému vrcholového orgánu, člen vrcholového orgánu, ktorý vykonáva riadiace funkcie v kótovanej spoločnosti;</w:t>
                  </w:r>
                </w:p>
                <w:p w:rsidR="00485D8A" w:rsidRPr="0031503F" w:rsidRDefault="00485D8A"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w:t>
                  </w:r>
                </w:p>
              </w:tc>
              <w:tc>
                <w:tcPr>
                  <w:tcW w:w="2471" w:type="dxa"/>
                  <w:shd w:val="clear" w:color="auto" w:fill="auto"/>
                  <w:hideMark/>
                </w:tcPr>
                <w:p w:rsidR="00E71FB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„nevýkonný riadiaci pracovník“ je člen unitárneho vrcholového orgánu, ktorý nie je výkonným riadiacim pracovníkom, alebo v prípade duálneho systému vrcholového orgánu, člen vrcholového orgánu, ktorý vykonáva dozorné funkcie v kótovanej spoločnosti;</w:t>
                  </w:r>
                </w:p>
                <w:p w:rsidR="00485D8A" w:rsidRPr="0031503F" w:rsidRDefault="00485D8A"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„unitárny vrcholový orgán“ je jediný vrcholový orgán, ktorý vykonáva riadiace a dozorné funkcie kótovanej spoločnosti;</w:t>
                  </w:r>
                </w:p>
                <w:p w:rsidR="00485D8A" w:rsidRPr="0031503F" w:rsidRDefault="00485D8A"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„duálny systém vrcholového orgánu“ je systém, v ktorom riadiace a dozorné funkcie kótovanej spoločnosti vykonávajú samostatné vrcholové orgány;</w:t>
                  </w:r>
                </w:p>
                <w:p w:rsidR="00E71FB2" w:rsidRPr="0031503F" w:rsidRDefault="00E71FB2"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E50929" w:rsidRPr="0031503F" w:rsidRDefault="00E50929" w:rsidP="001C143D">
                  <w:pPr>
                    <w:spacing w:after="0" w:line="240" w:lineRule="auto"/>
                    <w:jc w:val="both"/>
                    <w:rPr>
                      <w:rFonts w:ascii="Times New Roman" w:eastAsia="Times New Roman" w:hAnsi="Times New Roman" w:cs="Times New Roman"/>
                      <w:sz w:val="20"/>
                      <w:szCs w:val="20"/>
                      <w:lang w:eastAsia="sk-SK"/>
                    </w:rPr>
                  </w:pPr>
                </w:p>
                <w:p w:rsidR="00485D8A" w:rsidRPr="0031503F" w:rsidRDefault="00485D8A" w:rsidP="001C143D">
                  <w:pPr>
                    <w:spacing w:after="0" w:line="240" w:lineRule="auto"/>
                    <w:jc w:val="both"/>
                    <w:rPr>
                      <w:rFonts w:ascii="Times New Roman" w:eastAsia="Times New Roman" w:hAnsi="Times New Roman" w:cs="Times New Roman"/>
                      <w:sz w:val="20"/>
                      <w:szCs w:val="20"/>
                      <w:lang w:eastAsia="sk-SK"/>
                    </w:rPr>
                  </w:pPr>
                </w:p>
              </w:tc>
            </w:tr>
          </w:tbl>
          <w:p w:rsidR="00DC0E82" w:rsidRPr="0031503F" w:rsidRDefault="00DC0E82"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0"/>
              <w:gridCol w:w="2471"/>
            </w:tblGrid>
            <w:tr w:rsidR="004C0EC0" w:rsidRPr="0031503F" w:rsidTr="000706E5">
              <w:tc>
                <w:tcPr>
                  <w:tcW w:w="150"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w:t>
                  </w:r>
                </w:p>
              </w:tc>
              <w:tc>
                <w:tcPr>
                  <w:tcW w:w="2471" w:type="dxa"/>
                  <w:shd w:val="clear" w:color="auto" w:fill="auto"/>
                  <w:hideMark/>
                </w:tcPr>
                <w:p w:rsidR="00DC0E82" w:rsidRPr="0031503F" w:rsidRDefault="00DC0E82"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„mikropodnik, malý a stredný podnik“ alebo „MSP“ je spoločnosť, ktorá zamestnáva menej ako 250 osôb a ktorej ročný obrat nepresahuje 50 miliónov EUR alebo celková ročná súvaha nepresahuje 43 miliónov EUR alebo, pokiaľ ide o MSP so sídlom v členskom štáte, ktorého menou nie je euro, ekvivalentné sumy vyjadrené v mene tohto členského štátu.</w:t>
                  </w:r>
                </w:p>
              </w:tc>
            </w:tr>
          </w:tbl>
          <w:p w:rsidR="009107D6" w:rsidRPr="0031503F" w:rsidRDefault="009107D6" w:rsidP="001C143D">
            <w:pPr>
              <w:shd w:val="clear" w:color="auto" w:fill="FFFFFF"/>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9107D6" w:rsidRPr="0031503F" w:rsidRDefault="00E71FB2"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9107D6" w:rsidRPr="0031503F" w:rsidRDefault="00E71FB2"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9107D6" w:rsidRPr="0031503F" w:rsidRDefault="00E71FB2" w:rsidP="001C143D">
            <w:pPr>
              <w:pStyle w:val="Normlny0"/>
              <w:jc w:val="center"/>
            </w:pPr>
            <w:r w:rsidRPr="0031503F">
              <w:t xml:space="preserve">§ 3 úvodná </w:t>
            </w:r>
            <w:r w:rsidR="007F2394" w:rsidRPr="0031503F">
              <w:t>veta</w:t>
            </w:r>
          </w:p>
          <w:p w:rsidR="007F2394" w:rsidRPr="0031503F" w:rsidRDefault="007F2394" w:rsidP="007D44CF">
            <w:pPr>
              <w:pStyle w:val="Normlny0"/>
            </w:pPr>
          </w:p>
          <w:p w:rsidR="00E71FB2" w:rsidRPr="0031503F" w:rsidRDefault="00E71FB2" w:rsidP="001C143D">
            <w:pPr>
              <w:pStyle w:val="Normlny0"/>
              <w:jc w:val="center"/>
            </w:pPr>
            <w:r w:rsidRPr="0031503F">
              <w:t>P: a)</w:t>
            </w: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435168" w:rsidRPr="0031503F" w:rsidRDefault="00435168" w:rsidP="001C143D">
            <w:pPr>
              <w:pStyle w:val="Normlny0"/>
              <w:jc w:val="center"/>
            </w:pPr>
          </w:p>
          <w:p w:rsidR="00435168" w:rsidRPr="0031503F" w:rsidRDefault="00435168" w:rsidP="001C143D">
            <w:pPr>
              <w:pStyle w:val="Normlny0"/>
              <w:jc w:val="center"/>
            </w:pPr>
          </w:p>
          <w:p w:rsidR="007F2394" w:rsidRPr="0031503F" w:rsidRDefault="007F2394" w:rsidP="001C143D">
            <w:pPr>
              <w:pStyle w:val="Normlny0"/>
              <w:jc w:val="center"/>
            </w:pPr>
          </w:p>
          <w:p w:rsidR="008919F9" w:rsidRPr="0031503F" w:rsidRDefault="008919F9" w:rsidP="001C143D">
            <w:pPr>
              <w:pStyle w:val="Normlny0"/>
              <w:jc w:val="center"/>
            </w:pPr>
          </w:p>
          <w:p w:rsidR="008919F9" w:rsidRPr="0031503F" w:rsidRDefault="008919F9" w:rsidP="001C143D">
            <w:pPr>
              <w:pStyle w:val="Normlny0"/>
              <w:jc w:val="center"/>
            </w:pPr>
          </w:p>
          <w:p w:rsidR="00435168" w:rsidRPr="0031503F" w:rsidRDefault="00435168" w:rsidP="001C143D">
            <w:pPr>
              <w:pStyle w:val="Normlny0"/>
              <w:jc w:val="center"/>
            </w:pPr>
          </w:p>
          <w:p w:rsidR="008919F9" w:rsidRPr="0031503F" w:rsidRDefault="008919F9" w:rsidP="001C143D">
            <w:pPr>
              <w:pStyle w:val="Normlny0"/>
              <w:jc w:val="center"/>
            </w:pPr>
          </w:p>
          <w:p w:rsidR="007D44CF" w:rsidRPr="0031503F" w:rsidRDefault="007D44CF" w:rsidP="001C143D">
            <w:pPr>
              <w:pStyle w:val="Normlny0"/>
              <w:jc w:val="center"/>
            </w:pPr>
          </w:p>
          <w:p w:rsidR="007D44CF" w:rsidRPr="0031503F" w:rsidRDefault="007D44CF" w:rsidP="001C143D">
            <w:pPr>
              <w:pStyle w:val="Normlny0"/>
              <w:jc w:val="center"/>
            </w:pPr>
          </w:p>
          <w:p w:rsidR="007D44CF" w:rsidRPr="0031503F" w:rsidRDefault="007D44CF" w:rsidP="001C143D">
            <w:pPr>
              <w:pStyle w:val="Normlny0"/>
              <w:jc w:val="center"/>
            </w:pPr>
          </w:p>
          <w:p w:rsidR="008919F9" w:rsidRPr="0031503F" w:rsidRDefault="008919F9" w:rsidP="001C143D">
            <w:pPr>
              <w:pStyle w:val="Normlny0"/>
              <w:jc w:val="center"/>
            </w:pPr>
          </w:p>
          <w:p w:rsidR="0024086B" w:rsidRPr="0031503F" w:rsidRDefault="0024086B" w:rsidP="001C143D">
            <w:pPr>
              <w:pStyle w:val="Normlny0"/>
              <w:jc w:val="center"/>
            </w:pPr>
            <w:r w:rsidRPr="0031503F">
              <w:t>P: b)</w:t>
            </w:r>
          </w:p>
          <w:p w:rsidR="0024086B" w:rsidRPr="0031503F" w:rsidRDefault="0024086B" w:rsidP="001C143D">
            <w:pPr>
              <w:pStyle w:val="Normlny0"/>
              <w:jc w:val="center"/>
            </w:pPr>
          </w:p>
          <w:p w:rsidR="0024086B" w:rsidRPr="0031503F" w:rsidRDefault="0024086B"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8E01FE" w:rsidRPr="0031503F" w:rsidRDefault="008E01FE" w:rsidP="007D44CF">
            <w:pPr>
              <w:pStyle w:val="Normlny0"/>
            </w:pPr>
          </w:p>
          <w:p w:rsidR="0024086B" w:rsidRPr="0031503F" w:rsidRDefault="0024086B" w:rsidP="001C143D">
            <w:pPr>
              <w:pStyle w:val="Normlny0"/>
              <w:jc w:val="center"/>
            </w:pPr>
            <w:r w:rsidRPr="0031503F">
              <w:t>P: c)</w:t>
            </w: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7F2394" w:rsidRPr="0031503F" w:rsidRDefault="007F2394" w:rsidP="001C143D">
            <w:pPr>
              <w:pStyle w:val="Normlny0"/>
              <w:jc w:val="center"/>
            </w:pPr>
          </w:p>
          <w:p w:rsidR="00B821B2" w:rsidRPr="0031503F" w:rsidRDefault="00B821B2" w:rsidP="00C2289F">
            <w:pPr>
              <w:pStyle w:val="Normlny0"/>
            </w:pPr>
          </w:p>
          <w:p w:rsidR="0024086B" w:rsidRPr="0031503F" w:rsidRDefault="0024086B" w:rsidP="001C143D">
            <w:pPr>
              <w:pStyle w:val="Normlny0"/>
              <w:jc w:val="center"/>
            </w:pPr>
            <w:r w:rsidRPr="0031503F">
              <w:t>P: d)</w:t>
            </w: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r w:rsidRPr="0031503F">
              <w:t>P: e)</w:t>
            </w: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184A47" w:rsidRPr="0031503F" w:rsidRDefault="00184A47" w:rsidP="001C143D">
            <w:pPr>
              <w:pStyle w:val="Normlny0"/>
              <w:jc w:val="center"/>
            </w:pPr>
          </w:p>
          <w:p w:rsidR="0024086B" w:rsidRPr="0031503F" w:rsidRDefault="00184A47" w:rsidP="001C143D">
            <w:pPr>
              <w:pStyle w:val="Normlny0"/>
              <w:jc w:val="center"/>
            </w:pPr>
            <w:r w:rsidRPr="0031503F">
              <w:t>§ 2</w:t>
            </w:r>
          </w:p>
          <w:p w:rsidR="00184A47" w:rsidRPr="0031503F" w:rsidRDefault="00184A47" w:rsidP="001C143D">
            <w:pPr>
              <w:pStyle w:val="Normlny0"/>
              <w:jc w:val="center"/>
            </w:pPr>
            <w:r w:rsidRPr="0031503F">
              <w:t>O:2</w:t>
            </w: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0706E5" w:rsidRPr="0031503F" w:rsidRDefault="000706E5"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p w:rsidR="0024086B" w:rsidRPr="0031503F" w:rsidRDefault="0024086B" w:rsidP="001C143D">
            <w:pPr>
              <w:pStyle w:val="Normlny0"/>
              <w:jc w:val="center"/>
            </w:pPr>
          </w:p>
        </w:tc>
        <w:tc>
          <w:tcPr>
            <w:tcW w:w="2051" w:type="dxa"/>
            <w:tcBorders>
              <w:top w:val="single" w:sz="4" w:space="0" w:color="auto"/>
              <w:bottom w:val="single" w:sz="4" w:space="0" w:color="auto"/>
            </w:tcBorders>
          </w:tcPr>
          <w:p w:rsidR="005866F5" w:rsidRPr="0031503F" w:rsidRDefault="00E71FB2" w:rsidP="007D44CF">
            <w:pPr>
              <w:jc w:val="both"/>
              <w:rPr>
                <w:rFonts w:ascii="Times New Roman" w:hAnsi="Times New Roman" w:cs="Times New Roman"/>
                <w:sz w:val="20"/>
                <w:szCs w:val="20"/>
              </w:rPr>
            </w:pPr>
            <w:r w:rsidRPr="0031503F">
              <w:rPr>
                <w:rFonts w:ascii="Times New Roman" w:hAnsi="Times New Roman" w:cs="Times New Roman"/>
                <w:sz w:val="20"/>
                <w:szCs w:val="20"/>
              </w:rPr>
              <w:t>Na účely tohto zákona</w:t>
            </w:r>
            <w:r w:rsidR="007F2394" w:rsidRPr="0031503F">
              <w:rPr>
                <w:rFonts w:ascii="Times New Roman" w:hAnsi="Times New Roman" w:cs="Times New Roman"/>
                <w:sz w:val="20"/>
                <w:szCs w:val="20"/>
              </w:rPr>
              <w:t xml:space="preserve"> sa rozumie</w:t>
            </w:r>
            <w:r w:rsidRPr="0031503F">
              <w:rPr>
                <w:rFonts w:ascii="Times New Roman" w:hAnsi="Times New Roman" w:cs="Times New Roman"/>
                <w:sz w:val="20"/>
                <w:szCs w:val="20"/>
              </w:rPr>
              <w:t>:</w:t>
            </w:r>
          </w:p>
          <w:p w:rsidR="005866F5" w:rsidRPr="0031503F" w:rsidRDefault="005866F5" w:rsidP="007D44CF">
            <w:pPr>
              <w:jc w:val="both"/>
              <w:rPr>
                <w:rFonts w:ascii="Times New Roman" w:hAnsi="Times New Roman" w:cs="Times New Roman"/>
                <w:sz w:val="20"/>
                <w:szCs w:val="20"/>
              </w:rPr>
            </w:pPr>
            <w:r w:rsidRPr="0031503F">
              <w:rPr>
                <w:rFonts w:ascii="Times New Roman" w:hAnsi="Times New Roman" w:cs="Times New Roman"/>
                <w:sz w:val="20"/>
                <w:szCs w:val="20"/>
              </w:rPr>
              <w:t>kótovanou spoločnosťou spoločnosť so sídlom na území Slovenskej republiky, ktorej akcie sú v jednom alebo vo viacerých členských štátoch Európskej únie prijaté na obchodovanie na regulovanom trhu,</w:t>
            </w:r>
            <w:r w:rsidR="007D44CF" w:rsidRPr="0031503F">
              <w:rPr>
                <w:rFonts w:ascii="Times New Roman" w:hAnsi="Times New Roman" w:cs="Times New Roman"/>
                <w:sz w:val="20"/>
                <w:szCs w:val="20"/>
              </w:rPr>
              <w:t>4)</w:t>
            </w:r>
          </w:p>
          <w:p w:rsidR="00435168" w:rsidRPr="0031503F" w:rsidRDefault="00435168" w:rsidP="007D44CF">
            <w:pPr>
              <w:jc w:val="both"/>
              <w:rPr>
                <w:rFonts w:ascii="Times New Roman" w:hAnsi="Times New Roman" w:cs="Times New Roman"/>
                <w:sz w:val="20"/>
                <w:szCs w:val="20"/>
                <w:vertAlign w:val="superscript"/>
              </w:rPr>
            </w:pPr>
            <w:r w:rsidRPr="0031503F">
              <w:rPr>
                <w:rStyle w:val="Odkaznapoznmkupodiarou"/>
                <w:rFonts w:ascii="Times New Roman" w:hAnsi="Times New Roman" w:cs="Times New Roman"/>
                <w:sz w:val="20"/>
                <w:szCs w:val="20"/>
                <w:vertAlign w:val="baseline"/>
              </w:rPr>
              <w:t>P</w:t>
            </w:r>
            <w:r w:rsidRPr="0031503F">
              <w:rPr>
                <w:rFonts w:ascii="Times New Roman" w:hAnsi="Times New Roman" w:cs="Times New Roman"/>
                <w:sz w:val="20"/>
                <w:szCs w:val="20"/>
              </w:rPr>
              <w:t>oznámka pod čiarou k odkazu 4 znie:</w:t>
            </w:r>
            <w:r w:rsidR="008919F9" w:rsidRPr="0031503F">
              <w:rPr>
                <w:rFonts w:ascii="Times New Roman" w:hAnsi="Times New Roman" w:cs="Times New Roman"/>
                <w:sz w:val="20"/>
                <w:szCs w:val="20"/>
              </w:rPr>
              <w:t xml:space="preserve"> </w:t>
            </w:r>
            <w:r w:rsidRPr="0031503F">
              <w:rPr>
                <w:rFonts w:ascii="Times New Roman" w:hAnsi="Times New Roman" w:cs="Times New Roman"/>
                <w:color w:val="000000"/>
                <w:sz w:val="20"/>
                <w:szCs w:val="20"/>
              </w:rPr>
              <w:t>§ 3 ods. 1 zákona č. 429/2002 Z. z. o burze cenných papierov v znení neskorších predpisov.</w:t>
            </w:r>
          </w:p>
          <w:p w:rsidR="007F2394" w:rsidRPr="0031503F" w:rsidRDefault="007F2394" w:rsidP="007D44CF">
            <w:pPr>
              <w:jc w:val="both"/>
              <w:rPr>
                <w:rFonts w:ascii="Times New Roman" w:eastAsia="Calibri" w:hAnsi="Times New Roman" w:cs="Times New Roman"/>
                <w:sz w:val="20"/>
                <w:szCs w:val="20"/>
              </w:rPr>
            </w:pPr>
          </w:p>
          <w:p w:rsidR="00435168" w:rsidRPr="0031503F" w:rsidRDefault="00435168" w:rsidP="007D44CF">
            <w:pPr>
              <w:jc w:val="both"/>
              <w:rPr>
                <w:rFonts w:ascii="Times New Roman" w:eastAsia="Calibri" w:hAnsi="Times New Roman" w:cs="Times New Roman"/>
                <w:sz w:val="20"/>
                <w:szCs w:val="20"/>
              </w:rPr>
            </w:pPr>
          </w:p>
          <w:p w:rsidR="0024086B" w:rsidRPr="0031503F" w:rsidRDefault="0024086B" w:rsidP="007D44CF">
            <w:pPr>
              <w:jc w:val="both"/>
              <w:rPr>
                <w:rFonts w:ascii="Times New Roman" w:hAnsi="Times New Roman" w:cs="Times New Roman"/>
                <w:sz w:val="20"/>
                <w:szCs w:val="20"/>
              </w:rPr>
            </w:pPr>
            <w:r w:rsidRPr="0031503F">
              <w:rPr>
                <w:rFonts w:ascii="Times New Roman" w:hAnsi="Times New Roman" w:cs="Times New Roman"/>
                <w:sz w:val="20"/>
                <w:szCs w:val="20"/>
              </w:rPr>
              <w:t>vrcholový</w:t>
            </w:r>
            <w:r w:rsidR="007F2394" w:rsidRPr="0031503F">
              <w:rPr>
                <w:rFonts w:ascii="Times New Roman" w:hAnsi="Times New Roman" w:cs="Times New Roman"/>
                <w:sz w:val="20"/>
                <w:szCs w:val="20"/>
              </w:rPr>
              <w:t>m</w:t>
            </w:r>
            <w:r w:rsidRPr="0031503F">
              <w:rPr>
                <w:rFonts w:ascii="Times New Roman" w:hAnsi="Times New Roman" w:cs="Times New Roman"/>
                <w:sz w:val="20"/>
                <w:szCs w:val="20"/>
              </w:rPr>
              <w:t xml:space="preserve"> orgán</w:t>
            </w:r>
            <w:r w:rsidR="007F2394" w:rsidRPr="0031503F">
              <w:rPr>
                <w:rFonts w:ascii="Times New Roman" w:hAnsi="Times New Roman" w:cs="Times New Roman"/>
                <w:sz w:val="20"/>
                <w:szCs w:val="20"/>
              </w:rPr>
              <w:t>om</w:t>
            </w:r>
            <w:r w:rsidRPr="0031503F">
              <w:rPr>
                <w:rFonts w:ascii="Times New Roman" w:hAnsi="Times New Roman" w:cs="Times New Roman"/>
                <w:sz w:val="20"/>
                <w:szCs w:val="20"/>
              </w:rPr>
              <w:t xml:space="preserve"> </w:t>
            </w:r>
            <w:r w:rsidR="00C2289F" w:rsidRPr="0031503F">
              <w:rPr>
                <w:rFonts w:ascii="Times New Roman" w:hAnsi="Times New Roman" w:cs="Times New Roman"/>
                <w:sz w:val="20"/>
                <w:szCs w:val="20"/>
              </w:rPr>
              <w:t>štatutárny</w:t>
            </w:r>
            <w:r w:rsidR="007F2394" w:rsidRPr="0031503F">
              <w:rPr>
                <w:rFonts w:ascii="Times New Roman" w:hAnsi="Times New Roman" w:cs="Times New Roman"/>
                <w:sz w:val="20"/>
                <w:szCs w:val="20"/>
              </w:rPr>
              <w:t xml:space="preserve"> orgán</w:t>
            </w:r>
            <w:r w:rsidRPr="0031503F">
              <w:rPr>
                <w:rFonts w:ascii="Times New Roman" w:hAnsi="Times New Roman" w:cs="Times New Roman"/>
                <w:sz w:val="20"/>
                <w:szCs w:val="20"/>
              </w:rPr>
              <w:t xml:space="preserve">, alebo dozorný orgán kótovanej spoločnosti, </w:t>
            </w:r>
          </w:p>
          <w:p w:rsidR="008E01FE" w:rsidRPr="0031503F" w:rsidRDefault="008E01FE" w:rsidP="007D44CF">
            <w:pPr>
              <w:jc w:val="both"/>
              <w:rPr>
                <w:rFonts w:ascii="Times New Roman" w:hAnsi="Times New Roman" w:cs="Times New Roman"/>
                <w:sz w:val="20"/>
                <w:szCs w:val="20"/>
              </w:rPr>
            </w:pPr>
          </w:p>
          <w:p w:rsidR="007D44CF" w:rsidRPr="0031503F" w:rsidRDefault="007D44CF" w:rsidP="007D44CF">
            <w:pPr>
              <w:jc w:val="both"/>
              <w:rPr>
                <w:rFonts w:ascii="Times New Roman" w:hAnsi="Times New Roman" w:cs="Times New Roman"/>
                <w:sz w:val="20"/>
                <w:szCs w:val="20"/>
              </w:rPr>
            </w:pPr>
          </w:p>
          <w:p w:rsidR="007F2394" w:rsidRPr="0031503F" w:rsidRDefault="007F2394" w:rsidP="007D44CF">
            <w:pPr>
              <w:jc w:val="both"/>
              <w:rPr>
                <w:rFonts w:ascii="Times New Roman" w:hAnsi="Times New Roman" w:cs="Times New Roman"/>
                <w:sz w:val="20"/>
                <w:szCs w:val="20"/>
              </w:rPr>
            </w:pPr>
            <w:r w:rsidRPr="0031503F">
              <w:rPr>
                <w:rFonts w:ascii="Times New Roman" w:hAnsi="Times New Roman" w:cs="Times New Roman"/>
                <w:sz w:val="20"/>
                <w:szCs w:val="20"/>
              </w:rPr>
              <w:t>riadiacim pracovníkom výkonný riadiaci pracovník alebo nevýkonný riadiaci pracovník, ktorý je členom vrcholového orgánu vrátane člena</w:t>
            </w:r>
            <w:r w:rsidR="00B821B2" w:rsidRPr="0031503F">
              <w:rPr>
                <w:rFonts w:ascii="Times New Roman" w:hAnsi="Times New Roman" w:cs="Times New Roman"/>
                <w:sz w:val="20"/>
                <w:szCs w:val="20"/>
              </w:rPr>
              <w:t xml:space="preserve"> vrcholového orgánu</w:t>
            </w:r>
            <w:r w:rsidRPr="0031503F">
              <w:rPr>
                <w:rFonts w:ascii="Times New Roman" w:hAnsi="Times New Roman" w:cs="Times New Roman"/>
                <w:sz w:val="20"/>
                <w:szCs w:val="20"/>
              </w:rPr>
              <w:t xml:space="preserve">, ktorý je zástupcom zamestnancov, </w:t>
            </w:r>
          </w:p>
          <w:p w:rsidR="0024086B" w:rsidRPr="0031503F" w:rsidRDefault="0024086B" w:rsidP="007D44CF">
            <w:pPr>
              <w:jc w:val="both"/>
              <w:rPr>
                <w:rFonts w:ascii="Times New Roman" w:hAnsi="Times New Roman" w:cs="Times New Roman"/>
                <w:sz w:val="20"/>
                <w:szCs w:val="20"/>
              </w:rPr>
            </w:pPr>
          </w:p>
          <w:p w:rsidR="000706E5" w:rsidRPr="0031503F" w:rsidRDefault="0024086B" w:rsidP="007D44CF">
            <w:pPr>
              <w:jc w:val="both"/>
              <w:rPr>
                <w:rFonts w:ascii="Times New Roman" w:hAnsi="Times New Roman" w:cs="Times New Roman"/>
                <w:sz w:val="20"/>
                <w:szCs w:val="20"/>
              </w:rPr>
            </w:pPr>
            <w:r w:rsidRPr="0031503F">
              <w:rPr>
                <w:rFonts w:ascii="Times New Roman" w:hAnsi="Times New Roman" w:cs="Times New Roman"/>
                <w:sz w:val="20"/>
                <w:szCs w:val="20"/>
              </w:rPr>
              <w:t>výkonný</w:t>
            </w:r>
            <w:r w:rsidR="007F2394" w:rsidRPr="0031503F">
              <w:rPr>
                <w:rFonts w:ascii="Times New Roman" w:hAnsi="Times New Roman" w:cs="Times New Roman"/>
                <w:sz w:val="20"/>
                <w:szCs w:val="20"/>
              </w:rPr>
              <w:t>m</w:t>
            </w:r>
            <w:r w:rsidRPr="0031503F">
              <w:rPr>
                <w:rFonts w:ascii="Times New Roman" w:hAnsi="Times New Roman" w:cs="Times New Roman"/>
                <w:sz w:val="20"/>
                <w:szCs w:val="20"/>
              </w:rPr>
              <w:t xml:space="preserve"> riadiaci</w:t>
            </w:r>
            <w:r w:rsidR="007F2394" w:rsidRPr="0031503F">
              <w:rPr>
                <w:rFonts w:ascii="Times New Roman" w:hAnsi="Times New Roman" w:cs="Times New Roman"/>
                <w:sz w:val="20"/>
                <w:szCs w:val="20"/>
              </w:rPr>
              <w:t>m</w:t>
            </w:r>
            <w:r w:rsidRPr="0031503F">
              <w:rPr>
                <w:rFonts w:ascii="Times New Roman" w:hAnsi="Times New Roman" w:cs="Times New Roman"/>
                <w:sz w:val="20"/>
                <w:szCs w:val="20"/>
              </w:rPr>
              <w:t xml:space="preserve"> pracovník</w:t>
            </w:r>
            <w:r w:rsidR="007F2394" w:rsidRPr="0031503F">
              <w:rPr>
                <w:rFonts w:ascii="Times New Roman" w:hAnsi="Times New Roman" w:cs="Times New Roman"/>
                <w:sz w:val="20"/>
                <w:szCs w:val="20"/>
              </w:rPr>
              <w:t>om</w:t>
            </w:r>
            <w:r w:rsidRPr="0031503F">
              <w:rPr>
                <w:rFonts w:ascii="Times New Roman" w:hAnsi="Times New Roman" w:cs="Times New Roman"/>
                <w:sz w:val="20"/>
                <w:szCs w:val="20"/>
              </w:rPr>
              <w:t xml:space="preserve"> člen vrcholového orgánu, ktorý je zapojený do každodenného</w:t>
            </w:r>
            <w:r w:rsidR="007F2394" w:rsidRPr="0031503F">
              <w:rPr>
                <w:rFonts w:ascii="Times New Roman" w:hAnsi="Times New Roman" w:cs="Times New Roman"/>
                <w:sz w:val="20"/>
                <w:szCs w:val="20"/>
              </w:rPr>
              <w:t xml:space="preserve"> riadenia kótovanej spoločnosti,</w:t>
            </w:r>
          </w:p>
          <w:p w:rsidR="007F2394" w:rsidRPr="0031503F" w:rsidRDefault="007F2394" w:rsidP="007D44CF">
            <w:pPr>
              <w:jc w:val="both"/>
              <w:rPr>
                <w:rFonts w:ascii="Times New Roman" w:hAnsi="Times New Roman" w:cs="Times New Roman"/>
                <w:sz w:val="20"/>
                <w:szCs w:val="20"/>
              </w:rPr>
            </w:pPr>
          </w:p>
          <w:p w:rsidR="007F2394" w:rsidRPr="0031503F" w:rsidRDefault="007F2394" w:rsidP="007D44CF">
            <w:pPr>
              <w:jc w:val="both"/>
              <w:rPr>
                <w:rFonts w:ascii="Times New Roman" w:hAnsi="Times New Roman" w:cs="Times New Roman"/>
                <w:sz w:val="20"/>
                <w:szCs w:val="20"/>
              </w:rPr>
            </w:pPr>
          </w:p>
          <w:p w:rsidR="007F2394" w:rsidRPr="0031503F" w:rsidRDefault="007F2394" w:rsidP="007D44CF">
            <w:pPr>
              <w:jc w:val="both"/>
              <w:rPr>
                <w:rFonts w:ascii="Times New Roman" w:hAnsi="Times New Roman" w:cs="Times New Roman"/>
                <w:sz w:val="20"/>
                <w:szCs w:val="20"/>
              </w:rPr>
            </w:pPr>
          </w:p>
          <w:p w:rsidR="0024086B" w:rsidRPr="0031503F" w:rsidRDefault="0024086B" w:rsidP="007D44CF">
            <w:pPr>
              <w:jc w:val="both"/>
              <w:rPr>
                <w:rFonts w:ascii="Times New Roman" w:hAnsi="Times New Roman" w:cs="Times New Roman"/>
                <w:sz w:val="20"/>
                <w:szCs w:val="20"/>
              </w:rPr>
            </w:pPr>
            <w:r w:rsidRPr="0031503F">
              <w:rPr>
                <w:rFonts w:ascii="Times New Roman" w:hAnsi="Times New Roman" w:cs="Times New Roman"/>
                <w:sz w:val="20"/>
                <w:szCs w:val="20"/>
              </w:rPr>
              <w:t>nevýkonný</w:t>
            </w:r>
            <w:r w:rsidR="007F2394" w:rsidRPr="0031503F">
              <w:rPr>
                <w:rFonts w:ascii="Times New Roman" w:hAnsi="Times New Roman" w:cs="Times New Roman"/>
                <w:sz w:val="20"/>
                <w:szCs w:val="20"/>
              </w:rPr>
              <w:t>m</w:t>
            </w:r>
            <w:r w:rsidRPr="0031503F">
              <w:rPr>
                <w:rFonts w:ascii="Times New Roman" w:hAnsi="Times New Roman" w:cs="Times New Roman"/>
                <w:sz w:val="20"/>
                <w:szCs w:val="20"/>
              </w:rPr>
              <w:t xml:space="preserve"> riadiaci</w:t>
            </w:r>
            <w:r w:rsidR="007F2394" w:rsidRPr="0031503F">
              <w:rPr>
                <w:rFonts w:ascii="Times New Roman" w:hAnsi="Times New Roman" w:cs="Times New Roman"/>
                <w:sz w:val="20"/>
                <w:szCs w:val="20"/>
              </w:rPr>
              <w:t>m</w:t>
            </w:r>
            <w:r w:rsidRPr="0031503F">
              <w:rPr>
                <w:rFonts w:ascii="Times New Roman" w:hAnsi="Times New Roman" w:cs="Times New Roman"/>
                <w:sz w:val="20"/>
                <w:szCs w:val="20"/>
              </w:rPr>
              <w:t xml:space="preserve"> pracovník</w:t>
            </w:r>
            <w:r w:rsidR="007F2394" w:rsidRPr="0031503F">
              <w:rPr>
                <w:rFonts w:ascii="Times New Roman" w:hAnsi="Times New Roman" w:cs="Times New Roman"/>
                <w:sz w:val="20"/>
                <w:szCs w:val="20"/>
              </w:rPr>
              <w:t>om</w:t>
            </w:r>
            <w:r w:rsidRPr="0031503F">
              <w:rPr>
                <w:rFonts w:ascii="Times New Roman" w:hAnsi="Times New Roman" w:cs="Times New Roman"/>
                <w:sz w:val="20"/>
                <w:szCs w:val="20"/>
              </w:rPr>
              <w:t xml:space="preserve"> člen vrcholového orgánu, ktorý nie je </w:t>
            </w:r>
            <w:r w:rsidR="007F2394" w:rsidRPr="0031503F">
              <w:rPr>
                <w:rFonts w:ascii="Times New Roman" w:hAnsi="Times New Roman" w:cs="Times New Roman"/>
                <w:sz w:val="20"/>
                <w:szCs w:val="20"/>
              </w:rPr>
              <w:t xml:space="preserve">výkonným riadiacim pracovníkom a </w:t>
            </w:r>
            <w:r w:rsidRPr="0031503F">
              <w:rPr>
                <w:rFonts w:ascii="Times New Roman" w:hAnsi="Times New Roman" w:cs="Times New Roman"/>
                <w:sz w:val="20"/>
                <w:szCs w:val="20"/>
              </w:rPr>
              <w:t>ktorý vykonáva dozorné funkcie,</w:t>
            </w:r>
          </w:p>
          <w:p w:rsidR="0024086B" w:rsidRPr="0031503F" w:rsidRDefault="0024086B"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jc w:val="both"/>
              <w:rPr>
                <w:rFonts w:ascii="Times New Roman" w:hAnsi="Times New Roman" w:cs="Times New Roman"/>
                <w:sz w:val="20"/>
                <w:szCs w:val="20"/>
              </w:rPr>
            </w:pPr>
          </w:p>
          <w:p w:rsidR="00184A47" w:rsidRPr="0031503F" w:rsidRDefault="00184A47" w:rsidP="007D44CF">
            <w:pPr>
              <w:pStyle w:val="Standard"/>
              <w:shd w:val="clear" w:color="auto" w:fill="FFFFFF" w:themeFill="background1"/>
              <w:spacing w:line="240" w:lineRule="auto"/>
              <w:jc w:val="both"/>
              <w:rPr>
                <w:rFonts w:ascii="Times New Roman" w:hAnsi="Times New Roman" w:cs="Times New Roman"/>
                <w:sz w:val="20"/>
                <w:szCs w:val="20"/>
              </w:rPr>
            </w:pPr>
          </w:p>
          <w:p w:rsidR="00184A47" w:rsidRPr="0031503F" w:rsidRDefault="00184A47" w:rsidP="007D44CF">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Tento zákon sa nevzťahuje na mikropodniky,</w:t>
            </w:r>
            <w:r w:rsidRPr="0031503F">
              <w:rPr>
                <w:rStyle w:val="Odkaznapoznmkupodiarou"/>
                <w:rFonts w:ascii="Times New Roman" w:hAnsi="Times New Roman" w:cs="Times New Roman"/>
                <w:sz w:val="20"/>
                <w:szCs w:val="20"/>
              </w:rPr>
              <w:footnoteReference w:id="1"/>
            </w:r>
            <w:r w:rsidRPr="0031503F">
              <w:rPr>
                <w:rFonts w:ascii="Times New Roman" w:hAnsi="Times New Roman" w:cs="Times New Roman"/>
                <w:sz w:val="20"/>
                <w:szCs w:val="20"/>
              </w:rPr>
              <w:t>) malé podniky</w:t>
            </w:r>
            <w:r w:rsidRPr="0031503F">
              <w:rPr>
                <w:rStyle w:val="Odkaznapoznmkupodiarou"/>
                <w:rFonts w:ascii="Times New Roman" w:hAnsi="Times New Roman" w:cs="Times New Roman"/>
                <w:sz w:val="20"/>
                <w:szCs w:val="20"/>
              </w:rPr>
              <w:footnoteReference w:id="2"/>
            </w:r>
            <w:r w:rsidRPr="0031503F">
              <w:rPr>
                <w:rFonts w:ascii="Times New Roman" w:hAnsi="Times New Roman" w:cs="Times New Roman"/>
                <w:sz w:val="20"/>
                <w:szCs w:val="20"/>
              </w:rPr>
              <w:t>) a stredné podniky</w:t>
            </w:r>
            <w:r w:rsidRPr="0031503F">
              <w:rPr>
                <w:rStyle w:val="Odkaznapoznmkupodiarou"/>
                <w:rFonts w:ascii="Times New Roman" w:hAnsi="Times New Roman" w:cs="Times New Roman"/>
                <w:sz w:val="20"/>
                <w:szCs w:val="20"/>
              </w:rPr>
              <w:footnoteReference w:id="3"/>
            </w:r>
            <w:r w:rsidR="00C2289F" w:rsidRPr="0031503F">
              <w:rPr>
                <w:rFonts w:ascii="Times New Roman" w:hAnsi="Times New Roman" w:cs="Times New Roman"/>
                <w:sz w:val="20"/>
                <w:szCs w:val="20"/>
              </w:rPr>
              <w:t>).</w:t>
            </w:r>
          </w:p>
          <w:p w:rsidR="00184A47" w:rsidRPr="0031503F" w:rsidRDefault="00184A47" w:rsidP="007D44CF">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Poznámky pod čiarou k odkazom 1 až 3 znejú:</w:t>
            </w:r>
          </w:p>
          <w:p w:rsidR="00184A47" w:rsidRPr="0031503F" w:rsidRDefault="00184A47" w:rsidP="007D44CF">
            <w:pPr>
              <w:pStyle w:val="Textpoznmkypodiarou"/>
              <w:jc w:val="both"/>
              <w:rPr>
                <w:rFonts w:ascii="Times New Roman" w:hAnsi="Times New Roman" w:cs="Times New Roman"/>
              </w:rPr>
            </w:pPr>
            <w:r w:rsidRPr="0031503F">
              <w:rPr>
                <w:rStyle w:val="Odkaznapoznmkupodiarou"/>
                <w:rFonts w:ascii="Times New Roman" w:hAnsi="Times New Roman" w:cs="Times New Roman"/>
              </w:rPr>
              <w:footnoteRef/>
            </w:r>
            <w:r w:rsidRPr="0031503F">
              <w:rPr>
                <w:rFonts w:ascii="Times New Roman" w:hAnsi="Times New Roman" w:cs="Times New Roman"/>
              </w:rPr>
              <w:t xml:space="preserve">) </w:t>
            </w:r>
            <w:r w:rsidR="00C2289F" w:rsidRPr="0031503F">
              <w:rPr>
                <w:rFonts w:ascii="Times New Roman" w:hAnsi="Times New Roman" w:cs="Times New Roman"/>
                <w:shd w:val="clear" w:color="auto" w:fill="FFFFFF"/>
              </w:rPr>
              <w:t>Čl. 2 ods. 3 p</w:t>
            </w:r>
            <w:r w:rsidRPr="0031503F">
              <w:rPr>
                <w:rFonts w:ascii="Times New Roman" w:hAnsi="Times New Roman" w:cs="Times New Roman"/>
                <w:shd w:val="clear" w:color="auto" w:fill="FFFFFF"/>
              </w:rPr>
              <w:t>rílohy I nariadenia Komisie (EÚ) č. 651/2014 zo 17. júna 2014 o vyhlásení určitých kategórií pomoci za zlučiteľné s vnútorným trhom podľa článkov 107 a 108 Zmluvy (Ú. v. EÚ L 187, 26. 6. 2014)</w:t>
            </w:r>
            <w:r w:rsidR="00C2289F" w:rsidRPr="0031503F">
              <w:rPr>
                <w:rFonts w:ascii="Times New Roman" w:hAnsi="Times New Roman" w:cs="Times New Roman"/>
                <w:shd w:val="clear" w:color="auto" w:fill="FFFFFF"/>
              </w:rPr>
              <w:t xml:space="preserve"> v platnom znení</w:t>
            </w:r>
            <w:r w:rsidRPr="0031503F">
              <w:rPr>
                <w:rFonts w:ascii="Times New Roman" w:hAnsi="Times New Roman" w:cs="Times New Roman"/>
                <w:shd w:val="clear" w:color="auto" w:fill="FFFFFF"/>
              </w:rPr>
              <w:t>.</w:t>
            </w:r>
          </w:p>
          <w:p w:rsidR="00184A47" w:rsidRPr="0031503F" w:rsidRDefault="00184A47" w:rsidP="007D44CF">
            <w:pPr>
              <w:pStyle w:val="Textpoznmkypodiarou"/>
              <w:jc w:val="both"/>
              <w:rPr>
                <w:rFonts w:ascii="Times New Roman" w:hAnsi="Times New Roman" w:cs="Times New Roman"/>
              </w:rPr>
            </w:pPr>
            <w:r w:rsidRPr="0031503F">
              <w:rPr>
                <w:rStyle w:val="Odkaznapoznmkupodiarou"/>
                <w:rFonts w:ascii="Times New Roman" w:hAnsi="Times New Roman" w:cs="Times New Roman"/>
              </w:rPr>
              <w:t>2</w:t>
            </w:r>
            <w:r w:rsidR="00C2289F" w:rsidRPr="0031503F">
              <w:rPr>
                <w:rFonts w:ascii="Times New Roman" w:hAnsi="Times New Roman" w:cs="Times New Roman"/>
              </w:rPr>
              <w:t>) Čl. 2 ods. 2 p</w:t>
            </w:r>
            <w:r w:rsidRPr="0031503F">
              <w:rPr>
                <w:rFonts w:ascii="Times New Roman" w:hAnsi="Times New Roman" w:cs="Times New Roman"/>
              </w:rPr>
              <w:t>rílohy I nariadenia EÚ č. 651/2014</w:t>
            </w:r>
            <w:r w:rsidR="00C2289F" w:rsidRPr="0031503F">
              <w:rPr>
                <w:rFonts w:ascii="Times New Roman" w:hAnsi="Times New Roman" w:cs="Times New Roman"/>
                <w:shd w:val="clear" w:color="auto" w:fill="FFFFFF"/>
              </w:rPr>
              <w:t xml:space="preserve"> v platnom znení</w:t>
            </w:r>
            <w:r w:rsidRPr="0031503F">
              <w:rPr>
                <w:rFonts w:ascii="Times New Roman" w:hAnsi="Times New Roman" w:cs="Times New Roman"/>
              </w:rPr>
              <w:t>.</w:t>
            </w:r>
          </w:p>
          <w:p w:rsidR="0024086B" w:rsidRPr="0031503F" w:rsidRDefault="00184A47" w:rsidP="007D44CF">
            <w:pPr>
              <w:pStyle w:val="Standard"/>
              <w:shd w:val="clear" w:color="auto" w:fill="FFFFFF" w:themeFill="background1"/>
              <w:spacing w:line="240" w:lineRule="auto"/>
              <w:jc w:val="both"/>
              <w:rPr>
                <w:rFonts w:ascii="Times New Roman" w:hAnsi="Times New Roman" w:cs="Times New Roman"/>
                <w:sz w:val="20"/>
                <w:szCs w:val="20"/>
              </w:rPr>
            </w:pPr>
            <w:r w:rsidRPr="0031503F">
              <w:rPr>
                <w:rStyle w:val="Odkaznapoznmkupodiarou"/>
                <w:rFonts w:ascii="Times New Roman" w:hAnsi="Times New Roman" w:cs="Times New Roman"/>
                <w:sz w:val="20"/>
                <w:szCs w:val="20"/>
              </w:rPr>
              <w:t>3</w:t>
            </w:r>
            <w:r w:rsidR="00C2289F" w:rsidRPr="0031503F">
              <w:rPr>
                <w:rFonts w:ascii="Times New Roman" w:hAnsi="Times New Roman" w:cs="Times New Roman"/>
                <w:sz w:val="20"/>
                <w:szCs w:val="20"/>
              </w:rPr>
              <w:t>) Čl. 2 p</w:t>
            </w:r>
            <w:r w:rsidRPr="0031503F">
              <w:rPr>
                <w:rFonts w:ascii="Times New Roman" w:hAnsi="Times New Roman" w:cs="Times New Roman"/>
                <w:sz w:val="20"/>
                <w:szCs w:val="20"/>
              </w:rPr>
              <w:t>rílohy I nariadenia EÚ č. 651/2014</w:t>
            </w:r>
            <w:r w:rsidR="00C2289F" w:rsidRPr="0031503F">
              <w:rPr>
                <w:rFonts w:ascii="Times New Roman" w:hAnsi="Times New Roman" w:cs="Times New Roman"/>
                <w:sz w:val="20"/>
                <w:szCs w:val="20"/>
              </w:rPr>
              <w:t xml:space="preserve"> </w:t>
            </w:r>
            <w:r w:rsidR="00C2289F" w:rsidRPr="0031503F">
              <w:rPr>
                <w:rFonts w:ascii="Times New Roman" w:hAnsi="Times New Roman" w:cs="Times New Roman"/>
                <w:sz w:val="20"/>
                <w:szCs w:val="20"/>
                <w:shd w:val="clear" w:color="auto" w:fill="FFFFFF"/>
              </w:rPr>
              <w:t>v platnom znení</w:t>
            </w:r>
            <w:r w:rsidRPr="0031503F">
              <w:rPr>
                <w:rFonts w:ascii="Times New Roman" w:hAnsi="Times New Roman" w:cs="Times New Roman"/>
                <w:sz w:val="20"/>
                <w:szCs w:val="20"/>
              </w:rPr>
              <w:t>.</w:t>
            </w:r>
          </w:p>
        </w:tc>
        <w:tc>
          <w:tcPr>
            <w:tcW w:w="727" w:type="dxa"/>
            <w:tcBorders>
              <w:top w:val="single" w:sz="4" w:space="0" w:color="auto"/>
              <w:bottom w:val="single" w:sz="4" w:space="0" w:color="auto"/>
            </w:tcBorders>
          </w:tcPr>
          <w:p w:rsidR="009107D6" w:rsidRPr="0031503F" w:rsidRDefault="00C969C6"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9107D6" w:rsidRPr="0031503F" w:rsidRDefault="009107D6"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CB3223">
            <w:pPr>
              <w:jc w:val="both"/>
              <w:rPr>
                <w:rFonts w:ascii="Times New Roman" w:hAnsi="Times New Roman" w:cs="Times New Roman"/>
                <w:sz w:val="20"/>
                <w:szCs w:val="20"/>
              </w:rPr>
            </w:pPr>
          </w:p>
          <w:p w:rsidR="007F2394" w:rsidRPr="0031503F" w:rsidRDefault="007F2394" w:rsidP="007F2394">
            <w:pPr>
              <w:rPr>
                <w:rFonts w:ascii="Times New Roman" w:eastAsia="Times New Roman" w:hAnsi="Times New Roman" w:cs="Times New Roman"/>
                <w:sz w:val="20"/>
                <w:szCs w:val="20"/>
              </w:rPr>
            </w:pPr>
            <w:r w:rsidRPr="0031503F">
              <w:rPr>
                <w:rFonts w:ascii="Times New Roman" w:eastAsia="Times New Roman" w:hAnsi="Times New Roman" w:cs="Times New Roman"/>
                <w:sz w:val="20"/>
                <w:szCs w:val="20"/>
              </w:rPr>
              <w:t xml:space="preserve">Platná právna úprava v Slovenskej republike vychádza z duálneho systému vrcholových orgánov (predstavenstvo, dozorná rada), čomu je prispôsobená aj úprava v § 3 návrhu zákona. </w:t>
            </w:r>
          </w:p>
          <w:p w:rsidR="007F2394" w:rsidRPr="0031503F" w:rsidRDefault="007F2394" w:rsidP="00CB3223">
            <w:pPr>
              <w:jc w:val="both"/>
              <w:rPr>
                <w:rFonts w:ascii="Times New Roman" w:hAnsi="Times New Roman" w:cs="Times New Roman"/>
                <w:sz w:val="20"/>
                <w:szCs w:val="20"/>
              </w:rPr>
            </w:pPr>
          </w:p>
          <w:p w:rsidR="009156F3" w:rsidRPr="0031503F" w:rsidRDefault="009156F3" w:rsidP="00CB3223">
            <w:pPr>
              <w:jc w:val="both"/>
              <w:rPr>
                <w:rFonts w:ascii="Times New Roman" w:hAnsi="Times New Roman" w:cs="Times New Roman"/>
                <w:sz w:val="20"/>
                <w:szCs w:val="20"/>
              </w:rPr>
            </w:pPr>
          </w:p>
          <w:p w:rsidR="009156F3" w:rsidRPr="0031503F" w:rsidRDefault="009156F3" w:rsidP="009156F3">
            <w:pPr>
              <w:pStyle w:val="Textpoznmkypodiarou"/>
              <w:jc w:val="both"/>
              <w:rPr>
                <w:rFonts w:ascii="Times New Roman" w:hAnsi="Times New Roman" w:cs="Times New Roman"/>
              </w:rPr>
            </w:pPr>
            <w:r w:rsidRPr="0031503F">
              <w:rPr>
                <w:rFonts w:ascii="Times New Roman" w:hAnsi="Times New Roman" w:cs="Times New Roman"/>
              </w:rPr>
              <w:t>V prípade mikropodniku, malého podniku a stredného podniku sa odkazuje na príslušné články nariadenia EÚ č. 651/2014, v ktorom sú obsiahnuté ich definícií, nakoľko nariadenia EÚ sú priamo aplikovateľné vo vnútroštátnom právnom poriadku.</w:t>
            </w:r>
          </w:p>
          <w:p w:rsidR="009156F3" w:rsidRPr="0031503F" w:rsidRDefault="009156F3" w:rsidP="009156F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9107D6" w:rsidRPr="0031503F" w:rsidRDefault="00E71FB2"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435168" w:rsidRPr="0031503F" w:rsidRDefault="00435168" w:rsidP="00CB3223">
            <w:pPr>
              <w:jc w:val="center"/>
              <w:rPr>
                <w:rFonts w:ascii="Times New Roman" w:hAnsi="Times New Roman" w:cs="Times New Roman"/>
                <w:b/>
                <w:sz w:val="20"/>
                <w:szCs w:val="20"/>
              </w:rPr>
            </w:pPr>
          </w:p>
          <w:p w:rsidR="00435168" w:rsidRPr="0031503F" w:rsidRDefault="00435168" w:rsidP="00CB3223">
            <w:pPr>
              <w:jc w:val="center"/>
              <w:rPr>
                <w:rFonts w:ascii="Times New Roman" w:hAnsi="Times New Roman" w:cs="Times New Roman"/>
                <w:b/>
                <w:sz w:val="20"/>
                <w:szCs w:val="20"/>
              </w:rPr>
            </w:pPr>
          </w:p>
          <w:p w:rsidR="008919F9" w:rsidRPr="0031503F" w:rsidRDefault="008919F9" w:rsidP="00CB3223">
            <w:pPr>
              <w:jc w:val="center"/>
              <w:rPr>
                <w:rFonts w:ascii="Times New Roman" w:hAnsi="Times New Roman" w:cs="Times New Roman"/>
                <w:b/>
                <w:sz w:val="20"/>
                <w:szCs w:val="20"/>
              </w:rPr>
            </w:pPr>
          </w:p>
          <w:p w:rsidR="008919F9" w:rsidRPr="0031503F" w:rsidRDefault="008919F9" w:rsidP="00CB3223">
            <w:pPr>
              <w:jc w:val="center"/>
              <w:rPr>
                <w:rFonts w:ascii="Times New Roman" w:hAnsi="Times New Roman" w:cs="Times New Roman"/>
                <w:b/>
                <w:sz w:val="20"/>
                <w:szCs w:val="20"/>
              </w:rPr>
            </w:pPr>
          </w:p>
          <w:p w:rsidR="008919F9" w:rsidRPr="0031503F" w:rsidRDefault="008919F9" w:rsidP="00CB3223">
            <w:pPr>
              <w:jc w:val="center"/>
              <w:rPr>
                <w:rFonts w:ascii="Times New Roman" w:hAnsi="Times New Roman" w:cs="Times New Roman"/>
                <w:b/>
                <w:sz w:val="20"/>
                <w:szCs w:val="20"/>
              </w:rPr>
            </w:pPr>
          </w:p>
          <w:p w:rsidR="008919F9" w:rsidRPr="0031503F" w:rsidRDefault="008919F9"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435168" w:rsidRPr="0031503F" w:rsidRDefault="00435168"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p w:rsidR="008E01FE" w:rsidRPr="0031503F" w:rsidRDefault="008E01FE"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C2289F" w:rsidRPr="0031503F" w:rsidRDefault="00C2289F" w:rsidP="00C2289F">
            <w:pP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1540E4" w:rsidRPr="0031503F" w:rsidRDefault="001540E4" w:rsidP="008E01FE">
            <w:pPr>
              <w:jc w:val="center"/>
              <w:rPr>
                <w:rFonts w:ascii="Times New Roman" w:hAnsi="Times New Roman" w:cs="Times New Roman"/>
                <w:b/>
                <w:sz w:val="20"/>
                <w:szCs w:val="20"/>
              </w:rPr>
            </w:pPr>
          </w:p>
          <w:p w:rsidR="008E01FE" w:rsidRPr="0031503F" w:rsidRDefault="008E01FE" w:rsidP="001540E4">
            <w:pPr>
              <w:rPr>
                <w:rFonts w:ascii="Times New Roman" w:hAnsi="Times New Roman" w:cs="Times New Roman"/>
                <w:b/>
                <w:sz w:val="20"/>
                <w:szCs w:val="20"/>
              </w:rPr>
            </w:pPr>
          </w:p>
          <w:p w:rsidR="008E01FE" w:rsidRPr="0031503F" w:rsidRDefault="008E01FE"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DE2986" w:rsidRPr="0031503F" w:rsidRDefault="00DE2986" w:rsidP="00CB3223">
            <w:pPr>
              <w:jc w:val="both"/>
              <w:rPr>
                <w:rFonts w:ascii="Times New Roman" w:hAnsi="Times New Roman" w:cs="Times New Roman"/>
                <w:b/>
                <w:bCs/>
                <w:sz w:val="20"/>
                <w:szCs w:val="20"/>
              </w:rPr>
            </w:pPr>
          </w:p>
          <w:p w:rsidR="009107D6" w:rsidRPr="0031503F" w:rsidRDefault="00423B5D"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4 </w:t>
            </w:r>
          </w:p>
        </w:tc>
        <w:tc>
          <w:tcPr>
            <w:tcW w:w="2837" w:type="dxa"/>
            <w:tcBorders>
              <w:top w:val="single" w:sz="4" w:space="0" w:color="auto"/>
              <w:bottom w:val="single" w:sz="4" w:space="0" w:color="auto"/>
            </w:tcBorders>
          </w:tcPr>
          <w:p w:rsidR="00DE2986" w:rsidRPr="0031503F" w:rsidRDefault="00DE2986" w:rsidP="001C143D">
            <w:pPr>
              <w:shd w:val="clear" w:color="auto" w:fill="FFFFFF"/>
              <w:jc w:val="both"/>
              <w:rPr>
                <w:rFonts w:ascii="Times New Roman" w:eastAsia="Times New Roman" w:hAnsi="Times New Roman" w:cs="Times New Roman"/>
                <w:b/>
                <w:color w:val="333333"/>
                <w:sz w:val="20"/>
                <w:szCs w:val="20"/>
                <w:lang w:eastAsia="sk-SK"/>
              </w:rPr>
            </w:pPr>
          </w:p>
          <w:p w:rsidR="009107D6" w:rsidRPr="0031503F" w:rsidRDefault="00423B5D" w:rsidP="001C143D">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Rozhodné právo</w:t>
            </w:r>
          </w:p>
        </w:tc>
        <w:tc>
          <w:tcPr>
            <w:tcW w:w="828" w:type="dxa"/>
            <w:tcBorders>
              <w:top w:val="single" w:sz="4" w:space="0" w:color="auto"/>
              <w:bottom w:val="single" w:sz="4" w:space="0" w:color="auto"/>
            </w:tcBorders>
          </w:tcPr>
          <w:p w:rsidR="009107D6" w:rsidRPr="0031503F" w:rsidRDefault="009107D6" w:rsidP="001C143D">
            <w:pPr>
              <w:jc w:val="both"/>
              <w:rPr>
                <w:rFonts w:ascii="Times New Roman" w:hAnsi="Times New Roman" w:cs="Times New Roman"/>
                <w:b/>
                <w:sz w:val="20"/>
                <w:szCs w:val="20"/>
              </w:rPr>
            </w:pPr>
          </w:p>
        </w:tc>
        <w:tc>
          <w:tcPr>
            <w:tcW w:w="1015" w:type="dxa"/>
            <w:tcBorders>
              <w:top w:val="single" w:sz="4" w:space="0" w:color="auto"/>
              <w:bottom w:val="single" w:sz="4" w:space="0" w:color="auto"/>
            </w:tcBorders>
          </w:tcPr>
          <w:p w:rsidR="009107D6" w:rsidRPr="0031503F" w:rsidRDefault="009107D6" w:rsidP="001C143D">
            <w:pPr>
              <w:jc w:val="both"/>
              <w:rPr>
                <w:rFonts w:ascii="Times New Roman" w:hAnsi="Times New Roman" w:cs="Times New Roman"/>
                <w:b/>
                <w:sz w:val="20"/>
                <w:szCs w:val="20"/>
                <w:shd w:val="clear" w:color="auto" w:fill="FFFFFF"/>
              </w:rPr>
            </w:pPr>
          </w:p>
        </w:tc>
        <w:tc>
          <w:tcPr>
            <w:tcW w:w="1667" w:type="dxa"/>
            <w:tcBorders>
              <w:top w:val="single" w:sz="4" w:space="0" w:color="auto"/>
              <w:bottom w:val="single" w:sz="4" w:space="0" w:color="auto"/>
            </w:tcBorders>
          </w:tcPr>
          <w:p w:rsidR="009107D6" w:rsidRPr="0031503F" w:rsidRDefault="009107D6" w:rsidP="001C143D">
            <w:pPr>
              <w:pStyle w:val="Normlny0"/>
              <w:jc w:val="center"/>
              <w:rPr>
                <w:b/>
              </w:rPr>
            </w:pPr>
          </w:p>
        </w:tc>
        <w:tc>
          <w:tcPr>
            <w:tcW w:w="2051" w:type="dxa"/>
            <w:tcBorders>
              <w:top w:val="single" w:sz="4" w:space="0" w:color="auto"/>
              <w:bottom w:val="single" w:sz="4" w:space="0" w:color="auto"/>
            </w:tcBorders>
          </w:tcPr>
          <w:p w:rsidR="009107D6" w:rsidRPr="0031503F" w:rsidRDefault="009107D6" w:rsidP="00CB3223">
            <w:pPr>
              <w:pStyle w:val="Standard"/>
              <w:shd w:val="clear" w:color="auto" w:fill="FFFFFF" w:themeFill="background1"/>
              <w:spacing w:line="240" w:lineRule="auto"/>
              <w:rPr>
                <w:rFonts w:ascii="Times New Roman" w:hAnsi="Times New Roman" w:cs="Times New Roman"/>
                <w:b/>
                <w:sz w:val="20"/>
                <w:szCs w:val="20"/>
              </w:rPr>
            </w:pPr>
          </w:p>
        </w:tc>
        <w:tc>
          <w:tcPr>
            <w:tcW w:w="727"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9107D6" w:rsidRPr="0031503F" w:rsidRDefault="009107D6"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9107D6" w:rsidRPr="0031503F" w:rsidRDefault="009107D6"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26026" w:rsidRPr="0031503F" w:rsidRDefault="00423B5D"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4 </w:t>
            </w:r>
          </w:p>
        </w:tc>
        <w:tc>
          <w:tcPr>
            <w:tcW w:w="2837" w:type="dxa"/>
            <w:tcBorders>
              <w:top w:val="single" w:sz="4" w:space="0" w:color="auto"/>
              <w:bottom w:val="single" w:sz="4" w:space="0" w:color="auto"/>
            </w:tcBorders>
          </w:tcPr>
          <w:p w:rsidR="00423B5D" w:rsidRPr="0031503F" w:rsidRDefault="00423B5D"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Členským štátom oprávneným regulovať záležitosti, na ktoré sa vzťahuje táto smernica, je vo vzťahu k danej kótovanej spoločnosti členský štát, v ktorom má táto spoločnosť svoje sídlo. Rozhodné právo je právo tohto členského štátu.</w:t>
            </w:r>
          </w:p>
          <w:p w:rsidR="00B26026" w:rsidRPr="0031503F" w:rsidRDefault="00B26026" w:rsidP="001C143D">
            <w:pPr>
              <w:shd w:val="clear" w:color="auto" w:fill="FFFFFF"/>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B26026" w:rsidRPr="0031503F" w:rsidRDefault="00423B5D"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B26026" w:rsidRPr="0031503F" w:rsidRDefault="00B821B2"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B26026" w:rsidRPr="0031503F" w:rsidRDefault="00B821B2" w:rsidP="001C143D">
            <w:pPr>
              <w:pStyle w:val="Normlny0"/>
              <w:jc w:val="center"/>
            </w:pPr>
            <w:r w:rsidRPr="0031503F">
              <w:t>§ 2</w:t>
            </w:r>
          </w:p>
          <w:p w:rsidR="00B821B2" w:rsidRPr="0031503F" w:rsidRDefault="00B821B2" w:rsidP="001C143D">
            <w:pPr>
              <w:pStyle w:val="Normlny0"/>
              <w:jc w:val="center"/>
            </w:pPr>
            <w:r w:rsidRPr="0031503F">
              <w:t>O: 1</w:t>
            </w:r>
          </w:p>
        </w:tc>
        <w:tc>
          <w:tcPr>
            <w:tcW w:w="2051" w:type="dxa"/>
            <w:tcBorders>
              <w:top w:val="single" w:sz="4" w:space="0" w:color="auto"/>
              <w:bottom w:val="single" w:sz="4" w:space="0" w:color="auto"/>
            </w:tcBorders>
          </w:tcPr>
          <w:p w:rsidR="00B821B2" w:rsidRPr="0031503F" w:rsidRDefault="00B821B2" w:rsidP="00B821B2">
            <w:pPr>
              <w:pStyle w:val="Standard"/>
              <w:shd w:val="clear" w:color="auto" w:fill="FFFFFF" w:themeFill="background1"/>
              <w:spacing w:line="240" w:lineRule="auto"/>
              <w:jc w:val="both"/>
              <w:rPr>
                <w:rFonts w:ascii="Times New Roman" w:hAnsi="Times New Roman" w:cs="Times New Roman"/>
                <w:sz w:val="20"/>
                <w:szCs w:val="20"/>
                <w:vertAlign w:val="superscript"/>
              </w:rPr>
            </w:pPr>
            <w:r w:rsidRPr="0031503F">
              <w:rPr>
                <w:rFonts w:ascii="Times New Roman" w:hAnsi="Times New Roman" w:cs="Times New Roman"/>
                <w:sz w:val="20"/>
                <w:szCs w:val="20"/>
              </w:rPr>
              <w:t>Ten</w:t>
            </w:r>
            <w:r w:rsidR="00157434" w:rsidRPr="0031503F">
              <w:rPr>
                <w:rFonts w:ascii="Times New Roman" w:hAnsi="Times New Roman" w:cs="Times New Roman"/>
                <w:sz w:val="20"/>
                <w:szCs w:val="20"/>
              </w:rPr>
              <w:t>to zákon sa vzťahuje na kótovanú spoločnosť</w:t>
            </w:r>
            <w:r w:rsidRPr="0031503F">
              <w:rPr>
                <w:rFonts w:ascii="Times New Roman" w:hAnsi="Times New Roman" w:cs="Times New Roman"/>
                <w:sz w:val="20"/>
                <w:szCs w:val="20"/>
              </w:rPr>
              <w:t xml:space="preserve"> so sídlom na území Slovenskej republiky.</w:t>
            </w:r>
          </w:p>
          <w:p w:rsidR="00B26026" w:rsidRPr="0031503F" w:rsidRDefault="00B26026" w:rsidP="00CB3223">
            <w:pPr>
              <w:pStyle w:val="Standard"/>
              <w:shd w:val="clear" w:color="auto" w:fill="FFFFFF" w:themeFill="background1"/>
              <w:spacing w:line="240" w:lineRule="auto"/>
              <w:rPr>
                <w:rFonts w:ascii="Times New Roman" w:hAnsi="Times New Roman" w:cs="Times New Roman"/>
                <w:sz w:val="20"/>
                <w:szCs w:val="20"/>
              </w:rPr>
            </w:pPr>
          </w:p>
        </w:tc>
        <w:tc>
          <w:tcPr>
            <w:tcW w:w="727" w:type="dxa"/>
            <w:tcBorders>
              <w:top w:val="single" w:sz="4" w:space="0" w:color="auto"/>
              <w:bottom w:val="single" w:sz="4" w:space="0" w:color="auto"/>
            </w:tcBorders>
          </w:tcPr>
          <w:p w:rsidR="00B26026" w:rsidRPr="0031503F" w:rsidRDefault="00C969C6"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B26026" w:rsidRPr="0031503F" w:rsidRDefault="00B26026"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B26026" w:rsidRPr="0031503F" w:rsidRDefault="00423B5D"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B26026" w:rsidRPr="0031503F" w:rsidRDefault="00B26026"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26026" w:rsidRPr="0031503F" w:rsidRDefault="00DF58F2"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5 </w:t>
            </w:r>
          </w:p>
        </w:tc>
        <w:tc>
          <w:tcPr>
            <w:tcW w:w="2837" w:type="dxa"/>
            <w:tcBorders>
              <w:top w:val="single" w:sz="4" w:space="0" w:color="auto"/>
              <w:bottom w:val="single" w:sz="4" w:space="0" w:color="auto"/>
            </w:tcBorders>
          </w:tcPr>
          <w:p w:rsidR="00DF58F2" w:rsidRPr="0031503F" w:rsidRDefault="00DF58F2" w:rsidP="001C143D">
            <w:pPr>
              <w:shd w:val="clear" w:color="auto" w:fill="FFFFFF"/>
              <w:jc w:val="both"/>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Ciele v súvislosti s rodovou vyváženosťou vo vrcholových orgánoch</w:t>
            </w:r>
          </w:p>
          <w:p w:rsidR="00B26026" w:rsidRPr="0031503F" w:rsidRDefault="00B26026" w:rsidP="001C143D">
            <w:pPr>
              <w:shd w:val="clear" w:color="auto" w:fill="FFFFFF"/>
              <w:jc w:val="both"/>
              <w:rPr>
                <w:rFonts w:ascii="Times New Roman" w:eastAsia="Times New Roman" w:hAnsi="Times New Roman" w:cs="Times New Roman"/>
                <w:b/>
                <w:color w:val="333333"/>
                <w:sz w:val="20"/>
                <w:szCs w:val="20"/>
                <w:lang w:eastAsia="sk-SK"/>
              </w:rPr>
            </w:pPr>
          </w:p>
        </w:tc>
        <w:tc>
          <w:tcPr>
            <w:tcW w:w="828" w:type="dxa"/>
            <w:tcBorders>
              <w:top w:val="single" w:sz="4" w:space="0" w:color="auto"/>
              <w:bottom w:val="single" w:sz="4" w:space="0" w:color="auto"/>
            </w:tcBorders>
          </w:tcPr>
          <w:p w:rsidR="00B26026" w:rsidRPr="0031503F" w:rsidRDefault="00B26026" w:rsidP="007B580A">
            <w:pPr>
              <w:jc w:val="center"/>
              <w:rPr>
                <w:rFonts w:ascii="Times New Roman" w:hAnsi="Times New Roman" w:cs="Times New Roman"/>
                <w:b/>
                <w:sz w:val="20"/>
                <w:szCs w:val="20"/>
              </w:rPr>
            </w:pPr>
          </w:p>
        </w:tc>
        <w:tc>
          <w:tcPr>
            <w:tcW w:w="1015" w:type="dxa"/>
            <w:tcBorders>
              <w:top w:val="single" w:sz="4" w:space="0" w:color="auto"/>
              <w:bottom w:val="single" w:sz="4" w:space="0" w:color="auto"/>
            </w:tcBorders>
          </w:tcPr>
          <w:p w:rsidR="00B26026" w:rsidRPr="0031503F" w:rsidRDefault="00B26026" w:rsidP="007B580A">
            <w:pPr>
              <w:jc w:val="center"/>
              <w:rPr>
                <w:rFonts w:ascii="Times New Roman" w:hAnsi="Times New Roman" w:cs="Times New Roman"/>
                <w:b/>
                <w:sz w:val="20"/>
                <w:szCs w:val="20"/>
                <w:shd w:val="clear" w:color="auto" w:fill="FFFFFF"/>
              </w:rPr>
            </w:pPr>
          </w:p>
        </w:tc>
        <w:tc>
          <w:tcPr>
            <w:tcW w:w="1667" w:type="dxa"/>
            <w:tcBorders>
              <w:top w:val="single" w:sz="4" w:space="0" w:color="auto"/>
              <w:bottom w:val="single" w:sz="4" w:space="0" w:color="auto"/>
            </w:tcBorders>
          </w:tcPr>
          <w:p w:rsidR="00B26026" w:rsidRPr="0031503F" w:rsidRDefault="00D62A40" w:rsidP="001C143D">
            <w:pPr>
              <w:pStyle w:val="Normlny0"/>
              <w:jc w:val="center"/>
              <w:rPr>
                <w:b/>
              </w:rPr>
            </w:pPr>
            <w:r w:rsidRPr="0031503F">
              <w:rPr>
                <w:b/>
              </w:rPr>
              <w:t>§ 4</w:t>
            </w:r>
          </w:p>
        </w:tc>
        <w:tc>
          <w:tcPr>
            <w:tcW w:w="2051" w:type="dxa"/>
            <w:tcBorders>
              <w:top w:val="single" w:sz="4" w:space="0" w:color="auto"/>
              <w:bottom w:val="single" w:sz="4" w:space="0" w:color="auto"/>
            </w:tcBorders>
          </w:tcPr>
          <w:p w:rsidR="00B26026" w:rsidRPr="0031503F" w:rsidRDefault="00DF58F2" w:rsidP="00CB3223">
            <w:pPr>
              <w:pStyle w:val="Standard"/>
              <w:shd w:val="clear" w:color="auto" w:fill="FFFFFF" w:themeFill="background1"/>
              <w:spacing w:line="240" w:lineRule="auto"/>
              <w:jc w:val="both"/>
              <w:rPr>
                <w:rFonts w:ascii="Times New Roman" w:hAnsi="Times New Roman" w:cs="Times New Roman"/>
                <w:b/>
                <w:sz w:val="20"/>
                <w:szCs w:val="20"/>
              </w:rPr>
            </w:pPr>
            <w:r w:rsidRPr="0031503F">
              <w:rPr>
                <w:rFonts w:ascii="Times New Roman" w:hAnsi="Times New Roman" w:cs="Times New Roman"/>
                <w:b/>
                <w:sz w:val="20"/>
                <w:szCs w:val="20"/>
              </w:rPr>
              <w:t xml:space="preserve">Ciele vyváženosti </w:t>
            </w:r>
          </w:p>
        </w:tc>
        <w:tc>
          <w:tcPr>
            <w:tcW w:w="727" w:type="dxa"/>
            <w:tcBorders>
              <w:top w:val="single" w:sz="4" w:space="0" w:color="auto"/>
              <w:bottom w:val="single" w:sz="4" w:space="0" w:color="auto"/>
            </w:tcBorders>
          </w:tcPr>
          <w:p w:rsidR="00B26026" w:rsidRPr="0031503F" w:rsidRDefault="00B26026"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B26026" w:rsidRPr="0031503F" w:rsidRDefault="00B26026"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B26026" w:rsidRPr="0031503F" w:rsidRDefault="00B26026"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B26026" w:rsidRPr="0031503F" w:rsidRDefault="00B26026"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C5455E" w:rsidRPr="0031503F" w:rsidRDefault="004C0EC0"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Č:5 </w:t>
            </w:r>
          </w:p>
          <w:p w:rsidR="00423B5D" w:rsidRPr="0031503F" w:rsidRDefault="004C0EC0"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O:1 úvodná </w:t>
            </w:r>
            <w:r w:rsidR="00FB1E71" w:rsidRPr="0031503F">
              <w:rPr>
                <w:rFonts w:ascii="Times New Roman" w:hAnsi="Times New Roman" w:cs="Times New Roman"/>
                <w:b/>
                <w:bCs/>
                <w:sz w:val="20"/>
                <w:szCs w:val="20"/>
              </w:rPr>
              <w:t xml:space="preserve">   V</w:t>
            </w: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P: a)</w:t>
            </w: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070BDD" w:rsidRPr="0031503F" w:rsidRDefault="00070BDD" w:rsidP="00CB3223">
            <w:pPr>
              <w:jc w:val="both"/>
              <w:rPr>
                <w:rFonts w:ascii="Times New Roman" w:hAnsi="Times New Roman" w:cs="Times New Roman"/>
                <w:b/>
                <w:bCs/>
                <w:sz w:val="20"/>
                <w:szCs w:val="20"/>
              </w:rPr>
            </w:pPr>
          </w:p>
          <w:p w:rsidR="00070BDD" w:rsidRPr="0031503F" w:rsidRDefault="00070BDD"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p>
          <w:p w:rsidR="004C0EC0" w:rsidRPr="0031503F" w:rsidRDefault="004C0EC0"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P: b) </w:t>
            </w: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D249C0" w:rsidRPr="0031503F" w:rsidRDefault="00D249C0" w:rsidP="00CB3223">
            <w:pPr>
              <w:jc w:val="both"/>
              <w:rPr>
                <w:rFonts w:ascii="Times New Roman" w:hAnsi="Times New Roman" w:cs="Times New Roman"/>
                <w:b/>
                <w:bCs/>
                <w:sz w:val="20"/>
                <w:szCs w:val="20"/>
              </w:rPr>
            </w:pPr>
          </w:p>
          <w:p w:rsidR="000706E5" w:rsidRPr="0031503F" w:rsidRDefault="000706E5"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 2 </w:t>
            </w: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p>
          <w:p w:rsidR="00070BDD" w:rsidRPr="0031503F" w:rsidRDefault="00070BDD" w:rsidP="00CB3223">
            <w:pPr>
              <w:jc w:val="both"/>
              <w:rPr>
                <w:rFonts w:ascii="Times New Roman" w:hAnsi="Times New Roman" w:cs="Times New Roman"/>
                <w:b/>
                <w:bCs/>
                <w:sz w:val="20"/>
                <w:szCs w:val="20"/>
              </w:rPr>
            </w:pPr>
          </w:p>
          <w:p w:rsidR="005F57C7" w:rsidRPr="0031503F" w:rsidRDefault="005F57C7"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 3 </w:t>
            </w:r>
          </w:p>
        </w:tc>
        <w:tc>
          <w:tcPr>
            <w:tcW w:w="2837" w:type="dxa"/>
            <w:tcBorders>
              <w:top w:val="single" w:sz="4" w:space="0" w:color="auto"/>
              <w:bottom w:val="single" w:sz="4" w:space="0" w:color="auto"/>
            </w:tcBorders>
          </w:tcPr>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zabezpečia, aby sa na kótované spoločnosti vzťahoval jeden z týchto cieľov, ktoré sa majú dosiahnuť do 30. júna 2026:</w:t>
            </w:r>
          </w:p>
          <w:p w:rsidR="004C0EC0" w:rsidRPr="0031503F" w:rsidRDefault="004C0EC0" w:rsidP="001C143D">
            <w:pPr>
              <w:jc w:val="both"/>
              <w:rPr>
                <w:rFonts w:ascii="Times New Roman" w:eastAsia="Times New Roman" w:hAnsi="Times New Roman" w:cs="Times New Roman"/>
                <w:sz w:val="20"/>
                <w:szCs w:val="20"/>
                <w:lang w:eastAsia="sk-SK"/>
              </w:rPr>
            </w:pPr>
          </w:p>
          <w:p w:rsidR="000706E5" w:rsidRPr="0031503F" w:rsidRDefault="000706E5" w:rsidP="001C143D">
            <w:pPr>
              <w:jc w:val="both"/>
              <w:rPr>
                <w:rFonts w:ascii="Times New Roman" w:eastAsia="Times New Roman" w:hAnsi="Times New Roman" w:cs="Times New Roman"/>
                <w:sz w:val="20"/>
                <w:szCs w:val="20"/>
                <w:lang w:eastAsia="sk-SK"/>
              </w:rPr>
            </w:pPr>
          </w:p>
          <w:p w:rsidR="004C0EC0" w:rsidRPr="0031503F" w:rsidRDefault="004C0EC0" w:rsidP="001C143D">
            <w:pPr>
              <w:jc w:val="both"/>
              <w:rPr>
                <w:rFonts w:ascii="Times New Roman" w:hAnsi="Times New Roman" w:cs="Times New Roman"/>
                <w:sz w:val="20"/>
                <w:szCs w:val="20"/>
              </w:rPr>
            </w:pPr>
            <w:r w:rsidRPr="0031503F">
              <w:rPr>
                <w:rFonts w:ascii="Times New Roman" w:eastAsia="Times New Roman" w:hAnsi="Times New Roman" w:cs="Times New Roman"/>
                <w:sz w:val="20"/>
                <w:szCs w:val="20"/>
                <w:lang w:eastAsia="sk-SK"/>
              </w:rPr>
              <w:t>príslušníci menej zastúpeného pohlavia zastávajú najmenej 40 % pozícií nevýkonných riadiacich pracovníkov;</w:t>
            </w: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p>
          <w:p w:rsidR="00070BDD" w:rsidRPr="0031503F" w:rsidRDefault="00070BDD" w:rsidP="001C143D">
            <w:pPr>
              <w:shd w:val="clear" w:color="auto" w:fill="FFFFFF"/>
              <w:jc w:val="both"/>
              <w:rPr>
                <w:rFonts w:ascii="Times New Roman" w:eastAsia="Times New Roman" w:hAnsi="Times New Roman" w:cs="Times New Roman"/>
                <w:color w:val="333333"/>
                <w:sz w:val="20"/>
                <w:szCs w:val="20"/>
                <w:lang w:eastAsia="sk-SK"/>
              </w:rPr>
            </w:pPr>
          </w:p>
          <w:p w:rsidR="00070BDD" w:rsidRPr="0031503F" w:rsidRDefault="00070BDD" w:rsidP="001C143D">
            <w:pPr>
              <w:shd w:val="clear" w:color="auto" w:fill="FFFFFF"/>
              <w:jc w:val="both"/>
              <w:rPr>
                <w:rFonts w:ascii="Times New Roman" w:eastAsia="Times New Roman" w:hAnsi="Times New Roman" w:cs="Times New Roman"/>
                <w:color w:val="333333"/>
                <w:sz w:val="20"/>
                <w:szCs w:val="20"/>
                <w:lang w:eastAsia="sk-SK"/>
              </w:rPr>
            </w:pPr>
          </w:p>
          <w:p w:rsidR="004C0EC0" w:rsidRPr="0031503F" w:rsidRDefault="004C0EC0" w:rsidP="001C143D">
            <w:pPr>
              <w:jc w:val="both"/>
              <w:rPr>
                <w:rFonts w:ascii="Times New Roman" w:hAnsi="Times New Roman" w:cs="Times New Roman"/>
                <w:sz w:val="20"/>
                <w:szCs w:val="20"/>
              </w:rPr>
            </w:pPr>
            <w:r w:rsidRPr="0031503F">
              <w:rPr>
                <w:rFonts w:ascii="Times New Roman" w:eastAsia="Times New Roman" w:hAnsi="Times New Roman" w:cs="Times New Roman"/>
                <w:sz w:val="20"/>
                <w:szCs w:val="20"/>
                <w:lang w:eastAsia="sk-SK"/>
              </w:rPr>
              <w:t>príslušníci menej zastúpeného pohlavia zastávajú najmenej 33 % všetkých pozícií riadiacich pracovníkov, a to výkonných aj nevýkonných riadiacich pracovníkov.</w:t>
            </w: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p>
          <w:p w:rsidR="004C0EC0" w:rsidRPr="0031503F" w:rsidRDefault="004C0EC0" w:rsidP="001C143D">
            <w:pPr>
              <w:shd w:val="clear" w:color="auto" w:fill="FFFFFF"/>
              <w:jc w:val="both"/>
              <w:rPr>
                <w:rFonts w:ascii="Times New Roman" w:eastAsia="Times New Roman" w:hAnsi="Times New Roman" w:cs="Times New Roman"/>
                <w:vanish/>
                <w:color w:val="333333"/>
                <w:sz w:val="20"/>
                <w:szCs w:val="20"/>
                <w:lang w:eastAsia="sk-SK"/>
              </w:rPr>
            </w:pP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zabezpečia, aby si kótované spoločnosti, na ktoré sa nevzťahuje cieľ stanovený v odseku 1 písm. b), stanovili individuálne kvantitatívne ciele na účel zlepšenia rodovej vyváženosti medzi výkonnými riadiacimi pracovníkmi. Členské štáty zabezpečia, aby sa takéto kótované spoločnosti zamerali na dosiahnutie takýchto individuálnych kvantitatívnych cieľov do 30. júna 2026.</w:t>
            </w:r>
          </w:p>
          <w:p w:rsidR="005F57C7" w:rsidRPr="0031503F" w:rsidRDefault="005F57C7" w:rsidP="001C143D">
            <w:pPr>
              <w:shd w:val="clear" w:color="auto" w:fill="FFFFFF"/>
              <w:jc w:val="both"/>
              <w:rPr>
                <w:rFonts w:ascii="Times New Roman" w:eastAsia="Times New Roman" w:hAnsi="Times New Roman" w:cs="Times New Roman"/>
                <w:color w:val="333333"/>
                <w:sz w:val="20"/>
                <w:szCs w:val="20"/>
                <w:lang w:eastAsia="sk-SK"/>
              </w:rPr>
            </w:pPr>
          </w:p>
          <w:p w:rsidR="005F57C7" w:rsidRPr="0031503F" w:rsidRDefault="005F57C7" w:rsidP="001C143D">
            <w:pPr>
              <w:shd w:val="clear" w:color="auto" w:fill="FFFFFF"/>
              <w:jc w:val="both"/>
              <w:rPr>
                <w:rFonts w:ascii="Times New Roman" w:eastAsia="Times New Roman" w:hAnsi="Times New Roman" w:cs="Times New Roman"/>
                <w:color w:val="333333"/>
                <w:sz w:val="20"/>
                <w:szCs w:val="20"/>
                <w:lang w:eastAsia="sk-SK"/>
              </w:rPr>
            </w:pPr>
          </w:p>
          <w:p w:rsidR="004C0EC0" w:rsidRPr="0031503F" w:rsidRDefault="004C0EC0"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Počet pozícií nevýkonných riadiacich pracovníkov, ktorý sa považuje za nevyhnutný na dosiahnutie cieľa stanoveného v odseku 1 písm. a), je počet, ktorý je čo najbližšie podielu 40 %, ale nepresahuje 49 %. Počet všetkých pozícií riadiacich pracovníkov, ktorý sa považuje za nevyhnutný na dosiahnutie cieľa stanoveného v odseku 1 písm. b), je počet, ktorý je čo najbližšie podielu 33 %, ale nepresahuje 49 %. Tieto počty sa stanovujú v prílohe.</w:t>
            </w:r>
          </w:p>
          <w:p w:rsidR="00423B5D" w:rsidRPr="0031503F" w:rsidRDefault="00423B5D" w:rsidP="001C143D">
            <w:pPr>
              <w:shd w:val="clear" w:color="auto" w:fill="FFFFFF"/>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423B5D" w:rsidRPr="0031503F" w:rsidRDefault="004C0EC0"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423B5D" w:rsidRPr="0031503F" w:rsidRDefault="004C0EC0"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423B5D" w:rsidRPr="0031503F" w:rsidRDefault="00D62A40" w:rsidP="001C143D">
            <w:pPr>
              <w:pStyle w:val="Normlny0"/>
              <w:jc w:val="center"/>
            </w:pPr>
            <w:r w:rsidRPr="0031503F">
              <w:t>§ 4</w:t>
            </w:r>
          </w:p>
          <w:p w:rsidR="00C5455E" w:rsidRPr="0031503F" w:rsidRDefault="00C5455E" w:rsidP="001C143D">
            <w:pPr>
              <w:pStyle w:val="Normlny0"/>
              <w:jc w:val="center"/>
            </w:pPr>
          </w:p>
          <w:p w:rsidR="004C0EC0" w:rsidRPr="0031503F" w:rsidRDefault="004C0EC0" w:rsidP="001C143D">
            <w:pPr>
              <w:pStyle w:val="Normlny0"/>
              <w:jc w:val="center"/>
            </w:pPr>
            <w:r w:rsidRPr="0031503F">
              <w:t xml:space="preserve">O:1 úvodná </w:t>
            </w:r>
            <w:r w:rsidR="00FB1E71" w:rsidRPr="0031503F">
              <w:t>V</w:t>
            </w:r>
          </w:p>
          <w:p w:rsidR="004C0EC0" w:rsidRPr="0031503F" w:rsidRDefault="004C0EC0" w:rsidP="001C143D">
            <w:pPr>
              <w:pStyle w:val="Normlny0"/>
              <w:jc w:val="center"/>
            </w:pPr>
          </w:p>
          <w:p w:rsidR="004C0EC0" w:rsidRPr="0031503F" w:rsidRDefault="004C0EC0" w:rsidP="001C143D">
            <w:pPr>
              <w:pStyle w:val="Normlny0"/>
              <w:jc w:val="center"/>
            </w:pPr>
          </w:p>
          <w:p w:rsidR="004C0EC0" w:rsidRPr="0031503F" w:rsidRDefault="004C0EC0" w:rsidP="001C143D">
            <w:pPr>
              <w:pStyle w:val="Normlny0"/>
              <w:jc w:val="center"/>
            </w:pPr>
          </w:p>
          <w:p w:rsidR="000706E5" w:rsidRPr="0031503F" w:rsidRDefault="000706E5" w:rsidP="001C143D">
            <w:pPr>
              <w:pStyle w:val="Normlny0"/>
              <w:jc w:val="center"/>
            </w:pPr>
          </w:p>
          <w:p w:rsidR="00070BDD" w:rsidRPr="0031503F" w:rsidRDefault="00070BDD" w:rsidP="001C143D">
            <w:pPr>
              <w:pStyle w:val="Normlny0"/>
              <w:jc w:val="center"/>
            </w:pPr>
          </w:p>
          <w:p w:rsidR="004C0EC0" w:rsidRPr="0031503F" w:rsidRDefault="004C0EC0" w:rsidP="001C143D">
            <w:pPr>
              <w:pStyle w:val="Normlny0"/>
              <w:jc w:val="center"/>
            </w:pPr>
            <w:r w:rsidRPr="0031503F">
              <w:t>P: a)</w:t>
            </w:r>
          </w:p>
          <w:p w:rsidR="004C0EC0" w:rsidRPr="0031503F" w:rsidRDefault="004C0EC0" w:rsidP="001C143D">
            <w:pPr>
              <w:pStyle w:val="Normlny0"/>
              <w:jc w:val="center"/>
            </w:pPr>
          </w:p>
          <w:p w:rsidR="004C0EC0" w:rsidRPr="0031503F" w:rsidRDefault="004C0EC0" w:rsidP="001C143D">
            <w:pPr>
              <w:pStyle w:val="Normlny0"/>
              <w:jc w:val="center"/>
            </w:pPr>
          </w:p>
          <w:p w:rsidR="004C0EC0" w:rsidRPr="0031503F" w:rsidRDefault="004C0EC0" w:rsidP="001C143D">
            <w:pPr>
              <w:pStyle w:val="Normlny0"/>
              <w:jc w:val="center"/>
            </w:pPr>
          </w:p>
          <w:p w:rsidR="004C0EC0" w:rsidRPr="0031503F" w:rsidRDefault="004C0EC0" w:rsidP="001C143D">
            <w:pPr>
              <w:pStyle w:val="Normlny0"/>
              <w:jc w:val="center"/>
            </w:pPr>
          </w:p>
          <w:p w:rsidR="00070BDD" w:rsidRPr="0031503F" w:rsidRDefault="00070BDD" w:rsidP="001C143D">
            <w:pPr>
              <w:pStyle w:val="Normlny0"/>
              <w:jc w:val="center"/>
            </w:pPr>
          </w:p>
          <w:p w:rsidR="00070BDD" w:rsidRPr="0031503F" w:rsidRDefault="00070BDD" w:rsidP="001C143D">
            <w:pPr>
              <w:pStyle w:val="Normlny0"/>
              <w:jc w:val="center"/>
            </w:pPr>
          </w:p>
          <w:p w:rsidR="00070BDD" w:rsidRPr="0031503F" w:rsidRDefault="00070BDD" w:rsidP="001C143D">
            <w:pPr>
              <w:pStyle w:val="Normlny0"/>
              <w:jc w:val="center"/>
            </w:pPr>
          </w:p>
          <w:p w:rsidR="004C0EC0" w:rsidRPr="0031503F" w:rsidRDefault="004C0EC0" w:rsidP="001C143D">
            <w:pPr>
              <w:pStyle w:val="Normlny0"/>
              <w:jc w:val="center"/>
            </w:pPr>
            <w:r w:rsidRPr="0031503F">
              <w:t>P: b)</w:t>
            </w: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0706E5" w:rsidRPr="0031503F" w:rsidRDefault="000706E5" w:rsidP="001C143D">
            <w:pPr>
              <w:pStyle w:val="Normlny0"/>
              <w:jc w:val="center"/>
            </w:pPr>
          </w:p>
          <w:p w:rsidR="00D249C0" w:rsidRPr="0031503F" w:rsidRDefault="00D249C0" w:rsidP="001C143D">
            <w:pPr>
              <w:pStyle w:val="Normlny0"/>
              <w:jc w:val="center"/>
            </w:pPr>
          </w:p>
          <w:p w:rsidR="005F57C7" w:rsidRPr="0031503F" w:rsidRDefault="00070BDD" w:rsidP="001C143D">
            <w:pPr>
              <w:pStyle w:val="Normlny0"/>
              <w:jc w:val="center"/>
            </w:pPr>
            <w:r w:rsidRPr="0031503F">
              <w:t>§ 10</w:t>
            </w:r>
          </w:p>
          <w:p w:rsidR="00070BDD" w:rsidRPr="0031503F" w:rsidRDefault="00070BDD" w:rsidP="001C143D">
            <w:pPr>
              <w:pStyle w:val="Normlny0"/>
              <w:jc w:val="center"/>
            </w:pPr>
            <w:r w:rsidRPr="0031503F">
              <w:t>O:2</w:t>
            </w: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5F57C7" w:rsidP="001C143D">
            <w:pPr>
              <w:pStyle w:val="Normlny0"/>
              <w:jc w:val="center"/>
            </w:pPr>
          </w:p>
          <w:p w:rsidR="005F57C7" w:rsidRPr="0031503F" w:rsidRDefault="00CD5CEE" w:rsidP="001C143D">
            <w:pPr>
              <w:pStyle w:val="Normlny0"/>
              <w:jc w:val="center"/>
            </w:pPr>
            <w:r w:rsidRPr="0031503F">
              <w:t>§ 4</w:t>
            </w:r>
          </w:p>
          <w:p w:rsidR="005F57C7" w:rsidRPr="0031503F" w:rsidRDefault="005F57C7" w:rsidP="001C143D">
            <w:pPr>
              <w:pStyle w:val="Normlny0"/>
              <w:jc w:val="center"/>
            </w:pPr>
            <w:r w:rsidRPr="0031503F">
              <w:t>O:</w:t>
            </w:r>
            <w:r w:rsidR="00014BC6" w:rsidRPr="0031503F">
              <w:t xml:space="preserve"> 2</w:t>
            </w: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AA56D4" w:rsidRPr="0031503F" w:rsidRDefault="00AA56D4" w:rsidP="001C143D">
            <w:pPr>
              <w:pStyle w:val="Normlny0"/>
              <w:jc w:val="center"/>
            </w:pPr>
          </w:p>
          <w:p w:rsidR="00AA56D4" w:rsidRPr="0031503F" w:rsidRDefault="00AA56D4" w:rsidP="001C143D">
            <w:pPr>
              <w:pStyle w:val="Normlny0"/>
              <w:jc w:val="center"/>
            </w:pPr>
          </w:p>
          <w:p w:rsidR="00B821B2" w:rsidRPr="0031503F" w:rsidRDefault="00B821B2" w:rsidP="001C143D">
            <w:pPr>
              <w:pStyle w:val="Normlny0"/>
              <w:jc w:val="center"/>
            </w:pPr>
          </w:p>
          <w:p w:rsidR="00CD5CEE" w:rsidRPr="0031503F" w:rsidRDefault="00CD5CEE" w:rsidP="001C143D">
            <w:pPr>
              <w:pStyle w:val="Normlny0"/>
              <w:jc w:val="center"/>
            </w:pPr>
            <w:r w:rsidRPr="0031503F">
              <w:t>O:3</w:t>
            </w:r>
          </w:p>
        </w:tc>
        <w:tc>
          <w:tcPr>
            <w:tcW w:w="2051" w:type="dxa"/>
            <w:tcBorders>
              <w:top w:val="single" w:sz="4" w:space="0" w:color="auto"/>
              <w:bottom w:val="single" w:sz="4" w:space="0" w:color="auto"/>
            </w:tcBorders>
          </w:tcPr>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p>
          <w:p w:rsidR="004C0EC0" w:rsidRPr="0031503F" w:rsidRDefault="00157434"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Kótovaná spoločnosť</w:t>
            </w:r>
            <w:r w:rsidR="004C0EC0" w:rsidRPr="0031503F">
              <w:rPr>
                <w:rFonts w:ascii="Times New Roman" w:hAnsi="Times New Roman" w:cs="Times New Roman"/>
                <w:sz w:val="20"/>
                <w:szCs w:val="20"/>
              </w:rPr>
              <w:t xml:space="preserve"> </w:t>
            </w:r>
            <w:r w:rsidRPr="0031503F">
              <w:rPr>
                <w:rFonts w:ascii="Times New Roman" w:hAnsi="Times New Roman" w:cs="Times New Roman"/>
                <w:sz w:val="20"/>
                <w:szCs w:val="20"/>
              </w:rPr>
              <w:t>zabezpečí</w:t>
            </w:r>
            <w:r w:rsidR="00070BDD" w:rsidRPr="0031503F">
              <w:rPr>
                <w:rFonts w:ascii="Times New Roman" w:hAnsi="Times New Roman" w:cs="Times New Roman"/>
                <w:sz w:val="20"/>
                <w:szCs w:val="20"/>
              </w:rPr>
              <w:t>,</w:t>
            </w:r>
            <w:r w:rsidR="004C0EC0" w:rsidRPr="0031503F">
              <w:rPr>
                <w:rFonts w:ascii="Times New Roman" w:hAnsi="Times New Roman" w:cs="Times New Roman"/>
                <w:sz w:val="20"/>
                <w:szCs w:val="20"/>
              </w:rPr>
              <w:t xml:space="preserve"> aby</w:t>
            </w: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color w:val="FF0000"/>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color w:val="FF0000"/>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p>
          <w:p w:rsidR="000706E5" w:rsidRPr="0031503F" w:rsidRDefault="000706E5" w:rsidP="00CB3223">
            <w:pPr>
              <w:pStyle w:val="Standard"/>
              <w:shd w:val="clear" w:color="auto" w:fill="FFFFFF" w:themeFill="background1"/>
              <w:spacing w:line="240" w:lineRule="auto"/>
              <w:jc w:val="both"/>
              <w:rPr>
                <w:rFonts w:ascii="Times New Roman" w:hAnsi="Times New Roman" w:cs="Times New Roman"/>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 xml:space="preserve">príslušníci menej zastúpeného pohlavia zastávali najmenej 40% pozícií nevýkonných riadiacich pracovníkov alebo </w:t>
            </w: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p>
          <w:p w:rsidR="000706E5"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 xml:space="preserve">príslušníci menej zastúpeného pohlavia zastávali najmenej 33% všetkých pozícií riadiacich pracovníkov. </w:t>
            </w:r>
          </w:p>
          <w:p w:rsidR="000706E5" w:rsidRPr="0031503F" w:rsidRDefault="000706E5" w:rsidP="00CB3223">
            <w:pPr>
              <w:pStyle w:val="Standard"/>
              <w:shd w:val="clear" w:color="auto" w:fill="FFFFFF" w:themeFill="background1"/>
              <w:spacing w:line="240" w:lineRule="auto"/>
              <w:jc w:val="both"/>
              <w:rPr>
                <w:rFonts w:ascii="Times New Roman" w:hAnsi="Times New Roman" w:cs="Times New Roman"/>
                <w:sz w:val="20"/>
                <w:szCs w:val="20"/>
              </w:rPr>
            </w:pPr>
          </w:p>
          <w:p w:rsidR="001E63FC" w:rsidRPr="0031503F" w:rsidRDefault="00070BDD"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Kótovaná spoločnosť, na ktorú</w:t>
            </w:r>
            <w:r w:rsidR="001E63FC" w:rsidRPr="0031503F">
              <w:rPr>
                <w:rFonts w:ascii="Times New Roman" w:hAnsi="Times New Roman" w:cs="Times New Roman"/>
                <w:sz w:val="20"/>
                <w:szCs w:val="20"/>
              </w:rPr>
              <w:t xml:space="preserve"> sa nevzťahuje </w:t>
            </w:r>
            <w:r w:rsidRPr="0031503F">
              <w:rPr>
                <w:rFonts w:ascii="Times New Roman" w:hAnsi="Times New Roman" w:cs="Times New Roman"/>
                <w:sz w:val="20"/>
                <w:szCs w:val="20"/>
              </w:rPr>
              <w:t>cieľ vyváženosti podľa § 4 ods</w:t>
            </w:r>
            <w:r w:rsidR="00B821B2" w:rsidRPr="0031503F">
              <w:rPr>
                <w:rFonts w:ascii="Times New Roman" w:hAnsi="Times New Roman" w:cs="Times New Roman"/>
                <w:sz w:val="20"/>
                <w:szCs w:val="20"/>
              </w:rPr>
              <w:t>.</w:t>
            </w:r>
            <w:r w:rsidRPr="0031503F">
              <w:rPr>
                <w:rFonts w:ascii="Times New Roman" w:hAnsi="Times New Roman" w:cs="Times New Roman"/>
                <w:sz w:val="20"/>
                <w:szCs w:val="20"/>
              </w:rPr>
              <w:t xml:space="preserve"> 1 písm. b) ustanoví v interných predpisoch najneskôr </w:t>
            </w:r>
            <w:r w:rsidR="001E63FC" w:rsidRPr="0031503F">
              <w:rPr>
                <w:rFonts w:ascii="Times New Roman" w:hAnsi="Times New Roman" w:cs="Times New Roman"/>
                <w:sz w:val="20"/>
                <w:szCs w:val="20"/>
              </w:rPr>
              <w:t xml:space="preserve">do 30. júna 2026 </w:t>
            </w:r>
            <w:r w:rsidRPr="0031503F">
              <w:rPr>
                <w:rFonts w:ascii="Times New Roman" w:hAnsi="Times New Roman" w:cs="Times New Roman"/>
                <w:sz w:val="20"/>
                <w:szCs w:val="20"/>
              </w:rPr>
              <w:t>osobitné</w:t>
            </w:r>
            <w:r w:rsidR="001E63FC" w:rsidRPr="0031503F">
              <w:rPr>
                <w:rFonts w:ascii="Times New Roman" w:hAnsi="Times New Roman" w:cs="Times New Roman"/>
                <w:sz w:val="20"/>
                <w:szCs w:val="20"/>
              </w:rPr>
              <w:t xml:space="preserve"> kvantitatívne ciele</w:t>
            </w:r>
            <w:r w:rsidRPr="0031503F">
              <w:rPr>
                <w:rFonts w:ascii="Times New Roman" w:hAnsi="Times New Roman" w:cs="Times New Roman"/>
                <w:sz w:val="20"/>
                <w:szCs w:val="20"/>
              </w:rPr>
              <w:t xml:space="preserve"> vyváženosti</w:t>
            </w:r>
            <w:r w:rsidR="001E63FC" w:rsidRPr="0031503F">
              <w:rPr>
                <w:rFonts w:ascii="Times New Roman" w:hAnsi="Times New Roman" w:cs="Times New Roman"/>
                <w:sz w:val="20"/>
                <w:szCs w:val="20"/>
              </w:rPr>
              <w:t xml:space="preserve"> na účel</w:t>
            </w:r>
            <w:r w:rsidRPr="0031503F">
              <w:rPr>
                <w:rFonts w:ascii="Times New Roman" w:hAnsi="Times New Roman" w:cs="Times New Roman"/>
                <w:sz w:val="20"/>
                <w:szCs w:val="20"/>
              </w:rPr>
              <w:t>y</w:t>
            </w:r>
            <w:r w:rsidR="001E63FC" w:rsidRPr="0031503F">
              <w:rPr>
                <w:rFonts w:ascii="Times New Roman" w:hAnsi="Times New Roman" w:cs="Times New Roman"/>
                <w:sz w:val="20"/>
                <w:szCs w:val="20"/>
              </w:rPr>
              <w:t xml:space="preserve"> zlepšenia vyváženosti</w:t>
            </w:r>
            <w:r w:rsidRPr="0031503F">
              <w:rPr>
                <w:rFonts w:ascii="Times New Roman" w:hAnsi="Times New Roman" w:cs="Times New Roman"/>
                <w:sz w:val="20"/>
                <w:szCs w:val="20"/>
              </w:rPr>
              <w:t xml:space="preserve"> zastúpenia mužov a žien medzi</w:t>
            </w:r>
            <w:r w:rsidR="001E63FC" w:rsidRPr="0031503F">
              <w:rPr>
                <w:rFonts w:ascii="Times New Roman" w:hAnsi="Times New Roman" w:cs="Times New Roman"/>
                <w:sz w:val="20"/>
                <w:szCs w:val="20"/>
              </w:rPr>
              <w:t xml:space="preserve"> výkonnými riadiacimi pracovníkmi. </w:t>
            </w:r>
          </w:p>
          <w:p w:rsidR="001E63FC" w:rsidRPr="0031503F" w:rsidRDefault="001E63FC" w:rsidP="00CB3223">
            <w:pPr>
              <w:pStyle w:val="Standard"/>
              <w:shd w:val="clear" w:color="auto" w:fill="FFFFFF" w:themeFill="background1"/>
              <w:spacing w:line="240" w:lineRule="auto"/>
              <w:jc w:val="both"/>
              <w:rPr>
                <w:rFonts w:ascii="Times New Roman" w:hAnsi="Times New Roman" w:cs="Times New Roman"/>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Počet pozícií nevýkonných</w:t>
            </w:r>
            <w:r w:rsidR="00157434" w:rsidRPr="0031503F">
              <w:rPr>
                <w:rFonts w:ascii="Times New Roman" w:hAnsi="Times New Roman" w:cs="Times New Roman"/>
                <w:sz w:val="20"/>
                <w:szCs w:val="20"/>
              </w:rPr>
              <w:t xml:space="preserve"> riadiacich</w:t>
            </w:r>
            <w:r w:rsidRPr="0031503F">
              <w:rPr>
                <w:rFonts w:ascii="Times New Roman" w:hAnsi="Times New Roman" w:cs="Times New Roman"/>
                <w:sz w:val="20"/>
                <w:szCs w:val="20"/>
              </w:rPr>
              <w:t xml:space="preserve"> pracovníkov podľa ods. 1 pís. a) je počet, ktorý je najbližšie podielu 40%</w:t>
            </w:r>
            <w:r w:rsidR="00B821B2" w:rsidRPr="0031503F">
              <w:rPr>
                <w:rFonts w:ascii="Times New Roman" w:hAnsi="Times New Roman" w:cs="Times New Roman"/>
                <w:sz w:val="20"/>
                <w:szCs w:val="20"/>
              </w:rPr>
              <w:t xml:space="preserve"> a zároveň ne</w:t>
            </w:r>
            <w:r w:rsidRPr="0031503F">
              <w:rPr>
                <w:rFonts w:ascii="Times New Roman" w:hAnsi="Times New Roman" w:cs="Times New Roman"/>
                <w:sz w:val="20"/>
                <w:szCs w:val="20"/>
              </w:rPr>
              <w:t>presahuje</w:t>
            </w:r>
            <w:r w:rsidR="00B821B2" w:rsidRPr="0031503F">
              <w:rPr>
                <w:rFonts w:ascii="Times New Roman" w:hAnsi="Times New Roman" w:cs="Times New Roman"/>
                <w:sz w:val="20"/>
                <w:szCs w:val="20"/>
              </w:rPr>
              <w:t xml:space="preserve"> podiel </w:t>
            </w:r>
            <w:r w:rsidRPr="0031503F">
              <w:rPr>
                <w:rFonts w:ascii="Times New Roman" w:hAnsi="Times New Roman" w:cs="Times New Roman"/>
                <w:sz w:val="20"/>
                <w:szCs w:val="20"/>
              </w:rPr>
              <w:t xml:space="preserve">49% </w:t>
            </w:r>
            <w:r w:rsidR="00B821B2" w:rsidRPr="0031503F">
              <w:rPr>
                <w:rFonts w:ascii="Times New Roman" w:hAnsi="Times New Roman" w:cs="Times New Roman"/>
                <w:sz w:val="20"/>
                <w:szCs w:val="20"/>
              </w:rPr>
              <w:t xml:space="preserve">pozícií </w:t>
            </w:r>
            <w:r w:rsidRPr="0031503F">
              <w:rPr>
                <w:rFonts w:ascii="Times New Roman" w:hAnsi="Times New Roman" w:cs="Times New Roman"/>
                <w:sz w:val="20"/>
                <w:szCs w:val="20"/>
              </w:rPr>
              <w:t xml:space="preserve">nevýkonných </w:t>
            </w:r>
            <w:r w:rsidR="00157434" w:rsidRPr="0031503F">
              <w:rPr>
                <w:rFonts w:ascii="Times New Roman" w:hAnsi="Times New Roman" w:cs="Times New Roman"/>
                <w:sz w:val="20"/>
                <w:szCs w:val="20"/>
              </w:rPr>
              <w:t xml:space="preserve">riadiacich </w:t>
            </w:r>
            <w:r w:rsidRPr="0031503F">
              <w:rPr>
                <w:rFonts w:ascii="Times New Roman" w:hAnsi="Times New Roman" w:cs="Times New Roman"/>
                <w:sz w:val="20"/>
                <w:szCs w:val="20"/>
              </w:rPr>
              <w:t>pracovníkov.</w:t>
            </w:r>
          </w:p>
          <w:p w:rsidR="005F57C7" w:rsidRPr="0031503F" w:rsidRDefault="005F57C7" w:rsidP="00CB3223">
            <w:pPr>
              <w:pStyle w:val="Standard"/>
              <w:shd w:val="clear" w:color="auto" w:fill="FFFFFF" w:themeFill="background1"/>
              <w:spacing w:line="240" w:lineRule="auto"/>
              <w:jc w:val="both"/>
              <w:rPr>
                <w:rFonts w:ascii="Times New Roman" w:hAnsi="Times New Roman" w:cs="Times New Roman"/>
                <w:sz w:val="20"/>
                <w:szCs w:val="20"/>
              </w:rPr>
            </w:pPr>
          </w:p>
          <w:p w:rsidR="004C0EC0" w:rsidRPr="0031503F" w:rsidRDefault="004C0EC0"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Počet všetkých pozícií riadiacich pracovníkov podľa ods.1 pís. b) je počet, ktorý je najbližšie podielu 33%</w:t>
            </w:r>
            <w:r w:rsidR="00B821B2" w:rsidRPr="0031503F">
              <w:rPr>
                <w:rFonts w:ascii="Times New Roman" w:hAnsi="Times New Roman" w:cs="Times New Roman"/>
                <w:sz w:val="20"/>
                <w:szCs w:val="20"/>
              </w:rPr>
              <w:t xml:space="preserve"> a  ne</w:t>
            </w:r>
            <w:r w:rsidRPr="0031503F">
              <w:rPr>
                <w:rFonts w:ascii="Times New Roman" w:hAnsi="Times New Roman" w:cs="Times New Roman"/>
                <w:sz w:val="20"/>
                <w:szCs w:val="20"/>
              </w:rPr>
              <w:t>presahuje 49%</w:t>
            </w:r>
            <w:r w:rsidR="00B821B2" w:rsidRPr="0031503F">
              <w:rPr>
                <w:rFonts w:ascii="Times New Roman" w:hAnsi="Times New Roman" w:cs="Times New Roman"/>
                <w:sz w:val="20"/>
                <w:szCs w:val="20"/>
              </w:rPr>
              <w:t xml:space="preserve"> pozícií</w:t>
            </w:r>
            <w:r w:rsidRPr="0031503F">
              <w:rPr>
                <w:rFonts w:ascii="Times New Roman" w:hAnsi="Times New Roman" w:cs="Times New Roman"/>
                <w:sz w:val="20"/>
                <w:szCs w:val="20"/>
              </w:rPr>
              <w:t xml:space="preserve"> všetkých riadiacich pracovníkov.</w:t>
            </w:r>
          </w:p>
          <w:p w:rsidR="00423B5D" w:rsidRPr="0031503F" w:rsidRDefault="00423B5D" w:rsidP="00CB3223">
            <w:pPr>
              <w:pStyle w:val="Standard"/>
              <w:shd w:val="clear" w:color="auto" w:fill="FFFFFF" w:themeFill="background1"/>
              <w:spacing w:line="240" w:lineRule="auto"/>
              <w:rPr>
                <w:rFonts w:ascii="Times New Roman" w:hAnsi="Times New Roman" w:cs="Times New Roman"/>
                <w:sz w:val="20"/>
                <w:szCs w:val="20"/>
              </w:rPr>
            </w:pPr>
          </w:p>
          <w:p w:rsidR="005F57C7" w:rsidRPr="0031503F" w:rsidRDefault="005F57C7"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423B5D" w:rsidRPr="0031503F" w:rsidRDefault="00C969C6"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423B5D" w:rsidRPr="0031503F" w:rsidRDefault="00423B5D"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423B5D" w:rsidRPr="0031503F" w:rsidRDefault="004C0EC0"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D249C0" w:rsidRPr="0031503F" w:rsidRDefault="00D249C0"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AA56D4" w:rsidRPr="0031503F" w:rsidRDefault="00AA56D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CB3223">
            <w:pPr>
              <w:jc w:val="center"/>
              <w:rPr>
                <w:rFonts w:ascii="Times New Roman" w:hAnsi="Times New Roman" w:cs="Times New Roman"/>
                <w:b/>
                <w:sz w:val="20"/>
                <w:szCs w:val="20"/>
              </w:rPr>
            </w:pPr>
          </w:p>
          <w:p w:rsidR="001540E4" w:rsidRPr="0031503F" w:rsidRDefault="001540E4" w:rsidP="001540E4">
            <w:pPr>
              <w:rPr>
                <w:rFonts w:ascii="Times New Roman" w:hAnsi="Times New Roman" w:cs="Times New Roman"/>
                <w:b/>
                <w:sz w:val="20"/>
                <w:szCs w:val="20"/>
              </w:rPr>
            </w:pPr>
          </w:p>
        </w:tc>
        <w:tc>
          <w:tcPr>
            <w:tcW w:w="1663" w:type="dxa"/>
            <w:tcBorders>
              <w:top w:val="single" w:sz="4" w:space="0" w:color="auto"/>
              <w:bottom w:val="single" w:sz="4" w:space="0" w:color="auto"/>
            </w:tcBorders>
          </w:tcPr>
          <w:p w:rsidR="00423B5D" w:rsidRPr="0031503F" w:rsidRDefault="00423B5D"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C32467" w:rsidRPr="0031503F" w:rsidRDefault="00B46D94"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6</w:t>
            </w:r>
          </w:p>
        </w:tc>
        <w:tc>
          <w:tcPr>
            <w:tcW w:w="2837" w:type="dxa"/>
            <w:tcBorders>
              <w:top w:val="single" w:sz="4" w:space="0" w:color="auto"/>
              <w:bottom w:val="single" w:sz="4" w:space="0" w:color="auto"/>
            </w:tcBorders>
          </w:tcPr>
          <w:p w:rsidR="00B46D94" w:rsidRPr="0031503F" w:rsidRDefault="00B46D94" w:rsidP="001C143D">
            <w:pPr>
              <w:shd w:val="clear" w:color="auto" w:fill="FFFFFF"/>
              <w:jc w:val="both"/>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Prostriedky na dosiahnutie cieľov</w:t>
            </w:r>
          </w:p>
          <w:p w:rsidR="00C32467" w:rsidRPr="0031503F" w:rsidRDefault="00C32467" w:rsidP="001C143D">
            <w:pPr>
              <w:shd w:val="clear" w:color="auto" w:fill="FFFFFF"/>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C32467" w:rsidRPr="0031503F" w:rsidRDefault="00C32467"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C32467" w:rsidRPr="0031503F" w:rsidRDefault="00C32467"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C32467" w:rsidRPr="0031503F" w:rsidRDefault="00E50929" w:rsidP="001C143D">
            <w:pPr>
              <w:pStyle w:val="Normlny0"/>
              <w:jc w:val="center"/>
              <w:rPr>
                <w:b/>
              </w:rPr>
            </w:pPr>
            <w:r w:rsidRPr="0031503F">
              <w:rPr>
                <w:b/>
              </w:rPr>
              <w:t>§ 5</w:t>
            </w:r>
          </w:p>
        </w:tc>
        <w:tc>
          <w:tcPr>
            <w:tcW w:w="2051" w:type="dxa"/>
            <w:tcBorders>
              <w:top w:val="single" w:sz="4" w:space="0" w:color="auto"/>
              <w:bottom w:val="single" w:sz="4" w:space="0" w:color="auto"/>
            </w:tcBorders>
          </w:tcPr>
          <w:p w:rsidR="00B46D94" w:rsidRPr="0031503F" w:rsidRDefault="00AA56D4" w:rsidP="00CB3223">
            <w:pPr>
              <w:shd w:val="clear" w:color="auto" w:fill="FFFFFF"/>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Opatrenia</w:t>
            </w:r>
            <w:r w:rsidR="00B46D94" w:rsidRPr="0031503F">
              <w:rPr>
                <w:rFonts w:ascii="Times New Roman" w:eastAsia="Times New Roman" w:hAnsi="Times New Roman" w:cs="Times New Roman"/>
                <w:b/>
                <w:bCs/>
                <w:color w:val="333333"/>
                <w:sz w:val="20"/>
                <w:szCs w:val="20"/>
                <w:lang w:eastAsia="sk-SK"/>
              </w:rPr>
              <w:t xml:space="preserve"> na dosiahnutie cieľov</w:t>
            </w:r>
            <w:r w:rsidR="00255711" w:rsidRPr="0031503F">
              <w:rPr>
                <w:rFonts w:ascii="Times New Roman" w:eastAsia="Times New Roman" w:hAnsi="Times New Roman" w:cs="Times New Roman"/>
                <w:b/>
                <w:bCs/>
                <w:color w:val="333333"/>
                <w:sz w:val="20"/>
                <w:szCs w:val="20"/>
                <w:lang w:eastAsia="sk-SK"/>
              </w:rPr>
              <w:t xml:space="preserve"> vyváženosti</w:t>
            </w:r>
            <w:r w:rsidR="00B46D94" w:rsidRPr="0031503F">
              <w:rPr>
                <w:rFonts w:ascii="Times New Roman" w:eastAsia="Times New Roman" w:hAnsi="Times New Roman" w:cs="Times New Roman"/>
                <w:b/>
                <w:bCs/>
                <w:color w:val="333333"/>
                <w:sz w:val="20"/>
                <w:szCs w:val="20"/>
                <w:lang w:eastAsia="sk-SK"/>
              </w:rPr>
              <w:t xml:space="preserve"> </w:t>
            </w:r>
          </w:p>
          <w:p w:rsidR="00C32467" w:rsidRPr="0031503F" w:rsidRDefault="00C32467" w:rsidP="00CB3223">
            <w:pPr>
              <w:pStyle w:val="Standard"/>
              <w:shd w:val="clear" w:color="auto" w:fill="FFFFFF" w:themeFill="background1"/>
              <w:spacing w:line="240" w:lineRule="auto"/>
              <w:rPr>
                <w:rFonts w:ascii="Times New Roman" w:hAnsi="Times New Roman" w:cs="Times New Roman"/>
                <w:sz w:val="20"/>
                <w:szCs w:val="20"/>
              </w:rPr>
            </w:pPr>
          </w:p>
        </w:tc>
        <w:tc>
          <w:tcPr>
            <w:tcW w:w="727" w:type="dxa"/>
            <w:tcBorders>
              <w:top w:val="single" w:sz="4" w:space="0" w:color="auto"/>
              <w:bottom w:val="single" w:sz="4" w:space="0" w:color="auto"/>
            </w:tcBorders>
          </w:tcPr>
          <w:p w:rsidR="00C32467" w:rsidRPr="0031503F" w:rsidRDefault="00C32467"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C32467" w:rsidRPr="0031503F" w:rsidRDefault="00C32467"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C32467" w:rsidRPr="0031503F" w:rsidRDefault="00C32467"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C32467" w:rsidRPr="0031503F" w:rsidRDefault="00C32467"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C32467" w:rsidRPr="0031503F" w:rsidRDefault="00B46D94"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Č:6 </w:t>
            </w: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O:1 </w:t>
            </w: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CD5CEE" w:rsidRPr="0031503F" w:rsidRDefault="00CD5CEE" w:rsidP="00CB3223">
            <w:pPr>
              <w:jc w:val="both"/>
              <w:rPr>
                <w:rFonts w:ascii="Times New Roman" w:hAnsi="Times New Roman" w:cs="Times New Roman"/>
                <w:b/>
                <w:bCs/>
                <w:sz w:val="20"/>
                <w:szCs w:val="20"/>
              </w:rPr>
            </w:pPr>
          </w:p>
          <w:p w:rsidR="00FF6B4E" w:rsidRPr="0031503F" w:rsidRDefault="00FF6B4E" w:rsidP="00CB3223">
            <w:pPr>
              <w:jc w:val="both"/>
              <w:rPr>
                <w:rFonts w:ascii="Times New Roman" w:hAnsi="Times New Roman" w:cs="Times New Roman"/>
                <w:b/>
                <w:bCs/>
                <w:sz w:val="20"/>
                <w:szCs w:val="20"/>
              </w:rPr>
            </w:pPr>
          </w:p>
          <w:p w:rsidR="00FF6B4E" w:rsidRPr="0031503F" w:rsidRDefault="00FF6B4E" w:rsidP="00CB3223">
            <w:pPr>
              <w:jc w:val="both"/>
              <w:rPr>
                <w:rFonts w:ascii="Times New Roman" w:hAnsi="Times New Roman" w:cs="Times New Roman"/>
                <w:b/>
                <w:bCs/>
                <w:sz w:val="20"/>
                <w:szCs w:val="20"/>
              </w:rPr>
            </w:pPr>
          </w:p>
          <w:p w:rsidR="00B46D94" w:rsidRPr="0031503F" w:rsidRDefault="00B46D94"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 2 </w:t>
            </w: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FB1E71" w:rsidRPr="0031503F" w:rsidRDefault="00FB1E71"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O: 3</w:t>
            </w:r>
          </w:p>
          <w:p w:rsidR="00B51E49" w:rsidRPr="0031503F" w:rsidRDefault="00B51E4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úvodná </w:t>
            </w:r>
            <w:r w:rsidR="00FB1E71" w:rsidRPr="0031503F">
              <w:rPr>
                <w:rFonts w:ascii="Times New Roman" w:hAnsi="Times New Roman" w:cs="Times New Roman"/>
                <w:b/>
                <w:bCs/>
                <w:sz w:val="20"/>
                <w:szCs w:val="20"/>
              </w:rPr>
              <w:t>V</w:t>
            </w: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0706E5" w:rsidRPr="0031503F" w:rsidRDefault="000706E5"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P: a)</w:t>
            </w: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P: b)</w:t>
            </w: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B51E49" w:rsidRPr="0031503F" w:rsidRDefault="00B51E4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P: c) </w:t>
            </w:r>
          </w:p>
          <w:p w:rsidR="00E17BDF" w:rsidRPr="0031503F" w:rsidRDefault="00E17BDF"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D85F5B" w:rsidRPr="0031503F" w:rsidRDefault="00D85F5B" w:rsidP="00CB3223">
            <w:pPr>
              <w:jc w:val="both"/>
              <w:rPr>
                <w:rFonts w:ascii="Times New Roman" w:hAnsi="Times New Roman" w:cs="Times New Roman"/>
                <w:b/>
                <w:bCs/>
                <w:sz w:val="20"/>
                <w:szCs w:val="20"/>
              </w:rPr>
            </w:pPr>
          </w:p>
          <w:p w:rsidR="001E2242" w:rsidRPr="0031503F" w:rsidRDefault="001E2242" w:rsidP="00CB3223">
            <w:pPr>
              <w:jc w:val="both"/>
              <w:rPr>
                <w:rFonts w:ascii="Times New Roman" w:hAnsi="Times New Roman" w:cs="Times New Roman"/>
                <w:b/>
                <w:bCs/>
                <w:sz w:val="20"/>
                <w:szCs w:val="20"/>
              </w:rPr>
            </w:pPr>
          </w:p>
          <w:p w:rsidR="00C06867" w:rsidRPr="0031503F" w:rsidRDefault="00C06867" w:rsidP="00CB3223">
            <w:pPr>
              <w:jc w:val="both"/>
              <w:rPr>
                <w:rFonts w:ascii="Times New Roman" w:hAnsi="Times New Roman" w:cs="Times New Roman"/>
                <w:b/>
                <w:bCs/>
                <w:sz w:val="20"/>
                <w:szCs w:val="20"/>
              </w:rPr>
            </w:pPr>
          </w:p>
          <w:p w:rsidR="001E2242" w:rsidRPr="0031503F" w:rsidRDefault="001E2242" w:rsidP="00CB3223">
            <w:pPr>
              <w:jc w:val="both"/>
              <w:rPr>
                <w:rFonts w:ascii="Times New Roman" w:hAnsi="Times New Roman" w:cs="Times New Roman"/>
                <w:b/>
                <w:bCs/>
                <w:sz w:val="20"/>
                <w:szCs w:val="20"/>
              </w:rPr>
            </w:pPr>
          </w:p>
          <w:p w:rsidR="00E17BDF" w:rsidRPr="0031503F" w:rsidRDefault="00E17BD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 4 </w:t>
            </w: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CB3223" w:rsidRPr="0031503F" w:rsidRDefault="00CB3223"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1610FB" w:rsidRPr="0031503F" w:rsidRDefault="001610FB" w:rsidP="00CB3223">
            <w:pPr>
              <w:jc w:val="both"/>
              <w:rPr>
                <w:rFonts w:ascii="Times New Roman" w:hAnsi="Times New Roman" w:cs="Times New Roman"/>
                <w:b/>
                <w:bCs/>
                <w:sz w:val="20"/>
                <w:szCs w:val="20"/>
              </w:rPr>
            </w:pPr>
          </w:p>
          <w:p w:rsidR="002731F9" w:rsidRPr="0031503F" w:rsidRDefault="002731F9" w:rsidP="00CB3223">
            <w:pPr>
              <w:jc w:val="both"/>
              <w:rPr>
                <w:rFonts w:ascii="Times New Roman" w:hAnsi="Times New Roman" w:cs="Times New Roman"/>
                <w:b/>
                <w:bCs/>
                <w:sz w:val="20"/>
                <w:szCs w:val="20"/>
              </w:rPr>
            </w:pPr>
          </w:p>
          <w:p w:rsidR="007863F7" w:rsidRPr="0031503F" w:rsidRDefault="007863F7"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O: 5</w:t>
            </w:r>
          </w:p>
        </w:tc>
        <w:tc>
          <w:tcPr>
            <w:tcW w:w="2837" w:type="dxa"/>
            <w:tcBorders>
              <w:top w:val="single" w:sz="4" w:space="0" w:color="auto"/>
              <w:bottom w:val="single" w:sz="4" w:space="0" w:color="auto"/>
            </w:tcBorders>
          </w:tcPr>
          <w:p w:rsidR="00C32467" w:rsidRPr="0031503F" w:rsidRDefault="00C32467" w:rsidP="001C143D">
            <w:pPr>
              <w:shd w:val="clear" w:color="auto" w:fill="FFFFFF"/>
              <w:jc w:val="both"/>
              <w:rPr>
                <w:rFonts w:ascii="Times New Roman" w:eastAsia="Times New Roman" w:hAnsi="Times New Roman" w:cs="Times New Roman"/>
                <w:color w:val="333333"/>
                <w:sz w:val="20"/>
                <w:szCs w:val="20"/>
                <w:lang w:eastAsia="sk-SK"/>
              </w:rPr>
            </w:pP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zabezpečia, aby kótované spoločnosti, ktoré nedosahujú ciele uvedené v článku 5 ods. 1 písm. a) alebo b), upravili proces výberu kandidátov na vymenovanie alebo voľbu na pozície riadiacich pracovníkov. Uvedení kandidáti sa vyberajú na základe komparatívneho posúdenia kvalifikácií každého kandidáta. Na tento účel sa nediskriminačným spôsobom uplatňujú jasné, neutrálne formulované a jednoznačné kritériá počas celého výberového konania vrátane prípravy oznámení o voľných pracovných miestach, predbežného výberu, užšieho výberu a zostavenia výberovej skupiny kandidátov. Takéto kritériá sa stanovia pred výberovým konaním.</w:t>
            </w: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CD5CEE" w:rsidRPr="0031503F" w:rsidRDefault="00CD5CEE" w:rsidP="001C143D">
            <w:pPr>
              <w:shd w:val="clear" w:color="auto" w:fill="FFFFFF"/>
              <w:jc w:val="both"/>
              <w:rPr>
                <w:rFonts w:ascii="Times New Roman" w:eastAsia="Times New Roman" w:hAnsi="Times New Roman" w:cs="Times New Roman"/>
                <w:color w:val="333333"/>
                <w:sz w:val="20"/>
                <w:szCs w:val="20"/>
                <w:lang w:eastAsia="sk-SK"/>
              </w:rPr>
            </w:pPr>
          </w:p>
          <w:p w:rsidR="00FF6B4E" w:rsidRPr="0031503F" w:rsidRDefault="00FF6B4E" w:rsidP="001C143D">
            <w:pPr>
              <w:shd w:val="clear" w:color="auto" w:fill="FFFFFF"/>
              <w:jc w:val="both"/>
              <w:rPr>
                <w:rFonts w:ascii="Times New Roman" w:eastAsia="Times New Roman" w:hAnsi="Times New Roman" w:cs="Times New Roman"/>
                <w:color w:val="333333"/>
                <w:sz w:val="20"/>
                <w:szCs w:val="20"/>
                <w:lang w:eastAsia="sk-SK"/>
              </w:rPr>
            </w:pPr>
          </w:p>
          <w:p w:rsidR="00FF6B4E" w:rsidRPr="0031503F" w:rsidRDefault="00FF6B4E" w:rsidP="001C143D">
            <w:pPr>
              <w:shd w:val="clear" w:color="auto" w:fill="FFFFFF"/>
              <w:jc w:val="both"/>
              <w:rPr>
                <w:rFonts w:ascii="Times New Roman" w:eastAsia="Times New Roman" w:hAnsi="Times New Roman" w:cs="Times New Roman"/>
                <w:color w:val="333333"/>
                <w:sz w:val="20"/>
                <w:szCs w:val="20"/>
                <w:lang w:eastAsia="sk-SK"/>
              </w:rPr>
            </w:pP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zabezpečia, aby sa v situáciách, keď je pri výbere kandidátov na vymenovanie alebo voľbu na pozície riadiacich pracovníkov potrebné zvoliť medzi kandidátmi, ktorí sú rovnako kvalifikovaní z hľadiska vhodnosti, spôsobilosti a profesionálnych výsledkov, uprednostnil kandidát menej zastúpeného pohlavia, okrem výnimočných prípadov, keď dôvody s vyššou právnou váhou, ako je uplatňovanie iných politík rozmanitosti, na ktoré sa odvolávajú v kontexte objektívneho posúdenia, ktoré zohľadňuje špecifickú situáciu kandidáta druhého pohlavia a ktoré je založené na nediskriminačných kritériách, rozhodnú v prospech kandidáta druhého pohlavia.</w:t>
            </w:r>
          </w:p>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B51E49" w:rsidRPr="0031503F" w:rsidRDefault="00B51E49"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zabezpečia, aby na žiadosť kandidáta, ktorý bol posudzovaný počas výberu kandidátov na vymenovanie alebo voľbu na pozíciu riadiaceho pracovníka, boli kótované spoločnosti povinné informovať tohto kandidáta o:</w:t>
            </w:r>
          </w:p>
          <w:p w:rsidR="00FB1E71" w:rsidRPr="0031503F" w:rsidRDefault="00FB1E71" w:rsidP="001C143D">
            <w:pPr>
              <w:shd w:val="clear" w:color="auto" w:fill="FFFFFF"/>
              <w:jc w:val="both"/>
              <w:rPr>
                <w:rFonts w:ascii="Times New Roman" w:eastAsia="Times New Roman" w:hAnsi="Times New Roman" w:cs="Times New Roman"/>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6"/>
              <w:gridCol w:w="2465"/>
            </w:tblGrid>
            <w:tr w:rsidR="00B51E49" w:rsidRPr="0031503F" w:rsidTr="000706E5">
              <w:tc>
                <w:tcPr>
                  <w:tcW w:w="156"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p>
              </w:tc>
              <w:tc>
                <w:tcPr>
                  <w:tcW w:w="2465"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kvalifikačných kritériách, o ktoré sa výber opieral;</w:t>
                  </w:r>
                </w:p>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p>
                <w:p w:rsidR="00D85F5B" w:rsidRPr="0031503F" w:rsidRDefault="00D85F5B" w:rsidP="001C143D">
                  <w:pPr>
                    <w:spacing w:after="0" w:line="240" w:lineRule="auto"/>
                    <w:jc w:val="both"/>
                    <w:rPr>
                      <w:rFonts w:ascii="Times New Roman" w:eastAsia="Times New Roman" w:hAnsi="Times New Roman" w:cs="Times New Roman"/>
                      <w:sz w:val="20"/>
                      <w:szCs w:val="20"/>
                      <w:lang w:eastAsia="sk-SK"/>
                    </w:rPr>
                  </w:pPr>
                </w:p>
                <w:p w:rsidR="00C06867" w:rsidRPr="0031503F" w:rsidRDefault="00C06867" w:rsidP="001C143D">
                  <w:pPr>
                    <w:spacing w:after="0" w:line="240" w:lineRule="auto"/>
                    <w:jc w:val="both"/>
                    <w:rPr>
                      <w:rFonts w:ascii="Times New Roman" w:eastAsia="Times New Roman" w:hAnsi="Times New Roman" w:cs="Times New Roman"/>
                      <w:sz w:val="20"/>
                      <w:szCs w:val="20"/>
                      <w:lang w:eastAsia="sk-SK"/>
                    </w:rPr>
                  </w:pPr>
                </w:p>
              </w:tc>
            </w:tr>
          </w:tbl>
          <w:p w:rsidR="00B51E49" w:rsidRPr="0031503F" w:rsidRDefault="00B51E49"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67"/>
              <w:gridCol w:w="2454"/>
            </w:tblGrid>
            <w:tr w:rsidR="00B51E49" w:rsidRPr="0031503F" w:rsidTr="000706E5">
              <w:tc>
                <w:tcPr>
                  <w:tcW w:w="167"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p>
              </w:tc>
              <w:tc>
                <w:tcPr>
                  <w:tcW w:w="2454"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objektívnom komparatívnom posúdení kandidátov na základe týchto kritérií; a</w:t>
                  </w:r>
                </w:p>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p>
                <w:p w:rsidR="00D85F5B" w:rsidRPr="0031503F" w:rsidRDefault="00D85F5B" w:rsidP="001C143D">
                  <w:pPr>
                    <w:spacing w:after="0" w:line="240" w:lineRule="auto"/>
                    <w:jc w:val="both"/>
                    <w:rPr>
                      <w:rFonts w:ascii="Times New Roman" w:eastAsia="Times New Roman" w:hAnsi="Times New Roman" w:cs="Times New Roman"/>
                      <w:sz w:val="20"/>
                      <w:szCs w:val="20"/>
                      <w:lang w:eastAsia="sk-SK"/>
                    </w:rPr>
                  </w:pPr>
                </w:p>
                <w:p w:rsidR="00D85F5B" w:rsidRPr="0031503F" w:rsidRDefault="00D85F5B" w:rsidP="001C143D">
                  <w:pPr>
                    <w:spacing w:after="0" w:line="240" w:lineRule="auto"/>
                    <w:jc w:val="both"/>
                    <w:rPr>
                      <w:rFonts w:ascii="Times New Roman" w:eastAsia="Times New Roman" w:hAnsi="Times New Roman" w:cs="Times New Roman"/>
                      <w:sz w:val="20"/>
                      <w:szCs w:val="20"/>
                      <w:lang w:eastAsia="sk-SK"/>
                    </w:rPr>
                  </w:pPr>
                </w:p>
                <w:p w:rsidR="00D85F5B" w:rsidRPr="0031503F" w:rsidRDefault="00D85F5B" w:rsidP="001C143D">
                  <w:pPr>
                    <w:spacing w:after="0" w:line="240" w:lineRule="auto"/>
                    <w:jc w:val="both"/>
                    <w:rPr>
                      <w:rFonts w:ascii="Times New Roman" w:eastAsia="Times New Roman" w:hAnsi="Times New Roman" w:cs="Times New Roman"/>
                      <w:sz w:val="20"/>
                      <w:szCs w:val="20"/>
                      <w:lang w:eastAsia="sk-SK"/>
                    </w:rPr>
                  </w:pPr>
                </w:p>
                <w:p w:rsidR="00D85F5B" w:rsidRPr="0031503F" w:rsidRDefault="00D85F5B" w:rsidP="001C143D">
                  <w:pPr>
                    <w:spacing w:after="0" w:line="240" w:lineRule="auto"/>
                    <w:jc w:val="both"/>
                    <w:rPr>
                      <w:rFonts w:ascii="Times New Roman" w:eastAsia="Times New Roman" w:hAnsi="Times New Roman" w:cs="Times New Roman"/>
                      <w:sz w:val="20"/>
                      <w:szCs w:val="20"/>
                      <w:lang w:eastAsia="sk-SK"/>
                    </w:rPr>
                  </w:pPr>
                </w:p>
              </w:tc>
            </w:tr>
          </w:tbl>
          <w:p w:rsidR="00B51E49" w:rsidRPr="0031503F" w:rsidRDefault="00B51E49" w:rsidP="001C143D">
            <w:pPr>
              <w:shd w:val="clear" w:color="auto" w:fill="FFFFFF"/>
              <w:jc w:val="both"/>
              <w:rPr>
                <w:rFonts w:ascii="Times New Roman" w:eastAsia="Times New Roman" w:hAnsi="Times New Roman" w:cs="Times New Roman"/>
                <w:vanish/>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56"/>
              <w:gridCol w:w="2465"/>
            </w:tblGrid>
            <w:tr w:rsidR="00B51E49" w:rsidRPr="0031503F" w:rsidTr="000706E5">
              <w:tc>
                <w:tcPr>
                  <w:tcW w:w="156"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p>
              </w:tc>
              <w:tc>
                <w:tcPr>
                  <w:tcW w:w="2465" w:type="dxa"/>
                  <w:shd w:val="clear" w:color="auto" w:fill="auto"/>
                  <w:hideMark/>
                </w:tcPr>
                <w:p w:rsidR="00B51E49" w:rsidRPr="0031503F" w:rsidRDefault="00B51E49" w:rsidP="001C143D">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 relevantnom prípade o špecifických dôvodoch, ktoré viedli k výnimočnému uprednostneniu kandidáta, ktorý nie je príslušníkom menej zastúpeného pohlavia.</w:t>
                  </w:r>
                </w:p>
              </w:tc>
            </w:tr>
          </w:tbl>
          <w:p w:rsidR="00B46D94" w:rsidRPr="0031503F" w:rsidRDefault="00B46D94"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color w:val="333333"/>
                <w:sz w:val="20"/>
                <w:szCs w:val="20"/>
                <w:lang w:eastAsia="sk-SK"/>
              </w:rPr>
            </w:pPr>
          </w:p>
          <w:p w:rsidR="00D85F5B" w:rsidRPr="0031503F" w:rsidRDefault="00D85F5B" w:rsidP="001C143D">
            <w:pPr>
              <w:shd w:val="clear" w:color="auto" w:fill="FFFFFF"/>
              <w:jc w:val="both"/>
              <w:rPr>
                <w:rFonts w:ascii="Times New Roman" w:eastAsia="Times New Roman" w:hAnsi="Times New Roman" w:cs="Times New Roman"/>
                <w:sz w:val="20"/>
                <w:szCs w:val="20"/>
                <w:lang w:eastAsia="sk-SK"/>
              </w:rPr>
            </w:pPr>
          </w:p>
          <w:p w:rsidR="001E2242" w:rsidRPr="0031503F" w:rsidRDefault="001E2242" w:rsidP="001C143D">
            <w:pPr>
              <w:shd w:val="clear" w:color="auto" w:fill="FFFFFF"/>
              <w:jc w:val="both"/>
              <w:rPr>
                <w:rFonts w:ascii="Times New Roman" w:eastAsia="Times New Roman" w:hAnsi="Times New Roman" w:cs="Times New Roman"/>
                <w:sz w:val="20"/>
                <w:szCs w:val="20"/>
                <w:lang w:eastAsia="sk-SK"/>
              </w:rPr>
            </w:pPr>
          </w:p>
          <w:p w:rsidR="00C06867" w:rsidRPr="0031503F" w:rsidRDefault="00C06867" w:rsidP="001C143D">
            <w:pPr>
              <w:shd w:val="clear" w:color="auto" w:fill="FFFFFF"/>
              <w:jc w:val="both"/>
              <w:rPr>
                <w:rFonts w:ascii="Times New Roman" w:eastAsia="Times New Roman" w:hAnsi="Times New Roman" w:cs="Times New Roman"/>
                <w:sz w:val="20"/>
                <w:szCs w:val="20"/>
                <w:lang w:eastAsia="sk-SK"/>
              </w:rPr>
            </w:pPr>
          </w:p>
          <w:p w:rsidR="001E2242" w:rsidRPr="0031503F" w:rsidRDefault="001E2242" w:rsidP="001C143D">
            <w:pPr>
              <w:shd w:val="clear" w:color="auto" w:fill="FFFFFF"/>
              <w:jc w:val="both"/>
              <w:rPr>
                <w:rFonts w:ascii="Times New Roman" w:eastAsia="Times New Roman" w:hAnsi="Times New Roman" w:cs="Times New Roman"/>
                <w:sz w:val="20"/>
                <w:szCs w:val="20"/>
                <w:lang w:eastAsia="sk-SK"/>
              </w:rPr>
            </w:pPr>
          </w:p>
          <w:p w:rsidR="00E17BDF" w:rsidRPr="0031503F" w:rsidRDefault="00E17BDF" w:rsidP="001C143D">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prijmú v súlade so svojimi vnútroštátnymi súdnymi systémami opatrenia potrebné na to, aby zabezpečili, že ak neúspešný kandidát menej zastúpeného pohlavia predloží súdu alebo inému príslušnému orgánu skutočnosti, z ktorých možno usudzovať, že tento kandidát bol rovnako kvalifikovaný ako kandidát druhého pohlavia vybratý na vymenovanie alebo voľbu na pozíciu riadiaceho pracovníka, je na kótovanej spoločnosti, aby dokázala, že nedošlo k porušeniu článku 6 ods. 2</w:t>
            </w:r>
          </w:p>
          <w:p w:rsidR="00E17BDF" w:rsidRPr="0031503F" w:rsidRDefault="00E17BDF" w:rsidP="001C143D">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Tento odsek nebráni členským štátom v zavedení pravidiel dokazovania, ktoré sú pre žalobcu priaznivejšie.</w:t>
            </w:r>
          </w:p>
          <w:p w:rsidR="00B46D94" w:rsidRPr="0031503F" w:rsidRDefault="00B46D94" w:rsidP="001C143D">
            <w:pPr>
              <w:shd w:val="clear" w:color="auto" w:fill="FFFFFF"/>
              <w:jc w:val="both"/>
              <w:rPr>
                <w:rFonts w:ascii="Times New Roman" w:eastAsia="Times New Roman" w:hAnsi="Times New Roman" w:cs="Times New Roman"/>
                <w:sz w:val="20"/>
                <w:szCs w:val="20"/>
                <w:lang w:eastAsia="sk-SK"/>
              </w:rPr>
            </w:pPr>
          </w:p>
          <w:p w:rsidR="00CB3223" w:rsidRPr="0031503F" w:rsidRDefault="00CB3223"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1610FB" w:rsidRPr="0031503F" w:rsidRDefault="001610FB" w:rsidP="001C143D">
            <w:pPr>
              <w:shd w:val="clear" w:color="auto" w:fill="FFFFFF"/>
              <w:jc w:val="both"/>
              <w:rPr>
                <w:rFonts w:ascii="Times New Roman" w:eastAsia="Times New Roman" w:hAnsi="Times New Roman" w:cs="Times New Roman"/>
                <w:sz w:val="20"/>
                <w:szCs w:val="20"/>
                <w:lang w:eastAsia="sk-SK"/>
              </w:rPr>
            </w:pPr>
          </w:p>
          <w:p w:rsidR="001610FB" w:rsidRPr="0031503F" w:rsidRDefault="001610FB" w:rsidP="001C143D">
            <w:pPr>
              <w:shd w:val="clear" w:color="auto" w:fill="FFFFFF"/>
              <w:jc w:val="both"/>
              <w:rPr>
                <w:rFonts w:ascii="Times New Roman" w:eastAsia="Times New Roman" w:hAnsi="Times New Roman" w:cs="Times New Roman"/>
                <w:sz w:val="20"/>
                <w:szCs w:val="20"/>
                <w:lang w:eastAsia="sk-SK"/>
              </w:rPr>
            </w:pPr>
          </w:p>
          <w:p w:rsidR="001610FB" w:rsidRPr="0031503F" w:rsidRDefault="001610FB" w:rsidP="001C143D">
            <w:pPr>
              <w:shd w:val="clear" w:color="auto" w:fill="FFFFFF"/>
              <w:jc w:val="both"/>
              <w:rPr>
                <w:rFonts w:ascii="Times New Roman" w:eastAsia="Times New Roman" w:hAnsi="Times New Roman" w:cs="Times New Roman"/>
                <w:sz w:val="20"/>
                <w:szCs w:val="20"/>
                <w:lang w:eastAsia="sk-SK"/>
              </w:rPr>
            </w:pPr>
          </w:p>
          <w:p w:rsidR="001610FB" w:rsidRPr="0031503F" w:rsidRDefault="001610FB" w:rsidP="001C143D">
            <w:pPr>
              <w:shd w:val="clear" w:color="auto" w:fill="FFFFFF"/>
              <w:jc w:val="both"/>
              <w:rPr>
                <w:rFonts w:ascii="Times New Roman" w:eastAsia="Times New Roman" w:hAnsi="Times New Roman" w:cs="Times New Roman"/>
                <w:sz w:val="20"/>
                <w:szCs w:val="20"/>
                <w:lang w:eastAsia="sk-SK"/>
              </w:rPr>
            </w:pPr>
          </w:p>
          <w:p w:rsidR="001610FB" w:rsidRPr="0031503F" w:rsidRDefault="001610FB" w:rsidP="001C143D">
            <w:pPr>
              <w:shd w:val="clear" w:color="auto" w:fill="FFFFFF"/>
              <w:jc w:val="both"/>
              <w:rPr>
                <w:rFonts w:ascii="Times New Roman" w:eastAsia="Times New Roman" w:hAnsi="Times New Roman" w:cs="Times New Roman"/>
                <w:sz w:val="20"/>
                <w:szCs w:val="20"/>
                <w:lang w:eastAsia="sk-SK"/>
              </w:rPr>
            </w:pPr>
          </w:p>
          <w:p w:rsidR="002731F9" w:rsidRPr="0031503F" w:rsidRDefault="002731F9" w:rsidP="001C143D">
            <w:pPr>
              <w:shd w:val="clear" w:color="auto" w:fill="FFFFFF"/>
              <w:jc w:val="both"/>
              <w:rPr>
                <w:rFonts w:ascii="Times New Roman" w:eastAsia="Times New Roman" w:hAnsi="Times New Roman" w:cs="Times New Roman"/>
                <w:sz w:val="20"/>
                <w:szCs w:val="20"/>
                <w:lang w:eastAsia="sk-SK"/>
              </w:rPr>
            </w:pPr>
          </w:p>
          <w:p w:rsidR="007863F7" w:rsidRPr="0031503F" w:rsidRDefault="007863F7" w:rsidP="001C143D">
            <w:pPr>
              <w:shd w:val="clear" w:color="auto" w:fill="FFFFFF"/>
              <w:jc w:val="both"/>
              <w:rPr>
                <w:rFonts w:ascii="Times New Roman" w:hAnsi="Times New Roman" w:cs="Times New Roman"/>
                <w:sz w:val="20"/>
                <w:szCs w:val="20"/>
              </w:rPr>
            </w:pPr>
            <w:r w:rsidRPr="0031503F">
              <w:rPr>
                <w:rFonts w:ascii="Times New Roman" w:eastAsia="Times New Roman" w:hAnsi="Times New Roman" w:cs="Times New Roman"/>
                <w:color w:val="333333"/>
                <w:sz w:val="20"/>
                <w:szCs w:val="20"/>
                <w:lang w:eastAsia="sk-SK"/>
              </w:rPr>
              <w:t>Ak sa postup výberu kandidátov na vymenovanie alebo voľbu na pozíciu riadiaceho pracovníka uskutočňuje formou hlasovania akcionárov alebo zamestnancov, členské štáty sú povinné od kótovaných spoločností vyžadovať, aby zabezpečili, že hlasujúci budú riadne informovaní o opatreniach stanovených v tejto smernici vrátane sankcií pre</w:t>
            </w:r>
          </w:p>
          <w:p w:rsidR="00B46D94" w:rsidRPr="0031503F" w:rsidRDefault="007863F7"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kótovanú spoločnosť v prípade nedodržania svojich povinností.</w:t>
            </w:r>
          </w:p>
        </w:tc>
        <w:tc>
          <w:tcPr>
            <w:tcW w:w="828" w:type="dxa"/>
            <w:tcBorders>
              <w:top w:val="single" w:sz="4" w:space="0" w:color="auto"/>
              <w:bottom w:val="single" w:sz="4" w:space="0" w:color="auto"/>
            </w:tcBorders>
          </w:tcPr>
          <w:p w:rsidR="00C32467" w:rsidRPr="0031503F" w:rsidRDefault="00B46D94"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C32467" w:rsidRPr="0031503F" w:rsidRDefault="00B46D94"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C32467" w:rsidRPr="0031503F" w:rsidRDefault="00E50929" w:rsidP="001C143D">
            <w:pPr>
              <w:pStyle w:val="Normlny0"/>
              <w:jc w:val="center"/>
            </w:pPr>
            <w:r w:rsidRPr="0031503F">
              <w:t>§ 5</w:t>
            </w: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r w:rsidRPr="0031503F">
              <w:t>O: 1</w:t>
            </w: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B46D94" w:rsidRPr="0031503F" w:rsidRDefault="00B46D94"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CD5CEE" w:rsidRPr="0031503F" w:rsidRDefault="00CD5CEE" w:rsidP="001C143D">
            <w:pPr>
              <w:pStyle w:val="Normlny0"/>
              <w:jc w:val="center"/>
            </w:pPr>
          </w:p>
          <w:p w:rsidR="00FF6B4E" w:rsidRPr="0031503F" w:rsidRDefault="00FF6B4E" w:rsidP="001C143D">
            <w:pPr>
              <w:pStyle w:val="Normlny0"/>
              <w:jc w:val="center"/>
            </w:pPr>
          </w:p>
          <w:p w:rsidR="00FF6B4E" w:rsidRPr="0031503F" w:rsidRDefault="00FF6B4E" w:rsidP="001C143D">
            <w:pPr>
              <w:pStyle w:val="Normlny0"/>
              <w:jc w:val="center"/>
            </w:pPr>
          </w:p>
          <w:p w:rsidR="00FF6B4E" w:rsidRPr="0031503F" w:rsidRDefault="00FF6B4E" w:rsidP="001C143D">
            <w:pPr>
              <w:pStyle w:val="Normlny0"/>
              <w:jc w:val="center"/>
            </w:pPr>
          </w:p>
          <w:p w:rsidR="00B46D94" w:rsidRPr="0031503F" w:rsidRDefault="00B46D94" w:rsidP="001C143D">
            <w:pPr>
              <w:pStyle w:val="Normlny0"/>
              <w:jc w:val="center"/>
            </w:pPr>
            <w:r w:rsidRPr="0031503F">
              <w:t>O: 2</w:t>
            </w: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C06867" w:rsidRPr="0031503F" w:rsidRDefault="00C06867" w:rsidP="001C143D">
            <w:pPr>
              <w:pStyle w:val="Normlny0"/>
              <w:jc w:val="center"/>
            </w:pPr>
          </w:p>
          <w:p w:rsidR="00C06867" w:rsidRPr="0031503F" w:rsidRDefault="00C06867" w:rsidP="001C143D">
            <w:pPr>
              <w:pStyle w:val="Normlny0"/>
              <w:jc w:val="center"/>
            </w:pPr>
          </w:p>
          <w:p w:rsidR="00B51E49" w:rsidRPr="0031503F" w:rsidRDefault="00B51E49" w:rsidP="001C143D">
            <w:pPr>
              <w:pStyle w:val="Normlny0"/>
              <w:jc w:val="center"/>
            </w:pPr>
          </w:p>
          <w:p w:rsidR="00B51E49" w:rsidRPr="0031503F" w:rsidRDefault="00CD5CEE" w:rsidP="001C143D">
            <w:pPr>
              <w:pStyle w:val="Normlny0"/>
              <w:jc w:val="center"/>
            </w:pPr>
            <w:r w:rsidRPr="0031503F">
              <w:t>O:3</w:t>
            </w: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0706E5" w:rsidRPr="0031503F" w:rsidRDefault="000706E5"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B51E49" w:rsidRPr="0031503F" w:rsidRDefault="00B51E49"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C06867" w:rsidRPr="0031503F" w:rsidRDefault="00C06867" w:rsidP="001C143D">
            <w:pPr>
              <w:pStyle w:val="Normlny0"/>
              <w:jc w:val="center"/>
            </w:pPr>
          </w:p>
          <w:p w:rsidR="00C06867" w:rsidRPr="0031503F" w:rsidRDefault="00C06867" w:rsidP="001C143D">
            <w:pPr>
              <w:pStyle w:val="Normlny0"/>
              <w:jc w:val="center"/>
            </w:pPr>
          </w:p>
          <w:p w:rsidR="00C06867" w:rsidRPr="0031503F" w:rsidRDefault="00C06867" w:rsidP="001C143D">
            <w:pPr>
              <w:pStyle w:val="Normlny0"/>
              <w:jc w:val="center"/>
            </w:pPr>
          </w:p>
          <w:p w:rsidR="00C06867" w:rsidRPr="0031503F" w:rsidRDefault="00C06867" w:rsidP="00C06867">
            <w:pPr>
              <w:pStyle w:val="Normlny0"/>
            </w:pPr>
          </w:p>
          <w:p w:rsidR="00D85F5B" w:rsidRPr="0031503F" w:rsidRDefault="00D85F5B" w:rsidP="001C143D">
            <w:pPr>
              <w:pStyle w:val="Normlny0"/>
              <w:jc w:val="center"/>
            </w:pPr>
          </w:p>
          <w:p w:rsidR="00D85F5B" w:rsidRPr="0031503F" w:rsidRDefault="00D85F5B" w:rsidP="001C143D">
            <w:pPr>
              <w:pStyle w:val="Normlny0"/>
              <w:jc w:val="center"/>
            </w:pPr>
            <w:r w:rsidRPr="0031503F">
              <w:t>O: 4</w:t>
            </w:r>
          </w:p>
          <w:p w:rsidR="00D85F5B" w:rsidRPr="0031503F" w:rsidRDefault="00D85F5B" w:rsidP="001C143D">
            <w:pPr>
              <w:pStyle w:val="Normlny0"/>
              <w:jc w:val="center"/>
            </w:pPr>
            <w:r w:rsidRPr="0031503F">
              <w:t>Úvodná V</w:t>
            </w: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C06867">
            <w:pPr>
              <w:pStyle w:val="Normlny0"/>
            </w:pPr>
          </w:p>
          <w:p w:rsidR="00B51E49" w:rsidRPr="0031503F" w:rsidRDefault="00B51E49" w:rsidP="001C143D">
            <w:pPr>
              <w:pStyle w:val="Normlny0"/>
              <w:jc w:val="center"/>
            </w:pPr>
            <w:r w:rsidRPr="0031503F">
              <w:t>P: a)</w:t>
            </w:r>
          </w:p>
          <w:p w:rsidR="00B51E49" w:rsidRPr="0031503F" w:rsidRDefault="00B51E49" w:rsidP="001C143D">
            <w:pPr>
              <w:pStyle w:val="Normlny0"/>
              <w:jc w:val="center"/>
            </w:pPr>
          </w:p>
          <w:p w:rsidR="00B51E49" w:rsidRPr="0031503F" w:rsidRDefault="00B51E49" w:rsidP="001C143D">
            <w:pPr>
              <w:pStyle w:val="Normlny0"/>
              <w:jc w:val="center"/>
            </w:pPr>
          </w:p>
          <w:p w:rsidR="00D85F5B" w:rsidRPr="0031503F" w:rsidRDefault="00D85F5B" w:rsidP="001C143D">
            <w:pPr>
              <w:pStyle w:val="Normlny0"/>
              <w:jc w:val="center"/>
            </w:pPr>
          </w:p>
          <w:p w:rsidR="00C06867" w:rsidRPr="0031503F" w:rsidRDefault="00C06867" w:rsidP="001C143D">
            <w:pPr>
              <w:pStyle w:val="Normlny0"/>
              <w:jc w:val="center"/>
            </w:pPr>
          </w:p>
          <w:p w:rsidR="00B51E49" w:rsidRPr="0031503F" w:rsidRDefault="00B51E49" w:rsidP="001C143D">
            <w:pPr>
              <w:pStyle w:val="Normlny0"/>
              <w:jc w:val="center"/>
            </w:pPr>
            <w:r w:rsidRPr="0031503F">
              <w:t>P: b)</w:t>
            </w:r>
          </w:p>
          <w:p w:rsidR="00B51E49" w:rsidRPr="0031503F" w:rsidRDefault="00B51E49" w:rsidP="001C143D">
            <w:pPr>
              <w:pStyle w:val="Normlny0"/>
              <w:jc w:val="center"/>
            </w:pPr>
          </w:p>
          <w:p w:rsidR="00B51E49" w:rsidRPr="0031503F" w:rsidRDefault="00B51E49" w:rsidP="001C143D">
            <w:pPr>
              <w:pStyle w:val="Normlny0"/>
              <w:jc w:val="center"/>
            </w:pPr>
          </w:p>
          <w:p w:rsidR="00B51E49" w:rsidRPr="0031503F" w:rsidRDefault="00B51E49" w:rsidP="001C143D">
            <w:pPr>
              <w:pStyle w:val="Normlny0"/>
              <w:jc w:val="center"/>
            </w:pPr>
          </w:p>
          <w:p w:rsidR="00D85F5B" w:rsidRPr="0031503F" w:rsidRDefault="00D85F5B" w:rsidP="001C143D">
            <w:pPr>
              <w:pStyle w:val="Normlny0"/>
              <w:jc w:val="center"/>
            </w:pPr>
          </w:p>
          <w:p w:rsidR="00D85F5B" w:rsidRPr="0031503F" w:rsidRDefault="00D85F5B" w:rsidP="001C143D">
            <w:pPr>
              <w:pStyle w:val="Normlny0"/>
              <w:jc w:val="center"/>
            </w:pPr>
          </w:p>
          <w:p w:rsidR="00D85F5B" w:rsidRPr="0031503F" w:rsidRDefault="00D85F5B" w:rsidP="00C06867">
            <w:pPr>
              <w:pStyle w:val="Normlny0"/>
            </w:pPr>
          </w:p>
          <w:p w:rsidR="00DF4574" w:rsidRPr="0031503F" w:rsidRDefault="00DF4574" w:rsidP="001C143D">
            <w:pPr>
              <w:pStyle w:val="Normlny0"/>
              <w:jc w:val="center"/>
            </w:pPr>
          </w:p>
          <w:p w:rsidR="00B51E49" w:rsidRPr="0031503F" w:rsidRDefault="00D85F5B" w:rsidP="001C143D">
            <w:pPr>
              <w:pStyle w:val="Normlny0"/>
              <w:jc w:val="center"/>
            </w:pPr>
            <w:r w:rsidRPr="0031503F">
              <w:t>O: 5</w:t>
            </w:r>
          </w:p>
          <w:p w:rsidR="00D85F5B" w:rsidRPr="0031503F" w:rsidRDefault="00D85F5B"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CB3223" w:rsidRPr="0031503F" w:rsidRDefault="00CB3223" w:rsidP="001C143D">
            <w:pPr>
              <w:pStyle w:val="Normlny0"/>
              <w:jc w:val="center"/>
            </w:pPr>
          </w:p>
          <w:p w:rsidR="00D910B3" w:rsidRPr="0031503F" w:rsidRDefault="00D910B3" w:rsidP="001C143D">
            <w:pPr>
              <w:pStyle w:val="Normlny0"/>
              <w:jc w:val="center"/>
            </w:pPr>
          </w:p>
          <w:p w:rsidR="007863F7" w:rsidRPr="0031503F" w:rsidRDefault="007863F7" w:rsidP="001C143D">
            <w:pPr>
              <w:pStyle w:val="Normlny0"/>
              <w:jc w:val="center"/>
            </w:pPr>
          </w:p>
          <w:p w:rsidR="00DF4574" w:rsidRPr="0031503F" w:rsidRDefault="00DF4574" w:rsidP="001C143D">
            <w:pPr>
              <w:pStyle w:val="Normlny0"/>
              <w:jc w:val="center"/>
            </w:pPr>
          </w:p>
          <w:p w:rsidR="007863F7" w:rsidRPr="0031503F" w:rsidRDefault="007863F7" w:rsidP="001C143D">
            <w:pPr>
              <w:pStyle w:val="Normlny0"/>
              <w:jc w:val="center"/>
            </w:pPr>
          </w:p>
          <w:p w:rsidR="007863F7" w:rsidRPr="0031503F" w:rsidRDefault="002731F9" w:rsidP="001C143D">
            <w:pPr>
              <w:pStyle w:val="Normlny0"/>
              <w:jc w:val="center"/>
            </w:pPr>
            <w:r w:rsidRPr="0031503F">
              <w:t>§ 6</w:t>
            </w:r>
          </w:p>
          <w:p w:rsidR="002731F9" w:rsidRPr="0031503F" w:rsidRDefault="002731F9" w:rsidP="001C143D">
            <w:pPr>
              <w:pStyle w:val="Normlny0"/>
              <w:jc w:val="center"/>
            </w:pPr>
            <w:r w:rsidRPr="0031503F">
              <w:t>O:1</w:t>
            </w:r>
          </w:p>
          <w:p w:rsidR="007863F7" w:rsidRPr="0031503F" w:rsidRDefault="007863F7"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p>
          <w:p w:rsidR="00365F45" w:rsidRPr="0031503F" w:rsidRDefault="00365F45" w:rsidP="001C143D">
            <w:pPr>
              <w:pStyle w:val="Normlny0"/>
              <w:jc w:val="center"/>
            </w:pPr>
            <w:r w:rsidRPr="0031503F">
              <w:t>§ 6</w:t>
            </w:r>
          </w:p>
          <w:p w:rsidR="00365F45" w:rsidRPr="0031503F" w:rsidRDefault="00365F45" w:rsidP="001C143D">
            <w:pPr>
              <w:pStyle w:val="Normlny0"/>
              <w:jc w:val="center"/>
            </w:pPr>
            <w:r w:rsidRPr="0031503F">
              <w:t>O:2</w:t>
            </w:r>
          </w:p>
          <w:p w:rsidR="007863F7" w:rsidRPr="0031503F" w:rsidRDefault="007863F7" w:rsidP="001C143D">
            <w:pPr>
              <w:pStyle w:val="Normlny0"/>
              <w:jc w:val="center"/>
            </w:pPr>
          </w:p>
          <w:p w:rsidR="007863F7" w:rsidRPr="0031503F" w:rsidRDefault="007863F7" w:rsidP="001C143D">
            <w:pPr>
              <w:pStyle w:val="Normlny0"/>
              <w:jc w:val="center"/>
            </w:pPr>
          </w:p>
          <w:p w:rsidR="007863F7" w:rsidRPr="0031503F" w:rsidRDefault="007863F7" w:rsidP="001C143D">
            <w:pPr>
              <w:pStyle w:val="Normlny0"/>
              <w:jc w:val="center"/>
            </w:pPr>
          </w:p>
          <w:p w:rsidR="001E2242" w:rsidRPr="0031503F" w:rsidRDefault="001E2242" w:rsidP="001C143D">
            <w:pPr>
              <w:pStyle w:val="Normlny0"/>
              <w:jc w:val="center"/>
            </w:pPr>
          </w:p>
          <w:p w:rsidR="001E2242" w:rsidRPr="0031503F" w:rsidRDefault="001E2242"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7863F7" w:rsidRPr="0031503F" w:rsidRDefault="007863F7"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2731F9" w:rsidRPr="0031503F" w:rsidRDefault="002731F9" w:rsidP="001C143D">
            <w:pPr>
              <w:pStyle w:val="Normlny0"/>
              <w:jc w:val="center"/>
            </w:pPr>
          </w:p>
          <w:p w:rsidR="00AE6D79" w:rsidRPr="0031503F" w:rsidRDefault="00AE6D79" w:rsidP="001C143D">
            <w:pPr>
              <w:pStyle w:val="Normlny0"/>
              <w:jc w:val="center"/>
            </w:pPr>
            <w:r w:rsidRPr="0031503F">
              <w:t>§ 5</w:t>
            </w:r>
          </w:p>
          <w:p w:rsidR="00AE6D79" w:rsidRPr="0031503F" w:rsidRDefault="00AE6D79" w:rsidP="001C143D">
            <w:pPr>
              <w:pStyle w:val="Normlny0"/>
              <w:jc w:val="center"/>
            </w:pPr>
            <w:r w:rsidRPr="0031503F">
              <w:t>O:</w:t>
            </w:r>
            <w:r w:rsidR="00C10481" w:rsidRPr="0031503F">
              <w:t xml:space="preserve"> </w:t>
            </w:r>
            <w:r w:rsidRPr="0031503F">
              <w:t>6</w:t>
            </w:r>
          </w:p>
        </w:tc>
        <w:tc>
          <w:tcPr>
            <w:tcW w:w="2051" w:type="dxa"/>
            <w:tcBorders>
              <w:top w:val="single" w:sz="4" w:space="0" w:color="auto"/>
              <w:bottom w:val="single" w:sz="4" w:space="0" w:color="auto"/>
            </w:tcBorders>
          </w:tcPr>
          <w:p w:rsidR="00AE6D79" w:rsidRPr="0031503F" w:rsidRDefault="00AE6D79" w:rsidP="00D85F5B">
            <w:pPr>
              <w:pStyle w:val="Standard"/>
              <w:shd w:val="clear" w:color="auto" w:fill="FFFFFF" w:themeFill="background1"/>
              <w:spacing w:line="240" w:lineRule="auto"/>
              <w:jc w:val="both"/>
              <w:rPr>
                <w:rFonts w:ascii="Times New Roman" w:hAnsi="Times New Roman" w:cs="Times New Roman"/>
                <w:sz w:val="20"/>
                <w:szCs w:val="20"/>
              </w:rPr>
            </w:pPr>
          </w:p>
          <w:p w:rsidR="00FF6B4E" w:rsidRPr="0031503F" w:rsidRDefault="00FF6B4E" w:rsidP="00D85F5B">
            <w:pPr>
              <w:pStyle w:val="Standard"/>
              <w:shd w:val="clear" w:color="auto" w:fill="FFFFFF" w:themeFill="background1"/>
              <w:spacing w:line="240" w:lineRule="auto"/>
              <w:jc w:val="both"/>
              <w:rPr>
                <w:rFonts w:ascii="Times New Roman" w:hAnsi="Times New Roman" w:cs="Times New Roman"/>
                <w:sz w:val="20"/>
                <w:szCs w:val="20"/>
              </w:rPr>
            </w:pPr>
          </w:p>
          <w:p w:rsidR="00FF6B4E" w:rsidRPr="0031503F" w:rsidRDefault="00FF6B4E" w:rsidP="00D85F5B">
            <w:pPr>
              <w:pStyle w:val="Standard"/>
              <w:shd w:val="clear" w:color="auto" w:fill="FFFFFF" w:themeFill="background1"/>
              <w:spacing w:line="240" w:lineRule="auto"/>
              <w:jc w:val="both"/>
              <w:rPr>
                <w:rFonts w:ascii="Times New Roman" w:hAnsi="Times New Roman" w:cs="Times New Roman"/>
                <w:sz w:val="20"/>
                <w:szCs w:val="20"/>
              </w:rPr>
            </w:pPr>
          </w:p>
          <w:p w:rsidR="00AA56D4" w:rsidRPr="0031503F" w:rsidRDefault="00AA56D4" w:rsidP="00D85F5B">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 xml:space="preserve">Kótovaná spoločnosť, ktorá nedosahuje ciele vyváženosti podľa § 4 ods. 1 písm. a) alebo písm. b), upraví proces výberu kandidátov na vymenovanie alebo </w:t>
            </w:r>
            <w:r w:rsidRPr="0031503F">
              <w:rPr>
                <w:rFonts w:ascii="Times New Roman" w:eastAsia="Times New Roman" w:hAnsi="Times New Roman" w:cs="Times New Roman"/>
                <w:sz w:val="20"/>
                <w:szCs w:val="20"/>
                <w:lang w:eastAsia="sk-SK"/>
              </w:rPr>
              <w:t>na voľbu na voľnú pozíciu riadiaceho pracovníka</w:t>
            </w:r>
            <w:r w:rsidRPr="0031503F">
              <w:rPr>
                <w:rFonts w:ascii="Times New Roman" w:hAnsi="Times New Roman" w:cs="Times New Roman"/>
                <w:sz w:val="20"/>
                <w:szCs w:val="20"/>
              </w:rPr>
              <w:t xml:space="preserve"> (ďalej len „proces výberu“). Na tento účel kótovaná spoločnosť určí jasné, neutrálne formulované a jednoznačné podmienky procesu výberu pred výberovým konaním, najmä podrobnosti týkajúce sa oznámenia o voľnej pozícii riadiaceho pracovníka, o požadovaných kvalifikačných predpokladoch, o predbežnom procese výberu a o užšom procese výberu. Podmienky procesu výberu podľa druhej vety uplatňuje kótovaná spoločnosť počas celého procesu výberu.</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C06867">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eastAsia="Times New Roman" w:hAnsi="Times New Roman" w:cs="Times New Roman"/>
                <w:sz w:val="20"/>
                <w:szCs w:val="20"/>
                <w:lang w:eastAsia="sk-SK"/>
              </w:rPr>
              <w:t xml:space="preserve">Kandidát na vymenovanie alebo na voľbu na voľnú pozíciu riadiaceho pracovníka (ďalej len „kandidát“) </w:t>
            </w:r>
            <w:r w:rsidRPr="0031503F">
              <w:rPr>
                <w:rFonts w:ascii="Times New Roman" w:hAnsi="Times New Roman" w:cs="Times New Roman"/>
                <w:sz w:val="20"/>
                <w:szCs w:val="20"/>
              </w:rPr>
              <w:t xml:space="preserve">sa vyberá na základe objektívneho komparatívneho posúdenia požadovaných kvalifikačných predpokladov. </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Ak sú v procese výberu podľa odseku 1 viacerí kandidáti, ktorí sú rovnako spôsobilí z hľadiska určených podmienok na obsadenie voľnej pozície, najmä z hľadiska vhodnosti, spôsobilosti a profesionálnych výsledkov, kótovaná spoločnosť uprednostní kandidáta menej zastúpeného pohlavia. To neplatí, ak z hľadiska objektívneho posúdenia určených podmienok pre obsadenie voľnej pozície existujú v prospech kandidáta druhého pohlavia dôvody hodné osobitného zreteľa, najmä ak ide o uplatňovanie iných opatrení vyplývajúcich z osobitného predpisu, ktoré zohľadňujú špecifickú situáciu druhého kandidáta.</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Kótovaná spoločnosť poskytne kandidátom na základe žiadosti informácie o</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C06867">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 xml:space="preserve">požadovaných kvalifikačných predpokladoch v procese výberu, </w:t>
            </w:r>
          </w:p>
          <w:p w:rsidR="00C06867" w:rsidRPr="0031503F" w:rsidRDefault="00C06867" w:rsidP="00C06867">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C06867">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objektívnom komparatívnom posúdení kandidátov na základe požadovaných kvalifikačných predpokladov</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Neúspešnému kandidátovi poskytne kótovaná spoločnosť na základe žiadosti aj informáciu o dôvodoch hodných osobitného zreteľa, ktoré viedli k uprednostneniu kandidáta podľa odseku 3 druhej vety.</w:t>
            </w:r>
          </w:p>
          <w:p w:rsidR="00C06867" w:rsidRPr="0031503F" w:rsidRDefault="00C06867" w:rsidP="00D85F5B">
            <w:pPr>
              <w:pStyle w:val="Standard"/>
              <w:shd w:val="clear" w:color="auto" w:fill="FFFFFF" w:themeFill="background1"/>
              <w:spacing w:line="240" w:lineRule="auto"/>
              <w:jc w:val="both"/>
              <w:rPr>
                <w:rFonts w:ascii="Times New Roman" w:hAnsi="Times New Roman" w:cs="Times New Roman"/>
                <w:sz w:val="20"/>
                <w:szCs w:val="20"/>
              </w:rPr>
            </w:pPr>
          </w:p>
          <w:p w:rsidR="00C06867" w:rsidRPr="0031503F" w:rsidRDefault="00C06867" w:rsidP="00C06867">
            <w:pPr>
              <w:pStyle w:val="Standard"/>
              <w:shd w:val="clear" w:color="auto" w:fill="FFFFFF" w:themeFill="background1"/>
              <w:spacing w:line="240" w:lineRule="auto"/>
              <w:jc w:val="both"/>
              <w:rPr>
                <w:rFonts w:ascii="Times New Roman" w:eastAsia="Times New Roman" w:hAnsi="Times New Roman" w:cs="Times New Roman"/>
                <w:sz w:val="20"/>
                <w:szCs w:val="20"/>
                <w:lang w:eastAsia="sk-SK"/>
              </w:rPr>
            </w:pPr>
            <w:r w:rsidRPr="0031503F">
              <w:rPr>
                <w:rFonts w:ascii="Times New Roman" w:hAnsi="Times New Roman" w:cs="Times New Roman"/>
                <w:sz w:val="20"/>
                <w:szCs w:val="20"/>
              </w:rPr>
              <w:t xml:space="preserve">Neúspešný kandidát menej zastúpeného pohlavia podľa § 5 ods. 3 prvej vety sa môže domáhať ochrany na súde, ak sa domnieva, že </w:t>
            </w:r>
            <w:r w:rsidRPr="0031503F">
              <w:rPr>
                <w:rFonts w:ascii="Times New Roman" w:eastAsia="Times New Roman" w:hAnsi="Times New Roman" w:cs="Times New Roman"/>
                <w:sz w:val="20"/>
                <w:szCs w:val="20"/>
                <w:lang w:eastAsia="sk-SK"/>
              </w:rPr>
              <w:t xml:space="preserve">bol v procese výberu </w:t>
            </w:r>
            <w:r w:rsidRPr="0031503F">
              <w:rPr>
                <w:rFonts w:ascii="Times New Roman" w:hAnsi="Times New Roman" w:cs="Times New Roman"/>
                <w:sz w:val="20"/>
                <w:szCs w:val="20"/>
              </w:rPr>
              <w:t xml:space="preserve">z hľadiska objektívneho komparatívneho posúdenia </w:t>
            </w:r>
            <w:r w:rsidRPr="0031503F">
              <w:rPr>
                <w:rFonts w:ascii="Times New Roman" w:eastAsia="Times New Roman" w:hAnsi="Times New Roman" w:cs="Times New Roman"/>
                <w:sz w:val="20"/>
                <w:szCs w:val="20"/>
                <w:lang w:eastAsia="sk-SK"/>
              </w:rPr>
              <w:t xml:space="preserve">dotknutý na svojich právach a právom chránených záujmoch nedodržaním </w:t>
            </w:r>
            <w:r w:rsidRPr="0031503F">
              <w:rPr>
                <w:rFonts w:ascii="Times New Roman" w:hAnsi="Times New Roman" w:cs="Times New Roman"/>
                <w:sz w:val="20"/>
                <w:szCs w:val="20"/>
              </w:rPr>
              <w:t xml:space="preserve">vyváženosti zastúpenia mužov a žien vo vrcholovom orgáne bez existencie dôvodov hodných osobitného zreteľa podľa § 5 ods. 3 druhej vety. Môže sa </w:t>
            </w:r>
            <w:r w:rsidRPr="0031503F">
              <w:rPr>
                <w:rFonts w:ascii="Times New Roman" w:eastAsia="Times New Roman" w:hAnsi="Times New Roman" w:cs="Times New Roman"/>
                <w:sz w:val="20"/>
                <w:szCs w:val="20"/>
                <w:lang w:eastAsia="sk-SK"/>
              </w:rPr>
              <w:t xml:space="preserve">domáhať najmä toho, aby kótovaná spoločnosť poskytla primerané zadosťučinenie, a ak je to možné, aby </w:t>
            </w:r>
            <w:r w:rsidRPr="0031503F">
              <w:rPr>
                <w:rFonts w:ascii="Times New Roman" w:hAnsi="Times New Roman" w:cs="Times New Roman"/>
                <w:sz w:val="20"/>
                <w:szCs w:val="20"/>
              </w:rPr>
              <w:t xml:space="preserve"> </w:t>
            </w:r>
            <w:r w:rsidRPr="0031503F">
              <w:rPr>
                <w:rFonts w:ascii="Times New Roman" w:eastAsia="Times New Roman" w:hAnsi="Times New Roman" w:cs="Times New Roman"/>
                <w:sz w:val="20"/>
                <w:szCs w:val="20"/>
                <w:lang w:eastAsia="sk-SK"/>
              </w:rPr>
              <w:t>upustila od svojho konania  alebo napravila protiprávny stav.</w:t>
            </w:r>
          </w:p>
          <w:p w:rsidR="00617AC9" w:rsidRPr="0031503F" w:rsidRDefault="00617AC9" w:rsidP="00C06867">
            <w:pPr>
              <w:pStyle w:val="Standard"/>
              <w:shd w:val="clear" w:color="auto" w:fill="FFFFFF" w:themeFill="background1"/>
              <w:spacing w:line="240" w:lineRule="auto"/>
              <w:jc w:val="both"/>
              <w:rPr>
                <w:rFonts w:ascii="Times New Roman" w:eastAsia="Times New Roman" w:hAnsi="Times New Roman" w:cs="Times New Roman"/>
                <w:sz w:val="20"/>
                <w:szCs w:val="20"/>
                <w:lang w:eastAsia="sk-SK"/>
              </w:rPr>
            </w:pPr>
          </w:p>
          <w:p w:rsidR="00617AC9" w:rsidRPr="0031503F" w:rsidRDefault="00617AC9" w:rsidP="00617AC9">
            <w:pPr>
              <w:pStyle w:val="Standard"/>
              <w:shd w:val="clear" w:color="auto" w:fill="FFFFFF" w:themeFill="background1"/>
              <w:spacing w:line="240" w:lineRule="auto"/>
              <w:jc w:val="both"/>
              <w:rPr>
                <w:rFonts w:ascii="Times New Roman" w:eastAsia="Times New Roman" w:hAnsi="Times New Roman" w:cs="Times New Roman"/>
                <w:sz w:val="20"/>
                <w:szCs w:val="20"/>
                <w:lang w:eastAsia="sk-SK"/>
              </w:rPr>
            </w:pPr>
          </w:p>
          <w:p w:rsidR="00617AC9" w:rsidRPr="0031503F" w:rsidRDefault="00617AC9" w:rsidP="00617AC9">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Kótovaná spoločnosť je povinná na súde preukázať, že v procese výberu z hľadiska objektívneho komparatívneho posúdenia existovali v prospech kandidáta druhého pohlavia dôvody hodné osobitného zreteľa podľa § 5 ods. 3 druhej vety.</w:t>
            </w:r>
          </w:p>
          <w:p w:rsidR="000A565C" w:rsidRPr="0031503F" w:rsidRDefault="000A565C" w:rsidP="00617AC9">
            <w:pPr>
              <w:pStyle w:val="Standard"/>
              <w:shd w:val="clear" w:color="auto" w:fill="FFFFFF" w:themeFill="background1"/>
              <w:spacing w:line="240" w:lineRule="auto"/>
              <w:jc w:val="both"/>
              <w:rPr>
                <w:rFonts w:ascii="Times New Roman" w:hAnsi="Times New Roman" w:cs="Times New Roman"/>
                <w:sz w:val="20"/>
                <w:szCs w:val="20"/>
              </w:rPr>
            </w:pPr>
          </w:p>
          <w:p w:rsidR="000A565C" w:rsidRPr="0031503F" w:rsidRDefault="000A565C" w:rsidP="00617AC9">
            <w:pPr>
              <w:pStyle w:val="Standard"/>
              <w:shd w:val="clear" w:color="auto" w:fill="FFFFFF" w:themeFill="background1"/>
              <w:spacing w:line="240" w:lineRule="auto"/>
              <w:jc w:val="both"/>
              <w:rPr>
                <w:rFonts w:ascii="Times New Roman" w:hAnsi="Times New Roman" w:cs="Times New Roman"/>
                <w:sz w:val="20"/>
                <w:szCs w:val="20"/>
              </w:rPr>
            </w:pPr>
          </w:p>
          <w:p w:rsidR="00617AC9" w:rsidRPr="0031503F" w:rsidRDefault="000A565C" w:rsidP="00C06867">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Kótovaná spoločnosť pri procese výberu, ktorý sa uskutočňuje formou hlasovania akcionárov alebo zamestnancov, informuje hlasujúcich o opatreniach na dosiahnutie cieľov vyváženosti podľa § 4 ods. 1, o povinnostiach a sankciách podľa tohto zákona vrátane sankcií pre kótovanú spoločnosť pri nedodržaní súvisiacich povinností.</w:t>
            </w:r>
          </w:p>
        </w:tc>
        <w:tc>
          <w:tcPr>
            <w:tcW w:w="727" w:type="dxa"/>
            <w:tcBorders>
              <w:top w:val="single" w:sz="4" w:space="0" w:color="auto"/>
              <w:bottom w:val="single" w:sz="4" w:space="0" w:color="auto"/>
            </w:tcBorders>
          </w:tcPr>
          <w:p w:rsidR="00C32467" w:rsidRPr="0031503F" w:rsidRDefault="00C969C6"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C32467" w:rsidRPr="0031503F" w:rsidRDefault="00C32467"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C32467" w:rsidRPr="0031503F" w:rsidRDefault="00B46D94"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FF6B4E" w:rsidRPr="0031503F" w:rsidRDefault="00FF6B4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FF6B4E" w:rsidRPr="0031503F" w:rsidRDefault="00FF6B4E" w:rsidP="00CB3223">
            <w:pPr>
              <w:jc w:val="center"/>
              <w:rPr>
                <w:rFonts w:ascii="Times New Roman" w:hAnsi="Times New Roman" w:cs="Times New Roman"/>
                <w:b/>
                <w:sz w:val="20"/>
                <w:szCs w:val="20"/>
              </w:rPr>
            </w:pPr>
          </w:p>
          <w:p w:rsidR="00FF6B4E" w:rsidRPr="0031503F" w:rsidRDefault="00FF6B4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C06867" w:rsidRPr="0031503F" w:rsidRDefault="00C06867"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C32467" w:rsidRPr="0031503F" w:rsidRDefault="00C32467"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46D94" w:rsidRPr="0031503F" w:rsidRDefault="00190955"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7 </w:t>
            </w:r>
          </w:p>
        </w:tc>
        <w:tc>
          <w:tcPr>
            <w:tcW w:w="2837" w:type="dxa"/>
            <w:tcBorders>
              <w:top w:val="single" w:sz="4" w:space="0" w:color="auto"/>
              <w:bottom w:val="single" w:sz="4" w:space="0" w:color="auto"/>
            </w:tcBorders>
          </w:tcPr>
          <w:p w:rsidR="00B46D94" w:rsidRPr="0031503F" w:rsidRDefault="00E50929" w:rsidP="001C143D">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Podávanie správ</w:t>
            </w:r>
          </w:p>
        </w:tc>
        <w:tc>
          <w:tcPr>
            <w:tcW w:w="828" w:type="dxa"/>
            <w:tcBorders>
              <w:top w:val="single" w:sz="4" w:space="0" w:color="auto"/>
              <w:bottom w:val="single" w:sz="4" w:space="0" w:color="auto"/>
            </w:tcBorders>
          </w:tcPr>
          <w:p w:rsidR="00B46D94" w:rsidRPr="0031503F" w:rsidRDefault="00B46D94" w:rsidP="001C143D">
            <w:pPr>
              <w:jc w:val="both"/>
              <w:rPr>
                <w:rFonts w:ascii="Times New Roman" w:hAnsi="Times New Roman" w:cs="Times New Roman"/>
                <w:sz w:val="20"/>
                <w:szCs w:val="20"/>
              </w:rPr>
            </w:pPr>
          </w:p>
        </w:tc>
        <w:tc>
          <w:tcPr>
            <w:tcW w:w="1015" w:type="dxa"/>
            <w:tcBorders>
              <w:top w:val="single" w:sz="4" w:space="0" w:color="auto"/>
              <w:bottom w:val="single" w:sz="4" w:space="0" w:color="auto"/>
            </w:tcBorders>
          </w:tcPr>
          <w:p w:rsidR="00B46D94" w:rsidRPr="0031503F" w:rsidRDefault="00B46D94" w:rsidP="001C143D">
            <w:pPr>
              <w:jc w:val="both"/>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B46D94" w:rsidRPr="0031503F" w:rsidRDefault="00E50929" w:rsidP="001C143D">
            <w:pPr>
              <w:pStyle w:val="Normlny0"/>
              <w:jc w:val="center"/>
              <w:rPr>
                <w:b/>
              </w:rPr>
            </w:pPr>
            <w:r w:rsidRPr="0031503F">
              <w:rPr>
                <w:b/>
              </w:rPr>
              <w:t>§ 7</w:t>
            </w:r>
          </w:p>
        </w:tc>
        <w:tc>
          <w:tcPr>
            <w:tcW w:w="2051" w:type="dxa"/>
            <w:tcBorders>
              <w:top w:val="single" w:sz="4" w:space="0" w:color="auto"/>
              <w:bottom w:val="single" w:sz="4" w:space="0" w:color="auto"/>
            </w:tcBorders>
          </w:tcPr>
          <w:p w:rsidR="00B46D94" w:rsidRPr="0031503F" w:rsidRDefault="00190955" w:rsidP="00CB3223">
            <w:pPr>
              <w:pStyle w:val="Standard"/>
              <w:shd w:val="clear" w:color="auto" w:fill="FFFFFF" w:themeFill="background1"/>
              <w:spacing w:line="240" w:lineRule="auto"/>
              <w:jc w:val="both"/>
              <w:rPr>
                <w:rFonts w:ascii="Times New Roman" w:hAnsi="Times New Roman" w:cs="Times New Roman"/>
                <w:b/>
                <w:sz w:val="20"/>
                <w:szCs w:val="20"/>
              </w:rPr>
            </w:pPr>
            <w:r w:rsidRPr="0031503F">
              <w:rPr>
                <w:rFonts w:ascii="Times New Roman" w:hAnsi="Times New Roman" w:cs="Times New Roman"/>
                <w:b/>
                <w:sz w:val="20"/>
                <w:szCs w:val="20"/>
              </w:rPr>
              <w:t xml:space="preserve">Informačná povinnosť </w:t>
            </w:r>
          </w:p>
        </w:tc>
        <w:tc>
          <w:tcPr>
            <w:tcW w:w="727" w:type="dxa"/>
            <w:tcBorders>
              <w:top w:val="single" w:sz="4" w:space="0" w:color="auto"/>
              <w:bottom w:val="single" w:sz="4" w:space="0" w:color="auto"/>
            </w:tcBorders>
          </w:tcPr>
          <w:p w:rsidR="00B46D94" w:rsidRPr="0031503F" w:rsidRDefault="00B46D94"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B46D94" w:rsidRPr="0031503F" w:rsidRDefault="00B46D94"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B46D94" w:rsidRPr="0031503F" w:rsidRDefault="00B46D94"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B46D94" w:rsidRPr="0031503F" w:rsidRDefault="00B46D94"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53601" w:rsidRPr="0031503F" w:rsidRDefault="00B53601"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7</w:t>
            </w:r>
          </w:p>
          <w:p w:rsidR="00B53601" w:rsidRPr="0031503F" w:rsidRDefault="00B53601" w:rsidP="00CB3223">
            <w:pPr>
              <w:jc w:val="both"/>
              <w:rPr>
                <w:rFonts w:ascii="Times New Roman" w:hAnsi="Times New Roman" w:cs="Times New Roman"/>
                <w:b/>
                <w:bCs/>
                <w:sz w:val="20"/>
                <w:szCs w:val="20"/>
              </w:rPr>
            </w:pPr>
          </w:p>
          <w:p w:rsidR="00B46D94" w:rsidRPr="0031503F" w:rsidRDefault="00190955"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O:1 </w:t>
            </w: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O:2</w:t>
            </w: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EA12C9" w:rsidRPr="0031503F" w:rsidRDefault="00EA12C9"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 3 </w:t>
            </w: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464C43" w:rsidRPr="0031503F" w:rsidRDefault="00464C43" w:rsidP="00CB3223">
            <w:pPr>
              <w:jc w:val="both"/>
              <w:rPr>
                <w:rFonts w:ascii="Times New Roman" w:hAnsi="Times New Roman" w:cs="Times New Roman"/>
                <w:b/>
                <w:bCs/>
                <w:sz w:val="20"/>
                <w:szCs w:val="20"/>
              </w:rPr>
            </w:pPr>
          </w:p>
          <w:p w:rsidR="000D1A9A" w:rsidRPr="0031503F" w:rsidRDefault="000D1A9A" w:rsidP="00CB3223">
            <w:pPr>
              <w:jc w:val="both"/>
              <w:rPr>
                <w:rFonts w:ascii="Times New Roman" w:hAnsi="Times New Roman" w:cs="Times New Roman"/>
                <w:b/>
                <w:bCs/>
                <w:sz w:val="20"/>
                <w:szCs w:val="20"/>
              </w:rPr>
            </w:pPr>
          </w:p>
          <w:p w:rsidR="00CE3DEF" w:rsidRPr="0031503F" w:rsidRDefault="00CE3DE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O:4 </w:t>
            </w:r>
          </w:p>
        </w:tc>
        <w:tc>
          <w:tcPr>
            <w:tcW w:w="2837" w:type="dxa"/>
            <w:tcBorders>
              <w:top w:val="single" w:sz="4" w:space="0" w:color="auto"/>
              <w:bottom w:val="single" w:sz="4" w:space="0" w:color="auto"/>
            </w:tcBorders>
          </w:tcPr>
          <w:p w:rsidR="00B53601" w:rsidRPr="0031503F" w:rsidRDefault="00B53601" w:rsidP="001C143D">
            <w:pPr>
              <w:shd w:val="clear" w:color="auto" w:fill="FFFFFF"/>
              <w:jc w:val="both"/>
              <w:rPr>
                <w:rFonts w:ascii="Times New Roman" w:eastAsia="Times New Roman" w:hAnsi="Times New Roman" w:cs="Times New Roman"/>
                <w:color w:val="333333"/>
                <w:sz w:val="20"/>
                <w:szCs w:val="20"/>
                <w:lang w:eastAsia="sk-SK"/>
              </w:rPr>
            </w:pPr>
          </w:p>
          <w:p w:rsidR="00B53601" w:rsidRPr="0031503F" w:rsidRDefault="00B53601" w:rsidP="001C143D">
            <w:pPr>
              <w:shd w:val="clear" w:color="auto" w:fill="FFFFFF"/>
              <w:jc w:val="both"/>
              <w:rPr>
                <w:rFonts w:ascii="Times New Roman" w:eastAsia="Times New Roman" w:hAnsi="Times New Roman" w:cs="Times New Roman"/>
                <w:color w:val="333333"/>
                <w:sz w:val="20"/>
                <w:szCs w:val="20"/>
                <w:lang w:eastAsia="sk-SK"/>
              </w:rPr>
            </w:pPr>
          </w:p>
          <w:p w:rsidR="00190955" w:rsidRPr="0031503F" w:rsidRDefault="00190955"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sú povinné od kótovaných spoločností vyžadovať, aby raz ročne poskytli príslušným orgánom informácie o rodovom zastúpení vo svojich vrcholových orgánoch s rozlíšením medzi výkonnými a nevýkonnými riadiacimi pracovníkmi, ako aj informácie o tom, aké opatrenia prijali na dosiahnutie uplatniteľných cieľov stanovených v článku 5 ods. 1 a vo vhodnom prípade cieľov stanovených v súlade s článkom 5 ods. 2 Členské štáty sú povinné od kótovaných spoločností vyžadovať, aby tieto informácie vhodným a ľahko dostupným spôsobom uverejnili na svojich webových sídlach. Na základe poskytnutých informácií členské štáty uverejňujú a pravidelne, ľahko dostupným a centralizovaným spôsobom aktualizujú zoznam kótovaných spoločností, ktoré dosiahli niektorý z cieľov stanovených v článku 5 ods. 1</w:t>
            </w:r>
          </w:p>
          <w:p w:rsidR="00CE3DEF"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CE3DEF"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Ak kótovaná spoločnosť nedosiahne jeden z cieľov stanovených v článku 5 ods. 1 alebo vo vhodnom prípade cieľov stanovených v súlade s článkom 5 ods. 2, informácie uvedené v odseku 1 tohto článku zahŕňajú aj dôvody, pre ktoré sa tieto ciele nedosiahli, ako aj komplexný opis opatrení, ktoré kótovaná spoločnosť doteraz prijala alebo ktoré má v úmysle prijať, aby dané ciele dosiahla.</w:t>
            </w:r>
          </w:p>
          <w:p w:rsidR="00CE3DEF"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7D2F5A" w:rsidRPr="0031503F" w:rsidRDefault="007D2F5A"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EA12C9" w:rsidRPr="0031503F" w:rsidRDefault="00EA12C9" w:rsidP="001C143D">
            <w:pPr>
              <w:shd w:val="clear" w:color="auto" w:fill="FFFFFF"/>
              <w:jc w:val="both"/>
              <w:rPr>
                <w:rFonts w:ascii="Times New Roman" w:eastAsia="Times New Roman" w:hAnsi="Times New Roman" w:cs="Times New Roman"/>
                <w:color w:val="333333"/>
                <w:sz w:val="20"/>
                <w:szCs w:val="20"/>
                <w:lang w:eastAsia="sk-SK"/>
              </w:rPr>
            </w:pPr>
          </w:p>
          <w:p w:rsidR="00B46D94"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V náležitých prípadoch sa informácie uvedené v odsekoch 1 a 2 tohto článku zahrnú aj do vyhlásenia o správe a riadení spoločnosti v súlade s príslušnými ustanoveniami smernice 2013/34/EÚ.</w:t>
            </w:r>
          </w:p>
          <w:p w:rsidR="00CE3DEF"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0D1A9A" w:rsidRPr="0031503F" w:rsidRDefault="000D1A9A" w:rsidP="001C143D">
            <w:pPr>
              <w:shd w:val="clear" w:color="auto" w:fill="FFFFFF"/>
              <w:jc w:val="both"/>
              <w:rPr>
                <w:rFonts w:ascii="Times New Roman" w:eastAsia="Times New Roman" w:hAnsi="Times New Roman" w:cs="Times New Roman"/>
                <w:color w:val="333333"/>
                <w:sz w:val="20"/>
                <w:szCs w:val="20"/>
                <w:lang w:eastAsia="sk-SK"/>
              </w:rPr>
            </w:pPr>
          </w:p>
          <w:p w:rsidR="00CE3DEF" w:rsidRPr="0031503F" w:rsidRDefault="00CE3DEF" w:rsidP="001C143D">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Povinnosti stanovené v odsekoch 1 a 2 tohto článku sa neuplatňujú v členskom štáte, ktorý pozastavil uplatňovanie článku 6 na základe článku 12, ak vnútroštátne právo stanovuje povinnosti podávať správy, ktorými sa zabezpečuje pravidelné uverejňovanie informácií o pokroku, ktorý dosiahli kótované spoločnosti smerom k vyváženejšiemu zastúpeniu žien a mužov vo svojich vrcholových orgánoch.</w:t>
            </w:r>
          </w:p>
        </w:tc>
        <w:tc>
          <w:tcPr>
            <w:tcW w:w="828" w:type="dxa"/>
            <w:tcBorders>
              <w:top w:val="single" w:sz="4" w:space="0" w:color="auto"/>
              <w:bottom w:val="single" w:sz="4" w:space="0" w:color="auto"/>
            </w:tcBorders>
          </w:tcPr>
          <w:p w:rsidR="00B53601" w:rsidRPr="0031503F" w:rsidRDefault="00B53601" w:rsidP="007B580A">
            <w:pPr>
              <w:jc w:val="center"/>
              <w:rPr>
                <w:rFonts w:ascii="Times New Roman" w:hAnsi="Times New Roman" w:cs="Times New Roman"/>
                <w:sz w:val="20"/>
                <w:szCs w:val="20"/>
              </w:rPr>
            </w:pPr>
          </w:p>
          <w:p w:rsidR="00B53601" w:rsidRPr="0031503F" w:rsidRDefault="00B53601" w:rsidP="007B580A">
            <w:pPr>
              <w:jc w:val="center"/>
              <w:rPr>
                <w:rFonts w:ascii="Times New Roman" w:hAnsi="Times New Roman" w:cs="Times New Roman"/>
                <w:sz w:val="20"/>
                <w:szCs w:val="20"/>
              </w:rPr>
            </w:pPr>
          </w:p>
          <w:p w:rsidR="00B46D94" w:rsidRPr="0031503F" w:rsidRDefault="00190955"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EA12C9">
            <w:pP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255180" w:rsidRPr="0031503F" w:rsidRDefault="00255180"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EA12C9" w:rsidRPr="0031503F" w:rsidRDefault="00EA12C9" w:rsidP="00EA12C9">
            <w:pPr>
              <w:rPr>
                <w:rFonts w:ascii="Times New Roman" w:hAnsi="Times New Roman" w:cs="Times New Roman"/>
                <w:sz w:val="20"/>
                <w:szCs w:val="20"/>
              </w:rPr>
            </w:pPr>
          </w:p>
          <w:p w:rsidR="00EA12C9" w:rsidRPr="0031503F" w:rsidRDefault="00EA12C9" w:rsidP="00EA12C9">
            <w:pPr>
              <w:rPr>
                <w:rFonts w:ascii="Times New Roman" w:hAnsi="Times New Roman" w:cs="Times New Roman"/>
                <w:sz w:val="20"/>
                <w:szCs w:val="20"/>
              </w:rPr>
            </w:pPr>
          </w:p>
          <w:p w:rsidR="00EA12C9" w:rsidRPr="0031503F" w:rsidRDefault="00EA12C9" w:rsidP="00EA12C9">
            <w:pP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p w:rsidR="00002964" w:rsidRPr="0031503F" w:rsidRDefault="00002964"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464C43" w:rsidRPr="0031503F" w:rsidRDefault="00464C43" w:rsidP="007B580A">
            <w:pPr>
              <w:jc w:val="center"/>
              <w:rPr>
                <w:rFonts w:ascii="Times New Roman" w:hAnsi="Times New Roman" w:cs="Times New Roman"/>
                <w:sz w:val="20"/>
                <w:szCs w:val="20"/>
              </w:rPr>
            </w:pPr>
          </w:p>
          <w:p w:rsidR="000D1A9A" w:rsidRPr="0031503F" w:rsidRDefault="000D1A9A" w:rsidP="007B580A">
            <w:pPr>
              <w:jc w:val="center"/>
              <w:rPr>
                <w:rFonts w:ascii="Times New Roman" w:hAnsi="Times New Roman" w:cs="Times New Roman"/>
                <w:sz w:val="20"/>
                <w:szCs w:val="20"/>
              </w:rPr>
            </w:pPr>
          </w:p>
          <w:p w:rsidR="00EA12C9" w:rsidRPr="0031503F" w:rsidRDefault="00EA12C9" w:rsidP="00EA12C9">
            <w:pPr>
              <w:rPr>
                <w:rFonts w:ascii="Times New Roman" w:hAnsi="Times New Roman" w:cs="Times New Roman"/>
                <w:sz w:val="20"/>
                <w:szCs w:val="20"/>
              </w:rPr>
            </w:pPr>
          </w:p>
          <w:p w:rsidR="00EA12C9" w:rsidRPr="0031503F" w:rsidRDefault="00EA12C9" w:rsidP="007B580A">
            <w:pPr>
              <w:jc w:val="center"/>
              <w:rPr>
                <w:rFonts w:ascii="Times New Roman" w:hAnsi="Times New Roman" w:cs="Times New Roman"/>
                <w:sz w:val="20"/>
                <w:szCs w:val="20"/>
              </w:rPr>
            </w:pPr>
          </w:p>
          <w:p w:rsidR="00DE4FCA" w:rsidRPr="0031503F" w:rsidRDefault="00DE4FCA"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B53601" w:rsidRPr="0031503F" w:rsidRDefault="00B53601" w:rsidP="007B580A">
            <w:pPr>
              <w:jc w:val="center"/>
              <w:rPr>
                <w:rFonts w:ascii="Times New Roman" w:hAnsi="Times New Roman" w:cs="Times New Roman"/>
                <w:sz w:val="20"/>
                <w:szCs w:val="20"/>
                <w:shd w:val="clear" w:color="auto" w:fill="FFFFFF"/>
              </w:rPr>
            </w:pPr>
          </w:p>
          <w:p w:rsidR="00B53601" w:rsidRPr="0031503F" w:rsidRDefault="00B53601" w:rsidP="007B580A">
            <w:pPr>
              <w:jc w:val="center"/>
              <w:rPr>
                <w:rFonts w:ascii="Times New Roman" w:hAnsi="Times New Roman" w:cs="Times New Roman"/>
                <w:sz w:val="20"/>
                <w:szCs w:val="20"/>
                <w:shd w:val="clear" w:color="auto" w:fill="FFFFFF"/>
              </w:rPr>
            </w:pPr>
          </w:p>
          <w:p w:rsidR="00B46D94" w:rsidRPr="0031503F" w:rsidRDefault="00190955"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tc>
        <w:tc>
          <w:tcPr>
            <w:tcW w:w="1667" w:type="dxa"/>
            <w:tcBorders>
              <w:top w:val="single" w:sz="4" w:space="0" w:color="auto"/>
              <w:bottom w:val="single" w:sz="4" w:space="0" w:color="auto"/>
            </w:tcBorders>
          </w:tcPr>
          <w:p w:rsidR="00B53601" w:rsidRPr="0031503F" w:rsidRDefault="00E50929" w:rsidP="001C143D">
            <w:pPr>
              <w:pStyle w:val="Normlny0"/>
              <w:jc w:val="center"/>
            </w:pPr>
            <w:r w:rsidRPr="0031503F">
              <w:t>§ 7</w:t>
            </w:r>
          </w:p>
          <w:p w:rsidR="00B53601" w:rsidRPr="0031503F" w:rsidRDefault="00B53601" w:rsidP="001C143D">
            <w:pPr>
              <w:pStyle w:val="Normlny0"/>
              <w:jc w:val="center"/>
            </w:pPr>
          </w:p>
          <w:p w:rsidR="0051551E" w:rsidRPr="0031503F" w:rsidRDefault="00B53601" w:rsidP="001C143D">
            <w:pPr>
              <w:pStyle w:val="Normlny0"/>
              <w:jc w:val="center"/>
            </w:pPr>
            <w:r w:rsidRPr="0031503F">
              <w:t>O: 1</w:t>
            </w:r>
          </w:p>
          <w:p w:rsidR="00B46D94" w:rsidRPr="0031503F" w:rsidRDefault="0051551E" w:rsidP="001C143D">
            <w:pPr>
              <w:pStyle w:val="Normlny0"/>
              <w:jc w:val="center"/>
            </w:pPr>
            <w:r w:rsidRPr="0031503F">
              <w:t>Úvodná V.</w:t>
            </w: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r w:rsidRPr="0031503F">
              <w:t>P: a)</w:t>
            </w: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r w:rsidRPr="0031503F">
              <w:t>P: b)</w:t>
            </w:r>
          </w:p>
          <w:p w:rsidR="0051551E" w:rsidRPr="0031503F" w:rsidRDefault="0051551E" w:rsidP="001C143D">
            <w:pPr>
              <w:pStyle w:val="Normlny0"/>
              <w:jc w:val="center"/>
            </w:pPr>
          </w:p>
          <w:p w:rsidR="0051551E" w:rsidRPr="0031503F" w:rsidRDefault="0051551E" w:rsidP="001C143D">
            <w:pPr>
              <w:pStyle w:val="Normlny0"/>
              <w:jc w:val="center"/>
            </w:pPr>
          </w:p>
          <w:p w:rsidR="0051551E" w:rsidRPr="0031503F" w:rsidRDefault="0051551E" w:rsidP="001C143D">
            <w:pPr>
              <w:pStyle w:val="Normlny0"/>
              <w:jc w:val="center"/>
            </w:pPr>
          </w:p>
          <w:p w:rsidR="005E0A0E" w:rsidRPr="0031503F" w:rsidRDefault="005E0A0E" w:rsidP="001C143D">
            <w:pPr>
              <w:pStyle w:val="Normlny0"/>
              <w:jc w:val="center"/>
            </w:pPr>
          </w:p>
          <w:p w:rsidR="00CE3DEF" w:rsidRPr="0031503F" w:rsidRDefault="00592CCD" w:rsidP="001C143D">
            <w:pPr>
              <w:pStyle w:val="Normlny0"/>
              <w:jc w:val="center"/>
            </w:pPr>
            <w:r w:rsidRPr="0031503F">
              <w:t>O:2</w:t>
            </w:r>
          </w:p>
          <w:p w:rsidR="00592CCD" w:rsidRPr="0031503F" w:rsidRDefault="00592CCD" w:rsidP="001C143D">
            <w:pPr>
              <w:pStyle w:val="Normlny0"/>
              <w:jc w:val="center"/>
            </w:pPr>
          </w:p>
          <w:p w:rsidR="00592CCD" w:rsidRPr="0031503F" w:rsidRDefault="00592CCD" w:rsidP="001C143D">
            <w:pPr>
              <w:pStyle w:val="Normlny0"/>
              <w:jc w:val="center"/>
            </w:pPr>
          </w:p>
          <w:p w:rsidR="00592CCD" w:rsidRPr="0031503F" w:rsidRDefault="00592CCD" w:rsidP="001C143D">
            <w:pPr>
              <w:pStyle w:val="Normlny0"/>
              <w:jc w:val="center"/>
            </w:pPr>
          </w:p>
          <w:p w:rsidR="00592CCD" w:rsidRPr="0031503F" w:rsidRDefault="00592CCD" w:rsidP="001C143D">
            <w:pPr>
              <w:pStyle w:val="Normlny0"/>
              <w:jc w:val="center"/>
            </w:pPr>
          </w:p>
          <w:p w:rsidR="0051551E" w:rsidRPr="0031503F" w:rsidRDefault="0051551E" w:rsidP="001C143D">
            <w:pPr>
              <w:pStyle w:val="Normlny0"/>
              <w:jc w:val="center"/>
            </w:pPr>
          </w:p>
          <w:p w:rsidR="00592CCD" w:rsidRPr="0031503F" w:rsidRDefault="00592CCD" w:rsidP="001C143D">
            <w:pPr>
              <w:pStyle w:val="Normlny0"/>
              <w:jc w:val="center"/>
            </w:pPr>
            <w:r w:rsidRPr="0031503F">
              <w:t>O:3</w:t>
            </w: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1C143D">
            <w:pPr>
              <w:pStyle w:val="Normlny0"/>
              <w:jc w:val="center"/>
            </w:pPr>
          </w:p>
          <w:p w:rsidR="00CE3DEF" w:rsidRPr="0031503F" w:rsidRDefault="00CE3DEF" w:rsidP="00EA12C9">
            <w:pPr>
              <w:pStyle w:val="Normlny0"/>
            </w:pPr>
          </w:p>
          <w:p w:rsidR="00EA12C9" w:rsidRPr="0031503F" w:rsidRDefault="00EA12C9" w:rsidP="00EA12C9">
            <w:pPr>
              <w:pStyle w:val="Normlny0"/>
            </w:pPr>
          </w:p>
          <w:p w:rsidR="00CE3DEF" w:rsidRPr="0031503F" w:rsidRDefault="00CE3DEF" w:rsidP="001C143D">
            <w:pPr>
              <w:pStyle w:val="Normlny0"/>
              <w:jc w:val="center"/>
            </w:pPr>
            <w:r w:rsidRPr="0031503F">
              <w:t>O: 4</w:t>
            </w: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p>
          <w:p w:rsidR="00EA12C9" w:rsidRPr="0031503F" w:rsidRDefault="00EA12C9" w:rsidP="001C143D">
            <w:pPr>
              <w:pStyle w:val="Normlny0"/>
              <w:jc w:val="center"/>
            </w:pPr>
            <w:r w:rsidRPr="0031503F">
              <w:t xml:space="preserve">§ 7 </w:t>
            </w:r>
          </w:p>
          <w:p w:rsidR="00EA12C9" w:rsidRPr="0031503F" w:rsidRDefault="00EA12C9" w:rsidP="001C143D">
            <w:pPr>
              <w:pStyle w:val="Normlny0"/>
              <w:jc w:val="center"/>
            </w:pPr>
            <w:r w:rsidRPr="0031503F">
              <w:t>O:5</w:t>
            </w:r>
          </w:p>
        </w:tc>
        <w:tc>
          <w:tcPr>
            <w:tcW w:w="2051" w:type="dxa"/>
            <w:tcBorders>
              <w:top w:val="single" w:sz="4" w:space="0" w:color="auto"/>
              <w:bottom w:val="single" w:sz="4" w:space="0" w:color="auto"/>
            </w:tcBorders>
          </w:tcPr>
          <w:p w:rsidR="00B53601" w:rsidRPr="0031503F" w:rsidRDefault="00B53601" w:rsidP="00CB3223">
            <w:pPr>
              <w:pStyle w:val="Odsekzoznamu"/>
              <w:numPr>
                <w:ilvl w:val="0"/>
                <w:numId w:val="13"/>
              </w:numPr>
              <w:ind w:left="0"/>
              <w:jc w:val="both"/>
              <w:rPr>
                <w:rFonts w:ascii="Times New Roman" w:hAnsi="Times New Roman" w:cs="Times New Roman"/>
                <w:sz w:val="20"/>
                <w:szCs w:val="20"/>
              </w:rPr>
            </w:pPr>
          </w:p>
          <w:p w:rsidR="00B53601" w:rsidRPr="0031503F" w:rsidRDefault="00B53601" w:rsidP="00CB3223">
            <w:pPr>
              <w:pStyle w:val="Odsekzoznamu"/>
              <w:numPr>
                <w:ilvl w:val="0"/>
                <w:numId w:val="13"/>
              </w:numPr>
              <w:ind w:left="0"/>
              <w:jc w:val="both"/>
              <w:rPr>
                <w:rFonts w:ascii="Times New Roman" w:hAnsi="Times New Roman" w:cs="Times New Roman"/>
                <w:sz w:val="20"/>
                <w:szCs w:val="20"/>
              </w:rPr>
            </w:pPr>
          </w:p>
          <w:p w:rsidR="0051551E" w:rsidRPr="0031503F" w:rsidRDefault="00B53601" w:rsidP="0051551E">
            <w:pPr>
              <w:pStyle w:val="Odsekzoznamu"/>
              <w:numPr>
                <w:ilvl w:val="0"/>
                <w:numId w:val="13"/>
              </w:numPr>
              <w:ind w:left="0"/>
              <w:jc w:val="both"/>
              <w:rPr>
                <w:rFonts w:ascii="Times New Roman" w:hAnsi="Times New Roman" w:cs="Times New Roman"/>
                <w:sz w:val="20"/>
                <w:szCs w:val="20"/>
              </w:rPr>
            </w:pPr>
            <w:r w:rsidRPr="0031503F">
              <w:rPr>
                <w:rFonts w:ascii="Times New Roman" w:hAnsi="Times New Roman" w:cs="Times New Roman"/>
                <w:sz w:val="20"/>
                <w:szCs w:val="20"/>
              </w:rPr>
              <w:t>Kótovan</w:t>
            </w:r>
            <w:r w:rsidR="005E0A0E" w:rsidRPr="0031503F">
              <w:rPr>
                <w:rFonts w:ascii="Times New Roman" w:hAnsi="Times New Roman" w:cs="Times New Roman"/>
                <w:sz w:val="20"/>
                <w:szCs w:val="20"/>
              </w:rPr>
              <w:t>á</w:t>
            </w:r>
            <w:r w:rsidRPr="0031503F">
              <w:rPr>
                <w:rFonts w:ascii="Times New Roman" w:hAnsi="Times New Roman" w:cs="Times New Roman"/>
                <w:sz w:val="20"/>
                <w:szCs w:val="20"/>
              </w:rPr>
              <w:t xml:space="preserve"> spoločnos</w:t>
            </w:r>
            <w:r w:rsidR="005E0A0E" w:rsidRPr="0031503F">
              <w:rPr>
                <w:rFonts w:ascii="Times New Roman" w:hAnsi="Times New Roman" w:cs="Times New Roman"/>
                <w:sz w:val="20"/>
                <w:szCs w:val="20"/>
              </w:rPr>
              <w:t>ť</w:t>
            </w:r>
            <w:r w:rsidRPr="0031503F">
              <w:rPr>
                <w:rFonts w:ascii="Times New Roman" w:hAnsi="Times New Roman" w:cs="Times New Roman"/>
                <w:sz w:val="20"/>
                <w:szCs w:val="20"/>
              </w:rPr>
              <w:t xml:space="preserve"> </w:t>
            </w:r>
            <w:r w:rsidR="0036032A" w:rsidRPr="0031503F">
              <w:rPr>
                <w:rFonts w:ascii="Times New Roman" w:hAnsi="Times New Roman" w:cs="Times New Roman"/>
                <w:sz w:val="20"/>
                <w:szCs w:val="20"/>
              </w:rPr>
              <w:t>poskytuje</w:t>
            </w:r>
            <w:r w:rsidRPr="0031503F">
              <w:rPr>
                <w:rFonts w:ascii="Times New Roman" w:hAnsi="Times New Roman" w:cs="Times New Roman"/>
                <w:sz w:val="20"/>
                <w:szCs w:val="20"/>
              </w:rPr>
              <w:t xml:space="preserve"> Ministerstvu práce, sociálnych vecí a rodiny Slovenskej republiky (ďalej len „ministerstvo“) </w:t>
            </w:r>
            <w:r w:rsidR="005E0A0E" w:rsidRPr="0031503F">
              <w:rPr>
                <w:rFonts w:ascii="Times New Roman" w:hAnsi="Times New Roman" w:cs="Times New Roman"/>
                <w:sz w:val="20"/>
                <w:szCs w:val="20"/>
              </w:rPr>
              <w:t>najneskôr do 31. januára</w:t>
            </w:r>
            <w:r w:rsidR="00464C43" w:rsidRPr="0031503F">
              <w:rPr>
                <w:rFonts w:ascii="Times New Roman" w:hAnsi="Times New Roman" w:cs="Times New Roman"/>
                <w:sz w:val="20"/>
                <w:szCs w:val="20"/>
              </w:rPr>
              <w:t xml:space="preserve"> príslušného</w:t>
            </w:r>
            <w:r w:rsidR="0051551E" w:rsidRPr="0031503F">
              <w:rPr>
                <w:rFonts w:ascii="Times New Roman" w:hAnsi="Times New Roman" w:cs="Times New Roman"/>
                <w:sz w:val="20"/>
                <w:szCs w:val="20"/>
              </w:rPr>
              <w:t xml:space="preserve"> kalendárneho roka</w:t>
            </w:r>
            <w:r w:rsidR="005E0A0E" w:rsidRPr="0031503F">
              <w:rPr>
                <w:rFonts w:ascii="Times New Roman" w:hAnsi="Times New Roman" w:cs="Times New Roman"/>
                <w:sz w:val="20"/>
                <w:szCs w:val="20"/>
              </w:rPr>
              <w:t xml:space="preserve"> informácie podľa stavu k 31. decembru predchádzajúceho kalendárneho roka o</w:t>
            </w:r>
            <w:r w:rsidR="0051551E" w:rsidRPr="0031503F">
              <w:rPr>
                <w:rFonts w:ascii="Times New Roman" w:hAnsi="Times New Roman" w:cs="Times New Roman"/>
                <w:sz w:val="20"/>
                <w:szCs w:val="20"/>
              </w:rPr>
              <w:t xml:space="preserve"> </w:t>
            </w:r>
          </w:p>
          <w:p w:rsidR="0051551E" w:rsidRPr="0031503F" w:rsidRDefault="0051551E" w:rsidP="0051551E">
            <w:pPr>
              <w:jc w:val="both"/>
              <w:rPr>
                <w:rFonts w:ascii="Times New Roman" w:hAnsi="Times New Roman" w:cs="Times New Roman"/>
                <w:sz w:val="20"/>
                <w:szCs w:val="20"/>
              </w:rPr>
            </w:pPr>
          </w:p>
          <w:p w:rsidR="0051551E" w:rsidRPr="0031503F" w:rsidRDefault="0051551E" w:rsidP="0051551E">
            <w:pPr>
              <w:contextualSpacing/>
              <w:rPr>
                <w:rFonts w:ascii="Times New Roman" w:hAnsi="Times New Roman" w:cs="Times New Roman"/>
                <w:sz w:val="20"/>
                <w:szCs w:val="20"/>
              </w:rPr>
            </w:pPr>
            <w:r w:rsidRPr="0031503F">
              <w:rPr>
                <w:rFonts w:ascii="Times New Roman" w:hAnsi="Times New Roman" w:cs="Times New Roman"/>
                <w:sz w:val="20"/>
                <w:szCs w:val="20"/>
              </w:rPr>
              <w:t xml:space="preserve">zastúpení mužov a žien vo vrcholových orgánoch s rozlíšením medzi výkonnými riadiacimi pracovníkmi a nevýkonnými riadiacimi pracovníkmi, </w:t>
            </w:r>
          </w:p>
          <w:p w:rsidR="0051551E" w:rsidRPr="0031503F" w:rsidRDefault="0051551E" w:rsidP="0051551E">
            <w:pPr>
              <w:contextualSpacing/>
              <w:jc w:val="both"/>
              <w:rPr>
                <w:rFonts w:ascii="Times New Roman" w:hAnsi="Times New Roman" w:cs="Times New Roman"/>
                <w:sz w:val="20"/>
                <w:szCs w:val="20"/>
              </w:rPr>
            </w:pPr>
          </w:p>
          <w:p w:rsidR="0051551E" w:rsidRPr="0031503F" w:rsidRDefault="0051551E" w:rsidP="0051551E">
            <w:pPr>
              <w:contextualSpacing/>
              <w:rPr>
                <w:rFonts w:ascii="Times New Roman" w:hAnsi="Times New Roman" w:cs="Times New Roman"/>
                <w:sz w:val="20"/>
                <w:szCs w:val="20"/>
              </w:rPr>
            </w:pPr>
            <w:r w:rsidRPr="0031503F">
              <w:rPr>
                <w:rFonts w:ascii="Times New Roman" w:hAnsi="Times New Roman" w:cs="Times New Roman"/>
                <w:sz w:val="20"/>
                <w:szCs w:val="20"/>
              </w:rPr>
              <w:t xml:space="preserve">prijatých opatreniach na dosiahnutie cieľov vyváženosti podľa § 4 ods. 1. </w:t>
            </w:r>
          </w:p>
          <w:p w:rsidR="0051551E" w:rsidRPr="0031503F" w:rsidRDefault="0051551E" w:rsidP="0051551E">
            <w:pPr>
              <w:jc w:val="both"/>
              <w:rPr>
                <w:rFonts w:ascii="Times New Roman" w:hAnsi="Times New Roman" w:cs="Times New Roman"/>
                <w:sz w:val="20"/>
                <w:szCs w:val="20"/>
              </w:rPr>
            </w:pPr>
          </w:p>
          <w:p w:rsidR="00B53601" w:rsidRPr="0031503F" w:rsidRDefault="00B53601" w:rsidP="0051551E">
            <w:pPr>
              <w:pStyle w:val="Odsekzoznamu"/>
              <w:ind w:left="0"/>
              <w:jc w:val="both"/>
              <w:rPr>
                <w:rFonts w:ascii="Times New Roman" w:hAnsi="Times New Roman" w:cs="Times New Roman"/>
                <w:sz w:val="20"/>
                <w:szCs w:val="20"/>
              </w:rPr>
            </w:pPr>
            <w:r w:rsidRPr="0031503F">
              <w:rPr>
                <w:rFonts w:ascii="Times New Roman" w:hAnsi="Times New Roman" w:cs="Times New Roman"/>
                <w:sz w:val="20"/>
                <w:szCs w:val="20"/>
              </w:rPr>
              <w:t>Kótovan</w:t>
            </w:r>
            <w:r w:rsidR="005E0A0E" w:rsidRPr="0031503F">
              <w:rPr>
                <w:rFonts w:ascii="Times New Roman" w:hAnsi="Times New Roman" w:cs="Times New Roman"/>
                <w:sz w:val="20"/>
                <w:szCs w:val="20"/>
              </w:rPr>
              <w:t>á</w:t>
            </w:r>
            <w:r w:rsidRPr="0031503F">
              <w:rPr>
                <w:rFonts w:ascii="Times New Roman" w:hAnsi="Times New Roman" w:cs="Times New Roman"/>
                <w:sz w:val="20"/>
                <w:szCs w:val="20"/>
              </w:rPr>
              <w:t xml:space="preserve"> spoločnos</w:t>
            </w:r>
            <w:r w:rsidR="005E0A0E" w:rsidRPr="0031503F">
              <w:rPr>
                <w:rFonts w:ascii="Times New Roman" w:hAnsi="Times New Roman" w:cs="Times New Roman"/>
                <w:sz w:val="20"/>
                <w:szCs w:val="20"/>
              </w:rPr>
              <w:t>ť</w:t>
            </w:r>
            <w:r w:rsidRPr="0031503F">
              <w:rPr>
                <w:rFonts w:ascii="Times New Roman" w:hAnsi="Times New Roman" w:cs="Times New Roman"/>
                <w:sz w:val="20"/>
                <w:szCs w:val="20"/>
              </w:rPr>
              <w:t xml:space="preserve"> </w:t>
            </w:r>
            <w:r w:rsidR="0051551E" w:rsidRPr="0031503F">
              <w:rPr>
                <w:rFonts w:ascii="Times New Roman" w:hAnsi="Times New Roman" w:cs="Times New Roman"/>
                <w:sz w:val="20"/>
                <w:szCs w:val="20"/>
              </w:rPr>
              <w:t>zverejňuj</w:t>
            </w:r>
            <w:r w:rsidR="005E0A0E" w:rsidRPr="0031503F">
              <w:rPr>
                <w:rFonts w:ascii="Times New Roman" w:hAnsi="Times New Roman" w:cs="Times New Roman"/>
                <w:sz w:val="20"/>
                <w:szCs w:val="20"/>
              </w:rPr>
              <w:t>e</w:t>
            </w:r>
            <w:r w:rsidR="0051551E" w:rsidRPr="0031503F">
              <w:rPr>
                <w:rFonts w:ascii="Times New Roman" w:hAnsi="Times New Roman" w:cs="Times New Roman"/>
                <w:sz w:val="20"/>
                <w:szCs w:val="20"/>
              </w:rPr>
              <w:t xml:space="preserve"> informácie podľa odseku</w:t>
            </w:r>
            <w:r w:rsidRPr="0031503F">
              <w:rPr>
                <w:rFonts w:ascii="Times New Roman" w:hAnsi="Times New Roman" w:cs="Times New Roman"/>
                <w:sz w:val="20"/>
                <w:szCs w:val="20"/>
              </w:rPr>
              <w:t xml:space="preserve"> 1 </w:t>
            </w:r>
            <w:r w:rsidR="0051551E" w:rsidRPr="0031503F">
              <w:rPr>
                <w:rFonts w:ascii="Times New Roman" w:hAnsi="Times New Roman" w:cs="Times New Roman"/>
                <w:sz w:val="20"/>
                <w:szCs w:val="20"/>
              </w:rPr>
              <w:t>na svojom webovom sídle.</w:t>
            </w:r>
          </w:p>
          <w:p w:rsidR="00B46D94" w:rsidRPr="0031503F" w:rsidRDefault="00B46D94" w:rsidP="00CB3223">
            <w:pPr>
              <w:pStyle w:val="Standard"/>
              <w:shd w:val="clear" w:color="auto" w:fill="FFFFFF" w:themeFill="background1"/>
              <w:spacing w:line="240" w:lineRule="auto"/>
              <w:jc w:val="both"/>
              <w:rPr>
                <w:rFonts w:ascii="Times New Roman" w:hAnsi="Times New Roman" w:cs="Times New Roman"/>
                <w:sz w:val="20"/>
                <w:szCs w:val="20"/>
              </w:rPr>
            </w:pPr>
          </w:p>
          <w:p w:rsidR="00DF4574" w:rsidRPr="0031503F" w:rsidRDefault="000D1A9A" w:rsidP="00EA12C9">
            <w:pPr>
              <w:contextualSpacing/>
              <w:jc w:val="both"/>
              <w:rPr>
                <w:rFonts w:ascii="Times New Roman" w:hAnsi="Times New Roman" w:cs="Times New Roman"/>
                <w:sz w:val="20"/>
                <w:szCs w:val="20"/>
              </w:rPr>
            </w:pPr>
            <w:r w:rsidRPr="0031503F">
              <w:rPr>
                <w:rFonts w:ascii="Times New Roman" w:hAnsi="Times New Roman" w:cs="Times New Roman"/>
                <w:sz w:val="20"/>
                <w:szCs w:val="20"/>
              </w:rPr>
              <w:t xml:space="preserve">Ministerstvo </w:t>
            </w:r>
            <w:r w:rsidR="00464C43" w:rsidRPr="0031503F">
              <w:rPr>
                <w:rFonts w:ascii="Times New Roman" w:hAnsi="Times New Roman" w:cs="Times New Roman"/>
                <w:sz w:val="20"/>
                <w:szCs w:val="20"/>
              </w:rPr>
              <w:t xml:space="preserve">na svojom webovom sídle </w:t>
            </w:r>
            <w:r w:rsidRPr="0031503F">
              <w:rPr>
                <w:rFonts w:ascii="Times New Roman" w:hAnsi="Times New Roman" w:cs="Times New Roman"/>
                <w:sz w:val="20"/>
                <w:szCs w:val="20"/>
              </w:rPr>
              <w:t>zverejňuje a pravidelne aktualizuje zoznam kótovaných spoločností, ktoré dosiahli niektorý z cieľov vyváženosti podľa § 4 ods. 1.</w:t>
            </w:r>
          </w:p>
          <w:p w:rsidR="00EA12C9" w:rsidRPr="0031503F" w:rsidRDefault="00EA12C9" w:rsidP="00EA12C9">
            <w:pPr>
              <w:contextualSpacing/>
              <w:jc w:val="both"/>
              <w:rPr>
                <w:rFonts w:ascii="Times New Roman" w:hAnsi="Times New Roman" w:cs="Times New Roman"/>
                <w:sz w:val="20"/>
                <w:szCs w:val="20"/>
              </w:rPr>
            </w:pPr>
          </w:p>
          <w:p w:rsidR="000D1A9A" w:rsidRPr="0031503F" w:rsidRDefault="000D1A9A" w:rsidP="000D1A9A">
            <w:pPr>
              <w:contextualSpacing/>
              <w:rPr>
                <w:rFonts w:ascii="Times New Roman" w:hAnsi="Times New Roman" w:cs="Times New Roman"/>
                <w:sz w:val="20"/>
                <w:szCs w:val="20"/>
              </w:rPr>
            </w:pPr>
            <w:r w:rsidRPr="0031503F">
              <w:rPr>
                <w:rFonts w:ascii="Times New Roman" w:hAnsi="Times New Roman" w:cs="Times New Roman"/>
                <w:sz w:val="20"/>
                <w:szCs w:val="20"/>
              </w:rPr>
              <w:t>Ak kótovaná spoločnosť nedosiahne niektorý z cieľov vyváženosti podľa § 4 ods. 1, doplní informácie podľa odseku 1 aj o dôvody, pre ktoré ti</w:t>
            </w:r>
            <w:r w:rsidR="00464C43" w:rsidRPr="0031503F">
              <w:rPr>
                <w:rFonts w:ascii="Times New Roman" w:hAnsi="Times New Roman" w:cs="Times New Roman"/>
                <w:sz w:val="20"/>
                <w:szCs w:val="20"/>
              </w:rPr>
              <w:t>eto ciele vyváženosti nedosiahla</w:t>
            </w:r>
            <w:r w:rsidRPr="0031503F">
              <w:rPr>
                <w:rFonts w:ascii="Times New Roman" w:hAnsi="Times New Roman" w:cs="Times New Roman"/>
                <w:sz w:val="20"/>
                <w:szCs w:val="20"/>
              </w:rPr>
              <w:t xml:space="preserve"> a  súčasne doplní popis prijatých opatrení na dosiahnutie cieľov vyváženosti alebo pripravovaných opatrení</w:t>
            </w:r>
            <w:r w:rsidR="00464C43" w:rsidRPr="0031503F">
              <w:rPr>
                <w:rFonts w:ascii="Times New Roman" w:hAnsi="Times New Roman" w:cs="Times New Roman"/>
                <w:sz w:val="20"/>
                <w:szCs w:val="20"/>
              </w:rPr>
              <w:t xml:space="preserve"> na dosiahnutie cieľov vyváženosti</w:t>
            </w:r>
            <w:r w:rsidRPr="0031503F">
              <w:rPr>
                <w:rFonts w:ascii="Times New Roman" w:hAnsi="Times New Roman" w:cs="Times New Roman"/>
                <w:sz w:val="20"/>
                <w:szCs w:val="20"/>
              </w:rPr>
              <w:t xml:space="preserve">. </w:t>
            </w:r>
          </w:p>
          <w:p w:rsidR="00CE3DEF" w:rsidRPr="0031503F" w:rsidRDefault="00CE3DEF" w:rsidP="00CB3223">
            <w:pPr>
              <w:pStyle w:val="Standard"/>
              <w:shd w:val="clear" w:color="auto" w:fill="FFFFFF" w:themeFill="background1"/>
              <w:spacing w:line="240" w:lineRule="auto"/>
              <w:jc w:val="both"/>
              <w:rPr>
                <w:rFonts w:ascii="Times New Roman" w:hAnsi="Times New Roman" w:cs="Times New Roman"/>
                <w:sz w:val="20"/>
                <w:szCs w:val="20"/>
              </w:rPr>
            </w:pPr>
          </w:p>
          <w:p w:rsidR="00CE3DEF" w:rsidRPr="0031503F" w:rsidRDefault="00CE3DEF" w:rsidP="00CB3223">
            <w:pPr>
              <w:pStyle w:val="Standard"/>
              <w:shd w:val="clear" w:color="auto" w:fill="FFFFFF" w:themeFill="background1"/>
              <w:spacing w:line="240" w:lineRule="auto"/>
              <w:jc w:val="both"/>
              <w:rPr>
                <w:rFonts w:ascii="Times New Roman" w:hAnsi="Times New Roman" w:cs="Times New Roman"/>
                <w:sz w:val="20"/>
                <w:szCs w:val="20"/>
              </w:rPr>
            </w:pPr>
          </w:p>
          <w:p w:rsidR="00EA12C9" w:rsidRPr="0031503F" w:rsidRDefault="00EA12C9" w:rsidP="00EA12C9">
            <w:pPr>
              <w:shd w:val="clear" w:color="auto" w:fill="FFFFFF"/>
              <w:jc w:val="both"/>
              <w:rPr>
                <w:rFonts w:ascii="Times New Roman" w:hAnsi="Times New Roman" w:cs="Times New Roman"/>
                <w:iCs/>
                <w:sz w:val="20"/>
                <w:szCs w:val="20"/>
                <w:lang w:eastAsia="sk-SK"/>
              </w:rPr>
            </w:pPr>
            <w:r w:rsidRPr="0031503F">
              <w:rPr>
                <w:rFonts w:ascii="Times New Roman" w:hAnsi="Times New Roman" w:cs="Times New Roman"/>
                <w:iCs/>
                <w:sz w:val="20"/>
                <w:szCs w:val="20"/>
                <w:lang w:eastAsia="sk-SK"/>
              </w:rPr>
              <w:t>Kótovaná spoločnosť môže  informácie podľa odseku 1 uviesť vo výročnej správe</w:t>
            </w:r>
            <w:r w:rsidR="00053AF0" w:rsidRPr="0031503F">
              <w:rPr>
                <w:rFonts w:ascii="Times New Roman" w:hAnsi="Times New Roman" w:cs="Times New Roman"/>
                <w:iCs/>
                <w:sz w:val="20"/>
                <w:szCs w:val="20"/>
                <w:lang w:eastAsia="sk-SK"/>
              </w:rPr>
              <w:t>,</w:t>
            </w:r>
            <w:r w:rsidR="00053AF0" w:rsidRPr="0031503F">
              <w:rPr>
                <w:rFonts w:ascii="Times New Roman" w:hAnsi="Times New Roman" w:cs="Times New Roman"/>
                <w:iCs/>
                <w:sz w:val="20"/>
                <w:szCs w:val="20"/>
                <w:vertAlign w:val="superscript"/>
                <w:lang w:eastAsia="sk-SK"/>
              </w:rPr>
              <w:t>5</w:t>
            </w:r>
            <w:r w:rsidR="00053AF0" w:rsidRPr="0031503F">
              <w:rPr>
                <w:rFonts w:ascii="Times New Roman" w:hAnsi="Times New Roman" w:cs="Times New Roman"/>
                <w:iCs/>
                <w:sz w:val="20"/>
                <w:szCs w:val="20"/>
                <w:lang w:eastAsia="sk-SK"/>
              </w:rPr>
              <w:t xml:space="preserve">) </w:t>
            </w:r>
            <w:r w:rsidRPr="0031503F">
              <w:rPr>
                <w:rFonts w:ascii="Times New Roman" w:hAnsi="Times New Roman" w:cs="Times New Roman"/>
                <w:iCs/>
                <w:sz w:val="20"/>
                <w:szCs w:val="20"/>
                <w:lang w:eastAsia="sk-SK"/>
              </w:rPr>
              <w:t>ktorú doručí ministerstvu.</w:t>
            </w:r>
          </w:p>
          <w:p w:rsidR="00EA12C9" w:rsidRPr="0031503F" w:rsidRDefault="00EA12C9" w:rsidP="00EA12C9">
            <w:pPr>
              <w:shd w:val="clear" w:color="auto" w:fill="FFFFFF"/>
              <w:jc w:val="both"/>
              <w:rPr>
                <w:rFonts w:ascii="Times New Roman" w:hAnsi="Times New Roman" w:cs="Times New Roman"/>
                <w:sz w:val="20"/>
                <w:szCs w:val="20"/>
                <w:lang w:eastAsia="sk-SK"/>
              </w:rPr>
            </w:pPr>
            <w:r w:rsidRPr="0031503F">
              <w:rPr>
                <w:rFonts w:ascii="Times New Roman" w:hAnsi="Times New Roman" w:cs="Times New Roman"/>
                <w:sz w:val="20"/>
                <w:szCs w:val="20"/>
                <w:lang w:eastAsia="sk-SK"/>
              </w:rPr>
              <w:t>Poznámka</w:t>
            </w:r>
            <w:r w:rsidR="00053AF0" w:rsidRPr="0031503F">
              <w:rPr>
                <w:rFonts w:ascii="Times New Roman" w:hAnsi="Times New Roman" w:cs="Times New Roman"/>
                <w:sz w:val="20"/>
                <w:szCs w:val="20"/>
                <w:lang w:eastAsia="sk-SK"/>
              </w:rPr>
              <w:t xml:space="preserve"> pod čiarou k odkazu 5 znie: </w:t>
            </w:r>
            <w:r w:rsidRPr="0031503F">
              <w:rPr>
                <w:rFonts w:ascii="Times New Roman" w:hAnsi="Times New Roman" w:cs="Times New Roman"/>
                <w:sz w:val="20"/>
                <w:szCs w:val="20"/>
                <w:lang w:eastAsia="sk-SK"/>
              </w:rPr>
              <w:t xml:space="preserve">§ 20 ods. 6 zákona č. 431/2002 Z. z. o účtovníctve v znení neskorších predpisov. </w:t>
            </w: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4E3439" w:rsidRPr="0031503F" w:rsidRDefault="004E3439" w:rsidP="00CB3223">
            <w:pPr>
              <w:pStyle w:val="Odsekzoznamu"/>
              <w:ind w:left="0"/>
              <w:jc w:val="both"/>
              <w:rPr>
                <w:rFonts w:ascii="Times New Roman" w:hAnsi="Times New Roman" w:cs="Times New Roman"/>
                <w:sz w:val="20"/>
                <w:szCs w:val="20"/>
              </w:rPr>
            </w:pPr>
          </w:p>
          <w:p w:rsidR="00CE3DEF" w:rsidRPr="0031503F" w:rsidRDefault="00CE3DEF"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B46D94" w:rsidRPr="0031503F" w:rsidRDefault="00C969C6"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464C43" w:rsidRPr="0031503F" w:rsidRDefault="00464C43"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464C43" w:rsidRPr="0031503F" w:rsidRDefault="00464C43"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EA12C9" w:rsidRPr="0031503F" w:rsidRDefault="00EA12C9"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Pr="0031503F" w:rsidRDefault="00A07B91" w:rsidP="00CB3223">
            <w:pPr>
              <w:jc w:val="center"/>
              <w:rPr>
                <w:rFonts w:ascii="Times New Roman" w:hAnsi="Times New Roman" w:cs="Times New Roman"/>
                <w:sz w:val="20"/>
                <w:szCs w:val="20"/>
              </w:rPr>
            </w:pPr>
          </w:p>
          <w:p w:rsidR="00A07B91" w:rsidRDefault="00A07B91"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Pr="0031503F" w:rsidRDefault="004C7220"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tc>
        <w:tc>
          <w:tcPr>
            <w:tcW w:w="1191" w:type="dxa"/>
            <w:tcBorders>
              <w:top w:val="single" w:sz="4" w:space="0" w:color="auto"/>
              <w:bottom w:val="single" w:sz="4" w:space="0" w:color="auto"/>
            </w:tcBorders>
          </w:tcPr>
          <w:p w:rsidR="00B46D94" w:rsidRPr="0031503F" w:rsidRDefault="00B46D94"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B46D94" w:rsidRPr="0031503F" w:rsidRDefault="00190955"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EA12C9" w:rsidRPr="0031503F" w:rsidRDefault="00EA12C9" w:rsidP="00CB3223">
            <w:pPr>
              <w:jc w:val="center"/>
              <w:rPr>
                <w:rFonts w:ascii="Times New Roman" w:hAnsi="Times New Roman" w:cs="Times New Roman"/>
                <w:b/>
                <w:sz w:val="20"/>
                <w:szCs w:val="20"/>
              </w:rPr>
            </w:pPr>
          </w:p>
          <w:p w:rsidR="00EA12C9" w:rsidRPr="0031503F" w:rsidRDefault="00EA12C9" w:rsidP="00CB3223">
            <w:pPr>
              <w:jc w:val="center"/>
              <w:rPr>
                <w:rFonts w:ascii="Times New Roman" w:hAnsi="Times New Roman" w:cs="Times New Roman"/>
                <w:b/>
                <w:sz w:val="20"/>
                <w:szCs w:val="20"/>
              </w:rPr>
            </w:pPr>
          </w:p>
          <w:p w:rsidR="00EA12C9" w:rsidRPr="0031503F" w:rsidRDefault="00EA12C9"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B46D94" w:rsidRPr="0031503F" w:rsidRDefault="00B46D94"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E66E5C" w:rsidRPr="0031503F" w:rsidRDefault="00F76B05"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8</w:t>
            </w:r>
          </w:p>
        </w:tc>
        <w:tc>
          <w:tcPr>
            <w:tcW w:w="2837" w:type="dxa"/>
            <w:tcBorders>
              <w:top w:val="single" w:sz="4" w:space="0" w:color="auto"/>
              <w:bottom w:val="single" w:sz="4" w:space="0" w:color="auto"/>
            </w:tcBorders>
          </w:tcPr>
          <w:p w:rsidR="00E66E5C" w:rsidRPr="0031503F" w:rsidRDefault="00F76B05" w:rsidP="001C143D">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Sankcie a dodatočné opatrenia</w:t>
            </w:r>
          </w:p>
        </w:tc>
        <w:tc>
          <w:tcPr>
            <w:tcW w:w="828" w:type="dxa"/>
            <w:tcBorders>
              <w:top w:val="single" w:sz="4" w:space="0" w:color="auto"/>
              <w:bottom w:val="single" w:sz="4" w:space="0" w:color="auto"/>
            </w:tcBorders>
          </w:tcPr>
          <w:p w:rsidR="00E66E5C" w:rsidRPr="0031503F" w:rsidRDefault="00E66E5C" w:rsidP="001C143D">
            <w:pPr>
              <w:jc w:val="both"/>
              <w:rPr>
                <w:rFonts w:ascii="Times New Roman" w:hAnsi="Times New Roman" w:cs="Times New Roman"/>
                <w:sz w:val="20"/>
                <w:szCs w:val="20"/>
              </w:rPr>
            </w:pPr>
          </w:p>
        </w:tc>
        <w:tc>
          <w:tcPr>
            <w:tcW w:w="1015" w:type="dxa"/>
            <w:tcBorders>
              <w:top w:val="single" w:sz="4" w:space="0" w:color="auto"/>
              <w:bottom w:val="single" w:sz="4" w:space="0" w:color="auto"/>
            </w:tcBorders>
          </w:tcPr>
          <w:p w:rsidR="00E66E5C" w:rsidRPr="0031503F" w:rsidRDefault="00E66E5C" w:rsidP="001C143D">
            <w:pPr>
              <w:jc w:val="both"/>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E66E5C" w:rsidRPr="0031503F" w:rsidRDefault="001B085D" w:rsidP="001C143D">
            <w:pPr>
              <w:pStyle w:val="Normlny0"/>
              <w:jc w:val="center"/>
              <w:rPr>
                <w:b/>
              </w:rPr>
            </w:pPr>
            <w:r w:rsidRPr="0031503F">
              <w:rPr>
                <w:b/>
              </w:rPr>
              <w:t>§ 8</w:t>
            </w:r>
          </w:p>
        </w:tc>
        <w:tc>
          <w:tcPr>
            <w:tcW w:w="2051" w:type="dxa"/>
            <w:tcBorders>
              <w:top w:val="single" w:sz="4" w:space="0" w:color="auto"/>
              <w:bottom w:val="single" w:sz="4" w:space="0" w:color="auto"/>
            </w:tcBorders>
          </w:tcPr>
          <w:p w:rsidR="00E66E5C" w:rsidRPr="0031503F" w:rsidRDefault="00F76B05" w:rsidP="00E9655A">
            <w:pPr>
              <w:pStyle w:val="Standard"/>
              <w:shd w:val="clear" w:color="auto" w:fill="FFFFFF" w:themeFill="background1"/>
              <w:spacing w:line="240" w:lineRule="auto"/>
              <w:jc w:val="both"/>
              <w:rPr>
                <w:rFonts w:ascii="Times New Roman" w:hAnsi="Times New Roman" w:cs="Times New Roman"/>
                <w:b/>
                <w:sz w:val="20"/>
                <w:szCs w:val="20"/>
              </w:rPr>
            </w:pPr>
            <w:r w:rsidRPr="0031503F">
              <w:rPr>
                <w:rFonts w:ascii="Times New Roman" w:hAnsi="Times New Roman" w:cs="Times New Roman"/>
                <w:b/>
                <w:sz w:val="20"/>
                <w:szCs w:val="20"/>
              </w:rPr>
              <w:t xml:space="preserve">Sankcie a dodatočné opatrenia </w:t>
            </w:r>
          </w:p>
        </w:tc>
        <w:tc>
          <w:tcPr>
            <w:tcW w:w="727"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E66E5C" w:rsidRPr="0031503F" w:rsidRDefault="00E66E5C"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53601" w:rsidRPr="0031503F" w:rsidRDefault="00F76B05" w:rsidP="00CB3223">
            <w:pPr>
              <w:jc w:val="both"/>
              <w:rPr>
                <w:rFonts w:ascii="Times New Roman" w:hAnsi="Times New Roman" w:cs="Times New Roman"/>
                <w:bCs/>
                <w:sz w:val="20"/>
                <w:szCs w:val="20"/>
              </w:rPr>
            </w:pPr>
            <w:r w:rsidRPr="0031503F">
              <w:rPr>
                <w:rFonts w:ascii="Times New Roman" w:hAnsi="Times New Roman" w:cs="Times New Roman"/>
                <w:bCs/>
                <w:sz w:val="20"/>
                <w:szCs w:val="20"/>
              </w:rPr>
              <w:t>Č:8</w:t>
            </w:r>
          </w:p>
          <w:p w:rsidR="00F76B05" w:rsidRPr="0031503F" w:rsidRDefault="00F76B05" w:rsidP="00CB3223">
            <w:pPr>
              <w:jc w:val="both"/>
              <w:rPr>
                <w:rFonts w:ascii="Times New Roman" w:hAnsi="Times New Roman" w:cs="Times New Roman"/>
                <w:bCs/>
                <w:sz w:val="20"/>
                <w:szCs w:val="20"/>
              </w:rPr>
            </w:pPr>
          </w:p>
          <w:p w:rsidR="00F76B05" w:rsidRPr="0031503F" w:rsidRDefault="00F76B05" w:rsidP="00CB3223">
            <w:pPr>
              <w:jc w:val="both"/>
              <w:rPr>
                <w:rFonts w:ascii="Times New Roman" w:hAnsi="Times New Roman" w:cs="Times New Roman"/>
                <w:bCs/>
                <w:sz w:val="20"/>
                <w:szCs w:val="20"/>
              </w:rPr>
            </w:pPr>
            <w:r w:rsidRPr="0031503F">
              <w:rPr>
                <w:rFonts w:ascii="Times New Roman" w:hAnsi="Times New Roman" w:cs="Times New Roman"/>
                <w:bCs/>
                <w:sz w:val="20"/>
                <w:szCs w:val="20"/>
              </w:rPr>
              <w:t>O:1</w:t>
            </w: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255180" w:rsidRPr="0031503F" w:rsidRDefault="00255180" w:rsidP="00CB3223">
            <w:pPr>
              <w:jc w:val="both"/>
              <w:rPr>
                <w:rFonts w:ascii="Times New Roman" w:hAnsi="Times New Roman" w:cs="Times New Roman"/>
                <w:bCs/>
                <w:sz w:val="20"/>
                <w:szCs w:val="20"/>
              </w:rPr>
            </w:pPr>
          </w:p>
          <w:p w:rsidR="00255180" w:rsidRPr="0031503F" w:rsidRDefault="00255180" w:rsidP="00CB3223">
            <w:pPr>
              <w:jc w:val="both"/>
              <w:rPr>
                <w:rFonts w:ascii="Times New Roman" w:hAnsi="Times New Roman" w:cs="Times New Roman"/>
                <w:bCs/>
                <w:sz w:val="20"/>
                <w:szCs w:val="20"/>
              </w:rPr>
            </w:pPr>
          </w:p>
          <w:p w:rsidR="00255180" w:rsidRPr="0031503F" w:rsidRDefault="00255180"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r w:rsidRPr="0031503F">
              <w:rPr>
                <w:rFonts w:ascii="Times New Roman" w:hAnsi="Times New Roman" w:cs="Times New Roman"/>
                <w:bCs/>
                <w:sz w:val="20"/>
                <w:szCs w:val="20"/>
              </w:rPr>
              <w:t>O:2</w:t>
            </w: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p>
          <w:p w:rsidR="009F13E0" w:rsidRPr="0031503F" w:rsidRDefault="009F13E0"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F7130C" w:rsidRPr="0031503F" w:rsidRDefault="00F7130C" w:rsidP="00CB3223">
            <w:pPr>
              <w:jc w:val="both"/>
              <w:rPr>
                <w:rFonts w:ascii="Times New Roman" w:hAnsi="Times New Roman" w:cs="Times New Roman"/>
                <w:bCs/>
                <w:sz w:val="20"/>
                <w:szCs w:val="20"/>
              </w:rPr>
            </w:pPr>
          </w:p>
          <w:p w:rsidR="00F7130C" w:rsidRPr="0031503F" w:rsidRDefault="00F7130C" w:rsidP="00CB3223">
            <w:pPr>
              <w:jc w:val="both"/>
              <w:rPr>
                <w:rFonts w:ascii="Times New Roman" w:hAnsi="Times New Roman" w:cs="Times New Roman"/>
                <w:bCs/>
                <w:sz w:val="20"/>
                <w:szCs w:val="20"/>
              </w:rPr>
            </w:pPr>
          </w:p>
          <w:p w:rsidR="00F7130C" w:rsidRPr="0031503F" w:rsidRDefault="00F7130C" w:rsidP="00CB3223">
            <w:pPr>
              <w:jc w:val="both"/>
              <w:rPr>
                <w:rFonts w:ascii="Times New Roman" w:hAnsi="Times New Roman" w:cs="Times New Roman"/>
                <w:bCs/>
                <w:sz w:val="20"/>
                <w:szCs w:val="20"/>
              </w:rPr>
            </w:pPr>
          </w:p>
          <w:p w:rsidR="005B056C" w:rsidRPr="0031503F" w:rsidRDefault="005B056C" w:rsidP="00CB3223">
            <w:pPr>
              <w:jc w:val="both"/>
              <w:rPr>
                <w:rFonts w:ascii="Times New Roman" w:hAnsi="Times New Roman" w:cs="Times New Roman"/>
                <w:bCs/>
                <w:sz w:val="20"/>
                <w:szCs w:val="20"/>
              </w:rPr>
            </w:pPr>
          </w:p>
          <w:p w:rsidR="007F4A62" w:rsidRPr="0031503F" w:rsidRDefault="007F4A62" w:rsidP="00CB3223">
            <w:pPr>
              <w:jc w:val="both"/>
              <w:rPr>
                <w:rFonts w:ascii="Times New Roman" w:hAnsi="Times New Roman" w:cs="Times New Roman"/>
                <w:bCs/>
                <w:sz w:val="20"/>
                <w:szCs w:val="20"/>
              </w:rPr>
            </w:pPr>
            <w:r w:rsidRPr="0031503F">
              <w:rPr>
                <w:rFonts w:ascii="Times New Roman" w:hAnsi="Times New Roman" w:cs="Times New Roman"/>
                <w:bCs/>
                <w:sz w:val="20"/>
                <w:szCs w:val="20"/>
              </w:rPr>
              <w:t>O:3</w:t>
            </w:r>
          </w:p>
          <w:p w:rsidR="00F76B05" w:rsidRPr="0031503F" w:rsidRDefault="00F76B05" w:rsidP="00CB3223">
            <w:pPr>
              <w:jc w:val="both"/>
              <w:rPr>
                <w:rFonts w:ascii="Times New Roman" w:hAnsi="Times New Roman" w:cs="Times New Roman"/>
                <w:bCs/>
                <w:sz w:val="20"/>
                <w:szCs w:val="20"/>
              </w:rPr>
            </w:pPr>
          </w:p>
        </w:tc>
        <w:tc>
          <w:tcPr>
            <w:tcW w:w="2837" w:type="dxa"/>
            <w:tcBorders>
              <w:top w:val="single" w:sz="4" w:space="0" w:color="auto"/>
              <w:bottom w:val="single" w:sz="4" w:space="0" w:color="auto"/>
            </w:tcBorders>
          </w:tcPr>
          <w:p w:rsidR="00F76B05" w:rsidRPr="0031503F" w:rsidRDefault="00F76B05" w:rsidP="001C143D">
            <w:pPr>
              <w:shd w:val="clear" w:color="auto" w:fill="FFFFFF"/>
              <w:jc w:val="both"/>
              <w:rPr>
                <w:rFonts w:ascii="Times New Roman" w:eastAsia="Times New Roman" w:hAnsi="Times New Roman" w:cs="Times New Roman"/>
                <w:sz w:val="20"/>
                <w:szCs w:val="20"/>
                <w:lang w:eastAsia="sk-SK"/>
              </w:rPr>
            </w:pPr>
          </w:p>
          <w:p w:rsidR="00F76B05" w:rsidRPr="0031503F" w:rsidRDefault="00F76B05" w:rsidP="001C143D">
            <w:pPr>
              <w:shd w:val="clear" w:color="auto" w:fill="FFFFFF"/>
              <w:jc w:val="both"/>
              <w:rPr>
                <w:rFonts w:ascii="Times New Roman" w:eastAsia="Times New Roman" w:hAnsi="Times New Roman" w:cs="Times New Roman"/>
                <w:sz w:val="20"/>
                <w:szCs w:val="20"/>
                <w:lang w:eastAsia="sk-SK"/>
              </w:rPr>
            </w:pPr>
          </w:p>
          <w:p w:rsidR="00B53601" w:rsidRPr="0031503F" w:rsidRDefault="00F76B05" w:rsidP="001C143D">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stanovia pravidlá týkajúce sa sankcií uplatniteľných na porušenie vnútroštátnych ustanovení prijatých podľa článku 5 ods. 2 a v náležitom prípade článkov 6 a 7 zo strany kótovaných spoločností a prijmú všetky potrebné opatrenia na zabezpečenie ich vykonávania. Členské štáty najmä zabezpečia, aby boli k dispozícii vhodné správne alebo súdne postupy umožňujúce presadzovať povinnosti vyplývajúce z tejto smernice. Sankcie musia byť účinné, primerané a odradzujúce. Takéto sankcie môžu zahŕňať pokuty alebo možnosť justičného orgánu zrušiť rozhodnutie o výbere riadiacich pracovníkov, ktoré bolo uskutočnené v rozpore s vnútroštátnymi ustanoveniami prijatými podľa článku 6, alebo ho vyhlásiť za neplatné. Členské štáty o týchto pravidlách a opatreniach do 28. decembra 2024 informujú Komisiu a bezodkladne jej oznámia každú nasledujúcu zmenu, ktorá ich ovplyvní.</w:t>
            </w:r>
          </w:p>
          <w:p w:rsidR="007F4A62" w:rsidRPr="0031503F" w:rsidRDefault="007F4A62" w:rsidP="001C143D">
            <w:pPr>
              <w:shd w:val="clear" w:color="auto" w:fill="FFFFFF"/>
              <w:jc w:val="both"/>
              <w:rPr>
                <w:rFonts w:ascii="Times New Roman" w:eastAsia="Times New Roman" w:hAnsi="Times New Roman" w:cs="Times New Roman"/>
                <w:sz w:val="20"/>
                <w:szCs w:val="20"/>
                <w:lang w:eastAsia="sk-SK"/>
              </w:rPr>
            </w:pPr>
          </w:p>
          <w:p w:rsidR="009F13E0" w:rsidRPr="0031503F" w:rsidRDefault="009F13E0"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7F4A62" w:rsidRPr="0031503F" w:rsidRDefault="007F4A62" w:rsidP="001C143D">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Zodpovednosť kótovaných spoločností sa môže vyvodzovať len za konanie alebo absenciu konania, ktoré im možno pripísať v súlade s vnútroštátnym právom.</w:t>
            </w:r>
          </w:p>
          <w:p w:rsidR="007F4A62" w:rsidRPr="0031503F" w:rsidRDefault="007F4A62"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1C143D">
            <w:pPr>
              <w:shd w:val="clear" w:color="auto" w:fill="FFFFFF"/>
              <w:jc w:val="both"/>
              <w:rPr>
                <w:rFonts w:ascii="Times New Roman" w:eastAsia="Times New Roman" w:hAnsi="Times New Roman" w:cs="Times New Roman"/>
                <w:sz w:val="20"/>
                <w:szCs w:val="20"/>
                <w:lang w:eastAsia="sk-SK"/>
              </w:rPr>
            </w:pPr>
          </w:p>
          <w:p w:rsidR="00F7130C" w:rsidRPr="0031503F" w:rsidRDefault="00F7130C" w:rsidP="001C143D">
            <w:pPr>
              <w:shd w:val="clear" w:color="auto" w:fill="FFFFFF"/>
              <w:jc w:val="both"/>
              <w:rPr>
                <w:rFonts w:ascii="Times New Roman" w:eastAsia="Times New Roman" w:hAnsi="Times New Roman" w:cs="Times New Roman"/>
                <w:sz w:val="20"/>
                <w:szCs w:val="20"/>
                <w:lang w:eastAsia="sk-SK"/>
              </w:rPr>
            </w:pPr>
          </w:p>
          <w:p w:rsidR="00F7130C" w:rsidRPr="0031503F" w:rsidRDefault="00F7130C" w:rsidP="001C143D">
            <w:pPr>
              <w:shd w:val="clear" w:color="auto" w:fill="FFFFFF"/>
              <w:jc w:val="both"/>
              <w:rPr>
                <w:rFonts w:ascii="Times New Roman" w:eastAsia="Times New Roman" w:hAnsi="Times New Roman" w:cs="Times New Roman"/>
                <w:sz w:val="20"/>
                <w:szCs w:val="20"/>
                <w:lang w:eastAsia="sk-SK"/>
              </w:rPr>
            </w:pPr>
          </w:p>
          <w:p w:rsidR="00F7130C" w:rsidRPr="0031503F" w:rsidRDefault="00F7130C" w:rsidP="001C143D">
            <w:pPr>
              <w:shd w:val="clear" w:color="auto" w:fill="FFFFFF"/>
              <w:jc w:val="both"/>
              <w:rPr>
                <w:rFonts w:ascii="Times New Roman" w:eastAsia="Times New Roman" w:hAnsi="Times New Roman" w:cs="Times New Roman"/>
                <w:sz w:val="20"/>
                <w:szCs w:val="20"/>
                <w:lang w:eastAsia="sk-SK"/>
              </w:rPr>
            </w:pPr>
          </w:p>
          <w:p w:rsidR="007F4A62" w:rsidRPr="0031503F" w:rsidRDefault="007F4A62" w:rsidP="001C143D">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zabezpečia, aby kótované spoločnosti pri plnení verejných zákaziek a koncesií dodržiavali uplatniteľné povinnosti týkajúce sa sociálneho a pracovného práva v súlade s platným právom Únie.</w:t>
            </w:r>
          </w:p>
        </w:tc>
        <w:tc>
          <w:tcPr>
            <w:tcW w:w="828" w:type="dxa"/>
            <w:tcBorders>
              <w:top w:val="single" w:sz="4" w:space="0" w:color="auto"/>
              <w:bottom w:val="single" w:sz="4" w:space="0" w:color="auto"/>
            </w:tcBorders>
          </w:tcPr>
          <w:p w:rsidR="00B53601" w:rsidRPr="0031503F" w:rsidRDefault="00F76B05"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B53601" w:rsidRPr="0031503F" w:rsidRDefault="00F76B05"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 xml:space="preserve">Zákon č. 343/2015 Z. z. </w:t>
            </w: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DF56AE" w:rsidRPr="0031503F" w:rsidRDefault="00DF56AE"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7B580A">
            <w:pPr>
              <w:jc w:val="center"/>
              <w:rPr>
                <w:rFonts w:ascii="Times New Roman" w:hAnsi="Times New Roman" w:cs="Times New Roman"/>
                <w:sz w:val="20"/>
                <w:szCs w:val="20"/>
                <w:shd w:val="clear" w:color="auto" w:fill="FFFFFF"/>
              </w:rPr>
            </w:pPr>
          </w:p>
          <w:p w:rsidR="00427777" w:rsidRPr="0031503F" w:rsidRDefault="00427777" w:rsidP="00427777">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343/2015 Z. z.</w:t>
            </w:r>
          </w:p>
          <w:p w:rsidR="00427777" w:rsidRPr="0031503F" w:rsidRDefault="00427777"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B53601" w:rsidRPr="0031503F" w:rsidRDefault="001B085D" w:rsidP="001C143D">
            <w:pPr>
              <w:pStyle w:val="Normlny0"/>
              <w:jc w:val="center"/>
            </w:pPr>
            <w:r w:rsidRPr="0031503F">
              <w:t>§ 8</w:t>
            </w:r>
          </w:p>
          <w:p w:rsidR="00D249C0" w:rsidRPr="0031503F" w:rsidRDefault="00D249C0" w:rsidP="001C143D">
            <w:pPr>
              <w:pStyle w:val="Normlny0"/>
              <w:jc w:val="center"/>
            </w:pPr>
            <w:r w:rsidRPr="0031503F">
              <w:t>O:1</w:t>
            </w: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r w:rsidRPr="0031503F">
              <w:t>O:2</w:t>
            </w: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r w:rsidRPr="0031503F">
              <w:t>O:3</w:t>
            </w: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p>
          <w:p w:rsidR="00D249C0" w:rsidRPr="0031503F" w:rsidRDefault="00D249C0" w:rsidP="001C143D">
            <w:pPr>
              <w:pStyle w:val="Normlny0"/>
              <w:jc w:val="center"/>
            </w:pPr>
            <w:r w:rsidRPr="0031503F">
              <w:t>O:4</w:t>
            </w:r>
          </w:p>
          <w:p w:rsidR="005B056C" w:rsidRPr="0031503F" w:rsidRDefault="005B056C" w:rsidP="001C143D">
            <w:pPr>
              <w:pStyle w:val="Normlny0"/>
              <w:jc w:val="center"/>
            </w:pPr>
          </w:p>
          <w:p w:rsidR="005B056C" w:rsidRPr="0031503F" w:rsidRDefault="005B056C" w:rsidP="001C143D">
            <w:pPr>
              <w:pStyle w:val="Normlny0"/>
              <w:jc w:val="center"/>
            </w:pPr>
          </w:p>
          <w:p w:rsidR="005B056C" w:rsidRPr="0031503F" w:rsidRDefault="005B056C" w:rsidP="001C143D">
            <w:pPr>
              <w:pStyle w:val="Normlny0"/>
              <w:jc w:val="center"/>
            </w:pPr>
          </w:p>
          <w:p w:rsidR="005B056C" w:rsidRPr="0031503F" w:rsidRDefault="005B056C" w:rsidP="001C143D">
            <w:pPr>
              <w:pStyle w:val="Normlny0"/>
              <w:jc w:val="center"/>
            </w:pPr>
          </w:p>
          <w:p w:rsidR="005B056C" w:rsidRPr="0031503F" w:rsidRDefault="005B056C" w:rsidP="001C143D">
            <w:pPr>
              <w:pStyle w:val="Normlny0"/>
              <w:jc w:val="center"/>
            </w:pPr>
            <w:r w:rsidRPr="0031503F">
              <w:t>§ 8</w:t>
            </w:r>
          </w:p>
          <w:p w:rsidR="005B056C" w:rsidRPr="0031503F" w:rsidRDefault="005B056C" w:rsidP="001C143D">
            <w:pPr>
              <w:pStyle w:val="Normlny0"/>
              <w:jc w:val="center"/>
            </w:pPr>
            <w:r w:rsidRPr="0031503F">
              <w:t>O:1</w:t>
            </w: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p>
          <w:p w:rsidR="00F7130C" w:rsidRPr="0031503F" w:rsidRDefault="00F7130C" w:rsidP="001C143D">
            <w:pPr>
              <w:pStyle w:val="Normlny0"/>
              <w:jc w:val="center"/>
            </w:pPr>
            <w:r w:rsidRPr="0031503F">
              <w:t>§ 32</w:t>
            </w:r>
          </w:p>
          <w:p w:rsidR="00F7130C" w:rsidRPr="0031503F" w:rsidRDefault="00F7130C" w:rsidP="001C143D">
            <w:pPr>
              <w:pStyle w:val="Normlny0"/>
              <w:jc w:val="center"/>
            </w:pPr>
            <w:r w:rsidRPr="0031503F">
              <w:t>O:1</w:t>
            </w:r>
          </w:p>
          <w:p w:rsidR="00427777" w:rsidRPr="0031503F" w:rsidRDefault="00427777" w:rsidP="001C143D">
            <w:pPr>
              <w:pStyle w:val="Normlny0"/>
              <w:jc w:val="center"/>
            </w:pPr>
          </w:p>
          <w:p w:rsidR="00427777" w:rsidRPr="0031503F" w:rsidRDefault="00427777" w:rsidP="001C143D">
            <w:pPr>
              <w:pStyle w:val="Normlny0"/>
              <w:jc w:val="center"/>
            </w:pPr>
          </w:p>
          <w:p w:rsidR="00427777" w:rsidRPr="0031503F" w:rsidRDefault="00427777" w:rsidP="001C143D">
            <w:pPr>
              <w:pStyle w:val="Normlny0"/>
              <w:jc w:val="center"/>
            </w:pPr>
          </w:p>
          <w:p w:rsidR="00427777" w:rsidRPr="0031503F" w:rsidRDefault="00427777" w:rsidP="001C143D">
            <w:pPr>
              <w:pStyle w:val="Normlny0"/>
              <w:jc w:val="center"/>
            </w:pPr>
          </w:p>
          <w:p w:rsidR="00427777" w:rsidRPr="0031503F" w:rsidRDefault="00427777" w:rsidP="00427777">
            <w:pPr>
              <w:pStyle w:val="Normlny0"/>
            </w:pPr>
          </w:p>
          <w:p w:rsidR="00F7130C" w:rsidRPr="0031503F" w:rsidRDefault="00F7130C" w:rsidP="001C143D">
            <w:pPr>
              <w:pStyle w:val="Normlny0"/>
              <w:jc w:val="center"/>
            </w:pPr>
            <w:r w:rsidRPr="0031503F">
              <w:t>P: b)</w:t>
            </w:r>
          </w:p>
          <w:p w:rsidR="00427777" w:rsidRPr="0031503F" w:rsidRDefault="00427777" w:rsidP="001C143D">
            <w:pPr>
              <w:pStyle w:val="Normlny0"/>
              <w:jc w:val="center"/>
              <w:rPr>
                <w:rFonts w:ascii="Times" w:hAnsi="Times" w:cs="Times"/>
                <w:b/>
                <w:color w:val="FF0000"/>
              </w:rPr>
            </w:pPr>
          </w:p>
          <w:p w:rsidR="00427777" w:rsidRPr="0031503F" w:rsidRDefault="00427777" w:rsidP="001C143D">
            <w:pPr>
              <w:pStyle w:val="Normlny0"/>
              <w:jc w:val="center"/>
              <w:rPr>
                <w:rFonts w:ascii="Times" w:hAnsi="Times" w:cs="Times"/>
                <w:b/>
                <w:color w:val="FF0000"/>
              </w:rPr>
            </w:pPr>
          </w:p>
          <w:p w:rsidR="00427777" w:rsidRPr="0031503F" w:rsidRDefault="00427777" w:rsidP="001C143D">
            <w:pPr>
              <w:pStyle w:val="Normlny0"/>
              <w:jc w:val="center"/>
              <w:rPr>
                <w:rFonts w:ascii="Times" w:hAnsi="Times" w:cs="Times"/>
                <w:b/>
                <w:color w:val="FF0000"/>
              </w:rPr>
            </w:pPr>
          </w:p>
          <w:p w:rsidR="00427777" w:rsidRPr="0031503F" w:rsidRDefault="00427777" w:rsidP="001C143D">
            <w:pPr>
              <w:pStyle w:val="Normlny0"/>
              <w:jc w:val="center"/>
              <w:rPr>
                <w:rFonts w:ascii="Times" w:hAnsi="Times" w:cs="Times"/>
                <w:b/>
                <w:color w:val="FF0000"/>
              </w:rPr>
            </w:pPr>
          </w:p>
          <w:p w:rsidR="00427777" w:rsidRPr="0031503F" w:rsidRDefault="00427777" w:rsidP="001C143D">
            <w:pPr>
              <w:pStyle w:val="Normlny0"/>
              <w:jc w:val="center"/>
              <w:rPr>
                <w:rFonts w:ascii="Times" w:hAnsi="Times" w:cs="Times"/>
                <w:b/>
                <w:color w:val="FF0000"/>
              </w:rPr>
            </w:pPr>
          </w:p>
          <w:p w:rsidR="00F7130C" w:rsidRPr="0031503F" w:rsidRDefault="00F7130C"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b/>
                <w:color w:val="FF0000"/>
                <w:lang w:eastAsia="sk-SK"/>
              </w:rPr>
            </w:pPr>
          </w:p>
          <w:p w:rsidR="00427777" w:rsidRPr="0031503F" w:rsidRDefault="00427777" w:rsidP="001C143D">
            <w:pPr>
              <w:pStyle w:val="Normlny0"/>
              <w:jc w:val="center"/>
              <w:rPr>
                <w:rFonts w:ascii="Times" w:hAnsi="Times" w:cs="Times"/>
                <w:lang w:eastAsia="sk-SK"/>
              </w:rPr>
            </w:pPr>
            <w:r w:rsidRPr="0031503F">
              <w:rPr>
                <w:rFonts w:ascii="Times" w:hAnsi="Times" w:cs="Times"/>
                <w:lang w:eastAsia="sk-SK"/>
              </w:rPr>
              <w:t>P: c)</w:t>
            </w: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1C143D">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r w:rsidRPr="0031503F">
              <w:rPr>
                <w:rFonts w:ascii="Times" w:hAnsi="Times" w:cs="Times"/>
                <w:lang w:eastAsia="sk-SK"/>
              </w:rPr>
              <w:t>§ 40</w:t>
            </w:r>
          </w:p>
          <w:p w:rsidR="00427777" w:rsidRPr="0031503F" w:rsidRDefault="00427777" w:rsidP="00427777">
            <w:pPr>
              <w:pStyle w:val="Normlny0"/>
              <w:jc w:val="center"/>
              <w:rPr>
                <w:rFonts w:ascii="Times" w:hAnsi="Times" w:cs="Times"/>
                <w:lang w:eastAsia="sk-SK"/>
              </w:rPr>
            </w:pPr>
            <w:r w:rsidRPr="0031503F">
              <w:rPr>
                <w:rFonts w:ascii="Times" w:hAnsi="Times" w:cs="Times"/>
                <w:lang w:eastAsia="sk-SK"/>
              </w:rPr>
              <w:t>O:8</w:t>
            </w: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p>
          <w:p w:rsidR="00427777" w:rsidRPr="0031503F" w:rsidRDefault="00427777" w:rsidP="00427777">
            <w:pPr>
              <w:pStyle w:val="Normlny0"/>
              <w:jc w:val="center"/>
              <w:rPr>
                <w:rFonts w:ascii="Times" w:hAnsi="Times" w:cs="Times"/>
                <w:lang w:eastAsia="sk-SK"/>
              </w:rPr>
            </w:pPr>
            <w:r w:rsidRPr="0031503F">
              <w:rPr>
                <w:rFonts w:ascii="Times" w:hAnsi="Times" w:cs="Times"/>
                <w:lang w:eastAsia="sk-SK"/>
              </w:rPr>
              <w:t>P: b)</w:t>
            </w:r>
          </w:p>
          <w:p w:rsidR="00427777" w:rsidRPr="0031503F" w:rsidRDefault="00427777" w:rsidP="00427777">
            <w:pPr>
              <w:pStyle w:val="Normlny0"/>
              <w:jc w:val="center"/>
            </w:pPr>
          </w:p>
        </w:tc>
        <w:tc>
          <w:tcPr>
            <w:tcW w:w="2051" w:type="dxa"/>
            <w:tcBorders>
              <w:top w:val="single" w:sz="4" w:space="0" w:color="auto"/>
              <w:bottom w:val="single" w:sz="4" w:space="0" w:color="auto"/>
            </w:tcBorders>
          </w:tcPr>
          <w:p w:rsidR="00D249C0" w:rsidRPr="0031503F" w:rsidRDefault="00D249C0" w:rsidP="00E9655A">
            <w:pPr>
              <w:shd w:val="clear" w:color="auto" w:fill="FFFFFF"/>
              <w:jc w:val="both"/>
              <w:rPr>
                <w:rFonts w:ascii="Times New Roman" w:eastAsia="Times New Roman" w:hAnsi="Times New Roman" w:cs="Times New Roman"/>
                <w:sz w:val="20"/>
                <w:szCs w:val="20"/>
                <w:lang w:eastAsia="sk-SK"/>
              </w:rPr>
            </w:pPr>
          </w:p>
          <w:p w:rsidR="00B53601" w:rsidRPr="0031503F" w:rsidRDefault="00D249C0" w:rsidP="00E9655A">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Ak kótovaná spoločnosť nesplní informačnú povinnosť podľa § 7, ministerstvo jej určí lehotu na dodatočné splnenie tejto povinnosti, ktorá nemôže byť kratšia ako 15 dní. Ak kótovaná spoločnosť nesplní informačnú povinnosť podľa § 7 ani v lehote určenej podľa prvej vety, ministerstvo uloží kótovanej spoločnosti pokutu do 100 000 eur.</w:t>
            </w:r>
          </w:p>
          <w:p w:rsidR="00D249C0" w:rsidRPr="0031503F" w:rsidRDefault="00D249C0" w:rsidP="00D249C0">
            <w:pPr>
              <w:pStyle w:val="Textkomentra"/>
              <w:jc w:val="both"/>
              <w:rPr>
                <w:rFonts w:ascii="Times New Roman" w:eastAsia="Times New Roman" w:hAnsi="Times New Roman" w:cs="Times New Roman"/>
                <w:lang w:eastAsia="sk-SK"/>
              </w:rPr>
            </w:pPr>
          </w:p>
          <w:p w:rsidR="00D249C0" w:rsidRPr="0031503F" w:rsidRDefault="00D249C0" w:rsidP="00D249C0">
            <w:pPr>
              <w:pStyle w:val="Textkomentra"/>
              <w:jc w:val="both"/>
              <w:rPr>
                <w:rFonts w:ascii="Times New Roman" w:hAnsi="Times New Roman" w:cs="Times New Roman"/>
              </w:rPr>
            </w:pPr>
            <w:r w:rsidRPr="0031503F">
              <w:rPr>
                <w:rFonts w:ascii="Times New Roman" w:hAnsi="Times New Roman" w:cs="Times New Roman"/>
              </w:rPr>
              <w:t>Pri ukladaní pokuty podľa odseku 1 ministerstvo prihliada najmä na závažnosť, mieru zavinenia, čas trvania, následky a okolnosti spáchania správneho deliktu.</w:t>
            </w:r>
          </w:p>
          <w:p w:rsidR="00D249C0" w:rsidRPr="0031503F" w:rsidRDefault="00D249C0" w:rsidP="00D249C0">
            <w:pPr>
              <w:pStyle w:val="Textkomentra"/>
              <w:jc w:val="both"/>
              <w:rPr>
                <w:rFonts w:ascii="Times New Roman" w:hAnsi="Times New Roman" w:cs="Times New Roman"/>
              </w:rPr>
            </w:pPr>
          </w:p>
          <w:p w:rsidR="00D249C0" w:rsidRPr="0031503F" w:rsidRDefault="00D249C0" w:rsidP="00D249C0">
            <w:pPr>
              <w:pStyle w:val="Textkomentra"/>
              <w:jc w:val="both"/>
              <w:rPr>
                <w:rFonts w:ascii="Times New Roman" w:hAnsi="Times New Roman" w:cs="Times New Roman"/>
              </w:rPr>
            </w:pPr>
            <w:r w:rsidRPr="0031503F">
              <w:rPr>
                <w:rFonts w:ascii="Times New Roman" w:hAnsi="Times New Roman" w:cs="Times New Roman"/>
              </w:rPr>
              <w:t xml:space="preserve">Pokutu podľa odseku 1 možno uložiť do jedného roka odo dňa, kedy k porušeniu informačnej povinnosti podľa § 7 došlo. </w:t>
            </w:r>
          </w:p>
          <w:p w:rsidR="00D249C0" w:rsidRPr="0031503F" w:rsidRDefault="00D249C0" w:rsidP="00D249C0">
            <w:pPr>
              <w:shd w:val="clear" w:color="auto" w:fill="FFFFFF"/>
              <w:jc w:val="both"/>
              <w:rPr>
                <w:rFonts w:ascii="Times New Roman" w:hAnsi="Times New Roman" w:cs="Times New Roman"/>
                <w:sz w:val="20"/>
                <w:szCs w:val="20"/>
              </w:rPr>
            </w:pPr>
          </w:p>
          <w:p w:rsidR="007D2F5A" w:rsidRPr="0031503F" w:rsidRDefault="007D2F5A" w:rsidP="00D249C0">
            <w:pPr>
              <w:shd w:val="clear" w:color="auto" w:fill="FFFFFF"/>
              <w:jc w:val="both"/>
              <w:rPr>
                <w:rFonts w:ascii="Times New Roman" w:hAnsi="Times New Roman" w:cs="Times New Roman"/>
                <w:sz w:val="20"/>
                <w:szCs w:val="20"/>
              </w:rPr>
            </w:pPr>
          </w:p>
          <w:p w:rsidR="00D249C0" w:rsidRPr="0031503F" w:rsidRDefault="00D249C0" w:rsidP="00D249C0">
            <w:pPr>
              <w:shd w:val="clear" w:color="auto" w:fill="FFFFFF"/>
              <w:jc w:val="both"/>
              <w:rPr>
                <w:rFonts w:ascii="Times New Roman" w:eastAsia="Times New Roman" w:hAnsi="Times New Roman" w:cs="Times New Roman"/>
                <w:sz w:val="20"/>
                <w:szCs w:val="20"/>
                <w:lang w:eastAsia="sk-SK"/>
              </w:rPr>
            </w:pPr>
            <w:r w:rsidRPr="0031503F">
              <w:rPr>
                <w:rFonts w:ascii="Times New Roman" w:hAnsi="Times New Roman" w:cs="Times New Roman"/>
                <w:sz w:val="20"/>
                <w:szCs w:val="20"/>
              </w:rPr>
              <w:t>Pokuty podľa odseku 1 sú príjmom štátneho rozpočtu.</w:t>
            </w:r>
          </w:p>
          <w:p w:rsidR="00D249C0" w:rsidRPr="0031503F" w:rsidRDefault="00D249C0" w:rsidP="00E9655A">
            <w:pPr>
              <w:shd w:val="clear" w:color="auto" w:fill="FFFFFF"/>
              <w:jc w:val="both"/>
              <w:rPr>
                <w:rFonts w:ascii="Times New Roman" w:eastAsia="Times New Roman" w:hAnsi="Times New Roman" w:cs="Times New Roman"/>
                <w:sz w:val="20"/>
                <w:szCs w:val="20"/>
                <w:lang w:eastAsia="sk-SK"/>
              </w:rPr>
            </w:pPr>
          </w:p>
          <w:p w:rsidR="0074158B" w:rsidRPr="0031503F" w:rsidRDefault="0074158B" w:rsidP="00E9655A">
            <w:pPr>
              <w:shd w:val="clear" w:color="auto" w:fill="FFFFFF"/>
              <w:jc w:val="both"/>
              <w:rPr>
                <w:rFonts w:ascii="Times New Roman" w:eastAsia="Times New Roman" w:hAnsi="Times New Roman" w:cs="Times New Roman"/>
                <w:sz w:val="20"/>
                <w:szCs w:val="20"/>
                <w:lang w:eastAsia="sk-SK"/>
              </w:rPr>
            </w:pPr>
          </w:p>
          <w:p w:rsidR="003B602F" w:rsidRPr="0031503F" w:rsidRDefault="003B602F" w:rsidP="00E9655A">
            <w:pPr>
              <w:shd w:val="clear" w:color="auto" w:fill="FFFFFF"/>
              <w:jc w:val="both"/>
              <w:rPr>
                <w:rFonts w:ascii="Times New Roman" w:eastAsia="Times New Roman" w:hAnsi="Times New Roman" w:cs="Times New Roman"/>
                <w:sz w:val="20"/>
                <w:szCs w:val="20"/>
                <w:lang w:eastAsia="sk-SK"/>
              </w:rPr>
            </w:pPr>
          </w:p>
          <w:p w:rsidR="005B056C" w:rsidRPr="0031503F" w:rsidRDefault="005B056C" w:rsidP="00E9655A">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Ak kótovaná spoločnosť nesplní informačnú povinnosť podľa § 7, ministerstvo jej určí lehotu na dodatočné splnenie tejto povinnosti, ktorá nemôže byť kratšia ako 15 dní. Ak kótovaná spoločnosť nesplní informačnú povinnosť podľa § 7 ani v lehote určenej podľa prvej vety, ministerstvo uloží kótovanej spoločnosti pokutu do 100 000 eur.</w:t>
            </w: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Verejného obstarávania sa môže zúčastniť len ten, kto spĺňa tieto podmienky účasti týkajúce sa osobného postavenia:</w:t>
            </w: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nemá evidované nedoplatky na poistnom na sociálne poistenie a zdravotná poisťovňa neeviduje voči nemu pohľadávky po splatnosti podľa osobitných predpisov</w:t>
            </w:r>
            <w:hyperlink r:id="rId8" w:anchor="poznamky.poznamka-46b" w:tooltip="Odkaz na predpis alebo ustanovenie" w:history="1">
              <w:r w:rsidRPr="0031503F">
                <w:rPr>
                  <w:rFonts w:ascii="Times New Roman" w:eastAsia="Times New Roman" w:hAnsi="Times New Roman" w:cs="Times New Roman"/>
                  <w:i/>
                  <w:iCs/>
                  <w:sz w:val="20"/>
                  <w:szCs w:val="20"/>
                  <w:vertAlign w:val="superscript"/>
                  <w:lang w:eastAsia="sk-SK"/>
                </w:rPr>
                <w:t>46b</w:t>
              </w:r>
              <w:r w:rsidRPr="0031503F">
                <w:rPr>
                  <w:rFonts w:ascii="Times New Roman" w:eastAsia="Times New Roman" w:hAnsi="Times New Roman" w:cs="Times New Roman"/>
                  <w:i/>
                  <w:iCs/>
                  <w:sz w:val="20"/>
                  <w:szCs w:val="20"/>
                  <w:lang w:eastAsia="sk-SK"/>
                </w:rPr>
                <w:t>)</w:t>
              </w:r>
            </w:hyperlink>
            <w:r w:rsidRPr="0031503F">
              <w:rPr>
                <w:rFonts w:ascii="Times New Roman" w:eastAsia="Times New Roman" w:hAnsi="Times New Roman" w:cs="Times New Roman"/>
                <w:sz w:val="20"/>
                <w:szCs w:val="20"/>
                <w:lang w:eastAsia="sk-SK"/>
              </w:rPr>
              <w:t> v Slovenskej republike a v štáte sídla, miesta podnikania alebo obvyklého pobytu,</w:t>
            </w: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nemá evidované daňové nedoplatky voči daňovému úradu a colnému úradu podľa osobitných predpisov</w:t>
            </w:r>
            <w:hyperlink r:id="rId9" w:anchor="poznamky.poznamka-46c" w:tooltip="Odkaz na predpis alebo ustanovenie" w:history="1">
              <w:r w:rsidRPr="0031503F">
                <w:rPr>
                  <w:rFonts w:ascii="Times New Roman" w:eastAsia="Times New Roman" w:hAnsi="Times New Roman" w:cs="Times New Roman"/>
                  <w:i/>
                  <w:iCs/>
                  <w:sz w:val="20"/>
                  <w:szCs w:val="20"/>
                  <w:vertAlign w:val="superscript"/>
                  <w:lang w:eastAsia="sk-SK"/>
                </w:rPr>
                <w:t>46c</w:t>
              </w:r>
              <w:r w:rsidRPr="0031503F">
                <w:rPr>
                  <w:rFonts w:ascii="Times New Roman" w:eastAsia="Times New Roman" w:hAnsi="Times New Roman" w:cs="Times New Roman"/>
                  <w:i/>
                  <w:iCs/>
                  <w:sz w:val="20"/>
                  <w:szCs w:val="20"/>
                  <w:lang w:eastAsia="sk-SK"/>
                </w:rPr>
                <w:t>)</w:t>
              </w:r>
            </w:hyperlink>
            <w:r w:rsidRPr="0031503F">
              <w:rPr>
                <w:rFonts w:ascii="Times New Roman" w:eastAsia="Times New Roman" w:hAnsi="Times New Roman" w:cs="Times New Roman"/>
                <w:sz w:val="20"/>
                <w:szCs w:val="20"/>
                <w:lang w:eastAsia="sk-SK"/>
              </w:rPr>
              <w:t> v Slovenskej republike a v štáte sídla, miesta podnikania alebo obvyklého pobytu,</w:t>
            </w: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Verejný obstarávateľ a obstarávateľ môžu vylúčiť kedykoľvek počas verejného obstarávania uchádzača alebo záujemcu, ak</w:t>
            </w: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427777">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10" w:anchor="poznamky.poznamka-47" w:tooltip="Odkaz na predpis alebo ustanovenie" w:history="1">
              <w:r w:rsidRPr="0031503F">
                <w:rPr>
                  <w:rFonts w:ascii="Times New Roman" w:eastAsia="Times New Roman" w:hAnsi="Times New Roman" w:cs="Times New Roman"/>
                  <w:i/>
                  <w:iCs/>
                  <w:sz w:val="20"/>
                  <w:szCs w:val="20"/>
                  <w:vertAlign w:val="superscript"/>
                  <w:lang w:eastAsia="sk-SK"/>
                </w:rPr>
                <w:t>47</w:t>
              </w:r>
              <w:r w:rsidRPr="0031503F">
                <w:rPr>
                  <w:rFonts w:ascii="Times New Roman" w:eastAsia="Times New Roman" w:hAnsi="Times New Roman" w:cs="Times New Roman"/>
                  <w:i/>
                  <w:iCs/>
                  <w:sz w:val="20"/>
                  <w:szCs w:val="20"/>
                  <w:lang w:eastAsia="sk-SK"/>
                </w:rPr>
                <w:t>)</w:t>
              </w:r>
            </w:hyperlink>
            <w:r w:rsidRPr="0031503F">
              <w:rPr>
                <w:rFonts w:ascii="Times New Roman" w:eastAsia="Times New Roman" w:hAnsi="Times New Roman" w:cs="Times New Roman"/>
                <w:sz w:val="20"/>
                <w:szCs w:val="20"/>
                <w:lang w:eastAsia="sk-SK"/>
              </w:rPr>
              <w:t> za ktoré mu bola právoplatne uložená sankcia, ktoré dokáže verejný obstarávateľ a obstarávateľ preukázať,</w:t>
            </w: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p w:rsidR="00427777" w:rsidRPr="0031503F" w:rsidRDefault="00427777" w:rsidP="00E9655A">
            <w:pPr>
              <w:shd w:val="clear" w:color="auto" w:fill="FFFFFF"/>
              <w:jc w:val="both"/>
              <w:rPr>
                <w:rFonts w:ascii="Times New Roman" w:eastAsia="Times New Roman" w:hAnsi="Times New Roman" w:cs="Times New Roman"/>
                <w:sz w:val="20"/>
                <w:szCs w:val="20"/>
                <w:lang w:eastAsia="sk-SK"/>
              </w:rPr>
            </w:pPr>
          </w:p>
        </w:tc>
        <w:tc>
          <w:tcPr>
            <w:tcW w:w="727" w:type="dxa"/>
            <w:tcBorders>
              <w:top w:val="single" w:sz="4" w:space="0" w:color="auto"/>
              <w:bottom w:val="single" w:sz="4" w:space="0" w:color="auto"/>
            </w:tcBorders>
          </w:tcPr>
          <w:p w:rsidR="00B53601" w:rsidRPr="0031503F" w:rsidRDefault="005E0A0E"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p>
          <w:p w:rsidR="00940E23" w:rsidRPr="0031503F" w:rsidRDefault="00940E23" w:rsidP="00CB3223">
            <w:pPr>
              <w:jc w:val="center"/>
              <w:rPr>
                <w:rFonts w:ascii="Times New Roman" w:hAnsi="Times New Roman" w:cs="Times New Roman"/>
                <w:sz w:val="20"/>
                <w:szCs w:val="20"/>
              </w:rPr>
            </w:pPr>
            <w:r w:rsidRPr="0031503F">
              <w:rPr>
                <w:rFonts w:ascii="Times New Roman" w:hAnsi="Times New Roman" w:cs="Times New Roman"/>
                <w:sz w:val="20"/>
                <w:szCs w:val="20"/>
              </w:rPr>
              <w:t>Ú</w:t>
            </w:r>
          </w:p>
          <w:p w:rsidR="00940E23" w:rsidRPr="0031503F" w:rsidRDefault="00940E23"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p w:rsidR="00427777" w:rsidRPr="0031503F" w:rsidRDefault="00427777"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B53601" w:rsidRPr="0031503F" w:rsidRDefault="00B53601"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B53601" w:rsidRPr="0031503F" w:rsidRDefault="005E0A0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3B602F" w:rsidRPr="0031503F" w:rsidRDefault="003B602F"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3B602F">
            <w:pP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940E23" w:rsidRPr="0031503F" w:rsidRDefault="00940E23"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427777" w:rsidRPr="0031503F" w:rsidRDefault="00427777"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B53601" w:rsidRPr="0031503F" w:rsidRDefault="00B53601"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E66E5C" w:rsidRPr="0031503F" w:rsidRDefault="0037785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9 </w:t>
            </w:r>
          </w:p>
        </w:tc>
        <w:tc>
          <w:tcPr>
            <w:tcW w:w="2837" w:type="dxa"/>
            <w:tcBorders>
              <w:top w:val="single" w:sz="4" w:space="0" w:color="auto"/>
              <w:bottom w:val="single" w:sz="4" w:space="0" w:color="auto"/>
            </w:tcBorders>
          </w:tcPr>
          <w:p w:rsidR="00E66E5C" w:rsidRPr="0031503F" w:rsidRDefault="00377859" w:rsidP="00CB3223">
            <w:pPr>
              <w:shd w:val="clear" w:color="auto" w:fill="FFFFFF"/>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 xml:space="preserve">Minimálne požiadavky </w:t>
            </w:r>
          </w:p>
        </w:tc>
        <w:tc>
          <w:tcPr>
            <w:tcW w:w="828"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E66E5C" w:rsidRPr="0031503F" w:rsidRDefault="00E66E5C" w:rsidP="00CB3223">
            <w:pP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E66E5C" w:rsidRPr="0031503F" w:rsidRDefault="00E66E5C" w:rsidP="00CB3223">
            <w:pPr>
              <w:pStyle w:val="Normlny0"/>
              <w:jc w:val="center"/>
            </w:pPr>
          </w:p>
        </w:tc>
        <w:tc>
          <w:tcPr>
            <w:tcW w:w="2051" w:type="dxa"/>
            <w:tcBorders>
              <w:top w:val="single" w:sz="4" w:space="0" w:color="auto"/>
              <w:bottom w:val="single" w:sz="4" w:space="0" w:color="auto"/>
            </w:tcBorders>
          </w:tcPr>
          <w:p w:rsidR="00E66E5C" w:rsidRPr="0031503F" w:rsidRDefault="00E66E5C"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E66E5C" w:rsidRPr="0031503F" w:rsidRDefault="00E66E5C"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E66E5C" w:rsidRPr="0031503F" w:rsidRDefault="00E66E5C"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377859" w:rsidRPr="0031503F" w:rsidRDefault="0037785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Č:9</w:t>
            </w:r>
          </w:p>
        </w:tc>
        <w:tc>
          <w:tcPr>
            <w:tcW w:w="2837" w:type="dxa"/>
            <w:tcBorders>
              <w:top w:val="single" w:sz="4" w:space="0" w:color="auto"/>
              <w:bottom w:val="single" w:sz="4" w:space="0" w:color="auto"/>
            </w:tcBorders>
          </w:tcPr>
          <w:p w:rsidR="00377859" w:rsidRPr="0031503F" w:rsidRDefault="00377859"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môžu zaviesť alebo zachovať ustanovenia, ktoré ešte viac než ustanovenia tejto smernice podporujú zabezpečenie vyváženejšieho zastúpenia žien a mužov v kótovaných spoločnostiach zaregistrovaných na ich území.</w:t>
            </w:r>
          </w:p>
        </w:tc>
        <w:tc>
          <w:tcPr>
            <w:tcW w:w="828" w:type="dxa"/>
            <w:tcBorders>
              <w:top w:val="single" w:sz="4" w:space="0" w:color="auto"/>
              <w:bottom w:val="single" w:sz="4" w:space="0" w:color="auto"/>
            </w:tcBorders>
          </w:tcPr>
          <w:p w:rsidR="00377859" w:rsidRPr="0031503F" w:rsidRDefault="00C969C6" w:rsidP="007B580A">
            <w:pPr>
              <w:jc w:val="center"/>
              <w:rPr>
                <w:rFonts w:ascii="Times New Roman" w:hAnsi="Times New Roman" w:cs="Times New Roman"/>
                <w:sz w:val="20"/>
                <w:szCs w:val="20"/>
              </w:rPr>
            </w:pPr>
            <w:r w:rsidRPr="0031503F">
              <w:rPr>
                <w:rFonts w:ascii="Times New Roman" w:hAnsi="Times New Roman" w:cs="Times New Roman"/>
                <w:sz w:val="20"/>
                <w:szCs w:val="20"/>
              </w:rPr>
              <w:t>D</w:t>
            </w:r>
          </w:p>
        </w:tc>
        <w:tc>
          <w:tcPr>
            <w:tcW w:w="1015" w:type="dxa"/>
            <w:tcBorders>
              <w:top w:val="single" w:sz="4" w:space="0" w:color="auto"/>
              <w:bottom w:val="single" w:sz="4" w:space="0" w:color="auto"/>
            </w:tcBorders>
          </w:tcPr>
          <w:p w:rsidR="00377859" w:rsidRPr="0031503F" w:rsidRDefault="00377859"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377859" w:rsidRPr="0031503F" w:rsidRDefault="00377859" w:rsidP="00CB3223">
            <w:pPr>
              <w:pStyle w:val="Normlny0"/>
              <w:jc w:val="center"/>
            </w:pPr>
          </w:p>
        </w:tc>
        <w:tc>
          <w:tcPr>
            <w:tcW w:w="2051" w:type="dxa"/>
            <w:tcBorders>
              <w:top w:val="single" w:sz="4" w:space="0" w:color="auto"/>
              <w:bottom w:val="single" w:sz="4" w:space="0" w:color="auto"/>
            </w:tcBorders>
          </w:tcPr>
          <w:p w:rsidR="00377859" w:rsidRPr="0031503F" w:rsidRDefault="00377859" w:rsidP="00CB3223">
            <w:pPr>
              <w:pStyle w:val="Standard"/>
              <w:shd w:val="clear" w:color="auto" w:fill="FFFFFF" w:themeFill="background1"/>
              <w:spacing w:line="240" w:lineRule="auto"/>
              <w:jc w:val="both"/>
              <w:rPr>
                <w:rFonts w:ascii="Times New Roman" w:hAnsi="Times New Roman" w:cs="Times New Roman"/>
                <w:color w:val="FF0000"/>
                <w:sz w:val="20"/>
                <w:szCs w:val="20"/>
              </w:rPr>
            </w:pPr>
          </w:p>
        </w:tc>
        <w:tc>
          <w:tcPr>
            <w:tcW w:w="727" w:type="dxa"/>
            <w:tcBorders>
              <w:top w:val="single" w:sz="4" w:space="0" w:color="auto"/>
              <w:bottom w:val="single" w:sz="4" w:space="0" w:color="auto"/>
            </w:tcBorders>
          </w:tcPr>
          <w:p w:rsidR="00377859" w:rsidRPr="0031503F" w:rsidRDefault="005E0A0E"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tc>
        <w:tc>
          <w:tcPr>
            <w:tcW w:w="1191" w:type="dxa"/>
            <w:tcBorders>
              <w:top w:val="single" w:sz="4" w:space="0" w:color="auto"/>
              <w:bottom w:val="single" w:sz="4" w:space="0" w:color="auto"/>
            </w:tcBorders>
          </w:tcPr>
          <w:p w:rsidR="00377859" w:rsidRPr="0031503F" w:rsidRDefault="00377859"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377859" w:rsidRPr="0031503F" w:rsidRDefault="00377859"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377859" w:rsidRPr="0031503F" w:rsidRDefault="00377859" w:rsidP="00CB3223">
            <w:pPr>
              <w:jc w:val="center"/>
              <w:rPr>
                <w:rFonts w:ascii="Times New Roman" w:hAnsi="Times New Roman" w:cs="Times New Roman"/>
                <w:sz w:val="20"/>
                <w:szCs w:val="20"/>
              </w:rPr>
            </w:pPr>
          </w:p>
        </w:tc>
      </w:tr>
      <w:tr w:rsidR="000706E5" w:rsidRPr="0031503F" w:rsidTr="005E0A0E">
        <w:trPr>
          <w:trHeight w:val="791"/>
        </w:trPr>
        <w:tc>
          <w:tcPr>
            <w:tcW w:w="878" w:type="dxa"/>
            <w:tcBorders>
              <w:top w:val="single" w:sz="4" w:space="0" w:color="auto"/>
              <w:bottom w:val="single" w:sz="4" w:space="0" w:color="auto"/>
            </w:tcBorders>
          </w:tcPr>
          <w:p w:rsidR="00377859" w:rsidRPr="0031503F" w:rsidRDefault="00BE1B97"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Č:10</w:t>
            </w:r>
          </w:p>
        </w:tc>
        <w:tc>
          <w:tcPr>
            <w:tcW w:w="2837" w:type="dxa"/>
            <w:tcBorders>
              <w:top w:val="single" w:sz="4" w:space="0" w:color="auto"/>
              <w:bottom w:val="single" w:sz="4" w:space="0" w:color="auto"/>
            </w:tcBorders>
          </w:tcPr>
          <w:p w:rsidR="00377859" w:rsidRPr="0031503F" w:rsidRDefault="00BE1B97" w:rsidP="00CB3223">
            <w:pPr>
              <w:shd w:val="clear" w:color="auto" w:fill="FFFFFF"/>
              <w:jc w:val="both"/>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Subjekty na podporu rodovej vyváženosti v kótovaných spoločnostiach</w:t>
            </w:r>
          </w:p>
        </w:tc>
        <w:tc>
          <w:tcPr>
            <w:tcW w:w="828" w:type="dxa"/>
            <w:tcBorders>
              <w:top w:val="single" w:sz="4" w:space="0" w:color="auto"/>
              <w:bottom w:val="single" w:sz="4" w:space="0" w:color="auto"/>
            </w:tcBorders>
          </w:tcPr>
          <w:p w:rsidR="00377859" w:rsidRPr="0031503F" w:rsidRDefault="00377859"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377859" w:rsidRPr="0031503F" w:rsidRDefault="00377859"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377859" w:rsidRPr="0031503F" w:rsidRDefault="00377859" w:rsidP="00CB3223">
            <w:pPr>
              <w:pStyle w:val="Normlny0"/>
              <w:jc w:val="center"/>
            </w:pPr>
          </w:p>
        </w:tc>
        <w:tc>
          <w:tcPr>
            <w:tcW w:w="2051" w:type="dxa"/>
            <w:tcBorders>
              <w:top w:val="single" w:sz="4" w:space="0" w:color="auto"/>
              <w:bottom w:val="single" w:sz="4" w:space="0" w:color="auto"/>
            </w:tcBorders>
          </w:tcPr>
          <w:p w:rsidR="00377859" w:rsidRPr="0031503F" w:rsidRDefault="00377859"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377859" w:rsidRPr="0031503F" w:rsidRDefault="00377859"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377859" w:rsidRPr="0031503F" w:rsidRDefault="00377859"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377859" w:rsidRPr="0031503F" w:rsidRDefault="00377859"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377859" w:rsidRPr="0031503F" w:rsidRDefault="00377859"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BE1B97" w:rsidRPr="0031503F" w:rsidRDefault="00BE1B97"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Č:10</w:t>
            </w:r>
          </w:p>
        </w:tc>
        <w:tc>
          <w:tcPr>
            <w:tcW w:w="2837" w:type="dxa"/>
            <w:tcBorders>
              <w:top w:val="single" w:sz="4" w:space="0" w:color="auto"/>
              <w:bottom w:val="single" w:sz="4" w:space="0" w:color="auto"/>
            </w:tcBorders>
          </w:tcPr>
          <w:p w:rsidR="00BE1B97" w:rsidRPr="0031503F" w:rsidRDefault="00BE1B97" w:rsidP="00CB3223">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eastAsia="Times New Roman" w:hAnsi="Times New Roman" w:cs="Times New Roman"/>
                <w:sz w:val="20"/>
                <w:szCs w:val="20"/>
                <w:lang w:eastAsia="sk-SK"/>
              </w:rPr>
              <w:t>Členské štáty určia jeden alebo viacero subjektov na účely propagácie, analýzy, monitorovania a podpory rodovej vyváženosti vo vrcholových orgánoch. Na tento účel môžu členské štáty určiť napríklad subjekty v oblasti rovnosti, ktoré určili podľa článku 20 smernice Európskeho parlamentu a Rady 2006/54/ES</w:t>
            </w:r>
          </w:p>
        </w:tc>
        <w:tc>
          <w:tcPr>
            <w:tcW w:w="828" w:type="dxa"/>
            <w:tcBorders>
              <w:top w:val="single" w:sz="4" w:space="0" w:color="auto"/>
              <w:bottom w:val="single" w:sz="4" w:space="0" w:color="auto"/>
            </w:tcBorders>
          </w:tcPr>
          <w:p w:rsidR="00BE1B97" w:rsidRPr="0031503F" w:rsidRDefault="005E0A0E"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5E0A0E" w:rsidRPr="0031503F" w:rsidRDefault="005E0A0E" w:rsidP="005E0A0E">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575/2001 Z. z.</w:t>
            </w:r>
          </w:p>
          <w:p w:rsidR="00BE1B97" w:rsidRDefault="00BE1B97"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Pr="0031503F" w:rsidRDefault="004C7220" w:rsidP="004C7220">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575/2001 Z. z.</w:t>
            </w:r>
          </w:p>
          <w:p w:rsidR="004C7220" w:rsidRDefault="004C7220" w:rsidP="007B580A">
            <w:pPr>
              <w:jc w:val="center"/>
              <w:rPr>
                <w:rFonts w:ascii="Times New Roman" w:hAnsi="Times New Roman" w:cs="Times New Roman"/>
                <w:sz w:val="20"/>
                <w:szCs w:val="20"/>
                <w:shd w:val="clear" w:color="auto" w:fill="FFFFFF"/>
              </w:rPr>
            </w:pPr>
          </w:p>
          <w:p w:rsidR="004C7220" w:rsidRDefault="004C7220" w:rsidP="007B580A">
            <w:pPr>
              <w:jc w:val="center"/>
              <w:rPr>
                <w:rFonts w:ascii="Times New Roman" w:hAnsi="Times New Roman" w:cs="Times New Roman"/>
                <w:sz w:val="20"/>
                <w:szCs w:val="20"/>
                <w:shd w:val="clear" w:color="auto" w:fill="FFFFFF"/>
              </w:rPr>
            </w:pPr>
          </w:p>
          <w:p w:rsidR="004C7220" w:rsidRPr="0031503F" w:rsidRDefault="004C7220"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4C7220" w:rsidRDefault="004C7220" w:rsidP="004C7220">
            <w:pPr>
              <w:pStyle w:val="Normlny0"/>
              <w:jc w:val="center"/>
            </w:pPr>
            <w:r>
              <w:t>§ 15</w:t>
            </w:r>
          </w:p>
          <w:p w:rsidR="004C7220" w:rsidRDefault="004C7220" w:rsidP="004C7220">
            <w:pPr>
              <w:pStyle w:val="Normlny0"/>
              <w:jc w:val="center"/>
            </w:pPr>
            <w:r>
              <w:t>O:1</w:t>
            </w:r>
          </w:p>
          <w:p w:rsidR="004C7220" w:rsidRDefault="004C7220" w:rsidP="004C7220">
            <w:pPr>
              <w:pStyle w:val="Normlny0"/>
              <w:jc w:val="center"/>
            </w:pPr>
            <w:r>
              <w:t>P:h)</w:t>
            </w: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5E0A0E">
            <w:pPr>
              <w:pStyle w:val="Normlny0"/>
              <w:jc w:val="center"/>
            </w:pPr>
          </w:p>
          <w:p w:rsidR="004C7220" w:rsidRDefault="004C7220" w:rsidP="009521A7">
            <w:pPr>
              <w:pStyle w:val="Normlny0"/>
            </w:pPr>
          </w:p>
          <w:p w:rsidR="004C7220" w:rsidRDefault="004C7220" w:rsidP="005E0A0E">
            <w:pPr>
              <w:pStyle w:val="Normlny0"/>
              <w:jc w:val="center"/>
            </w:pPr>
          </w:p>
          <w:p w:rsidR="005E0A0E" w:rsidRPr="0031503F" w:rsidRDefault="005E0A0E" w:rsidP="005E0A0E">
            <w:pPr>
              <w:pStyle w:val="Normlny0"/>
              <w:jc w:val="center"/>
            </w:pPr>
            <w:r w:rsidRPr="0031503F">
              <w:t>§ 35</w:t>
            </w:r>
          </w:p>
          <w:p w:rsidR="005E0A0E" w:rsidRPr="0031503F" w:rsidRDefault="005E0A0E" w:rsidP="005E0A0E">
            <w:pPr>
              <w:pStyle w:val="Normlny0"/>
              <w:jc w:val="center"/>
            </w:pPr>
            <w:r w:rsidRPr="0031503F">
              <w:t>O:7</w:t>
            </w:r>
          </w:p>
          <w:p w:rsidR="005E0A0E" w:rsidRPr="0031503F" w:rsidRDefault="005E0A0E" w:rsidP="005E0A0E">
            <w:pPr>
              <w:pStyle w:val="Normlny0"/>
              <w:jc w:val="center"/>
            </w:pPr>
          </w:p>
          <w:p w:rsidR="00BE1B97" w:rsidRDefault="00BE1B97"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Default="004C7220" w:rsidP="00CB3223">
            <w:pPr>
              <w:pStyle w:val="Normlny0"/>
              <w:jc w:val="center"/>
            </w:pPr>
          </w:p>
          <w:p w:rsidR="004C7220" w:rsidRPr="0031503F" w:rsidRDefault="004C7220" w:rsidP="00CB3223">
            <w:pPr>
              <w:pStyle w:val="Normlny0"/>
              <w:jc w:val="center"/>
            </w:pPr>
          </w:p>
        </w:tc>
        <w:tc>
          <w:tcPr>
            <w:tcW w:w="2051" w:type="dxa"/>
            <w:tcBorders>
              <w:top w:val="single" w:sz="4" w:space="0" w:color="auto"/>
              <w:bottom w:val="single" w:sz="4" w:space="0" w:color="auto"/>
            </w:tcBorders>
          </w:tcPr>
          <w:p w:rsidR="004C7220" w:rsidRDefault="004C7220" w:rsidP="004C7220">
            <w:pPr>
              <w:pStyle w:val="Standard"/>
              <w:shd w:val="clear" w:color="auto" w:fill="FFFFFF"/>
              <w:spacing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Ministerstvo práce, sociálnych vecí a rodiny Slovenskej republiky je ústredným orgánom štátnej správy pre rodovú rovnosť a rovnosť príležitostí a koordináciu štátnej politiky v danej oblasti.</w:t>
            </w:r>
          </w:p>
          <w:p w:rsidR="004C7220" w:rsidRDefault="004C7220"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4C7220" w:rsidRDefault="004C7220"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4C7220" w:rsidRDefault="004C7220"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4C7220" w:rsidRDefault="004C7220"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4C7220" w:rsidRDefault="004C7220"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5E0A0E" w:rsidRPr="0031503F" w:rsidRDefault="005E0A0E" w:rsidP="005E0A0E">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p w:rsidR="00BE1B97" w:rsidRPr="0031503F" w:rsidRDefault="00BE1B97" w:rsidP="00CB3223">
            <w:pPr>
              <w:pStyle w:val="Standard"/>
              <w:shd w:val="clear" w:color="auto" w:fill="FFFFFF" w:themeFill="background1"/>
              <w:spacing w:line="240" w:lineRule="auto"/>
              <w:jc w:val="both"/>
              <w:rPr>
                <w:rFonts w:ascii="Times New Roman" w:hAnsi="Times New Roman" w:cs="Times New Roman"/>
                <w:b/>
                <w:sz w:val="20"/>
                <w:szCs w:val="20"/>
              </w:rPr>
            </w:pPr>
          </w:p>
        </w:tc>
        <w:tc>
          <w:tcPr>
            <w:tcW w:w="727" w:type="dxa"/>
            <w:tcBorders>
              <w:top w:val="single" w:sz="4" w:space="0" w:color="auto"/>
              <w:bottom w:val="single" w:sz="4" w:space="0" w:color="auto"/>
            </w:tcBorders>
          </w:tcPr>
          <w:p w:rsidR="004C7220" w:rsidRDefault="004C7220" w:rsidP="00CB3223">
            <w:pPr>
              <w:jc w:val="center"/>
              <w:rPr>
                <w:rFonts w:ascii="Times New Roman" w:hAnsi="Times New Roman" w:cs="Times New Roman"/>
                <w:sz w:val="20"/>
                <w:szCs w:val="20"/>
              </w:rPr>
            </w:pPr>
            <w:r>
              <w:rPr>
                <w:rFonts w:ascii="Times New Roman" w:hAnsi="Times New Roman" w:cs="Times New Roman"/>
                <w:sz w:val="20"/>
                <w:szCs w:val="20"/>
              </w:rPr>
              <w:t>Ú</w:t>
            </w: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4C7220" w:rsidRDefault="004C7220" w:rsidP="00CB3223">
            <w:pPr>
              <w:jc w:val="center"/>
              <w:rPr>
                <w:rFonts w:ascii="Times New Roman" w:hAnsi="Times New Roman" w:cs="Times New Roman"/>
                <w:sz w:val="20"/>
                <w:szCs w:val="20"/>
              </w:rPr>
            </w:pPr>
          </w:p>
          <w:p w:rsidR="00BE1B97" w:rsidRPr="0031503F" w:rsidRDefault="005E0A0E" w:rsidP="004C7220">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BE1B97" w:rsidRPr="0031503F" w:rsidRDefault="00BE1B97"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4C7220" w:rsidRDefault="004C7220" w:rsidP="004C7220">
            <w:pPr>
              <w:jc w:val="center"/>
              <w:rPr>
                <w:rFonts w:ascii="Times New Roman" w:hAnsi="Times New Roman" w:cs="Times New Roman"/>
                <w:b/>
                <w:sz w:val="20"/>
                <w:szCs w:val="20"/>
              </w:rPr>
            </w:pPr>
            <w:r>
              <w:rPr>
                <w:rFonts w:ascii="Times New Roman" w:hAnsi="Times New Roman" w:cs="Times New Roman"/>
                <w:b/>
                <w:sz w:val="20"/>
                <w:szCs w:val="20"/>
              </w:rPr>
              <w:t>GP-N</w:t>
            </w: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4C7220" w:rsidRDefault="004C7220" w:rsidP="00CB3223">
            <w:pPr>
              <w:jc w:val="center"/>
              <w:rPr>
                <w:rFonts w:ascii="Times New Roman" w:hAnsi="Times New Roman" w:cs="Times New Roman"/>
                <w:b/>
                <w:sz w:val="20"/>
                <w:szCs w:val="20"/>
              </w:rPr>
            </w:pPr>
          </w:p>
          <w:p w:rsidR="00BE1B97" w:rsidRPr="0031503F" w:rsidRDefault="007D1252"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BE1B97" w:rsidRPr="0031503F" w:rsidRDefault="00BE1B97"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Č:11</w:t>
            </w:r>
          </w:p>
        </w:tc>
        <w:tc>
          <w:tcPr>
            <w:tcW w:w="2837" w:type="dxa"/>
            <w:tcBorders>
              <w:top w:val="single" w:sz="4" w:space="0" w:color="auto"/>
              <w:bottom w:val="single" w:sz="4" w:space="0" w:color="auto"/>
            </w:tcBorders>
          </w:tcPr>
          <w:p w:rsidR="005D39DF" w:rsidRPr="0031503F" w:rsidRDefault="005D39DF" w:rsidP="00CB3223">
            <w:pPr>
              <w:pStyle w:val="Standard"/>
              <w:shd w:val="clear" w:color="auto" w:fill="FFFFFF" w:themeFill="background1"/>
              <w:spacing w:line="240" w:lineRule="auto"/>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 xml:space="preserve">Transpozícia </w:t>
            </w:r>
          </w:p>
        </w:tc>
        <w:tc>
          <w:tcPr>
            <w:tcW w:w="828" w:type="dxa"/>
            <w:tcBorders>
              <w:top w:val="single" w:sz="4" w:space="0" w:color="auto"/>
              <w:bottom w:val="single" w:sz="4" w:space="0" w:color="auto"/>
            </w:tcBorders>
          </w:tcPr>
          <w:p w:rsidR="005D39DF" w:rsidRPr="0031503F" w:rsidRDefault="005D39DF"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5D39DF" w:rsidRPr="0031503F" w:rsidRDefault="005D39DF"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5D39DF" w:rsidRPr="0031503F" w:rsidRDefault="005D39DF" w:rsidP="00CB3223">
            <w:pPr>
              <w:pStyle w:val="Normlny0"/>
              <w:jc w:val="center"/>
            </w:pPr>
          </w:p>
        </w:tc>
        <w:tc>
          <w:tcPr>
            <w:tcW w:w="2051" w:type="dxa"/>
            <w:tcBorders>
              <w:top w:val="single" w:sz="4" w:space="0" w:color="auto"/>
              <w:bottom w:val="single" w:sz="4" w:space="0" w:color="auto"/>
            </w:tcBorders>
          </w:tcPr>
          <w:p w:rsidR="005D39DF" w:rsidRPr="0031503F" w:rsidRDefault="005D39DF"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r>
      <w:tr w:rsidR="000706E5" w:rsidRPr="0031503F" w:rsidTr="007219FA">
        <w:trPr>
          <w:trHeight w:val="1408"/>
        </w:trPr>
        <w:tc>
          <w:tcPr>
            <w:tcW w:w="878"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Č:11</w:t>
            </w:r>
          </w:p>
          <w:p w:rsidR="005D39DF" w:rsidRPr="0031503F" w:rsidRDefault="005D39D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O:1 </w:t>
            </w: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6B32BC" w:rsidRPr="0031503F" w:rsidRDefault="006B32BC" w:rsidP="00CB3223">
            <w:pPr>
              <w:jc w:val="both"/>
              <w:rPr>
                <w:rFonts w:ascii="Times New Roman" w:hAnsi="Times New Roman" w:cs="Times New Roman"/>
                <w:b/>
                <w:bCs/>
                <w:sz w:val="20"/>
                <w:szCs w:val="20"/>
              </w:rPr>
            </w:pPr>
          </w:p>
          <w:p w:rsidR="006B32BC" w:rsidRPr="0031503F" w:rsidRDefault="006B32BC" w:rsidP="00CB3223">
            <w:pPr>
              <w:jc w:val="both"/>
              <w:rPr>
                <w:rFonts w:ascii="Times New Roman" w:hAnsi="Times New Roman" w:cs="Times New Roman"/>
                <w:b/>
                <w:bCs/>
                <w:sz w:val="20"/>
                <w:szCs w:val="20"/>
              </w:rPr>
            </w:pPr>
          </w:p>
          <w:p w:rsidR="003638FB" w:rsidRPr="0031503F" w:rsidRDefault="003638FB" w:rsidP="00CB3223">
            <w:pPr>
              <w:jc w:val="both"/>
              <w:rPr>
                <w:rFonts w:ascii="Times New Roman" w:hAnsi="Times New Roman" w:cs="Times New Roman"/>
                <w:b/>
                <w:bCs/>
                <w:sz w:val="20"/>
                <w:szCs w:val="20"/>
              </w:rPr>
            </w:pPr>
          </w:p>
          <w:p w:rsidR="003638FB" w:rsidRPr="0031503F" w:rsidRDefault="003638FB" w:rsidP="00CB3223">
            <w:pPr>
              <w:jc w:val="both"/>
              <w:rPr>
                <w:rFonts w:ascii="Times New Roman" w:hAnsi="Times New Roman" w:cs="Times New Roman"/>
                <w:b/>
                <w:bCs/>
                <w:sz w:val="20"/>
                <w:szCs w:val="20"/>
              </w:rPr>
            </w:pPr>
          </w:p>
          <w:p w:rsidR="009C28EE" w:rsidRPr="0031503F" w:rsidRDefault="009C28EE" w:rsidP="00CB3223">
            <w:pPr>
              <w:jc w:val="both"/>
              <w:rPr>
                <w:rFonts w:ascii="Times New Roman" w:hAnsi="Times New Roman" w:cs="Times New Roman"/>
                <w:b/>
                <w:bCs/>
                <w:sz w:val="20"/>
                <w:szCs w:val="20"/>
              </w:rPr>
            </w:pPr>
          </w:p>
          <w:p w:rsidR="009C28EE" w:rsidRPr="0031503F" w:rsidRDefault="009C28EE" w:rsidP="00CB3223">
            <w:pPr>
              <w:jc w:val="both"/>
              <w:rPr>
                <w:rFonts w:ascii="Times New Roman" w:hAnsi="Times New Roman" w:cs="Times New Roman"/>
                <w:b/>
                <w:bCs/>
                <w:sz w:val="20"/>
                <w:szCs w:val="20"/>
              </w:rPr>
            </w:pPr>
          </w:p>
          <w:p w:rsidR="009C28EE" w:rsidRPr="0031503F" w:rsidRDefault="009C28EE" w:rsidP="00CB3223">
            <w:pPr>
              <w:jc w:val="both"/>
              <w:rPr>
                <w:rFonts w:ascii="Times New Roman" w:hAnsi="Times New Roman" w:cs="Times New Roman"/>
                <w:b/>
                <w:bCs/>
                <w:sz w:val="20"/>
                <w:szCs w:val="20"/>
              </w:rPr>
            </w:pPr>
          </w:p>
          <w:p w:rsidR="009C28EE" w:rsidRPr="0031503F" w:rsidRDefault="009C28EE" w:rsidP="00CB3223">
            <w:pPr>
              <w:jc w:val="both"/>
              <w:rPr>
                <w:rFonts w:ascii="Times New Roman" w:hAnsi="Times New Roman" w:cs="Times New Roman"/>
                <w:b/>
                <w:bCs/>
                <w:sz w:val="20"/>
                <w:szCs w:val="20"/>
              </w:rPr>
            </w:pPr>
          </w:p>
          <w:p w:rsidR="003638FB" w:rsidRPr="0031503F" w:rsidRDefault="003638FB" w:rsidP="00CB3223">
            <w:pPr>
              <w:jc w:val="both"/>
              <w:rPr>
                <w:rFonts w:ascii="Times New Roman" w:hAnsi="Times New Roman" w:cs="Times New Roman"/>
                <w:b/>
                <w:bCs/>
                <w:sz w:val="20"/>
                <w:szCs w:val="20"/>
              </w:rPr>
            </w:pPr>
          </w:p>
          <w:p w:rsidR="009C28EE" w:rsidRPr="0031503F" w:rsidRDefault="009C28EE"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0E1F4B" w:rsidRPr="0031503F" w:rsidRDefault="000E1F4B" w:rsidP="00CB3223">
            <w:pPr>
              <w:jc w:val="both"/>
              <w:rPr>
                <w:rFonts w:ascii="Times New Roman" w:hAnsi="Times New Roman" w:cs="Times New Roman"/>
                <w:b/>
                <w:bCs/>
                <w:sz w:val="20"/>
                <w:szCs w:val="20"/>
              </w:rPr>
            </w:pPr>
          </w:p>
          <w:p w:rsidR="000E1F4B" w:rsidRPr="0031503F" w:rsidRDefault="000E1F4B"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0E1F4B" w:rsidRPr="0031503F" w:rsidRDefault="000E1F4B"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090ADC" w:rsidRPr="0031503F" w:rsidRDefault="00090ADC"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614D3C" w:rsidRPr="0031503F" w:rsidRDefault="00614D3C" w:rsidP="00CB3223">
            <w:pPr>
              <w:jc w:val="both"/>
              <w:rPr>
                <w:rFonts w:ascii="Times New Roman" w:hAnsi="Times New Roman" w:cs="Times New Roman"/>
                <w:b/>
                <w:bCs/>
                <w:sz w:val="20"/>
                <w:szCs w:val="20"/>
              </w:rPr>
            </w:pPr>
          </w:p>
          <w:p w:rsidR="00614D3C" w:rsidRPr="0031503F" w:rsidRDefault="00614D3C" w:rsidP="00CB3223">
            <w:pPr>
              <w:jc w:val="both"/>
              <w:rPr>
                <w:rFonts w:ascii="Times New Roman" w:hAnsi="Times New Roman" w:cs="Times New Roman"/>
                <w:b/>
                <w:bCs/>
                <w:sz w:val="20"/>
                <w:szCs w:val="20"/>
              </w:rPr>
            </w:pPr>
          </w:p>
          <w:p w:rsidR="007219FA" w:rsidRPr="0031503F" w:rsidRDefault="007219FA" w:rsidP="00CB3223">
            <w:pPr>
              <w:jc w:val="both"/>
              <w:rPr>
                <w:rFonts w:ascii="Times New Roman" w:hAnsi="Times New Roman" w:cs="Times New Roman"/>
                <w:b/>
                <w:bCs/>
                <w:sz w:val="20"/>
                <w:szCs w:val="20"/>
              </w:rPr>
            </w:pPr>
          </w:p>
          <w:p w:rsidR="00673319" w:rsidRPr="0031503F" w:rsidRDefault="00673319" w:rsidP="00CB3223">
            <w:pPr>
              <w:jc w:val="both"/>
              <w:rPr>
                <w:rFonts w:ascii="Times New Roman" w:hAnsi="Times New Roman" w:cs="Times New Roman"/>
                <w:b/>
                <w:bCs/>
                <w:sz w:val="20"/>
                <w:szCs w:val="20"/>
              </w:rPr>
            </w:pPr>
          </w:p>
          <w:p w:rsidR="005D39DF" w:rsidRPr="0031503F" w:rsidRDefault="00DF4574"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O:2</w:t>
            </w:r>
          </w:p>
          <w:p w:rsidR="005D39DF" w:rsidRPr="0031503F" w:rsidRDefault="005D39DF"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p>
          <w:p w:rsidR="005E1DFD" w:rsidRPr="0031503F" w:rsidRDefault="005E1DFD" w:rsidP="00CB3223">
            <w:pPr>
              <w:jc w:val="both"/>
              <w:rPr>
                <w:rFonts w:ascii="Times New Roman" w:hAnsi="Times New Roman" w:cs="Times New Roman"/>
                <w:b/>
                <w:bCs/>
                <w:sz w:val="20"/>
                <w:szCs w:val="20"/>
              </w:rPr>
            </w:pPr>
          </w:p>
          <w:p w:rsidR="000706E5" w:rsidRPr="0031503F" w:rsidRDefault="000706E5" w:rsidP="00CB3223">
            <w:pPr>
              <w:jc w:val="both"/>
              <w:rPr>
                <w:rFonts w:ascii="Times New Roman" w:hAnsi="Times New Roman" w:cs="Times New Roman"/>
                <w:b/>
                <w:bCs/>
                <w:sz w:val="20"/>
                <w:szCs w:val="20"/>
              </w:rPr>
            </w:pPr>
          </w:p>
          <w:p w:rsidR="000706E5" w:rsidRPr="0031503F" w:rsidRDefault="000706E5"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F7117F" w:rsidRPr="0031503F" w:rsidRDefault="00F7117F" w:rsidP="00CB3223">
            <w:pPr>
              <w:jc w:val="both"/>
              <w:rPr>
                <w:rFonts w:ascii="Times New Roman" w:hAnsi="Times New Roman" w:cs="Times New Roman"/>
                <w:b/>
                <w:bCs/>
                <w:sz w:val="20"/>
                <w:szCs w:val="20"/>
              </w:rPr>
            </w:pPr>
          </w:p>
          <w:p w:rsidR="00C96341" w:rsidRPr="0031503F" w:rsidRDefault="00C96341" w:rsidP="00CB3223">
            <w:pPr>
              <w:jc w:val="both"/>
              <w:rPr>
                <w:rFonts w:ascii="Times New Roman" w:hAnsi="Times New Roman" w:cs="Times New Roman"/>
                <w:b/>
                <w:bCs/>
                <w:sz w:val="20"/>
                <w:szCs w:val="20"/>
              </w:rPr>
            </w:pPr>
          </w:p>
          <w:p w:rsidR="00C96341" w:rsidRPr="0031503F" w:rsidRDefault="00C96341" w:rsidP="00CB3223">
            <w:pPr>
              <w:jc w:val="both"/>
              <w:rPr>
                <w:rFonts w:ascii="Times New Roman" w:hAnsi="Times New Roman" w:cs="Times New Roman"/>
                <w:b/>
                <w:bCs/>
                <w:sz w:val="20"/>
                <w:szCs w:val="20"/>
              </w:rPr>
            </w:pPr>
          </w:p>
          <w:p w:rsidR="00C96341" w:rsidRPr="0031503F" w:rsidRDefault="00C96341" w:rsidP="00CB3223">
            <w:pPr>
              <w:jc w:val="both"/>
              <w:rPr>
                <w:rFonts w:ascii="Times New Roman" w:hAnsi="Times New Roman" w:cs="Times New Roman"/>
                <w:b/>
                <w:bCs/>
                <w:sz w:val="20"/>
                <w:szCs w:val="20"/>
              </w:rPr>
            </w:pPr>
          </w:p>
          <w:p w:rsidR="00C96341" w:rsidRPr="0031503F" w:rsidRDefault="00C96341" w:rsidP="00CB3223">
            <w:pPr>
              <w:jc w:val="both"/>
              <w:rPr>
                <w:rFonts w:ascii="Times New Roman" w:hAnsi="Times New Roman" w:cs="Times New Roman"/>
                <w:b/>
                <w:bCs/>
                <w:sz w:val="20"/>
                <w:szCs w:val="20"/>
              </w:rPr>
            </w:pPr>
          </w:p>
          <w:p w:rsidR="00614D3C" w:rsidRDefault="00614D3C" w:rsidP="00CB3223">
            <w:pPr>
              <w:jc w:val="both"/>
              <w:rPr>
                <w:rFonts w:ascii="Times New Roman" w:hAnsi="Times New Roman" w:cs="Times New Roman"/>
                <w:b/>
                <w:bCs/>
                <w:sz w:val="20"/>
                <w:szCs w:val="20"/>
              </w:rPr>
            </w:pPr>
          </w:p>
          <w:p w:rsidR="009436CD" w:rsidRPr="0031503F" w:rsidRDefault="009436CD" w:rsidP="00CB3223">
            <w:pPr>
              <w:jc w:val="both"/>
              <w:rPr>
                <w:rFonts w:ascii="Times New Roman" w:hAnsi="Times New Roman" w:cs="Times New Roman"/>
                <w:b/>
                <w:bCs/>
                <w:sz w:val="20"/>
                <w:szCs w:val="20"/>
              </w:rPr>
            </w:pPr>
          </w:p>
          <w:p w:rsidR="00DF4574" w:rsidRPr="0031503F" w:rsidRDefault="00DF4574" w:rsidP="00CB3223">
            <w:pPr>
              <w:jc w:val="both"/>
              <w:rPr>
                <w:rFonts w:ascii="Times New Roman" w:hAnsi="Times New Roman" w:cs="Times New Roman"/>
                <w:b/>
                <w:bCs/>
                <w:sz w:val="20"/>
                <w:szCs w:val="20"/>
              </w:rPr>
            </w:pPr>
          </w:p>
          <w:p w:rsidR="005D39DF" w:rsidRPr="0031503F" w:rsidRDefault="005D39DF"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O:3</w:t>
            </w:r>
          </w:p>
        </w:tc>
        <w:tc>
          <w:tcPr>
            <w:tcW w:w="2837" w:type="dxa"/>
            <w:tcBorders>
              <w:top w:val="single" w:sz="4" w:space="0" w:color="auto"/>
              <w:bottom w:val="single" w:sz="4" w:space="0" w:color="auto"/>
            </w:tcBorders>
          </w:tcPr>
          <w:p w:rsidR="005D39DF" w:rsidRPr="0031503F" w:rsidRDefault="005D39DF" w:rsidP="004F5294">
            <w:pPr>
              <w:shd w:val="clear" w:color="auto" w:fill="FFFFFF"/>
              <w:jc w:val="both"/>
              <w:rPr>
                <w:rFonts w:ascii="Times New Roman" w:eastAsia="Times New Roman" w:hAnsi="Times New Roman" w:cs="Times New Roman"/>
                <w:sz w:val="20"/>
                <w:szCs w:val="20"/>
                <w:lang w:eastAsia="sk-SK"/>
              </w:rPr>
            </w:pPr>
          </w:p>
          <w:p w:rsidR="00DF4574" w:rsidRPr="0031503F" w:rsidRDefault="005D39DF" w:rsidP="004F5294">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 Členské štáty prijmú a uverejnia do 28. decembra 2024 zákony, iné právne predpisy a správne opatrenia potrebné na dosiahnutie súladu s touto smernicou. Bezodkladne o tom informujú Komisiu.</w:t>
            </w:r>
          </w:p>
          <w:p w:rsidR="005D39DF" w:rsidRPr="0031503F" w:rsidRDefault="005D39DF" w:rsidP="004F5294">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uvedú priamo v prijatých opatreniach alebo pri ich úradnom uverejnení odkaz na túto smernicu. Podrobnosti o odkaze upravia členské štáty.</w:t>
            </w:r>
          </w:p>
          <w:p w:rsidR="005D39DF" w:rsidRPr="0031503F" w:rsidRDefault="005D39DF" w:rsidP="004F5294">
            <w:pPr>
              <w:shd w:val="clear" w:color="auto" w:fill="FFFFFF"/>
              <w:jc w:val="both"/>
              <w:rPr>
                <w:rFonts w:ascii="Times New Roman" w:eastAsia="Times New Roman" w:hAnsi="Times New Roman" w:cs="Times New Roman"/>
                <w:sz w:val="20"/>
                <w:szCs w:val="20"/>
                <w:lang w:eastAsia="sk-SK"/>
              </w:rPr>
            </w:pPr>
          </w:p>
          <w:p w:rsidR="00A07DDB" w:rsidRPr="0031503F" w:rsidRDefault="00A07DDB" w:rsidP="004F5294">
            <w:pPr>
              <w:shd w:val="clear" w:color="auto" w:fill="FFFFFF"/>
              <w:jc w:val="both"/>
              <w:rPr>
                <w:rFonts w:ascii="Times New Roman" w:eastAsia="Times New Roman" w:hAnsi="Times New Roman" w:cs="Times New Roman"/>
                <w:sz w:val="20"/>
                <w:szCs w:val="20"/>
                <w:lang w:eastAsia="sk-SK"/>
              </w:rPr>
            </w:pPr>
          </w:p>
          <w:p w:rsidR="006A3887" w:rsidRPr="0031503F" w:rsidRDefault="006A3887" w:rsidP="004F5294">
            <w:pPr>
              <w:shd w:val="clear" w:color="auto" w:fill="FFFFFF"/>
              <w:jc w:val="both"/>
              <w:rPr>
                <w:rFonts w:ascii="Times New Roman" w:eastAsia="Times New Roman" w:hAnsi="Times New Roman" w:cs="Times New Roman"/>
                <w:sz w:val="20"/>
                <w:szCs w:val="20"/>
                <w:lang w:eastAsia="sk-SK"/>
              </w:rPr>
            </w:pPr>
          </w:p>
          <w:p w:rsidR="006A3887" w:rsidRPr="0031503F" w:rsidRDefault="006A3887" w:rsidP="004F5294">
            <w:pPr>
              <w:shd w:val="clear" w:color="auto" w:fill="FFFFFF"/>
              <w:jc w:val="both"/>
              <w:rPr>
                <w:rFonts w:ascii="Times New Roman" w:eastAsia="Times New Roman" w:hAnsi="Times New Roman" w:cs="Times New Roman"/>
                <w:sz w:val="20"/>
                <w:szCs w:val="20"/>
                <w:lang w:eastAsia="sk-SK"/>
              </w:rPr>
            </w:pPr>
          </w:p>
          <w:p w:rsidR="006A3887" w:rsidRPr="0031503F" w:rsidRDefault="006A3887" w:rsidP="004F5294">
            <w:pPr>
              <w:shd w:val="clear" w:color="auto" w:fill="FFFFFF"/>
              <w:jc w:val="both"/>
              <w:rPr>
                <w:rFonts w:ascii="Times New Roman" w:eastAsia="Times New Roman" w:hAnsi="Times New Roman" w:cs="Times New Roman"/>
                <w:sz w:val="20"/>
                <w:szCs w:val="20"/>
                <w:lang w:eastAsia="sk-SK"/>
              </w:rPr>
            </w:pPr>
          </w:p>
          <w:p w:rsidR="006A3887" w:rsidRPr="0031503F" w:rsidRDefault="006A3887" w:rsidP="004F5294">
            <w:pPr>
              <w:shd w:val="clear" w:color="auto" w:fill="FFFFFF"/>
              <w:jc w:val="both"/>
              <w:rPr>
                <w:rFonts w:ascii="Times New Roman" w:eastAsia="Times New Roman" w:hAnsi="Times New Roman" w:cs="Times New Roman"/>
                <w:sz w:val="20"/>
                <w:szCs w:val="20"/>
                <w:lang w:eastAsia="sk-SK"/>
              </w:rPr>
            </w:pPr>
          </w:p>
          <w:p w:rsidR="003638FB" w:rsidRPr="0031503F" w:rsidRDefault="003638FB" w:rsidP="004F5294">
            <w:pPr>
              <w:shd w:val="clear" w:color="auto" w:fill="FFFFFF"/>
              <w:jc w:val="both"/>
              <w:rPr>
                <w:rFonts w:ascii="Times New Roman" w:eastAsia="Times New Roman" w:hAnsi="Times New Roman" w:cs="Times New Roman"/>
                <w:sz w:val="20"/>
                <w:szCs w:val="20"/>
                <w:lang w:eastAsia="sk-SK"/>
              </w:rPr>
            </w:pPr>
          </w:p>
          <w:p w:rsidR="003638FB" w:rsidRPr="0031503F" w:rsidRDefault="003638FB" w:rsidP="004F5294">
            <w:pPr>
              <w:shd w:val="clear" w:color="auto" w:fill="FFFFFF"/>
              <w:jc w:val="both"/>
              <w:rPr>
                <w:rFonts w:ascii="Times New Roman" w:eastAsia="Times New Roman" w:hAnsi="Times New Roman" w:cs="Times New Roman"/>
                <w:sz w:val="20"/>
                <w:szCs w:val="20"/>
                <w:lang w:eastAsia="sk-SK"/>
              </w:rPr>
            </w:pPr>
          </w:p>
          <w:p w:rsidR="006A3887" w:rsidRPr="0031503F" w:rsidRDefault="006A3887"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0E1F4B" w:rsidRPr="0031503F" w:rsidRDefault="000E1F4B" w:rsidP="004F5294">
            <w:pPr>
              <w:shd w:val="clear" w:color="auto" w:fill="FFFFFF"/>
              <w:jc w:val="both"/>
              <w:rPr>
                <w:rFonts w:ascii="Times New Roman" w:eastAsia="Times New Roman" w:hAnsi="Times New Roman" w:cs="Times New Roman"/>
                <w:sz w:val="20"/>
                <w:szCs w:val="20"/>
                <w:lang w:eastAsia="sk-SK"/>
              </w:rPr>
            </w:pPr>
          </w:p>
          <w:p w:rsidR="000E1F4B" w:rsidRPr="0031503F" w:rsidRDefault="000E1F4B"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0E1F4B" w:rsidRPr="0031503F" w:rsidRDefault="000E1F4B"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090ADC" w:rsidRPr="0031503F" w:rsidRDefault="00090ADC"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614D3C" w:rsidRPr="0031503F" w:rsidRDefault="00614D3C" w:rsidP="004F5294">
            <w:pPr>
              <w:shd w:val="clear" w:color="auto" w:fill="FFFFFF"/>
              <w:jc w:val="both"/>
              <w:rPr>
                <w:rFonts w:ascii="Times New Roman" w:eastAsia="Times New Roman" w:hAnsi="Times New Roman" w:cs="Times New Roman"/>
                <w:sz w:val="20"/>
                <w:szCs w:val="20"/>
                <w:lang w:eastAsia="sk-SK"/>
              </w:rPr>
            </w:pPr>
          </w:p>
          <w:p w:rsidR="00614D3C" w:rsidRPr="0031503F" w:rsidRDefault="00614D3C" w:rsidP="004F5294">
            <w:pPr>
              <w:shd w:val="clear" w:color="auto" w:fill="FFFFFF"/>
              <w:jc w:val="both"/>
              <w:rPr>
                <w:rFonts w:ascii="Times New Roman" w:eastAsia="Times New Roman" w:hAnsi="Times New Roman" w:cs="Times New Roman"/>
                <w:sz w:val="20"/>
                <w:szCs w:val="20"/>
                <w:lang w:eastAsia="sk-SK"/>
              </w:rPr>
            </w:pPr>
          </w:p>
          <w:p w:rsidR="00614D3C" w:rsidRPr="0031503F" w:rsidRDefault="00614D3C" w:rsidP="004F5294">
            <w:pPr>
              <w:shd w:val="clear" w:color="auto" w:fill="FFFFFF"/>
              <w:jc w:val="both"/>
              <w:rPr>
                <w:rFonts w:ascii="Times New Roman" w:eastAsia="Times New Roman" w:hAnsi="Times New Roman" w:cs="Times New Roman"/>
                <w:sz w:val="20"/>
                <w:szCs w:val="20"/>
                <w:lang w:eastAsia="sk-SK"/>
              </w:rPr>
            </w:pPr>
          </w:p>
          <w:p w:rsidR="00614D3C" w:rsidRPr="0031503F" w:rsidRDefault="00614D3C" w:rsidP="004F5294">
            <w:pPr>
              <w:shd w:val="clear" w:color="auto" w:fill="FFFFFF"/>
              <w:jc w:val="both"/>
              <w:rPr>
                <w:rFonts w:ascii="Times New Roman" w:eastAsia="Times New Roman" w:hAnsi="Times New Roman" w:cs="Times New Roman"/>
                <w:sz w:val="20"/>
                <w:szCs w:val="20"/>
                <w:lang w:eastAsia="sk-SK"/>
              </w:rPr>
            </w:pPr>
          </w:p>
          <w:p w:rsidR="00673319" w:rsidRPr="0031503F" w:rsidRDefault="00673319" w:rsidP="004F5294">
            <w:pPr>
              <w:shd w:val="clear" w:color="auto" w:fill="FFFFFF"/>
              <w:jc w:val="both"/>
              <w:rPr>
                <w:rFonts w:ascii="Times New Roman" w:eastAsia="Times New Roman" w:hAnsi="Times New Roman" w:cs="Times New Roman"/>
                <w:sz w:val="20"/>
                <w:szCs w:val="20"/>
                <w:lang w:eastAsia="sk-SK"/>
              </w:rPr>
            </w:pPr>
          </w:p>
          <w:p w:rsidR="005D39DF" w:rsidRPr="0031503F" w:rsidRDefault="005D39DF" w:rsidP="004F5294">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ktoré pozastavili uplatňovanie článku 6 na základe článku 12, bezodkladne poskytnú Komisii informácie preukazujúce splnenie podmienok stanovených v článku 12.</w:t>
            </w: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F7117F" w:rsidRPr="0031503F" w:rsidRDefault="00F7117F" w:rsidP="004F5294">
            <w:pPr>
              <w:shd w:val="clear" w:color="auto" w:fill="FFFFFF"/>
              <w:jc w:val="both"/>
              <w:rPr>
                <w:rFonts w:ascii="Times New Roman" w:eastAsia="Times New Roman" w:hAnsi="Times New Roman" w:cs="Times New Roman"/>
                <w:sz w:val="20"/>
                <w:szCs w:val="20"/>
                <w:lang w:eastAsia="sk-SK"/>
              </w:rPr>
            </w:pPr>
          </w:p>
          <w:p w:rsidR="00C96341" w:rsidRPr="0031503F" w:rsidRDefault="00C96341" w:rsidP="004F5294">
            <w:pPr>
              <w:shd w:val="clear" w:color="auto" w:fill="FFFFFF"/>
              <w:jc w:val="both"/>
              <w:rPr>
                <w:rFonts w:ascii="Times New Roman" w:eastAsia="Times New Roman" w:hAnsi="Times New Roman" w:cs="Times New Roman"/>
                <w:sz w:val="20"/>
                <w:szCs w:val="20"/>
                <w:lang w:eastAsia="sk-SK"/>
              </w:rPr>
            </w:pPr>
          </w:p>
          <w:p w:rsidR="00C96341" w:rsidRPr="0031503F" w:rsidRDefault="00C96341" w:rsidP="004F5294">
            <w:pPr>
              <w:shd w:val="clear" w:color="auto" w:fill="FFFFFF"/>
              <w:jc w:val="both"/>
              <w:rPr>
                <w:rFonts w:ascii="Times New Roman" w:eastAsia="Times New Roman" w:hAnsi="Times New Roman" w:cs="Times New Roman"/>
                <w:sz w:val="20"/>
                <w:szCs w:val="20"/>
                <w:lang w:eastAsia="sk-SK"/>
              </w:rPr>
            </w:pPr>
          </w:p>
          <w:p w:rsidR="00C96341" w:rsidRPr="0031503F" w:rsidRDefault="00C96341" w:rsidP="004F5294">
            <w:pPr>
              <w:shd w:val="clear" w:color="auto" w:fill="FFFFFF"/>
              <w:jc w:val="both"/>
              <w:rPr>
                <w:rFonts w:ascii="Times New Roman" w:eastAsia="Times New Roman" w:hAnsi="Times New Roman" w:cs="Times New Roman"/>
                <w:sz w:val="20"/>
                <w:szCs w:val="20"/>
                <w:lang w:eastAsia="sk-SK"/>
              </w:rPr>
            </w:pPr>
          </w:p>
          <w:p w:rsidR="00C96341" w:rsidRPr="0031503F" w:rsidRDefault="00C96341" w:rsidP="004F5294">
            <w:pPr>
              <w:shd w:val="clear" w:color="auto" w:fill="FFFFFF"/>
              <w:jc w:val="both"/>
              <w:rPr>
                <w:rFonts w:ascii="Times New Roman" w:eastAsia="Times New Roman" w:hAnsi="Times New Roman" w:cs="Times New Roman"/>
                <w:sz w:val="20"/>
                <w:szCs w:val="20"/>
                <w:lang w:eastAsia="sk-SK"/>
              </w:rPr>
            </w:pPr>
          </w:p>
          <w:p w:rsidR="00673319" w:rsidRDefault="00673319" w:rsidP="004F5294">
            <w:pPr>
              <w:shd w:val="clear" w:color="auto" w:fill="FFFFFF"/>
              <w:jc w:val="both"/>
              <w:rPr>
                <w:rFonts w:ascii="Times New Roman" w:eastAsia="Times New Roman" w:hAnsi="Times New Roman" w:cs="Times New Roman"/>
                <w:sz w:val="20"/>
                <w:szCs w:val="20"/>
                <w:lang w:eastAsia="sk-SK"/>
              </w:rPr>
            </w:pPr>
          </w:p>
          <w:p w:rsidR="009436CD" w:rsidRPr="0031503F" w:rsidRDefault="009436CD" w:rsidP="004F5294">
            <w:pPr>
              <w:shd w:val="clear" w:color="auto" w:fill="FFFFFF"/>
              <w:jc w:val="both"/>
              <w:rPr>
                <w:rFonts w:ascii="Times New Roman" w:eastAsia="Times New Roman" w:hAnsi="Times New Roman" w:cs="Times New Roman"/>
                <w:sz w:val="20"/>
                <w:szCs w:val="20"/>
                <w:lang w:eastAsia="sk-SK"/>
              </w:rPr>
            </w:pPr>
          </w:p>
          <w:p w:rsidR="003B42CE" w:rsidRPr="0031503F" w:rsidRDefault="005D39DF" w:rsidP="004F5294">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Členské štáty oznámia Komisii znenie hlavných ustanovení vnútroštátneho práva, ktoré prijmú v ob</w:t>
            </w:r>
            <w:r w:rsidR="008C5696" w:rsidRPr="0031503F">
              <w:rPr>
                <w:rFonts w:ascii="Times New Roman" w:eastAsia="Times New Roman" w:hAnsi="Times New Roman" w:cs="Times New Roman"/>
                <w:sz w:val="20"/>
                <w:szCs w:val="20"/>
                <w:lang w:eastAsia="sk-SK"/>
              </w:rPr>
              <w:t>lasti pôsobnosti tejto smernice.</w:t>
            </w:r>
          </w:p>
        </w:tc>
        <w:tc>
          <w:tcPr>
            <w:tcW w:w="828" w:type="dxa"/>
            <w:tcBorders>
              <w:top w:val="single" w:sz="4" w:space="0" w:color="auto"/>
              <w:bottom w:val="single" w:sz="4" w:space="0" w:color="auto"/>
            </w:tcBorders>
          </w:tcPr>
          <w:p w:rsidR="005D39DF" w:rsidRPr="0031503F" w:rsidRDefault="005D39DF"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r w:rsidRPr="0031503F">
              <w:rPr>
                <w:rFonts w:ascii="Times New Roman" w:hAnsi="Times New Roman" w:cs="Times New Roman"/>
                <w:sz w:val="20"/>
                <w:szCs w:val="20"/>
              </w:rPr>
              <w:t>N</w:t>
            </w: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6B32BC" w:rsidRPr="0031503F" w:rsidRDefault="006B32BC" w:rsidP="007B580A">
            <w:pPr>
              <w:jc w:val="center"/>
              <w:rPr>
                <w:rFonts w:ascii="Times New Roman" w:hAnsi="Times New Roman" w:cs="Times New Roman"/>
                <w:sz w:val="20"/>
                <w:szCs w:val="20"/>
              </w:rPr>
            </w:pPr>
          </w:p>
          <w:p w:rsidR="003638FB" w:rsidRPr="0031503F" w:rsidRDefault="003638FB"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DF4574" w:rsidRPr="0031503F" w:rsidRDefault="00DF4574" w:rsidP="007B580A">
            <w:pPr>
              <w:jc w:val="center"/>
              <w:rPr>
                <w:rFonts w:ascii="Times New Roman" w:hAnsi="Times New Roman" w:cs="Times New Roman"/>
                <w:sz w:val="20"/>
                <w:szCs w:val="20"/>
              </w:rPr>
            </w:pPr>
          </w:p>
          <w:p w:rsidR="003638FB" w:rsidRPr="0031503F" w:rsidRDefault="003638FB" w:rsidP="007B580A">
            <w:pPr>
              <w:jc w:val="center"/>
              <w:rPr>
                <w:rFonts w:ascii="Times New Roman" w:hAnsi="Times New Roman" w:cs="Times New Roman"/>
                <w:sz w:val="20"/>
                <w:szCs w:val="20"/>
              </w:rPr>
            </w:pPr>
          </w:p>
          <w:p w:rsidR="007B580A" w:rsidRPr="0031503F" w:rsidRDefault="007B580A" w:rsidP="00DF4574">
            <w:pPr>
              <w:rPr>
                <w:rFonts w:ascii="Times New Roman" w:hAnsi="Times New Roman" w:cs="Times New Roman"/>
                <w:sz w:val="20"/>
                <w:szCs w:val="20"/>
              </w:rPr>
            </w:pPr>
          </w:p>
          <w:p w:rsidR="00F7117F" w:rsidRPr="0031503F" w:rsidRDefault="00F7117F" w:rsidP="00DF4574">
            <w:pPr>
              <w:rPr>
                <w:rFonts w:ascii="Times New Roman" w:hAnsi="Times New Roman" w:cs="Times New Roman"/>
                <w:sz w:val="20"/>
                <w:szCs w:val="20"/>
              </w:rPr>
            </w:pPr>
          </w:p>
          <w:p w:rsidR="00F7117F" w:rsidRPr="0031503F" w:rsidRDefault="00F7117F" w:rsidP="00DF4574">
            <w:pPr>
              <w:rPr>
                <w:rFonts w:ascii="Times New Roman" w:hAnsi="Times New Roman" w:cs="Times New Roman"/>
                <w:sz w:val="20"/>
                <w:szCs w:val="20"/>
              </w:rPr>
            </w:pPr>
          </w:p>
          <w:p w:rsidR="00F7117F" w:rsidRPr="0031503F" w:rsidRDefault="00F7117F" w:rsidP="00DF4574">
            <w:pPr>
              <w:rPr>
                <w:rFonts w:ascii="Times New Roman" w:hAnsi="Times New Roman" w:cs="Times New Roman"/>
                <w:sz w:val="20"/>
                <w:szCs w:val="20"/>
              </w:rPr>
            </w:pPr>
          </w:p>
          <w:p w:rsidR="00F7117F" w:rsidRPr="0031503F" w:rsidRDefault="00F7117F" w:rsidP="00DF4574">
            <w:pPr>
              <w:rPr>
                <w:rFonts w:ascii="Times New Roman" w:hAnsi="Times New Roman" w:cs="Times New Roman"/>
                <w:sz w:val="20"/>
                <w:szCs w:val="20"/>
              </w:rPr>
            </w:pPr>
          </w:p>
          <w:p w:rsidR="000E1F4B" w:rsidRPr="0031503F" w:rsidRDefault="000E1F4B" w:rsidP="00DF4574">
            <w:pPr>
              <w:rPr>
                <w:rFonts w:ascii="Times New Roman" w:hAnsi="Times New Roman" w:cs="Times New Roman"/>
                <w:sz w:val="20"/>
                <w:szCs w:val="20"/>
              </w:rPr>
            </w:pPr>
          </w:p>
          <w:p w:rsidR="000E1F4B" w:rsidRPr="0031503F" w:rsidRDefault="000E1F4B" w:rsidP="00DF4574">
            <w:pPr>
              <w:rPr>
                <w:rFonts w:ascii="Times New Roman" w:hAnsi="Times New Roman" w:cs="Times New Roman"/>
                <w:sz w:val="20"/>
                <w:szCs w:val="20"/>
              </w:rPr>
            </w:pPr>
          </w:p>
          <w:p w:rsidR="000E1F4B" w:rsidRPr="0031503F" w:rsidRDefault="000E1F4B" w:rsidP="00DF4574">
            <w:pPr>
              <w:rPr>
                <w:rFonts w:ascii="Times New Roman" w:hAnsi="Times New Roman" w:cs="Times New Roman"/>
                <w:sz w:val="20"/>
                <w:szCs w:val="20"/>
              </w:rPr>
            </w:pPr>
          </w:p>
          <w:p w:rsidR="00F7117F" w:rsidRPr="0031503F" w:rsidRDefault="00F7117F"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090ADC" w:rsidRPr="0031503F" w:rsidRDefault="00090ADC" w:rsidP="00DF4574">
            <w:pP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614D3C" w:rsidRPr="0031503F" w:rsidRDefault="00614D3C" w:rsidP="007B580A">
            <w:pPr>
              <w:jc w:val="center"/>
              <w:rPr>
                <w:rFonts w:ascii="Times New Roman" w:hAnsi="Times New Roman" w:cs="Times New Roman"/>
                <w:sz w:val="20"/>
                <w:szCs w:val="20"/>
              </w:rPr>
            </w:pPr>
          </w:p>
          <w:p w:rsidR="00614D3C" w:rsidRPr="0031503F" w:rsidRDefault="00614D3C" w:rsidP="007B580A">
            <w:pPr>
              <w:jc w:val="center"/>
              <w:rPr>
                <w:rFonts w:ascii="Times New Roman" w:hAnsi="Times New Roman" w:cs="Times New Roman"/>
                <w:sz w:val="20"/>
                <w:szCs w:val="20"/>
              </w:rPr>
            </w:pPr>
          </w:p>
          <w:p w:rsidR="00614D3C" w:rsidRPr="0031503F" w:rsidRDefault="00614D3C" w:rsidP="007B580A">
            <w:pPr>
              <w:jc w:val="center"/>
              <w:rPr>
                <w:rFonts w:ascii="Times New Roman" w:hAnsi="Times New Roman" w:cs="Times New Roman"/>
                <w:sz w:val="20"/>
                <w:szCs w:val="20"/>
              </w:rPr>
            </w:pPr>
          </w:p>
          <w:p w:rsidR="00614D3C" w:rsidRPr="0031503F" w:rsidRDefault="00614D3C" w:rsidP="007B580A">
            <w:pPr>
              <w:jc w:val="center"/>
              <w:rPr>
                <w:rFonts w:ascii="Times New Roman" w:hAnsi="Times New Roman" w:cs="Times New Roman"/>
                <w:sz w:val="20"/>
                <w:szCs w:val="20"/>
              </w:rPr>
            </w:pPr>
          </w:p>
          <w:p w:rsidR="005E1DFD" w:rsidRPr="0031503F" w:rsidRDefault="006C729B" w:rsidP="007B580A">
            <w:pPr>
              <w:jc w:val="center"/>
              <w:rPr>
                <w:rFonts w:ascii="Times New Roman" w:hAnsi="Times New Roman" w:cs="Times New Roman"/>
                <w:sz w:val="20"/>
                <w:szCs w:val="20"/>
              </w:rPr>
            </w:pPr>
            <w:r>
              <w:rPr>
                <w:rFonts w:ascii="Times New Roman" w:hAnsi="Times New Roman" w:cs="Times New Roman"/>
                <w:sz w:val="20"/>
                <w:szCs w:val="20"/>
              </w:rPr>
              <w:t>D</w:t>
            </w: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F7117F" w:rsidRPr="0031503F" w:rsidRDefault="00F7117F" w:rsidP="00F7117F">
            <w:pPr>
              <w:rPr>
                <w:rFonts w:ascii="Times New Roman" w:hAnsi="Times New Roman" w:cs="Times New Roman"/>
                <w:sz w:val="20"/>
                <w:szCs w:val="20"/>
              </w:rPr>
            </w:pPr>
          </w:p>
          <w:p w:rsidR="00F7117F" w:rsidRPr="0031503F" w:rsidRDefault="00F7117F" w:rsidP="007B580A">
            <w:pPr>
              <w:jc w:val="center"/>
              <w:rPr>
                <w:rFonts w:ascii="Times New Roman" w:hAnsi="Times New Roman" w:cs="Times New Roman"/>
                <w:sz w:val="20"/>
                <w:szCs w:val="20"/>
              </w:rPr>
            </w:pPr>
          </w:p>
          <w:p w:rsidR="00F7117F" w:rsidRPr="0031503F" w:rsidRDefault="00F7117F" w:rsidP="007B580A">
            <w:pPr>
              <w:jc w:val="center"/>
              <w:rPr>
                <w:rFonts w:ascii="Times New Roman" w:hAnsi="Times New Roman" w:cs="Times New Roman"/>
                <w:sz w:val="20"/>
                <w:szCs w:val="20"/>
              </w:rPr>
            </w:pPr>
          </w:p>
          <w:p w:rsidR="003B42CE" w:rsidRPr="0031503F" w:rsidRDefault="003B42CE" w:rsidP="007B580A">
            <w:pPr>
              <w:jc w:val="center"/>
              <w:rPr>
                <w:rFonts w:ascii="Times New Roman" w:hAnsi="Times New Roman" w:cs="Times New Roman"/>
                <w:sz w:val="20"/>
                <w:szCs w:val="20"/>
              </w:rPr>
            </w:pPr>
          </w:p>
          <w:p w:rsidR="00C96341" w:rsidRPr="0031503F" w:rsidRDefault="00C96341" w:rsidP="007B580A">
            <w:pPr>
              <w:jc w:val="center"/>
              <w:rPr>
                <w:rFonts w:ascii="Times New Roman" w:hAnsi="Times New Roman" w:cs="Times New Roman"/>
                <w:sz w:val="20"/>
                <w:szCs w:val="20"/>
              </w:rPr>
            </w:pPr>
          </w:p>
          <w:p w:rsidR="00C96341" w:rsidRPr="0031503F" w:rsidRDefault="00C96341" w:rsidP="007B580A">
            <w:pPr>
              <w:jc w:val="center"/>
              <w:rPr>
                <w:rFonts w:ascii="Times New Roman" w:hAnsi="Times New Roman" w:cs="Times New Roman"/>
                <w:sz w:val="20"/>
                <w:szCs w:val="20"/>
              </w:rPr>
            </w:pPr>
          </w:p>
          <w:p w:rsidR="00C96341" w:rsidRPr="0031503F" w:rsidRDefault="00C96341" w:rsidP="007B580A">
            <w:pPr>
              <w:jc w:val="center"/>
              <w:rPr>
                <w:rFonts w:ascii="Times New Roman" w:hAnsi="Times New Roman" w:cs="Times New Roman"/>
                <w:sz w:val="20"/>
                <w:szCs w:val="20"/>
              </w:rPr>
            </w:pPr>
          </w:p>
          <w:p w:rsidR="00673319" w:rsidRPr="0031503F" w:rsidRDefault="00673319" w:rsidP="007B580A">
            <w:pPr>
              <w:jc w:val="center"/>
              <w:rPr>
                <w:rFonts w:ascii="Times New Roman" w:hAnsi="Times New Roman" w:cs="Times New Roman"/>
                <w:sz w:val="20"/>
                <w:szCs w:val="20"/>
              </w:rPr>
            </w:pPr>
          </w:p>
          <w:p w:rsidR="00C96341" w:rsidRPr="0031503F" w:rsidRDefault="00C96341" w:rsidP="007B580A">
            <w:pPr>
              <w:jc w:val="center"/>
              <w:rPr>
                <w:rFonts w:ascii="Times New Roman" w:hAnsi="Times New Roman" w:cs="Times New Roman"/>
                <w:sz w:val="20"/>
                <w:szCs w:val="20"/>
              </w:rPr>
            </w:pPr>
          </w:p>
          <w:p w:rsidR="005E1DFD" w:rsidRPr="0031503F" w:rsidRDefault="009436CD" w:rsidP="007B580A">
            <w:pPr>
              <w:jc w:val="center"/>
              <w:rPr>
                <w:rFonts w:ascii="Times New Roman" w:hAnsi="Times New Roman" w:cs="Times New Roman"/>
                <w:sz w:val="20"/>
                <w:szCs w:val="20"/>
              </w:rPr>
            </w:pPr>
            <w:r>
              <w:rPr>
                <w:rFonts w:ascii="Times New Roman" w:hAnsi="Times New Roman" w:cs="Times New Roman"/>
                <w:sz w:val="20"/>
                <w:szCs w:val="20"/>
              </w:rPr>
              <w:t>N</w:t>
            </w: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5E1DFD" w:rsidRPr="0031503F" w:rsidRDefault="005E1DFD"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p w:rsidR="00DA5F25" w:rsidRPr="0031503F" w:rsidRDefault="00DA5F25" w:rsidP="007B580A">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F7117F" w:rsidRPr="0031503F" w:rsidRDefault="00F7117F" w:rsidP="000E1F4B">
            <w:pPr>
              <w:rPr>
                <w:rFonts w:ascii="Times New Roman" w:hAnsi="Times New Roman" w:cs="Times New Roman"/>
                <w:sz w:val="20"/>
                <w:szCs w:val="20"/>
                <w:shd w:val="clear" w:color="auto" w:fill="FFFFFF"/>
              </w:rPr>
            </w:pPr>
          </w:p>
          <w:p w:rsidR="009C28EE" w:rsidRPr="0031503F" w:rsidRDefault="009C28EE" w:rsidP="007B580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p w:rsidR="009C28EE" w:rsidRPr="0031503F" w:rsidRDefault="009C28EE" w:rsidP="007B580A">
            <w:pPr>
              <w:jc w:val="center"/>
              <w:rPr>
                <w:rFonts w:ascii="Times New Roman" w:hAnsi="Times New Roman" w:cs="Times New Roman"/>
                <w:sz w:val="20"/>
                <w:szCs w:val="20"/>
                <w:shd w:val="clear" w:color="auto" w:fill="FFFFFF"/>
              </w:rPr>
            </w:pPr>
          </w:p>
          <w:p w:rsidR="009C28EE" w:rsidRPr="0031503F" w:rsidRDefault="009C28EE" w:rsidP="007B580A">
            <w:pPr>
              <w:jc w:val="center"/>
              <w:rPr>
                <w:rFonts w:ascii="Times New Roman" w:hAnsi="Times New Roman" w:cs="Times New Roman"/>
                <w:sz w:val="20"/>
                <w:szCs w:val="20"/>
                <w:shd w:val="clear" w:color="auto" w:fill="FFFFFF"/>
              </w:rPr>
            </w:pPr>
          </w:p>
          <w:p w:rsidR="00DF4574" w:rsidRPr="0031503F" w:rsidRDefault="00DF4574" w:rsidP="007B580A">
            <w:pPr>
              <w:jc w:val="center"/>
              <w:rPr>
                <w:rFonts w:ascii="Times New Roman" w:hAnsi="Times New Roman" w:cs="Times New Roman"/>
                <w:sz w:val="20"/>
                <w:szCs w:val="20"/>
                <w:shd w:val="clear" w:color="auto" w:fill="FFFFFF"/>
              </w:rPr>
            </w:pPr>
          </w:p>
          <w:p w:rsidR="009C28EE" w:rsidRPr="0031503F" w:rsidRDefault="009C28EE" w:rsidP="007B580A">
            <w:pPr>
              <w:jc w:val="center"/>
              <w:rPr>
                <w:rFonts w:ascii="Times New Roman" w:hAnsi="Times New Roman" w:cs="Times New Roman"/>
                <w:sz w:val="20"/>
                <w:szCs w:val="20"/>
                <w:shd w:val="clear" w:color="auto" w:fill="FFFFFF"/>
              </w:rPr>
            </w:pPr>
          </w:p>
          <w:p w:rsidR="00DF4574" w:rsidRPr="0031503F" w:rsidRDefault="00DF4574" w:rsidP="007B580A">
            <w:pPr>
              <w:jc w:val="center"/>
              <w:rPr>
                <w:rFonts w:ascii="Times New Roman" w:hAnsi="Times New Roman" w:cs="Times New Roman"/>
                <w:sz w:val="20"/>
                <w:szCs w:val="20"/>
                <w:shd w:val="clear" w:color="auto" w:fill="FFFFFF"/>
              </w:rPr>
            </w:pPr>
          </w:p>
          <w:p w:rsidR="006B32BC" w:rsidRPr="0031503F" w:rsidRDefault="006B32BC"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0E1F4B" w:rsidRDefault="000E1F4B" w:rsidP="00090ADC">
            <w:pPr>
              <w:rPr>
                <w:rFonts w:ascii="Times New Roman" w:hAnsi="Times New Roman" w:cs="Times New Roman"/>
                <w:sz w:val="20"/>
                <w:szCs w:val="20"/>
                <w:shd w:val="clear" w:color="auto" w:fill="FFFFFF"/>
              </w:rPr>
            </w:pPr>
          </w:p>
          <w:p w:rsidR="006C729B" w:rsidRPr="0031503F" w:rsidRDefault="006C729B" w:rsidP="00090ADC">
            <w:pPr>
              <w:rPr>
                <w:rFonts w:ascii="Times New Roman" w:hAnsi="Times New Roman" w:cs="Times New Roman"/>
                <w:sz w:val="20"/>
                <w:szCs w:val="20"/>
                <w:shd w:val="clear" w:color="auto" w:fill="FFFFFF"/>
              </w:rPr>
            </w:pPr>
          </w:p>
          <w:p w:rsidR="00F7117F" w:rsidRPr="0031503F" w:rsidRDefault="00F7117F" w:rsidP="007B580A">
            <w:pPr>
              <w:jc w:val="center"/>
              <w:rPr>
                <w:rFonts w:ascii="Times New Roman" w:hAnsi="Times New Roman" w:cs="Times New Roman"/>
                <w:sz w:val="20"/>
                <w:szCs w:val="20"/>
                <w:shd w:val="clear" w:color="auto" w:fill="FFFFFF"/>
              </w:rPr>
            </w:pPr>
          </w:p>
          <w:p w:rsidR="00F7117F" w:rsidRPr="0031503F" w:rsidRDefault="000E1F4B" w:rsidP="000E1F4B">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Návrh zákona</w:t>
            </w:r>
          </w:p>
          <w:p w:rsidR="00F7117F" w:rsidRPr="0031503F" w:rsidRDefault="00F7117F" w:rsidP="007B580A">
            <w:pPr>
              <w:jc w:val="center"/>
              <w:rPr>
                <w:rFonts w:ascii="Times New Roman" w:hAnsi="Times New Roman" w:cs="Times New Roman"/>
                <w:sz w:val="20"/>
                <w:szCs w:val="20"/>
                <w:shd w:val="clear" w:color="auto" w:fill="FFFFFF"/>
              </w:rPr>
            </w:pPr>
          </w:p>
          <w:p w:rsidR="00090ADC" w:rsidRPr="0031503F" w:rsidRDefault="00090ADC" w:rsidP="000E1F4B">
            <w:pPr>
              <w:rPr>
                <w:rFonts w:ascii="Times New Roman" w:hAnsi="Times New Roman" w:cs="Times New Roman"/>
                <w:sz w:val="20"/>
                <w:szCs w:val="20"/>
                <w:shd w:val="clear" w:color="auto" w:fill="FFFFFF"/>
              </w:rPr>
            </w:pPr>
          </w:p>
          <w:p w:rsidR="00090ADC" w:rsidRPr="0031503F" w:rsidRDefault="00090ADC" w:rsidP="000E1F4B">
            <w:pPr>
              <w:rPr>
                <w:rFonts w:ascii="Times New Roman" w:hAnsi="Times New Roman" w:cs="Times New Roman"/>
                <w:sz w:val="20"/>
                <w:szCs w:val="20"/>
                <w:shd w:val="clear" w:color="auto" w:fill="FFFFFF"/>
              </w:rPr>
            </w:pPr>
          </w:p>
          <w:p w:rsidR="00F7117F" w:rsidRPr="0031503F" w:rsidRDefault="00F7117F" w:rsidP="00F7117F">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575/2001 Z. z.</w:t>
            </w: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7219FA" w:rsidRPr="0031503F" w:rsidRDefault="007219FA" w:rsidP="00F7117F">
            <w:pPr>
              <w:jc w:val="center"/>
              <w:rPr>
                <w:rFonts w:ascii="Times New Roman" w:hAnsi="Times New Roman" w:cs="Times New Roman"/>
                <w:sz w:val="20"/>
                <w:szCs w:val="20"/>
                <w:shd w:val="clear" w:color="auto" w:fill="FFFFFF"/>
              </w:rPr>
            </w:pPr>
          </w:p>
          <w:p w:rsidR="00614D3C" w:rsidRPr="0031503F" w:rsidRDefault="00614D3C" w:rsidP="00F7117F">
            <w:pPr>
              <w:jc w:val="center"/>
              <w:rPr>
                <w:rFonts w:ascii="Times New Roman" w:hAnsi="Times New Roman" w:cs="Times New Roman"/>
                <w:sz w:val="20"/>
                <w:szCs w:val="20"/>
                <w:shd w:val="clear" w:color="auto" w:fill="FFFFFF"/>
              </w:rPr>
            </w:pPr>
          </w:p>
          <w:p w:rsidR="00614D3C" w:rsidRPr="0031503F" w:rsidRDefault="00614D3C" w:rsidP="007219FA">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400/2015 Z. z.</w:t>
            </w:r>
          </w:p>
          <w:p w:rsidR="00673319" w:rsidRPr="0031503F" w:rsidRDefault="00673319" w:rsidP="00614D3C">
            <w:pPr>
              <w:rPr>
                <w:rFonts w:ascii="Times New Roman" w:hAnsi="Times New Roman" w:cs="Times New Roman"/>
                <w:sz w:val="20"/>
                <w:szCs w:val="20"/>
                <w:shd w:val="clear" w:color="auto" w:fill="FFFFFF"/>
              </w:rPr>
            </w:pPr>
          </w:p>
          <w:p w:rsidR="00673319" w:rsidRPr="0031503F" w:rsidRDefault="00673319" w:rsidP="00090ADC">
            <w:pPr>
              <w:jc w:val="center"/>
              <w:rPr>
                <w:rFonts w:ascii="Times New Roman" w:hAnsi="Times New Roman" w:cs="Times New Roman"/>
                <w:sz w:val="20"/>
                <w:szCs w:val="20"/>
                <w:shd w:val="clear" w:color="auto" w:fill="FFFFFF"/>
              </w:rPr>
            </w:pPr>
          </w:p>
          <w:p w:rsidR="00673319" w:rsidRPr="0031503F" w:rsidRDefault="00673319" w:rsidP="00090ADC">
            <w:pPr>
              <w:jc w:val="center"/>
              <w:rPr>
                <w:rFonts w:ascii="Times New Roman" w:hAnsi="Times New Roman" w:cs="Times New Roman"/>
                <w:sz w:val="20"/>
                <w:szCs w:val="20"/>
                <w:shd w:val="clear" w:color="auto" w:fill="FFFFFF"/>
              </w:rPr>
            </w:pPr>
          </w:p>
          <w:p w:rsidR="00614D3C" w:rsidRPr="0031503F" w:rsidRDefault="00614D3C" w:rsidP="00090ADC">
            <w:pPr>
              <w:jc w:val="center"/>
              <w:rPr>
                <w:rFonts w:ascii="Times New Roman" w:hAnsi="Times New Roman" w:cs="Times New Roman"/>
                <w:sz w:val="20"/>
                <w:szCs w:val="20"/>
                <w:shd w:val="clear" w:color="auto" w:fill="FFFFFF"/>
              </w:rPr>
            </w:pPr>
          </w:p>
          <w:p w:rsidR="00614D3C" w:rsidRPr="0031503F" w:rsidRDefault="00614D3C" w:rsidP="00090ADC">
            <w:pPr>
              <w:jc w:val="center"/>
              <w:rPr>
                <w:rFonts w:ascii="Times New Roman" w:hAnsi="Times New Roman" w:cs="Times New Roman"/>
                <w:sz w:val="20"/>
                <w:szCs w:val="20"/>
                <w:shd w:val="clear" w:color="auto" w:fill="FFFFFF"/>
              </w:rPr>
            </w:pPr>
          </w:p>
          <w:p w:rsidR="00614D3C" w:rsidRPr="0031503F" w:rsidRDefault="00614D3C" w:rsidP="00090ADC">
            <w:pPr>
              <w:jc w:val="center"/>
              <w:rPr>
                <w:rFonts w:ascii="Times New Roman" w:hAnsi="Times New Roman" w:cs="Times New Roman"/>
                <w:sz w:val="20"/>
                <w:szCs w:val="20"/>
                <w:shd w:val="clear" w:color="auto" w:fill="FFFFFF"/>
              </w:rPr>
            </w:pPr>
          </w:p>
          <w:p w:rsidR="00614D3C" w:rsidRPr="0031503F" w:rsidRDefault="00614D3C" w:rsidP="007219FA">
            <w:pPr>
              <w:rPr>
                <w:rFonts w:ascii="Times New Roman" w:hAnsi="Times New Roman" w:cs="Times New Roman"/>
                <w:sz w:val="20"/>
                <w:szCs w:val="20"/>
                <w:shd w:val="clear" w:color="auto" w:fill="FFFFFF"/>
              </w:rPr>
            </w:pPr>
          </w:p>
          <w:p w:rsidR="00090ADC" w:rsidRPr="0031503F" w:rsidRDefault="00090ADC" w:rsidP="00090ADC">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2C3970" w:rsidRPr="0031503F" w:rsidRDefault="002C3970" w:rsidP="007B580A">
            <w:pPr>
              <w:jc w:val="center"/>
              <w:rPr>
                <w:rFonts w:ascii="Times New Roman" w:hAnsi="Times New Roman" w:cs="Times New Roman"/>
                <w:sz w:val="20"/>
                <w:szCs w:val="20"/>
                <w:shd w:val="clear" w:color="auto" w:fill="FFFFFF"/>
              </w:rPr>
            </w:pPr>
          </w:p>
          <w:p w:rsidR="00090ADC" w:rsidRPr="0031503F" w:rsidRDefault="00090ADC" w:rsidP="00090ADC">
            <w:pPr>
              <w:rPr>
                <w:rFonts w:ascii="Times New Roman" w:hAnsi="Times New Roman" w:cs="Times New Roman"/>
                <w:sz w:val="20"/>
                <w:szCs w:val="20"/>
                <w:shd w:val="clear" w:color="auto" w:fill="FFFFFF"/>
              </w:rPr>
            </w:pPr>
          </w:p>
          <w:p w:rsidR="00090ADC" w:rsidRPr="0031503F" w:rsidRDefault="00090ADC" w:rsidP="00090ADC">
            <w:pPr>
              <w:rPr>
                <w:rFonts w:ascii="Times New Roman" w:hAnsi="Times New Roman" w:cs="Times New Roman"/>
                <w:sz w:val="20"/>
                <w:szCs w:val="20"/>
                <w:shd w:val="clear" w:color="auto" w:fill="FFFFFF"/>
              </w:rPr>
            </w:pPr>
          </w:p>
          <w:p w:rsidR="00673319" w:rsidRPr="0031503F" w:rsidRDefault="00673319" w:rsidP="009521A7">
            <w:pPr>
              <w:rPr>
                <w:rFonts w:ascii="Times New Roman" w:hAnsi="Times New Roman" w:cs="Times New Roman"/>
                <w:sz w:val="20"/>
                <w:szCs w:val="20"/>
                <w:shd w:val="clear" w:color="auto" w:fill="FFFFFF"/>
              </w:rPr>
            </w:pPr>
          </w:p>
          <w:p w:rsidR="00C96341" w:rsidRPr="0031503F" w:rsidRDefault="00C96341" w:rsidP="00C96341">
            <w:pPr>
              <w:jc w:val="cente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575/2001 Z. z.</w:t>
            </w:r>
          </w:p>
          <w:p w:rsidR="00090ADC" w:rsidRPr="0031503F" w:rsidRDefault="00090ADC" w:rsidP="007B580A">
            <w:pPr>
              <w:jc w:val="center"/>
              <w:rPr>
                <w:rFonts w:ascii="Times New Roman" w:hAnsi="Times New Roman" w:cs="Times New Roman"/>
                <w:sz w:val="20"/>
                <w:szCs w:val="20"/>
                <w:shd w:val="clear" w:color="auto" w:fill="FFFFFF"/>
              </w:rPr>
            </w:pPr>
          </w:p>
          <w:p w:rsidR="002C3970" w:rsidRPr="0031503F" w:rsidRDefault="002C3970" w:rsidP="00C96341">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F7117F" w:rsidRPr="0031503F" w:rsidRDefault="00F7117F" w:rsidP="00F7117F">
            <w:pPr>
              <w:pStyle w:val="Normlny0"/>
            </w:pPr>
          </w:p>
          <w:p w:rsidR="002C3970" w:rsidRPr="0031503F" w:rsidRDefault="00344C0A" w:rsidP="00F7117F">
            <w:pPr>
              <w:pStyle w:val="Normlny0"/>
              <w:jc w:val="center"/>
            </w:pPr>
            <w:r w:rsidRPr="0031503F">
              <w:t>Príloha</w:t>
            </w:r>
            <w:r w:rsidR="00E50929" w:rsidRPr="0031503F">
              <w:t xml:space="preserve"> č. 2</w:t>
            </w: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CB3223">
            <w:pPr>
              <w:pStyle w:val="Normlny0"/>
              <w:jc w:val="center"/>
            </w:pPr>
          </w:p>
          <w:p w:rsidR="002C3970" w:rsidRPr="0031503F" w:rsidRDefault="002C3970" w:rsidP="00DF4574">
            <w:pPr>
              <w:pStyle w:val="Normlny0"/>
            </w:pPr>
          </w:p>
          <w:p w:rsidR="00F7117F" w:rsidRPr="0031503F" w:rsidRDefault="00F7117F" w:rsidP="00DF4574">
            <w:pPr>
              <w:pStyle w:val="Normlny0"/>
            </w:pPr>
          </w:p>
          <w:p w:rsidR="00F7117F" w:rsidRPr="0031503F" w:rsidRDefault="00F7117F" w:rsidP="00DF4574">
            <w:pPr>
              <w:pStyle w:val="Normlny0"/>
            </w:pPr>
          </w:p>
          <w:p w:rsidR="00F7117F" w:rsidRPr="0031503F" w:rsidRDefault="00F7117F" w:rsidP="00DF4574">
            <w:pPr>
              <w:pStyle w:val="Normlny0"/>
            </w:pPr>
          </w:p>
          <w:p w:rsidR="00F7117F" w:rsidRPr="0031503F" w:rsidRDefault="00F7117F" w:rsidP="00DF4574">
            <w:pPr>
              <w:pStyle w:val="Normlny0"/>
            </w:pPr>
          </w:p>
          <w:p w:rsidR="000E1F4B" w:rsidRPr="0031503F" w:rsidRDefault="000E1F4B" w:rsidP="00DF4574">
            <w:pPr>
              <w:pStyle w:val="Normlny0"/>
            </w:pPr>
          </w:p>
          <w:p w:rsidR="000E1F4B" w:rsidRPr="0031503F" w:rsidRDefault="000E1F4B" w:rsidP="00DF4574">
            <w:pPr>
              <w:pStyle w:val="Normlny0"/>
            </w:pPr>
          </w:p>
          <w:p w:rsidR="000E1F4B" w:rsidRDefault="000E1F4B" w:rsidP="00DF4574">
            <w:pPr>
              <w:pStyle w:val="Normlny0"/>
            </w:pPr>
          </w:p>
          <w:p w:rsidR="006C729B" w:rsidRPr="0031503F" w:rsidRDefault="006C729B" w:rsidP="00DF4574">
            <w:pPr>
              <w:pStyle w:val="Normlny0"/>
            </w:pPr>
          </w:p>
          <w:p w:rsidR="000E1F4B" w:rsidRPr="0031503F" w:rsidRDefault="000E1F4B" w:rsidP="00DF4574">
            <w:pPr>
              <w:pStyle w:val="Normlny0"/>
            </w:pPr>
          </w:p>
          <w:p w:rsidR="000E1F4B" w:rsidRPr="0031503F" w:rsidRDefault="000E1F4B" w:rsidP="000E1F4B">
            <w:pPr>
              <w:pStyle w:val="Normlny0"/>
              <w:jc w:val="center"/>
            </w:pPr>
            <w:r w:rsidRPr="0031503F">
              <w:t>§ 12</w:t>
            </w:r>
          </w:p>
          <w:p w:rsidR="00F7117F" w:rsidRPr="0031503F" w:rsidRDefault="00F7117F" w:rsidP="00DF4574">
            <w:pPr>
              <w:pStyle w:val="Normlny0"/>
            </w:pPr>
          </w:p>
          <w:p w:rsidR="00F7117F" w:rsidRPr="0031503F" w:rsidRDefault="00F7117F" w:rsidP="00DF4574">
            <w:pPr>
              <w:pStyle w:val="Normlny0"/>
            </w:pPr>
          </w:p>
          <w:p w:rsidR="00F7117F" w:rsidRPr="0031503F" w:rsidRDefault="00F7117F" w:rsidP="00DF4574">
            <w:pPr>
              <w:pStyle w:val="Normlny0"/>
            </w:pPr>
          </w:p>
          <w:p w:rsidR="00F7117F" w:rsidRPr="0031503F" w:rsidRDefault="00F7117F" w:rsidP="00DF4574">
            <w:pPr>
              <w:pStyle w:val="Normlny0"/>
            </w:pPr>
          </w:p>
          <w:p w:rsidR="00F7117F" w:rsidRPr="0031503F" w:rsidRDefault="00F7117F" w:rsidP="00F7117F">
            <w:pPr>
              <w:pStyle w:val="Normlny0"/>
              <w:jc w:val="center"/>
            </w:pPr>
            <w:r w:rsidRPr="0031503F">
              <w:t>§ 35</w:t>
            </w:r>
          </w:p>
          <w:p w:rsidR="00F7117F" w:rsidRPr="0031503F" w:rsidRDefault="00F7117F" w:rsidP="00F7117F">
            <w:pPr>
              <w:pStyle w:val="Normlny0"/>
              <w:jc w:val="center"/>
            </w:pPr>
            <w:r w:rsidRPr="0031503F">
              <w:t>O:7</w:t>
            </w:r>
          </w:p>
          <w:p w:rsidR="00464C43" w:rsidRPr="0031503F" w:rsidRDefault="00464C43"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090ADC" w:rsidRPr="0031503F" w:rsidRDefault="00090ADC" w:rsidP="00F7117F">
            <w:pPr>
              <w:pStyle w:val="Normlny0"/>
              <w:jc w:val="center"/>
            </w:pPr>
          </w:p>
          <w:p w:rsidR="00614D3C" w:rsidRPr="0031503F" w:rsidRDefault="00614D3C" w:rsidP="00F7117F">
            <w:pPr>
              <w:pStyle w:val="Normlny0"/>
              <w:jc w:val="center"/>
            </w:pPr>
          </w:p>
          <w:p w:rsidR="00090ADC" w:rsidRPr="0031503F" w:rsidRDefault="00090ADC" w:rsidP="00F7117F">
            <w:pPr>
              <w:pStyle w:val="Normlny0"/>
              <w:jc w:val="center"/>
            </w:pPr>
          </w:p>
          <w:p w:rsidR="00090ADC" w:rsidRPr="0031503F" w:rsidRDefault="00614D3C" w:rsidP="00614D3C">
            <w:pPr>
              <w:pStyle w:val="Normlny0"/>
              <w:jc w:val="center"/>
            </w:pPr>
            <w:r w:rsidRPr="0031503F">
              <w:t>§ 12</w:t>
            </w:r>
          </w:p>
          <w:p w:rsidR="00614D3C" w:rsidRPr="0031503F" w:rsidRDefault="00614D3C" w:rsidP="00614D3C">
            <w:pPr>
              <w:pStyle w:val="Normlny0"/>
              <w:jc w:val="center"/>
            </w:pPr>
            <w:r w:rsidRPr="0031503F">
              <w:t>O:1</w:t>
            </w:r>
          </w:p>
          <w:p w:rsidR="00614D3C" w:rsidRPr="0031503F" w:rsidRDefault="00614D3C" w:rsidP="00614D3C">
            <w:pPr>
              <w:pStyle w:val="Normlny0"/>
              <w:jc w:val="center"/>
            </w:pPr>
          </w:p>
          <w:p w:rsidR="00614D3C" w:rsidRPr="0031503F" w:rsidRDefault="00614D3C" w:rsidP="00614D3C">
            <w:pPr>
              <w:pStyle w:val="Normlny0"/>
              <w:jc w:val="center"/>
            </w:pPr>
          </w:p>
          <w:p w:rsidR="00614D3C" w:rsidRPr="0031503F" w:rsidRDefault="00614D3C" w:rsidP="00614D3C">
            <w:pPr>
              <w:pStyle w:val="Normlny0"/>
              <w:jc w:val="center"/>
            </w:pPr>
          </w:p>
          <w:p w:rsidR="00614D3C" w:rsidRPr="0031503F" w:rsidRDefault="00614D3C" w:rsidP="00614D3C">
            <w:pPr>
              <w:pStyle w:val="Normlny0"/>
              <w:jc w:val="center"/>
            </w:pPr>
          </w:p>
          <w:p w:rsidR="00614D3C" w:rsidRPr="0031503F" w:rsidRDefault="00614D3C" w:rsidP="00614D3C">
            <w:pPr>
              <w:pStyle w:val="Normlny0"/>
              <w:jc w:val="center"/>
            </w:pPr>
          </w:p>
          <w:p w:rsidR="00614D3C" w:rsidRPr="0031503F" w:rsidRDefault="00614D3C" w:rsidP="00614D3C">
            <w:pPr>
              <w:pStyle w:val="Normlny0"/>
              <w:jc w:val="center"/>
            </w:pPr>
            <w:r w:rsidRPr="0031503F">
              <w:t>P:a)</w:t>
            </w:r>
          </w:p>
          <w:p w:rsidR="00673319" w:rsidRPr="0031503F" w:rsidRDefault="00673319" w:rsidP="00614D3C">
            <w:pPr>
              <w:pStyle w:val="Normlny0"/>
            </w:pPr>
          </w:p>
          <w:p w:rsidR="00673319" w:rsidRPr="0031503F" w:rsidRDefault="00673319" w:rsidP="00090ADC">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464C43" w:rsidRPr="0031503F" w:rsidRDefault="00464C43" w:rsidP="00F7117F">
            <w:pPr>
              <w:pStyle w:val="Normlny0"/>
              <w:jc w:val="center"/>
            </w:pPr>
          </w:p>
          <w:p w:rsidR="00090ADC" w:rsidRPr="0031503F" w:rsidRDefault="00090ADC" w:rsidP="00C96341">
            <w:pPr>
              <w:pStyle w:val="Normlny0"/>
            </w:pPr>
          </w:p>
          <w:p w:rsidR="00673319" w:rsidRPr="0031503F" w:rsidRDefault="00673319" w:rsidP="00C96341">
            <w:pPr>
              <w:pStyle w:val="Normlny0"/>
            </w:pPr>
          </w:p>
          <w:p w:rsidR="007219FA" w:rsidRPr="0031503F" w:rsidRDefault="007219FA" w:rsidP="00C96341">
            <w:pPr>
              <w:pStyle w:val="Normlny0"/>
            </w:pPr>
          </w:p>
          <w:p w:rsidR="00090ADC" w:rsidRPr="0031503F" w:rsidRDefault="00090ADC" w:rsidP="00090ADC">
            <w:pPr>
              <w:pStyle w:val="Normlny0"/>
            </w:pPr>
          </w:p>
          <w:p w:rsidR="00C96341" w:rsidRPr="0031503F" w:rsidRDefault="00C96341" w:rsidP="00C96341">
            <w:pPr>
              <w:pStyle w:val="Normlny0"/>
              <w:jc w:val="center"/>
            </w:pPr>
            <w:r w:rsidRPr="0031503F">
              <w:t>§ 35</w:t>
            </w:r>
          </w:p>
          <w:p w:rsidR="00C96341" w:rsidRPr="0031503F" w:rsidRDefault="00C96341" w:rsidP="00C96341">
            <w:pPr>
              <w:pStyle w:val="Normlny0"/>
              <w:jc w:val="center"/>
            </w:pPr>
            <w:r w:rsidRPr="0031503F">
              <w:t>O:7</w:t>
            </w:r>
          </w:p>
          <w:p w:rsidR="00F7117F" w:rsidRPr="0031503F" w:rsidRDefault="00F7117F" w:rsidP="00C96341">
            <w:pPr>
              <w:pStyle w:val="Normlny0"/>
              <w:jc w:val="center"/>
            </w:pPr>
          </w:p>
        </w:tc>
        <w:tc>
          <w:tcPr>
            <w:tcW w:w="2051" w:type="dxa"/>
            <w:tcBorders>
              <w:top w:val="single" w:sz="4" w:space="0" w:color="auto"/>
              <w:bottom w:val="single" w:sz="4" w:space="0" w:color="auto"/>
            </w:tcBorders>
          </w:tcPr>
          <w:p w:rsidR="00F7117F" w:rsidRPr="0031503F" w:rsidRDefault="00F7117F" w:rsidP="006B32BC">
            <w:pPr>
              <w:pStyle w:val="Standard"/>
              <w:spacing w:line="240" w:lineRule="auto"/>
              <w:rPr>
                <w:rFonts w:ascii="Times New Roman" w:hAnsi="Times New Roman" w:cs="Times New Roman"/>
                <w:b/>
                <w:sz w:val="20"/>
                <w:szCs w:val="20"/>
              </w:rPr>
            </w:pPr>
          </w:p>
          <w:p w:rsidR="00344C0A" w:rsidRPr="0031503F" w:rsidRDefault="00954D08" w:rsidP="006B32BC">
            <w:pPr>
              <w:pStyle w:val="Standard"/>
              <w:spacing w:line="240" w:lineRule="auto"/>
              <w:rPr>
                <w:rFonts w:ascii="Times New Roman" w:hAnsi="Times New Roman" w:cs="Times New Roman"/>
                <w:b/>
                <w:sz w:val="20"/>
                <w:szCs w:val="20"/>
              </w:rPr>
            </w:pPr>
            <w:r w:rsidRPr="0031503F">
              <w:rPr>
                <w:rFonts w:ascii="Times New Roman" w:hAnsi="Times New Roman" w:cs="Times New Roman"/>
                <w:b/>
                <w:sz w:val="20"/>
                <w:szCs w:val="20"/>
              </w:rPr>
              <w:t xml:space="preserve">ZOZNAM PREBERANÝCH PRÁVNE </w:t>
            </w:r>
            <w:r w:rsidRPr="0031503F">
              <w:rPr>
                <w:rFonts w:ascii="Times New Roman" w:hAnsi="Times New Roman" w:cs="Times New Roman"/>
                <w:b/>
                <w:caps/>
                <w:sz w:val="20"/>
                <w:szCs w:val="20"/>
              </w:rPr>
              <w:t>ZÁVäzných</w:t>
            </w:r>
            <w:r w:rsidR="00344C0A" w:rsidRPr="0031503F">
              <w:rPr>
                <w:rFonts w:ascii="Times New Roman" w:hAnsi="Times New Roman" w:cs="Times New Roman"/>
                <w:b/>
                <w:sz w:val="20"/>
                <w:szCs w:val="20"/>
              </w:rPr>
              <w:t xml:space="preserve"> AKTOV EURÓPSKEJ ÚNIE</w:t>
            </w:r>
          </w:p>
          <w:p w:rsidR="002C3970" w:rsidRPr="0031503F" w:rsidRDefault="00344C0A" w:rsidP="00DF4574">
            <w:pPr>
              <w:rPr>
                <w:rFonts w:ascii="Times New Roman" w:hAnsi="Times New Roman" w:cs="Times New Roman"/>
                <w:sz w:val="20"/>
                <w:szCs w:val="20"/>
              </w:rPr>
            </w:pPr>
            <w:r w:rsidRPr="0031503F">
              <w:rPr>
                <w:rFonts w:ascii="Times New Roman" w:hAnsi="Times New Roman" w:cs="Times New Roman"/>
                <w:sz w:val="20"/>
                <w:szCs w:val="20"/>
              </w:rPr>
              <w:t>1. Smernica Európskeho parlamentu a Rady (EÚ) 2022/2381 z 23. novembra 2022 o zlepšení rodovej vyváženosti medzi riadiacimi pracovníkmi kótovaných spoločností a súvisiacich opatreniach.</w:t>
            </w:r>
          </w:p>
          <w:p w:rsidR="00090ADC" w:rsidRPr="0031503F" w:rsidRDefault="00090ADC" w:rsidP="00DF4574">
            <w:pPr>
              <w:rPr>
                <w:rFonts w:ascii="Times New Roman" w:hAnsi="Times New Roman" w:cs="Times New Roman"/>
                <w:sz w:val="20"/>
                <w:szCs w:val="20"/>
              </w:rPr>
            </w:pPr>
          </w:p>
          <w:p w:rsidR="00090ADC" w:rsidRPr="0031503F" w:rsidRDefault="000E1F4B" w:rsidP="000E1F4B">
            <w:pPr>
              <w:pStyle w:val="Standard"/>
              <w:shd w:val="clear" w:color="auto" w:fill="FFFFFF" w:themeFill="background1"/>
              <w:spacing w:line="240" w:lineRule="auto"/>
              <w:jc w:val="both"/>
              <w:rPr>
                <w:rFonts w:ascii="Times New Roman" w:hAnsi="Times New Roman" w:cs="Times New Roman"/>
                <w:sz w:val="20"/>
                <w:szCs w:val="20"/>
              </w:rPr>
            </w:pPr>
            <w:r w:rsidRPr="0031503F">
              <w:rPr>
                <w:rFonts w:ascii="Times New Roman" w:hAnsi="Times New Roman" w:cs="Times New Roman"/>
                <w:sz w:val="20"/>
                <w:szCs w:val="20"/>
              </w:rPr>
              <w:t xml:space="preserve">Tento zákon nadobúda účinnosť 28. decembra 2024 a stráca účinnosť 31. decembra 2038. </w:t>
            </w:r>
          </w:p>
          <w:p w:rsidR="00090ADC" w:rsidRPr="0031503F" w:rsidRDefault="00090ADC" w:rsidP="000E1F4B">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F7117F" w:rsidRPr="0031503F" w:rsidRDefault="00090ADC" w:rsidP="00090ADC">
            <w:pPr>
              <w:jc w:val="both"/>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p w:rsidR="00673319" w:rsidRPr="0031503F" w:rsidRDefault="00673319" w:rsidP="00090ADC">
            <w:pPr>
              <w:jc w:val="both"/>
              <w:rPr>
                <w:rFonts w:ascii="Times New Roman" w:hAnsi="Times New Roman" w:cs="Times New Roman"/>
                <w:sz w:val="20"/>
                <w:szCs w:val="20"/>
              </w:rPr>
            </w:pPr>
          </w:p>
          <w:p w:rsidR="00614D3C" w:rsidRPr="0031503F" w:rsidRDefault="00614D3C" w:rsidP="00614D3C">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Zbierka zákonov je štátnym publikačným nástrojom Slovenskej republiky. V zbierke zákonov sa uverejnením vyhlasujú</w:t>
            </w:r>
          </w:p>
          <w:p w:rsidR="00614D3C" w:rsidRPr="0031503F" w:rsidRDefault="00614D3C" w:rsidP="00614D3C">
            <w:pPr>
              <w:shd w:val="clear" w:color="auto" w:fill="FFFFFF"/>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právne predpisy,</w:t>
            </w:r>
          </w:p>
          <w:p w:rsidR="00F7117F" w:rsidRPr="0031503F" w:rsidRDefault="00F7117F" w:rsidP="00DF4574">
            <w:pPr>
              <w:rPr>
                <w:rFonts w:ascii="Times New Roman" w:hAnsi="Times New Roman" w:cs="Times New Roman"/>
                <w:sz w:val="20"/>
                <w:szCs w:val="20"/>
              </w:rPr>
            </w:pPr>
          </w:p>
          <w:p w:rsidR="00673319" w:rsidRPr="0031503F" w:rsidRDefault="00673319" w:rsidP="00DF4574">
            <w:pPr>
              <w:rPr>
                <w:rFonts w:ascii="Times New Roman" w:hAnsi="Times New Roman" w:cs="Times New Roman"/>
                <w:sz w:val="20"/>
                <w:szCs w:val="20"/>
              </w:rPr>
            </w:pPr>
          </w:p>
          <w:p w:rsidR="00C96341" w:rsidRPr="0031503F" w:rsidRDefault="00C96341" w:rsidP="00F7117F">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673319" w:rsidRPr="0031503F" w:rsidRDefault="00673319" w:rsidP="00F7117F">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p>
          <w:p w:rsidR="00F7117F" w:rsidRPr="0031503F" w:rsidRDefault="00C96341" w:rsidP="00C96341">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tc>
        <w:tc>
          <w:tcPr>
            <w:tcW w:w="727" w:type="dxa"/>
            <w:tcBorders>
              <w:top w:val="single" w:sz="4" w:space="0" w:color="auto"/>
              <w:bottom w:val="single" w:sz="4" w:space="0" w:color="auto"/>
            </w:tcBorders>
          </w:tcPr>
          <w:p w:rsidR="006C729B" w:rsidRDefault="006C729B" w:rsidP="00CB3223">
            <w:pPr>
              <w:jc w:val="center"/>
              <w:rPr>
                <w:rFonts w:ascii="Times New Roman" w:hAnsi="Times New Roman" w:cs="Times New Roman"/>
                <w:sz w:val="20"/>
                <w:szCs w:val="20"/>
              </w:rPr>
            </w:pPr>
          </w:p>
          <w:p w:rsidR="00CB077E" w:rsidRPr="0031503F" w:rsidRDefault="006C729B" w:rsidP="00CB3223">
            <w:pPr>
              <w:jc w:val="center"/>
              <w:rPr>
                <w:rFonts w:ascii="Times New Roman" w:hAnsi="Times New Roman" w:cs="Times New Roman"/>
                <w:sz w:val="20"/>
                <w:szCs w:val="20"/>
              </w:rPr>
            </w:pPr>
            <w:r>
              <w:rPr>
                <w:rFonts w:ascii="Times New Roman" w:hAnsi="Times New Roman" w:cs="Times New Roman"/>
                <w:sz w:val="20"/>
                <w:szCs w:val="20"/>
              </w:rPr>
              <w:t>Ú</w:t>
            </w: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E1F4B" w:rsidRPr="0031503F" w:rsidRDefault="000E1F4B" w:rsidP="00CB3223">
            <w:pPr>
              <w:jc w:val="center"/>
              <w:rPr>
                <w:rFonts w:ascii="Times New Roman" w:hAnsi="Times New Roman" w:cs="Times New Roman"/>
                <w:sz w:val="20"/>
                <w:szCs w:val="20"/>
              </w:rPr>
            </w:pPr>
          </w:p>
          <w:p w:rsidR="00090ADC" w:rsidRPr="0031503F" w:rsidRDefault="00090ADC" w:rsidP="00CB3223">
            <w:pPr>
              <w:jc w:val="center"/>
              <w:rPr>
                <w:rFonts w:ascii="Times New Roman" w:hAnsi="Times New Roman" w:cs="Times New Roman"/>
                <w:sz w:val="20"/>
                <w:szCs w:val="20"/>
              </w:rPr>
            </w:pPr>
          </w:p>
          <w:p w:rsidR="00090ADC" w:rsidRPr="0031503F" w:rsidRDefault="00090ADC" w:rsidP="00CB3223">
            <w:pPr>
              <w:jc w:val="center"/>
              <w:rPr>
                <w:rFonts w:ascii="Times New Roman" w:hAnsi="Times New Roman" w:cs="Times New Roman"/>
                <w:sz w:val="20"/>
                <w:szCs w:val="20"/>
              </w:rPr>
            </w:pPr>
          </w:p>
          <w:p w:rsidR="00090ADC" w:rsidRPr="0031503F" w:rsidRDefault="00090ADC" w:rsidP="00CB3223">
            <w:pPr>
              <w:jc w:val="center"/>
              <w:rPr>
                <w:rFonts w:ascii="Times New Roman" w:hAnsi="Times New Roman" w:cs="Times New Roman"/>
                <w:sz w:val="20"/>
                <w:szCs w:val="20"/>
              </w:rPr>
            </w:pPr>
          </w:p>
          <w:p w:rsidR="00090ADC" w:rsidRPr="0031503F" w:rsidRDefault="00090ADC" w:rsidP="00CB3223">
            <w:pPr>
              <w:jc w:val="center"/>
              <w:rPr>
                <w:rFonts w:ascii="Times New Roman" w:hAnsi="Times New Roman" w:cs="Times New Roman"/>
                <w:sz w:val="20"/>
                <w:szCs w:val="20"/>
              </w:rPr>
            </w:pPr>
          </w:p>
          <w:p w:rsidR="00090ADC" w:rsidRPr="0031503F" w:rsidRDefault="00090ADC" w:rsidP="00CB3223">
            <w:pPr>
              <w:jc w:val="center"/>
              <w:rPr>
                <w:rFonts w:ascii="Times New Roman" w:hAnsi="Times New Roman" w:cs="Times New Roman"/>
                <w:sz w:val="20"/>
                <w:szCs w:val="20"/>
              </w:rPr>
            </w:pPr>
          </w:p>
          <w:p w:rsidR="00CB077E" w:rsidRPr="0031503F" w:rsidRDefault="00CB077E" w:rsidP="00CB3223">
            <w:pPr>
              <w:jc w:val="cente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Pr="0031503F" w:rsidRDefault="00CB077E" w:rsidP="00CB077E">
            <w:pPr>
              <w:rPr>
                <w:rFonts w:ascii="Times New Roman" w:hAnsi="Times New Roman" w:cs="Times New Roman"/>
                <w:sz w:val="20"/>
                <w:szCs w:val="20"/>
              </w:rPr>
            </w:pPr>
          </w:p>
          <w:p w:rsidR="00CB077E" w:rsidRDefault="00CB077E" w:rsidP="00CB077E">
            <w:pPr>
              <w:rPr>
                <w:rFonts w:ascii="Times New Roman" w:hAnsi="Times New Roman" w:cs="Times New Roman"/>
                <w:sz w:val="20"/>
                <w:szCs w:val="20"/>
              </w:rPr>
            </w:pPr>
          </w:p>
          <w:p w:rsidR="006C729B" w:rsidRDefault="006C729B" w:rsidP="00CB077E">
            <w:pPr>
              <w:rPr>
                <w:rFonts w:ascii="Times New Roman" w:hAnsi="Times New Roman" w:cs="Times New Roman"/>
                <w:sz w:val="20"/>
                <w:szCs w:val="20"/>
              </w:rPr>
            </w:pPr>
          </w:p>
          <w:p w:rsidR="006C729B" w:rsidRDefault="006C729B" w:rsidP="00CB077E">
            <w:pPr>
              <w:rPr>
                <w:rFonts w:ascii="Times New Roman" w:hAnsi="Times New Roman" w:cs="Times New Roman"/>
                <w:sz w:val="20"/>
                <w:szCs w:val="20"/>
              </w:rPr>
            </w:pPr>
          </w:p>
          <w:p w:rsidR="006C729B" w:rsidRDefault="006C729B" w:rsidP="00CB077E">
            <w:pPr>
              <w:rPr>
                <w:rFonts w:ascii="Times New Roman" w:hAnsi="Times New Roman" w:cs="Times New Roman"/>
                <w:sz w:val="20"/>
                <w:szCs w:val="20"/>
              </w:rPr>
            </w:pPr>
          </w:p>
          <w:p w:rsidR="006C729B" w:rsidRDefault="006C729B" w:rsidP="00CB077E">
            <w:pPr>
              <w:rPr>
                <w:rFonts w:ascii="Times New Roman" w:hAnsi="Times New Roman" w:cs="Times New Roman"/>
                <w:sz w:val="20"/>
                <w:szCs w:val="20"/>
              </w:rPr>
            </w:pPr>
          </w:p>
          <w:p w:rsidR="006C729B" w:rsidRDefault="006C729B" w:rsidP="00CB077E">
            <w:pPr>
              <w:rPr>
                <w:rFonts w:ascii="Times New Roman" w:hAnsi="Times New Roman" w:cs="Times New Roman"/>
                <w:sz w:val="20"/>
                <w:szCs w:val="20"/>
              </w:rPr>
            </w:pPr>
          </w:p>
          <w:p w:rsidR="006C729B" w:rsidRDefault="006C729B" w:rsidP="009521A7">
            <w:pPr>
              <w:jc w:val="center"/>
              <w:rPr>
                <w:rFonts w:ascii="Times New Roman" w:hAnsi="Times New Roman" w:cs="Times New Roman"/>
                <w:sz w:val="20"/>
                <w:szCs w:val="20"/>
              </w:rPr>
            </w:pPr>
            <w:r>
              <w:rPr>
                <w:rFonts w:ascii="Times New Roman" w:hAnsi="Times New Roman" w:cs="Times New Roman"/>
                <w:sz w:val="20"/>
                <w:szCs w:val="20"/>
              </w:rPr>
              <w:t>n.a.</w:t>
            </w: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Default="009436CD" w:rsidP="009521A7">
            <w:pPr>
              <w:jc w:val="center"/>
              <w:rPr>
                <w:rFonts w:ascii="Times New Roman" w:hAnsi="Times New Roman" w:cs="Times New Roman"/>
                <w:sz w:val="20"/>
                <w:szCs w:val="20"/>
              </w:rPr>
            </w:pPr>
          </w:p>
          <w:p w:rsidR="009436CD" w:rsidRPr="0031503F" w:rsidRDefault="009436CD" w:rsidP="009521A7">
            <w:pPr>
              <w:jc w:val="center"/>
              <w:rPr>
                <w:rFonts w:ascii="Times New Roman" w:hAnsi="Times New Roman" w:cs="Times New Roman"/>
                <w:sz w:val="20"/>
                <w:szCs w:val="20"/>
              </w:rPr>
            </w:pPr>
            <w:r>
              <w:rPr>
                <w:rFonts w:ascii="Times New Roman" w:hAnsi="Times New Roman" w:cs="Times New Roman"/>
                <w:sz w:val="20"/>
                <w:szCs w:val="20"/>
              </w:rPr>
              <w:t>Ú</w:t>
            </w:r>
          </w:p>
        </w:tc>
        <w:tc>
          <w:tcPr>
            <w:tcW w:w="1191"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b/>
                <w:sz w:val="20"/>
                <w:szCs w:val="20"/>
              </w:rPr>
            </w:pPr>
          </w:p>
          <w:p w:rsidR="007D1252" w:rsidRPr="0031503F" w:rsidRDefault="007D1252" w:rsidP="00CB3223">
            <w:pPr>
              <w:jc w:val="center"/>
              <w:rPr>
                <w:rFonts w:ascii="Times New Roman" w:hAnsi="Times New Roman" w:cs="Times New Roman"/>
                <w:b/>
                <w:sz w:val="20"/>
                <w:szCs w:val="20"/>
              </w:rPr>
            </w:pPr>
          </w:p>
          <w:p w:rsidR="007D1252" w:rsidRPr="0031503F" w:rsidRDefault="007D1252"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0E1F4B" w:rsidRPr="0031503F" w:rsidRDefault="000E1F4B" w:rsidP="00C96341">
            <w:pP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0E1F4B" w:rsidRPr="0031503F" w:rsidRDefault="000E1F4B"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96341">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673319" w:rsidRPr="0031503F" w:rsidRDefault="00673319" w:rsidP="00614D3C">
            <w:pPr>
              <w:rPr>
                <w:rFonts w:ascii="Times New Roman" w:hAnsi="Times New Roman" w:cs="Times New Roman"/>
                <w:b/>
                <w:sz w:val="20"/>
                <w:szCs w:val="20"/>
              </w:rPr>
            </w:pPr>
          </w:p>
          <w:p w:rsidR="00673319" w:rsidRPr="0031503F" w:rsidRDefault="00673319"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Default="00614D3C" w:rsidP="00CB3223">
            <w:pPr>
              <w:jc w:val="center"/>
              <w:rPr>
                <w:rFonts w:ascii="Times New Roman" w:hAnsi="Times New Roman" w:cs="Times New Roman"/>
                <w:b/>
                <w:sz w:val="20"/>
                <w:szCs w:val="20"/>
              </w:rPr>
            </w:pPr>
          </w:p>
          <w:p w:rsidR="006C729B" w:rsidRPr="0031503F" w:rsidRDefault="006C729B"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p>
          <w:p w:rsidR="00614D3C" w:rsidRPr="0031503F" w:rsidRDefault="00614D3C"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5D39DF" w:rsidRPr="0031503F" w:rsidRDefault="00336AF5"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12</w:t>
            </w:r>
          </w:p>
        </w:tc>
        <w:tc>
          <w:tcPr>
            <w:tcW w:w="2837" w:type="dxa"/>
            <w:tcBorders>
              <w:top w:val="single" w:sz="4" w:space="0" w:color="auto"/>
              <w:bottom w:val="single" w:sz="4" w:space="0" w:color="auto"/>
            </w:tcBorders>
          </w:tcPr>
          <w:p w:rsidR="005D39DF" w:rsidRPr="0031503F" w:rsidRDefault="00336AF5" w:rsidP="00CB3223">
            <w:pPr>
              <w:shd w:val="clear" w:color="auto" w:fill="FFFFFF"/>
              <w:jc w:val="both"/>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Pozastavenie uplatňovania článku 6</w:t>
            </w:r>
          </w:p>
        </w:tc>
        <w:tc>
          <w:tcPr>
            <w:tcW w:w="828"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5D39DF" w:rsidRPr="0031503F" w:rsidRDefault="005D39DF" w:rsidP="00CB3223">
            <w:pP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5D39DF" w:rsidRPr="0031503F" w:rsidRDefault="005D39DF" w:rsidP="00CB3223">
            <w:pPr>
              <w:pStyle w:val="Normlny0"/>
              <w:jc w:val="center"/>
            </w:pPr>
          </w:p>
        </w:tc>
        <w:tc>
          <w:tcPr>
            <w:tcW w:w="2051" w:type="dxa"/>
            <w:tcBorders>
              <w:top w:val="single" w:sz="4" w:space="0" w:color="auto"/>
              <w:bottom w:val="single" w:sz="4" w:space="0" w:color="auto"/>
            </w:tcBorders>
          </w:tcPr>
          <w:p w:rsidR="005D39DF" w:rsidRPr="0031503F" w:rsidRDefault="005D39DF"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5D39DF"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Č: 12</w:t>
            </w: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O: 1</w:t>
            </w: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P:a)</w:t>
            </w: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P:b)</w:t>
            </w: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B: i)</w:t>
            </w: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E50667" w:rsidRPr="0031503F" w:rsidRDefault="00E5066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B: ii)</w:t>
            </w:r>
          </w:p>
          <w:p w:rsidR="009144E7" w:rsidRPr="0031503F" w:rsidRDefault="009144E7"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p>
          <w:p w:rsidR="000706E5" w:rsidRPr="0031503F" w:rsidRDefault="000706E5" w:rsidP="00AC470E">
            <w:pPr>
              <w:jc w:val="both"/>
              <w:rPr>
                <w:rFonts w:ascii="Times New Roman" w:hAnsi="Times New Roman" w:cs="Times New Roman"/>
                <w:b/>
                <w:bCs/>
                <w:sz w:val="20"/>
                <w:szCs w:val="20"/>
              </w:rPr>
            </w:pPr>
          </w:p>
          <w:p w:rsidR="000706E5" w:rsidRPr="0031503F" w:rsidRDefault="000706E5" w:rsidP="00AC470E">
            <w:pPr>
              <w:jc w:val="both"/>
              <w:rPr>
                <w:rFonts w:ascii="Times New Roman" w:hAnsi="Times New Roman" w:cs="Times New Roman"/>
                <w:b/>
                <w:bCs/>
                <w:sz w:val="20"/>
                <w:szCs w:val="20"/>
              </w:rPr>
            </w:pPr>
          </w:p>
          <w:p w:rsidR="000706E5" w:rsidRPr="0031503F" w:rsidRDefault="000706E5" w:rsidP="00AC470E">
            <w:pPr>
              <w:jc w:val="both"/>
              <w:rPr>
                <w:rFonts w:ascii="Times New Roman" w:hAnsi="Times New Roman" w:cs="Times New Roman"/>
                <w:b/>
                <w:bCs/>
                <w:sz w:val="20"/>
                <w:szCs w:val="20"/>
              </w:rPr>
            </w:pPr>
          </w:p>
          <w:p w:rsidR="009144E7" w:rsidRPr="0031503F" w:rsidRDefault="009144E7"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B: iii) </w:t>
            </w: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704837" w:rsidRPr="0031503F" w:rsidRDefault="00704837" w:rsidP="00AC470E">
            <w:pPr>
              <w:jc w:val="both"/>
              <w:rPr>
                <w:rFonts w:ascii="Times New Roman" w:hAnsi="Times New Roman" w:cs="Times New Roman"/>
                <w:b/>
                <w:bCs/>
                <w:sz w:val="20"/>
                <w:szCs w:val="20"/>
              </w:rPr>
            </w:pPr>
          </w:p>
          <w:p w:rsidR="00704837" w:rsidRPr="0031503F" w:rsidRDefault="00704837"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9D0679" w:rsidRPr="0031503F" w:rsidRDefault="009D0679"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O:2</w:t>
            </w: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E50667" w:rsidRPr="0031503F" w:rsidRDefault="00E50667" w:rsidP="00AC470E">
            <w:pPr>
              <w:jc w:val="both"/>
              <w:rPr>
                <w:rFonts w:ascii="Times New Roman" w:hAnsi="Times New Roman" w:cs="Times New Roman"/>
                <w:b/>
                <w:bCs/>
                <w:sz w:val="20"/>
                <w:szCs w:val="20"/>
              </w:rPr>
            </w:pPr>
          </w:p>
          <w:p w:rsidR="00AC470E" w:rsidRPr="0031503F" w:rsidRDefault="00AC470E" w:rsidP="00AC470E">
            <w:pPr>
              <w:jc w:val="both"/>
              <w:rPr>
                <w:rFonts w:ascii="Times New Roman" w:hAnsi="Times New Roman" w:cs="Times New Roman"/>
                <w:b/>
                <w:bCs/>
                <w:sz w:val="20"/>
                <w:szCs w:val="20"/>
              </w:rPr>
            </w:pPr>
          </w:p>
          <w:p w:rsidR="00B75E11" w:rsidRPr="0031503F" w:rsidRDefault="00B75E11" w:rsidP="00AC470E">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O:3 </w:t>
            </w:r>
          </w:p>
        </w:tc>
        <w:tc>
          <w:tcPr>
            <w:tcW w:w="2837" w:type="dxa"/>
            <w:tcBorders>
              <w:top w:val="single" w:sz="4" w:space="0" w:color="auto"/>
              <w:bottom w:val="single" w:sz="4" w:space="0" w:color="auto"/>
            </w:tcBorders>
          </w:tcPr>
          <w:p w:rsidR="009144E7" w:rsidRPr="0031503F" w:rsidRDefault="009144E7" w:rsidP="00AC470E">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Členský štát môže pozastaviť uplatňovanie článku 6 a v relevantnom prípade článku 5 ods. 2, ak do 27. decembra 2022 boli v uvedenom členskom štáte splnené tieto podmienky:</w:t>
            </w:r>
          </w:p>
          <w:p w:rsidR="009144E7" w:rsidRPr="0031503F" w:rsidRDefault="009144E7" w:rsidP="00AC470E">
            <w:pPr>
              <w:shd w:val="clear" w:color="auto" w:fill="FFFFFF"/>
              <w:jc w:val="both"/>
              <w:rPr>
                <w:rFonts w:ascii="Times New Roman" w:eastAsia="Times New Roman" w:hAnsi="Times New Roman" w:cs="Times New Roman"/>
                <w:color w:val="333333"/>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20"/>
              <w:gridCol w:w="2601"/>
            </w:tblGrid>
            <w:tr w:rsidR="009144E7" w:rsidRPr="0031503F" w:rsidTr="000706E5">
              <w:tc>
                <w:tcPr>
                  <w:tcW w:w="6" w:type="dxa"/>
                  <w:shd w:val="clear" w:color="auto" w:fill="auto"/>
                  <w:hideMark/>
                </w:tcPr>
                <w:p w:rsidR="009144E7" w:rsidRPr="0031503F" w:rsidRDefault="009144E7" w:rsidP="00AC470E">
                  <w:pPr>
                    <w:spacing w:after="0" w:line="240" w:lineRule="auto"/>
                    <w:jc w:val="both"/>
                    <w:rPr>
                      <w:rFonts w:ascii="Times New Roman" w:eastAsia="Times New Roman" w:hAnsi="Times New Roman" w:cs="Times New Roman"/>
                      <w:sz w:val="20"/>
                      <w:szCs w:val="20"/>
                      <w:lang w:eastAsia="sk-SK"/>
                    </w:rPr>
                  </w:pPr>
                </w:p>
              </w:tc>
              <w:tc>
                <w:tcPr>
                  <w:tcW w:w="2615" w:type="dxa"/>
                  <w:shd w:val="clear" w:color="auto" w:fill="auto"/>
                  <w:hideMark/>
                </w:tcPr>
                <w:p w:rsidR="009144E7" w:rsidRPr="0031503F" w:rsidRDefault="009144E7" w:rsidP="00AC470E">
                  <w:pPr>
                    <w:spacing w:after="0" w:line="240" w:lineRule="auto"/>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príslušníci menej zastúpeného pohlavia zastávajú najmenej 30 % pozícií nevýkonných riadiacich pracovníkov alebo najmenej 25 % všetkých pozícií riadiacich pracovníkov v kótovaných spoločnostiach; alebo</w:t>
                  </w:r>
                </w:p>
                <w:p w:rsidR="009144E7" w:rsidRPr="0031503F" w:rsidRDefault="009144E7" w:rsidP="00AC470E">
                  <w:pPr>
                    <w:spacing w:after="0" w:line="240" w:lineRule="auto"/>
                    <w:jc w:val="both"/>
                    <w:rPr>
                      <w:rFonts w:ascii="Times New Roman" w:eastAsia="Times New Roman" w:hAnsi="Times New Roman" w:cs="Times New Roman"/>
                      <w:sz w:val="20"/>
                      <w:szCs w:val="20"/>
                      <w:lang w:eastAsia="sk-SK"/>
                    </w:rPr>
                  </w:pPr>
                </w:p>
              </w:tc>
            </w:tr>
          </w:tbl>
          <w:p w:rsidR="009144E7" w:rsidRPr="0031503F" w:rsidRDefault="009144E7" w:rsidP="00AC470E">
            <w:pPr>
              <w:shd w:val="clear" w:color="auto" w:fill="FFFFFF"/>
              <w:rPr>
                <w:rFonts w:ascii="Times New Roman" w:eastAsia="Times New Roman" w:hAnsi="Times New Roman" w:cs="Times New Roman"/>
                <w:vanish/>
                <w:color w:val="333333"/>
                <w:sz w:val="20"/>
                <w:szCs w:val="20"/>
                <w:lang w:eastAsia="sk-SK"/>
              </w:rPr>
            </w:pPr>
          </w:p>
          <w:p w:rsidR="00704837" w:rsidRPr="0031503F" w:rsidRDefault="00704837" w:rsidP="00AC470E">
            <w:pPr>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vo vnútroštátnom práve daného členského štátu:</w:t>
            </w:r>
          </w:p>
          <w:p w:rsidR="00704837" w:rsidRPr="0031503F" w:rsidRDefault="00704837" w:rsidP="00AC470E">
            <w:pPr>
              <w:shd w:val="clear" w:color="auto" w:fill="FFFFFF"/>
              <w:jc w:val="both"/>
              <w:rPr>
                <w:rFonts w:ascii="Times New Roman" w:eastAsia="Times New Roman" w:hAnsi="Times New Roman" w:cs="Times New Roman"/>
                <w:color w:val="333333"/>
                <w:sz w:val="20"/>
                <w:szCs w:val="20"/>
                <w:lang w:eastAsia="sk-SK"/>
              </w:rPr>
            </w:pPr>
          </w:p>
          <w:p w:rsidR="00AC470E" w:rsidRPr="0031503F" w:rsidRDefault="00AC470E" w:rsidP="00AC470E">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sz w:val="20"/>
                <w:szCs w:val="20"/>
                <w:lang w:eastAsia="sk-SK"/>
              </w:rPr>
              <w:t>sa vyžaduje, aby príslušníci menej zastúpeného pohlavia zastávali najmenej 30 % pozícií nevýkonných riadiacich pracovníkov alebo najmenej 25 % všetkých pozícií riadiacich pracovníkov v kótovaných spoločnostiach;</w:t>
            </w:r>
          </w:p>
          <w:p w:rsidR="00AC470E" w:rsidRPr="0031503F" w:rsidRDefault="00AC470E" w:rsidP="00AC470E">
            <w:pPr>
              <w:shd w:val="clear" w:color="auto" w:fill="FFFFFF"/>
              <w:jc w:val="both"/>
              <w:rPr>
                <w:rFonts w:ascii="Times New Roman" w:eastAsia="Times New Roman" w:hAnsi="Times New Roman" w:cs="Times New Roman"/>
                <w:color w:val="333333"/>
                <w:sz w:val="20"/>
                <w:szCs w:val="20"/>
                <w:lang w:eastAsia="sk-SK"/>
              </w:rPr>
            </w:pPr>
          </w:p>
          <w:p w:rsidR="00AC470E" w:rsidRPr="0031503F" w:rsidRDefault="00AC470E" w:rsidP="00AC470E">
            <w:pPr>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sú v prípade nesplnenia požiadaviek uvedených v bode i) zahrnuté účinné, primerané a odrádzajúce opatrenia na presadzovanie; a</w:t>
            </w:r>
          </w:p>
          <w:p w:rsidR="003638FB" w:rsidRPr="0031503F" w:rsidRDefault="003638FB" w:rsidP="00AC470E">
            <w:pPr>
              <w:shd w:val="clear" w:color="auto" w:fill="FFFFFF"/>
              <w:jc w:val="both"/>
              <w:rPr>
                <w:rFonts w:ascii="Times New Roman" w:eastAsia="Times New Roman" w:hAnsi="Times New Roman" w:cs="Times New Roman"/>
                <w:color w:val="333333"/>
                <w:sz w:val="20"/>
                <w:szCs w:val="20"/>
                <w:lang w:eastAsia="sk-SK"/>
              </w:rPr>
            </w:pPr>
          </w:p>
          <w:p w:rsidR="00AC470E" w:rsidRPr="0031503F" w:rsidRDefault="00AC470E" w:rsidP="00AC470E">
            <w:pPr>
              <w:jc w:val="both"/>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sa vyžaduje, aby si všetky kótované spoločnosti, na ktoré sa takéto vnútroštátne právo nevzťahuje, stanovili individuálne kvantitatívne ciele pre všetky pozície riadiacich pracovníkov.</w:t>
            </w:r>
          </w:p>
          <w:p w:rsidR="00AC470E" w:rsidRPr="0031503F" w:rsidRDefault="00AC470E" w:rsidP="00AC470E">
            <w:pPr>
              <w:shd w:val="clear" w:color="auto" w:fill="FFFFFF"/>
              <w:jc w:val="both"/>
              <w:rPr>
                <w:rFonts w:ascii="Times New Roman" w:eastAsia="Times New Roman" w:hAnsi="Times New Roman" w:cs="Times New Roman"/>
                <w:color w:val="333333"/>
                <w:sz w:val="20"/>
                <w:szCs w:val="20"/>
                <w:lang w:eastAsia="sk-SK"/>
              </w:rPr>
            </w:pPr>
          </w:p>
          <w:p w:rsidR="009144E7" w:rsidRPr="0031503F" w:rsidRDefault="009144E7" w:rsidP="00AC470E">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Ak členský štát pozastavil uplatňovanie článku 6 a v relevantnom prípade článku 5 ods. 2 na základe niektorej z podmienok uvedených v prvom pododseku tohto odseku, ciele stanovené v článku 5 ods. 1 sa považujú za dosiahnuté v uvedenom členskom štáte.</w:t>
            </w:r>
          </w:p>
          <w:p w:rsidR="009144E7" w:rsidRPr="0031503F" w:rsidRDefault="009144E7" w:rsidP="00AC470E">
            <w:pPr>
              <w:pStyle w:val="Standard"/>
              <w:shd w:val="clear" w:color="auto" w:fill="FFFFFF" w:themeFill="background1"/>
              <w:spacing w:line="240" w:lineRule="auto"/>
              <w:jc w:val="both"/>
              <w:rPr>
                <w:rFonts w:ascii="Times New Roman" w:eastAsia="Times New Roman" w:hAnsi="Times New Roman" w:cs="Times New Roman"/>
                <w:color w:val="333333"/>
                <w:sz w:val="20"/>
                <w:szCs w:val="20"/>
                <w:lang w:eastAsia="sk-SK"/>
              </w:rPr>
            </w:pPr>
          </w:p>
          <w:p w:rsidR="009144E7" w:rsidRPr="0031503F" w:rsidRDefault="00B75E11" w:rsidP="00AC470E">
            <w:pPr>
              <w:pStyle w:val="Standard"/>
              <w:shd w:val="clear" w:color="auto" w:fill="FFFFFF" w:themeFill="background1"/>
              <w:spacing w:line="240" w:lineRule="auto"/>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Na účely posúdenia splnenia podmienok pre pozastavenie na základe odseku 1 prvého pododseku písm. a) alebo b) je počet požadovaných pozícií riadiacich pracovníkov počet, ktorý sa najviac približuje k podielu 30 % nevýkonných riadiacich pracovníkov alebo 25 % všetkých pozícií riadiacich pracovníkov, ale nie viac ako 39 %. Toto platí aj v prípade, ak sa podľa vnútroštátneho práva kvantitatívne ciele stanovené v článku 5 uplatnia samostatne pre zástupcov akcionárov a zástupcov zamestnancov.</w:t>
            </w:r>
          </w:p>
          <w:p w:rsidR="00A07DDB" w:rsidRPr="0031503F" w:rsidRDefault="00A07DDB" w:rsidP="00AC470E">
            <w:pPr>
              <w:pStyle w:val="Standard"/>
              <w:shd w:val="clear" w:color="auto" w:fill="FFFFFF" w:themeFill="background1"/>
              <w:spacing w:line="240" w:lineRule="auto"/>
              <w:jc w:val="both"/>
              <w:rPr>
                <w:rFonts w:ascii="Times New Roman" w:eastAsia="Times New Roman" w:hAnsi="Times New Roman" w:cs="Times New Roman"/>
                <w:color w:val="333333"/>
                <w:sz w:val="20"/>
                <w:szCs w:val="20"/>
                <w:lang w:eastAsia="sk-SK"/>
              </w:rPr>
            </w:pPr>
          </w:p>
          <w:p w:rsidR="00B75E11" w:rsidRPr="0031503F" w:rsidRDefault="00B75E11" w:rsidP="00AC470E">
            <w:pPr>
              <w:pStyle w:val="Standard"/>
              <w:shd w:val="clear" w:color="auto" w:fill="FFFFFF" w:themeFill="background1"/>
              <w:spacing w:line="240" w:lineRule="auto"/>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Ak v členskom štáte, ktorý pozastavil uplatňovanie článku 6 a v relevantnom prípade článku 5 ods. 2 podľa odseku 1 tohto článku, už nie sú splnené podmienky stanovené v odseku 1 tohto článku, článok 6 a v relevantnom prípade článok 5 ods. 2 sa uplatňujú najneskôr šesť mesiacov po tom, ako prestali byť splnené takéto podmienky.</w:t>
            </w:r>
          </w:p>
          <w:p w:rsidR="009144E7" w:rsidRPr="0031503F" w:rsidRDefault="009144E7" w:rsidP="00AC470E">
            <w:pPr>
              <w:pStyle w:val="Standard"/>
              <w:shd w:val="clear" w:color="auto" w:fill="FFFFFF" w:themeFill="background1"/>
              <w:spacing w:line="240" w:lineRule="auto"/>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0706E5" w:rsidRPr="0031503F" w:rsidRDefault="000706E5" w:rsidP="007B580A">
            <w:pPr>
              <w:jc w:val="center"/>
              <w:rPr>
                <w:rFonts w:ascii="Times New Roman" w:hAnsi="Times New Roman" w:cs="Times New Roman"/>
                <w:sz w:val="20"/>
                <w:szCs w:val="20"/>
              </w:rPr>
            </w:pPr>
            <w:r w:rsidRPr="0031503F">
              <w:rPr>
                <w:rFonts w:ascii="Times New Roman" w:hAnsi="Times New Roman" w:cs="Times New Roman"/>
                <w:sz w:val="20"/>
                <w:szCs w:val="20"/>
              </w:rPr>
              <w:t>D</w:t>
            </w:r>
          </w:p>
        </w:tc>
        <w:tc>
          <w:tcPr>
            <w:tcW w:w="1015" w:type="dxa"/>
            <w:tcBorders>
              <w:top w:val="single" w:sz="4" w:space="0" w:color="auto"/>
              <w:bottom w:val="single" w:sz="4" w:space="0" w:color="auto"/>
            </w:tcBorders>
          </w:tcPr>
          <w:p w:rsidR="005D39DF" w:rsidRPr="0031503F" w:rsidRDefault="005D39DF" w:rsidP="007B580A">
            <w:pPr>
              <w:jc w:val="cente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5D39DF" w:rsidRPr="0031503F" w:rsidRDefault="005D39DF" w:rsidP="00CB3223">
            <w:pPr>
              <w:pStyle w:val="Normlny0"/>
              <w:jc w:val="center"/>
            </w:pPr>
          </w:p>
        </w:tc>
        <w:tc>
          <w:tcPr>
            <w:tcW w:w="2051" w:type="dxa"/>
            <w:tcBorders>
              <w:top w:val="single" w:sz="4" w:space="0" w:color="auto"/>
              <w:bottom w:val="single" w:sz="4" w:space="0" w:color="auto"/>
            </w:tcBorders>
          </w:tcPr>
          <w:p w:rsidR="005D39DF" w:rsidRPr="0031503F" w:rsidRDefault="005D39DF"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5D39DF" w:rsidRPr="0031503F" w:rsidRDefault="005E0A0E" w:rsidP="00CB3223">
            <w:pPr>
              <w:jc w:val="center"/>
              <w:rPr>
                <w:rFonts w:ascii="Times New Roman" w:hAnsi="Times New Roman" w:cs="Times New Roman"/>
                <w:sz w:val="20"/>
                <w:szCs w:val="20"/>
              </w:rPr>
            </w:pPr>
            <w:r w:rsidRPr="0031503F">
              <w:rPr>
                <w:rFonts w:ascii="Times New Roman" w:hAnsi="Times New Roman" w:cs="Times New Roman"/>
                <w:sz w:val="20"/>
                <w:szCs w:val="20"/>
              </w:rPr>
              <w:t>Ž</w:t>
            </w:r>
          </w:p>
        </w:tc>
        <w:tc>
          <w:tcPr>
            <w:tcW w:w="1191" w:type="dxa"/>
            <w:tcBorders>
              <w:top w:val="single" w:sz="4" w:space="0" w:color="auto"/>
              <w:bottom w:val="single" w:sz="4" w:space="0" w:color="auto"/>
            </w:tcBorders>
          </w:tcPr>
          <w:p w:rsidR="005D39DF" w:rsidRPr="0031503F" w:rsidRDefault="005D39DF"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5D39DF"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5D39DF" w:rsidRPr="0031503F" w:rsidRDefault="005D39DF"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b/>
                <w:bCs/>
                <w:sz w:val="20"/>
                <w:szCs w:val="20"/>
              </w:rPr>
            </w:pPr>
            <w:r w:rsidRPr="0031503F">
              <w:rPr>
                <w:rFonts w:ascii="Times New Roman" w:hAnsi="Times New Roman" w:cs="Times New Roman"/>
                <w:b/>
                <w:bCs/>
                <w:sz w:val="20"/>
                <w:szCs w:val="20"/>
              </w:rPr>
              <w:t>Č:13</w:t>
            </w:r>
          </w:p>
        </w:tc>
        <w:tc>
          <w:tcPr>
            <w:tcW w:w="2837" w:type="dxa"/>
            <w:tcBorders>
              <w:top w:val="single" w:sz="4" w:space="0" w:color="auto"/>
              <w:bottom w:val="single" w:sz="4" w:space="0" w:color="auto"/>
            </w:tcBorders>
          </w:tcPr>
          <w:p w:rsidR="00AB1281" w:rsidRPr="0031503F" w:rsidRDefault="00AB1281" w:rsidP="00CB3223">
            <w:pPr>
              <w:pStyle w:val="Standard"/>
              <w:shd w:val="clear" w:color="auto" w:fill="FFFFFF" w:themeFill="background1"/>
              <w:spacing w:line="240" w:lineRule="auto"/>
              <w:jc w:val="both"/>
              <w:rPr>
                <w:rFonts w:ascii="Times New Roman" w:eastAsia="Times New Roman" w:hAnsi="Times New Roman" w:cs="Times New Roman"/>
                <w:b/>
                <w:color w:val="333333"/>
                <w:sz w:val="20"/>
                <w:szCs w:val="20"/>
                <w:lang w:eastAsia="sk-SK"/>
              </w:rPr>
            </w:pPr>
            <w:r w:rsidRPr="0031503F">
              <w:rPr>
                <w:rFonts w:ascii="Times New Roman" w:eastAsia="Times New Roman" w:hAnsi="Times New Roman" w:cs="Times New Roman"/>
                <w:b/>
                <w:color w:val="333333"/>
                <w:sz w:val="20"/>
                <w:szCs w:val="20"/>
                <w:lang w:eastAsia="sk-SK"/>
              </w:rPr>
              <w:t xml:space="preserve">Preskúmanie </w:t>
            </w:r>
          </w:p>
        </w:tc>
        <w:tc>
          <w:tcPr>
            <w:tcW w:w="828"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AB1281" w:rsidRPr="0031503F" w:rsidRDefault="00AB1281" w:rsidP="00CB3223">
            <w:pP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AB1281" w:rsidRPr="0031503F" w:rsidRDefault="00AB1281" w:rsidP="00CB3223">
            <w:pPr>
              <w:pStyle w:val="Normlny0"/>
              <w:jc w:val="center"/>
            </w:pPr>
          </w:p>
        </w:tc>
        <w:tc>
          <w:tcPr>
            <w:tcW w:w="2051" w:type="dxa"/>
            <w:tcBorders>
              <w:top w:val="single" w:sz="4" w:space="0" w:color="auto"/>
              <w:bottom w:val="single" w:sz="4" w:space="0" w:color="auto"/>
            </w:tcBorders>
          </w:tcPr>
          <w:p w:rsidR="00AB1281" w:rsidRPr="0031503F" w:rsidRDefault="00AB1281"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AB1281" w:rsidRPr="0031503F" w:rsidRDefault="00AB1281"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b/>
                <w:bCs/>
                <w:sz w:val="20"/>
                <w:szCs w:val="20"/>
              </w:rPr>
            </w:pPr>
            <w:r w:rsidRPr="0031503F">
              <w:rPr>
                <w:rFonts w:ascii="Times New Roman" w:hAnsi="Times New Roman" w:cs="Times New Roman"/>
                <w:b/>
                <w:bCs/>
                <w:sz w:val="20"/>
                <w:szCs w:val="20"/>
              </w:rPr>
              <w:t>Č: 13</w:t>
            </w:r>
          </w:p>
          <w:p w:rsidR="00AB1281" w:rsidRPr="0031503F" w:rsidRDefault="00AB1281" w:rsidP="00CB3223">
            <w:pPr>
              <w:jc w:val="center"/>
              <w:rPr>
                <w:rFonts w:ascii="Times New Roman" w:hAnsi="Times New Roman" w:cs="Times New Roman"/>
                <w:b/>
                <w:bCs/>
                <w:sz w:val="20"/>
                <w:szCs w:val="20"/>
              </w:rPr>
            </w:pPr>
            <w:r w:rsidRPr="0031503F">
              <w:rPr>
                <w:rFonts w:ascii="Times New Roman" w:hAnsi="Times New Roman" w:cs="Times New Roman"/>
                <w:b/>
                <w:bCs/>
                <w:sz w:val="20"/>
                <w:szCs w:val="20"/>
              </w:rPr>
              <w:t>O:1</w:t>
            </w: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5E1DFD" w:rsidRPr="0031503F" w:rsidRDefault="005E1DFD"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r w:rsidRPr="0031503F">
              <w:rPr>
                <w:rFonts w:ascii="Times New Roman" w:hAnsi="Times New Roman" w:cs="Times New Roman"/>
                <w:b/>
                <w:bCs/>
                <w:sz w:val="20"/>
                <w:szCs w:val="20"/>
              </w:rPr>
              <w:t>O:2</w:t>
            </w: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5E1DFD" w:rsidRPr="0031503F" w:rsidRDefault="005E1DFD" w:rsidP="00CB3223">
            <w:pPr>
              <w:jc w:val="center"/>
              <w:rPr>
                <w:rFonts w:ascii="Times New Roman" w:hAnsi="Times New Roman" w:cs="Times New Roman"/>
                <w:b/>
                <w:bCs/>
                <w:sz w:val="20"/>
                <w:szCs w:val="20"/>
              </w:rPr>
            </w:pPr>
          </w:p>
          <w:p w:rsidR="00AB1281" w:rsidRPr="0031503F" w:rsidRDefault="00AB1281" w:rsidP="00CB3223">
            <w:pPr>
              <w:rPr>
                <w:rFonts w:ascii="Times New Roman" w:hAnsi="Times New Roman" w:cs="Times New Roman"/>
                <w:b/>
                <w:bCs/>
                <w:sz w:val="20"/>
                <w:szCs w:val="20"/>
              </w:rPr>
            </w:pPr>
            <w:r w:rsidRPr="0031503F">
              <w:rPr>
                <w:rFonts w:ascii="Times New Roman" w:hAnsi="Times New Roman" w:cs="Times New Roman"/>
                <w:b/>
                <w:bCs/>
                <w:sz w:val="20"/>
                <w:szCs w:val="20"/>
              </w:rPr>
              <w:t>O:3</w:t>
            </w: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p>
          <w:p w:rsidR="00FB1E71" w:rsidRPr="0031503F" w:rsidRDefault="00FB1E71" w:rsidP="00CB3223">
            <w:pPr>
              <w:jc w:val="center"/>
              <w:rPr>
                <w:rFonts w:ascii="Times New Roman" w:hAnsi="Times New Roman" w:cs="Times New Roman"/>
                <w:b/>
                <w:bCs/>
                <w:sz w:val="20"/>
                <w:szCs w:val="20"/>
              </w:rPr>
            </w:pPr>
          </w:p>
          <w:p w:rsidR="00AB1281" w:rsidRPr="0031503F" w:rsidRDefault="00AB1281" w:rsidP="00CB3223">
            <w:pPr>
              <w:jc w:val="center"/>
              <w:rPr>
                <w:rFonts w:ascii="Times New Roman" w:hAnsi="Times New Roman" w:cs="Times New Roman"/>
                <w:b/>
                <w:bCs/>
                <w:sz w:val="20"/>
                <w:szCs w:val="20"/>
              </w:rPr>
            </w:pPr>
            <w:r w:rsidRPr="0031503F">
              <w:rPr>
                <w:rFonts w:ascii="Times New Roman" w:hAnsi="Times New Roman" w:cs="Times New Roman"/>
                <w:b/>
                <w:bCs/>
                <w:sz w:val="20"/>
                <w:szCs w:val="20"/>
              </w:rPr>
              <w:t>O:4</w:t>
            </w:r>
          </w:p>
        </w:tc>
        <w:tc>
          <w:tcPr>
            <w:tcW w:w="2837" w:type="dxa"/>
            <w:tcBorders>
              <w:top w:val="single" w:sz="4" w:space="0" w:color="auto"/>
              <w:bottom w:val="single" w:sz="4" w:space="0" w:color="auto"/>
            </w:tcBorders>
          </w:tcPr>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predložia Komisii do 29. decembra 2025 a potom každé dva roky správu o vykonávaní tejto smernice. Takáto správa zahŕňa komplexné informácie o opatreniach, ktoré sa prijali na účely dosiahnutia cieľov uvedených v článku 5 ods. 1, informácie poskytované v súlade s článkom 7 a v relevantnom prípade reprezentatívne informácie o individuálnych kvantitatívnych cieľoch, ktoré kótované spoločnosti stanovili podľa článku 5 ods. 2</w:t>
            </w: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Členské štáty, ktoré pozastavili uplatňovanie článku 6 a v relevantnom prípade článku 5 ods. 2 na základe článku 12, zahrnú do správ uvedených v odseku 1 tohto článku informácie o tom, či a ako sú splnené podmienky stanovené v článku 12 a či naďalej dosahujú pokrok smerom k vyváženejšiemu zastúpeniu žien a mužov na pozíciách nevýkonných riadiacich pracovníkov alebo na všetkých pozíciách riadiacich pracovníkov v kótovaných spoločnostiach.</w:t>
            </w: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Komisia vydá do 29. decembra 2026 a potom každé dva roky osobitnú správu, v ktorej okrem iného uvedie zistenia v súvislosti s tým, či a ako sú splnené podmienky uvedené v článku 12 ods. 1 a v relevantnom prípade či členské štáty obnovili uplatňovanie článku 6 a článku 5 ods. 2 v súlade s článkom 12 ods. 3</w:t>
            </w:r>
          </w:p>
          <w:p w:rsidR="00FB1E71" w:rsidRPr="0031503F" w:rsidRDefault="00FB1E71" w:rsidP="00CB3223">
            <w:pPr>
              <w:shd w:val="clear" w:color="auto" w:fill="FFFFFF"/>
              <w:jc w:val="both"/>
              <w:rPr>
                <w:rFonts w:ascii="Times New Roman" w:eastAsia="Times New Roman" w:hAnsi="Times New Roman" w:cs="Times New Roman"/>
                <w:color w:val="333333"/>
                <w:sz w:val="20"/>
                <w:szCs w:val="20"/>
                <w:lang w:eastAsia="sk-SK"/>
              </w:rPr>
            </w:pP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Komisia do 31. decembra 2030 a potom každé dva roky preskúma uplatňovanie tejto smernice a predloží správu Európskemu parlamentu a Rade. Komisia zhodnotí najmä to, či sa dosiahli ciele tejto smernice.</w:t>
            </w: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p>
          <w:p w:rsidR="00AB1281" w:rsidRPr="0031503F" w:rsidRDefault="00AB1281"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 Komisia vo svojej správe uvedenej v odseku 3 tohto článku vzhľadom na vývoj v zastúpení žien a mužov vo vrcholových orgánoch na rôznych úrovniach rozhodovania v celom hospodárstve a vzhľadom na to, či je dosiahnutý pokrok dostatočne udržateľný, posúdi, či je táto smernica efektívnym a účinným nástrojom na zvýšenie rodovej vyváženosti vo vrcholových orgánoch. Na základe tohto posúdenia Komisia zváži, či je potrebné predĺžiť účinnosť tejto smernice po 31. decembri 2038 alebo či je potrebné ju zmeniť, napríklad rozšírením jej rozsahu pôsobnosti na nekótované spoločnosti, ktoré podľa vymedzenia nepatria medzi MSP, alebo revíziou podmienok stanovených v článku 12 ods. 1 prvom pododseku písm. a), aby sa zabezpečil trvalý pokrok smerom k vyváženejšiemu zastúpeniu žien a mužov na pozíciách výkonných a nevýkonných riadiacich pracovníkov alebo na všetkých pozíciách riadiacich pracovníkov v kótovaných spoločnostiach.</w:t>
            </w:r>
          </w:p>
        </w:tc>
        <w:tc>
          <w:tcPr>
            <w:tcW w:w="828"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p w:rsidR="00DA5F25" w:rsidRPr="0031503F" w:rsidRDefault="00971D59" w:rsidP="00CB3223">
            <w:pPr>
              <w:jc w:val="center"/>
              <w:rPr>
                <w:rFonts w:ascii="Times New Roman" w:hAnsi="Times New Roman" w:cs="Times New Roman"/>
                <w:sz w:val="20"/>
                <w:szCs w:val="20"/>
              </w:rPr>
            </w:pPr>
            <w:r>
              <w:rPr>
                <w:rFonts w:ascii="Times New Roman" w:hAnsi="Times New Roman" w:cs="Times New Roman"/>
                <w:sz w:val="20"/>
                <w:szCs w:val="20"/>
              </w:rPr>
              <w:t>N</w:t>
            </w: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5E1DFD" w:rsidRPr="0031503F" w:rsidRDefault="005E1DFD" w:rsidP="00CB3223">
            <w:pPr>
              <w:jc w:val="center"/>
              <w:rPr>
                <w:rFonts w:ascii="Times New Roman" w:hAnsi="Times New Roman" w:cs="Times New Roman"/>
                <w:sz w:val="20"/>
                <w:szCs w:val="20"/>
              </w:rPr>
            </w:pPr>
          </w:p>
          <w:p w:rsidR="00DA5F25" w:rsidRPr="0031503F" w:rsidRDefault="00DA5F25"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5E1DFD" w:rsidRPr="0031503F" w:rsidRDefault="005E1DFD" w:rsidP="00CB3223">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p>
          <w:p w:rsidR="00FB1E71" w:rsidRPr="0031503F" w:rsidRDefault="00FB1E71" w:rsidP="007B580A">
            <w:pPr>
              <w:jc w:val="center"/>
              <w:rPr>
                <w:rFonts w:ascii="Times New Roman" w:hAnsi="Times New Roman" w:cs="Times New Roman"/>
                <w:sz w:val="20"/>
                <w:szCs w:val="20"/>
              </w:rPr>
            </w:pPr>
          </w:p>
          <w:p w:rsidR="007D7DC8" w:rsidRPr="0031503F" w:rsidRDefault="007D7DC8" w:rsidP="007B580A">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7D7DC8" w:rsidRPr="0031503F" w:rsidRDefault="007D7DC8" w:rsidP="007B580A">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p w:rsidR="007D7DC8" w:rsidRPr="0031503F" w:rsidRDefault="007D7DC8" w:rsidP="00CB3223">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AB1281" w:rsidRPr="0031503F" w:rsidRDefault="00F7130C" w:rsidP="00CB3223">
            <w:pP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Zákon č. 575/2001 Z z.</w:t>
            </w:r>
          </w:p>
        </w:tc>
        <w:tc>
          <w:tcPr>
            <w:tcW w:w="1667" w:type="dxa"/>
            <w:tcBorders>
              <w:top w:val="single" w:sz="4" w:space="0" w:color="auto"/>
              <w:bottom w:val="single" w:sz="4" w:space="0" w:color="auto"/>
            </w:tcBorders>
          </w:tcPr>
          <w:p w:rsidR="00AB1281" w:rsidRPr="0031503F" w:rsidRDefault="00F7130C" w:rsidP="00CB3223">
            <w:pPr>
              <w:pStyle w:val="Normlny0"/>
              <w:jc w:val="center"/>
            </w:pPr>
            <w:r w:rsidRPr="0031503F">
              <w:t>§ 35</w:t>
            </w:r>
          </w:p>
          <w:p w:rsidR="00F7130C" w:rsidRPr="0031503F" w:rsidRDefault="00F7130C" w:rsidP="00CB3223">
            <w:pPr>
              <w:pStyle w:val="Normlny0"/>
              <w:jc w:val="center"/>
            </w:pPr>
            <w:r w:rsidRPr="0031503F">
              <w:t>O:7</w:t>
            </w:r>
          </w:p>
        </w:tc>
        <w:tc>
          <w:tcPr>
            <w:tcW w:w="2051" w:type="dxa"/>
            <w:tcBorders>
              <w:top w:val="single" w:sz="4" w:space="0" w:color="auto"/>
              <w:bottom w:val="single" w:sz="4" w:space="0" w:color="auto"/>
            </w:tcBorders>
          </w:tcPr>
          <w:p w:rsidR="00F7130C" w:rsidRPr="0031503F" w:rsidRDefault="00F7130C" w:rsidP="00F7130C">
            <w:pPr>
              <w:pStyle w:val="Standard"/>
              <w:shd w:val="clear" w:color="auto" w:fill="FFFFFF" w:themeFill="background1"/>
              <w:spacing w:line="240" w:lineRule="auto"/>
              <w:jc w:val="both"/>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p w:rsidR="00AB1281" w:rsidRPr="0031503F" w:rsidRDefault="00AB1281" w:rsidP="00CB322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971D59" w:rsidP="00CB3223">
            <w:pPr>
              <w:jc w:val="center"/>
              <w:rPr>
                <w:rFonts w:ascii="Times New Roman" w:hAnsi="Times New Roman" w:cs="Times New Roman"/>
                <w:sz w:val="20"/>
                <w:szCs w:val="20"/>
              </w:rPr>
            </w:pPr>
            <w:r>
              <w:rPr>
                <w:rFonts w:ascii="Times New Roman" w:hAnsi="Times New Roman" w:cs="Times New Roman"/>
                <w:sz w:val="20"/>
                <w:szCs w:val="20"/>
              </w:rPr>
              <w:t>Ú</w:t>
            </w: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p>
          <w:p w:rsidR="00A83338" w:rsidRPr="0031503F" w:rsidRDefault="00A83338"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p w:rsidR="00A83338" w:rsidRPr="0031503F" w:rsidRDefault="00A83338"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AB1281" w:rsidRPr="0031503F" w:rsidRDefault="00AB1281"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CB3223">
            <w:pPr>
              <w:jc w:val="center"/>
              <w:rPr>
                <w:rFonts w:ascii="Times New Roman" w:hAnsi="Times New Roman" w:cs="Times New Roman"/>
                <w:b/>
                <w:sz w:val="20"/>
                <w:szCs w:val="20"/>
              </w:rPr>
            </w:pPr>
          </w:p>
          <w:p w:rsidR="001C488E" w:rsidRPr="0031503F" w:rsidRDefault="001C488E" w:rsidP="001C488E">
            <w:pPr>
              <w:rPr>
                <w:rFonts w:ascii="Times New Roman" w:hAnsi="Times New Roman" w:cs="Times New Roman"/>
                <w:b/>
                <w:sz w:val="20"/>
                <w:szCs w:val="20"/>
              </w:rPr>
            </w:pPr>
          </w:p>
        </w:tc>
        <w:tc>
          <w:tcPr>
            <w:tcW w:w="1663"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AB1281" w:rsidRPr="0031503F" w:rsidRDefault="0012313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 xml:space="preserve">Č: 14 </w:t>
            </w:r>
          </w:p>
        </w:tc>
        <w:tc>
          <w:tcPr>
            <w:tcW w:w="2837" w:type="dxa"/>
            <w:tcBorders>
              <w:top w:val="single" w:sz="4" w:space="0" w:color="auto"/>
              <w:bottom w:val="single" w:sz="4" w:space="0" w:color="auto"/>
            </w:tcBorders>
          </w:tcPr>
          <w:p w:rsidR="00AB1281" w:rsidRPr="0031503F" w:rsidRDefault="00123139" w:rsidP="00CB3223">
            <w:pPr>
              <w:shd w:val="clear" w:color="auto" w:fill="FFFFFF"/>
              <w:jc w:val="both"/>
              <w:rPr>
                <w:rFonts w:ascii="Times New Roman" w:eastAsia="Times New Roman" w:hAnsi="Times New Roman" w:cs="Times New Roman"/>
                <w:b/>
                <w:bCs/>
                <w:color w:val="333333"/>
                <w:sz w:val="20"/>
                <w:szCs w:val="20"/>
                <w:lang w:eastAsia="sk-SK"/>
              </w:rPr>
            </w:pPr>
            <w:r w:rsidRPr="0031503F">
              <w:rPr>
                <w:rFonts w:ascii="Times New Roman" w:eastAsia="Times New Roman" w:hAnsi="Times New Roman" w:cs="Times New Roman"/>
                <w:b/>
                <w:bCs/>
                <w:color w:val="333333"/>
                <w:sz w:val="20"/>
                <w:szCs w:val="20"/>
                <w:lang w:eastAsia="sk-SK"/>
              </w:rPr>
              <w:t>Nadobudnutie a uplynutie účinnosti</w:t>
            </w:r>
          </w:p>
        </w:tc>
        <w:tc>
          <w:tcPr>
            <w:tcW w:w="828"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c>
          <w:tcPr>
            <w:tcW w:w="1015" w:type="dxa"/>
            <w:tcBorders>
              <w:top w:val="single" w:sz="4" w:space="0" w:color="auto"/>
              <w:bottom w:val="single" w:sz="4" w:space="0" w:color="auto"/>
            </w:tcBorders>
          </w:tcPr>
          <w:p w:rsidR="00AB1281" w:rsidRPr="0031503F" w:rsidRDefault="00AB1281" w:rsidP="00CB3223">
            <w:pP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AB1281" w:rsidRPr="0031503F" w:rsidRDefault="00AB1281" w:rsidP="00CB3223">
            <w:pPr>
              <w:pStyle w:val="Normlny0"/>
              <w:jc w:val="center"/>
              <w:rPr>
                <w:b/>
              </w:rPr>
            </w:pPr>
          </w:p>
        </w:tc>
        <w:tc>
          <w:tcPr>
            <w:tcW w:w="2051" w:type="dxa"/>
            <w:tcBorders>
              <w:top w:val="single" w:sz="4" w:space="0" w:color="auto"/>
              <w:bottom w:val="single" w:sz="4" w:space="0" w:color="auto"/>
            </w:tcBorders>
          </w:tcPr>
          <w:p w:rsidR="00AB1281" w:rsidRPr="0031503F" w:rsidRDefault="00AB1281" w:rsidP="00E50929">
            <w:pPr>
              <w:pStyle w:val="Standard"/>
              <w:shd w:val="clear" w:color="auto" w:fill="FFFFFF" w:themeFill="background1"/>
              <w:spacing w:line="240" w:lineRule="auto"/>
              <w:jc w:val="center"/>
              <w:rPr>
                <w:rFonts w:ascii="Times New Roman" w:hAnsi="Times New Roman" w:cs="Times New Roman"/>
                <w:b/>
                <w:sz w:val="20"/>
                <w:szCs w:val="20"/>
              </w:rPr>
            </w:pPr>
          </w:p>
        </w:tc>
        <w:tc>
          <w:tcPr>
            <w:tcW w:w="72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c>
          <w:tcPr>
            <w:tcW w:w="1191" w:type="dxa"/>
            <w:tcBorders>
              <w:top w:val="single" w:sz="4" w:space="0" w:color="auto"/>
              <w:bottom w:val="single" w:sz="4" w:space="0" w:color="auto"/>
            </w:tcBorders>
          </w:tcPr>
          <w:p w:rsidR="00AB1281" w:rsidRPr="0031503F" w:rsidRDefault="00AB1281"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b/>
                <w:sz w:val="20"/>
                <w:szCs w:val="20"/>
              </w:rPr>
            </w:pPr>
          </w:p>
        </w:tc>
        <w:tc>
          <w:tcPr>
            <w:tcW w:w="1663" w:type="dxa"/>
            <w:tcBorders>
              <w:top w:val="single" w:sz="4" w:space="0" w:color="auto"/>
              <w:bottom w:val="single" w:sz="4" w:space="0" w:color="auto"/>
            </w:tcBorders>
          </w:tcPr>
          <w:p w:rsidR="00AB1281" w:rsidRPr="0031503F" w:rsidRDefault="00AB1281" w:rsidP="00CB3223">
            <w:pPr>
              <w:jc w:val="center"/>
              <w:rPr>
                <w:rFonts w:ascii="Times New Roman" w:hAnsi="Times New Roman" w:cs="Times New Roman"/>
                <w:sz w:val="20"/>
                <w:szCs w:val="20"/>
              </w:rPr>
            </w:pPr>
          </w:p>
        </w:tc>
      </w:tr>
      <w:tr w:rsidR="000706E5" w:rsidRPr="0031503F" w:rsidTr="00E50929">
        <w:trPr>
          <w:trHeight w:val="314"/>
        </w:trPr>
        <w:tc>
          <w:tcPr>
            <w:tcW w:w="878" w:type="dxa"/>
            <w:tcBorders>
              <w:top w:val="single" w:sz="4" w:space="0" w:color="auto"/>
              <w:bottom w:val="single" w:sz="4" w:space="0" w:color="auto"/>
            </w:tcBorders>
          </w:tcPr>
          <w:p w:rsidR="00123139" w:rsidRPr="0031503F" w:rsidRDefault="00123139" w:rsidP="00CB3223">
            <w:pPr>
              <w:jc w:val="both"/>
              <w:rPr>
                <w:rFonts w:ascii="Times New Roman" w:hAnsi="Times New Roman" w:cs="Times New Roman"/>
                <w:b/>
                <w:bCs/>
                <w:sz w:val="20"/>
                <w:szCs w:val="20"/>
              </w:rPr>
            </w:pPr>
            <w:r w:rsidRPr="0031503F">
              <w:rPr>
                <w:rFonts w:ascii="Times New Roman" w:hAnsi="Times New Roman" w:cs="Times New Roman"/>
                <w:b/>
                <w:bCs/>
                <w:sz w:val="20"/>
                <w:szCs w:val="20"/>
              </w:rPr>
              <w:t>Č: 14</w:t>
            </w:r>
          </w:p>
        </w:tc>
        <w:tc>
          <w:tcPr>
            <w:tcW w:w="2837" w:type="dxa"/>
            <w:tcBorders>
              <w:top w:val="single" w:sz="4" w:space="0" w:color="auto"/>
              <w:bottom w:val="single" w:sz="4" w:space="0" w:color="auto"/>
            </w:tcBorders>
          </w:tcPr>
          <w:p w:rsidR="00123139" w:rsidRPr="0031503F" w:rsidRDefault="00123139"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Táto smernica nadobúda účinnosť dvadsiatym dňom nasledujúcim po jej uverejnení v </w:t>
            </w:r>
            <w:r w:rsidRPr="0031503F">
              <w:rPr>
                <w:rFonts w:ascii="Times New Roman" w:eastAsia="Times New Roman" w:hAnsi="Times New Roman" w:cs="Times New Roman"/>
                <w:i/>
                <w:iCs/>
                <w:color w:val="333333"/>
                <w:sz w:val="20"/>
                <w:szCs w:val="20"/>
                <w:lang w:eastAsia="sk-SK"/>
              </w:rPr>
              <w:t>Úradnom vestníku Európskej únie</w:t>
            </w:r>
            <w:r w:rsidRPr="0031503F">
              <w:rPr>
                <w:rFonts w:ascii="Times New Roman" w:eastAsia="Times New Roman" w:hAnsi="Times New Roman" w:cs="Times New Roman"/>
                <w:color w:val="333333"/>
                <w:sz w:val="20"/>
                <w:szCs w:val="20"/>
                <w:lang w:eastAsia="sk-SK"/>
              </w:rPr>
              <w:t>.</w:t>
            </w:r>
          </w:p>
          <w:p w:rsidR="00123139" w:rsidRPr="0031503F" w:rsidRDefault="00123139" w:rsidP="00CB3223">
            <w:pPr>
              <w:shd w:val="clear" w:color="auto" w:fill="FFFFFF"/>
              <w:jc w:val="both"/>
              <w:rPr>
                <w:rFonts w:ascii="Times New Roman" w:eastAsia="Times New Roman" w:hAnsi="Times New Roman" w:cs="Times New Roman"/>
                <w:color w:val="333333"/>
                <w:sz w:val="20"/>
                <w:szCs w:val="20"/>
                <w:lang w:eastAsia="sk-SK"/>
              </w:rPr>
            </w:pPr>
            <w:r w:rsidRPr="0031503F">
              <w:rPr>
                <w:rFonts w:ascii="Times New Roman" w:eastAsia="Times New Roman" w:hAnsi="Times New Roman" w:cs="Times New Roman"/>
                <w:color w:val="333333"/>
                <w:sz w:val="20"/>
                <w:szCs w:val="20"/>
                <w:lang w:eastAsia="sk-SK"/>
              </w:rPr>
              <w:t>Stráca účinnosť 31. decembra 2038.</w:t>
            </w:r>
          </w:p>
        </w:tc>
        <w:tc>
          <w:tcPr>
            <w:tcW w:w="828" w:type="dxa"/>
            <w:tcBorders>
              <w:top w:val="single" w:sz="4" w:space="0" w:color="auto"/>
              <w:bottom w:val="single" w:sz="4" w:space="0" w:color="auto"/>
            </w:tcBorders>
          </w:tcPr>
          <w:p w:rsidR="00123139" w:rsidRPr="0031503F" w:rsidRDefault="00F56DF5"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tc>
        <w:tc>
          <w:tcPr>
            <w:tcW w:w="1015" w:type="dxa"/>
            <w:tcBorders>
              <w:top w:val="single" w:sz="4" w:space="0" w:color="auto"/>
              <w:bottom w:val="single" w:sz="4" w:space="0" w:color="auto"/>
            </w:tcBorders>
          </w:tcPr>
          <w:p w:rsidR="00123139" w:rsidRPr="0031503F" w:rsidRDefault="00123139" w:rsidP="00CB3223">
            <w:pPr>
              <w:rPr>
                <w:rFonts w:ascii="Times New Roman" w:hAnsi="Times New Roman" w:cs="Times New Roman"/>
                <w:sz w:val="20"/>
                <w:szCs w:val="20"/>
                <w:shd w:val="clear" w:color="auto" w:fill="FFFFFF"/>
              </w:rPr>
            </w:pPr>
          </w:p>
        </w:tc>
        <w:tc>
          <w:tcPr>
            <w:tcW w:w="1667" w:type="dxa"/>
            <w:tcBorders>
              <w:top w:val="single" w:sz="4" w:space="0" w:color="auto"/>
              <w:bottom w:val="single" w:sz="4" w:space="0" w:color="auto"/>
            </w:tcBorders>
          </w:tcPr>
          <w:p w:rsidR="00123139" w:rsidRPr="0031503F" w:rsidRDefault="00123139" w:rsidP="00CB3223">
            <w:pPr>
              <w:pStyle w:val="Normlny0"/>
              <w:jc w:val="center"/>
            </w:pPr>
          </w:p>
        </w:tc>
        <w:tc>
          <w:tcPr>
            <w:tcW w:w="2051" w:type="dxa"/>
            <w:tcBorders>
              <w:top w:val="single" w:sz="4" w:space="0" w:color="auto"/>
              <w:bottom w:val="single" w:sz="4" w:space="0" w:color="auto"/>
            </w:tcBorders>
          </w:tcPr>
          <w:p w:rsidR="00123139" w:rsidRPr="0031503F" w:rsidRDefault="00123139" w:rsidP="00076EA5">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123139" w:rsidRPr="0031503F" w:rsidRDefault="00F56DF5" w:rsidP="00CB3223">
            <w:pPr>
              <w:jc w:val="center"/>
              <w:rPr>
                <w:rFonts w:ascii="Times New Roman" w:hAnsi="Times New Roman" w:cs="Times New Roman"/>
                <w:sz w:val="20"/>
                <w:szCs w:val="20"/>
              </w:rPr>
            </w:pPr>
            <w:r w:rsidRPr="0031503F">
              <w:rPr>
                <w:rFonts w:ascii="Times New Roman" w:hAnsi="Times New Roman" w:cs="Times New Roman"/>
                <w:sz w:val="20"/>
                <w:szCs w:val="20"/>
              </w:rPr>
              <w:t>n.a.</w:t>
            </w:r>
          </w:p>
        </w:tc>
        <w:tc>
          <w:tcPr>
            <w:tcW w:w="1191" w:type="dxa"/>
            <w:tcBorders>
              <w:top w:val="single" w:sz="4" w:space="0" w:color="auto"/>
              <w:bottom w:val="single" w:sz="4" w:space="0" w:color="auto"/>
            </w:tcBorders>
          </w:tcPr>
          <w:p w:rsidR="00123139" w:rsidRPr="0031503F" w:rsidRDefault="00123139" w:rsidP="00CB322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123139" w:rsidRPr="0031503F" w:rsidRDefault="001C488E" w:rsidP="00CB322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123139" w:rsidRPr="0031503F" w:rsidRDefault="00123139" w:rsidP="00CB3223">
            <w:pPr>
              <w:jc w:val="center"/>
              <w:rPr>
                <w:rFonts w:ascii="Times New Roman" w:hAnsi="Times New Roman" w:cs="Times New Roman"/>
                <w:sz w:val="20"/>
                <w:szCs w:val="20"/>
              </w:rPr>
            </w:pPr>
          </w:p>
        </w:tc>
      </w:tr>
      <w:tr w:rsidR="00F146F3" w:rsidRPr="0031503F" w:rsidTr="00F146F3">
        <w:trPr>
          <w:trHeight w:val="945"/>
        </w:trPr>
        <w:tc>
          <w:tcPr>
            <w:tcW w:w="878" w:type="dxa"/>
            <w:tcBorders>
              <w:top w:val="single" w:sz="4" w:space="0" w:color="auto"/>
              <w:bottom w:val="single" w:sz="4" w:space="0" w:color="auto"/>
            </w:tcBorders>
          </w:tcPr>
          <w:p w:rsidR="00F146F3" w:rsidRPr="0031503F" w:rsidRDefault="00F146F3" w:rsidP="00F146F3">
            <w:pPr>
              <w:jc w:val="both"/>
              <w:rPr>
                <w:rFonts w:ascii="Times New Roman" w:hAnsi="Times New Roman" w:cs="Times New Roman"/>
                <w:b/>
                <w:bCs/>
                <w:sz w:val="20"/>
                <w:szCs w:val="20"/>
              </w:rPr>
            </w:pPr>
            <w:r w:rsidRPr="0031503F">
              <w:rPr>
                <w:rFonts w:ascii="Times New Roman" w:hAnsi="Times New Roman" w:cs="Times New Roman"/>
                <w:b/>
                <w:bCs/>
                <w:sz w:val="20"/>
                <w:szCs w:val="20"/>
              </w:rPr>
              <w:t>Príloha</w:t>
            </w:r>
          </w:p>
        </w:tc>
        <w:tc>
          <w:tcPr>
            <w:tcW w:w="2837" w:type="dxa"/>
            <w:tcBorders>
              <w:top w:val="single" w:sz="4" w:space="0" w:color="auto"/>
              <w:bottom w:val="single" w:sz="4" w:space="0" w:color="auto"/>
            </w:tcBorders>
          </w:tcPr>
          <w:p w:rsidR="00A50FE6" w:rsidRPr="0031503F" w:rsidRDefault="00A50FE6" w:rsidP="004A41A7">
            <w:pPr>
              <w:shd w:val="clear" w:color="auto" w:fill="FFFFFF"/>
              <w:jc w:val="both"/>
              <w:rPr>
                <w:rFonts w:ascii="Times New Roman" w:eastAsia="Times New Roman" w:hAnsi="Times New Roman" w:cs="Times New Roman"/>
                <w:bCs/>
                <w:color w:val="333333"/>
                <w:sz w:val="20"/>
                <w:szCs w:val="20"/>
                <w:lang w:eastAsia="sk-SK"/>
              </w:rPr>
            </w:pPr>
            <w:r w:rsidRPr="0031503F">
              <w:rPr>
                <w:rFonts w:ascii="Times New Roman" w:eastAsia="Times New Roman" w:hAnsi="Times New Roman" w:cs="Times New Roman"/>
                <w:bCs/>
                <w:color w:val="333333"/>
                <w:sz w:val="20"/>
                <w:szCs w:val="20"/>
                <w:lang w:eastAsia="sk-SK"/>
              </w:rPr>
              <w:t>CIEĽOVÝ POČET RIADIACICH PRACOVNÍKOV MENEJ ZASTÚPENÉHO POHLAVIA</w:t>
            </w:r>
          </w:p>
          <w:tbl>
            <w:tblPr>
              <w:tblW w:w="268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02"/>
              <w:gridCol w:w="993"/>
              <w:gridCol w:w="992"/>
            </w:tblGrid>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Počet pozícií vo vrcholovom orgáne</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Minimálny počet nevýkonných riadiacich pracovníkov, ktorí sú príslušníkmi menej zastúpeného pohlavia, potrebný na dosiahnutie cieľa na úrovni 40 % (článok 5 ods. 1 písm. a))</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Minimálny počet riadiacich pracovníkov, ktorí sú príslušníkmi menej zastúpeného pohlavia, potrebný na dosiahnutie cieľa na úrovni 33 % (článok 5 ods. 1 písm. b))</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(33,3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(25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(25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(40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(33,3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(42,9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(28,6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(37,5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(37,5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(44,4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(30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(36,4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(36,4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(41,7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13</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(38,4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(30,8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14</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(42,9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(35,7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15</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16</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(37,5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(31,3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17</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(41,2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(35,3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18</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(38,9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19</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(42,1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(31,6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20</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(35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21</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(38,1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22</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(40,1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(31,8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23</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(39,1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(34,8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24</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(41,7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25</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(32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26</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(38,5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(34,6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27</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 (40,7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(33,3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28</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 (39,3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(32,1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29</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 (41,4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(34,5  %)</w:t>
                  </w:r>
                </w:p>
              </w:tc>
            </w:tr>
            <w:tr w:rsidR="004A41A7" w:rsidRPr="0031503F" w:rsidTr="004A41A7">
              <w:tc>
                <w:tcPr>
                  <w:tcW w:w="130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30</w:t>
                  </w:r>
                </w:p>
              </w:tc>
              <w:tc>
                <w:tcPr>
                  <w:tcW w:w="184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 (40  %)</w:t>
                  </w:r>
                </w:p>
              </w:tc>
              <w:tc>
                <w:tcPr>
                  <w:tcW w:w="1846"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(33,3  %)</w:t>
                  </w:r>
                </w:p>
              </w:tc>
            </w:tr>
          </w:tbl>
          <w:p w:rsidR="004A41A7" w:rsidRPr="0031503F" w:rsidRDefault="004A41A7" w:rsidP="004A41A7">
            <w:pPr>
              <w:pStyle w:val="Standard"/>
              <w:shd w:val="clear" w:color="auto" w:fill="FFFFFF" w:themeFill="background1"/>
              <w:spacing w:line="240" w:lineRule="auto"/>
              <w:jc w:val="both"/>
              <w:rPr>
                <w:rFonts w:ascii="Times New Roman" w:hAnsi="Times New Roman" w:cs="Times New Roman"/>
                <w:sz w:val="20"/>
                <w:szCs w:val="20"/>
              </w:rPr>
            </w:pPr>
          </w:p>
          <w:p w:rsidR="004A41A7" w:rsidRPr="0031503F" w:rsidRDefault="004A41A7" w:rsidP="004A41A7">
            <w:pPr>
              <w:pStyle w:val="Standard"/>
              <w:shd w:val="clear" w:color="auto" w:fill="FFFFFF" w:themeFill="background1"/>
              <w:spacing w:line="240" w:lineRule="auto"/>
              <w:jc w:val="both"/>
              <w:rPr>
                <w:rFonts w:ascii="Times New Roman" w:hAnsi="Times New Roman" w:cs="Times New Roman"/>
                <w:sz w:val="20"/>
                <w:szCs w:val="20"/>
              </w:rPr>
            </w:pPr>
          </w:p>
          <w:p w:rsidR="004A41A7" w:rsidRPr="0031503F" w:rsidRDefault="004A41A7" w:rsidP="004A41A7">
            <w:pPr>
              <w:pStyle w:val="Standard"/>
              <w:shd w:val="clear" w:color="auto" w:fill="FFFFFF" w:themeFill="background1"/>
              <w:spacing w:line="240" w:lineRule="auto"/>
              <w:jc w:val="both"/>
              <w:rPr>
                <w:rFonts w:ascii="Times New Roman" w:hAnsi="Times New Roman" w:cs="Times New Roman"/>
                <w:sz w:val="20"/>
                <w:szCs w:val="20"/>
              </w:rPr>
            </w:pPr>
          </w:p>
          <w:p w:rsidR="004A41A7" w:rsidRPr="0031503F" w:rsidRDefault="004A41A7" w:rsidP="004A41A7">
            <w:pPr>
              <w:rPr>
                <w:rFonts w:ascii="Times New Roman" w:hAnsi="Times New Roman" w:cs="Times New Roman"/>
                <w:sz w:val="20"/>
                <w:szCs w:val="20"/>
              </w:rPr>
            </w:pPr>
          </w:p>
          <w:p w:rsidR="004A41A7" w:rsidRPr="0031503F" w:rsidRDefault="004A41A7" w:rsidP="00F146F3">
            <w:pPr>
              <w:shd w:val="clear" w:color="auto" w:fill="FFFFFF"/>
              <w:jc w:val="both"/>
              <w:rPr>
                <w:rFonts w:ascii="Times New Roman" w:eastAsia="Times New Roman" w:hAnsi="Times New Roman" w:cs="Times New Roman"/>
                <w:color w:val="333333"/>
                <w:sz w:val="20"/>
                <w:szCs w:val="20"/>
                <w:lang w:eastAsia="sk-SK"/>
              </w:rPr>
            </w:pPr>
          </w:p>
        </w:tc>
        <w:tc>
          <w:tcPr>
            <w:tcW w:w="828" w:type="dxa"/>
            <w:tcBorders>
              <w:top w:val="single" w:sz="4" w:space="0" w:color="auto"/>
              <w:bottom w:val="single" w:sz="4" w:space="0" w:color="auto"/>
            </w:tcBorders>
          </w:tcPr>
          <w:p w:rsidR="00F146F3" w:rsidRPr="0031503F" w:rsidRDefault="00F146F3" w:rsidP="00F146F3">
            <w:pPr>
              <w:jc w:val="center"/>
              <w:rPr>
                <w:rFonts w:ascii="Times New Roman" w:hAnsi="Times New Roman" w:cs="Times New Roman"/>
                <w:sz w:val="20"/>
                <w:szCs w:val="20"/>
              </w:rPr>
            </w:pPr>
            <w:r w:rsidRPr="0031503F">
              <w:rPr>
                <w:rFonts w:ascii="Times New Roman" w:hAnsi="Times New Roman" w:cs="Times New Roman"/>
                <w:sz w:val="20"/>
                <w:szCs w:val="20"/>
              </w:rPr>
              <w:t>N</w:t>
            </w:r>
          </w:p>
        </w:tc>
        <w:tc>
          <w:tcPr>
            <w:tcW w:w="1015" w:type="dxa"/>
            <w:tcBorders>
              <w:top w:val="single" w:sz="4" w:space="0" w:color="auto"/>
              <w:bottom w:val="single" w:sz="4" w:space="0" w:color="auto"/>
            </w:tcBorders>
          </w:tcPr>
          <w:p w:rsidR="00F146F3" w:rsidRPr="0031503F" w:rsidRDefault="00F146F3" w:rsidP="00F146F3">
            <w:pPr>
              <w:rPr>
                <w:rFonts w:ascii="Times New Roman" w:hAnsi="Times New Roman" w:cs="Times New Roman"/>
                <w:sz w:val="20"/>
                <w:szCs w:val="20"/>
                <w:shd w:val="clear" w:color="auto" w:fill="FFFFFF"/>
              </w:rPr>
            </w:pPr>
            <w:r w:rsidRPr="0031503F">
              <w:rPr>
                <w:rFonts w:ascii="Times New Roman" w:hAnsi="Times New Roman" w:cs="Times New Roman"/>
                <w:sz w:val="20"/>
                <w:szCs w:val="20"/>
                <w:shd w:val="clear" w:color="auto" w:fill="FFFFFF"/>
              </w:rPr>
              <w:t xml:space="preserve">Návrh zákona </w:t>
            </w:r>
          </w:p>
        </w:tc>
        <w:tc>
          <w:tcPr>
            <w:tcW w:w="1667" w:type="dxa"/>
            <w:tcBorders>
              <w:top w:val="single" w:sz="4" w:space="0" w:color="auto"/>
              <w:bottom w:val="single" w:sz="4" w:space="0" w:color="auto"/>
            </w:tcBorders>
          </w:tcPr>
          <w:p w:rsidR="00F146F3" w:rsidRPr="0031503F" w:rsidRDefault="00F146F3" w:rsidP="00F146F3">
            <w:pPr>
              <w:pStyle w:val="Normlny0"/>
              <w:jc w:val="center"/>
            </w:pPr>
            <w:r w:rsidRPr="0031503F">
              <w:t xml:space="preserve">Príloha č. 1 </w:t>
            </w:r>
          </w:p>
        </w:tc>
        <w:tc>
          <w:tcPr>
            <w:tcW w:w="2051" w:type="dxa"/>
            <w:tcBorders>
              <w:top w:val="single" w:sz="4" w:space="0" w:color="auto"/>
              <w:bottom w:val="single" w:sz="4" w:space="0" w:color="auto"/>
            </w:tcBorders>
          </w:tcPr>
          <w:p w:rsidR="00A50FE6" w:rsidRPr="0031503F" w:rsidRDefault="00A50FE6" w:rsidP="004A41A7">
            <w:pPr>
              <w:shd w:val="clear" w:color="auto" w:fill="FFFFFF"/>
              <w:jc w:val="both"/>
              <w:rPr>
                <w:rFonts w:ascii="Times New Roman" w:eastAsia="Times New Roman" w:hAnsi="Times New Roman" w:cs="Times New Roman"/>
                <w:bCs/>
                <w:color w:val="333333"/>
                <w:sz w:val="20"/>
                <w:szCs w:val="20"/>
                <w:lang w:eastAsia="sk-SK"/>
              </w:rPr>
            </w:pPr>
            <w:r w:rsidRPr="0031503F">
              <w:rPr>
                <w:rFonts w:ascii="Times New Roman" w:eastAsia="Times New Roman" w:hAnsi="Times New Roman" w:cs="Times New Roman"/>
                <w:bCs/>
                <w:color w:val="333333"/>
                <w:sz w:val="20"/>
                <w:szCs w:val="20"/>
                <w:lang w:eastAsia="sk-SK"/>
              </w:rPr>
              <w:t>CIEĽOVÝ POČET RIADIACICH PRACOVNÍKOV MENEJ ZASTÚPENÉHO POHLAVIA</w:t>
            </w:r>
          </w:p>
          <w:tbl>
            <w:tblPr>
              <w:tblW w:w="186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92"/>
              <w:gridCol w:w="709"/>
              <w:gridCol w:w="567"/>
            </w:tblGrid>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Počet pozícií vo vrcholovom orgáne</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 xml:space="preserve">Minimálny počet nevýkonných riadiacich pracovníkov, ktorí sú príslušníkmi menej zastúpeného pohlavia, potrebný na dosiahnutie cieľa na úrovni 40 %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center"/>
                    <w:rPr>
                      <w:rFonts w:ascii="Times New Roman" w:eastAsia="Times New Roman" w:hAnsi="Times New Roman" w:cs="Times New Roman"/>
                      <w:bCs/>
                      <w:sz w:val="20"/>
                      <w:szCs w:val="20"/>
                      <w:lang w:eastAsia="sk-SK"/>
                    </w:rPr>
                  </w:pPr>
                  <w:r w:rsidRPr="0031503F">
                    <w:rPr>
                      <w:rFonts w:ascii="Times New Roman" w:eastAsia="Times New Roman" w:hAnsi="Times New Roman" w:cs="Times New Roman"/>
                      <w:bCs/>
                      <w:sz w:val="20"/>
                      <w:szCs w:val="20"/>
                      <w:lang w:eastAsia="sk-SK"/>
                    </w:rPr>
                    <w:t xml:space="preserve">Minimálny počet riadiacich pracovníkov, ktorí sú príslušníkmi menej zastúpeného pohlavia, potrebný na dosiahnutie cieľa na úrovni 33 %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(33,3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(25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 (25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(40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(33,3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(42,9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 (28,6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(37,5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(37,5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(44,4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 (30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(36,4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(36,4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(41,7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13</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(38,4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4 (30,8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14</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(42,9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(35,7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15</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16</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(37,5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5 (31,3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17</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(41,2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(35,3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18</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(38,9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19</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(42,1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6 (31,6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20</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(35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21</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(38,1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22</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(40,1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7 (31,8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23</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(39,1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(34,8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24</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(41,7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25</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8 (32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26</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(38,5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(34,6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27</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 (40,7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(33,3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28</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11 (39,3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9 (32,1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29</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 (41,4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(34,5  %)</w:t>
                  </w:r>
                </w:p>
              </w:tc>
            </w:tr>
            <w:tr w:rsidR="004A41A7" w:rsidRPr="0031503F" w:rsidTr="00C10A54">
              <w:tc>
                <w:tcPr>
                  <w:tcW w:w="1585"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30</w:t>
                  </w:r>
                </w:p>
              </w:tc>
              <w:tc>
                <w:tcPr>
                  <w:tcW w:w="189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12 (40  %)</w:t>
                  </w:r>
                </w:p>
              </w:tc>
              <w:tc>
                <w:tcPr>
                  <w:tcW w:w="1518" w:type="pct"/>
                  <w:tcBorders>
                    <w:top w:val="single" w:sz="6" w:space="0" w:color="000000"/>
                    <w:left w:val="single" w:sz="6" w:space="0" w:color="000000"/>
                    <w:bottom w:val="single" w:sz="6" w:space="0" w:color="000000"/>
                    <w:right w:val="single" w:sz="6" w:space="0" w:color="000000"/>
                  </w:tcBorders>
                  <w:shd w:val="clear" w:color="auto" w:fill="auto"/>
                  <w:hideMark/>
                </w:tcPr>
                <w:p w:rsidR="004A41A7" w:rsidRPr="0031503F" w:rsidRDefault="004A41A7" w:rsidP="004A41A7">
                  <w:pPr>
                    <w:spacing w:after="0" w:line="240" w:lineRule="auto"/>
                    <w:ind w:right="195"/>
                    <w:jc w:val="right"/>
                    <w:rPr>
                      <w:rFonts w:ascii="Times New Roman" w:eastAsia="Times New Roman" w:hAnsi="Times New Roman" w:cs="Times New Roman"/>
                      <w:sz w:val="20"/>
                      <w:szCs w:val="20"/>
                      <w:lang w:eastAsia="sk-SK"/>
                    </w:rPr>
                  </w:pPr>
                  <w:r w:rsidRPr="0031503F">
                    <w:rPr>
                      <w:rFonts w:ascii="Times New Roman" w:eastAsia="Times New Roman" w:hAnsi="Times New Roman" w:cs="Times New Roman"/>
                      <w:sz w:val="20"/>
                      <w:szCs w:val="20"/>
                      <w:lang w:eastAsia="sk-SK"/>
                    </w:rPr>
                    <w:t>10 (33,3  %)</w:t>
                  </w:r>
                </w:p>
              </w:tc>
            </w:tr>
          </w:tbl>
          <w:p w:rsidR="004A41A7" w:rsidRPr="0031503F" w:rsidRDefault="004A41A7" w:rsidP="004A41A7">
            <w:pPr>
              <w:rPr>
                <w:rFonts w:ascii="Times New Roman" w:hAnsi="Times New Roman" w:cs="Times New Roman"/>
                <w:sz w:val="20"/>
                <w:szCs w:val="20"/>
              </w:rPr>
            </w:pPr>
          </w:p>
          <w:p w:rsidR="00F146F3" w:rsidRPr="0031503F" w:rsidRDefault="00F146F3" w:rsidP="00F146F3">
            <w:pPr>
              <w:pStyle w:val="Standard"/>
              <w:shd w:val="clear" w:color="auto" w:fill="FFFFFF" w:themeFill="background1"/>
              <w:spacing w:line="240" w:lineRule="auto"/>
              <w:jc w:val="both"/>
              <w:rPr>
                <w:rFonts w:ascii="Times New Roman" w:hAnsi="Times New Roman" w:cs="Times New Roman"/>
                <w:sz w:val="20"/>
                <w:szCs w:val="20"/>
              </w:rPr>
            </w:pPr>
          </w:p>
        </w:tc>
        <w:tc>
          <w:tcPr>
            <w:tcW w:w="727" w:type="dxa"/>
            <w:tcBorders>
              <w:top w:val="single" w:sz="4" w:space="0" w:color="auto"/>
              <w:bottom w:val="single" w:sz="4" w:space="0" w:color="auto"/>
            </w:tcBorders>
          </w:tcPr>
          <w:p w:rsidR="00F146F3" w:rsidRPr="0031503F" w:rsidRDefault="00F146F3" w:rsidP="00F146F3">
            <w:pPr>
              <w:jc w:val="center"/>
              <w:rPr>
                <w:rFonts w:ascii="Times New Roman" w:hAnsi="Times New Roman" w:cs="Times New Roman"/>
                <w:sz w:val="20"/>
                <w:szCs w:val="20"/>
              </w:rPr>
            </w:pPr>
            <w:r w:rsidRPr="0031503F">
              <w:rPr>
                <w:rFonts w:ascii="Times New Roman" w:hAnsi="Times New Roman" w:cs="Times New Roman"/>
                <w:sz w:val="20"/>
                <w:szCs w:val="20"/>
              </w:rPr>
              <w:t>Ú</w:t>
            </w:r>
          </w:p>
        </w:tc>
        <w:tc>
          <w:tcPr>
            <w:tcW w:w="1191" w:type="dxa"/>
            <w:tcBorders>
              <w:top w:val="single" w:sz="4" w:space="0" w:color="auto"/>
              <w:bottom w:val="single" w:sz="4" w:space="0" w:color="auto"/>
            </w:tcBorders>
          </w:tcPr>
          <w:p w:rsidR="00F146F3" w:rsidRPr="0031503F" w:rsidRDefault="00F146F3" w:rsidP="00F146F3">
            <w:pPr>
              <w:jc w:val="both"/>
              <w:rPr>
                <w:rFonts w:ascii="Times New Roman" w:hAnsi="Times New Roman" w:cs="Times New Roman"/>
                <w:sz w:val="20"/>
                <w:szCs w:val="20"/>
              </w:rPr>
            </w:pPr>
          </w:p>
        </w:tc>
        <w:tc>
          <w:tcPr>
            <w:tcW w:w="1137" w:type="dxa"/>
            <w:tcBorders>
              <w:top w:val="single" w:sz="4" w:space="0" w:color="auto"/>
              <w:bottom w:val="single" w:sz="4" w:space="0" w:color="auto"/>
            </w:tcBorders>
          </w:tcPr>
          <w:p w:rsidR="00F146F3" w:rsidRPr="0031503F" w:rsidRDefault="00F146F3" w:rsidP="00F146F3">
            <w:pPr>
              <w:jc w:val="center"/>
              <w:rPr>
                <w:rFonts w:ascii="Times New Roman" w:hAnsi="Times New Roman" w:cs="Times New Roman"/>
                <w:b/>
                <w:sz w:val="20"/>
                <w:szCs w:val="20"/>
              </w:rPr>
            </w:pPr>
            <w:r w:rsidRPr="0031503F">
              <w:rPr>
                <w:rFonts w:ascii="Times New Roman" w:hAnsi="Times New Roman" w:cs="Times New Roman"/>
                <w:b/>
                <w:sz w:val="20"/>
                <w:szCs w:val="20"/>
              </w:rPr>
              <w:t>GP-N</w:t>
            </w:r>
          </w:p>
        </w:tc>
        <w:tc>
          <w:tcPr>
            <w:tcW w:w="1663" w:type="dxa"/>
            <w:tcBorders>
              <w:top w:val="single" w:sz="4" w:space="0" w:color="auto"/>
              <w:bottom w:val="single" w:sz="4" w:space="0" w:color="auto"/>
            </w:tcBorders>
          </w:tcPr>
          <w:p w:rsidR="00F146F3" w:rsidRPr="0031503F" w:rsidRDefault="00F146F3" w:rsidP="00F146F3">
            <w:pPr>
              <w:jc w:val="center"/>
              <w:rPr>
                <w:rFonts w:ascii="Times New Roman" w:hAnsi="Times New Roman" w:cs="Times New Roman"/>
                <w:sz w:val="20"/>
                <w:szCs w:val="20"/>
              </w:rPr>
            </w:pPr>
          </w:p>
        </w:tc>
      </w:tr>
    </w:tbl>
    <w:p w:rsidR="00F146F3" w:rsidRPr="0031503F" w:rsidRDefault="00F146F3" w:rsidP="00CB3223">
      <w:pPr>
        <w:pStyle w:val="Standard"/>
        <w:shd w:val="clear" w:color="auto" w:fill="FFFFFF" w:themeFill="background1"/>
        <w:spacing w:after="0" w:line="240" w:lineRule="auto"/>
        <w:jc w:val="both"/>
        <w:rPr>
          <w:rFonts w:ascii="Times New Roman" w:hAnsi="Times New Roman" w:cs="Times New Roman"/>
          <w:sz w:val="20"/>
          <w:szCs w:val="20"/>
        </w:rPr>
      </w:pP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B340F9" w:rsidRPr="003F14C7" w:rsidTr="00704837">
        <w:trPr>
          <w:trHeight w:val="296"/>
        </w:trPr>
        <w:tc>
          <w:tcPr>
            <w:tcW w:w="2410" w:type="dxa"/>
            <w:tcBorders>
              <w:top w:val="nil"/>
              <w:left w:val="nil"/>
              <w:bottom w:val="nil"/>
              <w:right w:val="nil"/>
            </w:tcBorders>
          </w:tcPr>
          <w:p w:rsidR="00B340F9" w:rsidRPr="0031503F" w:rsidRDefault="00B340F9" w:rsidP="00CB3223">
            <w:pPr>
              <w:pStyle w:val="Normlny0"/>
              <w:autoSpaceDE/>
              <w:autoSpaceDN/>
              <w:jc w:val="both"/>
              <w:rPr>
                <w:lang w:eastAsia="sk-SK"/>
              </w:rPr>
            </w:pPr>
            <w:r w:rsidRPr="0031503F">
              <w:rPr>
                <w:lang w:eastAsia="sk-SK"/>
              </w:rPr>
              <w:t>V stĺpci (1):</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Č – článok</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O – odsek</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V – veta</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P – písmeno (číslo)</w:t>
            </w:r>
          </w:p>
        </w:tc>
        <w:tc>
          <w:tcPr>
            <w:tcW w:w="3780" w:type="dxa"/>
            <w:tcBorders>
              <w:top w:val="nil"/>
              <w:left w:val="nil"/>
              <w:bottom w:val="nil"/>
              <w:right w:val="nil"/>
            </w:tcBorders>
          </w:tcPr>
          <w:p w:rsidR="00B340F9" w:rsidRPr="0031503F" w:rsidRDefault="00B340F9" w:rsidP="00CB3223">
            <w:pPr>
              <w:pStyle w:val="Normlny0"/>
              <w:autoSpaceDE/>
              <w:autoSpaceDN/>
              <w:jc w:val="both"/>
              <w:rPr>
                <w:lang w:eastAsia="sk-SK"/>
              </w:rPr>
            </w:pPr>
            <w:r w:rsidRPr="0031503F">
              <w:rPr>
                <w:lang w:eastAsia="sk-SK"/>
              </w:rPr>
              <w:t>V stĺpci (3):</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N – bežná transpozícia</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O – transpozícia s možnosťou voľby</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D – transpozícia podľa úvahy (dobrovoľná)</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n.a. – transpozícia sa neuskutočňuje</w:t>
            </w:r>
          </w:p>
        </w:tc>
        <w:tc>
          <w:tcPr>
            <w:tcW w:w="2340" w:type="dxa"/>
            <w:tcBorders>
              <w:top w:val="nil"/>
              <w:left w:val="nil"/>
              <w:bottom w:val="nil"/>
              <w:right w:val="nil"/>
            </w:tcBorders>
          </w:tcPr>
          <w:p w:rsidR="00B340F9" w:rsidRPr="0031503F" w:rsidRDefault="00B340F9" w:rsidP="00CB3223">
            <w:pPr>
              <w:pStyle w:val="Normlny0"/>
              <w:autoSpaceDE/>
              <w:autoSpaceDN/>
              <w:jc w:val="both"/>
              <w:rPr>
                <w:lang w:eastAsia="sk-SK"/>
              </w:rPr>
            </w:pPr>
            <w:r w:rsidRPr="0031503F">
              <w:rPr>
                <w:lang w:eastAsia="sk-SK"/>
              </w:rPr>
              <w:t>V stĺpci (5):</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Č – článok</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 – paragraf</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O – odsek</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V – veta</w:t>
            </w:r>
          </w:p>
        </w:tc>
        <w:tc>
          <w:tcPr>
            <w:tcW w:w="7200" w:type="dxa"/>
            <w:tcBorders>
              <w:top w:val="nil"/>
              <w:left w:val="nil"/>
              <w:bottom w:val="nil"/>
              <w:right w:val="nil"/>
            </w:tcBorders>
          </w:tcPr>
          <w:p w:rsidR="00B340F9" w:rsidRPr="0031503F" w:rsidRDefault="00B340F9" w:rsidP="00CB3223">
            <w:pPr>
              <w:pStyle w:val="Normlny0"/>
              <w:autoSpaceDE/>
              <w:autoSpaceDN/>
              <w:jc w:val="both"/>
              <w:rPr>
                <w:lang w:eastAsia="sk-SK"/>
              </w:rPr>
            </w:pPr>
            <w:r w:rsidRPr="0031503F">
              <w:rPr>
                <w:lang w:eastAsia="sk-SK"/>
              </w:rPr>
              <w:t>V stĺpci (7):</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Ú – úplná zhoda</w:t>
            </w:r>
          </w:p>
          <w:p w:rsidR="00B340F9" w:rsidRPr="0031503F" w:rsidRDefault="00B340F9" w:rsidP="00CB3223">
            <w:pPr>
              <w:spacing w:after="0" w:line="240" w:lineRule="auto"/>
              <w:jc w:val="both"/>
              <w:rPr>
                <w:rFonts w:ascii="Times New Roman" w:hAnsi="Times New Roman" w:cs="Times New Roman"/>
                <w:sz w:val="20"/>
                <w:szCs w:val="20"/>
              </w:rPr>
            </w:pPr>
            <w:r w:rsidRPr="0031503F">
              <w:rPr>
                <w:rFonts w:ascii="Times New Roman" w:hAnsi="Times New Roman" w:cs="Times New Roman"/>
                <w:sz w:val="20"/>
                <w:szCs w:val="20"/>
              </w:rPr>
              <w:t>Č – čiastočná zhoda</w:t>
            </w:r>
          </w:p>
          <w:p w:rsidR="00B340F9" w:rsidRPr="003F14C7" w:rsidRDefault="00B340F9" w:rsidP="00CB3223">
            <w:pPr>
              <w:pStyle w:val="Zarkazkladnhotextu2"/>
              <w:ind w:left="0" w:firstLine="0"/>
              <w:jc w:val="both"/>
            </w:pPr>
            <w:r w:rsidRPr="0031503F">
              <w:t>Ž – žiadna zhoda (ak nebola dosiahnutá ani čiast. ani úplná zhoda alebo k prebratiu dôjde v budúcnosti)</w:t>
            </w:r>
          </w:p>
        </w:tc>
      </w:tr>
    </w:tbl>
    <w:p w:rsidR="00AC470E" w:rsidRPr="003F14C7" w:rsidRDefault="00AC470E" w:rsidP="00AC470E">
      <w:pPr>
        <w:shd w:val="clear" w:color="auto" w:fill="FFFFFF"/>
        <w:spacing w:after="0" w:line="240" w:lineRule="auto"/>
        <w:rPr>
          <w:rFonts w:ascii="Times New Roman" w:eastAsia="Times New Roman" w:hAnsi="Times New Roman" w:cs="Times New Roman"/>
          <w:iCs/>
          <w:color w:val="333333"/>
          <w:sz w:val="20"/>
          <w:szCs w:val="20"/>
          <w:lang w:eastAsia="sk-SK"/>
        </w:rPr>
      </w:pPr>
    </w:p>
    <w:p w:rsidR="00AC470E" w:rsidRPr="003F14C7" w:rsidRDefault="00AC470E" w:rsidP="00AC470E">
      <w:pPr>
        <w:shd w:val="clear" w:color="auto" w:fill="FFFFFF"/>
        <w:spacing w:after="0" w:line="240" w:lineRule="auto"/>
        <w:rPr>
          <w:rFonts w:ascii="Times New Roman" w:eastAsia="Times New Roman" w:hAnsi="Times New Roman" w:cs="Times New Roman"/>
          <w:iCs/>
          <w:color w:val="333333"/>
          <w:sz w:val="20"/>
          <w:szCs w:val="20"/>
          <w:lang w:eastAsia="sk-SK"/>
        </w:rPr>
      </w:pPr>
    </w:p>
    <w:p w:rsidR="00AC470E" w:rsidRPr="003F14C7" w:rsidRDefault="00AC470E" w:rsidP="00AC470E">
      <w:pPr>
        <w:shd w:val="clear" w:color="auto" w:fill="FFFFFF"/>
        <w:spacing w:after="0" w:line="240" w:lineRule="auto"/>
        <w:rPr>
          <w:rFonts w:ascii="Times New Roman" w:eastAsia="Times New Roman" w:hAnsi="Times New Roman" w:cs="Times New Roman"/>
          <w:iCs/>
          <w:color w:val="333333"/>
          <w:sz w:val="20"/>
          <w:szCs w:val="20"/>
          <w:lang w:eastAsia="sk-SK"/>
        </w:rPr>
      </w:pPr>
    </w:p>
    <w:bookmarkEnd w:id="0"/>
    <w:p w:rsidR="00AC470E" w:rsidRPr="003F14C7" w:rsidRDefault="00AC470E" w:rsidP="00AC470E">
      <w:pPr>
        <w:shd w:val="clear" w:color="auto" w:fill="FFFFFF"/>
        <w:spacing w:after="0" w:line="240" w:lineRule="auto"/>
        <w:rPr>
          <w:rFonts w:ascii="Times New Roman" w:eastAsia="Times New Roman" w:hAnsi="Times New Roman" w:cs="Times New Roman"/>
          <w:iCs/>
          <w:color w:val="333333"/>
          <w:sz w:val="20"/>
          <w:szCs w:val="20"/>
          <w:lang w:eastAsia="sk-SK"/>
        </w:rPr>
      </w:pPr>
    </w:p>
    <w:sectPr w:rsidR="00AC470E" w:rsidRPr="003F14C7" w:rsidSect="00CE6B7E">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16" w:rsidRDefault="00645E16" w:rsidP="005129CC">
      <w:pPr>
        <w:spacing w:after="0" w:line="240" w:lineRule="auto"/>
      </w:pPr>
      <w:r>
        <w:separator/>
      </w:r>
    </w:p>
  </w:endnote>
  <w:endnote w:type="continuationSeparator" w:id="0">
    <w:p w:rsidR="00645E16" w:rsidRDefault="00645E16" w:rsidP="005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42265"/>
      <w:docPartObj>
        <w:docPartGallery w:val="Page Numbers (Bottom of Page)"/>
        <w:docPartUnique/>
      </w:docPartObj>
    </w:sdtPr>
    <w:sdtEndPr/>
    <w:sdtContent>
      <w:p w:rsidR="00673319" w:rsidRDefault="00673319">
        <w:pPr>
          <w:pStyle w:val="Pta"/>
          <w:jc w:val="center"/>
        </w:pPr>
        <w:r>
          <w:fldChar w:fldCharType="begin"/>
        </w:r>
        <w:r>
          <w:instrText>PAGE   \* MERGEFORMAT</w:instrText>
        </w:r>
        <w:r>
          <w:fldChar w:fldCharType="separate"/>
        </w:r>
        <w:r w:rsidR="00645E16">
          <w:rPr>
            <w:noProof/>
          </w:rPr>
          <w:t>1</w:t>
        </w:r>
        <w:r>
          <w:fldChar w:fldCharType="end"/>
        </w:r>
      </w:p>
    </w:sdtContent>
  </w:sdt>
  <w:p w:rsidR="00673319" w:rsidRDefault="006733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16" w:rsidRDefault="00645E16" w:rsidP="005129CC">
      <w:pPr>
        <w:spacing w:after="0" w:line="240" w:lineRule="auto"/>
      </w:pPr>
      <w:r>
        <w:separator/>
      </w:r>
    </w:p>
  </w:footnote>
  <w:footnote w:type="continuationSeparator" w:id="0">
    <w:p w:rsidR="00645E16" w:rsidRDefault="00645E16" w:rsidP="005129CC">
      <w:pPr>
        <w:spacing w:after="0" w:line="240" w:lineRule="auto"/>
      </w:pPr>
      <w:r>
        <w:continuationSeparator/>
      </w:r>
    </w:p>
  </w:footnote>
  <w:footnote w:id="1">
    <w:p w:rsidR="00673319" w:rsidRPr="00B445BE" w:rsidRDefault="00673319" w:rsidP="00184A47">
      <w:pPr>
        <w:pStyle w:val="Textpoznmkypodiarou"/>
        <w:rPr>
          <w:rFonts w:ascii="Times New Roman" w:hAnsi="Times New Roman" w:cs="Times New Roman"/>
          <w:sz w:val="18"/>
          <w:szCs w:val="18"/>
        </w:rPr>
      </w:pPr>
      <w:r w:rsidRPr="00B445BE">
        <w:rPr>
          <w:rStyle w:val="Odkaznapoznmkupodiarou"/>
          <w:rFonts w:ascii="Times New Roman" w:hAnsi="Times New Roman" w:cs="Times New Roman"/>
          <w:sz w:val="18"/>
          <w:szCs w:val="18"/>
        </w:rPr>
        <w:footnoteRef/>
      </w:r>
      <w:r w:rsidRPr="00B445BE">
        <w:rPr>
          <w:rFonts w:ascii="Times New Roman" w:hAnsi="Times New Roman" w:cs="Times New Roman"/>
          <w:sz w:val="18"/>
          <w:szCs w:val="18"/>
        </w:rPr>
        <w:t xml:space="preserve">) </w:t>
      </w:r>
      <w:r w:rsidRPr="00B445BE">
        <w:rPr>
          <w:rFonts w:ascii="Times New Roman" w:hAnsi="Times New Roman" w:cs="Times New Roman"/>
          <w:sz w:val="18"/>
          <w:szCs w:val="18"/>
          <w:shd w:val="clear" w:color="auto" w:fill="FFFFFF"/>
        </w:rPr>
        <w:t>Čl. 2 ods. 3 Prílohy I nariadenia Komisie (EÚ) č. 651/2014 zo 17. júna 2014 o vyhlásení určitých kategórií pomoci za zlučiteľné s vnútorným trhom podľa článkov 107 a 108 Zmluvy (Ú. v. EÚ L 187, 26. 6. 2014).</w:t>
      </w:r>
    </w:p>
  </w:footnote>
  <w:footnote w:id="2">
    <w:p w:rsidR="00673319" w:rsidRPr="00B445BE" w:rsidRDefault="00673319" w:rsidP="00184A47">
      <w:pPr>
        <w:pStyle w:val="Textpoznmkypodiarou"/>
        <w:rPr>
          <w:rFonts w:ascii="Times New Roman" w:hAnsi="Times New Roman" w:cs="Times New Roman"/>
          <w:sz w:val="18"/>
          <w:szCs w:val="18"/>
        </w:rPr>
      </w:pPr>
      <w:r w:rsidRPr="00B445BE">
        <w:rPr>
          <w:rStyle w:val="Odkaznapoznmkupodiarou"/>
          <w:rFonts w:ascii="Times New Roman" w:hAnsi="Times New Roman" w:cs="Times New Roman"/>
          <w:sz w:val="18"/>
          <w:szCs w:val="18"/>
        </w:rPr>
        <w:footnoteRef/>
      </w:r>
      <w:r w:rsidRPr="00B445BE">
        <w:rPr>
          <w:rFonts w:ascii="Times New Roman" w:hAnsi="Times New Roman" w:cs="Times New Roman"/>
          <w:sz w:val="18"/>
          <w:szCs w:val="18"/>
        </w:rPr>
        <w:t>) Čl. 2 ods. 2 Prílohy I nariadenia EÚ č. 651/2014.</w:t>
      </w:r>
    </w:p>
  </w:footnote>
  <w:footnote w:id="3">
    <w:p w:rsidR="00673319" w:rsidRDefault="00673319" w:rsidP="00184A47">
      <w:pPr>
        <w:pStyle w:val="Textpoznmkypodiarou"/>
      </w:pPr>
      <w:r w:rsidRPr="00B445BE">
        <w:rPr>
          <w:rStyle w:val="Odkaznapoznmkupodiarou"/>
          <w:rFonts w:ascii="Times New Roman" w:hAnsi="Times New Roman" w:cs="Times New Roman"/>
          <w:sz w:val="18"/>
          <w:szCs w:val="18"/>
        </w:rPr>
        <w:footnoteRef/>
      </w:r>
      <w:r w:rsidRPr="00B445BE">
        <w:rPr>
          <w:rFonts w:ascii="Times New Roman" w:hAnsi="Times New Roman" w:cs="Times New Roman"/>
          <w:sz w:val="18"/>
          <w:szCs w:val="18"/>
        </w:rPr>
        <w:t>) Čl. 2 Prílohy I nariadenia EÚ č. 651/2014.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B54"/>
    <w:multiLevelType w:val="hybridMultilevel"/>
    <w:tmpl w:val="D20C94DC"/>
    <w:lvl w:ilvl="0" w:tplc="0F4899AC">
      <w:start w:val="1"/>
      <w:numFmt w:val="decimal"/>
      <w:lvlText w:val="%1."/>
      <w:lvlJc w:val="left"/>
      <w:pPr>
        <w:ind w:left="525" w:hanging="360"/>
      </w:pPr>
      <w:rPr>
        <w:rFonts w:hint="default"/>
        <w:b w:val="0"/>
        <w:sz w:val="24"/>
      </w:rPr>
    </w:lvl>
    <w:lvl w:ilvl="1" w:tplc="041B0019" w:tentative="1">
      <w:start w:val="1"/>
      <w:numFmt w:val="lowerLetter"/>
      <w:lvlText w:val="%2."/>
      <w:lvlJc w:val="left"/>
      <w:pPr>
        <w:ind w:left="1245" w:hanging="360"/>
      </w:pPr>
    </w:lvl>
    <w:lvl w:ilvl="2" w:tplc="041B001B" w:tentative="1">
      <w:start w:val="1"/>
      <w:numFmt w:val="lowerRoman"/>
      <w:lvlText w:val="%3."/>
      <w:lvlJc w:val="right"/>
      <w:pPr>
        <w:ind w:left="1965" w:hanging="180"/>
      </w:p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1" w15:restartNumberingAfterBreak="0">
    <w:nsid w:val="0C996ACB"/>
    <w:multiLevelType w:val="hybridMultilevel"/>
    <w:tmpl w:val="7DE435DE"/>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1F4824"/>
    <w:multiLevelType w:val="hybridMultilevel"/>
    <w:tmpl w:val="B15814B6"/>
    <w:lvl w:ilvl="0" w:tplc="F714814C">
      <w:start w:val="1"/>
      <w:numFmt w:val="decimal"/>
      <w:lvlText w:val="(%1)"/>
      <w:lvlJc w:val="left"/>
      <w:pPr>
        <w:ind w:left="4187" w:hanging="360"/>
      </w:pPr>
      <w:rPr>
        <w:rFonts w:hint="default"/>
        <w:color w:val="auto"/>
      </w:rPr>
    </w:lvl>
    <w:lvl w:ilvl="1" w:tplc="041B0019" w:tentative="1">
      <w:start w:val="1"/>
      <w:numFmt w:val="lowerLetter"/>
      <w:lvlText w:val="%2."/>
      <w:lvlJc w:val="left"/>
      <w:pPr>
        <w:ind w:left="4907" w:hanging="360"/>
      </w:pPr>
    </w:lvl>
    <w:lvl w:ilvl="2" w:tplc="041B001B" w:tentative="1">
      <w:start w:val="1"/>
      <w:numFmt w:val="lowerRoman"/>
      <w:lvlText w:val="%3."/>
      <w:lvlJc w:val="right"/>
      <w:pPr>
        <w:ind w:left="5627" w:hanging="180"/>
      </w:pPr>
    </w:lvl>
    <w:lvl w:ilvl="3" w:tplc="041B000F" w:tentative="1">
      <w:start w:val="1"/>
      <w:numFmt w:val="decimal"/>
      <w:lvlText w:val="%4."/>
      <w:lvlJc w:val="left"/>
      <w:pPr>
        <w:ind w:left="6347" w:hanging="360"/>
      </w:pPr>
    </w:lvl>
    <w:lvl w:ilvl="4" w:tplc="041B0019" w:tentative="1">
      <w:start w:val="1"/>
      <w:numFmt w:val="lowerLetter"/>
      <w:lvlText w:val="%5."/>
      <w:lvlJc w:val="left"/>
      <w:pPr>
        <w:ind w:left="7067" w:hanging="360"/>
      </w:pPr>
    </w:lvl>
    <w:lvl w:ilvl="5" w:tplc="041B001B" w:tentative="1">
      <w:start w:val="1"/>
      <w:numFmt w:val="lowerRoman"/>
      <w:lvlText w:val="%6."/>
      <w:lvlJc w:val="right"/>
      <w:pPr>
        <w:ind w:left="7787" w:hanging="180"/>
      </w:pPr>
    </w:lvl>
    <w:lvl w:ilvl="6" w:tplc="041B000F" w:tentative="1">
      <w:start w:val="1"/>
      <w:numFmt w:val="decimal"/>
      <w:lvlText w:val="%7."/>
      <w:lvlJc w:val="left"/>
      <w:pPr>
        <w:ind w:left="8507" w:hanging="360"/>
      </w:pPr>
    </w:lvl>
    <w:lvl w:ilvl="7" w:tplc="041B0019" w:tentative="1">
      <w:start w:val="1"/>
      <w:numFmt w:val="lowerLetter"/>
      <w:lvlText w:val="%8."/>
      <w:lvlJc w:val="left"/>
      <w:pPr>
        <w:ind w:left="9227" w:hanging="360"/>
      </w:pPr>
    </w:lvl>
    <w:lvl w:ilvl="8" w:tplc="041B001B" w:tentative="1">
      <w:start w:val="1"/>
      <w:numFmt w:val="lowerRoman"/>
      <w:lvlText w:val="%9."/>
      <w:lvlJc w:val="right"/>
      <w:pPr>
        <w:ind w:left="9947" w:hanging="180"/>
      </w:pPr>
    </w:lvl>
  </w:abstractNum>
  <w:abstractNum w:abstractNumId="3" w15:restartNumberingAfterBreak="0">
    <w:nsid w:val="25D05A74"/>
    <w:multiLevelType w:val="hybridMultilevel"/>
    <w:tmpl w:val="D51056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9445331"/>
    <w:multiLevelType w:val="hybridMultilevel"/>
    <w:tmpl w:val="24D8EB9C"/>
    <w:lvl w:ilvl="0" w:tplc="D14019DA">
      <w:start w:val="1"/>
      <w:numFmt w:val="decimal"/>
      <w:lvlText w:val="(%1)"/>
      <w:lvlJc w:val="left"/>
      <w:pPr>
        <w:ind w:left="1212" w:hanging="360"/>
      </w:pPr>
      <w:rPr>
        <w:rFonts w:hint="default"/>
      </w:rPr>
    </w:lvl>
    <w:lvl w:ilvl="1" w:tplc="041B0019">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 w15:restartNumberingAfterBreak="0">
    <w:nsid w:val="29BE1F17"/>
    <w:multiLevelType w:val="hybridMultilevel"/>
    <w:tmpl w:val="833C1F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266B51"/>
    <w:multiLevelType w:val="hybridMultilevel"/>
    <w:tmpl w:val="DA8CADCA"/>
    <w:lvl w:ilvl="0" w:tplc="A9827F38">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163DAE"/>
    <w:multiLevelType w:val="hybridMultilevel"/>
    <w:tmpl w:val="24D8EB9C"/>
    <w:lvl w:ilvl="0" w:tplc="D14019DA">
      <w:start w:val="1"/>
      <w:numFmt w:val="decimal"/>
      <w:lvlText w:val="(%1)"/>
      <w:lvlJc w:val="left"/>
      <w:pPr>
        <w:ind w:left="1212" w:hanging="360"/>
      </w:pPr>
      <w:rPr>
        <w:rFonts w:hint="default"/>
      </w:rPr>
    </w:lvl>
    <w:lvl w:ilvl="1" w:tplc="041B0019">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 w15:restartNumberingAfterBreak="0">
    <w:nsid w:val="494064CC"/>
    <w:multiLevelType w:val="hybridMultilevel"/>
    <w:tmpl w:val="6178B5C6"/>
    <w:lvl w:ilvl="0" w:tplc="08D883A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21D6F07"/>
    <w:multiLevelType w:val="hybridMultilevel"/>
    <w:tmpl w:val="B15814B6"/>
    <w:lvl w:ilvl="0" w:tplc="F714814C">
      <w:start w:val="1"/>
      <w:numFmt w:val="decimal"/>
      <w:lvlText w:val="(%1)"/>
      <w:lvlJc w:val="left"/>
      <w:pPr>
        <w:ind w:left="4187" w:hanging="360"/>
      </w:pPr>
      <w:rPr>
        <w:rFonts w:hint="default"/>
        <w:color w:val="auto"/>
      </w:rPr>
    </w:lvl>
    <w:lvl w:ilvl="1" w:tplc="041B0019" w:tentative="1">
      <w:start w:val="1"/>
      <w:numFmt w:val="lowerLetter"/>
      <w:lvlText w:val="%2."/>
      <w:lvlJc w:val="left"/>
      <w:pPr>
        <w:ind w:left="4907" w:hanging="360"/>
      </w:pPr>
    </w:lvl>
    <w:lvl w:ilvl="2" w:tplc="041B001B" w:tentative="1">
      <w:start w:val="1"/>
      <w:numFmt w:val="lowerRoman"/>
      <w:lvlText w:val="%3."/>
      <w:lvlJc w:val="right"/>
      <w:pPr>
        <w:ind w:left="5627" w:hanging="180"/>
      </w:pPr>
    </w:lvl>
    <w:lvl w:ilvl="3" w:tplc="041B000F" w:tentative="1">
      <w:start w:val="1"/>
      <w:numFmt w:val="decimal"/>
      <w:lvlText w:val="%4."/>
      <w:lvlJc w:val="left"/>
      <w:pPr>
        <w:ind w:left="6347" w:hanging="360"/>
      </w:pPr>
    </w:lvl>
    <w:lvl w:ilvl="4" w:tplc="041B0019" w:tentative="1">
      <w:start w:val="1"/>
      <w:numFmt w:val="lowerLetter"/>
      <w:lvlText w:val="%5."/>
      <w:lvlJc w:val="left"/>
      <w:pPr>
        <w:ind w:left="7067" w:hanging="360"/>
      </w:pPr>
    </w:lvl>
    <w:lvl w:ilvl="5" w:tplc="041B001B" w:tentative="1">
      <w:start w:val="1"/>
      <w:numFmt w:val="lowerRoman"/>
      <w:lvlText w:val="%6."/>
      <w:lvlJc w:val="right"/>
      <w:pPr>
        <w:ind w:left="7787" w:hanging="180"/>
      </w:pPr>
    </w:lvl>
    <w:lvl w:ilvl="6" w:tplc="041B000F" w:tentative="1">
      <w:start w:val="1"/>
      <w:numFmt w:val="decimal"/>
      <w:lvlText w:val="%7."/>
      <w:lvlJc w:val="left"/>
      <w:pPr>
        <w:ind w:left="8507" w:hanging="360"/>
      </w:pPr>
    </w:lvl>
    <w:lvl w:ilvl="7" w:tplc="041B0019" w:tentative="1">
      <w:start w:val="1"/>
      <w:numFmt w:val="lowerLetter"/>
      <w:lvlText w:val="%8."/>
      <w:lvlJc w:val="left"/>
      <w:pPr>
        <w:ind w:left="9227" w:hanging="360"/>
      </w:pPr>
    </w:lvl>
    <w:lvl w:ilvl="8" w:tplc="041B001B" w:tentative="1">
      <w:start w:val="1"/>
      <w:numFmt w:val="lowerRoman"/>
      <w:lvlText w:val="%9."/>
      <w:lvlJc w:val="right"/>
      <w:pPr>
        <w:ind w:left="9947" w:hanging="180"/>
      </w:pPr>
    </w:lvl>
  </w:abstractNum>
  <w:abstractNum w:abstractNumId="10" w15:restartNumberingAfterBreak="0">
    <w:nsid w:val="53B04CB6"/>
    <w:multiLevelType w:val="hybridMultilevel"/>
    <w:tmpl w:val="2B82A7EC"/>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CA73AFB"/>
    <w:multiLevelType w:val="hybridMultilevel"/>
    <w:tmpl w:val="8ABCD7A4"/>
    <w:lvl w:ilvl="0" w:tplc="404C18C0">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600F5999"/>
    <w:multiLevelType w:val="hybridMultilevel"/>
    <w:tmpl w:val="F766BF5C"/>
    <w:lvl w:ilvl="0" w:tplc="AD145A3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57342DD"/>
    <w:multiLevelType w:val="hybridMultilevel"/>
    <w:tmpl w:val="24D8EB9C"/>
    <w:lvl w:ilvl="0" w:tplc="D14019DA">
      <w:start w:val="1"/>
      <w:numFmt w:val="decimal"/>
      <w:lvlText w:val="(%1)"/>
      <w:lvlJc w:val="left"/>
      <w:pPr>
        <w:ind w:left="1212" w:hanging="360"/>
      </w:pPr>
      <w:rPr>
        <w:rFonts w:hint="default"/>
      </w:rPr>
    </w:lvl>
    <w:lvl w:ilvl="1" w:tplc="041B0019">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4" w15:restartNumberingAfterBreak="0">
    <w:nsid w:val="6F5737E8"/>
    <w:multiLevelType w:val="hybridMultilevel"/>
    <w:tmpl w:val="30C09EBE"/>
    <w:lvl w:ilvl="0" w:tplc="2BE691C0">
      <w:start w:val="1"/>
      <w:numFmt w:val="decimal"/>
      <w:lvlText w:val="(%1)"/>
      <w:lvlJc w:val="left"/>
      <w:pPr>
        <w:ind w:left="1210" w:hanging="360"/>
      </w:pPr>
      <w:rPr>
        <w:rFonts w:eastAsiaTheme="minorHAnsi" w:hint="default"/>
        <w:i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7084471C"/>
    <w:multiLevelType w:val="hybridMultilevel"/>
    <w:tmpl w:val="C5E8FF5E"/>
    <w:lvl w:ilvl="0" w:tplc="6EEE2C0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CB7E16"/>
    <w:multiLevelType w:val="hybridMultilevel"/>
    <w:tmpl w:val="33C68A6A"/>
    <w:lvl w:ilvl="0" w:tplc="51022274">
      <w:start w:val="1"/>
      <w:numFmt w:val="decimal"/>
      <w:lvlText w:val="(%1)"/>
      <w:lvlJc w:val="left"/>
      <w:pPr>
        <w:ind w:left="360" w:hanging="360"/>
      </w:pPr>
      <w:rPr>
        <w:rFonts w:ascii="Times New Roman" w:eastAsiaTheme="minorHAnsi" w:hAnsi="Times New Roman" w:cs="Times New Roman"/>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79ED3EBF"/>
    <w:multiLevelType w:val="hybridMultilevel"/>
    <w:tmpl w:val="A65A371E"/>
    <w:lvl w:ilvl="0" w:tplc="F8DA6AA4">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10"/>
  </w:num>
  <w:num w:numId="2">
    <w:abstractNumId w:val="1"/>
  </w:num>
  <w:num w:numId="3">
    <w:abstractNumId w:val="8"/>
  </w:num>
  <w:num w:numId="4">
    <w:abstractNumId w:val="15"/>
  </w:num>
  <w:num w:numId="5">
    <w:abstractNumId w:val="5"/>
  </w:num>
  <w:num w:numId="6">
    <w:abstractNumId w:val="0"/>
  </w:num>
  <w:num w:numId="7">
    <w:abstractNumId w:val="12"/>
  </w:num>
  <w:num w:numId="8">
    <w:abstractNumId w:val="2"/>
  </w:num>
  <w:num w:numId="9">
    <w:abstractNumId w:val="11"/>
  </w:num>
  <w:num w:numId="10">
    <w:abstractNumId w:val="9"/>
  </w:num>
  <w:num w:numId="11">
    <w:abstractNumId w:val="16"/>
  </w:num>
  <w:num w:numId="12">
    <w:abstractNumId w:val="3"/>
  </w:num>
  <w:num w:numId="13">
    <w:abstractNumId w:val="4"/>
  </w:num>
  <w:num w:numId="14">
    <w:abstractNumId w:val="6"/>
  </w:num>
  <w:num w:numId="15">
    <w:abstractNumId w:val="17"/>
  </w:num>
  <w:num w:numId="16">
    <w:abstractNumId w:val="14"/>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7E"/>
    <w:rsid w:val="00002964"/>
    <w:rsid w:val="000029B8"/>
    <w:rsid w:val="00014BC6"/>
    <w:rsid w:val="000329A5"/>
    <w:rsid w:val="0004500E"/>
    <w:rsid w:val="00053AF0"/>
    <w:rsid w:val="000706E5"/>
    <w:rsid w:val="00070BDD"/>
    <w:rsid w:val="00076EA5"/>
    <w:rsid w:val="00090ADC"/>
    <w:rsid w:val="00095509"/>
    <w:rsid w:val="000A565C"/>
    <w:rsid w:val="000B2935"/>
    <w:rsid w:val="000D1A9A"/>
    <w:rsid w:val="000E1F4B"/>
    <w:rsid w:val="000F3303"/>
    <w:rsid w:val="00123139"/>
    <w:rsid w:val="001540E4"/>
    <w:rsid w:val="00157434"/>
    <w:rsid w:val="001610FB"/>
    <w:rsid w:val="001655E3"/>
    <w:rsid w:val="00174FD6"/>
    <w:rsid w:val="00184A47"/>
    <w:rsid w:val="00190955"/>
    <w:rsid w:val="0019229D"/>
    <w:rsid w:val="001941F5"/>
    <w:rsid w:val="001A7B90"/>
    <w:rsid w:val="001B085D"/>
    <w:rsid w:val="001B3C75"/>
    <w:rsid w:val="001C0DC7"/>
    <w:rsid w:val="001C143D"/>
    <w:rsid w:val="001C488E"/>
    <w:rsid w:val="001E0574"/>
    <w:rsid w:val="001E2242"/>
    <w:rsid w:val="001E29CC"/>
    <w:rsid w:val="001E63FC"/>
    <w:rsid w:val="001F232D"/>
    <w:rsid w:val="00222F51"/>
    <w:rsid w:val="0024086B"/>
    <w:rsid w:val="00242747"/>
    <w:rsid w:val="0024749A"/>
    <w:rsid w:val="00253B21"/>
    <w:rsid w:val="00255180"/>
    <w:rsid w:val="00255711"/>
    <w:rsid w:val="00270C8C"/>
    <w:rsid w:val="002731F9"/>
    <w:rsid w:val="00297F5A"/>
    <w:rsid w:val="002C3970"/>
    <w:rsid w:val="002D6FBE"/>
    <w:rsid w:val="002E7F77"/>
    <w:rsid w:val="00310153"/>
    <w:rsid w:val="0031503F"/>
    <w:rsid w:val="00336AF5"/>
    <w:rsid w:val="00336B4B"/>
    <w:rsid w:val="00344C0A"/>
    <w:rsid w:val="0036032A"/>
    <w:rsid w:val="003638FB"/>
    <w:rsid w:val="00365F45"/>
    <w:rsid w:val="00370EA2"/>
    <w:rsid w:val="00372BA2"/>
    <w:rsid w:val="00377859"/>
    <w:rsid w:val="00384987"/>
    <w:rsid w:val="003B42CE"/>
    <w:rsid w:val="003B602F"/>
    <w:rsid w:val="003D1570"/>
    <w:rsid w:val="003F14C7"/>
    <w:rsid w:val="003F74B8"/>
    <w:rsid w:val="00423B5D"/>
    <w:rsid w:val="00427777"/>
    <w:rsid w:val="00435168"/>
    <w:rsid w:val="00464C43"/>
    <w:rsid w:val="004723BE"/>
    <w:rsid w:val="00482E6A"/>
    <w:rsid w:val="00485D8A"/>
    <w:rsid w:val="004A41A7"/>
    <w:rsid w:val="004C0EC0"/>
    <w:rsid w:val="004C7220"/>
    <w:rsid w:val="004E3439"/>
    <w:rsid w:val="004F5294"/>
    <w:rsid w:val="005129CC"/>
    <w:rsid w:val="0051551E"/>
    <w:rsid w:val="00521E4A"/>
    <w:rsid w:val="005866F5"/>
    <w:rsid w:val="00592CCD"/>
    <w:rsid w:val="00593CAB"/>
    <w:rsid w:val="00594FAA"/>
    <w:rsid w:val="005B056C"/>
    <w:rsid w:val="005D39DF"/>
    <w:rsid w:val="005E0A0E"/>
    <w:rsid w:val="005E1DFD"/>
    <w:rsid w:val="005F57C7"/>
    <w:rsid w:val="00614D3C"/>
    <w:rsid w:val="00617AC9"/>
    <w:rsid w:val="00633459"/>
    <w:rsid w:val="00643B09"/>
    <w:rsid w:val="00645E16"/>
    <w:rsid w:val="00650C19"/>
    <w:rsid w:val="00666E7F"/>
    <w:rsid w:val="00673319"/>
    <w:rsid w:val="0068739C"/>
    <w:rsid w:val="006A3887"/>
    <w:rsid w:val="006B32BC"/>
    <w:rsid w:val="006C729B"/>
    <w:rsid w:val="006D1766"/>
    <w:rsid w:val="006E3944"/>
    <w:rsid w:val="00704837"/>
    <w:rsid w:val="007219FA"/>
    <w:rsid w:val="00726283"/>
    <w:rsid w:val="0074158B"/>
    <w:rsid w:val="00752734"/>
    <w:rsid w:val="007774FD"/>
    <w:rsid w:val="00783A46"/>
    <w:rsid w:val="007863F7"/>
    <w:rsid w:val="007A2AC9"/>
    <w:rsid w:val="007A5B27"/>
    <w:rsid w:val="007A75EC"/>
    <w:rsid w:val="007B580A"/>
    <w:rsid w:val="007D1252"/>
    <w:rsid w:val="007D2F5A"/>
    <w:rsid w:val="007D37E5"/>
    <w:rsid w:val="007D44CF"/>
    <w:rsid w:val="007D7DC8"/>
    <w:rsid w:val="007F2394"/>
    <w:rsid w:val="007F4A62"/>
    <w:rsid w:val="0080764B"/>
    <w:rsid w:val="008457C5"/>
    <w:rsid w:val="008759E2"/>
    <w:rsid w:val="0088752C"/>
    <w:rsid w:val="008919F9"/>
    <w:rsid w:val="008A0842"/>
    <w:rsid w:val="008C5696"/>
    <w:rsid w:val="008E01FE"/>
    <w:rsid w:val="008E70AF"/>
    <w:rsid w:val="008F17DB"/>
    <w:rsid w:val="009028ED"/>
    <w:rsid w:val="009107D6"/>
    <w:rsid w:val="009144E7"/>
    <w:rsid w:val="009156F3"/>
    <w:rsid w:val="00940E23"/>
    <w:rsid w:val="009436CD"/>
    <w:rsid w:val="009521A7"/>
    <w:rsid w:val="00954D08"/>
    <w:rsid w:val="00971D59"/>
    <w:rsid w:val="009746A3"/>
    <w:rsid w:val="00992128"/>
    <w:rsid w:val="009934E3"/>
    <w:rsid w:val="0099799B"/>
    <w:rsid w:val="009B2569"/>
    <w:rsid w:val="009C28EE"/>
    <w:rsid w:val="009D0679"/>
    <w:rsid w:val="009F13E0"/>
    <w:rsid w:val="00A07B91"/>
    <w:rsid w:val="00A07DDB"/>
    <w:rsid w:val="00A16104"/>
    <w:rsid w:val="00A35BB5"/>
    <w:rsid w:val="00A42A64"/>
    <w:rsid w:val="00A50FE6"/>
    <w:rsid w:val="00A6312D"/>
    <w:rsid w:val="00A7000E"/>
    <w:rsid w:val="00A7633A"/>
    <w:rsid w:val="00A83338"/>
    <w:rsid w:val="00AA56D4"/>
    <w:rsid w:val="00AB1281"/>
    <w:rsid w:val="00AB1507"/>
    <w:rsid w:val="00AC470E"/>
    <w:rsid w:val="00AE0C6F"/>
    <w:rsid w:val="00AE361E"/>
    <w:rsid w:val="00AE6D79"/>
    <w:rsid w:val="00B042BB"/>
    <w:rsid w:val="00B04C56"/>
    <w:rsid w:val="00B178CC"/>
    <w:rsid w:val="00B26026"/>
    <w:rsid w:val="00B340F9"/>
    <w:rsid w:val="00B41150"/>
    <w:rsid w:val="00B46D94"/>
    <w:rsid w:val="00B51E49"/>
    <w:rsid w:val="00B53601"/>
    <w:rsid w:val="00B565F4"/>
    <w:rsid w:val="00B75E11"/>
    <w:rsid w:val="00B821B2"/>
    <w:rsid w:val="00B86A27"/>
    <w:rsid w:val="00BB4D8F"/>
    <w:rsid w:val="00BB6085"/>
    <w:rsid w:val="00BD74DB"/>
    <w:rsid w:val="00BE1B97"/>
    <w:rsid w:val="00BF3FD9"/>
    <w:rsid w:val="00C06867"/>
    <w:rsid w:val="00C10481"/>
    <w:rsid w:val="00C10A54"/>
    <w:rsid w:val="00C2289F"/>
    <w:rsid w:val="00C277F0"/>
    <w:rsid w:val="00C32467"/>
    <w:rsid w:val="00C3285C"/>
    <w:rsid w:val="00C42304"/>
    <w:rsid w:val="00C50A6D"/>
    <w:rsid w:val="00C52CAB"/>
    <w:rsid w:val="00C53DB0"/>
    <w:rsid w:val="00C5455E"/>
    <w:rsid w:val="00C91792"/>
    <w:rsid w:val="00C941A3"/>
    <w:rsid w:val="00C96341"/>
    <w:rsid w:val="00C969C6"/>
    <w:rsid w:val="00CB077E"/>
    <w:rsid w:val="00CB3223"/>
    <w:rsid w:val="00CB498F"/>
    <w:rsid w:val="00CD5C9C"/>
    <w:rsid w:val="00CD5CEE"/>
    <w:rsid w:val="00CE3DEF"/>
    <w:rsid w:val="00CE6B7E"/>
    <w:rsid w:val="00D1760B"/>
    <w:rsid w:val="00D23ADD"/>
    <w:rsid w:val="00D249C0"/>
    <w:rsid w:val="00D3293B"/>
    <w:rsid w:val="00D33C33"/>
    <w:rsid w:val="00D60013"/>
    <w:rsid w:val="00D62A40"/>
    <w:rsid w:val="00D71136"/>
    <w:rsid w:val="00D72C2A"/>
    <w:rsid w:val="00D74FD5"/>
    <w:rsid w:val="00D85EEE"/>
    <w:rsid w:val="00D85F5B"/>
    <w:rsid w:val="00D910B3"/>
    <w:rsid w:val="00D96540"/>
    <w:rsid w:val="00DA5F25"/>
    <w:rsid w:val="00DC0E82"/>
    <w:rsid w:val="00DE2986"/>
    <w:rsid w:val="00DE4FCA"/>
    <w:rsid w:val="00DF017F"/>
    <w:rsid w:val="00DF171E"/>
    <w:rsid w:val="00DF4574"/>
    <w:rsid w:val="00DF56AE"/>
    <w:rsid w:val="00DF58F2"/>
    <w:rsid w:val="00E17BDF"/>
    <w:rsid w:val="00E2580F"/>
    <w:rsid w:val="00E36C7D"/>
    <w:rsid w:val="00E4408F"/>
    <w:rsid w:val="00E50667"/>
    <w:rsid w:val="00E50929"/>
    <w:rsid w:val="00E66E5C"/>
    <w:rsid w:val="00E71FB2"/>
    <w:rsid w:val="00E9655A"/>
    <w:rsid w:val="00EA12C9"/>
    <w:rsid w:val="00EA7B18"/>
    <w:rsid w:val="00ED191A"/>
    <w:rsid w:val="00EE45D9"/>
    <w:rsid w:val="00F077A7"/>
    <w:rsid w:val="00F146F3"/>
    <w:rsid w:val="00F23B1E"/>
    <w:rsid w:val="00F37E58"/>
    <w:rsid w:val="00F53C29"/>
    <w:rsid w:val="00F55BF4"/>
    <w:rsid w:val="00F56DF5"/>
    <w:rsid w:val="00F572A8"/>
    <w:rsid w:val="00F7117F"/>
    <w:rsid w:val="00F7130C"/>
    <w:rsid w:val="00F76B05"/>
    <w:rsid w:val="00F869A6"/>
    <w:rsid w:val="00FA7BB0"/>
    <w:rsid w:val="00FB1E71"/>
    <w:rsid w:val="00FC2106"/>
    <w:rsid w:val="00FF25C6"/>
    <w:rsid w:val="00FF54D3"/>
    <w:rsid w:val="00FF6B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4779-FD7E-4ACC-A503-68C0B4B1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B7E"/>
  </w:style>
  <w:style w:type="paragraph" w:styleId="Nadpis1">
    <w:name w:val="heading 1"/>
    <w:basedOn w:val="Normlny"/>
    <w:next w:val="Normlny"/>
    <w:link w:val="Nadpis1Char"/>
    <w:uiPriority w:val="9"/>
    <w:qFormat/>
    <w:rsid w:val="00253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A42A64"/>
    <w:pPr>
      <w:keepNext/>
      <w:keepLines/>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sk-SK"/>
    </w:rPr>
  </w:style>
  <w:style w:type="paragraph" w:styleId="Nadpis4">
    <w:name w:val="heading 4"/>
    <w:basedOn w:val="Normlny"/>
    <w:next w:val="Normlny"/>
    <w:link w:val="Nadpis4Char"/>
    <w:uiPriority w:val="99"/>
    <w:qFormat/>
    <w:rsid w:val="00CE6B7E"/>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rsid w:val="00CE6B7E"/>
    <w:rPr>
      <w:rFonts w:ascii="Times New Roman" w:eastAsia="Times New Roman" w:hAnsi="Times New Roman" w:cs="Times New Roman"/>
      <w:b/>
      <w:bCs/>
      <w:lang w:eastAsia="sk-SK"/>
    </w:rPr>
  </w:style>
  <w:style w:type="table" w:styleId="Mriekatabuky">
    <w:name w:val="Table Grid"/>
    <w:basedOn w:val="Normlnatabuka"/>
    <w:uiPriority w:val="39"/>
    <w:rsid w:val="00CE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0">
    <w:name w:val="_Normálny"/>
    <w:basedOn w:val="Normlny"/>
    <w:uiPriority w:val="99"/>
    <w:rsid w:val="00CE6B7E"/>
    <w:pPr>
      <w:autoSpaceDE w:val="0"/>
      <w:autoSpaceDN w:val="0"/>
      <w:spacing w:after="0" w:line="240" w:lineRule="auto"/>
    </w:pPr>
    <w:rPr>
      <w:rFonts w:ascii="Times New Roman" w:eastAsia="Times New Roman" w:hAnsi="Times New Roman" w:cs="Times New Roman"/>
      <w:sz w:val="20"/>
      <w:szCs w:val="20"/>
    </w:rPr>
  </w:style>
  <w:style w:type="character" w:customStyle="1" w:styleId="Nadpis3Char">
    <w:name w:val="Nadpis 3 Char"/>
    <w:basedOn w:val="Predvolenpsmoodseku"/>
    <w:link w:val="Nadpis3"/>
    <w:uiPriority w:val="9"/>
    <w:semiHidden/>
    <w:rsid w:val="00A42A64"/>
    <w:rPr>
      <w:rFonts w:asciiTheme="majorHAnsi" w:eastAsiaTheme="majorEastAsia" w:hAnsiTheme="majorHAnsi" w:cstheme="majorBidi"/>
      <w:color w:val="1F4D78" w:themeColor="accent1" w:themeShade="7F"/>
      <w:sz w:val="24"/>
      <w:szCs w:val="24"/>
      <w:lang w:eastAsia="sk-SK"/>
    </w:rPr>
  </w:style>
  <w:style w:type="character" w:styleId="Hypertextovprepojenie">
    <w:name w:val="Hyperlink"/>
    <w:basedOn w:val="Predvolenpsmoodseku"/>
    <w:uiPriority w:val="99"/>
    <w:semiHidden/>
    <w:unhideWhenUsed/>
    <w:rsid w:val="00650C19"/>
    <w:rPr>
      <w:color w:val="0000FF"/>
      <w:u w:val="single"/>
    </w:rPr>
  </w:style>
  <w:style w:type="paragraph" w:styleId="Normlnywebov">
    <w:name w:val="Normal (Web)"/>
    <w:basedOn w:val="Normlny"/>
    <w:uiPriority w:val="99"/>
    <w:rsid w:val="00B04C56"/>
    <w:pPr>
      <w:spacing w:before="150" w:after="150" w:line="240" w:lineRule="auto"/>
      <w:ind w:left="675" w:right="525"/>
    </w:pPr>
    <w:rPr>
      <w:rFonts w:ascii="Times New Roman" w:eastAsia="Times New Roman" w:hAnsi="Times New Roman" w:cs="Times New Roman"/>
      <w:sz w:val="19"/>
      <w:szCs w:val="19"/>
      <w:lang w:eastAsia="sk-SK"/>
    </w:rPr>
  </w:style>
  <w:style w:type="character" w:customStyle="1" w:styleId="Nadpis1Char">
    <w:name w:val="Nadpis 1 Char"/>
    <w:basedOn w:val="Predvolenpsmoodseku"/>
    <w:link w:val="Nadpis1"/>
    <w:uiPriority w:val="9"/>
    <w:rsid w:val="00253B21"/>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5129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9CC"/>
  </w:style>
  <w:style w:type="paragraph" w:styleId="Pta">
    <w:name w:val="footer"/>
    <w:basedOn w:val="Normlny"/>
    <w:link w:val="PtaChar"/>
    <w:uiPriority w:val="99"/>
    <w:unhideWhenUsed/>
    <w:rsid w:val="005129CC"/>
    <w:pPr>
      <w:tabs>
        <w:tab w:val="center" w:pos="4536"/>
        <w:tab w:val="right" w:pos="9072"/>
      </w:tabs>
      <w:spacing w:after="0" w:line="240" w:lineRule="auto"/>
    </w:pPr>
  </w:style>
  <w:style w:type="character" w:customStyle="1" w:styleId="PtaChar">
    <w:name w:val="Päta Char"/>
    <w:basedOn w:val="Predvolenpsmoodseku"/>
    <w:link w:val="Pta"/>
    <w:uiPriority w:val="99"/>
    <w:rsid w:val="005129CC"/>
  </w:style>
  <w:style w:type="paragraph" w:styleId="Textbubliny">
    <w:name w:val="Balloon Text"/>
    <w:basedOn w:val="Normlny"/>
    <w:link w:val="TextbublinyChar"/>
    <w:uiPriority w:val="99"/>
    <w:semiHidden/>
    <w:unhideWhenUsed/>
    <w:rsid w:val="00C328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285C"/>
    <w:rPr>
      <w:rFonts w:ascii="Segoe UI" w:hAnsi="Segoe UI" w:cs="Segoe UI"/>
      <w:sz w:val="18"/>
      <w:szCs w:val="18"/>
    </w:rPr>
  </w:style>
  <w:style w:type="paragraph" w:styleId="Odsekzoznamu">
    <w:name w:val="List Paragraph"/>
    <w:basedOn w:val="Normlny"/>
    <w:uiPriority w:val="34"/>
    <w:qFormat/>
    <w:rsid w:val="00A6312D"/>
    <w:pPr>
      <w:ind w:left="720"/>
      <w:contextualSpacing/>
    </w:pPr>
  </w:style>
  <w:style w:type="paragraph" w:customStyle="1" w:styleId="Standard">
    <w:name w:val="Standard"/>
    <w:rsid w:val="000B2935"/>
    <w:pPr>
      <w:suppressAutoHyphens/>
      <w:autoSpaceDN w:val="0"/>
      <w:spacing w:line="256" w:lineRule="auto"/>
      <w:textAlignment w:val="baseline"/>
    </w:pPr>
    <w:rPr>
      <w:rFonts w:ascii="Calibri" w:eastAsia="Calibri" w:hAnsi="Calibri" w:cs="Tahoma"/>
    </w:rPr>
  </w:style>
  <w:style w:type="paragraph" w:styleId="Zarkazkladnhotextu2">
    <w:name w:val="Body Text Indent 2"/>
    <w:basedOn w:val="Normlny"/>
    <w:link w:val="Zarkazkladnhotextu2Char"/>
    <w:uiPriority w:val="99"/>
    <w:rsid w:val="00B340F9"/>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0F9"/>
    <w:rPr>
      <w:rFonts w:ascii="Times New Roman" w:eastAsia="Times New Roman" w:hAnsi="Times New Roman" w:cs="Times New Roman"/>
      <w:sz w:val="20"/>
      <w:szCs w:val="20"/>
      <w:lang w:eastAsia="sk-SK"/>
    </w:rPr>
  </w:style>
  <w:style w:type="paragraph" w:customStyle="1" w:styleId="Default">
    <w:name w:val="Default"/>
    <w:rsid w:val="00DE4FC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84A4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84A47"/>
    <w:rPr>
      <w:sz w:val="20"/>
      <w:szCs w:val="20"/>
    </w:rPr>
  </w:style>
  <w:style w:type="character" w:styleId="Odkaznapoznmkupodiarou">
    <w:name w:val="footnote reference"/>
    <w:basedOn w:val="Predvolenpsmoodseku"/>
    <w:uiPriority w:val="99"/>
    <w:semiHidden/>
    <w:unhideWhenUsed/>
    <w:rsid w:val="00184A47"/>
    <w:rPr>
      <w:vertAlign w:val="superscript"/>
    </w:rPr>
  </w:style>
  <w:style w:type="paragraph" w:styleId="Textkomentra">
    <w:name w:val="annotation text"/>
    <w:basedOn w:val="Normlny"/>
    <w:link w:val="TextkomentraChar"/>
    <w:uiPriority w:val="99"/>
    <w:unhideWhenUsed/>
    <w:rsid w:val="00D249C0"/>
    <w:pPr>
      <w:spacing w:line="240" w:lineRule="auto"/>
    </w:pPr>
    <w:rPr>
      <w:sz w:val="20"/>
      <w:szCs w:val="20"/>
    </w:rPr>
  </w:style>
  <w:style w:type="character" w:customStyle="1" w:styleId="TextkomentraChar">
    <w:name w:val="Text komentára Char"/>
    <w:basedOn w:val="Predvolenpsmoodseku"/>
    <w:link w:val="Textkomentra"/>
    <w:uiPriority w:val="99"/>
    <w:rsid w:val="00D24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498">
      <w:bodyDiv w:val="1"/>
      <w:marLeft w:val="0"/>
      <w:marRight w:val="0"/>
      <w:marTop w:val="0"/>
      <w:marBottom w:val="0"/>
      <w:divBdr>
        <w:top w:val="none" w:sz="0" w:space="0" w:color="auto"/>
        <w:left w:val="none" w:sz="0" w:space="0" w:color="auto"/>
        <w:bottom w:val="none" w:sz="0" w:space="0" w:color="auto"/>
        <w:right w:val="none" w:sz="0" w:space="0" w:color="auto"/>
      </w:divBdr>
    </w:div>
    <w:div w:id="1634677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78">
          <w:marLeft w:val="0"/>
          <w:marRight w:val="75"/>
          <w:marTop w:val="0"/>
          <w:marBottom w:val="0"/>
          <w:divBdr>
            <w:top w:val="none" w:sz="0" w:space="0" w:color="auto"/>
            <w:left w:val="none" w:sz="0" w:space="0" w:color="auto"/>
            <w:bottom w:val="none" w:sz="0" w:space="0" w:color="auto"/>
            <w:right w:val="none" w:sz="0" w:space="0" w:color="auto"/>
          </w:divBdr>
        </w:div>
        <w:div w:id="85808389">
          <w:marLeft w:val="0"/>
          <w:marRight w:val="0"/>
          <w:marTop w:val="0"/>
          <w:marBottom w:val="300"/>
          <w:divBdr>
            <w:top w:val="none" w:sz="0" w:space="0" w:color="auto"/>
            <w:left w:val="none" w:sz="0" w:space="0" w:color="auto"/>
            <w:bottom w:val="none" w:sz="0" w:space="0" w:color="auto"/>
            <w:right w:val="none" w:sz="0" w:space="0" w:color="auto"/>
          </w:divBdr>
        </w:div>
        <w:div w:id="1392998194">
          <w:marLeft w:val="255"/>
          <w:marRight w:val="0"/>
          <w:marTop w:val="75"/>
          <w:marBottom w:val="0"/>
          <w:divBdr>
            <w:top w:val="none" w:sz="0" w:space="0" w:color="auto"/>
            <w:left w:val="none" w:sz="0" w:space="0" w:color="auto"/>
            <w:bottom w:val="none" w:sz="0" w:space="0" w:color="auto"/>
            <w:right w:val="none" w:sz="0" w:space="0" w:color="auto"/>
          </w:divBdr>
        </w:div>
        <w:div w:id="1885756172">
          <w:marLeft w:val="255"/>
          <w:marRight w:val="0"/>
          <w:marTop w:val="75"/>
          <w:marBottom w:val="0"/>
          <w:divBdr>
            <w:top w:val="none" w:sz="0" w:space="0" w:color="auto"/>
            <w:left w:val="none" w:sz="0" w:space="0" w:color="auto"/>
            <w:bottom w:val="none" w:sz="0" w:space="0" w:color="auto"/>
            <w:right w:val="none" w:sz="0" w:space="0" w:color="auto"/>
          </w:divBdr>
        </w:div>
        <w:div w:id="154734542">
          <w:marLeft w:val="255"/>
          <w:marRight w:val="0"/>
          <w:marTop w:val="75"/>
          <w:marBottom w:val="0"/>
          <w:divBdr>
            <w:top w:val="none" w:sz="0" w:space="0" w:color="auto"/>
            <w:left w:val="none" w:sz="0" w:space="0" w:color="auto"/>
            <w:bottom w:val="none" w:sz="0" w:space="0" w:color="auto"/>
            <w:right w:val="none" w:sz="0" w:space="0" w:color="auto"/>
          </w:divBdr>
        </w:div>
        <w:div w:id="1860657440">
          <w:marLeft w:val="255"/>
          <w:marRight w:val="0"/>
          <w:marTop w:val="75"/>
          <w:marBottom w:val="0"/>
          <w:divBdr>
            <w:top w:val="none" w:sz="0" w:space="0" w:color="auto"/>
            <w:left w:val="none" w:sz="0" w:space="0" w:color="auto"/>
            <w:bottom w:val="none" w:sz="0" w:space="0" w:color="auto"/>
            <w:right w:val="none" w:sz="0" w:space="0" w:color="auto"/>
          </w:divBdr>
        </w:div>
        <w:div w:id="593825891">
          <w:marLeft w:val="255"/>
          <w:marRight w:val="0"/>
          <w:marTop w:val="75"/>
          <w:marBottom w:val="0"/>
          <w:divBdr>
            <w:top w:val="none" w:sz="0" w:space="0" w:color="auto"/>
            <w:left w:val="none" w:sz="0" w:space="0" w:color="auto"/>
            <w:bottom w:val="none" w:sz="0" w:space="0" w:color="auto"/>
            <w:right w:val="none" w:sz="0" w:space="0" w:color="auto"/>
          </w:divBdr>
        </w:div>
        <w:div w:id="859588041">
          <w:marLeft w:val="255"/>
          <w:marRight w:val="0"/>
          <w:marTop w:val="75"/>
          <w:marBottom w:val="0"/>
          <w:divBdr>
            <w:top w:val="none" w:sz="0" w:space="0" w:color="auto"/>
            <w:left w:val="none" w:sz="0" w:space="0" w:color="auto"/>
            <w:bottom w:val="none" w:sz="0" w:space="0" w:color="auto"/>
            <w:right w:val="none" w:sz="0" w:space="0" w:color="auto"/>
          </w:divBdr>
        </w:div>
        <w:div w:id="1238517122">
          <w:marLeft w:val="255"/>
          <w:marRight w:val="0"/>
          <w:marTop w:val="75"/>
          <w:marBottom w:val="0"/>
          <w:divBdr>
            <w:top w:val="none" w:sz="0" w:space="0" w:color="auto"/>
            <w:left w:val="none" w:sz="0" w:space="0" w:color="auto"/>
            <w:bottom w:val="none" w:sz="0" w:space="0" w:color="auto"/>
            <w:right w:val="none" w:sz="0" w:space="0" w:color="auto"/>
          </w:divBdr>
        </w:div>
        <w:div w:id="915826665">
          <w:marLeft w:val="255"/>
          <w:marRight w:val="0"/>
          <w:marTop w:val="75"/>
          <w:marBottom w:val="0"/>
          <w:divBdr>
            <w:top w:val="none" w:sz="0" w:space="0" w:color="auto"/>
            <w:left w:val="none" w:sz="0" w:space="0" w:color="auto"/>
            <w:bottom w:val="none" w:sz="0" w:space="0" w:color="auto"/>
            <w:right w:val="none" w:sz="0" w:space="0" w:color="auto"/>
          </w:divBdr>
        </w:div>
        <w:div w:id="2103793066">
          <w:marLeft w:val="255"/>
          <w:marRight w:val="0"/>
          <w:marTop w:val="75"/>
          <w:marBottom w:val="0"/>
          <w:divBdr>
            <w:top w:val="none" w:sz="0" w:space="0" w:color="auto"/>
            <w:left w:val="none" w:sz="0" w:space="0" w:color="auto"/>
            <w:bottom w:val="none" w:sz="0" w:space="0" w:color="auto"/>
            <w:right w:val="none" w:sz="0" w:space="0" w:color="auto"/>
          </w:divBdr>
        </w:div>
      </w:divsChild>
    </w:div>
    <w:div w:id="70590989">
      <w:bodyDiv w:val="1"/>
      <w:marLeft w:val="0"/>
      <w:marRight w:val="0"/>
      <w:marTop w:val="0"/>
      <w:marBottom w:val="0"/>
      <w:divBdr>
        <w:top w:val="none" w:sz="0" w:space="0" w:color="auto"/>
        <w:left w:val="none" w:sz="0" w:space="0" w:color="auto"/>
        <w:bottom w:val="none" w:sz="0" w:space="0" w:color="auto"/>
        <w:right w:val="none" w:sz="0" w:space="0" w:color="auto"/>
      </w:divBdr>
      <w:divsChild>
        <w:div w:id="89395055">
          <w:marLeft w:val="0"/>
          <w:marRight w:val="75"/>
          <w:marTop w:val="0"/>
          <w:marBottom w:val="0"/>
          <w:divBdr>
            <w:top w:val="none" w:sz="0" w:space="0" w:color="auto"/>
            <w:left w:val="none" w:sz="0" w:space="0" w:color="auto"/>
            <w:bottom w:val="none" w:sz="0" w:space="0" w:color="auto"/>
            <w:right w:val="none" w:sz="0" w:space="0" w:color="auto"/>
          </w:divBdr>
        </w:div>
        <w:div w:id="403375040">
          <w:marLeft w:val="0"/>
          <w:marRight w:val="0"/>
          <w:marTop w:val="0"/>
          <w:marBottom w:val="300"/>
          <w:divBdr>
            <w:top w:val="none" w:sz="0" w:space="0" w:color="auto"/>
            <w:left w:val="none" w:sz="0" w:space="0" w:color="auto"/>
            <w:bottom w:val="none" w:sz="0" w:space="0" w:color="auto"/>
            <w:right w:val="none" w:sz="0" w:space="0" w:color="auto"/>
          </w:divBdr>
        </w:div>
        <w:div w:id="1997757381">
          <w:marLeft w:val="255"/>
          <w:marRight w:val="0"/>
          <w:marTop w:val="75"/>
          <w:marBottom w:val="0"/>
          <w:divBdr>
            <w:top w:val="none" w:sz="0" w:space="0" w:color="auto"/>
            <w:left w:val="none" w:sz="0" w:space="0" w:color="auto"/>
            <w:bottom w:val="none" w:sz="0" w:space="0" w:color="auto"/>
            <w:right w:val="none" w:sz="0" w:space="0" w:color="auto"/>
          </w:divBdr>
        </w:div>
        <w:div w:id="803157534">
          <w:marLeft w:val="255"/>
          <w:marRight w:val="0"/>
          <w:marTop w:val="75"/>
          <w:marBottom w:val="0"/>
          <w:divBdr>
            <w:top w:val="none" w:sz="0" w:space="0" w:color="auto"/>
            <w:left w:val="none" w:sz="0" w:space="0" w:color="auto"/>
            <w:bottom w:val="none" w:sz="0" w:space="0" w:color="auto"/>
            <w:right w:val="none" w:sz="0" w:space="0" w:color="auto"/>
          </w:divBdr>
        </w:div>
        <w:div w:id="1013265241">
          <w:marLeft w:val="255"/>
          <w:marRight w:val="0"/>
          <w:marTop w:val="75"/>
          <w:marBottom w:val="0"/>
          <w:divBdr>
            <w:top w:val="none" w:sz="0" w:space="0" w:color="auto"/>
            <w:left w:val="none" w:sz="0" w:space="0" w:color="auto"/>
            <w:bottom w:val="none" w:sz="0" w:space="0" w:color="auto"/>
            <w:right w:val="none" w:sz="0" w:space="0" w:color="auto"/>
          </w:divBdr>
        </w:div>
      </w:divsChild>
    </w:div>
    <w:div w:id="265387978">
      <w:bodyDiv w:val="1"/>
      <w:marLeft w:val="0"/>
      <w:marRight w:val="0"/>
      <w:marTop w:val="0"/>
      <w:marBottom w:val="0"/>
      <w:divBdr>
        <w:top w:val="none" w:sz="0" w:space="0" w:color="auto"/>
        <w:left w:val="none" w:sz="0" w:space="0" w:color="auto"/>
        <w:bottom w:val="none" w:sz="0" w:space="0" w:color="auto"/>
        <w:right w:val="none" w:sz="0" w:space="0" w:color="auto"/>
      </w:divBdr>
      <w:divsChild>
        <w:div w:id="165289915">
          <w:marLeft w:val="0"/>
          <w:marRight w:val="75"/>
          <w:marTop w:val="0"/>
          <w:marBottom w:val="0"/>
          <w:divBdr>
            <w:top w:val="none" w:sz="0" w:space="0" w:color="auto"/>
            <w:left w:val="none" w:sz="0" w:space="0" w:color="auto"/>
            <w:bottom w:val="none" w:sz="0" w:space="0" w:color="auto"/>
            <w:right w:val="none" w:sz="0" w:space="0" w:color="auto"/>
          </w:divBdr>
        </w:div>
        <w:div w:id="1646199715">
          <w:marLeft w:val="0"/>
          <w:marRight w:val="0"/>
          <w:marTop w:val="0"/>
          <w:marBottom w:val="300"/>
          <w:divBdr>
            <w:top w:val="none" w:sz="0" w:space="0" w:color="auto"/>
            <w:left w:val="none" w:sz="0" w:space="0" w:color="auto"/>
            <w:bottom w:val="none" w:sz="0" w:space="0" w:color="auto"/>
            <w:right w:val="none" w:sz="0" w:space="0" w:color="auto"/>
          </w:divBdr>
        </w:div>
        <w:div w:id="2143234368">
          <w:marLeft w:val="255"/>
          <w:marRight w:val="0"/>
          <w:marTop w:val="75"/>
          <w:marBottom w:val="0"/>
          <w:divBdr>
            <w:top w:val="none" w:sz="0" w:space="0" w:color="auto"/>
            <w:left w:val="none" w:sz="0" w:space="0" w:color="auto"/>
            <w:bottom w:val="none" w:sz="0" w:space="0" w:color="auto"/>
            <w:right w:val="none" w:sz="0" w:space="0" w:color="auto"/>
          </w:divBdr>
        </w:div>
        <w:div w:id="476646760">
          <w:marLeft w:val="255"/>
          <w:marRight w:val="0"/>
          <w:marTop w:val="75"/>
          <w:marBottom w:val="0"/>
          <w:divBdr>
            <w:top w:val="none" w:sz="0" w:space="0" w:color="auto"/>
            <w:left w:val="none" w:sz="0" w:space="0" w:color="auto"/>
            <w:bottom w:val="none" w:sz="0" w:space="0" w:color="auto"/>
            <w:right w:val="none" w:sz="0" w:space="0" w:color="auto"/>
          </w:divBdr>
        </w:div>
        <w:div w:id="1808736682">
          <w:marLeft w:val="255"/>
          <w:marRight w:val="0"/>
          <w:marTop w:val="75"/>
          <w:marBottom w:val="0"/>
          <w:divBdr>
            <w:top w:val="none" w:sz="0" w:space="0" w:color="auto"/>
            <w:left w:val="none" w:sz="0" w:space="0" w:color="auto"/>
            <w:bottom w:val="none" w:sz="0" w:space="0" w:color="auto"/>
            <w:right w:val="none" w:sz="0" w:space="0" w:color="auto"/>
          </w:divBdr>
        </w:div>
        <w:div w:id="273634901">
          <w:marLeft w:val="255"/>
          <w:marRight w:val="0"/>
          <w:marTop w:val="75"/>
          <w:marBottom w:val="0"/>
          <w:divBdr>
            <w:top w:val="none" w:sz="0" w:space="0" w:color="auto"/>
            <w:left w:val="none" w:sz="0" w:space="0" w:color="auto"/>
            <w:bottom w:val="none" w:sz="0" w:space="0" w:color="auto"/>
            <w:right w:val="none" w:sz="0" w:space="0" w:color="auto"/>
          </w:divBdr>
        </w:div>
        <w:div w:id="669723107">
          <w:marLeft w:val="255"/>
          <w:marRight w:val="0"/>
          <w:marTop w:val="75"/>
          <w:marBottom w:val="0"/>
          <w:divBdr>
            <w:top w:val="none" w:sz="0" w:space="0" w:color="auto"/>
            <w:left w:val="none" w:sz="0" w:space="0" w:color="auto"/>
            <w:bottom w:val="none" w:sz="0" w:space="0" w:color="auto"/>
            <w:right w:val="none" w:sz="0" w:space="0" w:color="auto"/>
          </w:divBdr>
        </w:div>
        <w:div w:id="174809459">
          <w:marLeft w:val="255"/>
          <w:marRight w:val="0"/>
          <w:marTop w:val="75"/>
          <w:marBottom w:val="0"/>
          <w:divBdr>
            <w:top w:val="none" w:sz="0" w:space="0" w:color="auto"/>
            <w:left w:val="none" w:sz="0" w:space="0" w:color="auto"/>
            <w:bottom w:val="none" w:sz="0" w:space="0" w:color="auto"/>
            <w:right w:val="none" w:sz="0" w:space="0" w:color="auto"/>
          </w:divBdr>
        </w:div>
      </w:divsChild>
    </w:div>
    <w:div w:id="416249645">
      <w:bodyDiv w:val="1"/>
      <w:marLeft w:val="0"/>
      <w:marRight w:val="0"/>
      <w:marTop w:val="0"/>
      <w:marBottom w:val="0"/>
      <w:divBdr>
        <w:top w:val="none" w:sz="0" w:space="0" w:color="auto"/>
        <w:left w:val="none" w:sz="0" w:space="0" w:color="auto"/>
        <w:bottom w:val="none" w:sz="0" w:space="0" w:color="auto"/>
        <w:right w:val="none" w:sz="0" w:space="0" w:color="auto"/>
      </w:divBdr>
      <w:divsChild>
        <w:div w:id="1947274372">
          <w:marLeft w:val="255"/>
          <w:marRight w:val="0"/>
          <w:marTop w:val="75"/>
          <w:marBottom w:val="0"/>
          <w:divBdr>
            <w:top w:val="none" w:sz="0" w:space="0" w:color="auto"/>
            <w:left w:val="none" w:sz="0" w:space="0" w:color="auto"/>
            <w:bottom w:val="none" w:sz="0" w:space="0" w:color="auto"/>
            <w:right w:val="none" w:sz="0" w:space="0" w:color="auto"/>
          </w:divBdr>
        </w:div>
        <w:div w:id="1959678692">
          <w:marLeft w:val="255"/>
          <w:marRight w:val="0"/>
          <w:marTop w:val="75"/>
          <w:marBottom w:val="0"/>
          <w:divBdr>
            <w:top w:val="none" w:sz="0" w:space="0" w:color="auto"/>
            <w:left w:val="none" w:sz="0" w:space="0" w:color="auto"/>
            <w:bottom w:val="none" w:sz="0" w:space="0" w:color="auto"/>
            <w:right w:val="none" w:sz="0" w:space="0" w:color="auto"/>
          </w:divBdr>
          <w:divsChild>
            <w:div w:id="798962306">
              <w:marLeft w:val="255"/>
              <w:marRight w:val="0"/>
              <w:marTop w:val="0"/>
              <w:marBottom w:val="0"/>
              <w:divBdr>
                <w:top w:val="none" w:sz="0" w:space="0" w:color="auto"/>
                <w:left w:val="none" w:sz="0" w:space="0" w:color="auto"/>
                <w:bottom w:val="none" w:sz="0" w:space="0" w:color="auto"/>
                <w:right w:val="none" w:sz="0" w:space="0" w:color="auto"/>
              </w:divBdr>
            </w:div>
            <w:div w:id="1169448562">
              <w:marLeft w:val="255"/>
              <w:marRight w:val="0"/>
              <w:marTop w:val="0"/>
              <w:marBottom w:val="0"/>
              <w:divBdr>
                <w:top w:val="none" w:sz="0" w:space="0" w:color="auto"/>
                <w:left w:val="none" w:sz="0" w:space="0" w:color="auto"/>
                <w:bottom w:val="none" w:sz="0" w:space="0" w:color="auto"/>
                <w:right w:val="none" w:sz="0" w:space="0" w:color="auto"/>
              </w:divBdr>
            </w:div>
            <w:div w:id="1541163539">
              <w:marLeft w:val="255"/>
              <w:marRight w:val="0"/>
              <w:marTop w:val="0"/>
              <w:marBottom w:val="0"/>
              <w:divBdr>
                <w:top w:val="none" w:sz="0" w:space="0" w:color="auto"/>
                <w:left w:val="none" w:sz="0" w:space="0" w:color="auto"/>
                <w:bottom w:val="none" w:sz="0" w:space="0" w:color="auto"/>
                <w:right w:val="none" w:sz="0" w:space="0" w:color="auto"/>
              </w:divBdr>
            </w:div>
            <w:div w:id="1737437809">
              <w:marLeft w:val="255"/>
              <w:marRight w:val="0"/>
              <w:marTop w:val="0"/>
              <w:marBottom w:val="0"/>
              <w:divBdr>
                <w:top w:val="none" w:sz="0" w:space="0" w:color="auto"/>
                <w:left w:val="none" w:sz="0" w:space="0" w:color="auto"/>
                <w:bottom w:val="none" w:sz="0" w:space="0" w:color="auto"/>
                <w:right w:val="none" w:sz="0" w:space="0" w:color="auto"/>
              </w:divBdr>
            </w:div>
            <w:div w:id="708529484">
              <w:marLeft w:val="255"/>
              <w:marRight w:val="0"/>
              <w:marTop w:val="0"/>
              <w:marBottom w:val="0"/>
              <w:divBdr>
                <w:top w:val="none" w:sz="0" w:space="0" w:color="auto"/>
                <w:left w:val="none" w:sz="0" w:space="0" w:color="auto"/>
                <w:bottom w:val="none" w:sz="0" w:space="0" w:color="auto"/>
                <w:right w:val="none" w:sz="0" w:space="0" w:color="auto"/>
              </w:divBdr>
            </w:div>
            <w:div w:id="19024054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6730374">
      <w:bodyDiv w:val="1"/>
      <w:marLeft w:val="0"/>
      <w:marRight w:val="0"/>
      <w:marTop w:val="0"/>
      <w:marBottom w:val="0"/>
      <w:divBdr>
        <w:top w:val="none" w:sz="0" w:space="0" w:color="auto"/>
        <w:left w:val="none" w:sz="0" w:space="0" w:color="auto"/>
        <w:bottom w:val="none" w:sz="0" w:space="0" w:color="auto"/>
        <w:right w:val="none" w:sz="0" w:space="0" w:color="auto"/>
      </w:divBdr>
    </w:div>
    <w:div w:id="552468879">
      <w:bodyDiv w:val="1"/>
      <w:marLeft w:val="0"/>
      <w:marRight w:val="0"/>
      <w:marTop w:val="0"/>
      <w:marBottom w:val="0"/>
      <w:divBdr>
        <w:top w:val="none" w:sz="0" w:space="0" w:color="auto"/>
        <w:left w:val="none" w:sz="0" w:space="0" w:color="auto"/>
        <w:bottom w:val="none" w:sz="0" w:space="0" w:color="auto"/>
        <w:right w:val="none" w:sz="0" w:space="0" w:color="auto"/>
      </w:divBdr>
      <w:divsChild>
        <w:div w:id="533035947">
          <w:marLeft w:val="0"/>
          <w:marRight w:val="75"/>
          <w:marTop w:val="0"/>
          <w:marBottom w:val="0"/>
          <w:divBdr>
            <w:top w:val="none" w:sz="0" w:space="0" w:color="auto"/>
            <w:left w:val="none" w:sz="0" w:space="0" w:color="auto"/>
            <w:bottom w:val="none" w:sz="0" w:space="0" w:color="auto"/>
            <w:right w:val="none" w:sz="0" w:space="0" w:color="auto"/>
          </w:divBdr>
        </w:div>
        <w:div w:id="102920399">
          <w:marLeft w:val="0"/>
          <w:marRight w:val="0"/>
          <w:marTop w:val="0"/>
          <w:marBottom w:val="300"/>
          <w:divBdr>
            <w:top w:val="none" w:sz="0" w:space="0" w:color="auto"/>
            <w:left w:val="none" w:sz="0" w:space="0" w:color="auto"/>
            <w:bottom w:val="none" w:sz="0" w:space="0" w:color="auto"/>
            <w:right w:val="none" w:sz="0" w:space="0" w:color="auto"/>
          </w:divBdr>
        </w:div>
        <w:div w:id="1906719138">
          <w:marLeft w:val="255"/>
          <w:marRight w:val="0"/>
          <w:marTop w:val="75"/>
          <w:marBottom w:val="0"/>
          <w:divBdr>
            <w:top w:val="none" w:sz="0" w:space="0" w:color="auto"/>
            <w:left w:val="none" w:sz="0" w:space="0" w:color="auto"/>
            <w:bottom w:val="none" w:sz="0" w:space="0" w:color="auto"/>
            <w:right w:val="none" w:sz="0" w:space="0" w:color="auto"/>
          </w:divBdr>
        </w:div>
      </w:divsChild>
    </w:div>
    <w:div w:id="698314070">
      <w:bodyDiv w:val="1"/>
      <w:marLeft w:val="0"/>
      <w:marRight w:val="0"/>
      <w:marTop w:val="0"/>
      <w:marBottom w:val="0"/>
      <w:divBdr>
        <w:top w:val="none" w:sz="0" w:space="0" w:color="auto"/>
        <w:left w:val="none" w:sz="0" w:space="0" w:color="auto"/>
        <w:bottom w:val="none" w:sz="0" w:space="0" w:color="auto"/>
        <w:right w:val="none" w:sz="0" w:space="0" w:color="auto"/>
      </w:divBdr>
      <w:divsChild>
        <w:div w:id="985938515">
          <w:marLeft w:val="0"/>
          <w:marRight w:val="225"/>
          <w:marTop w:val="0"/>
          <w:marBottom w:val="0"/>
          <w:divBdr>
            <w:top w:val="none" w:sz="0" w:space="0" w:color="auto"/>
            <w:left w:val="none" w:sz="0" w:space="0" w:color="auto"/>
            <w:bottom w:val="none" w:sz="0" w:space="0" w:color="auto"/>
            <w:right w:val="none" w:sz="0" w:space="0" w:color="auto"/>
          </w:divBdr>
        </w:div>
      </w:divsChild>
    </w:div>
    <w:div w:id="720634237">
      <w:bodyDiv w:val="1"/>
      <w:marLeft w:val="0"/>
      <w:marRight w:val="0"/>
      <w:marTop w:val="0"/>
      <w:marBottom w:val="0"/>
      <w:divBdr>
        <w:top w:val="none" w:sz="0" w:space="0" w:color="auto"/>
        <w:left w:val="none" w:sz="0" w:space="0" w:color="auto"/>
        <w:bottom w:val="none" w:sz="0" w:space="0" w:color="auto"/>
        <w:right w:val="none" w:sz="0" w:space="0" w:color="auto"/>
      </w:divBdr>
      <w:divsChild>
        <w:div w:id="1675913746">
          <w:marLeft w:val="255"/>
          <w:marRight w:val="0"/>
          <w:marTop w:val="75"/>
          <w:marBottom w:val="0"/>
          <w:divBdr>
            <w:top w:val="none" w:sz="0" w:space="0" w:color="auto"/>
            <w:left w:val="none" w:sz="0" w:space="0" w:color="auto"/>
            <w:bottom w:val="none" w:sz="0" w:space="0" w:color="auto"/>
            <w:right w:val="none" w:sz="0" w:space="0" w:color="auto"/>
          </w:divBdr>
        </w:div>
        <w:div w:id="278415206">
          <w:marLeft w:val="255"/>
          <w:marRight w:val="0"/>
          <w:marTop w:val="75"/>
          <w:marBottom w:val="0"/>
          <w:divBdr>
            <w:top w:val="none" w:sz="0" w:space="0" w:color="auto"/>
            <w:left w:val="none" w:sz="0" w:space="0" w:color="auto"/>
            <w:bottom w:val="none" w:sz="0" w:space="0" w:color="auto"/>
            <w:right w:val="none" w:sz="0" w:space="0" w:color="auto"/>
          </w:divBdr>
          <w:divsChild>
            <w:div w:id="1469590476">
              <w:marLeft w:val="255"/>
              <w:marRight w:val="0"/>
              <w:marTop w:val="0"/>
              <w:marBottom w:val="0"/>
              <w:divBdr>
                <w:top w:val="none" w:sz="0" w:space="0" w:color="auto"/>
                <w:left w:val="none" w:sz="0" w:space="0" w:color="auto"/>
                <w:bottom w:val="none" w:sz="0" w:space="0" w:color="auto"/>
                <w:right w:val="none" w:sz="0" w:space="0" w:color="auto"/>
              </w:divBdr>
            </w:div>
            <w:div w:id="1007557935">
              <w:marLeft w:val="255"/>
              <w:marRight w:val="0"/>
              <w:marTop w:val="0"/>
              <w:marBottom w:val="0"/>
              <w:divBdr>
                <w:top w:val="none" w:sz="0" w:space="0" w:color="auto"/>
                <w:left w:val="none" w:sz="0" w:space="0" w:color="auto"/>
                <w:bottom w:val="none" w:sz="0" w:space="0" w:color="auto"/>
                <w:right w:val="none" w:sz="0" w:space="0" w:color="auto"/>
              </w:divBdr>
            </w:div>
            <w:div w:id="764689395">
              <w:marLeft w:val="255"/>
              <w:marRight w:val="0"/>
              <w:marTop w:val="0"/>
              <w:marBottom w:val="0"/>
              <w:divBdr>
                <w:top w:val="none" w:sz="0" w:space="0" w:color="auto"/>
                <w:left w:val="none" w:sz="0" w:space="0" w:color="auto"/>
                <w:bottom w:val="none" w:sz="0" w:space="0" w:color="auto"/>
                <w:right w:val="none" w:sz="0" w:space="0" w:color="auto"/>
              </w:divBdr>
            </w:div>
            <w:div w:id="1987784442">
              <w:marLeft w:val="255"/>
              <w:marRight w:val="0"/>
              <w:marTop w:val="0"/>
              <w:marBottom w:val="0"/>
              <w:divBdr>
                <w:top w:val="none" w:sz="0" w:space="0" w:color="auto"/>
                <w:left w:val="none" w:sz="0" w:space="0" w:color="auto"/>
                <w:bottom w:val="none" w:sz="0" w:space="0" w:color="auto"/>
                <w:right w:val="none" w:sz="0" w:space="0" w:color="auto"/>
              </w:divBdr>
            </w:div>
            <w:div w:id="1372538211">
              <w:marLeft w:val="255"/>
              <w:marRight w:val="0"/>
              <w:marTop w:val="0"/>
              <w:marBottom w:val="0"/>
              <w:divBdr>
                <w:top w:val="none" w:sz="0" w:space="0" w:color="auto"/>
                <w:left w:val="none" w:sz="0" w:space="0" w:color="auto"/>
                <w:bottom w:val="none" w:sz="0" w:space="0" w:color="auto"/>
                <w:right w:val="none" w:sz="0" w:space="0" w:color="auto"/>
              </w:divBdr>
            </w:div>
            <w:div w:id="19593314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99349539">
      <w:bodyDiv w:val="1"/>
      <w:marLeft w:val="0"/>
      <w:marRight w:val="0"/>
      <w:marTop w:val="0"/>
      <w:marBottom w:val="0"/>
      <w:divBdr>
        <w:top w:val="none" w:sz="0" w:space="0" w:color="auto"/>
        <w:left w:val="none" w:sz="0" w:space="0" w:color="auto"/>
        <w:bottom w:val="none" w:sz="0" w:space="0" w:color="auto"/>
        <w:right w:val="none" w:sz="0" w:space="0" w:color="auto"/>
      </w:divBdr>
      <w:divsChild>
        <w:div w:id="460653107">
          <w:marLeft w:val="0"/>
          <w:marRight w:val="75"/>
          <w:marTop w:val="0"/>
          <w:marBottom w:val="0"/>
          <w:divBdr>
            <w:top w:val="none" w:sz="0" w:space="0" w:color="auto"/>
            <w:left w:val="none" w:sz="0" w:space="0" w:color="auto"/>
            <w:bottom w:val="none" w:sz="0" w:space="0" w:color="auto"/>
            <w:right w:val="none" w:sz="0" w:space="0" w:color="auto"/>
          </w:divBdr>
        </w:div>
        <w:div w:id="1860580114">
          <w:marLeft w:val="0"/>
          <w:marRight w:val="0"/>
          <w:marTop w:val="0"/>
          <w:marBottom w:val="300"/>
          <w:divBdr>
            <w:top w:val="none" w:sz="0" w:space="0" w:color="auto"/>
            <w:left w:val="none" w:sz="0" w:space="0" w:color="auto"/>
            <w:bottom w:val="none" w:sz="0" w:space="0" w:color="auto"/>
            <w:right w:val="none" w:sz="0" w:space="0" w:color="auto"/>
          </w:divBdr>
        </w:div>
        <w:div w:id="1627349162">
          <w:marLeft w:val="255"/>
          <w:marRight w:val="0"/>
          <w:marTop w:val="75"/>
          <w:marBottom w:val="0"/>
          <w:divBdr>
            <w:top w:val="none" w:sz="0" w:space="0" w:color="auto"/>
            <w:left w:val="none" w:sz="0" w:space="0" w:color="auto"/>
            <w:bottom w:val="none" w:sz="0" w:space="0" w:color="auto"/>
            <w:right w:val="none" w:sz="0" w:space="0" w:color="auto"/>
          </w:divBdr>
        </w:div>
        <w:div w:id="287316278">
          <w:marLeft w:val="255"/>
          <w:marRight w:val="0"/>
          <w:marTop w:val="75"/>
          <w:marBottom w:val="0"/>
          <w:divBdr>
            <w:top w:val="none" w:sz="0" w:space="0" w:color="auto"/>
            <w:left w:val="none" w:sz="0" w:space="0" w:color="auto"/>
            <w:bottom w:val="none" w:sz="0" w:space="0" w:color="auto"/>
            <w:right w:val="none" w:sz="0" w:space="0" w:color="auto"/>
          </w:divBdr>
        </w:div>
      </w:divsChild>
    </w:div>
    <w:div w:id="991329523">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2">
          <w:marLeft w:val="0"/>
          <w:marRight w:val="75"/>
          <w:marTop w:val="0"/>
          <w:marBottom w:val="0"/>
          <w:divBdr>
            <w:top w:val="none" w:sz="0" w:space="0" w:color="auto"/>
            <w:left w:val="none" w:sz="0" w:space="0" w:color="auto"/>
            <w:bottom w:val="none" w:sz="0" w:space="0" w:color="auto"/>
            <w:right w:val="none" w:sz="0" w:space="0" w:color="auto"/>
          </w:divBdr>
        </w:div>
        <w:div w:id="262613886">
          <w:marLeft w:val="0"/>
          <w:marRight w:val="0"/>
          <w:marTop w:val="0"/>
          <w:marBottom w:val="300"/>
          <w:divBdr>
            <w:top w:val="none" w:sz="0" w:space="0" w:color="auto"/>
            <w:left w:val="none" w:sz="0" w:space="0" w:color="auto"/>
            <w:bottom w:val="none" w:sz="0" w:space="0" w:color="auto"/>
            <w:right w:val="none" w:sz="0" w:space="0" w:color="auto"/>
          </w:divBdr>
        </w:div>
        <w:div w:id="314336088">
          <w:marLeft w:val="255"/>
          <w:marRight w:val="0"/>
          <w:marTop w:val="75"/>
          <w:marBottom w:val="0"/>
          <w:divBdr>
            <w:top w:val="none" w:sz="0" w:space="0" w:color="auto"/>
            <w:left w:val="none" w:sz="0" w:space="0" w:color="auto"/>
            <w:bottom w:val="none" w:sz="0" w:space="0" w:color="auto"/>
            <w:right w:val="none" w:sz="0" w:space="0" w:color="auto"/>
          </w:divBdr>
        </w:div>
      </w:divsChild>
    </w:div>
    <w:div w:id="1135026442">
      <w:bodyDiv w:val="1"/>
      <w:marLeft w:val="0"/>
      <w:marRight w:val="0"/>
      <w:marTop w:val="0"/>
      <w:marBottom w:val="0"/>
      <w:divBdr>
        <w:top w:val="none" w:sz="0" w:space="0" w:color="auto"/>
        <w:left w:val="none" w:sz="0" w:space="0" w:color="auto"/>
        <w:bottom w:val="none" w:sz="0" w:space="0" w:color="auto"/>
        <w:right w:val="none" w:sz="0" w:space="0" w:color="auto"/>
      </w:divBdr>
    </w:div>
    <w:div w:id="1263028387">
      <w:bodyDiv w:val="1"/>
      <w:marLeft w:val="0"/>
      <w:marRight w:val="0"/>
      <w:marTop w:val="0"/>
      <w:marBottom w:val="0"/>
      <w:divBdr>
        <w:top w:val="none" w:sz="0" w:space="0" w:color="auto"/>
        <w:left w:val="none" w:sz="0" w:space="0" w:color="auto"/>
        <w:bottom w:val="none" w:sz="0" w:space="0" w:color="auto"/>
        <w:right w:val="none" w:sz="0" w:space="0" w:color="auto"/>
      </w:divBdr>
      <w:divsChild>
        <w:div w:id="335420028">
          <w:marLeft w:val="0"/>
          <w:marRight w:val="75"/>
          <w:marTop w:val="0"/>
          <w:marBottom w:val="0"/>
          <w:divBdr>
            <w:top w:val="none" w:sz="0" w:space="0" w:color="auto"/>
            <w:left w:val="none" w:sz="0" w:space="0" w:color="auto"/>
            <w:bottom w:val="none" w:sz="0" w:space="0" w:color="auto"/>
            <w:right w:val="none" w:sz="0" w:space="0" w:color="auto"/>
          </w:divBdr>
        </w:div>
        <w:div w:id="130051699">
          <w:marLeft w:val="0"/>
          <w:marRight w:val="0"/>
          <w:marTop w:val="0"/>
          <w:marBottom w:val="300"/>
          <w:divBdr>
            <w:top w:val="none" w:sz="0" w:space="0" w:color="auto"/>
            <w:left w:val="none" w:sz="0" w:space="0" w:color="auto"/>
            <w:bottom w:val="none" w:sz="0" w:space="0" w:color="auto"/>
            <w:right w:val="none" w:sz="0" w:space="0" w:color="auto"/>
          </w:divBdr>
        </w:div>
        <w:div w:id="1502624666">
          <w:marLeft w:val="255"/>
          <w:marRight w:val="0"/>
          <w:marTop w:val="75"/>
          <w:marBottom w:val="0"/>
          <w:divBdr>
            <w:top w:val="none" w:sz="0" w:space="0" w:color="auto"/>
            <w:left w:val="none" w:sz="0" w:space="0" w:color="auto"/>
            <w:bottom w:val="none" w:sz="0" w:space="0" w:color="auto"/>
            <w:right w:val="none" w:sz="0" w:space="0" w:color="auto"/>
          </w:divBdr>
        </w:div>
        <w:div w:id="588999332">
          <w:marLeft w:val="255"/>
          <w:marRight w:val="0"/>
          <w:marTop w:val="75"/>
          <w:marBottom w:val="0"/>
          <w:divBdr>
            <w:top w:val="none" w:sz="0" w:space="0" w:color="auto"/>
            <w:left w:val="none" w:sz="0" w:space="0" w:color="auto"/>
            <w:bottom w:val="none" w:sz="0" w:space="0" w:color="auto"/>
            <w:right w:val="none" w:sz="0" w:space="0" w:color="auto"/>
          </w:divBdr>
        </w:div>
        <w:div w:id="1015957096">
          <w:marLeft w:val="255"/>
          <w:marRight w:val="0"/>
          <w:marTop w:val="75"/>
          <w:marBottom w:val="0"/>
          <w:divBdr>
            <w:top w:val="none" w:sz="0" w:space="0" w:color="auto"/>
            <w:left w:val="none" w:sz="0" w:space="0" w:color="auto"/>
            <w:bottom w:val="none" w:sz="0" w:space="0" w:color="auto"/>
            <w:right w:val="none" w:sz="0" w:space="0" w:color="auto"/>
          </w:divBdr>
        </w:div>
        <w:div w:id="327287962">
          <w:marLeft w:val="255"/>
          <w:marRight w:val="0"/>
          <w:marTop w:val="75"/>
          <w:marBottom w:val="0"/>
          <w:divBdr>
            <w:top w:val="none" w:sz="0" w:space="0" w:color="auto"/>
            <w:left w:val="none" w:sz="0" w:space="0" w:color="auto"/>
            <w:bottom w:val="none" w:sz="0" w:space="0" w:color="auto"/>
            <w:right w:val="none" w:sz="0" w:space="0" w:color="auto"/>
          </w:divBdr>
        </w:div>
        <w:div w:id="148720003">
          <w:marLeft w:val="255"/>
          <w:marRight w:val="0"/>
          <w:marTop w:val="75"/>
          <w:marBottom w:val="0"/>
          <w:divBdr>
            <w:top w:val="none" w:sz="0" w:space="0" w:color="auto"/>
            <w:left w:val="none" w:sz="0" w:space="0" w:color="auto"/>
            <w:bottom w:val="none" w:sz="0" w:space="0" w:color="auto"/>
            <w:right w:val="none" w:sz="0" w:space="0" w:color="auto"/>
          </w:divBdr>
        </w:div>
        <w:div w:id="997616122">
          <w:marLeft w:val="255"/>
          <w:marRight w:val="0"/>
          <w:marTop w:val="75"/>
          <w:marBottom w:val="0"/>
          <w:divBdr>
            <w:top w:val="none" w:sz="0" w:space="0" w:color="auto"/>
            <w:left w:val="none" w:sz="0" w:space="0" w:color="auto"/>
            <w:bottom w:val="none" w:sz="0" w:space="0" w:color="auto"/>
            <w:right w:val="none" w:sz="0" w:space="0" w:color="auto"/>
          </w:divBdr>
        </w:div>
        <w:div w:id="1438719927">
          <w:marLeft w:val="255"/>
          <w:marRight w:val="0"/>
          <w:marTop w:val="75"/>
          <w:marBottom w:val="0"/>
          <w:divBdr>
            <w:top w:val="none" w:sz="0" w:space="0" w:color="auto"/>
            <w:left w:val="none" w:sz="0" w:space="0" w:color="auto"/>
            <w:bottom w:val="none" w:sz="0" w:space="0" w:color="auto"/>
            <w:right w:val="none" w:sz="0" w:space="0" w:color="auto"/>
          </w:divBdr>
        </w:div>
      </w:divsChild>
    </w:div>
    <w:div w:id="1291667275">
      <w:bodyDiv w:val="1"/>
      <w:marLeft w:val="0"/>
      <w:marRight w:val="0"/>
      <w:marTop w:val="0"/>
      <w:marBottom w:val="0"/>
      <w:divBdr>
        <w:top w:val="none" w:sz="0" w:space="0" w:color="auto"/>
        <w:left w:val="none" w:sz="0" w:space="0" w:color="auto"/>
        <w:bottom w:val="none" w:sz="0" w:space="0" w:color="auto"/>
        <w:right w:val="none" w:sz="0" w:space="0" w:color="auto"/>
      </w:divBdr>
    </w:div>
    <w:div w:id="1307978254">
      <w:bodyDiv w:val="1"/>
      <w:marLeft w:val="0"/>
      <w:marRight w:val="0"/>
      <w:marTop w:val="0"/>
      <w:marBottom w:val="0"/>
      <w:divBdr>
        <w:top w:val="none" w:sz="0" w:space="0" w:color="auto"/>
        <w:left w:val="none" w:sz="0" w:space="0" w:color="auto"/>
        <w:bottom w:val="none" w:sz="0" w:space="0" w:color="auto"/>
        <w:right w:val="none" w:sz="0" w:space="0" w:color="auto"/>
      </w:divBdr>
      <w:divsChild>
        <w:div w:id="14815891">
          <w:marLeft w:val="0"/>
          <w:marRight w:val="0"/>
          <w:marTop w:val="225"/>
          <w:marBottom w:val="0"/>
          <w:divBdr>
            <w:top w:val="none" w:sz="0" w:space="0" w:color="auto"/>
            <w:left w:val="none" w:sz="0" w:space="0" w:color="auto"/>
            <w:bottom w:val="none" w:sz="0" w:space="0" w:color="auto"/>
            <w:right w:val="none" w:sz="0" w:space="0" w:color="auto"/>
          </w:divBdr>
          <w:divsChild>
            <w:div w:id="1780566228">
              <w:marLeft w:val="0"/>
              <w:marRight w:val="0"/>
              <w:marTop w:val="0"/>
              <w:marBottom w:val="0"/>
              <w:divBdr>
                <w:top w:val="none" w:sz="0" w:space="0" w:color="auto"/>
                <w:left w:val="none" w:sz="0" w:space="0" w:color="auto"/>
                <w:bottom w:val="none" w:sz="0" w:space="0" w:color="auto"/>
                <w:right w:val="none" w:sz="0" w:space="0" w:color="auto"/>
              </w:divBdr>
            </w:div>
            <w:div w:id="249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8702">
      <w:bodyDiv w:val="1"/>
      <w:marLeft w:val="0"/>
      <w:marRight w:val="0"/>
      <w:marTop w:val="0"/>
      <w:marBottom w:val="0"/>
      <w:divBdr>
        <w:top w:val="none" w:sz="0" w:space="0" w:color="auto"/>
        <w:left w:val="none" w:sz="0" w:space="0" w:color="auto"/>
        <w:bottom w:val="none" w:sz="0" w:space="0" w:color="auto"/>
        <w:right w:val="none" w:sz="0" w:space="0" w:color="auto"/>
      </w:divBdr>
    </w:div>
    <w:div w:id="1586957934">
      <w:bodyDiv w:val="1"/>
      <w:marLeft w:val="0"/>
      <w:marRight w:val="0"/>
      <w:marTop w:val="0"/>
      <w:marBottom w:val="0"/>
      <w:divBdr>
        <w:top w:val="none" w:sz="0" w:space="0" w:color="auto"/>
        <w:left w:val="none" w:sz="0" w:space="0" w:color="auto"/>
        <w:bottom w:val="none" w:sz="0" w:space="0" w:color="auto"/>
        <w:right w:val="none" w:sz="0" w:space="0" w:color="auto"/>
      </w:divBdr>
      <w:divsChild>
        <w:div w:id="1704788988">
          <w:marLeft w:val="255"/>
          <w:marRight w:val="0"/>
          <w:marTop w:val="0"/>
          <w:marBottom w:val="0"/>
          <w:divBdr>
            <w:top w:val="none" w:sz="0" w:space="0" w:color="auto"/>
            <w:left w:val="none" w:sz="0" w:space="0" w:color="auto"/>
            <w:bottom w:val="none" w:sz="0" w:space="0" w:color="auto"/>
            <w:right w:val="none" w:sz="0" w:space="0" w:color="auto"/>
          </w:divBdr>
        </w:div>
        <w:div w:id="1825311412">
          <w:marLeft w:val="255"/>
          <w:marRight w:val="0"/>
          <w:marTop w:val="0"/>
          <w:marBottom w:val="0"/>
          <w:divBdr>
            <w:top w:val="none" w:sz="0" w:space="0" w:color="auto"/>
            <w:left w:val="none" w:sz="0" w:space="0" w:color="auto"/>
            <w:bottom w:val="none" w:sz="0" w:space="0" w:color="auto"/>
            <w:right w:val="none" w:sz="0" w:space="0" w:color="auto"/>
          </w:divBdr>
        </w:div>
        <w:div w:id="766116207">
          <w:marLeft w:val="255"/>
          <w:marRight w:val="0"/>
          <w:marTop w:val="0"/>
          <w:marBottom w:val="0"/>
          <w:divBdr>
            <w:top w:val="none" w:sz="0" w:space="0" w:color="auto"/>
            <w:left w:val="none" w:sz="0" w:space="0" w:color="auto"/>
            <w:bottom w:val="none" w:sz="0" w:space="0" w:color="auto"/>
            <w:right w:val="none" w:sz="0" w:space="0" w:color="auto"/>
          </w:divBdr>
        </w:div>
        <w:div w:id="147400451">
          <w:marLeft w:val="255"/>
          <w:marRight w:val="0"/>
          <w:marTop w:val="0"/>
          <w:marBottom w:val="0"/>
          <w:divBdr>
            <w:top w:val="none" w:sz="0" w:space="0" w:color="auto"/>
            <w:left w:val="none" w:sz="0" w:space="0" w:color="auto"/>
            <w:bottom w:val="none" w:sz="0" w:space="0" w:color="auto"/>
            <w:right w:val="none" w:sz="0" w:space="0" w:color="auto"/>
          </w:divBdr>
        </w:div>
        <w:div w:id="828323757">
          <w:marLeft w:val="255"/>
          <w:marRight w:val="0"/>
          <w:marTop w:val="0"/>
          <w:marBottom w:val="0"/>
          <w:divBdr>
            <w:top w:val="none" w:sz="0" w:space="0" w:color="auto"/>
            <w:left w:val="none" w:sz="0" w:space="0" w:color="auto"/>
            <w:bottom w:val="none" w:sz="0" w:space="0" w:color="auto"/>
            <w:right w:val="none" w:sz="0" w:space="0" w:color="auto"/>
          </w:divBdr>
        </w:div>
        <w:div w:id="93718648">
          <w:marLeft w:val="255"/>
          <w:marRight w:val="0"/>
          <w:marTop w:val="0"/>
          <w:marBottom w:val="0"/>
          <w:divBdr>
            <w:top w:val="none" w:sz="0" w:space="0" w:color="auto"/>
            <w:left w:val="none" w:sz="0" w:space="0" w:color="auto"/>
            <w:bottom w:val="none" w:sz="0" w:space="0" w:color="auto"/>
            <w:right w:val="none" w:sz="0" w:space="0" w:color="auto"/>
          </w:divBdr>
        </w:div>
      </w:divsChild>
    </w:div>
    <w:div w:id="1877694437">
      <w:bodyDiv w:val="1"/>
      <w:marLeft w:val="0"/>
      <w:marRight w:val="0"/>
      <w:marTop w:val="0"/>
      <w:marBottom w:val="0"/>
      <w:divBdr>
        <w:top w:val="none" w:sz="0" w:space="0" w:color="auto"/>
        <w:left w:val="none" w:sz="0" w:space="0" w:color="auto"/>
        <w:bottom w:val="none" w:sz="0" w:space="0" w:color="auto"/>
        <w:right w:val="none" w:sz="0" w:space="0" w:color="auto"/>
      </w:divBdr>
      <w:divsChild>
        <w:div w:id="402875691">
          <w:marLeft w:val="255"/>
          <w:marRight w:val="0"/>
          <w:marTop w:val="75"/>
          <w:marBottom w:val="0"/>
          <w:divBdr>
            <w:top w:val="none" w:sz="0" w:space="0" w:color="auto"/>
            <w:left w:val="none" w:sz="0" w:space="0" w:color="auto"/>
            <w:bottom w:val="none" w:sz="0" w:space="0" w:color="auto"/>
            <w:right w:val="none" w:sz="0" w:space="0" w:color="auto"/>
          </w:divBdr>
          <w:divsChild>
            <w:div w:id="1229337976">
              <w:marLeft w:val="0"/>
              <w:marRight w:val="75"/>
              <w:marTop w:val="0"/>
              <w:marBottom w:val="0"/>
              <w:divBdr>
                <w:top w:val="none" w:sz="0" w:space="0" w:color="auto"/>
                <w:left w:val="none" w:sz="0" w:space="0" w:color="auto"/>
                <w:bottom w:val="none" w:sz="0" w:space="0" w:color="auto"/>
                <w:right w:val="none" w:sz="0" w:space="0" w:color="auto"/>
              </w:divBdr>
            </w:div>
            <w:div w:id="1529873998">
              <w:marLeft w:val="0"/>
              <w:marRight w:val="0"/>
              <w:marTop w:val="0"/>
              <w:marBottom w:val="300"/>
              <w:divBdr>
                <w:top w:val="none" w:sz="0" w:space="0" w:color="auto"/>
                <w:left w:val="none" w:sz="0" w:space="0" w:color="auto"/>
                <w:bottom w:val="none" w:sz="0" w:space="0" w:color="auto"/>
                <w:right w:val="none" w:sz="0" w:space="0" w:color="auto"/>
              </w:divBdr>
            </w:div>
            <w:div w:id="1929532856">
              <w:marLeft w:val="255"/>
              <w:marRight w:val="0"/>
              <w:marTop w:val="75"/>
              <w:marBottom w:val="0"/>
              <w:divBdr>
                <w:top w:val="none" w:sz="0" w:space="0" w:color="auto"/>
                <w:left w:val="none" w:sz="0" w:space="0" w:color="auto"/>
                <w:bottom w:val="none" w:sz="0" w:space="0" w:color="auto"/>
                <w:right w:val="none" w:sz="0" w:space="0" w:color="auto"/>
              </w:divBdr>
            </w:div>
            <w:div w:id="112293644">
              <w:marLeft w:val="255"/>
              <w:marRight w:val="0"/>
              <w:marTop w:val="75"/>
              <w:marBottom w:val="0"/>
              <w:divBdr>
                <w:top w:val="none" w:sz="0" w:space="0" w:color="auto"/>
                <w:left w:val="none" w:sz="0" w:space="0" w:color="auto"/>
                <w:bottom w:val="none" w:sz="0" w:space="0" w:color="auto"/>
                <w:right w:val="none" w:sz="0" w:space="0" w:color="auto"/>
              </w:divBdr>
            </w:div>
            <w:div w:id="845709162">
              <w:marLeft w:val="255"/>
              <w:marRight w:val="0"/>
              <w:marTop w:val="75"/>
              <w:marBottom w:val="0"/>
              <w:divBdr>
                <w:top w:val="none" w:sz="0" w:space="0" w:color="auto"/>
                <w:left w:val="none" w:sz="0" w:space="0" w:color="auto"/>
                <w:bottom w:val="none" w:sz="0" w:space="0" w:color="auto"/>
                <w:right w:val="none" w:sz="0" w:space="0" w:color="auto"/>
              </w:divBdr>
            </w:div>
            <w:div w:id="1039471064">
              <w:marLeft w:val="255"/>
              <w:marRight w:val="0"/>
              <w:marTop w:val="75"/>
              <w:marBottom w:val="0"/>
              <w:divBdr>
                <w:top w:val="none" w:sz="0" w:space="0" w:color="auto"/>
                <w:left w:val="none" w:sz="0" w:space="0" w:color="auto"/>
                <w:bottom w:val="none" w:sz="0" w:space="0" w:color="auto"/>
                <w:right w:val="none" w:sz="0" w:space="0" w:color="auto"/>
              </w:divBdr>
            </w:div>
          </w:divsChild>
        </w:div>
        <w:div w:id="1605961705">
          <w:marLeft w:val="255"/>
          <w:marRight w:val="0"/>
          <w:marTop w:val="75"/>
          <w:marBottom w:val="0"/>
          <w:divBdr>
            <w:top w:val="none" w:sz="0" w:space="0" w:color="auto"/>
            <w:left w:val="none" w:sz="0" w:space="0" w:color="auto"/>
            <w:bottom w:val="none" w:sz="0" w:space="0" w:color="auto"/>
            <w:right w:val="none" w:sz="0" w:space="0" w:color="auto"/>
          </w:divBdr>
          <w:divsChild>
            <w:div w:id="1155956349">
              <w:marLeft w:val="0"/>
              <w:marRight w:val="75"/>
              <w:marTop w:val="0"/>
              <w:marBottom w:val="0"/>
              <w:divBdr>
                <w:top w:val="none" w:sz="0" w:space="0" w:color="auto"/>
                <w:left w:val="none" w:sz="0" w:space="0" w:color="auto"/>
                <w:bottom w:val="none" w:sz="0" w:space="0" w:color="auto"/>
                <w:right w:val="none" w:sz="0" w:space="0" w:color="auto"/>
              </w:divBdr>
            </w:div>
            <w:div w:id="723522469">
              <w:marLeft w:val="0"/>
              <w:marRight w:val="0"/>
              <w:marTop w:val="0"/>
              <w:marBottom w:val="300"/>
              <w:divBdr>
                <w:top w:val="none" w:sz="0" w:space="0" w:color="auto"/>
                <w:left w:val="none" w:sz="0" w:space="0" w:color="auto"/>
                <w:bottom w:val="none" w:sz="0" w:space="0" w:color="auto"/>
                <w:right w:val="none" w:sz="0" w:space="0" w:color="auto"/>
              </w:divBdr>
            </w:div>
            <w:div w:id="8285966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96037919">
      <w:bodyDiv w:val="1"/>
      <w:marLeft w:val="0"/>
      <w:marRight w:val="0"/>
      <w:marTop w:val="0"/>
      <w:marBottom w:val="0"/>
      <w:divBdr>
        <w:top w:val="none" w:sz="0" w:space="0" w:color="auto"/>
        <w:left w:val="none" w:sz="0" w:space="0" w:color="auto"/>
        <w:bottom w:val="none" w:sz="0" w:space="0" w:color="auto"/>
        <w:right w:val="none" w:sz="0" w:space="0" w:color="auto"/>
      </w:divBdr>
      <w:divsChild>
        <w:div w:id="298920444">
          <w:marLeft w:val="0"/>
          <w:marRight w:val="75"/>
          <w:marTop w:val="0"/>
          <w:marBottom w:val="0"/>
          <w:divBdr>
            <w:top w:val="none" w:sz="0" w:space="0" w:color="auto"/>
            <w:left w:val="none" w:sz="0" w:space="0" w:color="auto"/>
            <w:bottom w:val="none" w:sz="0" w:space="0" w:color="auto"/>
            <w:right w:val="none" w:sz="0" w:space="0" w:color="auto"/>
          </w:divBdr>
        </w:div>
        <w:div w:id="917323874">
          <w:marLeft w:val="0"/>
          <w:marRight w:val="0"/>
          <w:marTop w:val="0"/>
          <w:marBottom w:val="300"/>
          <w:divBdr>
            <w:top w:val="none" w:sz="0" w:space="0" w:color="auto"/>
            <w:left w:val="none" w:sz="0" w:space="0" w:color="auto"/>
            <w:bottom w:val="none" w:sz="0" w:space="0" w:color="auto"/>
            <w:right w:val="none" w:sz="0" w:space="0" w:color="auto"/>
          </w:divBdr>
        </w:div>
        <w:div w:id="26756330">
          <w:marLeft w:val="255"/>
          <w:marRight w:val="0"/>
          <w:marTop w:val="75"/>
          <w:marBottom w:val="0"/>
          <w:divBdr>
            <w:top w:val="none" w:sz="0" w:space="0" w:color="auto"/>
            <w:left w:val="none" w:sz="0" w:space="0" w:color="auto"/>
            <w:bottom w:val="none" w:sz="0" w:space="0" w:color="auto"/>
            <w:right w:val="none" w:sz="0" w:space="0" w:color="auto"/>
          </w:divBdr>
        </w:div>
      </w:divsChild>
    </w:div>
    <w:div w:id="1991709156">
      <w:bodyDiv w:val="1"/>
      <w:marLeft w:val="0"/>
      <w:marRight w:val="0"/>
      <w:marTop w:val="0"/>
      <w:marBottom w:val="0"/>
      <w:divBdr>
        <w:top w:val="none" w:sz="0" w:space="0" w:color="auto"/>
        <w:left w:val="none" w:sz="0" w:space="0" w:color="auto"/>
        <w:bottom w:val="none" w:sz="0" w:space="0" w:color="auto"/>
        <w:right w:val="none" w:sz="0" w:space="0" w:color="auto"/>
      </w:divBdr>
    </w:div>
    <w:div w:id="2068721180">
      <w:bodyDiv w:val="1"/>
      <w:marLeft w:val="0"/>
      <w:marRight w:val="0"/>
      <w:marTop w:val="0"/>
      <w:marBottom w:val="0"/>
      <w:divBdr>
        <w:top w:val="none" w:sz="0" w:space="0" w:color="auto"/>
        <w:left w:val="none" w:sz="0" w:space="0" w:color="auto"/>
        <w:bottom w:val="none" w:sz="0" w:space="0" w:color="auto"/>
        <w:right w:val="none" w:sz="0" w:space="0" w:color="auto"/>
      </w:divBdr>
      <w:divsChild>
        <w:div w:id="728770476">
          <w:marLeft w:val="0"/>
          <w:marRight w:val="75"/>
          <w:marTop w:val="0"/>
          <w:marBottom w:val="0"/>
          <w:divBdr>
            <w:top w:val="none" w:sz="0" w:space="0" w:color="auto"/>
            <w:left w:val="none" w:sz="0" w:space="0" w:color="auto"/>
            <w:bottom w:val="none" w:sz="0" w:space="0" w:color="auto"/>
            <w:right w:val="none" w:sz="0" w:space="0" w:color="auto"/>
          </w:divBdr>
        </w:div>
        <w:div w:id="1986661961">
          <w:marLeft w:val="0"/>
          <w:marRight w:val="0"/>
          <w:marTop w:val="0"/>
          <w:marBottom w:val="300"/>
          <w:divBdr>
            <w:top w:val="none" w:sz="0" w:space="0" w:color="auto"/>
            <w:left w:val="none" w:sz="0" w:space="0" w:color="auto"/>
            <w:bottom w:val="none" w:sz="0" w:space="0" w:color="auto"/>
            <w:right w:val="none" w:sz="0" w:space="0" w:color="auto"/>
          </w:divBdr>
        </w:div>
        <w:div w:id="91559237">
          <w:marLeft w:val="255"/>
          <w:marRight w:val="0"/>
          <w:marTop w:val="75"/>
          <w:marBottom w:val="0"/>
          <w:divBdr>
            <w:top w:val="none" w:sz="0" w:space="0" w:color="auto"/>
            <w:left w:val="none" w:sz="0" w:space="0" w:color="auto"/>
            <w:bottom w:val="none" w:sz="0" w:space="0" w:color="auto"/>
            <w:right w:val="none" w:sz="0" w:space="0" w:color="auto"/>
          </w:divBdr>
        </w:div>
      </w:divsChild>
    </w:div>
    <w:div w:id="2098672236">
      <w:bodyDiv w:val="1"/>
      <w:marLeft w:val="0"/>
      <w:marRight w:val="0"/>
      <w:marTop w:val="0"/>
      <w:marBottom w:val="0"/>
      <w:divBdr>
        <w:top w:val="none" w:sz="0" w:space="0" w:color="auto"/>
        <w:left w:val="none" w:sz="0" w:space="0" w:color="auto"/>
        <w:bottom w:val="none" w:sz="0" w:space="0" w:color="auto"/>
        <w:right w:val="none" w:sz="0" w:space="0" w:color="auto"/>
      </w:divBdr>
      <w:divsChild>
        <w:div w:id="1719280143">
          <w:marLeft w:val="0"/>
          <w:marRight w:val="0"/>
          <w:marTop w:val="0"/>
          <w:marBottom w:val="0"/>
          <w:divBdr>
            <w:top w:val="none" w:sz="0" w:space="0" w:color="auto"/>
            <w:left w:val="none" w:sz="0" w:space="0" w:color="auto"/>
            <w:bottom w:val="none" w:sz="0" w:space="0" w:color="auto"/>
            <w:right w:val="none" w:sz="0" w:space="0" w:color="auto"/>
          </w:divBdr>
        </w:div>
        <w:div w:id="2027975014">
          <w:marLeft w:val="0"/>
          <w:marRight w:val="0"/>
          <w:marTop w:val="0"/>
          <w:marBottom w:val="0"/>
          <w:divBdr>
            <w:top w:val="none" w:sz="0" w:space="0" w:color="auto"/>
            <w:left w:val="none" w:sz="0" w:space="0" w:color="auto"/>
            <w:bottom w:val="none" w:sz="0" w:space="0" w:color="auto"/>
            <w:right w:val="none" w:sz="0" w:space="0" w:color="auto"/>
          </w:divBdr>
          <w:divsChild>
            <w:div w:id="1440103978">
              <w:marLeft w:val="0"/>
              <w:marRight w:val="300"/>
              <w:marTop w:val="300"/>
              <w:marBottom w:val="300"/>
              <w:divBdr>
                <w:top w:val="none" w:sz="0" w:space="0" w:color="auto"/>
                <w:left w:val="none" w:sz="0" w:space="0" w:color="auto"/>
                <w:bottom w:val="none" w:sz="0" w:space="0" w:color="auto"/>
                <w:right w:val="none" w:sz="0" w:space="0" w:color="auto"/>
              </w:divBdr>
              <w:divsChild>
                <w:div w:id="103199872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1420-C5B9-490A-9FC0-2E7D7FCA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32</Pages>
  <Words>5359</Words>
  <Characters>30551</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LANÁKOVÁ Viera</dc:creator>
  <cp:keywords/>
  <dc:description/>
  <cp:lastModifiedBy>LANÁKOVÁ Viera</cp:lastModifiedBy>
  <cp:revision>71</cp:revision>
  <cp:lastPrinted>2024-06-19T07:32:00Z</cp:lastPrinted>
  <dcterms:created xsi:type="dcterms:W3CDTF">2024-03-21T09:23:00Z</dcterms:created>
  <dcterms:modified xsi:type="dcterms:W3CDTF">2024-07-02T07:35:00Z</dcterms:modified>
</cp:coreProperties>
</file>