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5F" w:rsidRPr="00E06328" w:rsidRDefault="00967D5F" w:rsidP="00967D5F">
      <w:pPr>
        <w:jc w:val="center"/>
        <w:rPr>
          <w:rFonts w:eastAsia="Times New Roman"/>
          <w:b/>
          <w:spacing w:val="30"/>
          <w:szCs w:val="24"/>
        </w:rPr>
      </w:pPr>
      <w:r w:rsidRPr="00E06328">
        <w:rPr>
          <w:rFonts w:eastAsia="Times New Roman"/>
          <w:b/>
          <w:spacing w:val="30"/>
          <w:szCs w:val="24"/>
        </w:rPr>
        <w:t xml:space="preserve">NÁRODNÁ RADA SLOVENSKEJ REPUBLIKY </w:t>
      </w:r>
    </w:p>
    <w:p w:rsidR="00967D5F" w:rsidRPr="00E06328" w:rsidRDefault="004067B7" w:rsidP="00967D5F">
      <w:pPr>
        <w:pBdr>
          <w:bottom w:val="single" w:sz="12" w:space="3" w:color="auto"/>
        </w:pBdr>
        <w:jc w:val="center"/>
        <w:rPr>
          <w:rFonts w:eastAsia="Times New Roman"/>
          <w:spacing w:val="30"/>
          <w:szCs w:val="24"/>
        </w:rPr>
      </w:pPr>
      <w:r>
        <w:rPr>
          <w:rFonts w:eastAsia="Times New Roman"/>
          <w:spacing w:val="30"/>
          <w:szCs w:val="24"/>
        </w:rPr>
        <w:t>IX</w:t>
      </w:r>
      <w:r w:rsidR="00967D5F" w:rsidRPr="00E06328">
        <w:rPr>
          <w:rFonts w:eastAsia="Times New Roman"/>
          <w:spacing w:val="30"/>
          <w:szCs w:val="24"/>
        </w:rPr>
        <w:t>. volebné obdobie</w:t>
      </w:r>
    </w:p>
    <w:p w:rsidR="00967D5F" w:rsidRPr="00E06328" w:rsidRDefault="00967D5F" w:rsidP="00967D5F">
      <w:pPr>
        <w:jc w:val="center"/>
        <w:rPr>
          <w:rFonts w:eastAsia="Times New Roman"/>
          <w:spacing w:val="30"/>
          <w:szCs w:val="24"/>
          <w:highlight w:val="yellow"/>
        </w:rPr>
      </w:pPr>
    </w:p>
    <w:p w:rsidR="00967D5F" w:rsidRPr="00E06328" w:rsidRDefault="00967D5F" w:rsidP="00967D5F">
      <w:pPr>
        <w:jc w:val="center"/>
        <w:rPr>
          <w:rFonts w:eastAsia="Times New Roman"/>
          <w:spacing w:val="30"/>
          <w:szCs w:val="24"/>
          <w:highlight w:val="yellow"/>
        </w:rPr>
      </w:pPr>
    </w:p>
    <w:p w:rsidR="00967D5F" w:rsidRPr="00E06328" w:rsidRDefault="00967D5F" w:rsidP="00967D5F">
      <w:pPr>
        <w:jc w:val="center"/>
        <w:rPr>
          <w:rFonts w:eastAsia="Times New Roman"/>
          <w:spacing w:val="30"/>
          <w:szCs w:val="24"/>
          <w:highlight w:val="yellow"/>
        </w:rPr>
      </w:pPr>
    </w:p>
    <w:p w:rsidR="00967D5F" w:rsidRPr="00E06328" w:rsidRDefault="00967D5F" w:rsidP="00967D5F">
      <w:pPr>
        <w:jc w:val="center"/>
        <w:rPr>
          <w:rFonts w:eastAsia="Times New Roman"/>
          <w:spacing w:val="30"/>
          <w:szCs w:val="24"/>
          <w:highlight w:val="yellow"/>
        </w:rPr>
      </w:pPr>
    </w:p>
    <w:p w:rsidR="00967D5F" w:rsidRPr="00E06328" w:rsidRDefault="002436F0" w:rsidP="00967D5F">
      <w:pPr>
        <w:jc w:val="center"/>
        <w:rPr>
          <w:rFonts w:eastAsia="Times New Roman"/>
          <w:b/>
          <w:spacing w:val="30"/>
          <w:szCs w:val="24"/>
        </w:rPr>
      </w:pPr>
      <w:r>
        <w:rPr>
          <w:rFonts w:eastAsia="Times New Roman"/>
          <w:b/>
          <w:spacing w:val="30"/>
          <w:szCs w:val="24"/>
        </w:rPr>
        <w:t>397</w:t>
      </w:r>
      <w:bookmarkStart w:id="0" w:name="_GoBack"/>
      <w:bookmarkEnd w:id="0"/>
    </w:p>
    <w:p w:rsidR="00F73EAE" w:rsidRPr="00E06328" w:rsidRDefault="00F73EAE" w:rsidP="00967D5F">
      <w:pPr>
        <w:jc w:val="center"/>
        <w:rPr>
          <w:rFonts w:eastAsia="Times New Roman"/>
          <w:b/>
          <w:spacing w:val="30"/>
          <w:szCs w:val="24"/>
          <w:highlight w:val="yellow"/>
        </w:rPr>
      </w:pPr>
    </w:p>
    <w:p w:rsidR="00967D5F" w:rsidRPr="00E06328" w:rsidRDefault="00967D5F" w:rsidP="00967D5F">
      <w:pPr>
        <w:jc w:val="center"/>
        <w:rPr>
          <w:rFonts w:eastAsia="Times New Roman"/>
          <w:b/>
          <w:spacing w:val="30"/>
          <w:szCs w:val="24"/>
          <w:highlight w:val="yellow"/>
        </w:rPr>
      </w:pPr>
    </w:p>
    <w:p w:rsidR="00967D5F" w:rsidRPr="00E06328" w:rsidRDefault="00967D5F" w:rsidP="00967D5F">
      <w:pPr>
        <w:jc w:val="center"/>
        <w:rPr>
          <w:rFonts w:eastAsia="Times New Roman"/>
          <w:b/>
          <w:spacing w:val="30"/>
          <w:szCs w:val="24"/>
        </w:rPr>
      </w:pPr>
    </w:p>
    <w:p w:rsidR="00967D5F" w:rsidRPr="00E06328" w:rsidRDefault="00967D5F" w:rsidP="00967D5F">
      <w:pPr>
        <w:jc w:val="center"/>
        <w:rPr>
          <w:rFonts w:eastAsia="Times New Roman"/>
          <w:b/>
          <w:spacing w:val="30"/>
          <w:szCs w:val="24"/>
        </w:rPr>
      </w:pPr>
      <w:r w:rsidRPr="00E06328">
        <w:rPr>
          <w:rFonts w:eastAsia="Times New Roman"/>
          <w:b/>
          <w:spacing w:val="30"/>
          <w:szCs w:val="24"/>
        </w:rPr>
        <w:t xml:space="preserve">VLÁDNY NÁVRH </w:t>
      </w:r>
    </w:p>
    <w:p w:rsidR="00967D5F" w:rsidRPr="00E06328" w:rsidRDefault="00967D5F" w:rsidP="00967D5F">
      <w:pPr>
        <w:jc w:val="center"/>
        <w:rPr>
          <w:rFonts w:eastAsia="Times New Roman"/>
          <w:b/>
          <w:spacing w:val="30"/>
          <w:szCs w:val="24"/>
        </w:rPr>
      </w:pPr>
    </w:p>
    <w:p w:rsidR="00967D5F" w:rsidRPr="00E06328" w:rsidRDefault="00967D5F" w:rsidP="00967D5F">
      <w:pPr>
        <w:jc w:val="center"/>
        <w:rPr>
          <w:rFonts w:eastAsia="Times New Roman"/>
          <w:b/>
          <w:spacing w:val="30"/>
          <w:szCs w:val="24"/>
        </w:rPr>
      </w:pPr>
    </w:p>
    <w:p w:rsidR="00967D5F" w:rsidRPr="00E06328" w:rsidRDefault="00967D5F" w:rsidP="00967D5F">
      <w:pPr>
        <w:jc w:val="center"/>
        <w:rPr>
          <w:rFonts w:eastAsia="Times New Roman"/>
          <w:b/>
          <w:spacing w:val="30"/>
          <w:szCs w:val="24"/>
        </w:rPr>
      </w:pPr>
    </w:p>
    <w:p w:rsidR="00967D5F" w:rsidRPr="00E06328" w:rsidRDefault="00967D5F" w:rsidP="00967D5F">
      <w:pPr>
        <w:jc w:val="center"/>
        <w:rPr>
          <w:rFonts w:eastAsia="Times New Roman"/>
          <w:b/>
          <w:spacing w:val="30"/>
          <w:szCs w:val="24"/>
        </w:rPr>
      </w:pPr>
      <w:r w:rsidRPr="00E06328">
        <w:rPr>
          <w:rFonts w:eastAsia="Times New Roman"/>
          <w:b/>
          <w:spacing w:val="30"/>
          <w:szCs w:val="24"/>
        </w:rPr>
        <w:t>Z á k o n</w:t>
      </w:r>
    </w:p>
    <w:p w:rsidR="00967D5F" w:rsidRPr="00E06328" w:rsidRDefault="00967D5F" w:rsidP="00967D5F">
      <w:pPr>
        <w:jc w:val="center"/>
        <w:rPr>
          <w:rFonts w:eastAsia="Times New Roman"/>
          <w:szCs w:val="24"/>
        </w:rPr>
      </w:pPr>
    </w:p>
    <w:p w:rsidR="00967D5F" w:rsidRPr="00E06328" w:rsidRDefault="00967D5F" w:rsidP="00967D5F">
      <w:pPr>
        <w:jc w:val="center"/>
        <w:rPr>
          <w:rFonts w:eastAsia="Times New Roman"/>
          <w:szCs w:val="24"/>
        </w:rPr>
      </w:pPr>
    </w:p>
    <w:p w:rsidR="00967D5F" w:rsidRPr="00E06328" w:rsidRDefault="00967D5F" w:rsidP="00967D5F">
      <w:pPr>
        <w:jc w:val="center"/>
        <w:rPr>
          <w:rFonts w:eastAsia="Times New Roman"/>
          <w:szCs w:val="24"/>
        </w:rPr>
      </w:pPr>
    </w:p>
    <w:p w:rsidR="00967D5F" w:rsidRPr="00E06328" w:rsidRDefault="004067B7" w:rsidP="00967D5F">
      <w:pPr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z ... 2024</w:t>
      </w:r>
    </w:p>
    <w:p w:rsidR="00BC6EA7" w:rsidRPr="00E06328" w:rsidRDefault="00BC6EA7" w:rsidP="00BC6EA7">
      <w:pPr>
        <w:keepNext/>
        <w:keepLines/>
        <w:jc w:val="center"/>
        <w:outlineLvl w:val="0"/>
        <w:rPr>
          <w:rFonts w:eastAsia="Times New Roman" w:cs="Times New Roman"/>
          <w:bCs/>
          <w:szCs w:val="28"/>
          <w:lang w:eastAsia="sk-SK"/>
        </w:rPr>
      </w:pPr>
    </w:p>
    <w:p w:rsidR="004067B7" w:rsidRPr="005E780F" w:rsidRDefault="004067B7" w:rsidP="004067B7">
      <w:pPr>
        <w:tabs>
          <w:tab w:val="left" w:pos="851"/>
        </w:tabs>
        <w:spacing w:before="120" w:after="120" w:line="276" w:lineRule="auto"/>
        <w:jc w:val="center"/>
        <w:rPr>
          <w:b/>
          <w:szCs w:val="24"/>
        </w:rPr>
      </w:pPr>
      <w:r w:rsidRPr="005E780F">
        <w:rPr>
          <w:b/>
          <w:szCs w:val="24"/>
        </w:rPr>
        <w:t>o niektorých opatreniach súvisiacich s riadením kótovanej spoločnosti</w:t>
      </w:r>
    </w:p>
    <w:p w:rsidR="00967D5F" w:rsidRPr="00E06328" w:rsidRDefault="00967D5F" w:rsidP="00BC6EA7">
      <w:pPr>
        <w:keepNext/>
        <w:jc w:val="center"/>
        <w:rPr>
          <w:rFonts w:eastAsia="Times New Roman" w:cs="Times New Roman"/>
          <w:b/>
          <w:szCs w:val="24"/>
          <w:lang w:eastAsia="sk-SK"/>
        </w:rPr>
      </w:pPr>
    </w:p>
    <w:p w:rsidR="00BC6EA7" w:rsidRPr="00E06328" w:rsidRDefault="00BC6EA7" w:rsidP="00BC6EA7">
      <w:pPr>
        <w:keepNext/>
        <w:jc w:val="both"/>
        <w:rPr>
          <w:rFonts w:eastAsia="Times New Roman" w:cs="Times New Roman"/>
          <w:szCs w:val="24"/>
          <w:lang w:eastAsia="sk-SK"/>
        </w:rPr>
      </w:pPr>
    </w:p>
    <w:p w:rsidR="00BC6EA7" w:rsidRPr="00E06328" w:rsidRDefault="00BC6EA7" w:rsidP="00BC6EA7">
      <w:pPr>
        <w:keepNext/>
        <w:ind w:firstLine="708"/>
        <w:jc w:val="both"/>
        <w:rPr>
          <w:rFonts w:eastAsia="Times New Roman" w:cs="Times New Roman"/>
          <w:szCs w:val="24"/>
          <w:lang w:eastAsia="sk-SK"/>
        </w:rPr>
      </w:pPr>
    </w:p>
    <w:p w:rsidR="00BC6EA7" w:rsidRPr="00E06328" w:rsidRDefault="00BC6EA7" w:rsidP="00BC6EA7">
      <w:pPr>
        <w:keepNext/>
        <w:ind w:firstLine="708"/>
        <w:jc w:val="both"/>
        <w:rPr>
          <w:rFonts w:eastAsia="Times New Roman" w:cs="Times New Roman"/>
          <w:szCs w:val="24"/>
          <w:lang w:eastAsia="sk-SK"/>
        </w:rPr>
      </w:pPr>
      <w:r w:rsidRPr="00E06328">
        <w:rPr>
          <w:rFonts w:eastAsia="Times New Roman" w:cs="Times New Roman"/>
          <w:szCs w:val="24"/>
          <w:lang w:eastAsia="sk-SK"/>
        </w:rPr>
        <w:t>Národná rada Slovenskej republiky sa uzniesla na tomto zákone:</w:t>
      </w:r>
    </w:p>
    <w:p w:rsidR="000242F8" w:rsidRPr="00E06328" w:rsidRDefault="000242F8" w:rsidP="00BC6EA7">
      <w:pPr>
        <w:keepNext/>
        <w:ind w:firstLine="708"/>
        <w:jc w:val="both"/>
        <w:rPr>
          <w:rFonts w:eastAsia="Times New Roman" w:cs="Times New Roman"/>
          <w:szCs w:val="24"/>
          <w:lang w:eastAsia="sk-SK"/>
        </w:rPr>
      </w:pPr>
    </w:p>
    <w:p w:rsidR="00BC6EA7" w:rsidRDefault="00BC6EA7" w:rsidP="00BC6EA7">
      <w:pPr>
        <w:keepNext/>
        <w:ind w:firstLine="708"/>
        <w:jc w:val="both"/>
        <w:rPr>
          <w:rFonts w:eastAsia="Times New Roman" w:cs="Times New Roman"/>
          <w:szCs w:val="24"/>
          <w:lang w:eastAsia="sk-SK"/>
        </w:rPr>
      </w:pP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96A">
        <w:rPr>
          <w:rFonts w:ascii="Times New Roman" w:hAnsi="Times New Roman" w:cs="Times New Roman"/>
          <w:b/>
          <w:sz w:val="24"/>
          <w:szCs w:val="24"/>
        </w:rPr>
        <w:t>§ 1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96A">
        <w:rPr>
          <w:rFonts w:ascii="Times New Roman" w:hAnsi="Times New Roman" w:cs="Times New Roman"/>
          <w:b/>
          <w:sz w:val="24"/>
          <w:szCs w:val="24"/>
        </w:rPr>
        <w:t xml:space="preserve">Predmet zákona 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96A">
        <w:rPr>
          <w:rFonts w:ascii="Times New Roman" w:hAnsi="Times New Roman" w:cs="Times New Roman"/>
          <w:sz w:val="24"/>
          <w:szCs w:val="24"/>
        </w:rPr>
        <w:t xml:space="preserve">Tento zákon upravuje niektoré opatrenia súvisiace s riadením kótovanej spoločnosti, ak ide o zastúpenie mužského pohlavia a ženského pohlavia vo vrcholovom orgáne kótovanej spoločnosti. </w:t>
      </w:r>
    </w:p>
    <w:p w:rsidR="008A1F77" w:rsidRPr="0009496A" w:rsidRDefault="008A1F77" w:rsidP="008A1F77">
      <w:pPr>
        <w:jc w:val="center"/>
        <w:rPr>
          <w:rFonts w:cs="Times New Roman"/>
          <w:b/>
          <w:szCs w:val="24"/>
        </w:rPr>
      </w:pPr>
      <w:r w:rsidRPr="0009496A">
        <w:rPr>
          <w:rFonts w:cs="Times New Roman"/>
          <w:b/>
          <w:szCs w:val="24"/>
        </w:rPr>
        <w:t>§ 2</w:t>
      </w:r>
    </w:p>
    <w:p w:rsidR="008A1F77" w:rsidRPr="0009496A" w:rsidRDefault="008A1F77" w:rsidP="008A1F77">
      <w:pPr>
        <w:jc w:val="center"/>
        <w:rPr>
          <w:rFonts w:cs="Times New Roman"/>
          <w:b/>
          <w:szCs w:val="24"/>
        </w:rPr>
      </w:pPr>
      <w:r w:rsidRPr="0009496A">
        <w:rPr>
          <w:rFonts w:cs="Times New Roman"/>
          <w:b/>
          <w:szCs w:val="24"/>
        </w:rPr>
        <w:t>Rozsah pôsobnosti</w:t>
      </w:r>
    </w:p>
    <w:p w:rsidR="008A1F77" w:rsidRPr="0009496A" w:rsidRDefault="008A1F77" w:rsidP="008A1F77">
      <w:pPr>
        <w:jc w:val="center"/>
        <w:rPr>
          <w:rFonts w:cs="Times New Roman"/>
          <w:szCs w:val="24"/>
        </w:rPr>
      </w:pP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496A">
        <w:rPr>
          <w:rFonts w:ascii="Times New Roman" w:hAnsi="Times New Roman" w:cs="Times New Roman"/>
          <w:sz w:val="24"/>
          <w:szCs w:val="24"/>
        </w:rPr>
        <w:t>(1) Tento zákon sa vzťahuje na kótovanú spoločnosť so sídlom na území Slovenskej republiky.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96A">
        <w:rPr>
          <w:rFonts w:ascii="Times New Roman" w:hAnsi="Times New Roman" w:cs="Times New Roman"/>
          <w:sz w:val="24"/>
          <w:szCs w:val="24"/>
        </w:rPr>
        <w:t xml:space="preserve">(2) Tento zákon sa nevzťahuje na </w:t>
      </w:r>
      <w:proofErr w:type="spellStart"/>
      <w:r w:rsidRPr="0009496A">
        <w:rPr>
          <w:rFonts w:ascii="Times New Roman" w:hAnsi="Times New Roman" w:cs="Times New Roman"/>
          <w:sz w:val="24"/>
          <w:szCs w:val="24"/>
        </w:rPr>
        <w:t>mikropodniky</w:t>
      </w:r>
      <w:proofErr w:type="spellEnd"/>
      <w:r w:rsidRPr="0009496A">
        <w:rPr>
          <w:rFonts w:ascii="Times New Roman" w:hAnsi="Times New Roman" w:cs="Times New Roman"/>
          <w:sz w:val="24"/>
          <w:szCs w:val="24"/>
        </w:rPr>
        <w:t>,</w:t>
      </w:r>
      <w:r w:rsidRPr="0009496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09496A">
        <w:rPr>
          <w:rFonts w:ascii="Times New Roman" w:hAnsi="Times New Roman" w:cs="Times New Roman"/>
          <w:sz w:val="24"/>
          <w:szCs w:val="24"/>
        </w:rPr>
        <w:t>) malé podniky</w:t>
      </w:r>
      <w:r w:rsidRPr="0009496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09496A">
        <w:rPr>
          <w:rFonts w:ascii="Times New Roman" w:hAnsi="Times New Roman" w:cs="Times New Roman"/>
          <w:sz w:val="24"/>
          <w:szCs w:val="24"/>
        </w:rPr>
        <w:t>) a stredné podniky.</w:t>
      </w:r>
      <w:r w:rsidRPr="0009496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Pr="0009496A">
        <w:rPr>
          <w:rFonts w:ascii="Times New Roman" w:hAnsi="Times New Roman" w:cs="Times New Roman"/>
          <w:sz w:val="24"/>
          <w:szCs w:val="24"/>
        </w:rPr>
        <w:t>)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jc w:val="center"/>
        <w:rPr>
          <w:rFonts w:cs="Times New Roman"/>
          <w:b/>
          <w:szCs w:val="24"/>
        </w:rPr>
      </w:pPr>
      <w:r w:rsidRPr="0009496A">
        <w:rPr>
          <w:rFonts w:cs="Times New Roman"/>
          <w:b/>
          <w:szCs w:val="24"/>
        </w:rPr>
        <w:t>§ 3</w:t>
      </w:r>
    </w:p>
    <w:p w:rsidR="008A1F77" w:rsidRPr="0009496A" w:rsidRDefault="008A1F77" w:rsidP="008A1F77">
      <w:pPr>
        <w:jc w:val="center"/>
        <w:rPr>
          <w:rFonts w:cs="Times New Roman"/>
          <w:b/>
          <w:szCs w:val="24"/>
        </w:rPr>
      </w:pPr>
      <w:r w:rsidRPr="0009496A">
        <w:rPr>
          <w:rFonts w:cs="Times New Roman"/>
          <w:b/>
          <w:szCs w:val="24"/>
        </w:rPr>
        <w:t>Vymedzenie pojmov</w:t>
      </w:r>
    </w:p>
    <w:p w:rsidR="008A1F77" w:rsidRPr="0009496A" w:rsidRDefault="008A1F77" w:rsidP="008A1F77">
      <w:pPr>
        <w:jc w:val="center"/>
        <w:rPr>
          <w:rFonts w:cs="Times New Roman"/>
          <w:szCs w:val="24"/>
        </w:rPr>
      </w:pPr>
    </w:p>
    <w:p w:rsidR="008A1F77" w:rsidRPr="0009496A" w:rsidRDefault="008A1F77" w:rsidP="008A1F77">
      <w:pPr>
        <w:ind w:firstLine="708"/>
        <w:rPr>
          <w:rFonts w:cs="Times New Roman"/>
          <w:szCs w:val="24"/>
        </w:rPr>
      </w:pPr>
      <w:r w:rsidRPr="0009496A">
        <w:rPr>
          <w:rFonts w:cs="Times New Roman"/>
          <w:szCs w:val="24"/>
        </w:rPr>
        <w:t>Na účely tohto zákona sa rozumie</w:t>
      </w:r>
    </w:p>
    <w:p w:rsidR="008A1F77" w:rsidRDefault="008A1F77" w:rsidP="008A1F7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a)  </w:t>
      </w:r>
      <w:r w:rsidRPr="0009496A">
        <w:rPr>
          <w:rFonts w:ascii="Times New Roman" w:hAnsi="Times New Roman"/>
          <w:sz w:val="24"/>
          <w:szCs w:val="24"/>
        </w:rPr>
        <w:t>kótovanou spoločnosťou spoločnosť so sídlom na území Slovenskej republiky, ktorej akcie sú v jednom alebo vo viacerých členských štátoch Európskej únie prijaté na obchodovanie na regulovanom trhu,</w:t>
      </w:r>
      <w:r w:rsidRPr="0009496A">
        <w:rPr>
          <w:rStyle w:val="Odkaznapoznmkupodiarou"/>
          <w:rFonts w:ascii="Times New Roman" w:hAnsi="Times New Roman"/>
          <w:sz w:val="24"/>
          <w:szCs w:val="24"/>
        </w:rPr>
        <w:footnoteReference w:id="4"/>
      </w:r>
      <w:r w:rsidRPr="0009496A">
        <w:rPr>
          <w:rFonts w:ascii="Times New Roman" w:hAnsi="Times New Roman"/>
          <w:sz w:val="24"/>
          <w:szCs w:val="24"/>
        </w:rPr>
        <w:t>)</w:t>
      </w:r>
    </w:p>
    <w:p w:rsidR="008A1F77" w:rsidRDefault="008A1F77" w:rsidP="008A1F77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96A">
        <w:rPr>
          <w:rFonts w:ascii="Times New Roman" w:hAnsi="Times New Roman"/>
          <w:sz w:val="24"/>
          <w:szCs w:val="24"/>
        </w:rPr>
        <w:t xml:space="preserve">vrcholovým orgánom štatutárny orgán alebo dozorný orgán kótovanej spoločnosti, </w:t>
      </w:r>
    </w:p>
    <w:p w:rsidR="008A1F77" w:rsidRDefault="008A1F77" w:rsidP="008A1F77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8E1">
        <w:rPr>
          <w:rFonts w:ascii="Times New Roman" w:hAnsi="Times New Roman"/>
          <w:sz w:val="24"/>
          <w:szCs w:val="24"/>
        </w:rPr>
        <w:t xml:space="preserve">riadiacim pracovníkom člen vrcholového orgánu vrátane člena vrcholového orgánu, ktorý je zástupcom zamestnancov, </w:t>
      </w:r>
    </w:p>
    <w:p w:rsidR="008A1F77" w:rsidRDefault="008A1F77" w:rsidP="008A1F77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8E1">
        <w:rPr>
          <w:rFonts w:ascii="Times New Roman" w:hAnsi="Times New Roman"/>
          <w:sz w:val="24"/>
          <w:szCs w:val="24"/>
        </w:rPr>
        <w:t xml:space="preserve">výkonným riadiacim pracovníkom člen vrcholového orgánu, ktorý je zapojený do každodenného riadenia kótovanej spoločnosti, </w:t>
      </w:r>
    </w:p>
    <w:p w:rsidR="008A1F77" w:rsidRDefault="008A1F77" w:rsidP="008A1F77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8E1">
        <w:rPr>
          <w:rFonts w:ascii="Times New Roman" w:hAnsi="Times New Roman"/>
          <w:sz w:val="24"/>
          <w:szCs w:val="24"/>
        </w:rPr>
        <w:t>nevýkonným riadiacim pracovníkom člen vrcholového orgánu, ktorý nie je výkonným riadiacim pracovníkom kótovanej spoločnosti a ktorý vykonáva dozorné funkcie,</w:t>
      </w:r>
    </w:p>
    <w:p w:rsidR="008A1F77" w:rsidRPr="00D1494B" w:rsidRDefault="008A1F77" w:rsidP="00D1494B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8E1">
        <w:rPr>
          <w:rFonts w:ascii="Times New Roman" w:hAnsi="Times New Roman"/>
          <w:sz w:val="24"/>
          <w:szCs w:val="24"/>
        </w:rPr>
        <w:t>menej zastúpeným pohlavím mužské pohlavie alebo ženské pohlavie, ktorého zastúpenie vo vrcholovom orgáne nedosahuje minimálny počet pracovníkov uvedený v prílohe č. 1.</w:t>
      </w:r>
    </w:p>
    <w:p w:rsidR="008A1F77" w:rsidRPr="0009496A" w:rsidRDefault="008A1F77" w:rsidP="008A1F77">
      <w:pPr>
        <w:jc w:val="center"/>
        <w:rPr>
          <w:rFonts w:cs="Times New Roman"/>
          <w:b/>
          <w:szCs w:val="24"/>
        </w:rPr>
      </w:pPr>
      <w:r w:rsidRPr="0009496A">
        <w:rPr>
          <w:rFonts w:cs="Times New Roman"/>
          <w:b/>
          <w:szCs w:val="24"/>
        </w:rPr>
        <w:t>§ 4</w:t>
      </w:r>
    </w:p>
    <w:p w:rsidR="008A1F77" w:rsidRPr="0009496A" w:rsidRDefault="008A1F77" w:rsidP="008A1F77">
      <w:pPr>
        <w:jc w:val="center"/>
        <w:rPr>
          <w:rFonts w:cs="Times New Roman"/>
          <w:b/>
          <w:szCs w:val="24"/>
        </w:rPr>
      </w:pPr>
      <w:r w:rsidRPr="0009496A">
        <w:rPr>
          <w:rFonts w:cs="Times New Roman"/>
          <w:b/>
          <w:szCs w:val="24"/>
        </w:rPr>
        <w:t>Ciele vyváženosti</w:t>
      </w:r>
    </w:p>
    <w:p w:rsidR="008A1F77" w:rsidRPr="0009496A" w:rsidRDefault="008A1F77" w:rsidP="008A1F77">
      <w:pPr>
        <w:jc w:val="center"/>
        <w:rPr>
          <w:rFonts w:cs="Times New Roman"/>
          <w:szCs w:val="24"/>
        </w:rPr>
      </w:pPr>
    </w:p>
    <w:p w:rsidR="008A1F77" w:rsidRDefault="008A1F77" w:rsidP="008A1F77">
      <w:pPr>
        <w:pStyle w:val="Standard"/>
        <w:numPr>
          <w:ilvl w:val="0"/>
          <w:numId w:val="2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96A">
        <w:rPr>
          <w:rFonts w:ascii="Times New Roman" w:hAnsi="Times New Roman" w:cs="Times New Roman"/>
          <w:sz w:val="24"/>
          <w:szCs w:val="24"/>
        </w:rPr>
        <w:t xml:space="preserve">Kótovaná spoločnosť zabezpečí, aby </w:t>
      </w:r>
    </w:p>
    <w:p w:rsidR="008A1F77" w:rsidRPr="004B34F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a) </w:t>
      </w:r>
      <w:r w:rsidRPr="004B34FA">
        <w:rPr>
          <w:rFonts w:ascii="Times New Roman" w:hAnsi="Times New Roman" w:cs="Times New Roman"/>
          <w:sz w:val="24"/>
          <w:szCs w:val="24"/>
        </w:rPr>
        <w:t>príslušníci menej zastúpeného pohlavia zastávali aspoň 40 % pozícií nev</w:t>
      </w:r>
      <w:r>
        <w:rPr>
          <w:rFonts w:ascii="Times New Roman" w:hAnsi="Times New Roman" w:cs="Times New Roman"/>
          <w:sz w:val="24"/>
          <w:szCs w:val="24"/>
        </w:rPr>
        <w:t xml:space="preserve">ýkonných </w:t>
      </w:r>
      <w:r w:rsidRPr="004B34FA">
        <w:rPr>
          <w:rFonts w:ascii="Times New Roman" w:hAnsi="Times New Roman" w:cs="Times New Roman"/>
          <w:sz w:val="24"/>
          <w:szCs w:val="24"/>
        </w:rPr>
        <w:t>riadiacich pracovníkov, alebo</w:t>
      </w:r>
    </w:p>
    <w:p w:rsidR="008A1F77" w:rsidRPr="004B34F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b) </w:t>
      </w:r>
      <w:r w:rsidRPr="004B34FA">
        <w:rPr>
          <w:rFonts w:ascii="Times New Roman" w:hAnsi="Times New Roman" w:cs="Times New Roman"/>
          <w:sz w:val="24"/>
          <w:szCs w:val="24"/>
        </w:rPr>
        <w:t>príslušníci menej zastúpeného pohlavia zastávali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4FA">
        <w:rPr>
          <w:rFonts w:ascii="Times New Roman" w:hAnsi="Times New Roman" w:cs="Times New Roman"/>
          <w:sz w:val="24"/>
          <w:szCs w:val="24"/>
        </w:rPr>
        <w:t xml:space="preserve">aspoň 33 % pozícií riadiacich pracovníkov. 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96A">
        <w:rPr>
          <w:rFonts w:ascii="Times New Roman" w:hAnsi="Times New Roman" w:cs="Times New Roman"/>
          <w:sz w:val="24"/>
          <w:szCs w:val="24"/>
        </w:rPr>
        <w:t>(2) Počet pozícií nevýkonných riadiacich pracovníkov podľa odseku 1 písm. a) je počet, ktorý je najbližšie podielu 40 % a nepresahuje podiel 49 % pozícií nevýkonných riadiacich pracovníkov.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96A">
        <w:rPr>
          <w:rFonts w:ascii="Times New Roman" w:hAnsi="Times New Roman" w:cs="Times New Roman"/>
          <w:sz w:val="24"/>
          <w:szCs w:val="24"/>
        </w:rPr>
        <w:t>(3) Počet všetkých pozícií riadiacich pracovníkov podľa odseku 1 písm. b) je počet, ktorý je najbližšie podielu 33 % a nepresahuje podiel 49 % pozícií všetkých riadiacich pracovníkov.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96A">
        <w:rPr>
          <w:rFonts w:ascii="Times New Roman" w:hAnsi="Times New Roman" w:cs="Times New Roman"/>
          <w:sz w:val="24"/>
          <w:szCs w:val="24"/>
        </w:rPr>
        <w:t>(4) Minimálny počet pozícií, ktoré majú zastávať príslušníci menej zastúpeného pohlavia je uvedený v prílohe č. 1.</w:t>
      </w:r>
      <w:r w:rsidRPr="0009496A" w:rsidDel="00A039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F77" w:rsidRPr="0009496A" w:rsidRDefault="008A1F77" w:rsidP="008A1F77">
      <w:pPr>
        <w:rPr>
          <w:rFonts w:cs="Times New Roman"/>
          <w:szCs w:val="24"/>
        </w:rPr>
      </w:pPr>
    </w:p>
    <w:p w:rsidR="008A1F77" w:rsidRPr="0009496A" w:rsidRDefault="008A1F77" w:rsidP="008A1F77">
      <w:pPr>
        <w:jc w:val="center"/>
        <w:rPr>
          <w:rFonts w:cs="Times New Roman"/>
          <w:b/>
          <w:szCs w:val="24"/>
        </w:rPr>
      </w:pPr>
      <w:r w:rsidRPr="0009496A">
        <w:rPr>
          <w:rFonts w:cs="Times New Roman"/>
          <w:b/>
          <w:szCs w:val="24"/>
        </w:rPr>
        <w:t>§ 5</w:t>
      </w:r>
    </w:p>
    <w:p w:rsidR="008A1F77" w:rsidRPr="0009496A" w:rsidRDefault="008A1F77" w:rsidP="008A1F77">
      <w:pPr>
        <w:jc w:val="center"/>
        <w:rPr>
          <w:rFonts w:cs="Times New Roman"/>
          <w:b/>
          <w:szCs w:val="24"/>
        </w:rPr>
      </w:pPr>
      <w:r w:rsidRPr="0009496A">
        <w:rPr>
          <w:rFonts w:cs="Times New Roman"/>
          <w:b/>
          <w:szCs w:val="24"/>
        </w:rPr>
        <w:t>Opatrenia na dosiahnutie cieľov vyváženosti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96A">
        <w:rPr>
          <w:rFonts w:ascii="Times New Roman" w:hAnsi="Times New Roman" w:cs="Times New Roman"/>
          <w:sz w:val="24"/>
          <w:szCs w:val="24"/>
        </w:rPr>
        <w:t xml:space="preserve">(1) Kótovaná spoločnosť, ktorá nedosahuje ciele vyváženosti podľa § 4 ods. 1 písm. a) alebo písm. b), upraví proces výberu kandidátov na vymenovanie alebo </w:t>
      </w:r>
      <w:r w:rsidRPr="000949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voľbu na obsadenie voľnej pozície riadiaceho pracovníka</w:t>
      </w:r>
      <w:r w:rsidRPr="0009496A">
        <w:rPr>
          <w:rFonts w:ascii="Times New Roman" w:hAnsi="Times New Roman" w:cs="Times New Roman"/>
          <w:sz w:val="24"/>
          <w:szCs w:val="24"/>
        </w:rPr>
        <w:t xml:space="preserve"> (ďalej len „proces výberu“). Na tento účel kótovaná spoločnosť určí jasné, neutrálne formulované a jednoznačné podmienky procesu výberu pred výberovým konaním, najmä podrobnosti týkajúce sa oznámenia o voľnej pozícii riadiaceho pracovníka, o požadovaných kvalifikačných predpokladoch, o predbežnom procese výberu a o užšom procese výberu. Podmienky procesu výberu podľa druhej vety uplatňuje kótovaná spoločnosť počas celého procesu výberu.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96A">
        <w:rPr>
          <w:rFonts w:ascii="Times New Roman" w:hAnsi="Times New Roman" w:cs="Times New Roman"/>
          <w:sz w:val="24"/>
          <w:szCs w:val="24"/>
        </w:rPr>
        <w:t xml:space="preserve">(2) </w:t>
      </w:r>
      <w:r w:rsidRPr="000949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Kandidát na vymenovanie alebo na voľbu na voľnú pozíciu riadiaceho pracovníka (ďalej len „kandidát“) </w:t>
      </w:r>
      <w:r w:rsidRPr="0009496A">
        <w:rPr>
          <w:rFonts w:ascii="Times New Roman" w:hAnsi="Times New Roman" w:cs="Times New Roman"/>
          <w:sz w:val="24"/>
          <w:szCs w:val="24"/>
        </w:rPr>
        <w:t xml:space="preserve">sa vyberá na základe objektívneho komparatívneho posúdenia požadovaných kvalifikačných predpokladov. 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96A">
        <w:rPr>
          <w:rFonts w:ascii="Times New Roman" w:hAnsi="Times New Roman" w:cs="Times New Roman"/>
          <w:sz w:val="24"/>
          <w:szCs w:val="24"/>
        </w:rPr>
        <w:t>(3) Ak sú v procese výberu viacerí kandidáti, ktorí sú rovnako spôsobilí z hľadiska určených podmienok na obsadenie voľnej pozície, najmä z hľadiska vhodnosti, spôsobilosti a profesionálnych výsledkov, kótovaná spoločnosť uprednostní kandidáta menej zastúpeného pohlavia. To neplatí, ak z hľadiska objektívneho posúdenia určených podmienok pre obsadenie voľnej pozície existujú v prospech kandidáta druhého pohlavia dôvody hodné osobitného zreteľa, najmä ak ide o uplatňovanie iných opatrení vyplývajúcich z osobitného predpisu, ktoré zohľadňujú špecifickú situáciu druhého kandidáta.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96A">
        <w:rPr>
          <w:rFonts w:ascii="Times New Roman" w:hAnsi="Times New Roman" w:cs="Times New Roman"/>
          <w:sz w:val="24"/>
          <w:szCs w:val="24"/>
        </w:rPr>
        <w:t>(4) Kótovaná spoločnosť poskytne kandidátovi na základe žiadosti informácie o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a) </w:t>
      </w:r>
      <w:r w:rsidRPr="0009496A">
        <w:rPr>
          <w:rFonts w:ascii="Times New Roman" w:hAnsi="Times New Roman" w:cs="Times New Roman"/>
          <w:sz w:val="24"/>
          <w:szCs w:val="24"/>
        </w:rPr>
        <w:t xml:space="preserve">požadovaných kvalifikačných predpokladoch v procese výberu, 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09496A">
        <w:rPr>
          <w:rFonts w:ascii="Times New Roman" w:hAnsi="Times New Roman" w:cs="Times New Roman"/>
          <w:sz w:val="24"/>
          <w:szCs w:val="24"/>
        </w:rPr>
        <w:t>objektívnom komparatívnom posúdení kandidátov na základe požadovaných kvalifikačných predpokladov.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496A">
        <w:rPr>
          <w:rFonts w:ascii="Times New Roman" w:hAnsi="Times New Roman" w:cs="Times New Roman"/>
          <w:sz w:val="24"/>
          <w:szCs w:val="24"/>
        </w:rPr>
        <w:t xml:space="preserve">(5) Neúspešnému kandidátovi menej zastúpeného pohlavia poskytne kótovaná spoločnosť na základe žiadosti aj informáciu o dôvodoch hodných osobitného zreteľa, ktoré viedli k výberu kandidáta podľa odseku 3 druhej vety. 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496A">
        <w:rPr>
          <w:rFonts w:ascii="Times New Roman" w:hAnsi="Times New Roman" w:cs="Times New Roman"/>
          <w:sz w:val="24"/>
          <w:szCs w:val="24"/>
        </w:rPr>
        <w:t>(6) Kótovaná spoločnosť v procese výberu, ktorý sa uskutočňuje formou hlasovania akcionárov alebo zamestnancov, informuje hlasujúcich o opatreniach na dosiahnutie cieľov vyváženosti podľa § 4 ods. 1, o povinnostiach a sankciách podľa tohto zákona vrátane sankcií pre kótovanú spoločnosť pri nedodržaní súvisiacich povinností.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jc w:val="center"/>
        <w:rPr>
          <w:rFonts w:cs="Times New Roman"/>
          <w:b/>
          <w:szCs w:val="24"/>
        </w:rPr>
      </w:pPr>
      <w:r w:rsidRPr="0009496A">
        <w:rPr>
          <w:rFonts w:cs="Times New Roman"/>
          <w:b/>
          <w:szCs w:val="24"/>
        </w:rPr>
        <w:t>§ 6</w:t>
      </w:r>
    </w:p>
    <w:p w:rsidR="008A1F77" w:rsidRPr="0009496A" w:rsidRDefault="008A1F77" w:rsidP="008A1F77">
      <w:pPr>
        <w:jc w:val="center"/>
        <w:rPr>
          <w:rFonts w:cs="Times New Roman"/>
          <w:b/>
          <w:szCs w:val="24"/>
        </w:rPr>
      </w:pPr>
      <w:r w:rsidRPr="0009496A">
        <w:rPr>
          <w:rFonts w:cs="Times New Roman"/>
          <w:b/>
          <w:szCs w:val="24"/>
        </w:rPr>
        <w:t>Právna ochrana</w:t>
      </w:r>
    </w:p>
    <w:p w:rsidR="008A1F77" w:rsidRPr="0009496A" w:rsidRDefault="008A1F77" w:rsidP="008A1F77">
      <w:pPr>
        <w:jc w:val="center"/>
        <w:rPr>
          <w:rFonts w:cs="Times New Roman"/>
          <w:szCs w:val="24"/>
        </w:rPr>
      </w:pPr>
    </w:p>
    <w:p w:rsidR="008A1F77" w:rsidRPr="0009496A" w:rsidRDefault="008A1F77" w:rsidP="008A1F77">
      <w:pPr>
        <w:shd w:val="clear" w:color="auto" w:fill="FFFFFF"/>
        <w:ind w:firstLine="708"/>
        <w:jc w:val="both"/>
        <w:rPr>
          <w:rFonts w:eastAsia="Times New Roman" w:cs="Times New Roman"/>
          <w:i/>
          <w:color w:val="FF0000"/>
          <w:szCs w:val="24"/>
          <w:lang w:eastAsia="sk-SK"/>
        </w:rPr>
      </w:pPr>
      <w:r w:rsidRPr="0009496A">
        <w:rPr>
          <w:rFonts w:cs="Times New Roman"/>
          <w:szCs w:val="24"/>
        </w:rPr>
        <w:t xml:space="preserve">(1) Neúspešný kandidát menej zastúpeného pohlavia podľa § 5 ods. 3 prvej vety sa môže domáhať ochrany na súde, ak sa domnieva, že </w:t>
      </w:r>
      <w:r w:rsidRPr="0009496A">
        <w:rPr>
          <w:rFonts w:eastAsia="Times New Roman" w:cs="Times New Roman"/>
          <w:szCs w:val="24"/>
          <w:lang w:eastAsia="sk-SK"/>
        </w:rPr>
        <w:t xml:space="preserve">bol v procese výberu </w:t>
      </w:r>
      <w:r w:rsidRPr="0009496A">
        <w:rPr>
          <w:rFonts w:cs="Times New Roman"/>
          <w:szCs w:val="24"/>
        </w:rPr>
        <w:t xml:space="preserve">z hľadiska objektívneho komparatívneho posúdenia </w:t>
      </w:r>
      <w:r w:rsidRPr="0009496A">
        <w:rPr>
          <w:rFonts w:eastAsia="Times New Roman" w:cs="Times New Roman"/>
          <w:szCs w:val="24"/>
          <w:lang w:eastAsia="sk-SK"/>
        </w:rPr>
        <w:t xml:space="preserve">dotknutý na svojich právach a právom chránených záujmoch nedodržaním </w:t>
      </w:r>
      <w:r w:rsidRPr="0009496A">
        <w:rPr>
          <w:rFonts w:cs="Times New Roman"/>
          <w:szCs w:val="24"/>
        </w:rPr>
        <w:t xml:space="preserve">vyváženosti zastúpenia mužov a žien vo vrcholovom orgáne bez existencie dôvodov hodných osobitného zreteľa podľa § 5 ods. 3 druhej vety. Neúspešný kandidát podľa prvej vety sa môže </w:t>
      </w:r>
      <w:r w:rsidRPr="0009496A">
        <w:rPr>
          <w:rFonts w:eastAsia="Times New Roman" w:cs="Times New Roman"/>
          <w:szCs w:val="24"/>
          <w:lang w:eastAsia="sk-SK"/>
        </w:rPr>
        <w:t xml:space="preserve">domáhať toho, aby kótovaná spoločnosť poskytla primerané zadosťučinenie. 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96A">
        <w:rPr>
          <w:rFonts w:ascii="Times New Roman" w:hAnsi="Times New Roman" w:cs="Times New Roman"/>
          <w:sz w:val="24"/>
          <w:szCs w:val="24"/>
        </w:rPr>
        <w:t>(2) Kótovaná spoločnosť je povinná na súde preukázať, že v procese výberu z hľadiska objektívneho komparatívneho posúdenia existovali v prospech kandidáta druhého pohlavia dôvody hodné osobitného zreteľa podľa § 5 ods. 3 druhej vety.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8A1F77" w:rsidRPr="0009496A" w:rsidRDefault="008A1F77" w:rsidP="008A1F77">
      <w:pPr>
        <w:shd w:val="clear" w:color="auto" w:fill="FFFFFF"/>
        <w:ind w:firstLine="708"/>
        <w:jc w:val="both"/>
        <w:rPr>
          <w:rFonts w:eastAsia="Times New Roman" w:cs="Times New Roman"/>
          <w:szCs w:val="24"/>
          <w:lang w:eastAsia="sk-SK"/>
        </w:rPr>
      </w:pPr>
      <w:r w:rsidRPr="0009496A">
        <w:rPr>
          <w:rFonts w:eastAsia="Times New Roman" w:cs="Times New Roman"/>
          <w:szCs w:val="24"/>
          <w:lang w:eastAsia="sk-SK"/>
        </w:rPr>
        <w:t xml:space="preserve">(3) Ak by primerané zadosťučinenie nebolo dostačujúce, najmä ak nedodržaním </w:t>
      </w:r>
      <w:r w:rsidRPr="0009496A">
        <w:rPr>
          <w:rFonts w:cs="Times New Roman"/>
          <w:szCs w:val="24"/>
        </w:rPr>
        <w:t xml:space="preserve">vyváženosti zastúpenia mužov a žien vo vrcholových orgánoch v procese výberu bez existencie dôvodov hodných osobitného zreteľa podľa § 5 ods. 3 druhej vety </w:t>
      </w:r>
      <w:r w:rsidRPr="0009496A">
        <w:rPr>
          <w:rFonts w:eastAsia="Times New Roman" w:cs="Times New Roman"/>
          <w:szCs w:val="24"/>
          <w:lang w:eastAsia="sk-SK"/>
        </w:rPr>
        <w:t>bola značným spôsobom znížená dôstojnosť, spoločenská vážnosť alebo spoločenské uplatnenie poškodenej osoby, môže sa táto osoba domáhať aj náhrady nemajetkovej ujmy v peniazoch. Sumu náhrady nemajetkovej ujmy v peniazoch určí súd s prihliadnutím na závažnosť vzniknutej nemajetkovej ujmy a všetky okolnosti, za ktorých došlo k jej vzniku.</w:t>
      </w:r>
    </w:p>
    <w:p w:rsidR="008A1F77" w:rsidRPr="0009496A" w:rsidRDefault="008A1F77" w:rsidP="008A1F77">
      <w:pPr>
        <w:shd w:val="clear" w:color="auto" w:fill="FFFFFF"/>
        <w:jc w:val="both"/>
        <w:rPr>
          <w:rFonts w:eastAsia="Times New Roman" w:cs="Times New Roman"/>
          <w:szCs w:val="24"/>
          <w:lang w:eastAsia="sk-SK"/>
        </w:rPr>
      </w:pPr>
    </w:p>
    <w:p w:rsidR="008A1F77" w:rsidRPr="0009496A" w:rsidRDefault="008A1F77" w:rsidP="008A1F77">
      <w:pPr>
        <w:shd w:val="clear" w:color="auto" w:fill="FFFFFF"/>
        <w:ind w:firstLine="708"/>
        <w:jc w:val="both"/>
        <w:rPr>
          <w:rFonts w:eastAsia="Times New Roman" w:cs="Times New Roman"/>
          <w:szCs w:val="24"/>
          <w:lang w:eastAsia="sk-SK"/>
        </w:rPr>
      </w:pPr>
      <w:r w:rsidRPr="0009496A">
        <w:rPr>
          <w:rFonts w:eastAsia="Times New Roman" w:cs="Times New Roman"/>
          <w:szCs w:val="24"/>
          <w:lang w:eastAsia="sk-SK"/>
        </w:rPr>
        <w:t>(4) Právo na náhradu škody nie je týmto zákonom dotknuté.</w:t>
      </w:r>
    </w:p>
    <w:p w:rsidR="008A1F77" w:rsidRPr="0009496A" w:rsidRDefault="008A1F77" w:rsidP="008A1F77">
      <w:pPr>
        <w:shd w:val="clear" w:color="auto" w:fill="FFFFFF"/>
        <w:ind w:firstLine="708"/>
        <w:jc w:val="both"/>
        <w:rPr>
          <w:rFonts w:eastAsia="Times New Roman" w:cs="Times New Roman"/>
          <w:szCs w:val="24"/>
          <w:lang w:eastAsia="sk-SK"/>
        </w:rPr>
      </w:pPr>
    </w:p>
    <w:p w:rsidR="008A1F77" w:rsidRDefault="008A1F77" w:rsidP="008A1F77">
      <w:pPr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           </w:t>
      </w:r>
      <w:r w:rsidRPr="0009496A">
        <w:rPr>
          <w:rFonts w:eastAsia="Times New Roman" w:cs="Times New Roman"/>
          <w:szCs w:val="24"/>
          <w:lang w:eastAsia="sk-SK"/>
        </w:rPr>
        <w:t xml:space="preserve">(5) Na konanie podľa </w:t>
      </w:r>
      <w:r>
        <w:rPr>
          <w:rFonts w:eastAsia="Times New Roman" w:cs="Times New Roman"/>
          <w:szCs w:val="24"/>
          <w:lang w:eastAsia="sk-SK"/>
        </w:rPr>
        <w:t>odsekov 1 až 4</w:t>
      </w:r>
      <w:r w:rsidRPr="0009496A">
        <w:rPr>
          <w:rFonts w:eastAsia="Times New Roman" w:cs="Times New Roman"/>
          <w:szCs w:val="24"/>
          <w:lang w:eastAsia="sk-SK"/>
        </w:rPr>
        <w:t xml:space="preserve"> je príslušný súd, ktorý je príslušný na konanie v obchodnoprávnych sporoch.</w:t>
      </w:r>
      <w:r w:rsidRPr="0009496A">
        <w:rPr>
          <w:rStyle w:val="Odkaznapoznmkupodiarou"/>
          <w:rFonts w:eastAsia="Times New Roman" w:cs="Times New Roman"/>
          <w:szCs w:val="24"/>
          <w:lang w:eastAsia="sk-SK"/>
        </w:rPr>
        <w:footnoteReference w:id="5"/>
      </w:r>
      <w:r w:rsidRPr="0009496A">
        <w:rPr>
          <w:rFonts w:eastAsia="Times New Roman" w:cs="Times New Roman"/>
          <w:szCs w:val="24"/>
          <w:lang w:eastAsia="sk-SK"/>
        </w:rPr>
        <w:t>)</w:t>
      </w:r>
    </w:p>
    <w:p w:rsidR="008A1F77" w:rsidRDefault="008A1F77" w:rsidP="008A1F77">
      <w:pPr>
        <w:rPr>
          <w:rFonts w:eastAsia="Times New Roman" w:cs="Times New Roman"/>
          <w:szCs w:val="24"/>
          <w:lang w:eastAsia="sk-SK"/>
        </w:rPr>
      </w:pPr>
    </w:p>
    <w:p w:rsidR="00D1494B" w:rsidRDefault="00D1494B" w:rsidP="008A1F77">
      <w:pPr>
        <w:rPr>
          <w:rFonts w:eastAsia="Times New Roman" w:cs="Times New Roman"/>
          <w:szCs w:val="24"/>
          <w:lang w:eastAsia="sk-SK"/>
        </w:rPr>
      </w:pPr>
    </w:p>
    <w:p w:rsidR="008A1F77" w:rsidRPr="0009496A" w:rsidRDefault="008A1F77" w:rsidP="008A1F77">
      <w:pPr>
        <w:jc w:val="center"/>
        <w:rPr>
          <w:rFonts w:cs="Times New Roman"/>
          <w:b/>
          <w:szCs w:val="24"/>
        </w:rPr>
      </w:pPr>
      <w:r w:rsidRPr="0009496A">
        <w:rPr>
          <w:rFonts w:cs="Times New Roman"/>
          <w:b/>
          <w:szCs w:val="24"/>
        </w:rPr>
        <w:t>§ 7</w:t>
      </w:r>
    </w:p>
    <w:p w:rsidR="008A1F77" w:rsidRPr="0009496A" w:rsidRDefault="008A1F77" w:rsidP="008A1F77">
      <w:pPr>
        <w:jc w:val="center"/>
        <w:rPr>
          <w:rFonts w:cs="Times New Roman"/>
          <w:b/>
          <w:szCs w:val="24"/>
        </w:rPr>
      </w:pPr>
      <w:r w:rsidRPr="0009496A">
        <w:rPr>
          <w:rFonts w:cs="Times New Roman"/>
          <w:b/>
          <w:szCs w:val="24"/>
        </w:rPr>
        <w:t>Informačná povinnosť</w:t>
      </w:r>
    </w:p>
    <w:p w:rsidR="008A1F77" w:rsidRPr="0009496A" w:rsidRDefault="008A1F77" w:rsidP="008A1F77">
      <w:pPr>
        <w:rPr>
          <w:rFonts w:cs="Times New Roman"/>
          <w:szCs w:val="24"/>
        </w:rPr>
      </w:pPr>
    </w:p>
    <w:p w:rsidR="008A1F77" w:rsidRPr="0009496A" w:rsidRDefault="008A1F77" w:rsidP="008A1F77">
      <w:pPr>
        <w:ind w:firstLine="708"/>
        <w:jc w:val="both"/>
        <w:rPr>
          <w:rFonts w:cs="Times New Roman"/>
          <w:szCs w:val="24"/>
        </w:rPr>
      </w:pPr>
      <w:r w:rsidRPr="0009496A">
        <w:rPr>
          <w:rFonts w:cs="Times New Roman"/>
          <w:szCs w:val="24"/>
        </w:rPr>
        <w:t xml:space="preserve">(1) Kótovaná spoločnosť poskytuje Ministerstvu práce, sociálnych vecí a rodiny Slovenskej republiky (ďalej len „ministerstvo práce“) najneskôr do 31. januára príslušného kalendárneho roka informácie podľa stavu k 31. decembru predchádzajúceho kalendárneho roka o </w:t>
      </w:r>
    </w:p>
    <w:p w:rsidR="008A1F77" w:rsidRPr="000C3557" w:rsidRDefault="008A1F77" w:rsidP="008A1F77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57">
        <w:rPr>
          <w:rFonts w:ascii="Times New Roman" w:hAnsi="Times New Roman"/>
          <w:sz w:val="24"/>
          <w:szCs w:val="24"/>
        </w:rPr>
        <w:t xml:space="preserve">zastúpení mužov a žien vo vrcholových orgánoch s rozlíšením medzi výkonnými riadiacimi pracovníkmi a nevýkonnými riadiacimi pracovníkmi, </w:t>
      </w:r>
    </w:p>
    <w:p w:rsidR="008A1F77" w:rsidRPr="0009496A" w:rsidRDefault="008A1F77" w:rsidP="008A1F77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96A">
        <w:rPr>
          <w:rFonts w:ascii="Times New Roman" w:hAnsi="Times New Roman"/>
          <w:sz w:val="24"/>
          <w:szCs w:val="24"/>
        </w:rPr>
        <w:t xml:space="preserve">prijatých opatreniach na dosiahnutie cieľov vyváženosti podľa § 4 ods. 1, ak tieto ciele neboli splnené. </w:t>
      </w:r>
    </w:p>
    <w:p w:rsidR="008A1F77" w:rsidRPr="0009496A" w:rsidRDefault="008A1F77" w:rsidP="008A1F7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A1F77" w:rsidRPr="0009496A" w:rsidRDefault="008A1F77" w:rsidP="008A1F77">
      <w:pPr>
        <w:ind w:firstLine="708"/>
        <w:jc w:val="both"/>
        <w:rPr>
          <w:rFonts w:cs="Times New Roman"/>
          <w:szCs w:val="24"/>
        </w:rPr>
      </w:pPr>
      <w:r w:rsidRPr="0009496A">
        <w:rPr>
          <w:rFonts w:cs="Times New Roman"/>
          <w:szCs w:val="24"/>
        </w:rPr>
        <w:t>(2) Kótovaná spoločnosť zverejňuje informácie podľa odseku 1 na svojom webovom sídle.</w:t>
      </w:r>
    </w:p>
    <w:p w:rsidR="008A1F77" w:rsidRPr="0009496A" w:rsidRDefault="008A1F77" w:rsidP="008A1F77">
      <w:pPr>
        <w:ind w:firstLine="708"/>
        <w:jc w:val="both"/>
        <w:rPr>
          <w:rFonts w:cs="Times New Roman"/>
          <w:szCs w:val="24"/>
        </w:rPr>
      </w:pPr>
    </w:p>
    <w:p w:rsidR="008A1F77" w:rsidRPr="0009496A" w:rsidRDefault="008A1F77" w:rsidP="008A1F77">
      <w:pPr>
        <w:ind w:firstLine="708"/>
        <w:jc w:val="both"/>
        <w:rPr>
          <w:rFonts w:cs="Times New Roman"/>
          <w:szCs w:val="24"/>
        </w:rPr>
      </w:pPr>
      <w:r w:rsidRPr="0009496A">
        <w:rPr>
          <w:rFonts w:cs="Times New Roman"/>
          <w:szCs w:val="24"/>
        </w:rPr>
        <w:t>(3)  Ministerstvo práce na svojom webovom sídle zverejňuje a pravidelne aktualizuje zoznam kótovaných spoločností, ktoré dosiahli niektorý z cieľov vyváženosti podľa § 4 ods. 1.</w:t>
      </w:r>
    </w:p>
    <w:p w:rsidR="008A1F77" w:rsidRPr="0009496A" w:rsidRDefault="008A1F77" w:rsidP="008A1F77">
      <w:pPr>
        <w:jc w:val="both"/>
        <w:rPr>
          <w:rFonts w:cs="Times New Roman"/>
          <w:szCs w:val="24"/>
        </w:rPr>
      </w:pPr>
    </w:p>
    <w:p w:rsidR="008A1F77" w:rsidRPr="0009496A" w:rsidRDefault="008A1F77" w:rsidP="008A1F77">
      <w:pPr>
        <w:ind w:firstLine="708"/>
        <w:jc w:val="both"/>
        <w:rPr>
          <w:rFonts w:cs="Times New Roman"/>
          <w:szCs w:val="24"/>
        </w:rPr>
      </w:pPr>
      <w:r w:rsidRPr="0009496A">
        <w:rPr>
          <w:rFonts w:cs="Times New Roman"/>
          <w:szCs w:val="24"/>
        </w:rPr>
        <w:t>(4) Ak kótovaná spoločnosť nedosiahne niektorý z cieľov vyváženosti podľa § 4 ods. 1, doplní informácie podľa odseku 1 aj o dôvody, pre ktoré tieto ciele vyváženosti nedosiahla, a  súčasne doplní popis prijatých opatrení na dosiahnutie cieľov vyváženosti alebo pripravovaných opatrení na dosiahnutie cieľov vyváženosti.</w:t>
      </w:r>
    </w:p>
    <w:p w:rsidR="008A1F77" w:rsidRPr="0009496A" w:rsidRDefault="008A1F77" w:rsidP="008A1F77">
      <w:pPr>
        <w:shd w:val="clear" w:color="auto" w:fill="FFFFFF"/>
        <w:jc w:val="both"/>
        <w:rPr>
          <w:rFonts w:cs="Times New Roman"/>
          <w:szCs w:val="24"/>
        </w:rPr>
      </w:pPr>
    </w:p>
    <w:p w:rsidR="008A1F77" w:rsidRPr="0009496A" w:rsidRDefault="008A1F77" w:rsidP="008A1F77">
      <w:pPr>
        <w:shd w:val="clear" w:color="auto" w:fill="FFFFFF"/>
        <w:ind w:firstLine="708"/>
        <w:jc w:val="both"/>
        <w:rPr>
          <w:rFonts w:cs="Times New Roman"/>
          <w:iCs/>
          <w:szCs w:val="24"/>
          <w:lang w:eastAsia="sk-SK"/>
        </w:rPr>
      </w:pPr>
      <w:r w:rsidRPr="0009496A">
        <w:rPr>
          <w:rFonts w:cs="Times New Roman"/>
          <w:iCs/>
          <w:szCs w:val="24"/>
          <w:lang w:eastAsia="sk-SK"/>
        </w:rPr>
        <w:t>(5) Kótovaná spoločnosť môže  informácie podľa odseku 1 uviesť vo výročnej správe.</w:t>
      </w:r>
      <w:r w:rsidRPr="0009496A">
        <w:rPr>
          <w:rStyle w:val="Odkaznapoznmkupodiarou"/>
          <w:rFonts w:cs="Times New Roman"/>
          <w:iCs/>
          <w:szCs w:val="24"/>
          <w:lang w:eastAsia="sk-SK"/>
        </w:rPr>
        <w:footnoteReference w:id="6"/>
      </w:r>
      <w:r w:rsidRPr="0009496A">
        <w:rPr>
          <w:rFonts w:cs="Times New Roman"/>
          <w:iCs/>
          <w:szCs w:val="24"/>
          <w:lang w:eastAsia="sk-SK"/>
        </w:rPr>
        <w:t>)</w:t>
      </w:r>
    </w:p>
    <w:p w:rsidR="008A1F77" w:rsidRPr="0009496A" w:rsidRDefault="008A1F77" w:rsidP="008A1F77">
      <w:pPr>
        <w:jc w:val="both"/>
        <w:rPr>
          <w:rFonts w:cs="Times New Roman"/>
          <w:szCs w:val="24"/>
        </w:rPr>
      </w:pPr>
    </w:p>
    <w:p w:rsidR="008A1F77" w:rsidRPr="0009496A" w:rsidRDefault="008A1F77" w:rsidP="008A1F77">
      <w:pPr>
        <w:jc w:val="center"/>
        <w:rPr>
          <w:rFonts w:cs="Times New Roman"/>
          <w:b/>
          <w:szCs w:val="24"/>
        </w:rPr>
      </w:pPr>
      <w:r w:rsidRPr="0009496A">
        <w:rPr>
          <w:rFonts w:cs="Times New Roman"/>
          <w:b/>
          <w:szCs w:val="24"/>
        </w:rPr>
        <w:t>§ 8</w:t>
      </w:r>
    </w:p>
    <w:p w:rsidR="008A1F77" w:rsidRPr="0009496A" w:rsidRDefault="008A1F77" w:rsidP="008A1F77">
      <w:pPr>
        <w:jc w:val="center"/>
        <w:rPr>
          <w:rFonts w:cs="Times New Roman"/>
          <w:b/>
          <w:szCs w:val="24"/>
        </w:rPr>
      </w:pPr>
      <w:r w:rsidRPr="0009496A">
        <w:rPr>
          <w:rFonts w:cs="Times New Roman"/>
          <w:b/>
          <w:szCs w:val="24"/>
        </w:rPr>
        <w:t>Sankcie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shd w:val="clear" w:color="auto" w:fill="FFFFFF"/>
        <w:ind w:firstLine="708"/>
        <w:jc w:val="both"/>
        <w:rPr>
          <w:rFonts w:eastAsia="Times New Roman" w:cs="Times New Roman"/>
          <w:szCs w:val="24"/>
          <w:lang w:eastAsia="sk-SK"/>
        </w:rPr>
      </w:pPr>
      <w:r w:rsidRPr="0009496A">
        <w:rPr>
          <w:rFonts w:eastAsia="Times New Roman" w:cs="Times New Roman"/>
          <w:szCs w:val="24"/>
          <w:lang w:eastAsia="sk-SK"/>
        </w:rPr>
        <w:t xml:space="preserve">(1) Ak kótovaná spoločnosť nesplní informačnú povinnosť podľa § 7, ministerstvo práce jej určí lehotu na dodatočné splnenie tejto povinnosti, ktorá nemôže byť kratšia ako 15 dní. Ak kótovaná spoločnosť nesplní informačnú povinnosť podľa § 7 ani v lehote určenej podľa prvej vety, ministerstvo práce uloží kótovanej spoločnosti pokutu do 100 000 eur. </w:t>
      </w:r>
    </w:p>
    <w:p w:rsidR="008A1F77" w:rsidRPr="0009496A" w:rsidRDefault="008A1F77" w:rsidP="008A1F77">
      <w:pPr>
        <w:shd w:val="clear" w:color="auto" w:fill="FFFFFF"/>
        <w:jc w:val="both"/>
        <w:rPr>
          <w:rFonts w:eastAsia="Times New Roman" w:cs="Times New Roman"/>
          <w:szCs w:val="24"/>
          <w:lang w:eastAsia="sk-SK"/>
        </w:rPr>
      </w:pPr>
    </w:p>
    <w:p w:rsidR="008A1F77" w:rsidRPr="0009496A" w:rsidRDefault="008A1F77" w:rsidP="008A1F77">
      <w:pPr>
        <w:pStyle w:val="Textkomentra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96A">
        <w:rPr>
          <w:rFonts w:ascii="Times New Roman" w:hAnsi="Times New Roman" w:cs="Times New Roman"/>
          <w:sz w:val="24"/>
          <w:szCs w:val="24"/>
        </w:rPr>
        <w:t>(2) Pri ukladaní pokuty podľa odseku 1 ministerstvo práce prihliada najmä na závažnosť, čas trvania, následky a okolnosti spáchania správneho deliktu.</w:t>
      </w:r>
    </w:p>
    <w:p w:rsidR="008A1F77" w:rsidRPr="0009496A" w:rsidRDefault="008A1F77" w:rsidP="008A1F77">
      <w:pPr>
        <w:pStyle w:val="Textkomentr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pStyle w:val="Textkomentra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96A">
        <w:rPr>
          <w:rFonts w:ascii="Times New Roman" w:hAnsi="Times New Roman" w:cs="Times New Roman"/>
          <w:sz w:val="24"/>
          <w:szCs w:val="24"/>
        </w:rPr>
        <w:t xml:space="preserve">(3) Pokutu podľa odseku 1 možno uložiť do jedného roka odo dňa, kedy k porušeniu informačnej povinnosti podľa § 7 došlo. </w:t>
      </w:r>
    </w:p>
    <w:p w:rsidR="008A1F77" w:rsidRPr="0009496A" w:rsidRDefault="008A1F77" w:rsidP="008A1F77">
      <w:pPr>
        <w:pStyle w:val="Textkomentr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shd w:val="clear" w:color="auto" w:fill="FFFFFF"/>
        <w:ind w:firstLine="708"/>
        <w:jc w:val="both"/>
        <w:rPr>
          <w:rFonts w:eastAsia="Times New Roman" w:cs="Times New Roman"/>
          <w:szCs w:val="24"/>
          <w:lang w:eastAsia="sk-SK"/>
        </w:rPr>
      </w:pPr>
      <w:r w:rsidRPr="0009496A">
        <w:rPr>
          <w:rFonts w:cs="Times New Roman"/>
          <w:szCs w:val="24"/>
        </w:rPr>
        <w:t>(4) Pokuty podľa odseku 1 sú príjmom štátneho rozpočtu.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96A">
        <w:rPr>
          <w:rFonts w:ascii="Times New Roman" w:hAnsi="Times New Roman" w:cs="Times New Roman"/>
          <w:b/>
          <w:sz w:val="24"/>
          <w:szCs w:val="24"/>
        </w:rPr>
        <w:t>§ 9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96A">
        <w:rPr>
          <w:rFonts w:ascii="Times New Roman" w:hAnsi="Times New Roman" w:cs="Times New Roman"/>
          <w:b/>
          <w:sz w:val="24"/>
          <w:szCs w:val="24"/>
        </w:rPr>
        <w:t>Prechodné ustanovenia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96A">
        <w:rPr>
          <w:rFonts w:ascii="Times New Roman" w:hAnsi="Times New Roman" w:cs="Times New Roman"/>
          <w:sz w:val="24"/>
          <w:szCs w:val="24"/>
        </w:rPr>
        <w:t>(1) Kótovaná spoločnosť zabezpečí splnenie cieľov vyváženosti podľa § 4 ods. 1 alebo upraví proces výberu do 30. júna 2026, ak odseky 2 a 3 neustanovujú inak.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96A">
        <w:rPr>
          <w:rFonts w:ascii="Times New Roman" w:hAnsi="Times New Roman" w:cs="Times New Roman"/>
          <w:sz w:val="24"/>
          <w:szCs w:val="24"/>
        </w:rPr>
        <w:br/>
        <w:t xml:space="preserve">            (2) Kótovaná spoločnosť, na ktorú sa nevzťahuje cieľ vyváženosti podľa § 4 ods. 1 písm. b), určí v interných predpisoch osobitné kvantitatívne ciele vyváženosti na účely zlepšenia vyváženosti zastúpenia mužov a žien medzi výkonnými riadiacimi pracovníkmi, a zároveň sa zameria na dosiahnutie týchto určených osobitných kvantitatívnych cieľov vyváženosti do 30. júna 2026. 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96A">
        <w:rPr>
          <w:rFonts w:ascii="Times New Roman" w:hAnsi="Times New Roman" w:cs="Times New Roman"/>
          <w:sz w:val="24"/>
          <w:szCs w:val="24"/>
        </w:rPr>
        <w:t xml:space="preserve">(3) Informačnú povinnosť podľa § 7 splní kótovaná spoločnosť do 31. januára 2027 podľa stavu k 31. decembru 2026; ustanovenie § 8 platí rovnako. 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96A">
        <w:rPr>
          <w:rFonts w:ascii="Times New Roman" w:hAnsi="Times New Roman" w:cs="Times New Roman"/>
          <w:b/>
          <w:sz w:val="24"/>
          <w:szCs w:val="24"/>
        </w:rPr>
        <w:t>§ 10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96A">
        <w:rPr>
          <w:rFonts w:ascii="Times New Roman" w:hAnsi="Times New Roman" w:cs="Times New Roman"/>
          <w:b/>
          <w:sz w:val="24"/>
          <w:szCs w:val="24"/>
        </w:rPr>
        <w:t>Záverečné ustanovenie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96A">
        <w:rPr>
          <w:rFonts w:ascii="Times New Roman" w:hAnsi="Times New Roman" w:cs="Times New Roman"/>
          <w:sz w:val="24"/>
          <w:szCs w:val="24"/>
        </w:rPr>
        <w:t>Týmto zákonom sa preberajú právne záväzné akty Európskej únie uvedené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9496A">
        <w:rPr>
          <w:rFonts w:ascii="Times New Roman" w:hAnsi="Times New Roman" w:cs="Times New Roman"/>
          <w:sz w:val="24"/>
          <w:szCs w:val="24"/>
        </w:rPr>
        <w:t>prílohe</w:t>
      </w:r>
      <w:r>
        <w:rPr>
          <w:rFonts w:ascii="Times New Roman" w:hAnsi="Times New Roman" w:cs="Times New Roman"/>
          <w:sz w:val="24"/>
          <w:szCs w:val="24"/>
        </w:rPr>
        <w:br/>
      </w:r>
      <w:r w:rsidRPr="0009496A">
        <w:rPr>
          <w:rFonts w:ascii="Times New Roman" w:hAnsi="Times New Roman" w:cs="Times New Roman"/>
          <w:sz w:val="24"/>
          <w:szCs w:val="24"/>
        </w:rPr>
        <w:t>č. 2.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96A">
        <w:rPr>
          <w:rFonts w:ascii="Times New Roman" w:hAnsi="Times New Roman" w:cs="Times New Roman"/>
          <w:b/>
          <w:sz w:val="24"/>
          <w:szCs w:val="24"/>
        </w:rPr>
        <w:t>§ 11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96A">
        <w:rPr>
          <w:rFonts w:ascii="Times New Roman" w:hAnsi="Times New Roman" w:cs="Times New Roman"/>
          <w:b/>
          <w:sz w:val="24"/>
          <w:szCs w:val="24"/>
        </w:rPr>
        <w:t>Účinnosť</w:t>
      </w:r>
    </w:p>
    <w:p w:rsidR="008A1F77" w:rsidRPr="0009496A" w:rsidRDefault="008A1F77" w:rsidP="008A1F77">
      <w:pPr>
        <w:pStyle w:val="Standar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F77" w:rsidRPr="0009496A" w:rsidRDefault="008A1F77" w:rsidP="008A1F77">
      <w:pPr>
        <w:ind w:firstLine="708"/>
        <w:rPr>
          <w:rFonts w:cs="Times New Roman"/>
          <w:szCs w:val="24"/>
        </w:rPr>
      </w:pPr>
      <w:r w:rsidRPr="0009496A">
        <w:rPr>
          <w:rFonts w:cs="Times New Roman"/>
          <w:szCs w:val="24"/>
        </w:rPr>
        <w:t>Tento zákon nadobúda účinnosť 28. decembra 2024 a stráca účinnosť 31. decembra 2038.</w:t>
      </w:r>
    </w:p>
    <w:p w:rsidR="008A1F77" w:rsidRPr="0009496A" w:rsidRDefault="008A1F77" w:rsidP="008A1F77">
      <w:pPr>
        <w:rPr>
          <w:rFonts w:cs="Times New Roman"/>
          <w:szCs w:val="24"/>
        </w:rPr>
      </w:pPr>
    </w:p>
    <w:p w:rsidR="008A1F77" w:rsidRPr="0009496A" w:rsidRDefault="008A1F77" w:rsidP="008A1F77">
      <w:pPr>
        <w:rPr>
          <w:rFonts w:cs="Times New Roman"/>
          <w:szCs w:val="24"/>
        </w:rPr>
      </w:pPr>
    </w:p>
    <w:p w:rsidR="008A1F77" w:rsidRPr="0009496A" w:rsidRDefault="008A1F77" w:rsidP="008A1F77">
      <w:pPr>
        <w:rPr>
          <w:rFonts w:cs="Times New Roman"/>
          <w:szCs w:val="24"/>
        </w:rPr>
      </w:pPr>
    </w:p>
    <w:p w:rsidR="008A1F77" w:rsidRPr="0009496A" w:rsidRDefault="008A1F77" w:rsidP="008A1F77">
      <w:pPr>
        <w:rPr>
          <w:rFonts w:cs="Times New Roman"/>
          <w:szCs w:val="24"/>
        </w:rPr>
      </w:pPr>
    </w:p>
    <w:p w:rsidR="008A1F77" w:rsidRPr="0009496A" w:rsidRDefault="008A1F77" w:rsidP="008A1F77">
      <w:pPr>
        <w:rPr>
          <w:rFonts w:cs="Times New Roman"/>
          <w:szCs w:val="24"/>
        </w:rPr>
      </w:pPr>
    </w:p>
    <w:p w:rsidR="008A1F77" w:rsidRPr="0009496A" w:rsidRDefault="008A1F77" w:rsidP="008A1F77">
      <w:pPr>
        <w:rPr>
          <w:rFonts w:cs="Times New Roman"/>
          <w:szCs w:val="24"/>
        </w:rPr>
      </w:pPr>
    </w:p>
    <w:p w:rsidR="008A1F77" w:rsidRPr="0009496A" w:rsidRDefault="008A1F77" w:rsidP="008A1F77">
      <w:pPr>
        <w:rPr>
          <w:rFonts w:cs="Times New Roman"/>
          <w:szCs w:val="24"/>
        </w:rPr>
      </w:pPr>
    </w:p>
    <w:p w:rsidR="008A1F77" w:rsidRPr="0009496A" w:rsidRDefault="008A1F77" w:rsidP="008A1F77">
      <w:pPr>
        <w:rPr>
          <w:rFonts w:cs="Times New Roman"/>
          <w:szCs w:val="24"/>
        </w:rPr>
      </w:pPr>
    </w:p>
    <w:p w:rsidR="008A1F77" w:rsidRPr="0009496A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Pr="0009496A" w:rsidRDefault="008A1F77" w:rsidP="008A1F77">
      <w:pPr>
        <w:rPr>
          <w:rFonts w:cs="Times New Roman"/>
          <w:szCs w:val="24"/>
        </w:rPr>
      </w:pPr>
    </w:p>
    <w:p w:rsidR="008A1F77" w:rsidRPr="0009496A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8A1F77" w:rsidRPr="0009496A" w:rsidRDefault="008A1F77" w:rsidP="008A1F77">
      <w:pPr>
        <w:rPr>
          <w:rFonts w:cs="Times New Roman"/>
          <w:szCs w:val="24"/>
        </w:rPr>
      </w:pPr>
    </w:p>
    <w:p w:rsidR="008A1F77" w:rsidRPr="0009496A" w:rsidRDefault="008A1F77" w:rsidP="008A1F77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496A">
        <w:rPr>
          <w:rFonts w:ascii="Times New Roman" w:hAnsi="Times New Roman" w:cs="Times New Roman"/>
          <w:b/>
          <w:sz w:val="24"/>
          <w:szCs w:val="24"/>
        </w:rPr>
        <w:t xml:space="preserve">Príloha č. 1 </w:t>
      </w:r>
    </w:p>
    <w:p w:rsidR="008A1F77" w:rsidRPr="0009496A" w:rsidRDefault="008A1F77" w:rsidP="008A1F77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496A">
        <w:rPr>
          <w:rFonts w:ascii="Times New Roman" w:hAnsi="Times New Roman" w:cs="Times New Roman"/>
          <w:b/>
          <w:sz w:val="24"/>
          <w:szCs w:val="24"/>
        </w:rPr>
        <w:t>k zákonu č. ... /2024 Z. z.</w:t>
      </w:r>
    </w:p>
    <w:p w:rsidR="008A1F77" w:rsidRPr="0009496A" w:rsidRDefault="008A1F77" w:rsidP="008A1F77">
      <w:pPr>
        <w:rPr>
          <w:rFonts w:cs="Times New Roman"/>
          <w:szCs w:val="24"/>
        </w:rPr>
      </w:pPr>
    </w:p>
    <w:p w:rsidR="008A1F77" w:rsidRPr="0009496A" w:rsidRDefault="008A1F77" w:rsidP="008A1F77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Cs w:val="24"/>
          <w:lang w:eastAsia="sk-SK"/>
        </w:rPr>
      </w:pPr>
      <w:r w:rsidRPr="0009496A">
        <w:rPr>
          <w:rFonts w:eastAsia="Times New Roman" w:cs="Times New Roman"/>
          <w:b/>
          <w:bCs/>
          <w:color w:val="333333"/>
          <w:szCs w:val="24"/>
          <w:lang w:eastAsia="sk-SK"/>
        </w:rPr>
        <w:t>CIEĽOVÝ POČET RIADIACICH PRACOVNÍKOV MENEJ ZASTÚPENÉHO POHLAVIA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3836"/>
        <w:gridCol w:w="3575"/>
      </w:tblGrid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b/>
                <w:bCs/>
                <w:szCs w:val="24"/>
                <w:lang w:eastAsia="sk-SK"/>
              </w:rPr>
              <w:t>Počet pozícií vo vrcholovom orgáne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b/>
                <w:bCs/>
                <w:szCs w:val="24"/>
                <w:lang w:eastAsia="sk-SK"/>
              </w:rPr>
              <w:t xml:space="preserve">Minimálny počet nevýkonných riadiacich pracovníkov, ktorí sú príslušníkmi menej zastúpeného pohlavia, potrebný na dosiahnutie cieľa na úrovni 40 %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b/>
                <w:bCs/>
                <w:szCs w:val="24"/>
                <w:lang w:eastAsia="sk-SK"/>
              </w:rPr>
              <w:t xml:space="preserve">Minimálny počet riadiacich pracovníkov, ktorí sú príslušníkmi menej zastúpeného pohlavia, potrebný na dosiahnutie cieľa na úrovni 33 % 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–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–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 (33,3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 (33,3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 (25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 (25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2 (40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2 (40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2 (33,3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2 (33,3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3 (42,9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2 (28,6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3 (37,5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3 (37,5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4 (44,4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3 (33,3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4 (40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3 (30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4 (36,4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4 (36,4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5 (41,7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4 (33,3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5 (38,4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4 (30,8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6 (42,9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5 (35,7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6 (40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5 (33,3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6 (37,5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5 (31,3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7 (41,2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6 (35,3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7 (38,9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6 (33,3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8 (42,1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6 (31,6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8 (40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7 (35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8 (38,1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7 (33,3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9 (40,1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7 (31,8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9 (39,1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8 (34,8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10 (41,7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8 (33,3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10 (40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8 (32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10 (38,5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9 (34,6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11 (40,7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9 (33,3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11 (39,3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9 (32,1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12 (41,4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10 (34,5  %)</w:t>
            </w:r>
          </w:p>
        </w:tc>
      </w:tr>
      <w:tr w:rsidR="008A1F77" w:rsidRPr="0009496A" w:rsidTr="00D742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12 (40 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1F77" w:rsidRPr="0009496A" w:rsidRDefault="008A1F77" w:rsidP="00D74221">
            <w:pPr>
              <w:jc w:val="right"/>
              <w:rPr>
                <w:rFonts w:eastAsia="Times New Roman" w:cs="Times New Roman"/>
                <w:szCs w:val="24"/>
                <w:lang w:eastAsia="sk-SK"/>
              </w:rPr>
            </w:pPr>
            <w:r w:rsidRPr="0009496A">
              <w:rPr>
                <w:rFonts w:eastAsia="Times New Roman" w:cs="Times New Roman"/>
                <w:szCs w:val="24"/>
                <w:lang w:eastAsia="sk-SK"/>
              </w:rPr>
              <w:t>10 (33,3  %)</w:t>
            </w:r>
          </w:p>
        </w:tc>
      </w:tr>
    </w:tbl>
    <w:p w:rsidR="008A1F77" w:rsidRPr="0009496A" w:rsidRDefault="008A1F77" w:rsidP="008A1F77">
      <w:pPr>
        <w:rPr>
          <w:rFonts w:cs="Times New Roman"/>
          <w:szCs w:val="24"/>
        </w:rPr>
      </w:pPr>
    </w:p>
    <w:p w:rsidR="008A1F77" w:rsidRPr="0009496A" w:rsidRDefault="008A1F77" w:rsidP="008A1F77">
      <w:pPr>
        <w:rPr>
          <w:rFonts w:eastAsia="Calibri" w:cs="Times New Roman"/>
          <w:szCs w:val="24"/>
        </w:rPr>
      </w:pPr>
    </w:p>
    <w:p w:rsidR="008A1F77" w:rsidRPr="0009496A" w:rsidRDefault="008A1F77" w:rsidP="008A1F77">
      <w:pPr>
        <w:rPr>
          <w:rFonts w:eastAsia="Calibri" w:cs="Times New Roman"/>
          <w:szCs w:val="24"/>
        </w:rPr>
      </w:pPr>
    </w:p>
    <w:p w:rsidR="008A1F77" w:rsidRPr="0009496A" w:rsidRDefault="008A1F77" w:rsidP="008A1F77">
      <w:pPr>
        <w:rPr>
          <w:rFonts w:eastAsia="Calibri" w:cs="Times New Roman"/>
          <w:szCs w:val="24"/>
        </w:rPr>
      </w:pPr>
    </w:p>
    <w:p w:rsidR="008A1F77" w:rsidRPr="0009496A" w:rsidRDefault="008A1F77" w:rsidP="008A1F77">
      <w:pPr>
        <w:rPr>
          <w:rFonts w:eastAsia="Calibri" w:cs="Times New Roman"/>
          <w:szCs w:val="24"/>
        </w:rPr>
      </w:pPr>
    </w:p>
    <w:p w:rsidR="008A1F77" w:rsidRPr="0009496A" w:rsidRDefault="008A1F77" w:rsidP="008A1F77">
      <w:pPr>
        <w:rPr>
          <w:rFonts w:eastAsia="Calibri" w:cs="Times New Roman"/>
          <w:szCs w:val="24"/>
        </w:rPr>
      </w:pPr>
    </w:p>
    <w:p w:rsidR="008A1F77" w:rsidRDefault="008A1F77" w:rsidP="008A1F77">
      <w:pPr>
        <w:rPr>
          <w:rFonts w:eastAsia="Calibri" w:cs="Times New Roman"/>
          <w:szCs w:val="24"/>
        </w:rPr>
      </w:pPr>
    </w:p>
    <w:p w:rsidR="00D1494B" w:rsidRPr="0009496A" w:rsidRDefault="00D1494B" w:rsidP="008A1F77">
      <w:pPr>
        <w:rPr>
          <w:rFonts w:eastAsia="Calibri" w:cs="Times New Roman"/>
          <w:szCs w:val="24"/>
        </w:rPr>
      </w:pPr>
    </w:p>
    <w:p w:rsidR="008A1F77" w:rsidRDefault="008A1F77" w:rsidP="008A1F77">
      <w:pPr>
        <w:rPr>
          <w:rFonts w:cs="Times New Roman"/>
          <w:szCs w:val="24"/>
        </w:rPr>
      </w:pPr>
    </w:p>
    <w:p w:rsidR="00D1494B" w:rsidRPr="0009496A" w:rsidRDefault="00D1494B" w:rsidP="008A1F77">
      <w:pPr>
        <w:rPr>
          <w:rFonts w:cs="Times New Roman"/>
          <w:szCs w:val="24"/>
        </w:rPr>
      </w:pPr>
    </w:p>
    <w:p w:rsidR="008A1F77" w:rsidRPr="0009496A" w:rsidRDefault="008A1F77" w:rsidP="008A1F77">
      <w:pPr>
        <w:rPr>
          <w:rFonts w:cs="Times New Roman"/>
          <w:szCs w:val="24"/>
        </w:rPr>
      </w:pPr>
    </w:p>
    <w:p w:rsidR="008A1F77" w:rsidRPr="0009496A" w:rsidRDefault="008A1F77" w:rsidP="008A1F77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496A">
        <w:rPr>
          <w:rFonts w:ascii="Times New Roman" w:hAnsi="Times New Roman" w:cs="Times New Roman"/>
          <w:b/>
          <w:sz w:val="24"/>
          <w:szCs w:val="24"/>
        </w:rPr>
        <w:t>Príloha č. 2</w:t>
      </w:r>
    </w:p>
    <w:p w:rsidR="008A1F77" w:rsidRPr="0009496A" w:rsidRDefault="008A1F77" w:rsidP="008A1F77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496A">
        <w:rPr>
          <w:rFonts w:ascii="Times New Roman" w:hAnsi="Times New Roman" w:cs="Times New Roman"/>
          <w:b/>
          <w:sz w:val="24"/>
          <w:szCs w:val="24"/>
        </w:rPr>
        <w:t>k zákonu č. ... /2024 Z. z.</w:t>
      </w:r>
    </w:p>
    <w:p w:rsidR="008A1F77" w:rsidRPr="0009496A" w:rsidRDefault="008A1F77" w:rsidP="008A1F77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1F77" w:rsidRPr="0009496A" w:rsidRDefault="008A1F77" w:rsidP="008A1F7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F77" w:rsidRPr="0009496A" w:rsidRDefault="008A1F77" w:rsidP="008A1F7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96A">
        <w:rPr>
          <w:rFonts w:ascii="Times New Roman" w:hAnsi="Times New Roman" w:cs="Times New Roman"/>
          <w:b/>
          <w:sz w:val="24"/>
          <w:szCs w:val="24"/>
        </w:rPr>
        <w:t xml:space="preserve">ZOZNAM PREBERANÝCH PRÁVNE </w:t>
      </w:r>
      <w:r w:rsidRPr="0009496A">
        <w:rPr>
          <w:rFonts w:ascii="Times New Roman" w:hAnsi="Times New Roman" w:cs="Times New Roman"/>
          <w:b/>
          <w:color w:val="000000"/>
          <w:sz w:val="24"/>
          <w:szCs w:val="24"/>
        </w:rPr>
        <w:t>ZÁVÄZNÝCH</w:t>
      </w:r>
      <w:r w:rsidRPr="0009496A">
        <w:rPr>
          <w:rFonts w:ascii="Times New Roman" w:hAnsi="Times New Roman" w:cs="Times New Roman"/>
          <w:b/>
          <w:sz w:val="24"/>
          <w:szCs w:val="24"/>
        </w:rPr>
        <w:t xml:space="preserve"> AKTOV EURÓPSKEJ ÚNIE</w:t>
      </w:r>
    </w:p>
    <w:p w:rsidR="008A1F77" w:rsidRPr="0009496A" w:rsidRDefault="008A1F77" w:rsidP="008A1F77">
      <w:pPr>
        <w:rPr>
          <w:rFonts w:cs="Times New Roman"/>
          <w:szCs w:val="24"/>
        </w:rPr>
      </w:pPr>
    </w:p>
    <w:p w:rsidR="008A1F77" w:rsidRPr="0009496A" w:rsidRDefault="008A1F77" w:rsidP="008A1F7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09496A">
        <w:rPr>
          <w:rFonts w:ascii="Times New Roman" w:hAnsi="Times New Roman"/>
          <w:sz w:val="24"/>
          <w:szCs w:val="24"/>
        </w:rPr>
        <w:t xml:space="preserve">Smernica Európskeho parlamentu a Rady (EÚ) 2022/2381 z 23. novembra 2022 o zlepšení rodovej vyváženosti medzi riadiacimi pracovníkmi kótovaných spoločností a súvisiacich opatreniach </w:t>
      </w:r>
      <w:r w:rsidRPr="0009496A">
        <w:rPr>
          <w:rFonts w:ascii="Times New Roman" w:hAnsi="Times New Roman"/>
          <w:sz w:val="24"/>
          <w:szCs w:val="24"/>
          <w:lang w:eastAsia="sk-SK"/>
        </w:rPr>
        <w:t>(</w:t>
      </w:r>
      <w:r w:rsidRPr="0009496A">
        <w:rPr>
          <w:rFonts w:ascii="Times New Roman" w:hAnsi="Times New Roman"/>
          <w:color w:val="000000"/>
          <w:sz w:val="24"/>
          <w:szCs w:val="24"/>
        </w:rPr>
        <w:t>Ú. v. EÚ L 315, 7. 12. 2022).</w:t>
      </w:r>
    </w:p>
    <w:p w:rsidR="008A1F77" w:rsidRPr="0009496A" w:rsidRDefault="008A1F77" w:rsidP="008A1F7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1F77" w:rsidRPr="0009496A" w:rsidRDefault="008A1F77" w:rsidP="008A1F7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A1F77" w:rsidRPr="00E06328" w:rsidRDefault="008A1F77" w:rsidP="00BC6EA7">
      <w:pPr>
        <w:keepNext/>
        <w:ind w:firstLine="708"/>
        <w:jc w:val="both"/>
        <w:rPr>
          <w:rFonts w:eastAsia="Times New Roman" w:cs="Times New Roman"/>
          <w:szCs w:val="24"/>
          <w:lang w:eastAsia="sk-SK"/>
        </w:rPr>
      </w:pPr>
    </w:p>
    <w:sectPr w:rsidR="008A1F77" w:rsidRPr="00E06328" w:rsidSect="00BA7D57">
      <w:footerReference w:type="default" r:id="rId8"/>
      <w:pgSz w:w="11906" w:h="16838"/>
      <w:pgMar w:top="1134" w:right="1417" w:bottom="1135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EA2" w:rsidRDefault="00020EA2">
      <w:r>
        <w:separator/>
      </w:r>
    </w:p>
  </w:endnote>
  <w:endnote w:type="continuationSeparator" w:id="0">
    <w:p w:rsidR="00020EA2" w:rsidRDefault="0002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136642"/>
      <w:docPartObj>
        <w:docPartGallery w:val="Page Numbers (Bottom of Page)"/>
        <w:docPartUnique/>
      </w:docPartObj>
    </w:sdtPr>
    <w:sdtEndPr/>
    <w:sdtContent>
      <w:p w:rsidR="007D79AD" w:rsidRDefault="001A3D4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6F0">
          <w:rPr>
            <w:noProof/>
          </w:rPr>
          <w:t>7</w:t>
        </w:r>
        <w:r>
          <w:fldChar w:fldCharType="end"/>
        </w:r>
      </w:p>
    </w:sdtContent>
  </w:sdt>
  <w:p w:rsidR="007D79AD" w:rsidRDefault="00020EA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EA2" w:rsidRDefault="00020EA2">
      <w:r>
        <w:separator/>
      </w:r>
    </w:p>
  </w:footnote>
  <w:footnote w:type="continuationSeparator" w:id="0">
    <w:p w:rsidR="00020EA2" w:rsidRDefault="00020EA2">
      <w:r>
        <w:continuationSeparator/>
      </w:r>
    </w:p>
  </w:footnote>
  <w:footnote w:id="1">
    <w:p w:rsidR="008A1F77" w:rsidRPr="00B445BE" w:rsidRDefault="008A1F77" w:rsidP="008A1F77">
      <w:pPr>
        <w:pStyle w:val="Textpoznmkypodiarou"/>
        <w:rPr>
          <w:rFonts w:ascii="Times New Roman" w:hAnsi="Times New Roman" w:cs="Times New Roman"/>
          <w:sz w:val="18"/>
          <w:szCs w:val="18"/>
        </w:rPr>
      </w:pPr>
      <w:r w:rsidRPr="00B445BE">
        <w:rPr>
          <w:rStyle w:val="Odkaznapoznmkupodiarou"/>
          <w:rFonts w:ascii="Times New Roman" w:hAnsi="Times New Roman" w:cs="Times New Roman"/>
        </w:rPr>
        <w:footnoteRef/>
      </w:r>
      <w:r w:rsidRPr="00B445BE">
        <w:rPr>
          <w:rFonts w:ascii="Times New Roman" w:hAnsi="Times New Roman" w:cs="Times New Roman"/>
          <w:sz w:val="18"/>
          <w:szCs w:val="18"/>
        </w:rPr>
        <w:t xml:space="preserve">) </w:t>
      </w:r>
      <w:r w:rsidRPr="00B445B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Čl. 2 ods. 3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p</w:t>
      </w:r>
      <w:r w:rsidRPr="00B445BE">
        <w:rPr>
          <w:rFonts w:ascii="Times New Roman" w:hAnsi="Times New Roman" w:cs="Times New Roman"/>
          <w:sz w:val="18"/>
          <w:szCs w:val="18"/>
          <w:shd w:val="clear" w:color="auto" w:fill="FFFFFF"/>
        </w:rPr>
        <w:t>rílohy I nariadenia Komisie (EÚ) č. 651/2014 zo 17. júna 2014 o vyhlásení určitých kategórií pomoci za zlučiteľné s vnútorným trhom podľa článkov 107 a 108 Zmluvy (Ú. v. EÚ L 187, 26. 6. 2014)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v platnom znení</w:t>
      </w:r>
      <w:r w:rsidRPr="00B445BE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</w:footnote>
  <w:footnote w:id="2">
    <w:p w:rsidR="008A1F77" w:rsidRPr="00B445BE" w:rsidRDefault="008A1F77" w:rsidP="008A1F77">
      <w:pPr>
        <w:pStyle w:val="Textpoznmkypodiarou"/>
        <w:rPr>
          <w:rFonts w:ascii="Times New Roman" w:hAnsi="Times New Roman" w:cs="Times New Roman"/>
          <w:sz w:val="18"/>
          <w:szCs w:val="18"/>
        </w:rPr>
      </w:pPr>
      <w:r w:rsidRPr="00B445BE">
        <w:rPr>
          <w:rStyle w:val="Odkaznapoznmkupodiarou"/>
          <w:rFonts w:ascii="Times New Roman" w:hAnsi="Times New Roman" w:cs="Times New Roman"/>
        </w:rPr>
        <w:footnoteRef/>
      </w:r>
      <w:r w:rsidRPr="00B445BE">
        <w:rPr>
          <w:rFonts w:ascii="Times New Roman" w:hAnsi="Times New Roman" w:cs="Times New Roman"/>
          <w:sz w:val="18"/>
          <w:szCs w:val="18"/>
        </w:rPr>
        <w:t xml:space="preserve">) Čl. 2 ods. 2 </w:t>
      </w:r>
      <w:r>
        <w:rPr>
          <w:rFonts w:ascii="Times New Roman" w:hAnsi="Times New Roman" w:cs="Times New Roman"/>
          <w:sz w:val="18"/>
          <w:szCs w:val="18"/>
        </w:rPr>
        <w:t>p</w:t>
      </w:r>
      <w:r w:rsidRPr="00B445BE">
        <w:rPr>
          <w:rFonts w:ascii="Times New Roman" w:hAnsi="Times New Roman" w:cs="Times New Roman"/>
          <w:sz w:val="18"/>
          <w:szCs w:val="18"/>
        </w:rPr>
        <w:t>rílohy I nariadenia EÚ č. 651/2014</w:t>
      </w:r>
      <w:r>
        <w:rPr>
          <w:rFonts w:ascii="Times New Roman" w:hAnsi="Times New Roman" w:cs="Times New Roman"/>
          <w:sz w:val="18"/>
          <w:szCs w:val="18"/>
        </w:rPr>
        <w:t xml:space="preserve"> v platnom znení</w:t>
      </w:r>
      <w:r w:rsidRPr="00B445BE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8A1F77" w:rsidRDefault="008A1F77" w:rsidP="008A1F77">
      <w:pPr>
        <w:pStyle w:val="Textpoznmkypodiarou"/>
      </w:pPr>
      <w:r w:rsidRPr="00B445BE">
        <w:rPr>
          <w:rStyle w:val="Odkaznapoznmkupodiarou"/>
          <w:rFonts w:ascii="Times New Roman" w:hAnsi="Times New Roman" w:cs="Times New Roman"/>
        </w:rPr>
        <w:footnoteRef/>
      </w:r>
      <w:r w:rsidRPr="00B445BE">
        <w:rPr>
          <w:rFonts w:ascii="Times New Roman" w:hAnsi="Times New Roman" w:cs="Times New Roman"/>
          <w:sz w:val="18"/>
          <w:szCs w:val="18"/>
        </w:rPr>
        <w:t xml:space="preserve">) Čl. 2 </w:t>
      </w:r>
      <w:r>
        <w:rPr>
          <w:rFonts w:ascii="Times New Roman" w:hAnsi="Times New Roman" w:cs="Times New Roman"/>
          <w:sz w:val="18"/>
          <w:szCs w:val="18"/>
        </w:rPr>
        <w:t>p</w:t>
      </w:r>
      <w:r w:rsidRPr="00B445BE">
        <w:rPr>
          <w:rFonts w:ascii="Times New Roman" w:hAnsi="Times New Roman" w:cs="Times New Roman"/>
          <w:sz w:val="18"/>
          <w:szCs w:val="18"/>
        </w:rPr>
        <w:t>rílohy I nariadenia EÚ č. 651/2014</w:t>
      </w:r>
      <w:r>
        <w:rPr>
          <w:rFonts w:ascii="Times New Roman" w:hAnsi="Times New Roman" w:cs="Times New Roman"/>
          <w:sz w:val="18"/>
          <w:szCs w:val="18"/>
        </w:rPr>
        <w:t xml:space="preserve"> v platnom znení</w:t>
      </w:r>
      <w:r w:rsidRPr="00B445BE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:rsidR="008A1F77" w:rsidRPr="00DD0846" w:rsidRDefault="008A1F77" w:rsidP="008A1F77">
      <w:pPr>
        <w:pStyle w:val="Textpoznmkypodiarou"/>
        <w:rPr>
          <w:rFonts w:ascii="Times New Roman" w:hAnsi="Times New Roman" w:cs="Times New Roman"/>
          <w:sz w:val="18"/>
          <w:szCs w:val="18"/>
        </w:rPr>
      </w:pPr>
      <w:r w:rsidRPr="00DD0846">
        <w:rPr>
          <w:rStyle w:val="Odkaznapoznmkupodiarou"/>
          <w:rFonts w:ascii="Times New Roman" w:hAnsi="Times New Roman" w:cs="Times New Roman"/>
        </w:rPr>
        <w:footnoteRef/>
      </w:r>
      <w:r w:rsidRPr="00DD0846">
        <w:rPr>
          <w:rFonts w:ascii="Times New Roman" w:hAnsi="Times New Roman" w:cs="Times New Roman"/>
          <w:sz w:val="18"/>
          <w:szCs w:val="18"/>
        </w:rPr>
        <w:t xml:space="preserve">) </w:t>
      </w:r>
      <w:r w:rsidRPr="00DD0846">
        <w:rPr>
          <w:rFonts w:ascii="Times New Roman" w:hAnsi="Times New Roman" w:cs="Times New Roman"/>
          <w:color w:val="000000"/>
          <w:sz w:val="18"/>
          <w:szCs w:val="18"/>
        </w:rPr>
        <w:t>§ 3 ods. 1 zákona č. 429/2002 Z. z. o burze cenných papierov v znení neskorších predpisov.</w:t>
      </w:r>
    </w:p>
  </w:footnote>
  <w:footnote w:id="5">
    <w:p w:rsidR="008A1F77" w:rsidRDefault="008A1F77" w:rsidP="008A1F77">
      <w:pPr>
        <w:pStyle w:val="Textpoznmkypodiarou"/>
      </w:pPr>
      <w:r w:rsidRPr="006D63A9">
        <w:rPr>
          <w:rStyle w:val="Odkaznapoznmkupodiarou"/>
          <w:rFonts w:ascii="Times New Roman" w:hAnsi="Times New Roman" w:cs="Times New Roman"/>
        </w:rPr>
        <w:footnoteRef/>
      </w:r>
      <w:r w:rsidRPr="006D63A9">
        <w:rPr>
          <w:rFonts w:ascii="Times New Roman" w:hAnsi="Times New Roman" w:cs="Times New Roman"/>
        </w:rPr>
        <w:t>) § 22 Civilného sporového poriadku.</w:t>
      </w:r>
    </w:p>
  </w:footnote>
  <w:footnote w:id="6">
    <w:p w:rsidR="008A1F77" w:rsidRPr="006D63A9" w:rsidRDefault="008A1F77" w:rsidP="008A1F77">
      <w:pPr>
        <w:rPr>
          <w:rFonts w:cs="Times New Roman"/>
          <w:sz w:val="20"/>
          <w:szCs w:val="20"/>
        </w:rPr>
      </w:pPr>
      <w:r w:rsidRPr="006D63A9">
        <w:rPr>
          <w:rStyle w:val="Odkaznapoznmkupodiarou"/>
          <w:rFonts w:cs="Times New Roman"/>
          <w:sz w:val="20"/>
          <w:szCs w:val="20"/>
        </w:rPr>
        <w:footnoteRef/>
      </w:r>
      <w:r w:rsidRPr="006D63A9">
        <w:rPr>
          <w:rFonts w:cs="Times New Roman"/>
          <w:sz w:val="20"/>
          <w:szCs w:val="20"/>
        </w:rPr>
        <w:t>)</w:t>
      </w:r>
      <w:r w:rsidRPr="006D63A9">
        <w:rPr>
          <w:rFonts w:cs="Times New Roman"/>
          <w:iCs/>
          <w:sz w:val="20"/>
          <w:szCs w:val="20"/>
          <w:lang w:eastAsia="sk-SK"/>
        </w:rPr>
        <w:t> </w:t>
      </w:r>
      <w:r w:rsidRPr="006D63A9">
        <w:rPr>
          <w:rFonts w:cs="Times New Roman"/>
          <w:sz w:val="20"/>
          <w:szCs w:val="20"/>
          <w:lang w:eastAsia="sk-SK"/>
        </w:rPr>
        <w:t>§ 20 ods. 6 zákona č. 431/2002 Z. z. o účtovníctve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017"/>
    <w:multiLevelType w:val="hybridMultilevel"/>
    <w:tmpl w:val="CD6C5834"/>
    <w:lvl w:ilvl="0" w:tplc="D8B056B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83064D"/>
    <w:multiLevelType w:val="hybridMultilevel"/>
    <w:tmpl w:val="C2EA1D08"/>
    <w:lvl w:ilvl="0" w:tplc="42D693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14183"/>
    <w:multiLevelType w:val="hybridMultilevel"/>
    <w:tmpl w:val="F754DE38"/>
    <w:lvl w:ilvl="0" w:tplc="1D6882B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56318C"/>
    <w:multiLevelType w:val="hybridMultilevel"/>
    <w:tmpl w:val="8F1A7182"/>
    <w:lvl w:ilvl="0" w:tplc="7FB6FC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3558D23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42F77"/>
    <w:multiLevelType w:val="hybridMultilevel"/>
    <w:tmpl w:val="3F6C894A"/>
    <w:lvl w:ilvl="0" w:tplc="40B84C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FD01AF"/>
    <w:multiLevelType w:val="hybridMultilevel"/>
    <w:tmpl w:val="9D5C6602"/>
    <w:lvl w:ilvl="0" w:tplc="1D688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EFC"/>
    <w:multiLevelType w:val="hybridMultilevel"/>
    <w:tmpl w:val="8034EDC8"/>
    <w:lvl w:ilvl="0" w:tplc="1E7E22E2">
      <w:start w:val="1"/>
      <w:numFmt w:val="decimal"/>
      <w:lvlText w:val="%1."/>
      <w:lvlJc w:val="left"/>
      <w:pPr>
        <w:ind w:left="783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3" w:hanging="360"/>
      </w:pPr>
    </w:lvl>
    <w:lvl w:ilvl="2" w:tplc="041B001B" w:tentative="1">
      <w:start w:val="1"/>
      <w:numFmt w:val="lowerRoman"/>
      <w:lvlText w:val="%3."/>
      <w:lvlJc w:val="right"/>
      <w:pPr>
        <w:ind w:left="2223" w:hanging="180"/>
      </w:pPr>
    </w:lvl>
    <w:lvl w:ilvl="3" w:tplc="041B000F" w:tentative="1">
      <w:start w:val="1"/>
      <w:numFmt w:val="decimal"/>
      <w:lvlText w:val="%4."/>
      <w:lvlJc w:val="left"/>
      <w:pPr>
        <w:ind w:left="2943" w:hanging="360"/>
      </w:pPr>
    </w:lvl>
    <w:lvl w:ilvl="4" w:tplc="041B0019" w:tentative="1">
      <w:start w:val="1"/>
      <w:numFmt w:val="lowerLetter"/>
      <w:lvlText w:val="%5."/>
      <w:lvlJc w:val="left"/>
      <w:pPr>
        <w:ind w:left="3663" w:hanging="360"/>
      </w:pPr>
    </w:lvl>
    <w:lvl w:ilvl="5" w:tplc="041B001B" w:tentative="1">
      <w:start w:val="1"/>
      <w:numFmt w:val="lowerRoman"/>
      <w:lvlText w:val="%6."/>
      <w:lvlJc w:val="right"/>
      <w:pPr>
        <w:ind w:left="4383" w:hanging="180"/>
      </w:pPr>
    </w:lvl>
    <w:lvl w:ilvl="6" w:tplc="041B000F" w:tentative="1">
      <w:start w:val="1"/>
      <w:numFmt w:val="decimal"/>
      <w:lvlText w:val="%7."/>
      <w:lvlJc w:val="left"/>
      <w:pPr>
        <w:ind w:left="5103" w:hanging="360"/>
      </w:pPr>
    </w:lvl>
    <w:lvl w:ilvl="7" w:tplc="041B0019" w:tentative="1">
      <w:start w:val="1"/>
      <w:numFmt w:val="lowerLetter"/>
      <w:lvlText w:val="%8."/>
      <w:lvlJc w:val="left"/>
      <w:pPr>
        <w:ind w:left="5823" w:hanging="360"/>
      </w:pPr>
    </w:lvl>
    <w:lvl w:ilvl="8" w:tplc="041B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269851B2"/>
    <w:multiLevelType w:val="hybridMultilevel"/>
    <w:tmpl w:val="8B5CEC80"/>
    <w:lvl w:ilvl="0" w:tplc="BD1EB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45331"/>
    <w:multiLevelType w:val="hybridMultilevel"/>
    <w:tmpl w:val="182486FC"/>
    <w:lvl w:ilvl="0" w:tplc="DB480C06">
      <w:start w:val="1"/>
      <w:numFmt w:val="lowerLetter"/>
      <w:lvlText w:val="%1)"/>
      <w:lvlJc w:val="left"/>
      <w:pPr>
        <w:ind w:left="1212" w:hanging="360"/>
      </w:pPr>
      <w:rPr>
        <w:rFonts w:ascii="Times New Roman" w:eastAsiaTheme="minorHAnsi" w:hAnsi="Times New Roman" w:cs="Times New Roman"/>
      </w:rPr>
    </w:lvl>
    <w:lvl w:ilvl="1" w:tplc="74A43B5E">
      <w:start w:val="1"/>
      <w:numFmt w:val="lowerLetter"/>
      <w:lvlText w:val="%2)"/>
      <w:lvlJc w:val="left"/>
      <w:pPr>
        <w:ind w:left="1944" w:hanging="372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52" w:hanging="180"/>
      </w:pPr>
    </w:lvl>
    <w:lvl w:ilvl="3" w:tplc="041B000F" w:tentative="1">
      <w:start w:val="1"/>
      <w:numFmt w:val="decimal"/>
      <w:lvlText w:val="%4."/>
      <w:lvlJc w:val="left"/>
      <w:pPr>
        <w:ind w:left="3372" w:hanging="360"/>
      </w:pPr>
    </w:lvl>
    <w:lvl w:ilvl="4" w:tplc="041B0019" w:tentative="1">
      <w:start w:val="1"/>
      <w:numFmt w:val="lowerLetter"/>
      <w:lvlText w:val="%5."/>
      <w:lvlJc w:val="left"/>
      <w:pPr>
        <w:ind w:left="4092" w:hanging="360"/>
      </w:pPr>
    </w:lvl>
    <w:lvl w:ilvl="5" w:tplc="041B001B" w:tentative="1">
      <w:start w:val="1"/>
      <w:numFmt w:val="lowerRoman"/>
      <w:lvlText w:val="%6."/>
      <w:lvlJc w:val="right"/>
      <w:pPr>
        <w:ind w:left="4812" w:hanging="180"/>
      </w:pPr>
    </w:lvl>
    <w:lvl w:ilvl="6" w:tplc="041B000F" w:tentative="1">
      <w:start w:val="1"/>
      <w:numFmt w:val="decimal"/>
      <w:lvlText w:val="%7."/>
      <w:lvlJc w:val="left"/>
      <w:pPr>
        <w:ind w:left="5532" w:hanging="360"/>
      </w:pPr>
    </w:lvl>
    <w:lvl w:ilvl="7" w:tplc="041B0019" w:tentative="1">
      <w:start w:val="1"/>
      <w:numFmt w:val="lowerLetter"/>
      <w:lvlText w:val="%8."/>
      <w:lvlJc w:val="left"/>
      <w:pPr>
        <w:ind w:left="6252" w:hanging="360"/>
      </w:pPr>
    </w:lvl>
    <w:lvl w:ilvl="8" w:tplc="041B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2B3B2B53"/>
    <w:multiLevelType w:val="hybridMultilevel"/>
    <w:tmpl w:val="8A16EBE0"/>
    <w:lvl w:ilvl="0" w:tplc="B2E8FB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5A249A"/>
    <w:multiLevelType w:val="hybridMultilevel"/>
    <w:tmpl w:val="ADE017AA"/>
    <w:lvl w:ilvl="0" w:tplc="57129F8E">
      <w:start w:val="1"/>
      <w:numFmt w:val="decimal"/>
      <w:lvlText w:val="(%1)"/>
      <w:lvlJc w:val="left"/>
      <w:pPr>
        <w:ind w:left="40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28" w:hanging="360"/>
      </w:pPr>
    </w:lvl>
    <w:lvl w:ilvl="2" w:tplc="041B001B" w:tentative="1">
      <w:start w:val="1"/>
      <w:numFmt w:val="lowerRoman"/>
      <w:lvlText w:val="%3."/>
      <w:lvlJc w:val="right"/>
      <w:pPr>
        <w:ind w:left="1848" w:hanging="180"/>
      </w:pPr>
    </w:lvl>
    <w:lvl w:ilvl="3" w:tplc="041B000F" w:tentative="1">
      <w:start w:val="1"/>
      <w:numFmt w:val="decimal"/>
      <w:lvlText w:val="%4."/>
      <w:lvlJc w:val="left"/>
      <w:pPr>
        <w:ind w:left="2568" w:hanging="360"/>
      </w:pPr>
    </w:lvl>
    <w:lvl w:ilvl="4" w:tplc="041B0019" w:tentative="1">
      <w:start w:val="1"/>
      <w:numFmt w:val="lowerLetter"/>
      <w:lvlText w:val="%5."/>
      <w:lvlJc w:val="left"/>
      <w:pPr>
        <w:ind w:left="3288" w:hanging="360"/>
      </w:pPr>
    </w:lvl>
    <w:lvl w:ilvl="5" w:tplc="041B001B" w:tentative="1">
      <w:start w:val="1"/>
      <w:numFmt w:val="lowerRoman"/>
      <w:lvlText w:val="%6."/>
      <w:lvlJc w:val="right"/>
      <w:pPr>
        <w:ind w:left="4008" w:hanging="180"/>
      </w:pPr>
    </w:lvl>
    <w:lvl w:ilvl="6" w:tplc="041B000F" w:tentative="1">
      <w:start w:val="1"/>
      <w:numFmt w:val="decimal"/>
      <w:lvlText w:val="%7."/>
      <w:lvlJc w:val="left"/>
      <w:pPr>
        <w:ind w:left="4728" w:hanging="360"/>
      </w:pPr>
    </w:lvl>
    <w:lvl w:ilvl="7" w:tplc="041B0019" w:tentative="1">
      <w:start w:val="1"/>
      <w:numFmt w:val="lowerLetter"/>
      <w:lvlText w:val="%8."/>
      <w:lvlJc w:val="left"/>
      <w:pPr>
        <w:ind w:left="5448" w:hanging="360"/>
      </w:pPr>
    </w:lvl>
    <w:lvl w:ilvl="8" w:tplc="041B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5564262A"/>
    <w:multiLevelType w:val="hybridMultilevel"/>
    <w:tmpl w:val="2B941118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91143"/>
    <w:multiLevelType w:val="hybridMultilevel"/>
    <w:tmpl w:val="C9C882A6"/>
    <w:lvl w:ilvl="0" w:tplc="66E00F9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5F27F2"/>
    <w:multiLevelType w:val="hybridMultilevel"/>
    <w:tmpl w:val="9AB204AC"/>
    <w:lvl w:ilvl="0" w:tplc="24A890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C375B"/>
    <w:multiLevelType w:val="hybridMultilevel"/>
    <w:tmpl w:val="D07A92F6"/>
    <w:lvl w:ilvl="0" w:tplc="CB644844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8B5"/>
    <w:multiLevelType w:val="hybridMultilevel"/>
    <w:tmpl w:val="6A38851E"/>
    <w:lvl w:ilvl="0" w:tplc="270679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226867"/>
    <w:multiLevelType w:val="hybridMultilevel"/>
    <w:tmpl w:val="5790C474"/>
    <w:lvl w:ilvl="0" w:tplc="E8A6E2D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6045774"/>
    <w:multiLevelType w:val="hybridMultilevel"/>
    <w:tmpl w:val="7D28D4AA"/>
    <w:lvl w:ilvl="0" w:tplc="1D6882B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69F0645"/>
    <w:multiLevelType w:val="hybridMultilevel"/>
    <w:tmpl w:val="762CF79E"/>
    <w:lvl w:ilvl="0" w:tplc="42D693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86A9A"/>
    <w:multiLevelType w:val="hybridMultilevel"/>
    <w:tmpl w:val="295C00AE"/>
    <w:lvl w:ilvl="0" w:tplc="92E6EE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554A71"/>
    <w:multiLevelType w:val="hybridMultilevel"/>
    <w:tmpl w:val="6A38851E"/>
    <w:lvl w:ilvl="0" w:tplc="270679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770856"/>
    <w:multiLevelType w:val="hybridMultilevel"/>
    <w:tmpl w:val="D1E6E000"/>
    <w:lvl w:ilvl="0" w:tplc="42D693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7"/>
  </w:num>
  <w:num w:numId="4">
    <w:abstractNumId w:val="5"/>
  </w:num>
  <w:num w:numId="5">
    <w:abstractNumId w:val="2"/>
  </w:num>
  <w:num w:numId="6">
    <w:abstractNumId w:val="10"/>
  </w:num>
  <w:num w:numId="7">
    <w:abstractNumId w:val="16"/>
  </w:num>
  <w:num w:numId="8">
    <w:abstractNumId w:val="6"/>
  </w:num>
  <w:num w:numId="9">
    <w:abstractNumId w:val="13"/>
  </w:num>
  <w:num w:numId="10">
    <w:abstractNumId w:val="7"/>
  </w:num>
  <w:num w:numId="11">
    <w:abstractNumId w:val="15"/>
  </w:num>
  <w:num w:numId="12">
    <w:abstractNumId w:val="19"/>
  </w:num>
  <w:num w:numId="13">
    <w:abstractNumId w:val="4"/>
  </w:num>
  <w:num w:numId="14">
    <w:abstractNumId w:val="9"/>
  </w:num>
  <w:num w:numId="15">
    <w:abstractNumId w:val="12"/>
  </w:num>
  <w:num w:numId="16">
    <w:abstractNumId w:val="18"/>
  </w:num>
  <w:num w:numId="17">
    <w:abstractNumId w:val="21"/>
  </w:num>
  <w:num w:numId="18">
    <w:abstractNumId w:val="1"/>
  </w:num>
  <w:num w:numId="19">
    <w:abstractNumId w:val="20"/>
  </w:num>
  <w:num w:numId="20">
    <w:abstractNumId w:val="8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40"/>
    <w:rsid w:val="00020EA2"/>
    <w:rsid w:val="0002402F"/>
    <w:rsid w:val="000242F8"/>
    <w:rsid w:val="00026EFA"/>
    <w:rsid w:val="00027BAE"/>
    <w:rsid w:val="00113FCE"/>
    <w:rsid w:val="0012514A"/>
    <w:rsid w:val="001749FC"/>
    <w:rsid w:val="001A3D48"/>
    <w:rsid w:val="002436F0"/>
    <w:rsid w:val="0024598C"/>
    <w:rsid w:val="00292D8D"/>
    <w:rsid w:val="00315189"/>
    <w:rsid w:val="003505B1"/>
    <w:rsid w:val="00373323"/>
    <w:rsid w:val="00384FCC"/>
    <w:rsid w:val="003A5A31"/>
    <w:rsid w:val="003B18D7"/>
    <w:rsid w:val="003C3F1F"/>
    <w:rsid w:val="003D67A0"/>
    <w:rsid w:val="004001B0"/>
    <w:rsid w:val="004067B7"/>
    <w:rsid w:val="00447CAD"/>
    <w:rsid w:val="00492298"/>
    <w:rsid w:val="004A49AE"/>
    <w:rsid w:val="00507BF0"/>
    <w:rsid w:val="00527A3E"/>
    <w:rsid w:val="00552802"/>
    <w:rsid w:val="006A1C76"/>
    <w:rsid w:val="007A3450"/>
    <w:rsid w:val="007A7F22"/>
    <w:rsid w:val="007B179C"/>
    <w:rsid w:val="007C4749"/>
    <w:rsid w:val="007D4558"/>
    <w:rsid w:val="00830342"/>
    <w:rsid w:val="00840953"/>
    <w:rsid w:val="008746AF"/>
    <w:rsid w:val="008A1F77"/>
    <w:rsid w:val="009459BE"/>
    <w:rsid w:val="00967D5F"/>
    <w:rsid w:val="0098217B"/>
    <w:rsid w:val="009B7765"/>
    <w:rsid w:val="009F7070"/>
    <w:rsid w:val="00A62389"/>
    <w:rsid w:val="00A854E4"/>
    <w:rsid w:val="00AE3CFB"/>
    <w:rsid w:val="00B67DC4"/>
    <w:rsid w:val="00BB38AD"/>
    <w:rsid w:val="00BC6EA7"/>
    <w:rsid w:val="00C20C10"/>
    <w:rsid w:val="00C218BD"/>
    <w:rsid w:val="00C45493"/>
    <w:rsid w:val="00C55DF7"/>
    <w:rsid w:val="00C75570"/>
    <w:rsid w:val="00CF23FD"/>
    <w:rsid w:val="00D1494B"/>
    <w:rsid w:val="00D93C9D"/>
    <w:rsid w:val="00DB3660"/>
    <w:rsid w:val="00E06328"/>
    <w:rsid w:val="00E776F0"/>
    <w:rsid w:val="00E80D30"/>
    <w:rsid w:val="00E93897"/>
    <w:rsid w:val="00EF405F"/>
    <w:rsid w:val="00F06940"/>
    <w:rsid w:val="00F5569F"/>
    <w:rsid w:val="00F73EAE"/>
    <w:rsid w:val="00F81E1D"/>
    <w:rsid w:val="00FE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1179"/>
  <w15:docId w15:val="{06A0EFCE-DC9F-4685-AA49-FA04E827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6EA7"/>
    <w:pPr>
      <w:ind w:firstLine="0"/>
      <w:jc w:val="left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List Paragraph1"/>
    <w:basedOn w:val="Normlny"/>
    <w:link w:val="OdsekzoznamuChar"/>
    <w:uiPriority w:val="34"/>
    <w:qFormat/>
    <w:rsid w:val="00BC6EA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Pta">
    <w:name w:val="footer"/>
    <w:basedOn w:val="Normlny"/>
    <w:link w:val="PtaChar"/>
    <w:uiPriority w:val="99"/>
    <w:unhideWhenUsed/>
    <w:rsid w:val="00BC6E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6EA7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7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179C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semiHidden/>
    <w:unhideWhenUsed/>
    <w:rsid w:val="000242F8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0242F8"/>
    <w:rPr>
      <w:rFonts w:eastAsia="Calibri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List Paragraph Char,List Paragraph1 Char"/>
    <w:link w:val="Odsekzoznamu"/>
    <w:uiPriority w:val="34"/>
    <w:qFormat/>
    <w:locked/>
    <w:rsid w:val="000242F8"/>
    <w:rPr>
      <w:rFonts w:ascii="Calibri" w:eastAsia="Times New Roman" w:hAnsi="Calibri" w:cs="Times New Roman"/>
    </w:rPr>
  </w:style>
  <w:style w:type="paragraph" w:customStyle="1" w:styleId="Standard">
    <w:name w:val="Standard"/>
    <w:rsid w:val="008A1F77"/>
    <w:pPr>
      <w:suppressAutoHyphens/>
      <w:autoSpaceDN w:val="0"/>
      <w:spacing w:after="160" w:line="256" w:lineRule="auto"/>
      <w:ind w:firstLine="0"/>
      <w:jc w:val="left"/>
      <w:textAlignment w:val="baseline"/>
    </w:pPr>
    <w:rPr>
      <w:rFonts w:ascii="Calibri" w:eastAsia="Calibri" w:hAnsi="Calibri" w:cs="Tahom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A1F77"/>
    <w:rPr>
      <w:rFonts w:asciiTheme="minorHAnsi" w:hAnsiTheme="minorHAns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A1F7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A1F77"/>
    <w:rPr>
      <w:vertAlign w:val="superscript"/>
    </w:rPr>
  </w:style>
  <w:style w:type="paragraph" w:styleId="Textkomentra">
    <w:name w:val="annotation text"/>
    <w:basedOn w:val="Normlny"/>
    <w:link w:val="TextkomentraChar"/>
    <w:uiPriority w:val="99"/>
    <w:unhideWhenUsed/>
    <w:rsid w:val="008A1F77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A1F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83B34-FCFF-4077-BB8E-1B5CC2C5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1579</Words>
  <Characters>9004</Characters>
  <Application>Microsoft Office Word</Application>
  <DocSecurity>0</DocSecurity>
  <Lines>75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ŠIMKOVIČ Milan</dc:creator>
  <cp:lastModifiedBy>LANÁKOVÁ Viera</cp:lastModifiedBy>
  <cp:revision>6</cp:revision>
  <cp:lastPrinted>2022-05-26T10:27:00Z</cp:lastPrinted>
  <dcterms:created xsi:type="dcterms:W3CDTF">2024-08-13T08:56:00Z</dcterms:created>
  <dcterms:modified xsi:type="dcterms:W3CDTF">2024-08-21T10:15:00Z</dcterms:modified>
</cp:coreProperties>
</file>