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77777777" w:rsidR="00054C41" w:rsidRPr="00895898" w:rsidRDefault="00054C41" w:rsidP="00054C41">
      <w:pPr>
        <w:jc w:val="center"/>
        <w:rPr>
          <w:rFonts w:ascii="Times New Roman" w:eastAsia="Calibri" w:hAnsi="Times New Roman" w:cs="Times New Roman"/>
          <w:b/>
          <w:sz w:val="28"/>
          <w:szCs w:val="28"/>
        </w:rPr>
      </w:pPr>
      <w:bookmarkStart w:id="0" w:name="_GoBack"/>
      <w:bookmarkEnd w:id="0"/>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049A956E" w14:textId="3B923BC3" w:rsidR="00470570" w:rsidRPr="005513EC" w:rsidRDefault="00054C41" w:rsidP="00470570">
      <w:pPr>
        <w:rPr>
          <w:rFonts w:ascii="Times New Roman" w:eastAsia="Times New Roman" w:hAnsi="Times New Roman" w:cs="Times New Roman"/>
          <w:szCs w:val="20"/>
          <w:lang w:eastAsia="sk-SK"/>
        </w:rPr>
      </w:pPr>
      <w:r w:rsidRPr="001F1B43">
        <w:rPr>
          <w:rFonts w:ascii="Times New Roman" w:eastAsia="Calibri" w:hAnsi="Times New Roman" w:cs="Times New Roman"/>
          <w:b/>
          <w:sz w:val="24"/>
          <w:szCs w:val="24"/>
        </w:rPr>
        <w:t>Názov materiálu:</w:t>
      </w:r>
      <w:r w:rsidR="00470570">
        <w:rPr>
          <w:rFonts w:ascii="Times New Roman" w:eastAsia="Calibri" w:hAnsi="Times New Roman" w:cs="Times New Roman"/>
          <w:b/>
          <w:sz w:val="24"/>
          <w:szCs w:val="24"/>
        </w:rPr>
        <w:t xml:space="preserve"> </w:t>
      </w:r>
      <w:r w:rsidR="00470570" w:rsidRPr="005513EC">
        <w:rPr>
          <w:rFonts w:ascii="Times New Roman" w:eastAsia="Times New Roman" w:hAnsi="Times New Roman" w:cs="Times New Roman"/>
          <w:szCs w:val="20"/>
          <w:lang w:eastAsia="sk-SK"/>
        </w:rPr>
        <w:t>Poslanecký návrh zákona, ktorým sa mení a dopĺňa zákon č. 461/2003 Z. z. o sociálnom poistení v znení neskorších predpisov</w:t>
      </w:r>
      <w:r w:rsidR="00890704">
        <w:rPr>
          <w:rFonts w:ascii="Times New Roman" w:eastAsia="Times New Roman" w:hAnsi="Times New Roman" w:cs="Times New Roman"/>
          <w:szCs w:val="20"/>
          <w:lang w:eastAsia="sk-SK"/>
        </w:rPr>
        <w:t xml:space="preserve"> a ktorým sa menia niektoré zákony</w:t>
      </w:r>
      <w:r w:rsidR="00470570" w:rsidRPr="005513EC">
        <w:rPr>
          <w:rFonts w:ascii="Times New Roman" w:eastAsia="Times New Roman" w:hAnsi="Times New Roman" w:cs="Times New Roman"/>
          <w:szCs w:val="20"/>
          <w:lang w:eastAsia="sk-SK"/>
        </w:rPr>
        <w:t>.</w:t>
      </w:r>
    </w:p>
    <w:p w14:paraId="22516163" w14:textId="69BA9CCF" w:rsidR="00054C41" w:rsidRPr="001F1B43" w:rsidRDefault="00054C41" w:rsidP="00054C41">
      <w:pPr>
        <w:jc w:val="both"/>
        <w:rPr>
          <w:rFonts w:ascii="Times New Roman" w:eastAsia="Calibri" w:hAnsi="Times New Roman" w:cs="Times New Roman"/>
          <w:b/>
          <w:sz w:val="24"/>
          <w:szCs w:val="24"/>
        </w:rPr>
      </w:pPr>
    </w:p>
    <w:p w14:paraId="2711DC2C" w14:textId="7572F91A"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470570">
        <w:rPr>
          <w:rFonts w:ascii="Times New Roman" w:eastAsia="Calibri" w:hAnsi="Times New Roman" w:cs="Times New Roman"/>
          <w:b/>
          <w:sz w:val="24"/>
          <w:szCs w:val="24"/>
        </w:rPr>
        <w:t xml:space="preserve"> </w:t>
      </w:r>
      <w:r w:rsidR="00074898" w:rsidRPr="00074898">
        <w:rPr>
          <w:rFonts w:ascii="Times New Roman" w:eastAsia="Calibri" w:hAnsi="Times New Roman" w:cs="Times New Roman"/>
          <w:sz w:val="24"/>
          <w:szCs w:val="24"/>
        </w:rPr>
        <w:t>Ľubica Laššáková</w:t>
      </w:r>
      <w:r w:rsidR="00470570">
        <w:rPr>
          <w:rFonts w:ascii="Times New Roman" w:eastAsia="Calibri" w:hAnsi="Times New Roman" w:cs="Times New Roman"/>
          <w:b/>
          <w:sz w:val="24"/>
          <w:szCs w:val="24"/>
        </w:rPr>
        <w:t xml:space="preserve"> </w:t>
      </w:r>
    </w:p>
    <w:p w14:paraId="73384937" w14:textId="77777777" w:rsidR="00054C41" w:rsidRPr="001F1B43" w:rsidRDefault="00054C41" w:rsidP="00054C41">
      <w:pPr>
        <w:jc w:val="both"/>
        <w:rPr>
          <w:rFonts w:ascii="Times New Roman" w:eastAsia="Calibri" w:hAnsi="Times New Roman" w:cs="Times New Roman"/>
          <w:b/>
          <w:sz w:val="24"/>
          <w:szCs w:val="24"/>
        </w:rPr>
      </w:pP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r w:rsidR="00C929AE" w:rsidRPr="00804BC8">
        <w:rPr>
          <w:rFonts w:ascii="Times New Roman" w:eastAsia="Calibri" w:hAnsi="Times New Roman" w:cs="Times New Roman"/>
          <w:i/>
          <w:sz w:val="24"/>
          <w:szCs w:val="24"/>
        </w:rPr>
        <w:t>goldplatingu</w:t>
      </w:r>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0C4E1024" w14:textId="375500FA" w:rsidR="00054C41" w:rsidRDefault="00054C41" w:rsidP="00054C41">
      <w:pPr>
        <w:rPr>
          <w:rFonts w:ascii="Times New Roman" w:eastAsia="Calibri" w:hAnsi="Times New Roman" w:cs="Times New Roman"/>
          <w:b/>
          <w:sz w:val="24"/>
          <w:szCs w:val="24"/>
        </w:rPr>
      </w:pPr>
    </w:p>
    <w:tbl>
      <w:tblPr>
        <w:tblW w:w="8300" w:type="dxa"/>
        <w:tblCellMar>
          <w:left w:w="70" w:type="dxa"/>
          <w:right w:w="70" w:type="dxa"/>
        </w:tblCellMar>
        <w:tblLook w:val="04A0" w:firstRow="1" w:lastRow="0" w:firstColumn="1" w:lastColumn="0" w:noHBand="0" w:noVBand="1"/>
      </w:tblPr>
      <w:tblGrid>
        <w:gridCol w:w="4540"/>
        <w:gridCol w:w="1880"/>
        <w:gridCol w:w="1880"/>
      </w:tblGrid>
      <w:tr w:rsidR="0043770F" w:rsidRPr="0043770F" w14:paraId="69951D0E" w14:textId="77777777" w:rsidTr="0043770F">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9C354CD" w14:textId="77777777" w:rsidR="0043770F" w:rsidRPr="0043770F" w:rsidRDefault="0043770F" w:rsidP="0043770F">
            <w:pPr>
              <w:spacing w:after="0" w:line="240" w:lineRule="auto"/>
              <w:jc w:val="center"/>
              <w:rPr>
                <w:rFonts w:ascii="Times New Roman" w:eastAsia="Times New Roman" w:hAnsi="Times New Roman" w:cs="Times New Roman"/>
                <w:b/>
                <w:bCs/>
                <w:i/>
                <w:iCs/>
                <w:color w:val="000000"/>
                <w:sz w:val="20"/>
                <w:szCs w:val="20"/>
                <w:lang w:eastAsia="sk-SK"/>
              </w:rPr>
            </w:pPr>
            <w:r w:rsidRPr="0043770F">
              <w:rPr>
                <w:rFonts w:ascii="Times New Roman" w:eastAsia="Times New Roman" w:hAnsi="Times New Roman" w:cs="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45990E85"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1BCEDA30"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Zníženie nákladov v € na PP</w:t>
            </w:r>
          </w:p>
        </w:tc>
      </w:tr>
      <w:tr w:rsidR="0043770F" w:rsidRPr="0043770F" w14:paraId="310925FF" w14:textId="77777777" w:rsidTr="0043770F">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18889614" w14:textId="77777777" w:rsidR="0043770F" w:rsidRPr="0043770F" w:rsidRDefault="0043770F" w:rsidP="0043770F">
            <w:pPr>
              <w:spacing w:after="0" w:line="240" w:lineRule="auto"/>
              <w:rPr>
                <w:rFonts w:ascii="Times New Roman" w:eastAsia="Times New Roman" w:hAnsi="Times New Roman" w:cs="Times New Roman"/>
                <w:b/>
                <w:bCs/>
                <w:i/>
                <w:iCs/>
                <w:color w:val="000000"/>
                <w:sz w:val="20"/>
                <w:szCs w:val="20"/>
                <w:lang w:eastAsia="sk-SK"/>
              </w:rPr>
            </w:pPr>
            <w:r w:rsidRPr="0043770F">
              <w:rPr>
                <w:rFonts w:ascii="Times New Roman" w:eastAsia="Times New Roman" w:hAnsi="Times New Roman" w:cs="Times New Roman"/>
                <w:b/>
                <w:bCs/>
                <w:i/>
                <w:iCs/>
                <w:color w:val="000000"/>
                <w:sz w:val="20"/>
                <w:szCs w:val="20"/>
                <w:lang w:eastAsia="sk-SK"/>
              </w:rPr>
              <w:t>A.Dane, odvody, clá a poplatky, ktorých cieľom je znižovať negatívne externality</w:t>
            </w:r>
          </w:p>
        </w:tc>
        <w:tc>
          <w:tcPr>
            <w:tcW w:w="1880" w:type="dxa"/>
            <w:tcBorders>
              <w:top w:val="nil"/>
              <w:left w:val="nil"/>
              <w:bottom w:val="single" w:sz="4" w:space="0" w:color="auto"/>
              <w:right w:val="single" w:sz="4" w:space="0" w:color="auto"/>
            </w:tcBorders>
            <w:shd w:val="clear" w:color="000000" w:fill="FFC000"/>
            <w:vAlign w:val="center"/>
            <w:hideMark/>
          </w:tcPr>
          <w:p w14:paraId="4AF237A2"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494D2ECC"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r>
      <w:tr w:rsidR="0043770F" w:rsidRPr="0043770F" w14:paraId="3B3F3903" w14:textId="77777777" w:rsidTr="0043770F">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470371F7" w14:textId="77777777" w:rsidR="0043770F" w:rsidRPr="0043770F" w:rsidRDefault="0043770F" w:rsidP="0043770F">
            <w:pPr>
              <w:spacing w:after="0" w:line="240" w:lineRule="auto"/>
              <w:rPr>
                <w:rFonts w:ascii="Times New Roman" w:eastAsia="Times New Roman" w:hAnsi="Times New Roman" w:cs="Times New Roman"/>
                <w:b/>
                <w:bCs/>
                <w:i/>
                <w:iCs/>
                <w:color w:val="000000"/>
                <w:sz w:val="20"/>
                <w:szCs w:val="20"/>
                <w:lang w:eastAsia="sk-SK"/>
              </w:rPr>
            </w:pPr>
            <w:r w:rsidRPr="0043770F">
              <w:rPr>
                <w:rFonts w:ascii="Times New Roman" w:eastAsia="Times New Roman" w:hAnsi="Times New Roman" w:cs="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6A37F1C3"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7F42A84B"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r>
      <w:tr w:rsidR="0043770F" w:rsidRPr="0043770F" w14:paraId="5ACDEF88" w14:textId="77777777" w:rsidTr="0043770F">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037AF3FF" w14:textId="77777777" w:rsidR="0043770F" w:rsidRPr="0043770F" w:rsidRDefault="0043770F" w:rsidP="0043770F">
            <w:pPr>
              <w:spacing w:after="0" w:line="240" w:lineRule="auto"/>
              <w:rPr>
                <w:rFonts w:ascii="Times New Roman" w:eastAsia="Times New Roman" w:hAnsi="Times New Roman" w:cs="Times New Roman"/>
                <w:b/>
                <w:bCs/>
                <w:i/>
                <w:iCs/>
                <w:color w:val="000000"/>
                <w:sz w:val="20"/>
                <w:szCs w:val="20"/>
                <w:lang w:eastAsia="sk-SK"/>
              </w:rPr>
            </w:pPr>
            <w:r w:rsidRPr="0043770F">
              <w:rPr>
                <w:rFonts w:ascii="Times New Roman" w:eastAsia="Times New Roman" w:hAnsi="Times New Roman" w:cs="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1EEF3131"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593ED714"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r>
      <w:tr w:rsidR="0043770F" w:rsidRPr="0043770F" w14:paraId="243C243C" w14:textId="77777777" w:rsidTr="0043770F">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296B295F" w14:textId="77777777" w:rsidR="0043770F" w:rsidRPr="0043770F" w:rsidRDefault="0043770F" w:rsidP="0043770F">
            <w:pPr>
              <w:spacing w:after="0" w:line="240" w:lineRule="auto"/>
              <w:rPr>
                <w:rFonts w:ascii="Times New Roman" w:eastAsia="Times New Roman" w:hAnsi="Times New Roman" w:cs="Times New Roman"/>
                <w:b/>
                <w:bCs/>
                <w:i/>
                <w:iCs/>
                <w:color w:val="000000"/>
                <w:sz w:val="20"/>
                <w:szCs w:val="20"/>
                <w:lang w:eastAsia="sk-SK"/>
              </w:rPr>
            </w:pPr>
            <w:r w:rsidRPr="0043770F">
              <w:rPr>
                <w:rFonts w:ascii="Times New Roman" w:eastAsia="Times New Roman" w:hAnsi="Times New Roman" w:cs="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0F1EE9BF"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2FF9FBC3"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r>
      <w:tr w:rsidR="0043770F" w:rsidRPr="0043770F" w14:paraId="23C84FBD" w14:textId="77777777" w:rsidTr="0043770F">
        <w:trPr>
          <w:trHeight w:val="300"/>
        </w:trPr>
        <w:tc>
          <w:tcPr>
            <w:tcW w:w="4540" w:type="dxa"/>
            <w:tcBorders>
              <w:top w:val="nil"/>
              <w:left w:val="single" w:sz="8" w:space="0" w:color="auto"/>
              <w:bottom w:val="nil"/>
              <w:right w:val="single" w:sz="4" w:space="0" w:color="auto"/>
            </w:tcBorders>
            <w:shd w:val="clear" w:color="auto" w:fill="auto"/>
            <w:vAlign w:val="center"/>
            <w:hideMark/>
          </w:tcPr>
          <w:p w14:paraId="3246D4B6" w14:textId="77777777" w:rsidR="0043770F" w:rsidRPr="0043770F" w:rsidRDefault="0043770F" w:rsidP="0043770F">
            <w:pPr>
              <w:spacing w:after="0" w:line="240" w:lineRule="auto"/>
              <w:rPr>
                <w:rFonts w:ascii="Times New Roman" w:eastAsia="Times New Roman" w:hAnsi="Times New Roman" w:cs="Times New Roman"/>
                <w:b/>
                <w:bCs/>
                <w:i/>
                <w:iCs/>
                <w:color w:val="000000"/>
                <w:sz w:val="20"/>
                <w:szCs w:val="20"/>
                <w:lang w:eastAsia="sk-SK"/>
              </w:rPr>
            </w:pPr>
            <w:r w:rsidRPr="0043770F">
              <w:rPr>
                <w:rFonts w:ascii="Times New Roman" w:eastAsia="Times New Roman" w:hAnsi="Times New Roman" w:cs="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14:paraId="625B0575"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2 227 625</w:t>
            </w:r>
          </w:p>
        </w:tc>
        <w:tc>
          <w:tcPr>
            <w:tcW w:w="1880" w:type="dxa"/>
            <w:tcBorders>
              <w:top w:val="nil"/>
              <w:left w:val="nil"/>
              <w:bottom w:val="nil"/>
              <w:right w:val="single" w:sz="8" w:space="0" w:color="auto"/>
            </w:tcBorders>
            <w:shd w:val="clear" w:color="000000" w:fill="92D050"/>
            <w:vAlign w:val="center"/>
            <w:hideMark/>
          </w:tcPr>
          <w:p w14:paraId="58ED544F"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4 638 450</w:t>
            </w:r>
          </w:p>
        </w:tc>
      </w:tr>
      <w:tr w:rsidR="0043770F" w:rsidRPr="0043770F" w14:paraId="103C1C63" w14:textId="77777777" w:rsidTr="0043770F">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6A7D4DC" w14:textId="77777777" w:rsidR="0043770F" w:rsidRPr="0043770F" w:rsidRDefault="0043770F" w:rsidP="0043770F">
            <w:pPr>
              <w:spacing w:after="0" w:line="240" w:lineRule="auto"/>
              <w:rPr>
                <w:rFonts w:ascii="Times New Roman" w:eastAsia="Times New Roman" w:hAnsi="Times New Roman" w:cs="Times New Roman"/>
                <w:b/>
                <w:bCs/>
                <w:i/>
                <w:iCs/>
                <w:color w:val="000000"/>
                <w:sz w:val="20"/>
                <w:szCs w:val="20"/>
                <w:lang w:eastAsia="sk-SK"/>
              </w:rPr>
            </w:pPr>
            <w:r w:rsidRPr="0043770F">
              <w:rPr>
                <w:rFonts w:ascii="Times New Roman" w:eastAsia="Times New Roman" w:hAnsi="Times New Roman" w:cs="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7F9DD588"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2 227 625</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6515CBE6"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4 638 450</w:t>
            </w:r>
          </w:p>
        </w:tc>
      </w:tr>
      <w:tr w:rsidR="0043770F" w:rsidRPr="0043770F" w14:paraId="679FCF10" w14:textId="77777777" w:rsidTr="0043770F">
        <w:trPr>
          <w:trHeight w:val="300"/>
        </w:trPr>
        <w:tc>
          <w:tcPr>
            <w:tcW w:w="4540" w:type="dxa"/>
            <w:tcBorders>
              <w:top w:val="nil"/>
              <w:left w:val="nil"/>
              <w:bottom w:val="nil"/>
              <w:right w:val="nil"/>
            </w:tcBorders>
            <w:shd w:val="clear" w:color="auto" w:fill="auto"/>
            <w:vAlign w:val="center"/>
            <w:hideMark/>
          </w:tcPr>
          <w:p w14:paraId="6D19AFAB"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0D752BAF" w14:textId="77777777" w:rsidR="0043770F" w:rsidRPr="0043770F" w:rsidRDefault="0043770F" w:rsidP="0043770F">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63199617" w14:textId="77777777" w:rsidR="0043770F" w:rsidRPr="0043770F" w:rsidRDefault="0043770F" w:rsidP="0043770F">
            <w:pPr>
              <w:spacing w:after="0" w:line="240" w:lineRule="auto"/>
              <w:rPr>
                <w:rFonts w:ascii="Times New Roman" w:eastAsia="Times New Roman" w:hAnsi="Times New Roman" w:cs="Times New Roman"/>
                <w:sz w:val="20"/>
                <w:szCs w:val="20"/>
                <w:lang w:eastAsia="sk-SK"/>
              </w:rPr>
            </w:pPr>
          </w:p>
        </w:tc>
      </w:tr>
      <w:tr w:rsidR="0043770F" w:rsidRPr="0043770F" w14:paraId="423EEE52" w14:textId="77777777" w:rsidTr="0043770F">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8D7896D" w14:textId="77777777" w:rsidR="0043770F" w:rsidRPr="0043770F" w:rsidRDefault="0043770F" w:rsidP="0043770F">
            <w:pPr>
              <w:spacing w:after="0" w:line="240" w:lineRule="auto"/>
              <w:rPr>
                <w:rFonts w:ascii="Times New Roman" w:eastAsia="Times New Roman" w:hAnsi="Times New Roman" w:cs="Times New Roman"/>
                <w:b/>
                <w:bCs/>
                <w:i/>
                <w:iCs/>
                <w:color w:val="000000"/>
                <w:sz w:val="20"/>
                <w:szCs w:val="20"/>
                <w:lang w:eastAsia="sk-SK"/>
              </w:rPr>
            </w:pPr>
            <w:r w:rsidRPr="0043770F">
              <w:rPr>
                <w:rFonts w:ascii="Times New Roman" w:eastAsia="Times New Roman" w:hAnsi="Times New Roman" w:cs="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7FC01B05"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07D99BE9"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Zníženie nákladov v € na PP</w:t>
            </w:r>
          </w:p>
        </w:tc>
      </w:tr>
      <w:tr w:rsidR="0043770F" w:rsidRPr="0043770F" w14:paraId="0C88EAEB" w14:textId="77777777" w:rsidTr="0043770F">
        <w:trPr>
          <w:trHeight w:val="990"/>
        </w:trPr>
        <w:tc>
          <w:tcPr>
            <w:tcW w:w="4540" w:type="dxa"/>
            <w:tcBorders>
              <w:top w:val="nil"/>
              <w:left w:val="single" w:sz="8" w:space="0" w:color="auto"/>
              <w:bottom w:val="nil"/>
              <w:right w:val="single" w:sz="4" w:space="0" w:color="auto"/>
            </w:tcBorders>
            <w:shd w:val="clear" w:color="auto" w:fill="auto"/>
            <w:vAlign w:val="center"/>
            <w:hideMark/>
          </w:tcPr>
          <w:p w14:paraId="03498DDE" w14:textId="77777777" w:rsidR="0043770F" w:rsidRPr="0043770F" w:rsidRDefault="0043770F" w:rsidP="0043770F">
            <w:pPr>
              <w:spacing w:after="0" w:line="240" w:lineRule="auto"/>
              <w:rPr>
                <w:rFonts w:ascii="Times New Roman" w:eastAsia="Times New Roman" w:hAnsi="Times New Roman" w:cs="Times New Roman"/>
                <w:b/>
                <w:bCs/>
                <w:i/>
                <w:iCs/>
                <w:color w:val="000000"/>
                <w:sz w:val="20"/>
                <w:szCs w:val="20"/>
                <w:lang w:eastAsia="sk-SK"/>
              </w:rPr>
            </w:pPr>
            <w:r w:rsidRPr="0043770F">
              <w:rPr>
                <w:rFonts w:ascii="Times New Roman" w:eastAsia="Times New Roman" w:hAnsi="Times New Roman" w:cs="Times New Roman"/>
                <w:b/>
                <w:bCs/>
                <w:i/>
                <w:iCs/>
                <w:color w:val="000000"/>
                <w:sz w:val="20"/>
                <w:szCs w:val="20"/>
                <w:lang w:eastAsia="sk-SK"/>
              </w:rPr>
              <w:t>F. Úplná harmonizácia práva EÚ</w:t>
            </w:r>
            <w:r w:rsidRPr="0043770F">
              <w:rPr>
                <w:rFonts w:ascii="Times New Roman" w:eastAsia="Times New Roman" w:hAnsi="Times New Roman" w:cs="Times New Roman"/>
                <w:b/>
                <w:bCs/>
                <w:i/>
                <w:iCs/>
                <w:color w:val="000000"/>
                <w:sz w:val="20"/>
                <w:szCs w:val="20"/>
                <w:lang w:eastAsia="sk-SK"/>
              </w:rPr>
              <w:br/>
            </w:r>
            <w:r w:rsidRPr="0043770F">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1880" w:type="dxa"/>
            <w:tcBorders>
              <w:top w:val="nil"/>
              <w:left w:val="nil"/>
              <w:bottom w:val="nil"/>
              <w:right w:val="single" w:sz="4" w:space="0" w:color="auto"/>
            </w:tcBorders>
            <w:shd w:val="clear" w:color="000000" w:fill="FFC000"/>
            <w:vAlign w:val="center"/>
            <w:hideMark/>
          </w:tcPr>
          <w:p w14:paraId="37D43B77"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c>
          <w:tcPr>
            <w:tcW w:w="1880" w:type="dxa"/>
            <w:tcBorders>
              <w:top w:val="nil"/>
              <w:left w:val="nil"/>
              <w:bottom w:val="nil"/>
              <w:right w:val="single" w:sz="8" w:space="0" w:color="auto"/>
            </w:tcBorders>
            <w:shd w:val="clear" w:color="000000" w:fill="92D050"/>
            <w:vAlign w:val="center"/>
            <w:hideMark/>
          </w:tcPr>
          <w:p w14:paraId="63FA1873"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r>
      <w:tr w:rsidR="0043770F" w:rsidRPr="0043770F" w14:paraId="5927AFF7" w14:textId="77777777" w:rsidTr="0043770F">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BA8E580" w14:textId="77777777" w:rsidR="0043770F" w:rsidRPr="0043770F" w:rsidRDefault="0043770F" w:rsidP="0043770F">
            <w:pPr>
              <w:spacing w:after="0" w:line="240" w:lineRule="auto"/>
              <w:rPr>
                <w:rFonts w:ascii="Times New Roman" w:eastAsia="Times New Roman" w:hAnsi="Times New Roman" w:cs="Times New Roman"/>
                <w:b/>
                <w:bCs/>
                <w:i/>
                <w:iCs/>
                <w:color w:val="000000"/>
                <w:sz w:val="20"/>
                <w:szCs w:val="20"/>
                <w:lang w:eastAsia="sk-SK"/>
              </w:rPr>
            </w:pPr>
            <w:r w:rsidRPr="0043770F">
              <w:rPr>
                <w:rFonts w:ascii="Times New Roman" w:eastAsia="Times New Roman" w:hAnsi="Times New Roman" w:cs="Times New Roman"/>
                <w:b/>
                <w:bCs/>
                <w:i/>
                <w:iCs/>
                <w:color w:val="000000"/>
                <w:sz w:val="20"/>
                <w:szCs w:val="20"/>
                <w:lang w:eastAsia="sk-SK"/>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19795F2E"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60452EF7"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0</w:t>
            </w:r>
          </w:p>
        </w:tc>
      </w:tr>
      <w:tr w:rsidR="0043770F" w:rsidRPr="0043770F" w14:paraId="11625FBF" w14:textId="77777777" w:rsidTr="0043770F">
        <w:trPr>
          <w:trHeight w:val="270"/>
        </w:trPr>
        <w:tc>
          <w:tcPr>
            <w:tcW w:w="4540" w:type="dxa"/>
            <w:tcBorders>
              <w:top w:val="nil"/>
              <w:left w:val="nil"/>
              <w:bottom w:val="nil"/>
              <w:right w:val="nil"/>
            </w:tcBorders>
            <w:shd w:val="clear" w:color="auto" w:fill="auto"/>
            <w:noWrap/>
            <w:vAlign w:val="bottom"/>
            <w:hideMark/>
          </w:tcPr>
          <w:p w14:paraId="629688B2"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4406F911" w14:textId="77777777" w:rsidR="0043770F" w:rsidRPr="0043770F" w:rsidRDefault="0043770F" w:rsidP="0043770F">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5A8DEA4D" w14:textId="77777777" w:rsidR="0043770F" w:rsidRPr="0043770F" w:rsidRDefault="0043770F" w:rsidP="0043770F">
            <w:pPr>
              <w:spacing w:after="0" w:line="240" w:lineRule="auto"/>
              <w:rPr>
                <w:rFonts w:ascii="Times New Roman" w:eastAsia="Times New Roman" w:hAnsi="Times New Roman" w:cs="Times New Roman"/>
                <w:sz w:val="20"/>
                <w:szCs w:val="20"/>
                <w:lang w:eastAsia="sk-SK"/>
              </w:rPr>
            </w:pPr>
          </w:p>
        </w:tc>
      </w:tr>
      <w:tr w:rsidR="0043770F" w:rsidRPr="0043770F" w14:paraId="71BBF89E" w14:textId="77777777" w:rsidTr="0043770F">
        <w:trPr>
          <w:trHeight w:val="270"/>
        </w:trPr>
        <w:tc>
          <w:tcPr>
            <w:tcW w:w="4540" w:type="dxa"/>
            <w:tcBorders>
              <w:top w:val="nil"/>
              <w:left w:val="nil"/>
              <w:bottom w:val="nil"/>
              <w:right w:val="nil"/>
            </w:tcBorders>
            <w:shd w:val="clear" w:color="auto" w:fill="auto"/>
            <w:noWrap/>
            <w:vAlign w:val="bottom"/>
            <w:hideMark/>
          </w:tcPr>
          <w:p w14:paraId="05FFD8B7" w14:textId="77777777" w:rsidR="0043770F" w:rsidRPr="0043770F" w:rsidRDefault="0043770F" w:rsidP="0043770F">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43298C0B" w14:textId="77777777" w:rsidR="0043770F" w:rsidRPr="0043770F" w:rsidRDefault="0043770F" w:rsidP="0043770F">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2BEE583D" w14:textId="77777777" w:rsidR="0043770F" w:rsidRPr="0043770F" w:rsidRDefault="0043770F" w:rsidP="0043770F">
            <w:pPr>
              <w:spacing w:after="0" w:line="240" w:lineRule="auto"/>
              <w:rPr>
                <w:rFonts w:ascii="Times New Roman" w:eastAsia="Times New Roman" w:hAnsi="Times New Roman" w:cs="Times New Roman"/>
                <w:sz w:val="20"/>
                <w:szCs w:val="20"/>
                <w:lang w:eastAsia="sk-SK"/>
              </w:rPr>
            </w:pPr>
          </w:p>
        </w:tc>
      </w:tr>
      <w:tr w:rsidR="0043770F" w:rsidRPr="0043770F" w14:paraId="31060081" w14:textId="77777777" w:rsidTr="0043770F">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33DCB25" w14:textId="77777777" w:rsidR="0043770F" w:rsidRPr="0043770F" w:rsidRDefault="0043770F" w:rsidP="0043770F">
            <w:pPr>
              <w:spacing w:after="0" w:line="240" w:lineRule="auto"/>
              <w:rPr>
                <w:rFonts w:ascii="Times New Roman" w:eastAsia="Times New Roman" w:hAnsi="Times New Roman" w:cs="Times New Roman"/>
                <w:i/>
                <w:iCs/>
                <w:color w:val="000000"/>
                <w:sz w:val="20"/>
                <w:szCs w:val="20"/>
                <w:lang w:eastAsia="sk-SK"/>
              </w:rPr>
            </w:pPr>
            <w:r w:rsidRPr="0043770F">
              <w:rPr>
                <w:rFonts w:ascii="Times New Roman" w:eastAsia="Times New Roman" w:hAnsi="Times New Roman" w:cs="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04A72D20"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1C7AE092"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OUT</w:t>
            </w:r>
          </w:p>
        </w:tc>
      </w:tr>
      <w:tr w:rsidR="0043770F" w:rsidRPr="0043770F" w14:paraId="6298A580" w14:textId="77777777" w:rsidTr="0043770F">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4E4E28EF" w14:textId="77777777" w:rsidR="0043770F" w:rsidRPr="0043770F" w:rsidRDefault="0043770F" w:rsidP="0043770F">
            <w:pPr>
              <w:spacing w:after="0" w:line="240" w:lineRule="auto"/>
              <w:rPr>
                <w:rFonts w:ascii="Times New Roman" w:eastAsia="Times New Roman" w:hAnsi="Times New Roman" w:cs="Times New Roman"/>
                <w:i/>
                <w:iCs/>
                <w:color w:val="000000"/>
                <w:sz w:val="20"/>
                <w:szCs w:val="20"/>
                <w:lang w:eastAsia="sk-SK"/>
              </w:rPr>
            </w:pPr>
            <w:r w:rsidRPr="0043770F">
              <w:rPr>
                <w:rFonts w:ascii="Times New Roman" w:eastAsia="Times New Roman" w:hAnsi="Times New Roman" w:cs="Times New Roman"/>
                <w:i/>
                <w:iCs/>
                <w:color w:val="000000"/>
                <w:sz w:val="20"/>
                <w:szCs w:val="20"/>
                <w:lang w:eastAsia="sk-SK"/>
              </w:rPr>
              <w:t>H</w:t>
            </w:r>
            <w:r w:rsidRPr="0043770F">
              <w:rPr>
                <w:rFonts w:ascii="Times New Roman" w:eastAsia="Times New Roman" w:hAnsi="Times New Roman" w:cs="Times New Roman"/>
                <w:b/>
                <w:bCs/>
                <w:i/>
                <w:iCs/>
                <w:color w:val="000000"/>
                <w:sz w:val="20"/>
                <w:szCs w:val="20"/>
                <w:lang w:eastAsia="sk-SK"/>
              </w:rPr>
              <w:t>.</w:t>
            </w:r>
            <w:r w:rsidRPr="0043770F">
              <w:rPr>
                <w:rFonts w:ascii="Times New Roman" w:eastAsia="Times New Roman" w:hAnsi="Times New Roman" w:cs="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27852B06"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2 227 625</w:t>
            </w:r>
          </w:p>
        </w:tc>
        <w:tc>
          <w:tcPr>
            <w:tcW w:w="1880" w:type="dxa"/>
            <w:tcBorders>
              <w:top w:val="nil"/>
              <w:left w:val="nil"/>
              <w:bottom w:val="single" w:sz="8" w:space="0" w:color="auto"/>
              <w:right w:val="single" w:sz="8" w:space="0" w:color="auto"/>
            </w:tcBorders>
            <w:shd w:val="clear" w:color="000000" w:fill="92D050"/>
            <w:vAlign w:val="center"/>
            <w:hideMark/>
          </w:tcPr>
          <w:p w14:paraId="3AD0429F" w14:textId="77777777" w:rsidR="0043770F" w:rsidRPr="0043770F" w:rsidRDefault="0043770F" w:rsidP="0043770F">
            <w:pPr>
              <w:spacing w:after="0" w:line="240" w:lineRule="auto"/>
              <w:jc w:val="center"/>
              <w:rPr>
                <w:rFonts w:ascii="Times New Roman" w:eastAsia="Times New Roman" w:hAnsi="Times New Roman" w:cs="Times New Roman"/>
                <w:b/>
                <w:bCs/>
                <w:color w:val="000000"/>
                <w:sz w:val="20"/>
                <w:szCs w:val="20"/>
                <w:lang w:eastAsia="sk-SK"/>
              </w:rPr>
            </w:pPr>
            <w:r w:rsidRPr="0043770F">
              <w:rPr>
                <w:rFonts w:ascii="Times New Roman" w:eastAsia="Times New Roman" w:hAnsi="Times New Roman" w:cs="Times New Roman"/>
                <w:b/>
                <w:bCs/>
                <w:color w:val="000000"/>
                <w:sz w:val="20"/>
                <w:szCs w:val="20"/>
                <w:lang w:eastAsia="sk-SK"/>
              </w:rPr>
              <w:t>4 638 450</w:t>
            </w:r>
          </w:p>
        </w:tc>
      </w:tr>
    </w:tbl>
    <w:p w14:paraId="53133B74" w14:textId="77777777" w:rsidR="0055121A" w:rsidRPr="00895898" w:rsidRDefault="0055121A" w:rsidP="00054C41">
      <w:pPr>
        <w:rPr>
          <w:rFonts w:ascii="Times New Roman" w:eastAsia="Calibri" w:hAnsi="Times New Roman" w:cs="Times New Roman"/>
          <w:b/>
          <w:sz w:val="24"/>
          <w:szCs w:val="24"/>
        </w:rPr>
        <w:sectPr w:rsidR="0055121A"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498" w:type="dxa"/>
        <w:tblInd w:w="-5" w:type="dxa"/>
        <w:tblCellMar>
          <w:left w:w="70" w:type="dxa"/>
          <w:right w:w="70" w:type="dxa"/>
        </w:tblCellMar>
        <w:tblLook w:val="04A0" w:firstRow="1" w:lastRow="0" w:firstColumn="1" w:lastColumn="0" w:noHBand="0" w:noVBand="1"/>
      </w:tblPr>
      <w:tblGrid>
        <w:gridCol w:w="623"/>
        <w:gridCol w:w="2135"/>
        <w:gridCol w:w="927"/>
        <w:gridCol w:w="1129"/>
        <w:gridCol w:w="1052"/>
        <w:gridCol w:w="959"/>
        <w:gridCol w:w="1282"/>
        <w:gridCol w:w="1100"/>
        <w:gridCol w:w="791"/>
        <w:gridCol w:w="1012"/>
        <w:gridCol w:w="1181"/>
        <w:gridCol w:w="1144"/>
        <w:gridCol w:w="1163"/>
      </w:tblGrid>
      <w:tr w:rsidR="00D02A7A" w:rsidRPr="0055121A" w14:paraId="33FE842F" w14:textId="77777777" w:rsidTr="00BF2286">
        <w:trPr>
          <w:trHeight w:val="263"/>
        </w:trPr>
        <w:tc>
          <w:tcPr>
            <w:tcW w:w="62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29FB8CB"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P.č.</w:t>
            </w:r>
          </w:p>
        </w:tc>
        <w:tc>
          <w:tcPr>
            <w:tcW w:w="213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48105C2"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 xml:space="preserve">Zrozumiteľný a stručný opis regulácie </w:t>
            </w:r>
            <w:r w:rsidRPr="0055121A">
              <w:rPr>
                <w:rFonts w:ascii="Times New Roman" w:eastAsia="Times New Roman" w:hAnsi="Times New Roman" w:cs="Times New Roman"/>
                <w:b/>
                <w:bCs/>
                <w:color w:val="000000"/>
                <w:sz w:val="20"/>
                <w:szCs w:val="20"/>
                <w:lang w:eastAsia="sk-SK"/>
              </w:rPr>
              <w:br/>
              <w:t>(dôvod zvýšenia/zníženia nákladov na PP a dôvod ponechania nákladov na PP, ktoré su goldplatingom)</w:t>
            </w:r>
          </w:p>
        </w:tc>
        <w:tc>
          <w:tcPr>
            <w:tcW w:w="927"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4C6BE4A"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Číslo normy</w:t>
            </w:r>
            <w:r w:rsidRPr="0055121A">
              <w:rPr>
                <w:rFonts w:ascii="Times New Roman" w:eastAsia="Times New Roman" w:hAnsi="Times New Roman" w:cs="Times New Roman"/>
                <w:b/>
                <w:bCs/>
                <w:color w:val="000000"/>
                <w:sz w:val="20"/>
                <w:szCs w:val="20"/>
                <w:lang w:eastAsia="sk-SK"/>
              </w:rPr>
              <w:br/>
            </w:r>
            <w:r w:rsidRPr="0055121A">
              <w:rPr>
                <w:rFonts w:ascii="Times New Roman" w:eastAsia="Times New Roman" w:hAnsi="Times New Roman" w:cs="Times New Roman"/>
                <w:color w:val="000000"/>
                <w:sz w:val="20"/>
                <w:szCs w:val="20"/>
                <w:lang w:eastAsia="sk-SK"/>
              </w:rPr>
              <w:t>(zákona, vyhlášky a pod.)</w:t>
            </w:r>
          </w:p>
        </w:tc>
        <w:tc>
          <w:tcPr>
            <w:tcW w:w="112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77EFC6A"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Lokalizácia</w:t>
            </w:r>
            <w:r w:rsidRPr="0055121A">
              <w:rPr>
                <w:rFonts w:ascii="Times New Roman" w:eastAsia="Times New Roman" w:hAnsi="Times New Roman" w:cs="Times New Roman"/>
                <w:b/>
                <w:bCs/>
                <w:color w:val="000000"/>
                <w:sz w:val="20"/>
                <w:szCs w:val="20"/>
                <w:lang w:eastAsia="sk-SK"/>
              </w:rPr>
              <w:br/>
              <w:t>(§, ods., čl.,...)</w:t>
            </w:r>
          </w:p>
        </w:tc>
        <w:tc>
          <w:tcPr>
            <w:tcW w:w="105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DA65F0E"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 xml:space="preserve">Pôvod regulácie: </w:t>
            </w:r>
            <w:r w:rsidRPr="0055121A">
              <w:rPr>
                <w:rFonts w:ascii="Times New Roman" w:eastAsia="Times New Roman" w:hAnsi="Times New Roman" w:cs="Times New Roman"/>
                <w:b/>
                <w:bCs/>
                <w:color w:val="000000"/>
                <w:sz w:val="20"/>
                <w:szCs w:val="20"/>
                <w:lang w:eastAsia="sk-SK"/>
              </w:rPr>
              <w:br/>
            </w:r>
            <w:r w:rsidRPr="0055121A">
              <w:rPr>
                <w:rFonts w:ascii="Times New Roman" w:eastAsia="Times New Roman" w:hAnsi="Times New Roman" w:cs="Times New Roman"/>
                <w:color w:val="000000"/>
                <w:sz w:val="20"/>
                <w:szCs w:val="20"/>
                <w:lang w:eastAsia="sk-SK"/>
              </w:rPr>
              <w:t>SK/EÚ úplná harm./</w:t>
            </w:r>
            <w:r w:rsidRPr="0055121A">
              <w:rPr>
                <w:rFonts w:ascii="Times New Roman" w:eastAsia="Times New Roman" w:hAnsi="Times New Roman" w:cs="Times New Roman"/>
                <w:color w:val="000000"/>
                <w:sz w:val="20"/>
                <w:szCs w:val="20"/>
                <w:lang w:eastAsia="sk-SK"/>
              </w:rPr>
              <w:br/>
              <w:t>goldplating</w:t>
            </w:r>
          </w:p>
        </w:tc>
        <w:tc>
          <w:tcPr>
            <w:tcW w:w="95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29948D1"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Účinnosť regulácie</w:t>
            </w:r>
          </w:p>
        </w:tc>
        <w:tc>
          <w:tcPr>
            <w:tcW w:w="128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D8B64A1"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Kategória dotk. subjektov</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7A01AC7"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 xml:space="preserve">Počet dotk. subjektov spolu </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430172B"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Vplyv na 1 podnik. v €</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3F57C0E"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Vplyv na kategóriu dotk. subjektov v €</w:t>
            </w:r>
          </w:p>
        </w:tc>
        <w:tc>
          <w:tcPr>
            <w:tcW w:w="118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BA4D7BD"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Druh vplyvu</w:t>
            </w:r>
            <w:r w:rsidRPr="0055121A">
              <w:rPr>
                <w:rFonts w:ascii="Times New Roman" w:eastAsia="Times New Roman" w:hAnsi="Times New Roman" w:cs="Times New Roman"/>
                <w:b/>
                <w:bCs/>
                <w:color w:val="000000"/>
                <w:sz w:val="20"/>
                <w:szCs w:val="20"/>
                <w:lang w:eastAsia="sk-SK"/>
              </w:rPr>
              <w:br/>
            </w:r>
            <w:r w:rsidRPr="0055121A">
              <w:rPr>
                <w:rFonts w:ascii="Times New Roman" w:eastAsia="Times New Roman" w:hAnsi="Times New Roman" w:cs="Times New Roman"/>
                <w:color w:val="000000"/>
                <w:sz w:val="20"/>
                <w:szCs w:val="20"/>
                <w:lang w:eastAsia="sk-SK"/>
              </w:rPr>
              <w:t xml:space="preserve">In (zvyšuje náklady) / </w:t>
            </w:r>
            <w:r w:rsidRPr="0055121A">
              <w:rPr>
                <w:rFonts w:ascii="Times New Roman" w:eastAsia="Times New Roman" w:hAnsi="Times New Roman" w:cs="Times New Roman"/>
                <w:color w:val="000000"/>
                <w:sz w:val="20"/>
                <w:szCs w:val="20"/>
                <w:lang w:eastAsia="sk-SK"/>
              </w:rPr>
              <w:br/>
              <w:t>Out (znižuje náklady) / Nemení sa</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F53F69"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 xml:space="preserve">1in2out </w:t>
            </w:r>
            <w:r w:rsidRPr="0055121A">
              <w:rPr>
                <w:rFonts w:ascii="Times New Roman" w:eastAsia="Times New Roman" w:hAnsi="Times New Roman" w:cs="Times New Roman"/>
                <w:b/>
                <w:bCs/>
                <w:color w:val="000000"/>
                <w:sz w:val="20"/>
                <w:szCs w:val="20"/>
                <w:lang w:eastAsia="sk-SK"/>
              </w:rPr>
              <w:br/>
              <w:t>celkom</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8E5924" w14:textId="77777777" w:rsidR="0055121A" w:rsidRPr="0055121A" w:rsidRDefault="0055121A" w:rsidP="0055121A">
            <w:pPr>
              <w:spacing w:after="0" w:line="240" w:lineRule="auto"/>
              <w:jc w:val="center"/>
              <w:rPr>
                <w:rFonts w:ascii="Times New Roman" w:eastAsia="Times New Roman" w:hAnsi="Times New Roman" w:cs="Times New Roman"/>
                <w:b/>
                <w:bCs/>
                <w:color w:val="000000"/>
                <w:sz w:val="20"/>
                <w:szCs w:val="20"/>
                <w:lang w:eastAsia="sk-SK"/>
              </w:rPr>
            </w:pPr>
            <w:r w:rsidRPr="0055121A">
              <w:rPr>
                <w:rFonts w:ascii="Times New Roman" w:eastAsia="Times New Roman" w:hAnsi="Times New Roman" w:cs="Times New Roman"/>
                <w:b/>
                <w:bCs/>
                <w:color w:val="000000"/>
                <w:sz w:val="20"/>
                <w:szCs w:val="20"/>
                <w:lang w:eastAsia="sk-SK"/>
              </w:rPr>
              <w:t>Goldplating celkom</w:t>
            </w:r>
          </w:p>
        </w:tc>
      </w:tr>
      <w:tr w:rsidR="0055121A" w:rsidRPr="0055121A" w14:paraId="2CD58DD6" w14:textId="77777777" w:rsidTr="00BF2286">
        <w:trPr>
          <w:trHeight w:val="45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4621CB34"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197D5259"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14:paraId="77CCEC9B"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0B9DF311"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45829749"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DF2A9A1"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216264B9"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6BEE1E0"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73EC31F4"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474546D7"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47BB80D8"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7F4AB708"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705CA291"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r>
      <w:tr w:rsidR="0055121A" w:rsidRPr="0055121A" w14:paraId="104AB844" w14:textId="77777777" w:rsidTr="00BF2286">
        <w:trPr>
          <w:trHeight w:val="45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17AF19A5"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33778CAF"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14:paraId="0C5CE2D4"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62769CE8"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7B6E4B77"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152169B"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553A143F"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02789DB"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77E06FA5"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78280C04"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3361F80E"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5075FBA4"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59439227"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r>
      <w:tr w:rsidR="0055121A" w:rsidRPr="0055121A" w14:paraId="1D215BB3" w14:textId="77777777" w:rsidTr="00BF2286">
        <w:trPr>
          <w:trHeight w:val="45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1D8BB0DE"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130CF5EA"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14:paraId="7342CD80"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64D289E1"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7C00699B"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6E05C97"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584CDB4E"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7861FFF"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0F863941"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2B4F2E42"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17AE63EF"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183C8604"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64EE1826"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r>
      <w:tr w:rsidR="0055121A" w:rsidRPr="0055121A" w14:paraId="56324E1B" w14:textId="77777777" w:rsidTr="00BF2286">
        <w:trPr>
          <w:trHeight w:val="45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23C7991A"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3B494154"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14:paraId="045C06EA"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5981F8DA"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6A34A5B9"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0C6A4F2"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5FB27941"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CE2AC4C"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7EF8C44F"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28900FB3"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39B70963"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3DF0001E"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3B4160FB"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r>
      <w:tr w:rsidR="0055121A" w:rsidRPr="0055121A" w14:paraId="3FE76E75" w14:textId="77777777" w:rsidTr="00BF2286">
        <w:trPr>
          <w:trHeight w:val="45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62EB423D"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76591598"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14:paraId="529E5696"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1F6CA7C3"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266CB391"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3317F58"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0CEF1941"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4BA894A0"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1D5A98F1"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7AA0EB9"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12039964"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2F203E10"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02F9B027" w14:textId="77777777" w:rsidR="0055121A" w:rsidRPr="0055121A" w:rsidRDefault="0055121A" w:rsidP="0055121A">
            <w:pPr>
              <w:spacing w:after="0" w:line="240" w:lineRule="auto"/>
              <w:rPr>
                <w:rFonts w:ascii="Times New Roman" w:eastAsia="Times New Roman" w:hAnsi="Times New Roman" w:cs="Times New Roman"/>
                <w:b/>
                <w:bCs/>
                <w:color w:val="000000"/>
                <w:sz w:val="20"/>
                <w:szCs w:val="20"/>
                <w:lang w:eastAsia="sk-SK"/>
              </w:rPr>
            </w:pPr>
          </w:p>
        </w:tc>
      </w:tr>
      <w:tr w:rsidR="0023110A" w:rsidRPr="0055121A" w14:paraId="3C7D9694" w14:textId="77777777" w:rsidTr="00BF2286">
        <w:trPr>
          <w:trHeight w:val="225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C855161" w14:textId="552E37C5"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1</w:t>
            </w:r>
          </w:p>
        </w:tc>
        <w:tc>
          <w:tcPr>
            <w:tcW w:w="2135" w:type="dxa"/>
            <w:tcBorders>
              <w:top w:val="nil"/>
              <w:left w:val="nil"/>
              <w:bottom w:val="single" w:sz="4" w:space="0" w:color="auto"/>
              <w:right w:val="single" w:sz="4" w:space="0" w:color="auto"/>
            </w:tcBorders>
            <w:shd w:val="clear" w:color="auto" w:fill="auto"/>
            <w:vAlign w:val="center"/>
            <w:hideMark/>
          </w:tcPr>
          <w:p w14:paraId="118FBCAD" w14:textId="4C96186B"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Na základe § 231 ods. 1 písmeno r vyplýva každému zamestnávateľovi oznámiť zamestnancovi písomne alebo prostredníctvom elektronickej pošty alebo prostredníctvom krátkej textovej správy (SMS), že zamestnávateľ bol zverejnený v Zozname dlžníkov s nesplnenou vykazovacou alebo oznamovacou povinnosťou, a to do 14 dní od zverejnenia.</w:t>
            </w:r>
          </w:p>
        </w:tc>
        <w:tc>
          <w:tcPr>
            <w:tcW w:w="927" w:type="dxa"/>
            <w:tcBorders>
              <w:top w:val="nil"/>
              <w:left w:val="nil"/>
              <w:bottom w:val="single" w:sz="4" w:space="0" w:color="auto"/>
              <w:right w:val="single" w:sz="4" w:space="0" w:color="auto"/>
            </w:tcBorders>
            <w:shd w:val="clear" w:color="auto" w:fill="auto"/>
            <w:vAlign w:val="center"/>
            <w:hideMark/>
          </w:tcPr>
          <w:p w14:paraId="5245E26F" w14:textId="1880C142"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Z. č. 461/2003 Z. z.</w:t>
            </w:r>
          </w:p>
        </w:tc>
        <w:tc>
          <w:tcPr>
            <w:tcW w:w="1129" w:type="dxa"/>
            <w:tcBorders>
              <w:top w:val="nil"/>
              <w:left w:val="nil"/>
              <w:bottom w:val="single" w:sz="4" w:space="0" w:color="auto"/>
              <w:right w:val="single" w:sz="4" w:space="0" w:color="auto"/>
            </w:tcBorders>
            <w:shd w:val="clear" w:color="auto" w:fill="auto"/>
            <w:vAlign w:val="center"/>
            <w:hideMark/>
          </w:tcPr>
          <w:p w14:paraId="5E0C8EE5" w14:textId="16BC1E8A"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 231 ods.1 písm. r)</w:t>
            </w:r>
          </w:p>
        </w:tc>
        <w:tc>
          <w:tcPr>
            <w:tcW w:w="1052" w:type="dxa"/>
            <w:tcBorders>
              <w:top w:val="nil"/>
              <w:left w:val="nil"/>
              <w:bottom w:val="single" w:sz="4" w:space="0" w:color="auto"/>
              <w:right w:val="single" w:sz="4" w:space="0" w:color="auto"/>
            </w:tcBorders>
            <w:shd w:val="clear" w:color="auto" w:fill="auto"/>
            <w:vAlign w:val="center"/>
            <w:hideMark/>
          </w:tcPr>
          <w:p w14:paraId="22D2C77A" w14:textId="0BD11753"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1.SK</w:t>
            </w:r>
          </w:p>
        </w:tc>
        <w:tc>
          <w:tcPr>
            <w:tcW w:w="959" w:type="dxa"/>
            <w:tcBorders>
              <w:top w:val="nil"/>
              <w:left w:val="nil"/>
              <w:bottom w:val="single" w:sz="4" w:space="0" w:color="auto"/>
              <w:right w:val="single" w:sz="4" w:space="0" w:color="auto"/>
            </w:tcBorders>
            <w:shd w:val="clear" w:color="auto" w:fill="auto"/>
            <w:vAlign w:val="center"/>
            <w:hideMark/>
          </w:tcPr>
          <w:p w14:paraId="0B3B5676" w14:textId="7EF49D42"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01.01.25</w:t>
            </w:r>
          </w:p>
        </w:tc>
        <w:tc>
          <w:tcPr>
            <w:tcW w:w="1282" w:type="dxa"/>
            <w:tcBorders>
              <w:top w:val="nil"/>
              <w:left w:val="nil"/>
              <w:bottom w:val="single" w:sz="4" w:space="0" w:color="auto"/>
              <w:right w:val="single" w:sz="4" w:space="0" w:color="auto"/>
            </w:tcBorders>
            <w:shd w:val="clear" w:color="auto" w:fill="auto"/>
            <w:vAlign w:val="center"/>
            <w:hideMark/>
          </w:tcPr>
          <w:p w14:paraId="7E7096C0" w14:textId="3F2F66BD"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všetky podnikateľské subjekty</w:t>
            </w:r>
          </w:p>
        </w:tc>
        <w:tc>
          <w:tcPr>
            <w:tcW w:w="1100" w:type="dxa"/>
            <w:tcBorders>
              <w:top w:val="nil"/>
              <w:left w:val="nil"/>
              <w:bottom w:val="single" w:sz="4" w:space="0" w:color="auto"/>
              <w:right w:val="single" w:sz="4" w:space="0" w:color="auto"/>
            </w:tcBorders>
            <w:shd w:val="clear" w:color="auto" w:fill="auto"/>
            <w:vAlign w:val="center"/>
            <w:hideMark/>
          </w:tcPr>
          <w:p w14:paraId="40543232" w14:textId="09A3DDEB" w:rsidR="0023110A" w:rsidRPr="00D02A7A" w:rsidRDefault="0023110A" w:rsidP="0023110A">
            <w:pPr>
              <w:spacing w:after="0" w:line="240" w:lineRule="auto"/>
              <w:rPr>
                <w:rFonts w:ascii="Times New Roman" w:eastAsia="Times New Roman" w:hAnsi="Times New Roman" w:cs="Times New Roman"/>
                <w:color w:val="000000"/>
                <w:sz w:val="18"/>
                <w:szCs w:val="20"/>
                <w:lang w:eastAsia="sk-SK"/>
              </w:rPr>
            </w:pPr>
            <w:r w:rsidRPr="00D02A7A">
              <w:rPr>
                <w:color w:val="000000"/>
                <w:sz w:val="18"/>
                <w:szCs w:val="20"/>
              </w:rPr>
              <w:t xml:space="preserve">            7 000 </w:t>
            </w:r>
          </w:p>
        </w:tc>
        <w:tc>
          <w:tcPr>
            <w:tcW w:w="791" w:type="dxa"/>
            <w:tcBorders>
              <w:top w:val="nil"/>
              <w:left w:val="nil"/>
              <w:bottom w:val="single" w:sz="4" w:space="0" w:color="auto"/>
              <w:right w:val="single" w:sz="4" w:space="0" w:color="auto"/>
            </w:tcBorders>
            <w:shd w:val="clear" w:color="000000" w:fill="FFFFFF"/>
            <w:vAlign w:val="center"/>
            <w:hideMark/>
          </w:tcPr>
          <w:p w14:paraId="7916781C" w14:textId="1978C9A8"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2</w:t>
            </w:r>
          </w:p>
        </w:tc>
        <w:tc>
          <w:tcPr>
            <w:tcW w:w="1012" w:type="dxa"/>
            <w:tcBorders>
              <w:top w:val="nil"/>
              <w:left w:val="nil"/>
              <w:bottom w:val="single" w:sz="4" w:space="0" w:color="auto"/>
              <w:right w:val="single" w:sz="4" w:space="0" w:color="auto"/>
            </w:tcBorders>
            <w:shd w:val="clear" w:color="auto" w:fill="auto"/>
            <w:vAlign w:val="center"/>
            <w:hideMark/>
          </w:tcPr>
          <w:p w14:paraId="6E0AC31B" w14:textId="3B77313A"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12 781</w:t>
            </w:r>
          </w:p>
        </w:tc>
        <w:tc>
          <w:tcPr>
            <w:tcW w:w="1181" w:type="dxa"/>
            <w:tcBorders>
              <w:top w:val="nil"/>
              <w:left w:val="nil"/>
              <w:bottom w:val="single" w:sz="4" w:space="0" w:color="auto"/>
              <w:right w:val="single" w:sz="4" w:space="0" w:color="auto"/>
            </w:tcBorders>
            <w:shd w:val="clear" w:color="auto" w:fill="auto"/>
            <w:vAlign w:val="center"/>
            <w:hideMark/>
          </w:tcPr>
          <w:p w14:paraId="2DEBC33E" w14:textId="6027FB02"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Out (znižuje náklady)</w:t>
            </w:r>
          </w:p>
        </w:tc>
        <w:tc>
          <w:tcPr>
            <w:tcW w:w="1144" w:type="dxa"/>
            <w:tcBorders>
              <w:top w:val="nil"/>
              <w:left w:val="nil"/>
              <w:bottom w:val="single" w:sz="4" w:space="0" w:color="auto"/>
              <w:right w:val="single" w:sz="4" w:space="0" w:color="auto"/>
            </w:tcBorders>
            <w:shd w:val="clear" w:color="auto" w:fill="auto"/>
            <w:vAlign w:val="center"/>
            <w:hideMark/>
          </w:tcPr>
          <w:p w14:paraId="48ADF2AC" w14:textId="2EE98330" w:rsidR="0023110A" w:rsidRPr="0055121A" w:rsidRDefault="0023110A" w:rsidP="0023110A">
            <w:pPr>
              <w:spacing w:after="0" w:line="240" w:lineRule="auto"/>
              <w:jc w:val="center"/>
              <w:rPr>
                <w:rFonts w:ascii="Times New Roman" w:eastAsia="Times New Roman" w:hAnsi="Times New Roman" w:cs="Times New Roman"/>
                <w:sz w:val="20"/>
                <w:szCs w:val="20"/>
                <w:lang w:eastAsia="sk-SK"/>
              </w:rPr>
            </w:pPr>
            <w:r>
              <w:rPr>
                <w:sz w:val="20"/>
                <w:szCs w:val="20"/>
              </w:rPr>
              <w:t>12 781</w:t>
            </w:r>
          </w:p>
        </w:tc>
        <w:tc>
          <w:tcPr>
            <w:tcW w:w="1163" w:type="dxa"/>
            <w:tcBorders>
              <w:top w:val="nil"/>
              <w:left w:val="nil"/>
              <w:bottom w:val="single" w:sz="4" w:space="0" w:color="auto"/>
              <w:right w:val="single" w:sz="4" w:space="0" w:color="auto"/>
            </w:tcBorders>
            <w:shd w:val="clear" w:color="auto" w:fill="auto"/>
            <w:vAlign w:val="center"/>
            <w:hideMark/>
          </w:tcPr>
          <w:p w14:paraId="54437F75" w14:textId="62E25188"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0</w:t>
            </w:r>
          </w:p>
        </w:tc>
      </w:tr>
      <w:tr w:rsidR="0023110A" w:rsidRPr="0055121A" w14:paraId="417CC7CA" w14:textId="77777777" w:rsidTr="00BF2286">
        <w:trPr>
          <w:trHeight w:val="36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90674E5" w14:textId="65B67308"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2</w:t>
            </w:r>
          </w:p>
        </w:tc>
        <w:tc>
          <w:tcPr>
            <w:tcW w:w="2135" w:type="dxa"/>
            <w:tcBorders>
              <w:top w:val="nil"/>
              <w:left w:val="nil"/>
              <w:bottom w:val="single" w:sz="4" w:space="0" w:color="auto"/>
              <w:right w:val="single" w:sz="4" w:space="0" w:color="auto"/>
            </w:tcBorders>
            <w:shd w:val="clear" w:color="auto" w:fill="auto"/>
            <w:vAlign w:val="center"/>
            <w:hideMark/>
          </w:tcPr>
          <w:p w14:paraId="47BF59D2" w14:textId="78DDC6B4"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 xml:space="preserve">V súčasnosti sú zamestnávatelia  povinní podľa § 231 ods. 1 písm. j) zákona č. </w:t>
            </w:r>
            <w:r>
              <w:rPr>
                <w:color w:val="000000"/>
                <w:sz w:val="20"/>
                <w:szCs w:val="20"/>
              </w:rPr>
              <w:lastRenderedPageBreak/>
              <w:t>461/2003 Z. z. evidovať údaje súvisiace s pracovnoprávnym vzťahom svojich zamestnancov na účely ich dôchodkového poistenia. Túto evidenciu sú následne povinní predkladať Sociálnej poisťovni na formulári, ktorý bol vytvorený tak, aby obsahoval nevyhnutne potrebné údaje za jednotlivé kalendárne roky, teda vo formáte priamo použiteľnom na rozhodovanie o nároku na dôchodok. Ide o formulár, evidenčný list dôchodkového poistenia (ELDP), ktorý zamestnávatelia od januára 2016 môžu posielať v elektronickej forme. V súvislosti so zrušením tejto povinnosti a s prechodom na mesačné výkazy je potrebné vykonať jednorazovo zaslanie všetkých ELDP zamestnávateľmi za svojich zamestnancov.</w:t>
            </w:r>
          </w:p>
        </w:tc>
        <w:tc>
          <w:tcPr>
            <w:tcW w:w="927" w:type="dxa"/>
            <w:tcBorders>
              <w:top w:val="nil"/>
              <w:left w:val="nil"/>
              <w:bottom w:val="single" w:sz="4" w:space="0" w:color="auto"/>
              <w:right w:val="single" w:sz="4" w:space="0" w:color="auto"/>
            </w:tcBorders>
            <w:shd w:val="clear" w:color="auto" w:fill="auto"/>
            <w:vAlign w:val="center"/>
            <w:hideMark/>
          </w:tcPr>
          <w:p w14:paraId="12E5A4F5" w14:textId="441B5650"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lastRenderedPageBreak/>
              <w:t>Z. č. 461/2003 Z. z.</w:t>
            </w:r>
          </w:p>
        </w:tc>
        <w:tc>
          <w:tcPr>
            <w:tcW w:w="1129" w:type="dxa"/>
            <w:tcBorders>
              <w:top w:val="nil"/>
              <w:left w:val="nil"/>
              <w:bottom w:val="single" w:sz="4" w:space="0" w:color="auto"/>
              <w:right w:val="single" w:sz="4" w:space="0" w:color="auto"/>
            </w:tcBorders>
            <w:shd w:val="clear" w:color="auto" w:fill="auto"/>
            <w:vAlign w:val="center"/>
            <w:hideMark/>
          </w:tcPr>
          <w:p w14:paraId="0EF6126A" w14:textId="734446BA"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 231 ods.1 písm. j); § 293gk</w:t>
            </w:r>
          </w:p>
        </w:tc>
        <w:tc>
          <w:tcPr>
            <w:tcW w:w="1052" w:type="dxa"/>
            <w:tcBorders>
              <w:top w:val="nil"/>
              <w:left w:val="nil"/>
              <w:bottom w:val="single" w:sz="4" w:space="0" w:color="auto"/>
              <w:right w:val="single" w:sz="4" w:space="0" w:color="auto"/>
            </w:tcBorders>
            <w:shd w:val="clear" w:color="auto" w:fill="auto"/>
            <w:vAlign w:val="center"/>
            <w:hideMark/>
          </w:tcPr>
          <w:p w14:paraId="112D23F5" w14:textId="2BBFBE2E"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1.SK</w:t>
            </w:r>
          </w:p>
        </w:tc>
        <w:tc>
          <w:tcPr>
            <w:tcW w:w="959" w:type="dxa"/>
            <w:tcBorders>
              <w:top w:val="nil"/>
              <w:left w:val="nil"/>
              <w:bottom w:val="single" w:sz="4" w:space="0" w:color="auto"/>
              <w:right w:val="single" w:sz="4" w:space="0" w:color="auto"/>
            </w:tcBorders>
            <w:shd w:val="clear" w:color="auto" w:fill="auto"/>
            <w:vAlign w:val="center"/>
            <w:hideMark/>
          </w:tcPr>
          <w:p w14:paraId="0BC9315E" w14:textId="06E1AE9A"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01.01.26</w:t>
            </w:r>
          </w:p>
        </w:tc>
        <w:tc>
          <w:tcPr>
            <w:tcW w:w="1282" w:type="dxa"/>
            <w:tcBorders>
              <w:top w:val="nil"/>
              <w:left w:val="nil"/>
              <w:bottom w:val="single" w:sz="4" w:space="0" w:color="auto"/>
              <w:right w:val="single" w:sz="4" w:space="0" w:color="auto"/>
            </w:tcBorders>
            <w:shd w:val="clear" w:color="auto" w:fill="auto"/>
            <w:vAlign w:val="center"/>
            <w:hideMark/>
          </w:tcPr>
          <w:p w14:paraId="4077A1F0" w14:textId="1D1FEBFA"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všetky podnikateľské subjekty</w:t>
            </w:r>
          </w:p>
        </w:tc>
        <w:tc>
          <w:tcPr>
            <w:tcW w:w="1100" w:type="dxa"/>
            <w:tcBorders>
              <w:top w:val="nil"/>
              <w:left w:val="nil"/>
              <w:bottom w:val="single" w:sz="4" w:space="0" w:color="auto"/>
              <w:right w:val="single" w:sz="4" w:space="0" w:color="auto"/>
            </w:tcBorders>
            <w:shd w:val="clear" w:color="auto" w:fill="auto"/>
            <w:vAlign w:val="center"/>
            <w:hideMark/>
          </w:tcPr>
          <w:p w14:paraId="488C5645" w14:textId="685C1C5E" w:rsidR="0023110A" w:rsidRPr="00D02A7A" w:rsidRDefault="0023110A" w:rsidP="0023110A">
            <w:pPr>
              <w:spacing w:after="0" w:line="240" w:lineRule="auto"/>
              <w:rPr>
                <w:rFonts w:ascii="Times New Roman" w:eastAsia="Times New Roman" w:hAnsi="Times New Roman" w:cs="Times New Roman"/>
                <w:color w:val="000000"/>
                <w:sz w:val="18"/>
                <w:szCs w:val="20"/>
                <w:lang w:eastAsia="sk-SK"/>
              </w:rPr>
            </w:pPr>
            <w:r w:rsidRPr="00D02A7A">
              <w:rPr>
                <w:color w:val="000000"/>
                <w:sz w:val="18"/>
                <w:szCs w:val="20"/>
              </w:rPr>
              <w:t xml:space="preserve">        183 000 </w:t>
            </w:r>
          </w:p>
        </w:tc>
        <w:tc>
          <w:tcPr>
            <w:tcW w:w="791" w:type="dxa"/>
            <w:tcBorders>
              <w:top w:val="nil"/>
              <w:left w:val="nil"/>
              <w:bottom w:val="single" w:sz="4" w:space="0" w:color="auto"/>
              <w:right w:val="single" w:sz="4" w:space="0" w:color="auto"/>
            </w:tcBorders>
            <w:shd w:val="clear" w:color="auto" w:fill="auto"/>
            <w:vAlign w:val="center"/>
            <w:hideMark/>
          </w:tcPr>
          <w:p w14:paraId="4AD665FD" w14:textId="1179DBBF"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12</w:t>
            </w:r>
          </w:p>
        </w:tc>
        <w:tc>
          <w:tcPr>
            <w:tcW w:w="1012" w:type="dxa"/>
            <w:tcBorders>
              <w:top w:val="nil"/>
              <w:left w:val="nil"/>
              <w:bottom w:val="single" w:sz="4" w:space="0" w:color="auto"/>
              <w:right w:val="single" w:sz="4" w:space="0" w:color="auto"/>
            </w:tcBorders>
            <w:shd w:val="clear" w:color="auto" w:fill="auto"/>
            <w:vAlign w:val="center"/>
            <w:hideMark/>
          </w:tcPr>
          <w:p w14:paraId="1E137B58" w14:textId="304E263C"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2 227 625</w:t>
            </w:r>
          </w:p>
        </w:tc>
        <w:tc>
          <w:tcPr>
            <w:tcW w:w="1181" w:type="dxa"/>
            <w:tcBorders>
              <w:top w:val="nil"/>
              <w:left w:val="nil"/>
              <w:bottom w:val="single" w:sz="4" w:space="0" w:color="auto"/>
              <w:right w:val="single" w:sz="4" w:space="0" w:color="auto"/>
            </w:tcBorders>
            <w:shd w:val="clear" w:color="auto" w:fill="auto"/>
            <w:vAlign w:val="center"/>
            <w:hideMark/>
          </w:tcPr>
          <w:p w14:paraId="6C6FB00A" w14:textId="25F89776"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In (zvyšuje náklady)</w:t>
            </w:r>
          </w:p>
        </w:tc>
        <w:tc>
          <w:tcPr>
            <w:tcW w:w="1144" w:type="dxa"/>
            <w:tcBorders>
              <w:top w:val="nil"/>
              <w:left w:val="nil"/>
              <w:bottom w:val="single" w:sz="4" w:space="0" w:color="auto"/>
              <w:right w:val="single" w:sz="4" w:space="0" w:color="auto"/>
            </w:tcBorders>
            <w:shd w:val="clear" w:color="auto" w:fill="auto"/>
            <w:vAlign w:val="center"/>
            <w:hideMark/>
          </w:tcPr>
          <w:p w14:paraId="13C15E01" w14:textId="7D49F1BC" w:rsidR="0023110A" w:rsidRPr="0055121A" w:rsidRDefault="0023110A" w:rsidP="0023110A">
            <w:pPr>
              <w:spacing w:after="0" w:line="240" w:lineRule="auto"/>
              <w:jc w:val="center"/>
              <w:rPr>
                <w:rFonts w:ascii="Times New Roman" w:eastAsia="Times New Roman" w:hAnsi="Times New Roman" w:cs="Times New Roman"/>
                <w:sz w:val="20"/>
                <w:szCs w:val="20"/>
                <w:lang w:eastAsia="sk-SK"/>
              </w:rPr>
            </w:pPr>
            <w:r>
              <w:rPr>
                <w:sz w:val="20"/>
                <w:szCs w:val="20"/>
              </w:rPr>
              <w:t>2 227 625</w:t>
            </w:r>
          </w:p>
        </w:tc>
        <w:tc>
          <w:tcPr>
            <w:tcW w:w="1163" w:type="dxa"/>
            <w:tcBorders>
              <w:top w:val="nil"/>
              <w:left w:val="nil"/>
              <w:bottom w:val="single" w:sz="4" w:space="0" w:color="auto"/>
              <w:right w:val="single" w:sz="4" w:space="0" w:color="auto"/>
            </w:tcBorders>
            <w:shd w:val="clear" w:color="auto" w:fill="auto"/>
            <w:vAlign w:val="center"/>
            <w:hideMark/>
          </w:tcPr>
          <w:p w14:paraId="7C401544" w14:textId="5900079C"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0</w:t>
            </w:r>
          </w:p>
        </w:tc>
      </w:tr>
      <w:tr w:rsidR="0023110A" w:rsidRPr="0055121A" w14:paraId="3E606B9A" w14:textId="77777777" w:rsidTr="00BF2286">
        <w:trPr>
          <w:trHeight w:val="36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17D9C4FF" w14:textId="5673A447"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lastRenderedPageBreak/>
              <w:t>3</w:t>
            </w:r>
          </w:p>
        </w:tc>
        <w:tc>
          <w:tcPr>
            <w:tcW w:w="2135" w:type="dxa"/>
            <w:tcBorders>
              <w:top w:val="nil"/>
              <w:left w:val="nil"/>
              <w:bottom w:val="single" w:sz="4" w:space="0" w:color="auto"/>
              <w:right w:val="single" w:sz="4" w:space="0" w:color="auto"/>
            </w:tcBorders>
            <w:shd w:val="clear" w:color="auto" w:fill="auto"/>
            <w:vAlign w:val="center"/>
            <w:hideMark/>
          </w:tcPr>
          <w:p w14:paraId="186721A3" w14:textId="0C66022A"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V súčasnosti sú zamestnávatelia  povinní podľa § 231 ods. 1 písm. j) zákona č. 461/2003 Z. z. evidovať údaje súvisiace s pracovnoprávnym vzťahom svojich zamestnancov na účely ich dôchodkového poistenia. Túto evidenciu sú následne povinní predkladať Sociálnej poisťovni na formulári, ktorý bol vytvorený tak, aby obsahoval nevyhnutne potrebné údaje za jednotlivé kalendárne roky, teda vo formáte priamo použiteľnom na rozhodovanie o nároku na dôchodok. Ide o formulár, evidenčný list dôchodkového poistenia (ELDP), ktorý zamestnávatelia od januára 2016 môžu posielať v elektronickej forme.</w:t>
            </w:r>
          </w:p>
        </w:tc>
        <w:tc>
          <w:tcPr>
            <w:tcW w:w="927" w:type="dxa"/>
            <w:tcBorders>
              <w:top w:val="nil"/>
              <w:left w:val="nil"/>
              <w:bottom w:val="single" w:sz="4" w:space="0" w:color="auto"/>
              <w:right w:val="single" w:sz="4" w:space="0" w:color="auto"/>
            </w:tcBorders>
            <w:shd w:val="clear" w:color="auto" w:fill="auto"/>
            <w:vAlign w:val="center"/>
            <w:hideMark/>
          </w:tcPr>
          <w:p w14:paraId="47822A21" w14:textId="4D744909"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Z. č. 461/2003 Z. z.</w:t>
            </w:r>
          </w:p>
        </w:tc>
        <w:tc>
          <w:tcPr>
            <w:tcW w:w="1129" w:type="dxa"/>
            <w:tcBorders>
              <w:top w:val="nil"/>
              <w:left w:val="nil"/>
              <w:bottom w:val="single" w:sz="4" w:space="0" w:color="auto"/>
              <w:right w:val="single" w:sz="4" w:space="0" w:color="auto"/>
            </w:tcBorders>
            <w:shd w:val="clear" w:color="auto" w:fill="auto"/>
            <w:vAlign w:val="center"/>
            <w:hideMark/>
          </w:tcPr>
          <w:p w14:paraId="67970B81" w14:textId="2D680B8D"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 231 ods.1 písm. j)</w:t>
            </w:r>
          </w:p>
        </w:tc>
        <w:tc>
          <w:tcPr>
            <w:tcW w:w="1052" w:type="dxa"/>
            <w:tcBorders>
              <w:top w:val="nil"/>
              <w:left w:val="nil"/>
              <w:bottom w:val="single" w:sz="4" w:space="0" w:color="auto"/>
              <w:right w:val="single" w:sz="4" w:space="0" w:color="auto"/>
            </w:tcBorders>
            <w:shd w:val="clear" w:color="auto" w:fill="auto"/>
            <w:vAlign w:val="center"/>
            <w:hideMark/>
          </w:tcPr>
          <w:p w14:paraId="28A133B3" w14:textId="2A543933"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1.SK</w:t>
            </w:r>
          </w:p>
        </w:tc>
        <w:tc>
          <w:tcPr>
            <w:tcW w:w="959" w:type="dxa"/>
            <w:tcBorders>
              <w:top w:val="nil"/>
              <w:left w:val="nil"/>
              <w:bottom w:val="single" w:sz="4" w:space="0" w:color="auto"/>
              <w:right w:val="single" w:sz="4" w:space="0" w:color="auto"/>
            </w:tcBorders>
            <w:shd w:val="clear" w:color="auto" w:fill="auto"/>
            <w:vAlign w:val="center"/>
            <w:hideMark/>
          </w:tcPr>
          <w:p w14:paraId="4B4919B7" w14:textId="6A4A635A"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01.01.26</w:t>
            </w:r>
          </w:p>
        </w:tc>
        <w:tc>
          <w:tcPr>
            <w:tcW w:w="1282" w:type="dxa"/>
            <w:tcBorders>
              <w:top w:val="nil"/>
              <w:left w:val="nil"/>
              <w:bottom w:val="single" w:sz="4" w:space="0" w:color="auto"/>
              <w:right w:val="single" w:sz="4" w:space="0" w:color="auto"/>
            </w:tcBorders>
            <w:shd w:val="clear" w:color="auto" w:fill="auto"/>
            <w:vAlign w:val="center"/>
            <w:hideMark/>
          </w:tcPr>
          <w:p w14:paraId="4E6C6A74" w14:textId="1DC39B18"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všetky podnikateľské subjekty</w:t>
            </w:r>
          </w:p>
        </w:tc>
        <w:tc>
          <w:tcPr>
            <w:tcW w:w="1100" w:type="dxa"/>
            <w:tcBorders>
              <w:top w:val="nil"/>
              <w:left w:val="nil"/>
              <w:bottom w:val="single" w:sz="4" w:space="0" w:color="auto"/>
              <w:right w:val="single" w:sz="4" w:space="0" w:color="auto"/>
            </w:tcBorders>
            <w:shd w:val="clear" w:color="auto" w:fill="auto"/>
            <w:vAlign w:val="center"/>
            <w:hideMark/>
          </w:tcPr>
          <w:p w14:paraId="303CD057" w14:textId="485CDE0F" w:rsidR="0023110A" w:rsidRPr="0055121A" w:rsidRDefault="0023110A" w:rsidP="0023110A">
            <w:pPr>
              <w:spacing w:after="0" w:line="240" w:lineRule="auto"/>
              <w:rPr>
                <w:rFonts w:ascii="Times New Roman" w:eastAsia="Times New Roman" w:hAnsi="Times New Roman" w:cs="Times New Roman"/>
                <w:color w:val="000000"/>
                <w:sz w:val="20"/>
                <w:szCs w:val="20"/>
                <w:lang w:eastAsia="sk-SK"/>
              </w:rPr>
            </w:pPr>
            <w:r>
              <w:rPr>
                <w:color w:val="000000"/>
                <w:sz w:val="20"/>
                <w:szCs w:val="20"/>
              </w:rPr>
              <w:t xml:space="preserve">          </w:t>
            </w:r>
            <w:r w:rsidRPr="00D02A7A">
              <w:rPr>
                <w:color w:val="000000"/>
                <w:sz w:val="18"/>
                <w:szCs w:val="20"/>
              </w:rPr>
              <w:t xml:space="preserve">95 000 </w:t>
            </w:r>
          </w:p>
        </w:tc>
        <w:tc>
          <w:tcPr>
            <w:tcW w:w="791" w:type="dxa"/>
            <w:tcBorders>
              <w:top w:val="nil"/>
              <w:left w:val="nil"/>
              <w:bottom w:val="single" w:sz="4" w:space="0" w:color="auto"/>
              <w:right w:val="single" w:sz="4" w:space="0" w:color="auto"/>
            </w:tcBorders>
            <w:shd w:val="clear" w:color="auto" w:fill="auto"/>
            <w:vAlign w:val="center"/>
            <w:hideMark/>
          </w:tcPr>
          <w:p w14:paraId="2811582C" w14:textId="7985C832"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49</w:t>
            </w:r>
          </w:p>
        </w:tc>
        <w:tc>
          <w:tcPr>
            <w:tcW w:w="1012" w:type="dxa"/>
            <w:tcBorders>
              <w:top w:val="nil"/>
              <w:left w:val="nil"/>
              <w:bottom w:val="single" w:sz="4" w:space="0" w:color="auto"/>
              <w:right w:val="single" w:sz="4" w:space="0" w:color="auto"/>
            </w:tcBorders>
            <w:shd w:val="clear" w:color="auto" w:fill="auto"/>
            <w:vAlign w:val="center"/>
            <w:hideMark/>
          </w:tcPr>
          <w:p w14:paraId="3C705D29" w14:textId="611B4B1A"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4 625 669</w:t>
            </w:r>
          </w:p>
        </w:tc>
        <w:tc>
          <w:tcPr>
            <w:tcW w:w="1181" w:type="dxa"/>
            <w:tcBorders>
              <w:top w:val="nil"/>
              <w:left w:val="nil"/>
              <w:bottom w:val="single" w:sz="4" w:space="0" w:color="auto"/>
              <w:right w:val="single" w:sz="4" w:space="0" w:color="auto"/>
            </w:tcBorders>
            <w:shd w:val="clear" w:color="auto" w:fill="auto"/>
            <w:vAlign w:val="center"/>
            <w:hideMark/>
          </w:tcPr>
          <w:p w14:paraId="3DB2CB2E" w14:textId="4ADA7413"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Out (znižuje náklady)</w:t>
            </w:r>
          </w:p>
        </w:tc>
        <w:tc>
          <w:tcPr>
            <w:tcW w:w="1144" w:type="dxa"/>
            <w:tcBorders>
              <w:top w:val="nil"/>
              <w:left w:val="nil"/>
              <w:bottom w:val="single" w:sz="4" w:space="0" w:color="auto"/>
              <w:right w:val="single" w:sz="4" w:space="0" w:color="auto"/>
            </w:tcBorders>
            <w:shd w:val="clear" w:color="auto" w:fill="auto"/>
            <w:vAlign w:val="center"/>
            <w:hideMark/>
          </w:tcPr>
          <w:p w14:paraId="0F298306" w14:textId="5BB75C9C" w:rsidR="0023110A" w:rsidRPr="0055121A" w:rsidRDefault="0023110A" w:rsidP="0023110A">
            <w:pPr>
              <w:spacing w:after="0" w:line="240" w:lineRule="auto"/>
              <w:jc w:val="center"/>
              <w:rPr>
                <w:rFonts w:ascii="Times New Roman" w:eastAsia="Times New Roman" w:hAnsi="Times New Roman" w:cs="Times New Roman"/>
                <w:sz w:val="20"/>
                <w:szCs w:val="20"/>
                <w:lang w:eastAsia="sk-SK"/>
              </w:rPr>
            </w:pPr>
            <w:r>
              <w:rPr>
                <w:sz w:val="20"/>
                <w:szCs w:val="20"/>
              </w:rPr>
              <w:t>4 625 669</w:t>
            </w:r>
          </w:p>
        </w:tc>
        <w:tc>
          <w:tcPr>
            <w:tcW w:w="1163" w:type="dxa"/>
            <w:tcBorders>
              <w:top w:val="nil"/>
              <w:left w:val="nil"/>
              <w:bottom w:val="single" w:sz="4" w:space="0" w:color="auto"/>
              <w:right w:val="single" w:sz="4" w:space="0" w:color="auto"/>
            </w:tcBorders>
            <w:shd w:val="clear" w:color="auto" w:fill="auto"/>
            <w:vAlign w:val="center"/>
            <w:hideMark/>
          </w:tcPr>
          <w:p w14:paraId="46943274" w14:textId="60D69E15" w:rsidR="0023110A" w:rsidRPr="0055121A" w:rsidRDefault="0023110A" w:rsidP="0023110A">
            <w:pPr>
              <w:spacing w:after="0" w:line="240" w:lineRule="auto"/>
              <w:jc w:val="center"/>
              <w:rPr>
                <w:rFonts w:ascii="Times New Roman" w:eastAsia="Times New Roman" w:hAnsi="Times New Roman" w:cs="Times New Roman"/>
                <w:color w:val="000000"/>
                <w:sz w:val="20"/>
                <w:szCs w:val="20"/>
                <w:lang w:eastAsia="sk-SK"/>
              </w:rPr>
            </w:pPr>
            <w:r>
              <w:rPr>
                <w:color w:val="000000"/>
                <w:sz w:val="20"/>
                <w:szCs w:val="20"/>
              </w:rPr>
              <w:t>0</w:t>
            </w: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668FE7AA"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58FF12D3" w14:textId="5C1E45B9" w:rsidR="000D73C1" w:rsidRPr="000D73C1" w:rsidRDefault="000D73C1" w:rsidP="00B60974">
      <w:pPr>
        <w:spacing w:after="0"/>
        <w:jc w:val="both"/>
        <w:rPr>
          <w:rFonts w:ascii="Times New Roman" w:eastAsia="Calibri" w:hAnsi="Times New Roman" w:cs="Times New Roman"/>
          <w:bCs/>
          <w:i/>
          <w:iCs/>
          <w:color w:val="000000"/>
          <w:sz w:val="28"/>
          <w:szCs w:val="24"/>
        </w:rPr>
      </w:pPr>
      <w:r w:rsidRPr="000D73C1">
        <w:rPr>
          <w:rFonts w:ascii="Times New Roman" w:eastAsia="Calibri" w:hAnsi="Times New Roman" w:cs="Times New Roman"/>
          <w:b/>
          <w:bCs/>
          <w:i/>
          <w:iCs/>
          <w:color w:val="000000"/>
          <w:sz w:val="24"/>
          <w:szCs w:val="24"/>
          <w:u w:val="single"/>
        </w:rPr>
        <w:t>Opatrenie 1:</w:t>
      </w:r>
      <w:r>
        <w:rPr>
          <w:rFonts w:ascii="Times New Roman" w:eastAsia="Calibri" w:hAnsi="Times New Roman" w:cs="Times New Roman"/>
          <w:bCs/>
          <w:i/>
          <w:iCs/>
          <w:color w:val="000000"/>
          <w:sz w:val="24"/>
          <w:szCs w:val="24"/>
        </w:rPr>
        <w:t xml:space="preserve"> </w:t>
      </w:r>
      <w:r w:rsidRPr="000D73C1">
        <w:rPr>
          <w:rFonts w:ascii="Times New Roman" w:eastAsia="Calibri" w:hAnsi="Times New Roman" w:cs="Times New Roman"/>
          <w:bCs/>
          <w:i/>
          <w:iCs/>
          <w:color w:val="000000"/>
          <w:sz w:val="24"/>
          <w:szCs w:val="24"/>
        </w:rPr>
        <w:t>Zrušenie povinnosti zamestnávateľa oznámiť zamestnancovi písomne alebo prostredníctvom elektronickej pošty alebo prostredníctvom krátkej textovej správy (SMS), že zamestnávateľ bol zverejnený v Zozname dlžníkov s nesplnenou vykazovacou alebo oznamovacou povinnosťou, a to do 14 dní od zverejnenia.</w:t>
      </w:r>
    </w:p>
    <w:p w14:paraId="77257B9D" w14:textId="77777777" w:rsidR="000D73C1" w:rsidRDefault="000D73C1" w:rsidP="00B60974">
      <w:pPr>
        <w:spacing w:after="0"/>
        <w:jc w:val="both"/>
        <w:rPr>
          <w:rFonts w:ascii="Times New Roman" w:eastAsia="Calibri" w:hAnsi="Times New Roman" w:cs="Times New Roman"/>
          <w:bCs/>
          <w:i/>
          <w:iCs/>
          <w:color w:val="000000"/>
          <w:sz w:val="24"/>
          <w:szCs w:val="24"/>
        </w:rPr>
      </w:pPr>
    </w:p>
    <w:p w14:paraId="6CB57646" w14:textId="72484153" w:rsidR="00B60974" w:rsidRDefault="000D73C1" w:rsidP="00D02A7A">
      <w:pPr>
        <w:spacing w:after="0"/>
        <w:ind w:firstLine="708"/>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P</w:t>
      </w:r>
      <w:r w:rsidR="00B60974">
        <w:rPr>
          <w:rFonts w:ascii="Times New Roman" w:eastAsia="Calibri" w:hAnsi="Times New Roman" w:cs="Times New Roman"/>
          <w:bCs/>
          <w:i/>
          <w:iCs/>
          <w:color w:val="000000"/>
          <w:sz w:val="24"/>
          <w:szCs w:val="24"/>
        </w:rPr>
        <w:t>ri kvantifikácii vplyvov na podnikateľské prostredie</w:t>
      </w:r>
      <w:r>
        <w:rPr>
          <w:rFonts w:ascii="Times New Roman" w:eastAsia="Calibri" w:hAnsi="Times New Roman" w:cs="Times New Roman"/>
          <w:bCs/>
          <w:i/>
          <w:iCs/>
          <w:color w:val="000000"/>
          <w:sz w:val="24"/>
          <w:szCs w:val="24"/>
        </w:rPr>
        <w:t xml:space="preserve"> sa vychádzalo</w:t>
      </w:r>
      <w:r w:rsidR="00B60974">
        <w:rPr>
          <w:rFonts w:ascii="Times New Roman" w:eastAsia="Calibri" w:hAnsi="Times New Roman" w:cs="Times New Roman"/>
          <w:bCs/>
          <w:i/>
          <w:iCs/>
          <w:color w:val="000000"/>
          <w:sz w:val="24"/>
          <w:szCs w:val="24"/>
        </w:rPr>
        <w:t xml:space="preserve"> z aktuálneho Z</w:t>
      </w:r>
      <w:r w:rsidR="00B60974" w:rsidRPr="00B60974">
        <w:rPr>
          <w:rFonts w:ascii="Times New Roman" w:eastAsia="Calibri" w:hAnsi="Times New Roman" w:cs="Times New Roman"/>
          <w:bCs/>
          <w:i/>
          <w:iCs/>
          <w:color w:val="000000"/>
          <w:sz w:val="24"/>
          <w:szCs w:val="24"/>
        </w:rPr>
        <w:t>oznam</w:t>
      </w:r>
      <w:r w:rsidR="00B60974">
        <w:rPr>
          <w:rFonts w:ascii="Times New Roman" w:eastAsia="Calibri" w:hAnsi="Times New Roman" w:cs="Times New Roman"/>
          <w:bCs/>
          <w:i/>
          <w:iCs/>
          <w:color w:val="000000"/>
          <w:sz w:val="24"/>
          <w:szCs w:val="24"/>
        </w:rPr>
        <w:t>u</w:t>
      </w:r>
      <w:r w:rsidR="00B60974" w:rsidRPr="00B60974">
        <w:rPr>
          <w:rFonts w:ascii="Times New Roman" w:eastAsia="Calibri" w:hAnsi="Times New Roman" w:cs="Times New Roman"/>
          <w:bCs/>
          <w:i/>
          <w:iCs/>
          <w:color w:val="000000"/>
          <w:sz w:val="24"/>
          <w:szCs w:val="24"/>
        </w:rPr>
        <w:t xml:space="preserve"> dlžníkov s nesplnenou vykazovacou alebo oznamovacou povinnosťou</w:t>
      </w:r>
      <w:r>
        <w:rPr>
          <w:rFonts w:ascii="Times New Roman" w:eastAsia="Calibri" w:hAnsi="Times New Roman" w:cs="Times New Roman"/>
          <w:bCs/>
          <w:i/>
          <w:iCs/>
          <w:color w:val="000000"/>
          <w:sz w:val="24"/>
          <w:szCs w:val="24"/>
        </w:rPr>
        <w:t xml:space="preserve"> k 29. 7</w:t>
      </w:r>
      <w:r w:rsidR="00B60974">
        <w:rPr>
          <w:rFonts w:ascii="Times New Roman" w:eastAsia="Calibri" w:hAnsi="Times New Roman" w:cs="Times New Roman"/>
          <w:bCs/>
          <w:i/>
          <w:iCs/>
          <w:color w:val="000000"/>
          <w:sz w:val="24"/>
          <w:szCs w:val="24"/>
        </w:rPr>
        <w:t>. 2</w:t>
      </w:r>
      <w:r>
        <w:rPr>
          <w:rFonts w:ascii="Times New Roman" w:eastAsia="Calibri" w:hAnsi="Times New Roman" w:cs="Times New Roman"/>
          <w:bCs/>
          <w:i/>
          <w:iCs/>
          <w:color w:val="000000"/>
          <w:sz w:val="24"/>
          <w:szCs w:val="24"/>
        </w:rPr>
        <w:t>024</w:t>
      </w:r>
      <w:r w:rsidR="00B60974">
        <w:rPr>
          <w:rFonts w:ascii="Times New Roman" w:eastAsia="Calibri" w:hAnsi="Times New Roman" w:cs="Times New Roman"/>
          <w:bCs/>
          <w:i/>
          <w:iCs/>
          <w:color w:val="000000"/>
          <w:sz w:val="24"/>
          <w:szCs w:val="24"/>
        </w:rPr>
        <w:t>. (</w:t>
      </w:r>
      <w:hyperlink r:id="rId12" w:history="1">
        <w:r w:rsidRPr="00202CB6">
          <w:rPr>
            <w:rStyle w:val="Hypertextovprepojenie"/>
          </w:rPr>
          <w:t>https://www.socpoist.sk/nastroje-sluzby/zoznam-dlznikov</w:t>
        </w:r>
      </w:hyperlink>
      <w:r w:rsidR="00B60974">
        <w:rPr>
          <w:rFonts w:ascii="Times New Roman" w:eastAsia="Calibri" w:hAnsi="Times New Roman" w:cs="Times New Roman"/>
          <w:bCs/>
          <w:i/>
          <w:iCs/>
          <w:color w:val="000000"/>
          <w:sz w:val="24"/>
          <w:szCs w:val="24"/>
        </w:rPr>
        <w:t>)</w:t>
      </w:r>
    </w:p>
    <w:p w14:paraId="027C820B" w14:textId="77777777" w:rsidR="000D73C1" w:rsidRPr="000D73C1" w:rsidRDefault="000D73C1" w:rsidP="00B60974">
      <w:pPr>
        <w:spacing w:after="0"/>
        <w:jc w:val="both"/>
      </w:pPr>
    </w:p>
    <w:p w14:paraId="3FB1450B" w14:textId="5B299FB4" w:rsidR="001E24E8" w:rsidRDefault="00B60974" w:rsidP="00D02A7A">
      <w:pPr>
        <w:spacing w:after="0"/>
        <w:ind w:firstLine="708"/>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Na základ</w:t>
      </w:r>
      <w:r w:rsidR="000D73C1">
        <w:rPr>
          <w:rFonts w:ascii="Times New Roman" w:eastAsia="Calibri" w:hAnsi="Times New Roman" w:cs="Times New Roman"/>
          <w:bCs/>
          <w:i/>
          <w:iCs/>
          <w:color w:val="000000"/>
          <w:sz w:val="24"/>
          <w:szCs w:val="24"/>
        </w:rPr>
        <w:t>e tohto zoznamu bolo v roku 2024 identifikovaných viac ako 6 tis.</w:t>
      </w:r>
      <w:r>
        <w:rPr>
          <w:rFonts w:ascii="Times New Roman" w:eastAsia="Calibri" w:hAnsi="Times New Roman" w:cs="Times New Roman"/>
          <w:bCs/>
          <w:i/>
          <w:iCs/>
          <w:color w:val="000000"/>
          <w:sz w:val="24"/>
          <w:szCs w:val="24"/>
        </w:rPr>
        <w:t xml:space="preserve"> podnikateľských subjektov, ktoré si nesplnili svoju vykazovaciu alebo oznamovaciu povinnosť</w:t>
      </w:r>
      <w:r w:rsidR="00D02A7A">
        <w:rPr>
          <w:rFonts w:ascii="Times New Roman" w:eastAsia="Calibri" w:hAnsi="Times New Roman" w:cs="Times New Roman"/>
          <w:bCs/>
          <w:i/>
          <w:iCs/>
          <w:color w:val="000000"/>
          <w:sz w:val="24"/>
          <w:szCs w:val="24"/>
        </w:rPr>
        <w:t>. Priemerný počet mesiacov, za ktoré</w:t>
      </w:r>
      <w:r>
        <w:rPr>
          <w:rFonts w:ascii="Times New Roman" w:eastAsia="Calibri" w:hAnsi="Times New Roman" w:cs="Times New Roman"/>
          <w:bCs/>
          <w:i/>
          <w:iCs/>
          <w:color w:val="000000"/>
          <w:sz w:val="24"/>
          <w:szCs w:val="24"/>
        </w:rPr>
        <w:t xml:space="preserve"> si posudzovaná skupina podnikateľov nesplnila svoju povinnosť bol na úrovni 2,6 mesiaca. Pri posúdení vplyvov predpokladáme, že zamestnávateľ bude informovať svojich zamestnancov elektronicky a zaberie mu to približne 5 min.</w:t>
      </w:r>
    </w:p>
    <w:p w14:paraId="5D6C6026" w14:textId="59F8FE3E" w:rsidR="00B60974" w:rsidRDefault="00B60974" w:rsidP="00B60974">
      <w:pPr>
        <w:spacing w:after="0"/>
        <w:jc w:val="both"/>
        <w:rPr>
          <w:rFonts w:ascii="Times New Roman" w:eastAsia="Calibri" w:hAnsi="Times New Roman" w:cs="Times New Roman"/>
          <w:bCs/>
          <w:i/>
          <w:iCs/>
          <w:color w:val="000000"/>
          <w:sz w:val="24"/>
          <w:szCs w:val="24"/>
        </w:rPr>
      </w:pPr>
    </w:p>
    <w:p w14:paraId="196D4219" w14:textId="77777777" w:rsidR="00D02A7A" w:rsidRDefault="000D73C1" w:rsidP="000D73C1">
      <w:pPr>
        <w:spacing w:after="0"/>
        <w:jc w:val="both"/>
        <w:rPr>
          <w:rFonts w:ascii="Times New Roman" w:eastAsia="Calibri" w:hAnsi="Times New Roman" w:cs="Times New Roman"/>
          <w:bCs/>
          <w:i/>
          <w:iCs/>
          <w:color w:val="000000"/>
          <w:sz w:val="24"/>
          <w:szCs w:val="24"/>
        </w:rPr>
      </w:pPr>
      <w:r w:rsidRPr="000D73C1">
        <w:rPr>
          <w:rFonts w:ascii="Times New Roman" w:eastAsia="Calibri" w:hAnsi="Times New Roman" w:cs="Times New Roman"/>
          <w:b/>
          <w:bCs/>
          <w:i/>
          <w:iCs/>
          <w:color w:val="000000"/>
          <w:sz w:val="24"/>
          <w:szCs w:val="24"/>
          <w:u w:val="single"/>
        </w:rPr>
        <w:t xml:space="preserve">Opatrenie </w:t>
      </w:r>
      <w:r>
        <w:rPr>
          <w:rFonts w:ascii="Times New Roman" w:eastAsia="Calibri" w:hAnsi="Times New Roman" w:cs="Times New Roman"/>
          <w:b/>
          <w:bCs/>
          <w:i/>
          <w:iCs/>
          <w:color w:val="000000"/>
          <w:sz w:val="24"/>
          <w:szCs w:val="24"/>
          <w:u w:val="single"/>
        </w:rPr>
        <w:t>2</w:t>
      </w:r>
      <w:r w:rsidRPr="000D73C1">
        <w:rPr>
          <w:rFonts w:ascii="Times New Roman" w:eastAsia="Calibri" w:hAnsi="Times New Roman" w:cs="Times New Roman"/>
          <w:b/>
          <w:bCs/>
          <w:i/>
          <w:iCs/>
          <w:color w:val="000000"/>
          <w:sz w:val="24"/>
          <w:szCs w:val="24"/>
          <w:u w:val="single"/>
        </w:rPr>
        <w:t>:</w:t>
      </w:r>
      <w:r>
        <w:rPr>
          <w:rFonts w:ascii="Times New Roman" w:eastAsia="Calibri" w:hAnsi="Times New Roman" w:cs="Times New Roman"/>
          <w:bCs/>
          <w:i/>
          <w:iCs/>
          <w:color w:val="000000"/>
          <w:sz w:val="24"/>
          <w:szCs w:val="24"/>
        </w:rPr>
        <w:t xml:space="preserve"> Zrušenie povinnosti zamestnávateľov </w:t>
      </w:r>
      <w:r w:rsidRPr="000D73C1">
        <w:rPr>
          <w:rFonts w:ascii="Times New Roman" w:eastAsia="Calibri" w:hAnsi="Times New Roman" w:cs="Times New Roman"/>
          <w:bCs/>
          <w:i/>
          <w:iCs/>
          <w:color w:val="000000"/>
          <w:sz w:val="24"/>
          <w:szCs w:val="24"/>
        </w:rPr>
        <w:t>evidovať údaje súvisiace s pracovnoprávnym vzťahom svojich zamestnancov na účely ich dôchodkového poistenia. Túto evidenciu sú následne povinní predkladať Sociálnej poisťovni na formulári, ktorý bol vytvorený tak, aby obsahoval nevyhnutne potrebné údaje za jednotlivé kalendárne roky, teda vo formáte priamo použiteľnom na rozhodovanie o nároku na dôchodok. Ide o formulár, evidenčný list dôchodkového poistenia (ELDP), ktorý zamestnávatelia od januára 2016 môžu posielať v elektronickej forme.</w:t>
      </w:r>
      <w:r w:rsidR="00D02A7A">
        <w:rPr>
          <w:rFonts w:ascii="Times New Roman" w:eastAsia="Calibri" w:hAnsi="Times New Roman" w:cs="Times New Roman"/>
          <w:bCs/>
          <w:i/>
          <w:iCs/>
          <w:color w:val="000000"/>
          <w:sz w:val="24"/>
          <w:szCs w:val="24"/>
        </w:rPr>
        <w:t xml:space="preserve"> </w:t>
      </w:r>
    </w:p>
    <w:p w14:paraId="40057938" w14:textId="77777777" w:rsidR="00D02A7A" w:rsidRDefault="00D02A7A" w:rsidP="00D02A7A">
      <w:pPr>
        <w:spacing w:after="0"/>
        <w:ind w:firstLine="708"/>
        <w:jc w:val="both"/>
        <w:rPr>
          <w:rFonts w:ascii="Times New Roman" w:eastAsia="Calibri" w:hAnsi="Times New Roman" w:cs="Times New Roman"/>
          <w:bCs/>
          <w:i/>
          <w:iCs/>
          <w:color w:val="000000"/>
          <w:sz w:val="24"/>
          <w:szCs w:val="24"/>
        </w:rPr>
      </w:pPr>
    </w:p>
    <w:p w14:paraId="4AAFACD1" w14:textId="4A0743F5" w:rsidR="00D02A7A" w:rsidRDefault="00D02A7A" w:rsidP="0081701F">
      <w:pPr>
        <w:spacing w:after="0"/>
        <w:ind w:firstLine="708"/>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V súvislosti so zrušením tejto povinnosti a s prechodom na mesačný výkaz poistenia a príspevkov je potrebné pôvodne spracované údaje z evidenčných listov zaslať jednorazovo Sociálnej poisťovni.</w:t>
      </w:r>
      <w:r w:rsidR="0081701F">
        <w:rPr>
          <w:rFonts w:ascii="Times New Roman" w:eastAsia="Calibri" w:hAnsi="Times New Roman" w:cs="Times New Roman"/>
          <w:bCs/>
          <w:i/>
          <w:iCs/>
          <w:color w:val="000000"/>
          <w:sz w:val="24"/>
          <w:szCs w:val="24"/>
        </w:rPr>
        <w:t xml:space="preserve"> </w:t>
      </w:r>
      <w:r w:rsidR="000D73C1">
        <w:rPr>
          <w:rFonts w:ascii="Times New Roman" w:eastAsia="Calibri" w:hAnsi="Times New Roman" w:cs="Times New Roman"/>
          <w:bCs/>
          <w:i/>
          <w:iCs/>
          <w:color w:val="000000"/>
          <w:sz w:val="24"/>
          <w:szCs w:val="24"/>
        </w:rPr>
        <w:t>Pri kvantifikácii vplyvov na podnikateľské prostredie sa vychádzalo z údajov Sociálnej poisťovne, ktorá predpokl</w:t>
      </w:r>
      <w:r>
        <w:rPr>
          <w:rFonts w:ascii="Times New Roman" w:eastAsia="Calibri" w:hAnsi="Times New Roman" w:cs="Times New Roman"/>
          <w:bCs/>
          <w:i/>
          <w:iCs/>
          <w:color w:val="000000"/>
          <w:sz w:val="24"/>
          <w:szCs w:val="24"/>
        </w:rPr>
        <w:t>adá, že jednorazové zaslanie evidenčných listov dôchodkového poistenia</w:t>
      </w:r>
      <w:r w:rsidR="000D73C1">
        <w:rPr>
          <w:rFonts w:ascii="Times New Roman" w:eastAsia="Calibri" w:hAnsi="Times New Roman" w:cs="Times New Roman"/>
          <w:bCs/>
          <w:i/>
          <w:iCs/>
          <w:color w:val="000000"/>
          <w:sz w:val="24"/>
          <w:szCs w:val="24"/>
        </w:rPr>
        <w:t xml:space="preserve"> sa dotkne približne 183 tis. zamestnávateľov, korí budú musieť zaslať jednorazovo elektronický list dôchodkového poistenia v roku 2026 za približne 2,3 mil. poistencov. V nasledujúcich rokoch sa predpokladá administratívna úspora, nakoľko zamestnávatelia už viac nebudú musieť túto evidenciu predkladať </w:t>
      </w:r>
      <w:r>
        <w:rPr>
          <w:rFonts w:ascii="Times New Roman" w:eastAsia="Calibri" w:hAnsi="Times New Roman" w:cs="Times New Roman"/>
          <w:bCs/>
          <w:i/>
          <w:iCs/>
          <w:color w:val="000000"/>
          <w:sz w:val="24"/>
          <w:szCs w:val="24"/>
        </w:rPr>
        <w:t>samostatne Sociálnej poisťovni, nakoľko požadované údaje budú súčasťou mesačných výkazov.</w:t>
      </w:r>
      <w:r w:rsidR="000D73C1">
        <w:rPr>
          <w:rFonts w:ascii="Times New Roman" w:eastAsia="Calibri" w:hAnsi="Times New Roman" w:cs="Times New Roman"/>
          <w:bCs/>
          <w:i/>
          <w:iCs/>
          <w:color w:val="000000"/>
          <w:sz w:val="24"/>
          <w:szCs w:val="24"/>
        </w:rPr>
        <w:t xml:space="preserve"> </w:t>
      </w:r>
      <w:r>
        <w:rPr>
          <w:rFonts w:ascii="Times New Roman" w:eastAsia="Calibri" w:hAnsi="Times New Roman" w:cs="Times New Roman"/>
          <w:bCs/>
          <w:i/>
          <w:iCs/>
          <w:color w:val="000000"/>
          <w:sz w:val="24"/>
          <w:szCs w:val="24"/>
        </w:rPr>
        <w:t xml:space="preserve">Priemerný čas na spracovanie evidenčného </w:t>
      </w:r>
      <w:r w:rsidR="00791CE6">
        <w:rPr>
          <w:rFonts w:ascii="Times New Roman" w:eastAsia="Calibri" w:hAnsi="Times New Roman" w:cs="Times New Roman"/>
          <w:bCs/>
          <w:i/>
          <w:iCs/>
          <w:color w:val="000000"/>
          <w:sz w:val="24"/>
          <w:szCs w:val="24"/>
        </w:rPr>
        <w:t xml:space="preserve">listu </w:t>
      </w:r>
      <w:r>
        <w:rPr>
          <w:rFonts w:ascii="Times New Roman" w:eastAsia="Calibri" w:hAnsi="Times New Roman" w:cs="Times New Roman"/>
          <w:bCs/>
          <w:i/>
          <w:iCs/>
          <w:color w:val="000000"/>
          <w:sz w:val="24"/>
          <w:szCs w:val="24"/>
        </w:rPr>
        <w:t xml:space="preserve">za jedného zamestnanca a jeden rok odhadujeme na úrovni približne 3 – 5 min. V prípade zamestnancov, za ktorých sa zasiela evidenčný list dôchodkového poistenia za viac rokov sa predpokladá časová náročnosť na úrovni približne 10 min. </w:t>
      </w:r>
    </w:p>
    <w:p w14:paraId="6927DA3B" w14:textId="77777777" w:rsidR="00D02A7A" w:rsidRDefault="00D02A7A" w:rsidP="000D73C1">
      <w:pPr>
        <w:spacing w:after="0"/>
        <w:jc w:val="both"/>
        <w:rPr>
          <w:rFonts w:ascii="Times New Roman" w:eastAsia="Calibri" w:hAnsi="Times New Roman" w:cs="Times New Roman"/>
          <w:bCs/>
          <w:i/>
          <w:iCs/>
          <w:color w:val="000000"/>
          <w:sz w:val="24"/>
          <w:szCs w:val="24"/>
        </w:rPr>
      </w:pPr>
    </w:p>
    <w:p w14:paraId="4A8CAB06" w14:textId="76BC02C4" w:rsidR="000D73C1" w:rsidRDefault="00D02A7A" w:rsidP="00D02A7A">
      <w:pPr>
        <w:spacing w:after="0"/>
        <w:ind w:firstLine="708"/>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lastRenderedPageBreak/>
        <w:t>Z údajov Sociálnej poisťovne ďalej vyplýva, že k</w:t>
      </w:r>
      <w:r w:rsidR="000D73C1">
        <w:rPr>
          <w:rFonts w:ascii="Times New Roman" w:eastAsia="Calibri" w:hAnsi="Times New Roman" w:cs="Times New Roman"/>
          <w:bCs/>
          <w:i/>
          <w:iCs/>
          <w:color w:val="000000"/>
          <w:sz w:val="24"/>
          <w:szCs w:val="24"/>
        </w:rPr>
        <w:t xml:space="preserve">aždoročne </w:t>
      </w:r>
      <w:r>
        <w:rPr>
          <w:rFonts w:ascii="Times New Roman" w:eastAsia="Calibri" w:hAnsi="Times New Roman" w:cs="Times New Roman"/>
          <w:bCs/>
          <w:i/>
          <w:iCs/>
          <w:color w:val="000000"/>
          <w:sz w:val="24"/>
          <w:szCs w:val="24"/>
        </w:rPr>
        <w:t xml:space="preserve">zasiela Sociálnej poisťovni evidenčný list dôchodkového poistenia </w:t>
      </w:r>
      <w:r w:rsidR="000D73C1">
        <w:rPr>
          <w:rFonts w:ascii="Times New Roman" w:eastAsia="Calibri" w:hAnsi="Times New Roman" w:cs="Times New Roman"/>
          <w:bCs/>
          <w:i/>
          <w:iCs/>
          <w:color w:val="000000"/>
          <w:sz w:val="24"/>
          <w:szCs w:val="24"/>
        </w:rPr>
        <w:t xml:space="preserve">v priemere </w:t>
      </w:r>
      <w:r>
        <w:rPr>
          <w:rFonts w:ascii="Times New Roman" w:eastAsia="Calibri" w:hAnsi="Times New Roman" w:cs="Times New Roman"/>
          <w:bCs/>
          <w:i/>
          <w:iCs/>
          <w:color w:val="000000"/>
          <w:sz w:val="24"/>
          <w:szCs w:val="24"/>
        </w:rPr>
        <w:t xml:space="preserve">približne </w:t>
      </w:r>
      <w:r w:rsidR="000D73C1">
        <w:rPr>
          <w:rFonts w:ascii="Times New Roman" w:eastAsia="Calibri" w:hAnsi="Times New Roman" w:cs="Times New Roman"/>
          <w:bCs/>
          <w:i/>
          <w:iCs/>
          <w:color w:val="000000"/>
          <w:sz w:val="24"/>
          <w:szCs w:val="24"/>
        </w:rPr>
        <w:t>95 tis. zamestnávateľov</w:t>
      </w:r>
      <w:r>
        <w:rPr>
          <w:rFonts w:ascii="Times New Roman" w:eastAsia="Calibri" w:hAnsi="Times New Roman" w:cs="Times New Roman"/>
          <w:bCs/>
          <w:i/>
          <w:iCs/>
          <w:color w:val="000000"/>
          <w:sz w:val="24"/>
          <w:szCs w:val="24"/>
        </w:rPr>
        <w:t xml:space="preserve"> za približne 1,2 mil. zamestnancov. Práve v prípade týchto zamestnávateľov dôjde prijatím legislatívnej úpravy každoročne k zníženiu administratívnej záťaže v odhadovanej dĺžke spracovania cca 65 min.  </w:t>
      </w:r>
    </w:p>
    <w:p w14:paraId="25C31A9B" w14:textId="2F31FD90" w:rsidR="00D02A7A" w:rsidRDefault="00D02A7A" w:rsidP="00D02A7A">
      <w:pPr>
        <w:spacing w:after="0"/>
        <w:ind w:firstLine="708"/>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Doplnenie mesačných výkazov poistenia a príspevkov  o nevyhnutné údaje z pôvodných evidenčných listov</w:t>
      </w:r>
      <w:r w:rsidR="0081701F">
        <w:rPr>
          <w:rFonts w:ascii="Times New Roman" w:eastAsia="Calibri" w:hAnsi="Times New Roman" w:cs="Times New Roman"/>
          <w:bCs/>
          <w:i/>
          <w:iCs/>
          <w:color w:val="000000"/>
          <w:sz w:val="24"/>
          <w:szCs w:val="24"/>
        </w:rPr>
        <w:t xml:space="preserve"> dôchodkového poistenia</w:t>
      </w:r>
      <w:r>
        <w:rPr>
          <w:rFonts w:ascii="Times New Roman" w:eastAsia="Calibri" w:hAnsi="Times New Roman" w:cs="Times New Roman"/>
          <w:bCs/>
          <w:i/>
          <w:iCs/>
          <w:color w:val="000000"/>
          <w:sz w:val="24"/>
          <w:szCs w:val="24"/>
        </w:rPr>
        <w:t xml:space="preserve"> nez</w:t>
      </w:r>
      <w:r w:rsidR="0081701F">
        <w:rPr>
          <w:rFonts w:ascii="Times New Roman" w:eastAsia="Calibri" w:hAnsi="Times New Roman" w:cs="Times New Roman"/>
          <w:bCs/>
          <w:i/>
          <w:iCs/>
          <w:color w:val="000000"/>
          <w:sz w:val="24"/>
          <w:szCs w:val="24"/>
        </w:rPr>
        <w:t>akladá zvýšenie administratívnej</w:t>
      </w:r>
      <w:r>
        <w:rPr>
          <w:rFonts w:ascii="Times New Roman" w:eastAsia="Calibri" w:hAnsi="Times New Roman" w:cs="Times New Roman"/>
          <w:bCs/>
          <w:i/>
          <w:iCs/>
          <w:color w:val="000000"/>
          <w:sz w:val="24"/>
          <w:szCs w:val="24"/>
        </w:rPr>
        <w:t xml:space="preserve"> náročnosti pre zamestnávateľov.</w:t>
      </w:r>
    </w:p>
    <w:p w14:paraId="1189E16B" w14:textId="77777777" w:rsidR="000D73C1" w:rsidRPr="000D73C1" w:rsidRDefault="000D73C1" w:rsidP="000D73C1">
      <w:pPr>
        <w:spacing w:after="0"/>
        <w:jc w:val="both"/>
      </w:pPr>
    </w:p>
    <w:p w14:paraId="71999059" w14:textId="77B9DEDB" w:rsidR="000D73C1" w:rsidRDefault="000D73C1" w:rsidP="000D73C1">
      <w:pPr>
        <w:spacing w:after="0"/>
        <w:jc w:val="both"/>
        <w:rPr>
          <w:rFonts w:ascii="Times New Roman" w:eastAsia="Calibri" w:hAnsi="Times New Roman" w:cs="Times New Roman"/>
          <w:bCs/>
          <w:i/>
          <w:iCs/>
          <w:color w:val="000000"/>
          <w:sz w:val="24"/>
          <w:szCs w:val="24"/>
        </w:rPr>
      </w:pPr>
    </w:p>
    <w:p w14:paraId="403E8929" w14:textId="77777777" w:rsidR="000D73C1" w:rsidRDefault="000D73C1" w:rsidP="00B60974">
      <w:pPr>
        <w:spacing w:after="0"/>
        <w:jc w:val="both"/>
        <w:rPr>
          <w:rFonts w:ascii="Times New Roman" w:eastAsia="Calibri" w:hAnsi="Times New Roman" w:cs="Times New Roman"/>
          <w:bCs/>
          <w:i/>
          <w:iCs/>
          <w:color w:val="000000"/>
          <w:sz w:val="24"/>
          <w:szCs w:val="24"/>
        </w:rPr>
      </w:pP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goldplating</w:t>
      </w:r>
      <w:r w:rsidR="0016512E">
        <w:rPr>
          <w:rFonts w:ascii="Times New Roman" w:eastAsia="Calibri" w:hAnsi="Times New Roman" w:cs="Times New Roman"/>
          <w:b/>
          <w:bCs/>
          <w:i/>
          <w:sz w:val="24"/>
          <w:szCs w:val="24"/>
          <w:u w:val="single"/>
        </w:rPr>
        <w:t>u</w:t>
      </w:r>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goldplatingu (ku každej hodnotenej regulácii s goldplatingom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goldplatingu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goldplatingu</w:t>
      </w:r>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69CB5DAB" w14:textId="77777777" w:rsidR="00054C41" w:rsidRPr="00D8247C" w:rsidRDefault="00054C41" w:rsidP="00054C41">
      <w:pPr>
        <w:rPr>
          <w:rFonts w:ascii="Times New Roman" w:eastAsia="Calibri" w:hAnsi="Times New Roman" w:cs="Times New Roman"/>
          <w:i/>
          <w:sz w:val="24"/>
          <w:szCs w:val="24"/>
        </w:rPr>
      </w:pPr>
    </w:p>
    <w:p w14:paraId="4B6C06E6" w14:textId="77777777" w:rsidR="00024EE4" w:rsidRDefault="00024EE4" w:rsidP="00054C41">
      <w:pPr>
        <w:jc w:val="both"/>
        <w:rPr>
          <w:rFonts w:ascii="Times New Roman" w:eastAsia="Calibri" w:hAnsi="Times New Roman" w:cs="Times New Roman"/>
          <w:b/>
          <w:sz w:val="24"/>
          <w:szCs w:val="24"/>
        </w:rPr>
      </w:pPr>
    </w:p>
    <w:p w14:paraId="4BD96D6C" w14:textId="77777777" w:rsidR="00024EE4" w:rsidRDefault="00024EE4" w:rsidP="00054C41">
      <w:pPr>
        <w:jc w:val="both"/>
        <w:rPr>
          <w:rFonts w:ascii="Times New Roman" w:eastAsia="Calibri" w:hAnsi="Times New Roman" w:cs="Times New Roman"/>
          <w:b/>
          <w:sz w:val="24"/>
          <w:szCs w:val="24"/>
        </w:rPr>
      </w:pP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lastRenderedPageBreak/>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78FF6D3" w14:textId="77777777" w:rsidR="00054C41" w:rsidRPr="00D8247C" w:rsidRDefault="00054C41" w:rsidP="00054C41">
      <w:pPr>
        <w:spacing w:after="0"/>
        <w:jc w:val="both"/>
        <w:rPr>
          <w:rFonts w:ascii="Times New Roman" w:eastAsia="Calibri" w:hAnsi="Times New Roman" w:cs="Times New Roman"/>
          <w:i/>
          <w:sz w:val="24"/>
          <w:szCs w:val="24"/>
        </w:rPr>
      </w:pPr>
    </w:p>
    <w:p w14:paraId="08FCAD96" w14:textId="77777777" w:rsidR="00054C41" w:rsidRPr="00D8247C" w:rsidRDefault="00054C41" w:rsidP="00054C41">
      <w:pPr>
        <w:spacing w:after="0"/>
        <w:jc w:val="both"/>
        <w:rPr>
          <w:rFonts w:ascii="Times New Roman" w:eastAsia="Calibri" w:hAnsi="Times New Roman" w:cs="Times New Roman"/>
          <w:i/>
          <w:sz w:val="24"/>
          <w:szCs w:val="24"/>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5CAF52B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4D049DE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14:paraId="452A90F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D074838"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6B6A3793"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64E2FB2F"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w:t>
      </w:r>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2CB32C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1C0F21E1" w:rsidR="00054C41" w:rsidRPr="00D8247C" w:rsidRDefault="00F973D4"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2757FC">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77777777" w:rsidR="00054C41" w:rsidRPr="00D8247C" w:rsidRDefault="00054C41"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0507DE41" w:rsidR="00054C41" w:rsidRPr="00D8247C" w:rsidRDefault="00F973D4"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2757FC">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FFE92DA" w14:textId="77777777" w:rsidR="00054C41" w:rsidRPr="00D8247C" w:rsidRDefault="00054C41" w:rsidP="00054C41">
      <w:pPr>
        <w:spacing w:after="0"/>
        <w:jc w:val="both"/>
        <w:rPr>
          <w:rFonts w:ascii="Times New Roman" w:eastAsia="Calibri" w:hAnsi="Times New Roman" w:cs="Times New Roman"/>
          <w:i/>
          <w:sz w:val="24"/>
          <w:szCs w:val="24"/>
        </w:rPr>
      </w:pPr>
    </w:p>
    <w:p w14:paraId="04547B8F" w14:textId="77777777" w:rsidR="00054C41" w:rsidRDefault="00054C41" w:rsidP="00054C41">
      <w:pPr>
        <w:spacing w:after="0"/>
        <w:jc w:val="both"/>
        <w:rPr>
          <w:rFonts w:ascii="Times New Roman" w:eastAsia="Calibri" w:hAnsi="Times New Roman" w:cs="Times New Roman"/>
          <w:i/>
          <w:sz w:val="24"/>
          <w:szCs w:val="24"/>
        </w:rPr>
      </w:pPr>
    </w:p>
    <w:p w14:paraId="3814BF91" w14:textId="77777777" w:rsidR="00E30D85" w:rsidRPr="00D8247C" w:rsidRDefault="00E30D85"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vplyvy súvisiace so žiadosťami o alebo prijímaním dotácií, fondov, štátnej pomoci a čerpaním iných obdobných foriem podpory zo strany štátu, keďže sú sprievodným </w:t>
      </w:r>
      <w:r>
        <w:rPr>
          <w:rFonts w:ascii="Times New Roman" w:eastAsia="Calibri" w:hAnsi="Times New Roman" w:cs="Times New Roman"/>
          <w:i/>
          <w:sz w:val="24"/>
          <w:szCs w:val="24"/>
        </w:rPr>
        <w:lastRenderedPageBreak/>
        <w:t>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iné vplyvy podľa písm. a) až c), ktoré sú goldplatingom.</w:t>
      </w:r>
    </w:p>
    <w:p w14:paraId="656A83C3"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424DBDFC"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47A4B2DA" w14:textId="77777777" w:rsidR="00142154" w:rsidRDefault="00142154"/>
    <w:sectPr w:rsidR="00142154"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0AB9A" w14:textId="77777777" w:rsidR="00F973D4" w:rsidRDefault="00F973D4" w:rsidP="00054C41">
      <w:pPr>
        <w:spacing w:after="0" w:line="240" w:lineRule="auto"/>
      </w:pPr>
      <w:r>
        <w:separator/>
      </w:r>
    </w:p>
  </w:endnote>
  <w:endnote w:type="continuationSeparator" w:id="0">
    <w:p w14:paraId="3CFFEE51" w14:textId="77777777" w:rsidR="00F973D4" w:rsidRDefault="00F973D4"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4408ED8F" w:rsidR="00FF2281" w:rsidRPr="006045CB" w:rsidRDefault="00FF2281"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574DAC">
          <w:rPr>
            <w:rFonts w:ascii="Times New Roman" w:hAnsi="Times New Roman" w:cs="Times New Roman"/>
            <w:noProof/>
            <w:sz w:val="24"/>
            <w:szCs w:val="24"/>
          </w:rPr>
          <w:t>7</w:t>
        </w:r>
        <w:r w:rsidRPr="006045CB">
          <w:rPr>
            <w:rFonts w:ascii="Times New Roman" w:hAnsi="Times New Roman" w:cs="Times New Roman"/>
            <w:sz w:val="24"/>
            <w:szCs w:val="24"/>
          </w:rPr>
          <w:fldChar w:fldCharType="end"/>
        </w:r>
      </w:p>
    </w:sdtContent>
  </w:sdt>
  <w:p w14:paraId="4556761F" w14:textId="77777777" w:rsidR="00FF2281" w:rsidRPr="00FF7125" w:rsidRDefault="00FF2281" w:rsidP="00054C41">
    <w:pPr>
      <w:pStyle w:val="Pta"/>
      <w:rPr>
        <w:sz w:val="24"/>
        <w:szCs w:val="24"/>
      </w:rPr>
    </w:pPr>
  </w:p>
  <w:p w14:paraId="20FE6A4A" w14:textId="77777777" w:rsidR="00FF2281" w:rsidRDefault="00FF22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1E2D2" w14:textId="77777777" w:rsidR="00F973D4" w:rsidRDefault="00F973D4" w:rsidP="00054C41">
      <w:pPr>
        <w:spacing w:after="0" w:line="240" w:lineRule="auto"/>
      </w:pPr>
      <w:r>
        <w:separator/>
      </w:r>
    </w:p>
  </w:footnote>
  <w:footnote w:type="continuationSeparator" w:id="0">
    <w:p w14:paraId="62FCF86B" w14:textId="77777777" w:rsidR="00F973D4" w:rsidRDefault="00F973D4" w:rsidP="00054C41">
      <w:pPr>
        <w:spacing w:after="0" w:line="240" w:lineRule="auto"/>
      </w:pPr>
      <w:r>
        <w:continuationSeparator/>
      </w:r>
    </w:p>
  </w:footnote>
  <w:footnote w:id="1">
    <w:p w14:paraId="6CC680CB" w14:textId="6BF8CDC6" w:rsidR="00FF2281" w:rsidRPr="000A6B7F" w:rsidRDefault="00FF2281"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1647D7DF" w14:textId="77777777" w:rsidR="00FF2281" w:rsidRPr="00804BC8" w:rsidRDefault="00FF2281"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5D313DAF" w14:textId="77777777" w:rsidR="00FF2281" w:rsidRDefault="00FF2281"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E6B" w14:textId="77777777" w:rsidR="00FF2281" w:rsidRPr="006045CB" w:rsidRDefault="00FF2281"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FF2281" w:rsidRPr="006045CB" w:rsidRDefault="00FF2281"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9"/>
  </w:num>
  <w:num w:numId="3">
    <w:abstractNumId w:val="10"/>
  </w:num>
  <w:num w:numId="4">
    <w:abstractNumId w:val="8"/>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4"/>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425A"/>
    <w:rsid w:val="00024EE4"/>
    <w:rsid w:val="00047C70"/>
    <w:rsid w:val="00050AAB"/>
    <w:rsid w:val="00054A53"/>
    <w:rsid w:val="00054C41"/>
    <w:rsid w:val="00060DA1"/>
    <w:rsid w:val="00061E85"/>
    <w:rsid w:val="00074898"/>
    <w:rsid w:val="000820E0"/>
    <w:rsid w:val="00091A43"/>
    <w:rsid w:val="0009490E"/>
    <w:rsid w:val="000A6B7F"/>
    <w:rsid w:val="000C5419"/>
    <w:rsid w:val="000C5E9A"/>
    <w:rsid w:val="000D15F0"/>
    <w:rsid w:val="000D73C1"/>
    <w:rsid w:val="000F4732"/>
    <w:rsid w:val="0011003B"/>
    <w:rsid w:val="001133DA"/>
    <w:rsid w:val="00126A2B"/>
    <w:rsid w:val="00142154"/>
    <w:rsid w:val="001476A4"/>
    <w:rsid w:val="00162C6C"/>
    <w:rsid w:val="0016512E"/>
    <w:rsid w:val="0018715C"/>
    <w:rsid w:val="001A1561"/>
    <w:rsid w:val="001B4C03"/>
    <w:rsid w:val="001C7B91"/>
    <w:rsid w:val="001D1083"/>
    <w:rsid w:val="001D3FA0"/>
    <w:rsid w:val="001E24E8"/>
    <w:rsid w:val="001E53CB"/>
    <w:rsid w:val="00207F43"/>
    <w:rsid w:val="002232D3"/>
    <w:rsid w:val="00225A83"/>
    <w:rsid w:val="0023110A"/>
    <w:rsid w:val="00231B8F"/>
    <w:rsid w:val="0027007F"/>
    <w:rsid w:val="00270EA5"/>
    <w:rsid w:val="002712B9"/>
    <w:rsid w:val="002757FC"/>
    <w:rsid w:val="00284B8C"/>
    <w:rsid w:val="0029483F"/>
    <w:rsid w:val="002C2FC0"/>
    <w:rsid w:val="002E050C"/>
    <w:rsid w:val="00302A17"/>
    <w:rsid w:val="00314D25"/>
    <w:rsid w:val="00315BE2"/>
    <w:rsid w:val="003322EE"/>
    <w:rsid w:val="00337630"/>
    <w:rsid w:val="00340CFD"/>
    <w:rsid w:val="003413D5"/>
    <w:rsid w:val="00342621"/>
    <w:rsid w:val="00357F22"/>
    <w:rsid w:val="0036748D"/>
    <w:rsid w:val="00376039"/>
    <w:rsid w:val="0038255E"/>
    <w:rsid w:val="0039037D"/>
    <w:rsid w:val="00391648"/>
    <w:rsid w:val="0039304E"/>
    <w:rsid w:val="0039334E"/>
    <w:rsid w:val="00394AD2"/>
    <w:rsid w:val="003A02AF"/>
    <w:rsid w:val="003A3124"/>
    <w:rsid w:val="003A686F"/>
    <w:rsid w:val="003B1AF0"/>
    <w:rsid w:val="003E58B8"/>
    <w:rsid w:val="003F06D7"/>
    <w:rsid w:val="00400224"/>
    <w:rsid w:val="00400BA5"/>
    <w:rsid w:val="00410E62"/>
    <w:rsid w:val="00414FA7"/>
    <w:rsid w:val="00420090"/>
    <w:rsid w:val="004239D1"/>
    <w:rsid w:val="0043770F"/>
    <w:rsid w:val="00445638"/>
    <w:rsid w:val="00446432"/>
    <w:rsid w:val="00446512"/>
    <w:rsid w:val="00466D7A"/>
    <w:rsid w:val="00470570"/>
    <w:rsid w:val="0048237B"/>
    <w:rsid w:val="00484D16"/>
    <w:rsid w:val="00491853"/>
    <w:rsid w:val="004A14CD"/>
    <w:rsid w:val="004A2C6B"/>
    <w:rsid w:val="004D20CB"/>
    <w:rsid w:val="004D65B2"/>
    <w:rsid w:val="004D681D"/>
    <w:rsid w:val="004E2324"/>
    <w:rsid w:val="004F63E6"/>
    <w:rsid w:val="005103DA"/>
    <w:rsid w:val="00511F8F"/>
    <w:rsid w:val="00512BA7"/>
    <w:rsid w:val="0051364C"/>
    <w:rsid w:val="00515726"/>
    <w:rsid w:val="0055121A"/>
    <w:rsid w:val="00562527"/>
    <w:rsid w:val="00562A1E"/>
    <w:rsid w:val="00563427"/>
    <w:rsid w:val="00574DAC"/>
    <w:rsid w:val="00581EB9"/>
    <w:rsid w:val="005B4E6E"/>
    <w:rsid w:val="005B56E4"/>
    <w:rsid w:val="005C795C"/>
    <w:rsid w:val="005D0E50"/>
    <w:rsid w:val="005D39D8"/>
    <w:rsid w:val="005E582E"/>
    <w:rsid w:val="0061097B"/>
    <w:rsid w:val="0061612F"/>
    <w:rsid w:val="006177C8"/>
    <w:rsid w:val="0062600A"/>
    <w:rsid w:val="0063777D"/>
    <w:rsid w:val="00643358"/>
    <w:rsid w:val="00646084"/>
    <w:rsid w:val="006564C3"/>
    <w:rsid w:val="006578CB"/>
    <w:rsid w:val="006A4E85"/>
    <w:rsid w:val="006A60C0"/>
    <w:rsid w:val="006A712F"/>
    <w:rsid w:val="006B5D74"/>
    <w:rsid w:val="006C25BE"/>
    <w:rsid w:val="006C36F1"/>
    <w:rsid w:val="006D7AD8"/>
    <w:rsid w:val="006F0F9B"/>
    <w:rsid w:val="006F1D57"/>
    <w:rsid w:val="0070364C"/>
    <w:rsid w:val="00710EDF"/>
    <w:rsid w:val="0072221D"/>
    <w:rsid w:val="0072357C"/>
    <w:rsid w:val="007259CB"/>
    <w:rsid w:val="00726031"/>
    <w:rsid w:val="00733533"/>
    <w:rsid w:val="00751DA9"/>
    <w:rsid w:val="00755E69"/>
    <w:rsid w:val="007648EE"/>
    <w:rsid w:val="0077106D"/>
    <w:rsid w:val="00780ACC"/>
    <w:rsid w:val="00787A11"/>
    <w:rsid w:val="00791CE6"/>
    <w:rsid w:val="00797B40"/>
    <w:rsid w:val="007A0C9D"/>
    <w:rsid w:val="007B40FB"/>
    <w:rsid w:val="007B62AF"/>
    <w:rsid w:val="007E24B2"/>
    <w:rsid w:val="007E2DA4"/>
    <w:rsid w:val="007E6815"/>
    <w:rsid w:val="007E7632"/>
    <w:rsid w:val="007F1C84"/>
    <w:rsid w:val="007F4579"/>
    <w:rsid w:val="00801596"/>
    <w:rsid w:val="00804BC8"/>
    <w:rsid w:val="00806E23"/>
    <w:rsid w:val="00807981"/>
    <w:rsid w:val="008100DC"/>
    <w:rsid w:val="0081701F"/>
    <w:rsid w:val="00823F5A"/>
    <w:rsid w:val="00845D3B"/>
    <w:rsid w:val="008634E9"/>
    <w:rsid w:val="008801B5"/>
    <w:rsid w:val="00880578"/>
    <w:rsid w:val="00882407"/>
    <w:rsid w:val="00890704"/>
    <w:rsid w:val="008920C3"/>
    <w:rsid w:val="00894052"/>
    <w:rsid w:val="008A7B87"/>
    <w:rsid w:val="008B4AA1"/>
    <w:rsid w:val="008C1C71"/>
    <w:rsid w:val="008E1AD0"/>
    <w:rsid w:val="008E315F"/>
    <w:rsid w:val="008E6B82"/>
    <w:rsid w:val="008F6ADE"/>
    <w:rsid w:val="0091269B"/>
    <w:rsid w:val="00923C0C"/>
    <w:rsid w:val="0095170D"/>
    <w:rsid w:val="00951F24"/>
    <w:rsid w:val="00952CF6"/>
    <w:rsid w:val="00960413"/>
    <w:rsid w:val="00966F32"/>
    <w:rsid w:val="00981995"/>
    <w:rsid w:val="00981C7F"/>
    <w:rsid w:val="00985515"/>
    <w:rsid w:val="00990813"/>
    <w:rsid w:val="0099544D"/>
    <w:rsid w:val="00997513"/>
    <w:rsid w:val="009A0E2C"/>
    <w:rsid w:val="009A4D56"/>
    <w:rsid w:val="009A4E55"/>
    <w:rsid w:val="009B1F04"/>
    <w:rsid w:val="009E09F7"/>
    <w:rsid w:val="009E2D5C"/>
    <w:rsid w:val="009E3E44"/>
    <w:rsid w:val="009F4175"/>
    <w:rsid w:val="009F66A4"/>
    <w:rsid w:val="009F6C80"/>
    <w:rsid w:val="00A000DA"/>
    <w:rsid w:val="00A1736E"/>
    <w:rsid w:val="00A216DF"/>
    <w:rsid w:val="00A27F3A"/>
    <w:rsid w:val="00A33F2C"/>
    <w:rsid w:val="00A343A8"/>
    <w:rsid w:val="00A50EE3"/>
    <w:rsid w:val="00A83E11"/>
    <w:rsid w:val="00A94A0F"/>
    <w:rsid w:val="00AA3C6D"/>
    <w:rsid w:val="00AB57C4"/>
    <w:rsid w:val="00AF660A"/>
    <w:rsid w:val="00B1141D"/>
    <w:rsid w:val="00B11CF5"/>
    <w:rsid w:val="00B209FA"/>
    <w:rsid w:val="00B21D1F"/>
    <w:rsid w:val="00B410BA"/>
    <w:rsid w:val="00B43D68"/>
    <w:rsid w:val="00B44A3A"/>
    <w:rsid w:val="00B5600C"/>
    <w:rsid w:val="00B60974"/>
    <w:rsid w:val="00B66E33"/>
    <w:rsid w:val="00B679F7"/>
    <w:rsid w:val="00B72FB1"/>
    <w:rsid w:val="00B953DA"/>
    <w:rsid w:val="00BA19B0"/>
    <w:rsid w:val="00BB3870"/>
    <w:rsid w:val="00BB45A7"/>
    <w:rsid w:val="00BD0EF7"/>
    <w:rsid w:val="00BD6778"/>
    <w:rsid w:val="00BF2286"/>
    <w:rsid w:val="00C01599"/>
    <w:rsid w:val="00C048D1"/>
    <w:rsid w:val="00C05563"/>
    <w:rsid w:val="00C11132"/>
    <w:rsid w:val="00C115B9"/>
    <w:rsid w:val="00C12FDD"/>
    <w:rsid w:val="00C145AA"/>
    <w:rsid w:val="00C14655"/>
    <w:rsid w:val="00C21399"/>
    <w:rsid w:val="00C446E2"/>
    <w:rsid w:val="00C535F5"/>
    <w:rsid w:val="00C560C4"/>
    <w:rsid w:val="00C6748F"/>
    <w:rsid w:val="00C74337"/>
    <w:rsid w:val="00C75DC8"/>
    <w:rsid w:val="00C929AE"/>
    <w:rsid w:val="00CA4344"/>
    <w:rsid w:val="00CA6348"/>
    <w:rsid w:val="00CB1232"/>
    <w:rsid w:val="00CB17A0"/>
    <w:rsid w:val="00CC3B7D"/>
    <w:rsid w:val="00CD5AE4"/>
    <w:rsid w:val="00CD5E86"/>
    <w:rsid w:val="00CE3B21"/>
    <w:rsid w:val="00CF4D09"/>
    <w:rsid w:val="00D005F2"/>
    <w:rsid w:val="00D02A7A"/>
    <w:rsid w:val="00D03A8E"/>
    <w:rsid w:val="00D114ED"/>
    <w:rsid w:val="00D3032C"/>
    <w:rsid w:val="00D31A3B"/>
    <w:rsid w:val="00D5309D"/>
    <w:rsid w:val="00D631FA"/>
    <w:rsid w:val="00D71064"/>
    <w:rsid w:val="00D811BB"/>
    <w:rsid w:val="00D82356"/>
    <w:rsid w:val="00D84EEE"/>
    <w:rsid w:val="00D90A61"/>
    <w:rsid w:val="00D946EF"/>
    <w:rsid w:val="00D95553"/>
    <w:rsid w:val="00DC355F"/>
    <w:rsid w:val="00DD1E4C"/>
    <w:rsid w:val="00DE331A"/>
    <w:rsid w:val="00DE6ACB"/>
    <w:rsid w:val="00DF02CE"/>
    <w:rsid w:val="00DF1462"/>
    <w:rsid w:val="00E030DA"/>
    <w:rsid w:val="00E05740"/>
    <w:rsid w:val="00E214C0"/>
    <w:rsid w:val="00E30D85"/>
    <w:rsid w:val="00E444EB"/>
    <w:rsid w:val="00E77A69"/>
    <w:rsid w:val="00E81A42"/>
    <w:rsid w:val="00E961E8"/>
    <w:rsid w:val="00E96244"/>
    <w:rsid w:val="00E96DE0"/>
    <w:rsid w:val="00EB2BEC"/>
    <w:rsid w:val="00EB74BF"/>
    <w:rsid w:val="00EC0704"/>
    <w:rsid w:val="00EC508B"/>
    <w:rsid w:val="00ED6B5D"/>
    <w:rsid w:val="00EE4C99"/>
    <w:rsid w:val="00F153D7"/>
    <w:rsid w:val="00F1599C"/>
    <w:rsid w:val="00F2433F"/>
    <w:rsid w:val="00F244DC"/>
    <w:rsid w:val="00F31203"/>
    <w:rsid w:val="00F378F4"/>
    <w:rsid w:val="00F47912"/>
    <w:rsid w:val="00F541B6"/>
    <w:rsid w:val="00F57702"/>
    <w:rsid w:val="00F61361"/>
    <w:rsid w:val="00F613E8"/>
    <w:rsid w:val="00F74D3C"/>
    <w:rsid w:val="00F74FC9"/>
    <w:rsid w:val="00F91F47"/>
    <w:rsid w:val="00F973D4"/>
    <w:rsid w:val="00FA4F36"/>
    <w:rsid w:val="00FA6FFE"/>
    <w:rsid w:val="00FC121B"/>
    <w:rsid w:val="00FD3DFB"/>
    <w:rsid w:val="00FF0272"/>
    <w:rsid w:val="00FF2281"/>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styleId="Hypertextovprepojenie">
    <w:name w:val="Hyperlink"/>
    <w:basedOn w:val="Predvolenpsmoodseku"/>
    <w:uiPriority w:val="99"/>
    <w:unhideWhenUsed/>
    <w:rsid w:val="00B609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224605320">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376470592">
      <w:bodyDiv w:val="1"/>
      <w:marLeft w:val="0"/>
      <w:marRight w:val="0"/>
      <w:marTop w:val="0"/>
      <w:marBottom w:val="0"/>
      <w:divBdr>
        <w:top w:val="none" w:sz="0" w:space="0" w:color="auto"/>
        <w:left w:val="none" w:sz="0" w:space="0" w:color="auto"/>
        <w:bottom w:val="none" w:sz="0" w:space="0" w:color="auto"/>
        <w:right w:val="none" w:sz="0" w:space="0" w:color="auto"/>
      </w:divBdr>
    </w:div>
    <w:div w:id="445197403">
      <w:bodyDiv w:val="1"/>
      <w:marLeft w:val="0"/>
      <w:marRight w:val="0"/>
      <w:marTop w:val="0"/>
      <w:marBottom w:val="0"/>
      <w:divBdr>
        <w:top w:val="none" w:sz="0" w:space="0" w:color="auto"/>
        <w:left w:val="none" w:sz="0" w:space="0" w:color="auto"/>
        <w:bottom w:val="none" w:sz="0" w:space="0" w:color="auto"/>
        <w:right w:val="none" w:sz="0" w:space="0" w:color="auto"/>
      </w:divBdr>
    </w:div>
    <w:div w:id="516235679">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926305545">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161042205">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375732431">
      <w:bodyDiv w:val="1"/>
      <w:marLeft w:val="0"/>
      <w:marRight w:val="0"/>
      <w:marTop w:val="0"/>
      <w:marBottom w:val="0"/>
      <w:divBdr>
        <w:top w:val="none" w:sz="0" w:space="0" w:color="auto"/>
        <w:left w:val="none" w:sz="0" w:space="0" w:color="auto"/>
        <w:bottom w:val="none" w:sz="0" w:space="0" w:color="auto"/>
        <w:right w:val="none" w:sz="0" w:space="0" w:color="auto"/>
      </w:divBdr>
    </w:div>
    <w:div w:id="1445422607">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776705401">
      <w:bodyDiv w:val="1"/>
      <w:marLeft w:val="0"/>
      <w:marRight w:val="0"/>
      <w:marTop w:val="0"/>
      <w:marBottom w:val="0"/>
      <w:divBdr>
        <w:top w:val="none" w:sz="0" w:space="0" w:color="auto"/>
        <w:left w:val="none" w:sz="0" w:space="0" w:color="auto"/>
        <w:bottom w:val="none" w:sz="0" w:space="0" w:color="auto"/>
        <w:right w:val="none" w:sz="0" w:space="0" w:color="auto"/>
      </w:divBdr>
    </w:div>
    <w:div w:id="1797064193">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ocpoist.sk/nastroje-sluzby/zoznam-dlznik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4A91C1D-81FA-460D-97FC-035B602E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1864</Words>
  <Characters>10631</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Fujdová Slavka</dc:creator>
  <cp:lastModifiedBy>Hertelová Karin</cp:lastModifiedBy>
  <cp:revision>4</cp:revision>
  <dcterms:created xsi:type="dcterms:W3CDTF">2024-08-20T12:36:00Z</dcterms:created>
  <dcterms:modified xsi:type="dcterms:W3CDTF">2024-08-20T12:51:00Z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