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83E31">
      <w:pPr>
        <w:pStyle w:val="7"/>
        <w:spacing w:before="0" w:after="0"/>
        <w:jc w:val="center"/>
        <w:rPr>
          <w:b/>
          <w:bCs/>
        </w:rPr>
      </w:pPr>
      <w:r>
        <w:rPr>
          <w:b/>
          <w:bCs/>
        </w:rPr>
        <w:t>Dôvodová správa</w:t>
      </w:r>
    </w:p>
    <w:p w14:paraId="6636CC9E">
      <w:pPr>
        <w:pStyle w:val="7"/>
        <w:numPr>
          <w:ilvl w:val="0"/>
          <w:numId w:val="1"/>
        </w:numPr>
        <w:tabs>
          <w:tab w:val="left" w:pos="5040"/>
        </w:tabs>
        <w:spacing w:before="0" w:after="0"/>
        <w:rPr>
          <w:b/>
          <w:bCs/>
        </w:rPr>
      </w:pPr>
      <w:r>
        <w:rPr>
          <w:b/>
          <w:bCs/>
        </w:rPr>
        <w:t>Všeobecná časť</w:t>
      </w:r>
    </w:p>
    <w:p w14:paraId="5F54BC1D">
      <w:pPr>
        <w:pStyle w:val="7"/>
        <w:spacing w:before="0" w:after="0" w:line="276" w:lineRule="auto"/>
        <w:jc w:val="both"/>
      </w:pPr>
      <w:r>
        <w:rPr>
          <w:b/>
          <w:bCs/>
        </w:rPr>
        <w:t>        </w:t>
      </w:r>
      <w:r>
        <w:rPr>
          <w:b/>
          <w:bCs/>
        </w:rPr>
        <w:tab/>
      </w:r>
      <w:r>
        <w:t>Návrh zákona, ktorým sa mení zákon č. 595/2003 Z. z. o dani z príjmov v znení neskorších predpisov predkladá na rokovanie Národnej rady Slovenskej republiky poslanec  Národnej rady Slovenskej republiky za stranu Sloboda a Solidarita Marián Viskupič.</w:t>
      </w:r>
    </w:p>
    <w:p w14:paraId="3E2BDE28">
      <w:pPr>
        <w:shd w:val="clear" w:color="auto" w:fill="FFFFFF"/>
        <w:spacing w:after="0" w:line="240" w:lineRule="auto"/>
        <w:ind w:firstLine="708"/>
        <w:jc w:val="both"/>
        <w:rPr>
          <w:rFonts w:ascii="Times New Roman" w:hAnsi="Times New Roman"/>
          <w:b/>
          <w:sz w:val="24"/>
          <w:szCs w:val="24"/>
        </w:rPr>
      </w:pPr>
      <w:r>
        <w:rPr>
          <w:rFonts w:ascii="Times New Roman" w:hAnsi="Times New Roman"/>
          <w:b/>
          <w:sz w:val="24"/>
          <w:szCs w:val="24"/>
        </w:rPr>
        <w:t xml:space="preserve">Predložený návrh zákona si kladie za cieľ zvýšenie hranice, nad ktorú sa hmotný majetok,  nehmotný majetok a technické zhodnotenie rôznych druhov majetku považuje za majetok, ktorý je odpisovaný podľa zákona o dani z príjmov, a to z doterajších 1700 eur, resp. 2400 eur na 3000 eur; suma 1700 eur nebola zvyšovaná už vyše dekádu </w:t>
      </w:r>
      <w:r>
        <w:rPr>
          <w:rFonts w:ascii="Times New Roman" w:hAnsi="Times New Roman"/>
          <w:b/>
          <w:bCs/>
          <w:sz w:val="24"/>
          <w:szCs w:val="24"/>
          <w:lang w:eastAsia="sk-SK"/>
        </w:rPr>
        <w:t>a ešte aj toto zvýšenie spred dekády bolo iba minimálne v porovnaní s východiskovým stavom 50 000 Sk v roku 2004, kedy nadobudol tento zákon účinnosť. I</w:t>
      </w:r>
      <w:r>
        <w:rPr>
          <w:rFonts w:ascii="Times New Roman" w:hAnsi="Times New Roman"/>
          <w:b/>
          <w:sz w:val="24"/>
          <w:szCs w:val="24"/>
        </w:rPr>
        <w:t xml:space="preserve">de teda o reakciu na inflačné posuny za toto obdobie. </w:t>
      </w:r>
    </w:p>
    <w:p w14:paraId="1F289FF0">
      <w:pPr>
        <w:pStyle w:val="7"/>
        <w:spacing w:before="0" w:after="0" w:line="276" w:lineRule="auto"/>
        <w:ind w:firstLine="708"/>
        <w:jc w:val="both"/>
      </w:pPr>
      <w:r>
        <w:t xml:space="preserve">Zvýšenie prahovej hodnoty, nad ktorú je majetok určený na odpisovanie, je reakciou na dlhodobé nevalorizovanie tejto sumy v zákone o dani z príjmov. Cieľom zákonodarcu bolo arbitrárne stanoviť hranicu medzi majetkom menšej a väčšej hodnoty, pričom majetok menšej hodnoty je možné zaradiť medzi daňové výdavky v jednom roku a majetok vyššej hodnoty  je potrebné vyčleniť na postupné odpisovanie rozložené na niekoľko rokov. Cenová hladina, na ktorú bola táto prahová hodnota pred desaťročím nastavená, je dnes niekde úplne inde a tak ako stúpa cenová úroveň jednotlivých tovarov a služieb, by mala stúpať aj hranica sumy, nad ktorú je daňovník povinný majetok odpisovať postupne. Zákonodarca však rezignoval na postupné prispôsobovanie tejto sumy vonkajšiemu svetu a tento valorizačný deficit je možné dohnať iba skokovým zvýšením. </w:t>
      </w:r>
    </w:p>
    <w:p w14:paraId="73712180">
      <w:pPr>
        <w:pStyle w:val="7"/>
        <w:spacing w:before="0" w:after="0" w:line="276" w:lineRule="auto"/>
        <w:ind w:firstLine="708"/>
        <w:jc w:val="both"/>
      </w:pPr>
      <w:r>
        <w:t xml:space="preserve">Návrh zákona bude mať </w:t>
      </w:r>
      <w:r>
        <w:rPr>
          <w:rFonts w:hint="default"/>
          <w:lang w:val="sk-SK"/>
        </w:rPr>
        <w:t xml:space="preserve">krátkodobo </w:t>
      </w:r>
      <w:bookmarkStart w:id="0" w:name="_GoBack"/>
      <w:bookmarkEnd w:id="0"/>
      <w:r>
        <w:t>negatívny vplyv na verejné financie. Návrh zákona bude mať pozitívny vplyv na podnikateľské prostredie. Návrh zákona nebude mať negatívny sociálny vplyv, nebude mať negatívny vplyv na životné prostredie,  informatizáciu spoločnosti, služby verejnej správy pre občana a ani na manželstvo, rodičovstvo a rodinu.</w:t>
      </w:r>
    </w:p>
    <w:p w14:paraId="009B171D">
      <w:pPr>
        <w:ind w:firstLine="708"/>
        <w:jc w:val="both"/>
        <w:rPr>
          <w:rFonts w:ascii="Times New Roman" w:hAnsi="Times New Roman"/>
          <w:sz w:val="24"/>
        </w:rPr>
      </w:pPr>
      <w:r>
        <w:rPr>
          <w:rFonts w:ascii="Times New Roman" w:hAnsi="Times New Roman"/>
          <w:sz w:val="24"/>
        </w:rPr>
        <w:t xml:space="preserve">Návrh zákona je v súlade s Ústavou Slovenskej republiky, zákonmi a ďalšími všeobecne záväznými právnymi predpismi, ako aj s medzinárodnými zmluvami a inými medzinárodnými dokumentmi, ktorými je Slovenská republika viazaná, ako aj s právom Európskej únie. </w:t>
      </w:r>
    </w:p>
    <w:p w14:paraId="58D26D01">
      <w:pPr>
        <w:jc w:val="both"/>
        <w:rPr>
          <w:rFonts w:ascii="Times New Roman" w:hAnsi="Times New Roman"/>
          <w:sz w:val="24"/>
        </w:rPr>
      </w:pPr>
      <w:r>
        <w:rPr>
          <w:rFonts w:ascii="Times New Roman" w:hAnsi="Times New Roman"/>
          <w:sz w:val="24"/>
        </w:rPr>
        <w:t xml:space="preserve">      </w:t>
      </w:r>
      <w:r>
        <w:rPr>
          <w:rFonts w:ascii="Times New Roman" w:hAnsi="Times New Roman"/>
          <w:sz w:val="24"/>
        </w:rPr>
        <w:tab/>
      </w:r>
      <w:r>
        <w:rPr>
          <w:rFonts w:ascii="Times New Roman" w:hAnsi="Times New Roman"/>
          <w:sz w:val="24"/>
        </w:rPr>
        <w:t>.</w:t>
      </w:r>
    </w:p>
    <w:p w14:paraId="336B93D4">
      <w:pPr>
        <w:pStyle w:val="7"/>
        <w:spacing w:before="0" w:after="0" w:line="276" w:lineRule="auto"/>
        <w:jc w:val="both"/>
      </w:pPr>
      <w:r>
        <w:t xml:space="preserve"> </w:t>
      </w:r>
    </w:p>
    <w:p w14:paraId="4D8601DD">
      <w:pPr>
        <w:pStyle w:val="7"/>
        <w:spacing w:before="0" w:after="0" w:line="276" w:lineRule="auto"/>
        <w:jc w:val="both"/>
      </w:pPr>
    </w:p>
    <w:p w14:paraId="579CFFE0">
      <w:pPr>
        <w:pStyle w:val="7"/>
        <w:spacing w:before="0" w:after="0" w:line="276" w:lineRule="auto"/>
        <w:jc w:val="both"/>
      </w:pPr>
    </w:p>
    <w:p w14:paraId="53359BD3">
      <w:pPr>
        <w:pStyle w:val="7"/>
        <w:spacing w:before="0" w:after="0" w:line="276" w:lineRule="auto"/>
        <w:jc w:val="both"/>
      </w:pPr>
    </w:p>
    <w:p w14:paraId="190B0689">
      <w:pPr>
        <w:pStyle w:val="4"/>
        <w:numPr>
          <w:ilvl w:val="0"/>
          <w:numId w:val="1"/>
        </w:numPr>
        <w:rPr>
          <w:rFonts w:ascii="Times New Roman" w:hAnsi="Times New Roman"/>
          <w:b/>
          <w:bCs/>
        </w:rPr>
      </w:pPr>
      <w:r>
        <w:rPr>
          <w:rFonts w:ascii="Times New Roman" w:hAnsi="Times New Roman"/>
          <w:b/>
          <w:bCs/>
        </w:rPr>
        <w:t>Osobitná časť</w:t>
      </w:r>
    </w:p>
    <w:p w14:paraId="57066280">
      <w:pPr>
        <w:pStyle w:val="4"/>
        <w:ind w:left="720"/>
        <w:rPr>
          <w:rFonts w:ascii="Times New Roman" w:hAnsi="Times New Roman"/>
          <w:b/>
        </w:rPr>
      </w:pPr>
    </w:p>
    <w:p w14:paraId="2AFDB333">
      <w:pPr>
        <w:pStyle w:val="4"/>
        <w:ind w:left="720"/>
        <w:rPr>
          <w:rFonts w:ascii="Times New Roman" w:hAnsi="Times New Roman"/>
          <w:b/>
        </w:rPr>
      </w:pPr>
      <w:r>
        <w:rPr>
          <w:rFonts w:ascii="Times New Roman" w:hAnsi="Times New Roman"/>
          <w:b/>
        </w:rPr>
        <w:t>K čl. I</w:t>
      </w:r>
    </w:p>
    <w:p w14:paraId="2A3A30DC">
      <w:pPr>
        <w:pStyle w:val="4"/>
        <w:rPr>
          <w:rFonts w:ascii="Times New Roman" w:hAnsi="Times New Roman"/>
        </w:rPr>
      </w:pPr>
    </w:p>
    <w:p w14:paraId="335C79E1">
      <w:pPr>
        <w:pStyle w:val="4"/>
        <w:rPr>
          <w:rFonts w:ascii="Times New Roman" w:hAnsi="Times New Roman"/>
          <w:b/>
        </w:rPr>
      </w:pPr>
      <w:r>
        <w:rPr>
          <w:rFonts w:ascii="Times New Roman" w:hAnsi="Times New Roman"/>
        </w:rPr>
        <w:tab/>
      </w:r>
      <w:r>
        <w:rPr>
          <w:rFonts w:ascii="Times New Roman" w:hAnsi="Times New Roman"/>
          <w:b/>
        </w:rPr>
        <w:t>K bodom 1, 3 a 4</w:t>
      </w:r>
    </w:p>
    <w:p w14:paraId="70BFA872">
      <w:pPr>
        <w:pStyle w:val="4"/>
        <w:rPr>
          <w:rFonts w:ascii="Times New Roman" w:hAnsi="Times New Roman"/>
          <w:b/>
          <w:color w:val="00B050"/>
        </w:rPr>
      </w:pPr>
    </w:p>
    <w:p w14:paraId="1A516418">
      <w:pPr>
        <w:pStyle w:val="4"/>
        <w:ind w:firstLine="708"/>
        <w:rPr>
          <w:rFonts w:ascii="Times New Roman" w:hAnsi="Times New Roman"/>
        </w:rPr>
      </w:pPr>
      <w:r>
        <w:rPr>
          <w:rFonts w:ascii="Times New Roman" w:hAnsi="Times New Roman"/>
        </w:rPr>
        <w:t xml:space="preserve">Navrhuje sa zvýšenie sumy, nad ktorú hmotný majetok, resp. jeho technické zhodnotenie podlieha postupnému odpisovaniu, a to zo sumy 1700 eur na sumu 3000 eur; dôvodom navrhovanej zmeny je, že v minulosti sa zákonodarca dlhodobo neodhodlal k takým úpravám tejto sumy, ktoré by kopírovali cenovú hladinu na Slovensku a vo svete. </w:t>
      </w:r>
    </w:p>
    <w:p w14:paraId="7B252CA7">
      <w:pPr>
        <w:pStyle w:val="4"/>
        <w:rPr>
          <w:rFonts w:ascii="Times New Roman" w:hAnsi="Times New Roman"/>
        </w:rPr>
      </w:pPr>
    </w:p>
    <w:p w14:paraId="0221289A">
      <w:pPr>
        <w:pStyle w:val="4"/>
        <w:ind w:left="720"/>
        <w:rPr>
          <w:rFonts w:ascii="Times New Roman" w:hAnsi="Times New Roman"/>
          <w:b/>
        </w:rPr>
      </w:pPr>
      <w:r>
        <w:rPr>
          <w:rFonts w:ascii="Times New Roman" w:hAnsi="Times New Roman"/>
          <w:b/>
        </w:rPr>
        <w:t>K bodu 2</w:t>
      </w:r>
    </w:p>
    <w:p w14:paraId="7F3CE2A6">
      <w:pPr>
        <w:pStyle w:val="4"/>
        <w:ind w:left="720"/>
        <w:rPr>
          <w:rFonts w:ascii="Times New Roman" w:hAnsi="Times New Roman"/>
          <w:b/>
        </w:rPr>
      </w:pPr>
    </w:p>
    <w:p w14:paraId="16662F6D">
      <w:pPr>
        <w:pStyle w:val="4"/>
        <w:ind w:firstLine="708"/>
        <w:rPr>
          <w:rFonts w:ascii="Times New Roman" w:hAnsi="Times New Roman"/>
        </w:rPr>
      </w:pPr>
      <w:r>
        <w:rPr>
          <w:rFonts w:ascii="Times New Roman" w:hAnsi="Times New Roman"/>
        </w:rPr>
        <w:t xml:space="preserve">Navrhuje sa zvýšenie sumy, nad ktorú nehmotný majetok podlieha postupnému odpisovaniu, z 2400 eur na sumu 3000 eur; dôvodom navrhovanej zmeny je, že v minulosti zákonodarca dlhodobo nepristúpil k takej úprave tejto sumy, ktorá by kopírovala cenovú hladinu na Slovensku a vo svete. </w:t>
      </w:r>
    </w:p>
    <w:p w14:paraId="0BD3411E">
      <w:pPr>
        <w:pStyle w:val="4"/>
        <w:ind w:left="720"/>
        <w:rPr>
          <w:rFonts w:ascii="Times New Roman" w:hAnsi="Times New Roman"/>
          <w:b/>
        </w:rPr>
      </w:pPr>
    </w:p>
    <w:p w14:paraId="377422C0">
      <w:pPr>
        <w:pStyle w:val="4"/>
        <w:ind w:firstLine="708"/>
        <w:rPr>
          <w:rFonts w:ascii="Times New Roman" w:hAnsi="Times New Roman"/>
          <w:b/>
        </w:rPr>
      </w:pPr>
      <w:r>
        <w:rPr>
          <w:rFonts w:ascii="Times New Roman" w:hAnsi="Times New Roman"/>
          <w:b/>
        </w:rPr>
        <w:t>K čl. II</w:t>
      </w:r>
    </w:p>
    <w:p w14:paraId="1FE6AEC6">
      <w:pPr>
        <w:pStyle w:val="4"/>
        <w:ind w:firstLine="708"/>
        <w:rPr>
          <w:rFonts w:ascii="Times New Roman" w:hAnsi="Times New Roman"/>
          <w:b/>
        </w:rPr>
      </w:pPr>
    </w:p>
    <w:p w14:paraId="4AEE757F">
      <w:pPr>
        <w:ind w:firstLine="708"/>
        <w:rPr>
          <w:rFonts w:ascii="Times New Roman" w:hAnsi="Times New Roman"/>
          <w:b/>
          <w:bCs/>
          <w:sz w:val="24"/>
          <w:szCs w:val="24"/>
        </w:rPr>
      </w:pPr>
      <w:r>
        <w:rPr>
          <w:rFonts w:ascii="Times New Roman" w:hAnsi="Times New Roman"/>
          <w:sz w:val="24"/>
          <w:szCs w:val="24"/>
        </w:rPr>
        <w:t>Navrhuje sa nadobudnutie účinnosti zákona na 1. januára 2025.</w:t>
      </w:r>
    </w:p>
    <w:p w14:paraId="7C98C3DB"/>
    <w:sectPr>
      <w:headerReference r:id="rId5" w:type="default"/>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EE"/>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w:panose1 w:val="020B0604020202020204"/>
    <w:charset w:val="EE"/>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E5364">
    <w:pPr>
      <w:pStyle w:val="5"/>
    </w:pPr>
  </w:p>
  <w:p w14:paraId="5B71FD64">
    <w:pPr>
      <w:pStyle w:val="5"/>
    </w:pPr>
  </w:p>
  <w:p w14:paraId="3F12CBE8">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006D01"/>
    <w:multiLevelType w:val="multilevel"/>
    <w:tmpl w:val="1F006D01"/>
    <w:lvl w:ilvl="0" w:tentative="0">
      <w:start w:val="1"/>
      <w:numFmt w:val="upperLetter"/>
      <w:lvlText w:val="%1."/>
      <w:lvlJc w:val="left"/>
      <w:pPr>
        <w:ind w:left="720" w:hanging="360"/>
      </w:pPr>
      <w:rPr>
        <w:rFonts w:hint="default" w:cs="Times New Roman"/>
        <w:rtl w:val="0"/>
        <w:cs w:val="0"/>
      </w:rPr>
    </w:lvl>
    <w:lvl w:ilvl="1" w:tentative="0">
      <w:start w:val="1"/>
      <w:numFmt w:val="lowerLetter"/>
      <w:lvlText w:val="%2."/>
      <w:lvlJc w:val="left"/>
      <w:pPr>
        <w:ind w:left="1440" w:hanging="360"/>
      </w:pPr>
      <w:rPr>
        <w:rFonts w:cs="Times New Roman"/>
        <w:rtl w:val="0"/>
        <w:cs w:val="0"/>
      </w:rPr>
    </w:lvl>
    <w:lvl w:ilvl="2" w:tentative="0">
      <w:start w:val="1"/>
      <w:numFmt w:val="lowerRoman"/>
      <w:lvlText w:val="%3."/>
      <w:lvlJc w:val="right"/>
      <w:pPr>
        <w:ind w:left="2160" w:hanging="180"/>
      </w:pPr>
      <w:rPr>
        <w:rFonts w:cs="Times New Roman"/>
        <w:rtl w:val="0"/>
        <w:cs w:val="0"/>
      </w:rPr>
    </w:lvl>
    <w:lvl w:ilvl="3" w:tentative="0">
      <w:start w:val="1"/>
      <w:numFmt w:val="decimal"/>
      <w:lvlText w:val="%4."/>
      <w:lvlJc w:val="left"/>
      <w:pPr>
        <w:ind w:left="2880" w:hanging="360"/>
      </w:pPr>
      <w:rPr>
        <w:rFonts w:cs="Times New Roman"/>
        <w:rtl w:val="0"/>
        <w:cs w:val="0"/>
      </w:rPr>
    </w:lvl>
    <w:lvl w:ilvl="4" w:tentative="0">
      <w:start w:val="1"/>
      <w:numFmt w:val="lowerLetter"/>
      <w:lvlText w:val="%5."/>
      <w:lvlJc w:val="left"/>
      <w:pPr>
        <w:ind w:left="3600" w:hanging="360"/>
      </w:pPr>
      <w:rPr>
        <w:rFonts w:cs="Times New Roman"/>
        <w:rtl w:val="0"/>
        <w:cs w:val="0"/>
      </w:rPr>
    </w:lvl>
    <w:lvl w:ilvl="5" w:tentative="0">
      <w:start w:val="1"/>
      <w:numFmt w:val="lowerRoman"/>
      <w:lvlText w:val="%6."/>
      <w:lvlJc w:val="right"/>
      <w:pPr>
        <w:ind w:left="4320" w:hanging="180"/>
      </w:pPr>
      <w:rPr>
        <w:rFonts w:cs="Times New Roman"/>
        <w:rtl w:val="0"/>
        <w:cs w:val="0"/>
      </w:rPr>
    </w:lvl>
    <w:lvl w:ilvl="6" w:tentative="0">
      <w:start w:val="1"/>
      <w:numFmt w:val="decimal"/>
      <w:lvlText w:val="%7."/>
      <w:lvlJc w:val="left"/>
      <w:pPr>
        <w:ind w:left="5040" w:hanging="360"/>
      </w:pPr>
      <w:rPr>
        <w:rFonts w:cs="Times New Roman"/>
        <w:rtl w:val="0"/>
        <w:cs w:val="0"/>
      </w:rPr>
    </w:lvl>
    <w:lvl w:ilvl="7" w:tentative="0">
      <w:start w:val="1"/>
      <w:numFmt w:val="lowerLetter"/>
      <w:lvlText w:val="%8."/>
      <w:lvlJc w:val="left"/>
      <w:pPr>
        <w:ind w:left="5760" w:hanging="360"/>
      </w:pPr>
      <w:rPr>
        <w:rFonts w:cs="Times New Roman"/>
        <w:rtl w:val="0"/>
        <w:cs w:val="0"/>
      </w:rPr>
    </w:lvl>
    <w:lvl w:ilvl="8" w:tentative="0">
      <w:start w:val="1"/>
      <w:numFmt w:val="lowerRoman"/>
      <w:lvlText w:val="%9."/>
      <w:lvlJc w:val="right"/>
      <w:pPr>
        <w:ind w:left="6480" w:hanging="180"/>
      </w:pPr>
      <w:rPr>
        <w:rFonts w:cs="Times New Roman"/>
        <w:rtl w:val="0"/>
        <w:cs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927"/>
    <w:rsid w:val="00014B9B"/>
    <w:rsid w:val="000317E4"/>
    <w:rsid w:val="0007101F"/>
    <w:rsid w:val="00083ADF"/>
    <w:rsid w:val="000A2E2C"/>
    <w:rsid w:val="000A4818"/>
    <w:rsid w:val="000B00F7"/>
    <w:rsid w:val="000B5D21"/>
    <w:rsid w:val="000F1146"/>
    <w:rsid w:val="001110B1"/>
    <w:rsid w:val="00145761"/>
    <w:rsid w:val="00170F96"/>
    <w:rsid w:val="00172DCC"/>
    <w:rsid w:val="00190F61"/>
    <w:rsid w:val="001E4935"/>
    <w:rsid w:val="00221B7E"/>
    <w:rsid w:val="00253D5C"/>
    <w:rsid w:val="00262804"/>
    <w:rsid w:val="00263047"/>
    <w:rsid w:val="002B7AD8"/>
    <w:rsid w:val="002E6D7E"/>
    <w:rsid w:val="002F0E10"/>
    <w:rsid w:val="00313574"/>
    <w:rsid w:val="00316E44"/>
    <w:rsid w:val="00324108"/>
    <w:rsid w:val="003427B9"/>
    <w:rsid w:val="003E43B6"/>
    <w:rsid w:val="003E6CF5"/>
    <w:rsid w:val="004110D6"/>
    <w:rsid w:val="004256F8"/>
    <w:rsid w:val="004361F5"/>
    <w:rsid w:val="0045006A"/>
    <w:rsid w:val="00462A11"/>
    <w:rsid w:val="00481EF8"/>
    <w:rsid w:val="00495CE1"/>
    <w:rsid w:val="004A69BC"/>
    <w:rsid w:val="004B3B5D"/>
    <w:rsid w:val="004B62B5"/>
    <w:rsid w:val="004C2799"/>
    <w:rsid w:val="004D63B9"/>
    <w:rsid w:val="004E1142"/>
    <w:rsid w:val="00517FA5"/>
    <w:rsid w:val="0054642E"/>
    <w:rsid w:val="00550D55"/>
    <w:rsid w:val="00554956"/>
    <w:rsid w:val="005715BA"/>
    <w:rsid w:val="005A2508"/>
    <w:rsid w:val="005A536C"/>
    <w:rsid w:val="005F2E4A"/>
    <w:rsid w:val="00622CD0"/>
    <w:rsid w:val="00623333"/>
    <w:rsid w:val="00634251"/>
    <w:rsid w:val="00667FAC"/>
    <w:rsid w:val="006705E6"/>
    <w:rsid w:val="00677340"/>
    <w:rsid w:val="00677EB7"/>
    <w:rsid w:val="006930CF"/>
    <w:rsid w:val="006B3B42"/>
    <w:rsid w:val="006C1206"/>
    <w:rsid w:val="006C65EB"/>
    <w:rsid w:val="006D762C"/>
    <w:rsid w:val="007032B3"/>
    <w:rsid w:val="00706FBE"/>
    <w:rsid w:val="00794B34"/>
    <w:rsid w:val="007A1528"/>
    <w:rsid w:val="007A4919"/>
    <w:rsid w:val="007D7D47"/>
    <w:rsid w:val="007E01E0"/>
    <w:rsid w:val="007E3FCB"/>
    <w:rsid w:val="008220F2"/>
    <w:rsid w:val="0087084D"/>
    <w:rsid w:val="008820DD"/>
    <w:rsid w:val="008A4053"/>
    <w:rsid w:val="008A7708"/>
    <w:rsid w:val="008B74A4"/>
    <w:rsid w:val="00934C46"/>
    <w:rsid w:val="00941F23"/>
    <w:rsid w:val="00977BB0"/>
    <w:rsid w:val="009C2F74"/>
    <w:rsid w:val="009D3A79"/>
    <w:rsid w:val="009F731C"/>
    <w:rsid w:val="00A81142"/>
    <w:rsid w:val="00A977B1"/>
    <w:rsid w:val="00AA1848"/>
    <w:rsid w:val="00AF400A"/>
    <w:rsid w:val="00B01D60"/>
    <w:rsid w:val="00B0720D"/>
    <w:rsid w:val="00B07351"/>
    <w:rsid w:val="00B43132"/>
    <w:rsid w:val="00B447F9"/>
    <w:rsid w:val="00B51D27"/>
    <w:rsid w:val="00B5677C"/>
    <w:rsid w:val="00B80C4B"/>
    <w:rsid w:val="00B8453D"/>
    <w:rsid w:val="00BB1878"/>
    <w:rsid w:val="00BB673F"/>
    <w:rsid w:val="00BD0547"/>
    <w:rsid w:val="00BD2E7F"/>
    <w:rsid w:val="00BF6548"/>
    <w:rsid w:val="00BF7167"/>
    <w:rsid w:val="00C23436"/>
    <w:rsid w:val="00C26F89"/>
    <w:rsid w:val="00C82291"/>
    <w:rsid w:val="00D04006"/>
    <w:rsid w:val="00D75F37"/>
    <w:rsid w:val="00DA1927"/>
    <w:rsid w:val="00DA75A2"/>
    <w:rsid w:val="00E16F7B"/>
    <w:rsid w:val="00E234EE"/>
    <w:rsid w:val="00E66B66"/>
    <w:rsid w:val="00E72138"/>
    <w:rsid w:val="00E93FCC"/>
    <w:rsid w:val="00EA52EF"/>
    <w:rsid w:val="00EE1ADD"/>
    <w:rsid w:val="00EE49B1"/>
    <w:rsid w:val="00EE638E"/>
    <w:rsid w:val="00F035E7"/>
    <w:rsid w:val="00F04384"/>
    <w:rsid w:val="00F251C1"/>
    <w:rsid w:val="00F42FFF"/>
    <w:rsid w:val="00F44B18"/>
    <w:rsid w:val="00F50150"/>
    <w:rsid w:val="00FA2E94"/>
    <w:rsid w:val="00FB7AA1"/>
    <w:rsid w:val="00FD7866"/>
    <w:rsid w:val="00FF69D9"/>
    <w:rsid w:val="29765DFB"/>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Times New Roman" w:cs="Times New Roman"/>
      <w:kern w:val="0"/>
      <w:sz w:val="22"/>
      <w:szCs w:val="22"/>
      <w:lang w:val="sk-SK" w:eastAsia="en-US" w:bidi="ar-SA"/>
      <w14:ligatures w14:val="none"/>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w:basedOn w:val="1"/>
    <w:link w:val="10"/>
    <w:qFormat/>
    <w:uiPriority w:val="99"/>
    <w:pPr>
      <w:autoSpaceDE w:val="0"/>
      <w:autoSpaceDN w:val="0"/>
      <w:spacing w:after="0" w:line="240" w:lineRule="auto"/>
      <w:jc w:val="both"/>
    </w:pPr>
    <w:rPr>
      <w:rFonts w:ascii="Arial" w:hAnsi="Arial" w:cs="Arial"/>
      <w:sz w:val="24"/>
      <w:szCs w:val="24"/>
      <w:lang w:eastAsia="sk-SK"/>
    </w:rPr>
  </w:style>
  <w:style w:type="paragraph" w:styleId="5">
    <w:name w:val="header"/>
    <w:basedOn w:val="1"/>
    <w:link w:val="9"/>
    <w:unhideWhenUsed/>
    <w:uiPriority w:val="99"/>
    <w:pPr>
      <w:tabs>
        <w:tab w:val="center" w:pos="4536"/>
        <w:tab w:val="right" w:pos="9072"/>
      </w:tabs>
      <w:spacing w:after="0" w:line="240" w:lineRule="auto"/>
    </w:pPr>
  </w:style>
  <w:style w:type="character" w:styleId="6">
    <w:name w:val="Hyperlink"/>
    <w:basedOn w:val="2"/>
    <w:semiHidden/>
    <w:unhideWhenUsed/>
    <w:qFormat/>
    <w:uiPriority w:val="99"/>
    <w:rPr>
      <w:color w:val="0000FF"/>
      <w:u w:val="single"/>
    </w:rPr>
  </w:style>
  <w:style w:type="paragraph" w:styleId="7">
    <w:name w:val="Normal (Web)"/>
    <w:basedOn w:val="1"/>
    <w:unhideWhenUsed/>
    <w:uiPriority w:val="99"/>
    <w:pPr>
      <w:spacing w:before="100" w:beforeAutospacing="1" w:after="100" w:afterAutospacing="1" w:line="240" w:lineRule="auto"/>
    </w:pPr>
    <w:rPr>
      <w:rFonts w:ascii="Times New Roman" w:hAnsi="Times New Roman"/>
      <w:sz w:val="24"/>
      <w:szCs w:val="24"/>
      <w:lang w:eastAsia="sk-SK"/>
    </w:rPr>
  </w:style>
  <w:style w:type="table" w:styleId="8">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Hlavička Char"/>
    <w:basedOn w:val="2"/>
    <w:link w:val="5"/>
    <w:uiPriority w:val="99"/>
    <w:rPr>
      <w:rFonts w:ascii="Calibri" w:hAnsi="Calibri" w:eastAsia="Times New Roman" w:cs="Times New Roman"/>
      <w:kern w:val="0"/>
      <w14:ligatures w14:val="none"/>
    </w:rPr>
  </w:style>
  <w:style w:type="character" w:customStyle="1" w:styleId="10">
    <w:name w:val="Základný text Char"/>
    <w:basedOn w:val="2"/>
    <w:link w:val="4"/>
    <w:uiPriority w:val="99"/>
    <w:rPr>
      <w:rFonts w:ascii="Arial" w:hAnsi="Arial" w:eastAsia="Times New Roman" w:cs="Arial"/>
      <w:kern w:val="0"/>
      <w:sz w:val="24"/>
      <w:szCs w:val="24"/>
      <w:lang w:eastAsia="sk-SK"/>
      <w14:ligatures w14: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463</Words>
  <Characters>2535</Characters>
  <Lines>57</Lines>
  <Paragraphs>19</Paragraphs>
  <TotalTime>323</TotalTime>
  <ScaleCrop>false</ScaleCrop>
  <LinksUpToDate>false</LinksUpToDate>
  <CharactersWithSpaces>2979</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2024-01-08T16:17:00Z</dcterms:created>
  <dc:creator>Andrej Pitonak</dc:creator>
  <cp:lastModifiedBy>Asus</cp:lastModifiedBy>
  <dcterms:modified xsi:type="dcterms:W3CDTF">2024-08-20T08:17:54Z</dcterms:modified>
  <cp:revision>117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b8b0e48b-8950-464b-b672-676fe1e7e515</vt:lpwstr>
  </property>
  <property fmtid="{D5CDD505-2E9C-101B-9397-08002B2CF9AE}" pid="3" name="KSOProductBuildVer">
    <vt:lpwstr>1033-12.2.0.17562</vt:lpwstr>
  </property>
  <property fmtid="{D5CDD505-2E9C-101B-9397-08002B2CF9AE}" pid="4" name="ICV">
    <vt:lpwstr>760CADDF4A4248B4B3243A8CF7784548_12</vt:lpwstr>
  </property>
</Properties>
</file>