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0C3CB" w14:textId="77777777" w:rsidR="00A164C1" w:rsidRPr="00295C6B" w:rsidRDefault="00A164C1" w:rsidP="00745EC6">
      <w:pPr>
        <w:keepNext/>
        <w:widowControl w:val="0"/>
        <w:jc w:val="center"/>
        <w:rPr>
          <w:b/>
          <w:sz w:val="20"/>
          <w:szCs w:val="20"/>
        </w:rPr>
      </w:pPr>
      <w:bookmarkStart w:id="0" w:name="_GoBack"/>
      <w:bookmarkEnd w:id="0"/>
    </w:p>
    <w:p w14:paraId="38841817" w14:textId="77777777" w:rsidR="00A164C1" w:rsidRPr="00295C6B" w:rsidRDefault="00A164C1" w:rsidP="00745EC6">
      <w:pPr>
        <w:keepNext/>
        <w:widowControl w:val="0"/>
        <w:jc w:val="center"/>
        <w:rPr>
          <w:b/>
          <w:sz w:val="20"/>
          <w:szCs w:val="20"/>
        </w:rPr>
      </w:pPr>
    </w:p>
    <w:p w14:paraId="3E9CFFED" w14:textId="77777777" w:rsidR="00A164C1" w:rsidRPr="00295C6B" w:rsidRDefault="00A164C1" w:rsidP="00745EC6">
      <w:pPr>
        <w:keepNext/>
        <w:widowControl w:val="0"/>
        <w:jc w:val="center"/>
        <w:rPr>
          <w:b/>
          <w:sz w:val="20"/>
          <w:szCs w:val="20"/>
        </w:rPr>
      </w:pPr>
    </w:p>
    <w:p w14:paraId="2812EB36" w14:textId="77777777" w:rsidR="00A164C1" w:rsidRPr="00295C6B" w:rsidRDefault="00A164C1" w:rsidP="00745EC6">
      <w:pPr>
        <w:keepNext/>
        <w:widowControl w:val="0"/>
        <w:jc w:val="center"/>
        <w:rPr>
          <w:b/>
          <w:sz w:val="20"/>
          <w:szCs w:val="20"/>
        </w:rPr>
      </w:pPr>
    </w:p>
    <w:p w14:paraId="78D62E5C" w14:textId="77777777" w:rsidR="00A164C1" w:rsidRPr="00295C6B" w:rsidRDefault="00A164C1" w:rsidP="00745EC6">
      <w:pPr>
        <w:keepNext/>
        <w:widowControl w:val="0"/>
        <w:jc w:val="center"/>
        <w:rPr>
          <w:b/>
          <w:sz w:val="20"/>
          <w:szCs w:val="20"/>
        </w:rPr>
      </w:pPr>
    </w:p>
    <w:p w14:paraId="4BBD8505" w14:textId="77777777" w:rsidR="00A164C1" w:rsidRPr="00295C6B" w:rsidRDefault="00A164C1" w:rsidP="00745EC6">
      <w:pPr>
        <w:keepNext/>
        <w:widowControl w:val="0"/>
        <w:jc w:val="center"/>
        <w:rPr>
          <w:b/>
          <w:sz w:val="20"/>
          <w:szCs w:val="20"/>
        </w:rPr>
      </w:pPr>
    </w:p>
    <w:p w14:paraId="40A4E590" w14:textId="77777777" w:rsidR="00A164C1" w:rsidRPr="00295C6B" w:rsidRDefault="00A164C1" w:rsidP="00745EC6">
      <w:pPr>
        <w:keepNext/>
        <w:widowControl w:val="0"/>
        <w:jc w:val="center"/>
        <w:rPr>
          <w:b/>
          <w:sz w:val="20"/>
          <w:szCs w:val="20"/>
        </w:rPr>
      </w:pPr>
    </w:p>
    <w:p w14:paraId="11078980" w14:textId="77777777" w:rsidR="00A164C1" w:rsidRPr="00295C6B" w:rsidRDefault="00A164C1" w:rsidP="00745EC6">
      <w:pPr>
        <w:keepNext/>
        <w:widowControl w:val="0"/>
        <w:jc w:val="center"/>
        <w:rPr>
          <w:b/>
          <w:sz w:val="20"/>
          <w:szCs w:val="20"/>
        </w:rPr>
      </w:pPr>
    </w:p>
    <w:p w14:paraId="6932B236" w14:textId="65E4C7BB" w:rsidR="00A164C1" w:rsidRPr="00295C6B" w:rsidRDefault="00007948" w:rsidP="00745EC6">
      <w:pPr>
        <w:keepNext/>
        <w:widowControl w:val="0"/>
        <w:jc w:val="center"/>
        <w:rPr>
          <w:b/>
          <w:sz w:val="20"/>
          <w:szCs w:val="20"/>
        </w:rPr>
      </w:pPr>
      <w:r w:rsidRPr="002C1769">
        <w:rPr>
          <w:noProof/>
          <w:lang w:eastAsia="sk-SK"/>
        </w:rPr>
        <w:drawing>
          <wp:inline distT="0" distB="0" distL="0" distR="0" wp14:anchorId="14CF37E3" wp14:editId="56701627">
            <wp:extent cx="757392" cy="944088"/>
            <wp:effectExtent l="0" t="0" r="5080" b="8890"/>
            <wp:docPr id="4" name="Obrázok 56" descr="Popis: štátny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6" descr="Popis: štátny 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6040" cy="979798"/>
                    </a:xfrm>
                    <a:prstGeom prst="rect">
                      <a:avLst/>
                    </a:prstGeom>
                    <a:noFill/>
                    <a:ln>
                      <a:noFill/>
                    </a:ln>
                  </pic:spPr>
                </pic:pic>
              </a:graphicData>
            </a:graphic>
          </wp:inline>
        </w:drawing>
      </w:r>
    </w:p>
    <w:p w14:paraId="58EBC318" w14:textId="77777777" w:rsidR="00A164C1" w:rsidRPr="00295C6B" w:rsidRDefault="00A164C1" w:rsidP="00745EC6">
      <w:pPr>
        <w:keepNext/>
        <w:widowControl w:val="0"/>
        <w:jc w:val="center"/>
        <w:rPr>
          <w:b/>
          <w:sz w:val="20"/>
          <w:szCs w:val="20"/>
        </w:rPr>
      </w:pPr>
    </w:p>
    <w:p w14:paraId="67A844C3" w14:textId="1899AAF9" w:rsidR="00A164C1" w:rsidRPr="00295C6B" w:rsidRDefault="00A164C1" w:rsidP="00745EC6">
      <w:pPr>
        <w:keepNext/>
        <w:widowControl w:val="0"/>
        <w:jc w:val="center"/>
        <w:rPr>
          <w:b/>
          <w:sz w:val="28"/>
          <w:szCs w:val="20"/>
        </w:rPr>
      </w:pPr>
      <w:r w:rsidRPr="00295C6B">
        <w:rPr>
          <w:b/>
          <w:sz w:val="28"/>
          <w:szCs w:val="20"/>
        </w:rPr>
        <w:t xml:space="preserve">Zdôvodnenie výšky </w:t>
      </w:r>
      <w:r w:rsidR="00624449">
        <w:rPr>
          <w:b/>
          <w:sz w:val="28"/>
          <w:szCs w:val="20"/>
        </w:rPr>
        <w:t xml:space="preserve">hrubého </w:t>
      </w:r>
      <w:r w:rsidRPr="00295C6B">
        <w:rPr>
          <w:b/>
          <w:sz w:val="28"/>
          <w:szCs w:val="20"/>
        </w:rPr>
        <w:t xml:space="preserve">dlhu </w:t>
      </w:r>
      <w:r w:rsidR="00624449">
        <w:rPr>
          <w:b/>
          <w:sz w:val="28"/>
          <w:szCs w:val="20"/>
        </w:rPr>
        <w:t xml:space="preserve">SR </w:t>
      </w:r>
      <w:r w:rsidRPr="00295C6B">
        <w:rPr>
          <w:b/>
          <w:sz w:val="28"/>
          <w:szCs w:val="20"/>
        </w:rPr>
        <w:t>a návrh opatrení na jeho zníženie</w:t>
      </w:r>
    </w:p>
    <w:p w14:paraId="3D62CCE6" w14:textId="77777777" w:rsidR="00A164C1" w:rsidRPr="00295C6B" w:rsidRDefault="00A164C1" w:rsidP="00745EC6">
      <w:pPr>
        <w:keepNext/>
        <w:widowControl w:val="0"/>
        <w:jc w:val="center"/>
        <w:rPr>
          <w:b/>
          <w:sz w:val="20"/>
          <w:szCs w:val="20"/>
        </w:rPr>
      </w:pPr>
    </w:p>
    <w:p w14:paraId="125B6827" w14:textId="77777777" w:rsidR="00A164C1" w:rsidRPr="00295C6B" w:rsidRDefault="00A164C1" w:rsidP="00745EC6">
      <w:pPr>
        <w:keepNext/>
        <w:widowControl w:val="0"/>
        <w:jc w:val="center"/>
        <w:rPr>
          <w:b/>
          <w:sz w:val="20"/>
          <w:szCs w:val="20"/>
        </w:rPr>
      </w:pPr>
    </w:p>
    <w:p w14:paraId="57B7566A" w14:textId="77777777" w:rsidR="00A164C1" w:rsidRPr="00295C6B" w:rsidRDefault="00A164C1" w:rsidP="00745EC6">
      <w:pPr>
        <w:keepNext/>
        <w:widowControl w:val="0"/>
        <w:jc w:val="center"/>
        <w:rPr>
          <w:b/>
          <w:sz w:val="20"/>
          <w:szCs w:val="20"/>
        </w:rPr>
      </w:pPr>
    </w:p>
    <w:p w14:paraId="2F7B0DD4" w14:textId="77777777" w:rsidR="00A164C1" w:rsidRPr="00295C6B" w:rsidRDefault="00A164C1" w:rsidP="00745EC6">
      <w:pPr>
        <w:keepNext/>
        <w:widowControl w:val="0"/>
        <w:jc w:val="center"/>
        <w:rPr>
          <w:b/>
          <w:sz w:val="20"/>
          <w:szCs w:val="20"/>
        </w:rPr>
      </w:pPr>
    </w:p>
    <w:p w14:paraId="1ECE5862" w14:textId="77777777" w:rsidR="00A164C1" w:rsidRPr="00295C6B" w:rsidRDefault="00A164C1" w:rsidP="00745EC6">
      <w:pPr>
        <w:keepNext/>
        <w:widowControl w:val="0"/>
        <w:jc w:val="center"/>
        <w:rPr>
          <w:b/>
          <w:sz w:val="20"/>
          <w:szCs w:val="20"/>
        </w:rPr>
      </w:pPr>
    </w:p>
    <w:p w14:paraId="6D215D53" w14:textId="77777777" w:rsidR="00A164C1" w:rsidRPr="00295C6B" w:rsidRDefault="00A164C1" w:rsidP="00745EC6">
      <w:pPr>
        <w:keepNext/>
        <w:widowControl w:val="0"/>
        <w:jc w:val="center"/>
        <w:rPr>
          <w:b/>
          <w:sz w:val="20"/>
          <w:szCs w:val="20"/>
        </w:rPr>
      </w:pPr>
    </w:p>
    <w:p w14:paraId="34061C0F" w14:textId="77777777" w:rsidR="0047783D" w:rsidRPr="00295C6B" w:rsidRDefault="0047783D" w:rsidP="00745EC6">
      <w:pPr>
        <w:keepNext/>
        <w:widowControl w:val="0"/>
        <w:jc w:val="center"/>
        <w:rPr>
          <w:b/>
          <w:sz w:val="20"/>
          <w:szCs w:val="20"/>
        </w:rPr>
      </w:pPr>
    </w:p>
    <w:p w14:paraId="696F3C4B" w14:textId="77777777" w:rsidR="00A164C1" w:rsidRPr="00295C6B" w:rsidRDefault="00A164C1" w:rsidP="00745EC6">
      <w:pPr>
        <w:keepNext/>
        <w:widowControl w:val="0"/>
        <w:jc w:val="center"/>
        <w:rPr>
          <w:b/>
          <w:sz w:val="20"/>
          <w:szCs w:val="20"/>
        </w:rPr>
      </w:pPr>
    </w:p>
    <w:p w14:paraId="6B690912" w14:textId="77777777" w:rsidR="00A164C1" w:rsidRPr="00295C6B" w:rsidRDefault="00A164C1" w:rsidP="00745EC6">
      <w:pPr>
        <w:keepNext/>
        <w:widowControl w:val="0"/>
        <w:jc w:val="center"/>
        <w:rPr>
          <w:b/>
          <w:sz w:val="20"/>
          <w:szCs w:val="20"/>
        </w:rPr>
      </w:pPr>
    </w:p>
    <w:p w14:paraId="378DF319" w14:textId="77777777" w:rsidR="0047783D" w:rsidRPr="00295C6B" w:rsidRDefault="0047783D" w:rsidP="00745EC6">
      <w:pPr>
        <w:keepNext/>
        <w:widowControl w:val="0"/>
        <w:jc w:val="center"/>
        <w:rPr>
          <w:b/>
          <w:sz w:val="20"/>
          <w:szCs w:val="20"/>
        </w:rPr>
      </w:pPr>
    </w:p>
    <w:p w14:paraId="5BB3CDC9" w14:textId="77777777" w:rsidR="0047783D" w:rsidRPr="00295C6B" w:rsidRDefault="0047783D" w:rsidP="00745EC6">
      <w:pPr>
        <w:keepNext/>
        <w:widowControl w:val="0"/>
        <w:jc w:val="center"/>
        <w:rPr>
          <w:b/>
          <w:sz w:val="20"/>
          <w:szCs w:val="20"/>
        </w:rPr>
      </w:pPr>
    </w:p>
    <w:p w14:paraId="1BEA91B5" w14:textId="77777777" w:rsidR="0047783D" w:rsidRPr="00295C6B" w:rsidRDefault="0047783D" w:rsidP="00745EC6">
      <w:pPr>
        <w:keepNext/>
        <w:widowControl w:val="0"/>
        <w:jc w:val="center"/>
        <w:rPr>
          <w:b/>
          <w:sz w:val="20"/>
          <w:szCs w:val="20"/>
        </w:rPr>
      </w:pPr>
    </w:p>
    <w:p w14:paraId="10E47FA2" w14:textId="77777777" w:rsidR="0047783D" w:rsidRPr="00295C6B" w:rsidRDefault="0047783D" w:rsidP="00745EC6">
      <w:pPr>
        <w:keepNext/>
        <w:widowControl w:val="0"/>
        <w:jc w:val="center"/>
        <w:rPr>
          <w:b/>
          <w:sz w:val="20"/>
          <w:szCs w:val="20"/>
        </w:rPr>
      </w:pPr>
    </w:p>
    <w:p w14:paraId="29012A24" w14:textId="77777777" w:rsidR="0047783D" w:rsidRPr="00295C6B" w:rsidRDefault="0047783D" w:rsidP="00745EC6">
      <w:pPr>
        <w:keepNext/>
        <w:widowControl w:val="0"/>
        <w:jc w:val="center"/>
        <w:rPr>
          <w:b/>
          <w:sz w:val="20"/>
          <w:szCs w:val="20"/>
        </w:rPr>
      </w:pPr>
    </w:p>
    <w:p w14:paraId="2CBA7B13" w14:textId="77777777" w:rsidR="0047783D" w:rsidRPr="00295C6B" w:rsidRDefault="0047783D" w:rsidP="00745EC6">
      <w:pPr>
        <w:keepNext/>
        <w:widowControl w:val="0"/>
        <w:jc w:val="center"/>
        <w:rPr>
          <w:b/>
          <w:sz w:val="20"/>
          <w:szCs w:val="20"/>
        </w:rPr>
      </w:pPr>
    </w:p>
    <w:p w14:paraId="09105322" w14:textId="090156D7" w:rsidR="00A164C1" w:rsidRPr="00295C6B" w:rsidRDefault="00603BA2" w:rsidP="00745EC6">
      <w:pPr>
        <w:keepNext/>
        <w:widowControl w:val="0"/>
        <w:jc w:val="center"/>
        <w:rPr>
          <w:sz w:val="20"/>
          <w:szCs w:val="20"/>
        </w:rPr>
      </w:pPr>
      <w:r w:rsidRPr="00E50384">
        <w:rPr>
          <w:sz w:val="20"/>
          <w:szCs w:val="20"/>
        </w:rPr>
        <w:t>Jú</w:t>
      </w:r>
      <w:r w:rsidR="00C95F5C">
        <w:rPr>
          <w:sz w:val="20"/>
          <w:szCs w:val="20"/>
        </w:rPr>
        <w:t>l</w:t>
      </w:r>
      <w:r w:rsidR="00984FC8" w:rsidRPr="00E50384">
        <w:rPr>
          <w:sz w:val="20"/>
          <w:szCs w:val="20"/>
        </w:rPr>
        <w:t xml:space="preserve"> 202</w:t>
      </w:r>
      <w:r w:rsidRPr="00E50384">
        <w:rPr>
          <w:sz w:val="20"/>
          <w:szCs w:val="20"/>
        </w:rPr>
        <w:t>4</w:t>
      </w:r>
    </w:p>
    <w:p w14:paraId="5061EC3B" w14:textId="76821E5C" w:rsidR="00A164C1" w:rsidRDefault="00A164C1" w:rsidP="00745EC6">
      <w:pPr>
        <w:pStyle w:val="Nadpis2"/>
        <w:keepLines w:val="0"/>
        <w:widowControl w:val="0"/>
        <w:numPr>
          <w:ilvl w:val="0"/>
          <w:numId w:val="1"/>
        </w:numPr>
        <w:spacing w:before="0" w:after="120"/>
        <w:ind w:left="357" w:hanging="357"/>
        <w:rPr>
          <w:rFonts w:ascii="Arial Narrow" w:hAnsi="Arial Narrow"/>
          <w:sz w:val="24"/>
          <w:szCs w:val="20"/>
        </w:rPr>
      </w:pPr>
      <w:bookmarkStart w:id="1" w:name="_Toc24112330"/>
      <w:r w:rsidRPr="00295C6B">
        <w:rPr>
          <w:rFonts w:ascii="Arial Narrow" w:hAnsi="Arial Narrow"/>
          <w:sz w:val="24"/>
          <w:szCs w:val="20"/>
        </w:rPr>
        <w:lastRenderedPageBreak/>
        <w:t>Zhrnutie</w:t>
      </w:r>
      <w:bookmarkEnd w:id="1"/>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003F1" w:rsidRPr="0095304C" w14:paraId="4FD94459" w14:textId="77777777" w:rsidTr="00606C80">
        <w:tc>
          <w:tcPr>
            <w:tcW w:w="9072" w:type="dxa"/>
            <w:shd w:val="clear" w:color="auto" w:fill="auto"/>
          </w:tcPr>
          <w:p w14:paraId="606442C8" w14:textId="08E6B9E1" w:rsidR="00BA7633" w:rsidRDefault="009E4913" w:rsidP="00745EC6">
            <w:pPr>
              <w:keepNext/>
              <w:widowControl w:val="0"/>
              <w:spacing w:line="276" w:lineRule="auto"/>
              <w:jc w:val="both"/>
              <w:rPr>
                <w:sz w:val="19"/>
                <w:szCs w:val="19"/>
              </w:rPr>
            </w:pPr>
            <w:r w:rsidRPr="00FE6AE9">
              <w:rPr>
                <w:b/>
                <w:sz w:val="19"/>
                <w:szCs w:val="19"/>
              </w:rPr>
              <w:t xml:space="preserve">V </w:t>
            </w:r>
            <w:r w:rsidR="0018108D" w:rsidRPr="00FE6AE9">
              <w:rPr>
                <w:b/>
                <w:sz w:val="19"/>
                <w:szCs w:val="19"/>
              </w:rPr>
              <w:t>súlade s ú</w:t>
            </w:r>
            <w:r w:rsidR="00332A02" w:rsidRPr="00FE6AE9">
              <w:rPr>
                <w:b/>
                <w:sz w:val="19"/>
                <w:szCs w:val="19"/>
              </w:rPr>
              <w:t>stavný</w:t>
            </w:r>
            <w:r w:rsidR="0018108D" w:rsidRPr="00FE6AE9">
              <w:rPr>
                <w:b/>
                <w:sz w:val="19"/>
                <w:szCs w:val="19"/>
              </w:rPr>
              <w:t>m</w:t>
            </w:r>
            <w:r w:rsidR="00332A02" w:rsidRPr="00FE6AE9">
              <w:rPr>
                <w:b/>
                <w:sz w:val="19"/>
                <w:szCs w:val="19"/>
              </w:rPr>
              <w:t xml:space="preserve"> zákon</w:t>
            </w:r>
            <w:r w:rsidR="0018108D" w:rsidRPr="00FE6AE9">
              <w:rPr>
                <w:b/>
                <w:sz w:val="19"/>
                <w:szCs w:val="19"/>
              </w:rPr>
              <w:t>om</w:t>
            </w:r>
            <w:r w:rsidR="00332A02" w:rsidRPr="00FE6AE9">
              <w:rPr>
                <w:b/>
                <w:sz w:val="19"/>
                <w:szCs w:val="19"/>
              </w:rPr>
              <w:t xml:space="preserve"> o rozpočtovej zodpovednosti </w:t>
            </w:r>
            <w:r w:rsidRPr="00FE6AE9">
              <w:rPr>
                <w:b/>
                <w:sz w:val="19"/>
                <w:szCs w:val="19"/>
              </w:rPr>
              <w:t xml:space="preserve">vláda </w:t>
            </w:r>
            <w:r w:rsidR="0018108D" w:rsidRPr="00FE6AE9">
              <w:rPr>
                <w:b/>
                <w:sz w:val="19"/>
                <w:szCs w:val="19"/>
              </w:rPr>
              <w:t>predkladá do Národnej rady SR písomné zdôvodnenie výšky dlhu</w:t>
            </w:r>
            <w:r w:rsidR="00EC164D" w:rsidRPr="00FE6AE9">
              <w:rPr>
                <w:b/>
                <w:sz w:val="19"/>
                <w:szCs w:val="19"/>
              </w:rPr>
              <w:t xml:space="preserve">, </w:t>
            </w:r>
            <w:r w:rsidR="0018108D" w:rsidRPr="00FE6AE9">
              <w:rPr>
                <w:b/>
                <w:sz w:val="19"/>
                <w:szCs w:val="19"/>
              </w:rPr>
              <w:t xml:space="preserve">návrh </w:t>
            </w:r>
            <w:r w:rsidR="00EC164D" w:rsidRPr="00FE6AE9">
              <w:rPr>
                <w:b/>
                <w:sz w:val="19"/>
                <w:szCs w:val="19"/>
              </w:rPr>
              <w:t xml:space="preserve">už prijatých </w:t>
            </w:r>
            <w:r w:rsidR="0018108D" w:rsidRPr="00FE6AE9">
              <w:rPr>
                <w:b/>
                <w:sz w:val="19"/>
                <w:szCs w:val="19"/>
              </w:rPr>
              <w:t>opatrení na jeho zníženie</w:t>
            </w:r>
            <w:r w:rsidR="00EC164D" w:rsidRPr="00FE6AE9">
              <w:rPr>
                <w:b/>
                <w:sz w:val="19"/>
                <w:szCs w:val="19"/>
              </w:rPr>
              <w:t xml:space="preserve"> a tiež informáciu o potrebe ďalších konsolidačných opatrení</w:t>
            </w:r>
            <w:r w:rsidR="0018108D" w:rsidRPr="00FE6AE9">
              <w:rPr>
                <w:b/>
                <w:sz w:val="19"/>
                <w:szCs w:val="19"/>
              </w:rPr>
              <w:t>.</w:t>
            </w:r>
            <w:r w:rsidR="00D43607" w:rsidRPr="00FE6AE9">
              <w:rPr>
                <w:sz w:val="19"/>
                <w:szCs w:val="19"/>
              </w:rPr>
              <w:t xml:space="preserve"> Hrubý dlh </w:t>
            </w:r>
            <w:r w:rsidR="00FA4EA2" w:rsidRPr="00FE6AE9">
              <w:rPr>
                <w:sz w:val="19"/>
                <w:szCs w:val="19"/>
              </w:rPr>
              <w:t>ostáva</w:t>
            </w:r>
            <w:r w:rsidR="007E35C7" w:rsidRPr="00FE6AE9">
              <w:rPr>
                <w:sz w:val="19"/>
                <w:szCs w:val="19"/>
              </w:rPr>
              <w:t xml:space="preserve"> v najvyššom sankčnom pásme </w:t>
            </w:r>
            <w:r w:rsidR="00292A44" w:rsidRPr="00FE6AE9">
              <w:rPr>
                <w:sz w:val="19"/>
                <w:szCs w:val="19"/>
              </w:rPr>
              <w:t>dlhovej brzdy</w:t>
            </w:r>
            <w:r w:rsidR="00FA4EA2" w:rsidRPr="00FE6AE9">
              <w:rPr>
                <w:sz w:val="19"/>
                <w:szCs w:val="19"/>
              </w:rPr>
              <w:t xml:space="preserve">. Ústavný zákon o rozpočtovej zodpovednosti v tomto prípade požaduje uplatnenie všetkých sankcií dlhovej brzdy. </w:t>
            </w:r>
            <w:r w:rsidR="00E01B81" w:rsidRPr="00FE6AE9">
              <w:rPr>
                <w:sz w:val="19"/>
                <w:szCs w:val="19"/>
              </w:rPr>
              <w:t>S</w:t>
            </w:r>
            <w:r w:rsidR="00FA4EA2" w:rsidRPr="00FE6AE9">
              <w:rPr>
                <w:sz w:val="19"/>
                <w:szCs w:val="19"/>
              </w:rPr>
              <w:t>chválením programového vyhlásenia novej vlády v NR SR v novembr</w:t>
            </w:r>
            <w:r w:rsidR="00CA4711" w:rsidRPr="00FE6AE9">
              <w:rPr>
                <w:sz w:val="19"/>
                <w:szCs w:val="19"/>
              </w:rPr>
              <w:t>i 2023 sa</w:t>
            </w:r>
            <w:r w:rsidR="00535407" w:rsidRPr="00FE6AE9">
              <w:rPr>
                <w:sz w:val="19"/>
                <w:szCs w:val="19"/>
              </w:rPr>
              <w:t xml:space="preserve"> však</w:t>
            </w:r>
            <w:r w:rsidR="00CA4711" w:rsidRPr="00FE6AE9">
              <w:rPr>
                <w:sz w:val="19"/>
                <w:szCs w:val="19"/>
              </w:rPr>
              <w:t xml:space="preserve"> na dva roky </w:t>
            </w:r>
            <w:r w:rsidR="00FA4EA2" w:rsidRPr="00FE6AE9">
              <w:rPr>
                <w:sz w:val="19"/>
                <w:szCs w:val="19"/>
              </w:rPr>
              <w:t xml:space="preserve">aktivovala úniková klauzula zo sankcií 3. až 5. pásma dlhovej brzdy. </w:t>
            </w:r>
            <w:r w:rsidR="003D3D23" w:rsidRPr="00346FCC">
              <w:rPr>
                <w:sz w:val="19"/>
                <w:szCs w:val="19"/>
              </w:rPr>
              <w:t>V rámci plnenia sankcií z nižších pásiem vláda do Parlamentu predkladá zdôvodnenie výšky dlhu vrátane návrhu na jeho zníženie.</w:t>
            </w:r>
            <w:r w:rsidR="003D3D23">
              <w:rPr>
                <w:sz w:val="19"/>
                <w:szCs w:val="19"/>
              </w:rPr>
              <w:t xml:space="preserve"> </w:t>
            </w:r>
          </w:p>
          <w:p w14:paraId="1675919B" w14:textId="77777777" w:rsidR="00F77756" w:rsidRPr="00C100D7" w:rsidRDefault="00F77756" w:rsidP="00745EC6">
            <w:pPr>
              <w:keepNext/>
              <w:widowControl w:val="0"/>
              <w:spacing w:line="276" w:lineRule="auto"/>
              <w:jc w:val="both"/>
              <w:rPr>
                <w:sz w:val="16"/>
                <w:szCs w:val="16"/>
              </w:rPr>
            </w:pPr>
          </w:p>
          <w:p w14:paraId="75937D55" w14:textId="52E3A685" w:rsidR="00BA7633" w:rsidRPr="00FE6AE9" w:rsidRDefault="00BA7633" w:rsidP="00745EC6">
            <w:pPr>
              <w:keepNext/>
              <w:widowControl w:val="0"/>
              <w:spacing w:line="264" w:lineRule="auto"/>
              <w:jc w:val="both"/>
              <w:rPr>
                <w:sz w:val="19"/>
                <w:szCs w:val="19"/>
              </w:rPr>
            </w:pPr>
            <w:r w:rsidRPr="00FE6AE9">
              <w:rPr>
                <w:b/>
                <w:sz w:val="19"/>
                <w:szCs w:val="19"/>
              </w:rPr>
              <w:t>Hrubý dlh v</w:t>
            </w:r>
            <w:r w:rsidR="00BA1DBB" w:rsidRPr="00FE6AE9">
              <w:rPr>
                <w:b/>
                <w:sz w:val="19"/>
                <w:szCs w:val="19"/>
              </w:rPr>
              <w:t> minulom roku</w:t>
            </w:r>
            <w:r w:rsidRPr="00FE6AE9">
              <w:rPr>
                <w:b/>
                <w:sz w:val="19"/>
                <w:szCs w:val="19"/>
              </w:rPr>
              <w:t xml:space="preserve"> </w:t>
            </w:r>
            <w:r w:rsidR="005807FF" w:rsidRPr="00FE6AE9">
              <w:rPr>
                <w:b/>
                <w:sz w:val="19"/>
                <w:szCs w:val="19"/>
              </w:rPr>
              <w:t>dosiahol</w:t>
            </w:r>
            <w:r w:rsidR="00A84A57" w:rsidRPr="00FE6AE9">
              <w:rPr>
                <w:b/>
                <w:sz w:val="19"/>
                <w:szCs w:val="19"/>
              </w:rPr>
              <w:t xml:space="preserve"> </w:t>
            </w:r>
            <w:r w:rsidR="00BA1DBB" w:rsidRPr="00FE6AE9">
              <w:rPr>
                <w:b/>
                <w:sz w:val="19"/>
                <w:szCs w:val="19"/>
              </w:rPr>
              <w:t>56</w:t>
            </w:r>
            <w:r w:rsidR="00A84A57" w:rsidRPr="00FE6AE9">
              <w:rPr>
                <w:b/>
                <w:sz w:val="19"/>
                <w:szCs w:val="19"/>
              </w:rPr>
              <w:t xml:space="preserve"> % HDP</w:t>
            </w:r>
            <w:r w:rsidR="005807FF" w:rsidRPr="00FE6AE9">
              <w:rPr>
                <w:b/>
                <w:sz w:val="19"/>
                <w:szCs w:val="19"/>
              </w:rPr>
              <w:t xml:space="preserve">, </w:t>
            </w:r>
            <w:r w:rsidR="00644EE8" w:rsidRPr="00FE6AE9">
              <w:rPr>
                <w:b/>
                <w:sz w:val="19"/>
                <w:szCs w:val="19"/>
              </w:rPr>
              <w:t xml:space="preserve">čo je </w:t>
            </w:r>
            <w:r w:rsidR="00B241A4" w:rsidRPr="00FE6AE9">
              <w:rPr>
                <w:b/>
                <w:sz w:val="19"/>
                <w:szCs w:val="19"/>
              </w:rPr>
              <w:t xml:space="preserve">dôsledkom </w:t>
            </w:r>
            <w:r w:rsidR="00862DE2" w:rsidRPr="00FE6AE9">
              <w:rPr>
                <w:b/>
                <w:sz w:val="19"/>
                <w:szCs w:val="19"/>
              </w:rPr>
              <w:t>predovšetkým</w:t>
            </w:r>
            <w:r w:rsidR="00644EE8" w:rsidRPr="00FE6AE9">
              <w:rPr>
                <w:b/>
                <w:sz w:val="19"/>
                <w:szCs w:val="19"/>
              </w:rPr>
              <w:t xml:space="preserve"> posledných </w:t>
            </w:r>
            <w:r w:rsidR="00862DE2" w:rsidRPr="00FE6AE9">
              <w:rPr>
                <w:b/>
                <w:sz w:val="19"/>
                <w:szCs w:val="19"/>
              </w:rPr>
              <w:t xml:space="preserve">štyroch </w:t>
            </w:r>
            <w:r w:rsidR="00644EE8" w:rsidRPr="00FE6AE9">
              <w:rPr>
                <w:b/>
                <w:sz w:val="19"/>
                <w:szCs w:val="19"/>
              </w:rPr>
              <w:t>rokov ovplyvnených pandemickou a energetickou krízou</w:t>
            </w:r>
            <w:r w:rsidRPr="00FE6AE9">
              <w:rPr>
                <w:b/>
                <w:sz w:val="19"/>
                <w:szCs w:val="19"/>
              </w:rPr>
              <w:t xml:space="preserve">. </w:t>
            </w:r>
            <w:r w:rsidR="00CE403F" w:rsidRPr="00FE6AE9">
              <w:rPr>
                <w:sz w:val="19"/>
                <w:szCs w:val="19"/>
              </w:rPr>
              <w:t xml:space="preserve">Dlh vzrástol najmä </w:t>
            </w:r>
            <w:r w:rsidR="00B241A4" w:rsidRPr="00FE6AE9">
              <w:rPr>
                <w:sz w:val="19"/>
                <w:szCs w:val="19"/>
              </w:rPr>
              <w:t>vplyvom</w:t>
            </w:r>
            <w:r w:rsidR="00CE403F" w:rsidRPr="00FE6AE9">
              <w:rPr>
                <w:sz w:val="19"/>
                <w:szCs w:val="19"/>
              </w:rPr>
              <w:t xml:space="preserve"> pandémie </w:t>
            </w:r>
            <w:r w:rsidR="00592EC4" w:rsidRPr="00FE6AE9">
              <w:rPr>
                <w:sz w:val="19"/>
                <w:szCs w:val="19"/>
              </w:rPr>
              <w:t>COVID-19</w:t>
            </w:r>
            <w:r w:rsidR="00D2032F" w:rsidRPr="00FE6AE9">
              <w:rPr>
                <w:sz w:val="19"/>
                <w:szCs w:val="19"/>
              </w:rPr>
              <w:t xml:space="preserve"> a</w:t>
            </w:r>
            <w:r w:rsidR="00DD0C1C" w:rsidRPr="00FE6AE9">
              <w:rPr>
                <w:sz w:val="19"/>
                <w:szCs w:val="19"/>
              </w:rPr>
              <w:t xml:space="preserve"> tiež</w:t>
            </w:r>
            <w:r w:rsidR="00D2032F" w:rsidRPr="00FE6AE9">
              <w:rPr>
                <w:sz w:val="19"/>
                <w:szCs w:val="19"/>
              </w:rPr>
              <w:t> energ</w:t>
            </w:r>
            <w:r w:rsidR="003E1767" w:rsidRPr="00FE6AE9">
              <w:rPr>
                <w:sz w:val="19"/>
                <w:szCs w:val="19"/>
              </w:rPr>
              <w:t xml:space="preserve">etickej </w:t>
            </w:r>
            <w:r w:rsidR="00D2032F" w:rsidRPr="00FE6AE9">
              <w:rPr>
                <w:sz w:val="19"/>
                <w:szCs w:val="19"/>
              </w:rPr>
              <w:t>krízy</w:t>
            </w:r>
            <w:r w:rsidR="00CE403F" w:rsidRPr="00FE6AE9">
              <w:rPr>
                <w:sz w:val="19"/>
                <w:szCs w:val="19"/>
              </w:rPr>
              <w:t xml:space="preserve">, čo sa prejavilo vysokými </w:t>
            </w:r>
            <w:r w:rsidR="00B241A4" w:rsidRPr="00FE6AE9">
              <w:rPr>
                <w:sz w:val="19"/>
                <w:szCs w:val="19"/>
              </w:rPr>
              <w:t>deficitmi</w:t>
            </w:r>
            <w:r w:rsidR="00E32ABA" w:rsidRPr="00FE6AE9">
              <w:rPr>
                <w:sz w:val="19"/>
                <w:szCs w:val="19"/>
              </w:rPr>
              <w:t xml:space="preserve"> štátneho rozpočtu</w:t>
            </w:r>
            <w:r w:rsidR="00045147" w:rsidRPr="00FE6AE9">
              <w:rPr>
                <w:sz w:val="19"/>
                <w:szCs w:val="19"/>
              </w:rPr>
              <w:t xml:space="preserve"> </w:t>
            </w:r>
            <w:r w:rsidR="009E4913" w:rsidRPr="00FE6AE9">
              <w:rPr>
                <w:sz w:val="19"/>
                <w:szCs w:val="19"/>
              </w:rPr>
              <w:t>v</w:t>
            </w:r>
            <w:r w:rsidR="00D2032F" w:rsidRPr="00FE6AE9">
              <w:rPr>
                <w:sz w:val="19"/>
                <w:szCs w:val="19"/>
              </w:rPr>
              <w:t> </w:t>
            </w:r>
            <w:r w:rsidR="009E4913" w:rsidRPr="00FE6AE9">
              <w:rPr>
                <w:sz w:val="19"/>
                <w:szCs w:val="19"/>
              </w:rPr>
              <w:t>rokoch 2020</w:t>
            </w:r>
            <w:r w:rsidR="00D2032F" w:rsidRPr="00FE6AE9">
              <w:rPr>
                <w:sz w:val="19"/>
                <w:szCs w:val="19"/>
              </w:rPr>
              <w:t xml:space="preserve">, </w:t>
            </w:r>
            <w:r w:rsidR="009E4913" w:rsidRPr="00FE6AE9">
              <w:rPr>
                <w:sz w:val="19"/>
                <w:szCs w:val="19"/>
              </w:rPr>
              <w:t>2021</w:t>
            </w:r>
            <w:r w:rsidR="00D2032F" w:rsidRPr="00FE6AE9">
              <w:rPr>
                <w:sz w:val="19"/>
                <w:szCs w:val="19"/>
              </w:rPr>
              <w:t xml:space="preserve"> a v 2023</w:t>
            </w:r>
            <w:r w:rsidR="00C81222" w:rsidRPr="00FE6AE9">
              <w:rPr>
                <w:sz w:val="19"/>
                <w:szCs w:val="19"/>
              </w:rPr>
              <w:t>.</w:t>
            </w:r>
            <w:r w:rsidR="006A2561" w:rsidRPr="00FE6AE9">
              <w:rPr>
                <w:sz w:val="19"/>
                <w:szCs w:val="19"/>
              </w:rPr>
              <w:t xml:space="preserve"> </w:t>
            </w:r>
            <w:r w:rsidR="00DD0C1C" w:rsidRPr="00FE6AE9">
              <w:rPr>
                <w:sz w:val="19"/>
                <w:szCs w:val="19"/>
              </w:rPr>
              <w:t>V minulom roku</w:t>
            </w:r>
            <w:r w:rsidR="006A2561" w:rsidRPr="00FE6AE9">
              <w:rPr>
                <w:sz w:val="19"/>
                <w:szCs w:val="19"/>
              </w:rPr>
              <w:t xml:space="preserve"> boli </w:t>
            </w:r>
            <w:r w:rsidR="00DD0C1C" w:rsidRPr="00FE6AE9">
              <w:rPr>
                <w:sz w:val="19"/>
                <w:szCs w:val="19"/>
              </w:rPr>
              <w:t xml:space="preserve">zároveň </w:t>
            </w:r>
            <w:r w:rsidR="006A2561" w:rsidRPr="00FE6AE9">
              <w:rPr>
                <w:sz w:val="19"/>
                <w:szCs w:val="19"/>
              </w:rPr>
              <w:t xml:space="preserve">prijaté </w:t>
            </w:r>
            <w:r w:rsidR="00D2032F" w:rsidRPr="00FE6AE9">
              <w:rPr>
                <w:sz w:val="19"/>
                <w:szCs w:val="19"/>
              </w:rPr>
              <w:t>viacer</w:t>
            </w:r>
            <w:r w:rsidR="006A2561" w:rsidRPr="00FE6AE9">
              <w:rPr>
                <w:sz w:val="19"/>
                <w:szCs w:val="19"/>
              </w:rPr>
              <w:t>é</w:t>
            </w:r>
            <w:r w:rsidR="00D2032F" w:rsidRPr="00FE6AE9">
              <w:rPr>
                <w:sz w:val="19"/>
                <w:szCs w:val="19"/>
              </w:rPr>
              <w:t xml:space="preserve"> opatrenia najmä v rodinnej politike</w:t>
            </w:r>
            <w:r w:rsidR="006A2561" w:rsidRPr="00FE6AE9">
              <w:rPr>
                <w:sz w:val="19"/>
                <w:szCs w:val="19"/>
              </w:rPr>
              <w:t xml:space="preserve">, </w:t>
            </w:r>
            <w:r w:rsidR="00EC164D" w:rsidRPr="00FE6AE9">
              <w:rPr>
                <w:sz w:val="19"/>
                <w:szCs w:val="19"/>
              </w:rPr>
              <w:t xml:space="preserve">ktoré </w:t>
            </w:r>
            <w:r w:rsidR="006A2561" w:rsidRPr="00FE6AE9">
              <w:rPr>
                <w:sz w:val="19"/>
                <w:szCs w:val="19"/>
              </w:rPr>
              <w:t>nesúvis</w:t>
            </w:r>
            <w:r w:rsidR="00EC164D" w:rsidRPr="00FE6AE9">
              <w:rPr>
                <w:sz w:val="19"/>
                <w:szCs w:val="19"/>
              </w:rPr>
              <w:t>eli priamo</w:t>
            </w:r>
            <w:r w:rsidR="006A2561" w:rsidRPr="00FE6AE9">
              <w:rPr>
                <w:sz w:val="19"/>
                <w:szCs w:val="19"/>
              </w:rPr>
              <w:t xml:space="preserve"> s reakciou na krízu</w:t>
            </w:r>
            <w:r w:rsidR="00D2032F" w:rsidRPr="00FE6AE9">
              <w:rPr>
                <w:sz w:val="19"/>
                <w:szCs w:val="19"/>
              </w:rPr>
              <w:t>.</w:t>
            </w:r>
            <w:r w:rsidRPr="00FE6AE9">
              <w:rPr>
                <w:sz w:val="19"/>
                <w:szCs w:val="19"/>
              </w:rPr>
              <w:t xml:space="preserve"> </w:t>
            </w:r>
            <w:r w:rsidR="003626B1" w:rsidRPr="00FE6AE9">
              <w:rPr>
                <w:sz w:val="19"/>
                <w:szCs w:val="19"/>
              </w:rPr>
              <w:t>Pod zvýšenie</w:t>
            </w:r>
            <w:r w:rsidR="00DF5435" w:rsidRPr="00FE6AE9">
              <w:rPr>
                <w:sz w:val="19"/>
                <w:szCs w:val="19"/>
              </w:rPr>
              <w:t xml:space="preserve"> hrubého dlhu sa</w:t>
            </w:r>
            <w:r w:rsidR="00592EC4" w:rsidRPr="00FE6AE9">
              <w:rPr>
                <w:sz w:val="19"/>
                <w:szCs w:val="19"/>
              </w:rPr>
              <w:t xml:space="preserve"> </w:t>
            </w:r>
            <w:r w:rsidRPr="00FE6AE9">
              <w:rPr>
                <w:sz w:val="19"/>
                <w:szCs w:val="19"/>
              </w:rPr>
              <w:t>podpísal</w:t>
            </w:r>
            <w:r w:rsidR="0051586C" w:rsidRPr="00FE6AE9">
              <w:rPr>
                <w:sz w:val="19"/>
                <w:szCs w:val="19"/>
              </w:rPr>
              <w:t xml:space="preserve"> aj nárast hotovostnej rezervy</w:t>
            </w:r>
            <w:r w:rsidR="00573C6E" w:rsidRPr="00FE6AE9">
              <w:rPr>
                <w:sz w:val="19"/>
                <w:szCs w:val="19"/>
              </w:rPr>
              <w:t xml:space="preserve">, ktorá </w:t>
            </w:r>
            <w:r w:rsidR="005608A6" w:rsidRPr="00FE6AE9">
              <w:rPr>
                <w:sz w:val="19"/>
                <w:szCs w:val="19"/>
              </w:rPr>
              <w:t xml:space="preserve">sa </w:t>
            </w:r>
            <w:r w:rsidR="0059656D" w:rsidRPr="00FE6AE9">
              <w:rPr>
                <w:sz w:val="19"/>
                <w:szCs w:val="19"/>
              </w:rPr>
              <w:t xml:space="preserve">aj ku koncu roka 2023 </w:t>
            </w:r>
            <w:r w:rsidR="005608A6" w:rsidRPr="00FE6AE9">
              <w:rPr>
                <w:sz w:val="19"/>
                <w:szCs w:val="19"/>
              </w:rPr>
              <w:t>udržala</w:t>
            </w:r>
            <w:r w:rsidR="00573C6E" w:rsidRPr="00FE6AE9">
              <w:rPr>
                <w:sz w:val="19"/>
                <w:szCs w:val="19"/>
              </w:rPr>
              <w:t xml:space="preserve"> nad priemernou úrovňou </w:t>
            </w:r>
            <w:r w:rsidR="00173248" w:rsidRPr="00FE6AE9">
              <w:rPr>
                <w:sz w:val="19"/>
                <w:szCs w:val="19"/>
              </w:rPr>
              <w:t>v predkrízovom období</w:t>
            </w:r>
            <w:r w:rsidR="0015238B" w:rsidRPr="00FE6AE9">
              <w:rPr>
                <w:sz w:val="19"/>
                <w:szCs w:val="19"/>
              </w:rPr>
              <w:t xml:space="preserve">. </w:t>
            </w:r>
          </w:p>
          <w:p w14:paraId="15F6A341" w14:textId="7C5DE1D2" w:rsidR="001638A5" w:rsidRPr="00C100D7" w:rsidRDefault="001638A5" w:rsidP="00745EC6">
            <w:pPr>
              <w:keepNext/>
              <w:widowControl w:val="0"/>
              <w:spacing w:line="264" w:lineRule="auto"/>
              <w:jc w:val="both"/>
              <w:rPr>
                <w:sz w:val="16"/>
                <w:szCs w:val="16"/>
              </w:rPr>
            </w:pPr>
          </w:p>
          <w:p w14:paraId="01F892B0" w14:textId="71DE6775" w:rsidR="00535407" w:rsidRPr="00FE6AE9" w:rsidRDefault="001638A5" w:rsidP="00745EC6">
            <w:pPr>
              <w:keepNext/>
              <w:widowControl w:val="0"/>
              <w:spacing w:line="264" w:lineRule="auto"/>
              <w:jc w:val="both"/>
              <w:rPr>
                <w:sz w:val="19"/>
                <w:szCs w:val="19"/>
              </w:rPr>
            </w:pPr>
            <w:r w:rsidRPr="00FE6AE9">
              <w:rPr>
                <w:b/>
                <w:sz w:val="19"/>
                <w:szCs w:val="19"/>
              </w:rPr>
              <w:t>Od roku 2024</w:t>
            </w:r>
            <w:r w:rsidR="00DC0CA7" w:rsidRPr="00FE6AE9">
              <w:rPr>
                <w:b/>
                <w:sz w:val="19"/>
                <w:szCs w:val="19"/>
              </w:rPr>
              <w:t xml:space="preserve"> </w:t>
            </w:r>
            <w:r w:rsidR="00CD6883" w:rsidRPr="00FE6AE9">
              <w:rPr>
                <w:b/>
                <w:sz w:val="19"/>
                <w:szCs w:val="19"/>
              </w:rPr>
              <w:t>by</w:t>
            </w:r>
            <w:r w:rsidR="00D142F2" w:rsidRPr="00FE6AE9">
              <w:rPr>
                <w:b/>
                <w:sz w:val="19"/>
                <w:szCs w:val="19"/>
              </w:rPr>
              <w:t xml:space="preserve"> </w:t>
            </w:r>
            <w:r w:rsidR="00F474F6" w:rsidRPr="00FE6AE9">
              <w:rPr>
                <w:b/>
                <w:sz w:val="19"/>
                <w:szCs w:val="19"/>
              </w:rPr>
              <w:t xml:space="preserve">dlh </w:t>
            </w:r>
            <w:r w:rsidR="00CE403F" w:rsidRPr="00FE6AE9">
              <w:rPr>
                <w:b/>
                <w:sz w:val="19"/>
                <w:szCs w:val="19"/>
              </w:rPr>
              <w:t xml:space="preserve">opäť </w:t>
            </w:r>
            <w:r w:rsidR="00CD6883" w:rsidRPr="00FE6AE9">
              <w:rPr>
                <w:b/>
                <w:sz w:val="19"/>
                <w:szCs w:val="19"/>
              </w:rPr>
              <w:t xml:space="preserve">prudko </w:t>
            </w:r>
            <w:r w:rsidR="00B00DA5" w:rsidRPr="00FE6AE9">
              <w:rPr>
                <w:b/>
                <w:sz w:val="19"/>
                <w:szCs w:val="19"/>
              </w:rPr>
              <w:t>r</w:t>
            </w:r>
            <w:r w:rsidR="00D142F2" w:rsidRPr="00FE6AE9">
              <w:rPr>
                <w:b/>
                <w:sz w:val="19"/>
                <w:szCs w:val="19"/>
              </w:rPr>
              <w:t>ás</w:t>
            </w:r>
            <w:r w:rsidR="00CD6883" w:rsidRPr="00FE6AE9">
              <w:rPr>
                <w:b/>
                <w:sz w:val="19"/>
                <w:szCs w:val="19"/>
              </w:rPr>
              <w:t>tol</w:t>
            </w:r>
            <w:r w:rsidR="00A930C9" w:rsidRPr="00FE6AE9">
              <w:rPr>
                <w:b/>
                <w:sz w:val="19"/>
                <w:szCs w:val="19"/>
              </w:rPr>
              <w:t xml:space="preserve">, no </w:t>
            </w:r>
            <w:r w:rsidR="0051586C" w:rsidRPr="00FE6AE9">
              <w:rPr>
                <w:b/>
                <w:sz w:val="19"/>
                <w:szCs w:val="19"/>
              </w:rPr>
              <w:t>cie</w:t>
            </w:r>
            <w:r w:rsidR="00EC164D" w:rsidRPr="00FE6AE9">
              <w:rPr>
                <w:b/>
                <w:sz w:val="19"/>
                <w:szCs w:val="19"/>
              </w:rPr>
              <w:t>le</w:t>
            </w:r>
            <w:r w:rsidR="00242A3D" w:rsidRPr="00FE6AE9">
              <w:rPr>
                <w:b/>
                <w:sz w:val="19"/>
                <w:szCs w:val="19"/>
              </w:rPr>
              <w:t xml:space="preserve"> vlády</w:t>
            </w:r>
            <w:r w:rsidR="0051586C" w:rsidRPr="00FE6AE9">
              <w:rPr>
                <w:b/>
                <w:sz w:val="19"/>
                <w:szCs w:val="19"/>
              </w:rPr>
              <w:t xml:space="preserve"> zníži</w:t>
            </w:r>
            <w:r w:rsidR="00423160" w:rsidRPr="00FE6AE9">
              <w:rPr>
                <w:b/>
                <w:sz w:val="19"/>
                <w:szCs w:val="19"/>
              </w:rPr>
              <w:t>ť</w:t>
            </w:r>
            <w:r w:rsidR="0051586C" w:rsidRPr="00FE6AE9">
              <w:rPr>
                <w:b/>
                <w:sz w:val="19"/>
                <w:szCs w:val="19"/>
              </w:rPr>
              <w:t xml:space="preserve"> deficit pod 3</w:t>
            </w:r>
            <w:r w:rsidR="00E96BDD" w:rsidRPr="00FE6AE9">
              <w:rPr>
                <w:b/>
                <w:sz w:val="19"/>
                <w:szCs w:val="19"/>
              </w:rPr>
              <w:t xml:space="preserve"> </w:t>
            </w:r>
            <w:r w:rsidR="0051586C" w:rsidRPr="00FE6AE9">
              <w:rPr>
                <w:b/>
                <w:sz w:val="19"/>
                <w:szCs w:val="19"/>
              </w:rPr>
              <w:t>%</w:t>
            </w:r>
            <w:r w:rsidR="00130687" w:rsidRPr="00FE6AE9">
              <w:rPr>
                <w:b/>
                <w:sz w:val="19"/>
                <w:szCs w:val="19"/>
              </w:rPr>
              <w:t xml:space="preserve"> HDP</w:t>
            </w:r>
            <w:r w:rsidR="0051586C" w:rsidRPr="00FE6AE9">
              <w:rPr>
                <w:b/>
                <w:sz w:val="19"/>
                <w:szCs w:val="19"/>
              </w:rPr>
              <w:t xml:space="preserve"> do </w:t>
            </w:r>
            <w:r w:rsidR="00B85477" w:rsidRPr="00FE6AE9">
              <w:rPr>
                <w:b/>
                <w:sz w:val="19"/>
                <w:szCs w:val="19"/>
              </w:rPr>
              <w:t>konca volebného obdobia</w:t>
            </w:r>
            <w:r w:rsidR="00EC164D" w:rsidRPr="00FE6AE9">
              <w:rPr>
                <w:b/>
                <w:sz w:val="19"/>
                <w:szCs w:val="19"/>
              </w:rPr>
              <w:t xml:space="preserve"> dlh stabilizujú</w:t>
            </w:r>
            <w:r w:rsidRPr="00FE6AE9">
              <w:rPr>
                <w:b/>
                <w:sz w:val="19"/>
                <w:szCs w:val="19"/>
              </w:rPr>
              <w:t>.</w:t>
            </w:r>
            <w:r w:rsidR="00B94233" w:rsidRPr="00FE6AE9">
              <w:rPr>
                <w:b/>
                <w:sz w:val="19"/>
                <w:szCs w:val="19"/>
              </w:rPr>
              <w:t xml:space="preserve"> </w:t>
            </w:r>
            <w:r w:rsidR="00AE5061" w:rsidRPr="00FE6AE9">
              <w:rPr>
                <w:sz w:val="19"/>
                <w:szCs w:val="19"/>
              </w:rPr>
              <w:t>K návratu rastu dlhu v pomere k</w:t>
            </w:r>
            <w:r w:rsidR="00F65C2D">
              <w:rPr>
                <w:sz w:val="19"/>
                <w:szCs w:val="19"/>
              </w:rPr>
              <w:t> </w:t>
            </w:r>
            <w:r w:rsidR="00AE5061" w:rsidRPr="00FE6AE9">
              <w:rPr>
                <w:sz w:val="19"/>
                <w:szCs w:val="19"/>
              </w:rPr>
              <w:t>HDP</w:t>
            </w:r>
            <w:r w:rsidR="00F65C2D">
              <w:rPr>
                <w:sz w:val="19"/>
                <w:szCs w:val="19"/>
              </w:rPr>
              <w:t xml:space="preserve"> v scenári bez ďalšej konsolidácie</w:t>
            </w:r>
            <w:r w:rsidR="009D2ED4" w:rsidRPr="00FE6AE9">
              <w:rPr>
                <w:sz w:val="19"/>
                <w:szCs w:val="19"/>
              </w:rPr>
              <w:t xml:space="preserve"> </w:t>
            </w:r>
            <w:r w:rsidR="00A930C9" w:rsidRPr="00FE6AE9">
              <w:rPr>
                <w:sz w:val="19"/>
                <w:szCs w:val="19"/>
              </w:rPr>
              <w:t xml:space="preserve">prispieva najmä </w:t>
            </w:r>
            <w:r w:rsidR="00D77949" w:rsidRPr="00FE6AE9">
              <w:rPr>
                <w:sz w:val="19"/>
                <w:szCs w:val="19"/>
              </w:rPr>
              <w:t xml:space="preserve">neklesajúci </w:t>
            </w:r>
            <w:r w:rsidR="00417EBE" w:rsidRPr="00FE6AE9">
              <w:rPr>
                <w:sz w:val="19"/>
                <w:szCs w:val="19"/>
              </w:rPr>
              <w:t xml:space="preserve">schodok </w:t>
            </w:r>
            <w:r w:rsidR="00AE5061" w:rsidRPr="00FE6AE9">
              <w:rPr>
                <w:sz w:val="19"/>
                <w:szCs w:val="19"/>
              </w:rPr>
              <w:t>verejnej správy</w:t>
            </w:r>
            <w:r w:rsidR="008842B5">
              <w:rPr>
                <w:sz w:val="19"/>
                <w:szCs w:val="19"/>
              </w:rPr>
              <w:t>,</w:t>
            </w:r>
            <w:r w:rsidR="00AE5061" w:rsidRPr="00FE6AE9">
              <w:rPr>
                <w:sz w:val="19"/>
                <w:szCs w:val="19"/>
              </w:rPr>
              <w:t xml:space="preserve"> sprevádzaný ustupujúcou infláciou</w:t>
            </w:r>
            <w:r w:rsidR="00DC0CA7" w:rsidRPr="00FE6AE9">
              <w:rPr>
                <w:sz w:val="19"/>
                <w:szCs w:val="19"/>
              </w:rPr>
              <w:t xml:space="preserve">. </w:t>
            </w:r>
            <w:r w:rsidR="00F65C2D">
              <w:rPr>
                <w:sz w:val="19"/>
                <w:szCs w:val="19"/>
              </w:rPr>
              <w:t>Naopak, f</w:t>
            </w:r>
            <w:r w:rsidR="00F65C2D" w:rsidRPr="00FE6AE9">
              <w:rPr>
                <w:sz w:val="19"/>
                <w:szCs w:val="19"/>
              </w:rPr>
              <w:t xml:space="preserve">iškálna </w:t>
            </w:r>
            <w:r w:rsidR="006132CB" w:rsidRPr="00FE6AE9">
              <w:rPr>
                <w:sz w:val="19"/>
                <w:szCs w:val="19"/>
              </w:rPr>
              <w:t xml:space="preserve">stratégia </w:t>
            </w:r>
            <w:r w:rsidR="003258D7">
              <w:rPr>
                <w:sz w:val="19"/>
                <w:szCs w:val="19"/>
              </w:rPr>
              <w:t xml:space="preserve">vlády </w:t>
            </w:r>
            <w:r w:rsidR="006132CB" w:rsidRPr="00FE6AE9">
              <w:rPr>
                <w:sz w:val="19"/>
                <w:szCs w:val="19"/>
              </w:rPr>
              <w:t>znižova</w:t>
            </w:r>
            <w:r w:rsidR="003258D7">
              <w:rPr>
                <w:sz w:val="19"/>
                <w:szCs w:val="19"/>
              </w:rPr>
              <w:t>ť</w:t>
            </w:r>
            <w:r w:rsidR="006132CB" w:rsidRPr="00FE6AE9">
              <w:rPr>
                <w:sz w:val="19"/>
                <w:szCs w:val="19"/>
              </w:rPr>
              <w:t xml:space="preserve"> deficit o 1 % HDP </w:t>
            </w:r>
            <w:r w:rsidR="000F3B31" w:rsidRPr="00FE6AE9">
              <w:rPr>
                <w:sz w:val="19"/>
                <w:szCs w:val="19"/>
              </w:rPr>
              <w:t xml:space="preserve">ročne </w:t>
            </w:r>
            <w:r w:rsidR="009722F2" w:rsidRPr="00FE6AE9">
              <w:rPr>
                <w:sz w:val="19"/>
                <w:szCs w:val="19"/>
              </w:rPr>
              <w:t>tempo navyšovania</w:t>
            </w:r>
            <w:r w:rsidR="000F3B31" w:rsidRPr="00FE6AE9">
              <w:rPr>
                <w:sz w:val="19"/>
                <w:szCs w:val="19"/>
              </w:rPr>
              <w:t xml:space="preserve"> </w:t>
            </w:r>
            <w:r w:rsidR="009722F2" w:rsidRPr="00FE6AE9">
              <w:rPr>
                <w:sz w:val="19"/>
                <w:szCs w:val="19"/>
              </w:rPr>
              <w:t>zadlženia</w:t>
            </w:r>
            <w:r w:rsidR="000F3B31" w:rsidRPr="00FE6AE9">
              <w:rPr>
                <w:sz w:val="19"/>
                <w:szCs w:val="19"/>
              </w:rPr>
              <w:t xml:space="preserve"> </w:t>
            </w:r>
            <w:r w:rsidR="009722F2" w:rsidRPr="00FE6AE9">
              <w:rPr>
                <w:sz w:val="19"/>
                <w:szCs w:val="19"/>
              </w:rPr>
              <w:t xml:space="preserve">postupne </w:t>
            </w:r>
            <w:r w:rsidR="000F3B31" w:rsidRPr="00FE6AE9">
              <w:rPr>
                <w:sz w:val="19"/>
                <w:szCs w:val="19"/>
              </w:rPr>
              <w:t>spomalí</w:t>
            </w:r>
            <w:r w:rsidR="00423160" w:rsidRPr="00FE6AE9">
              <w:rPr>
                <w:sz w:val="19"/>
                <w:szCs w:val="19"/>
              </w:rPr>
              <w:t xml:space="preserve"> </w:t>
            </w:r>
            <w:r w:rsidR="000F3B31" w:rsidRPr="00FE6AE9">
              <w:rPr>
                <w:sz w:val="19"/>
                <w:szCs w:val="19"/>
              </w:rPr>
              <w:t>a z</w:t>
            </w:r>
            <w:r w:rsidR="00DC0CA7" w:rsidRPr="00FE6AE9">
              <w:rPr>
                <w:sz w:val="19"/>
                <w:szCs w:val="19"/>
              </w:rPr>
              <w:t xml:space="preserve">a </w:t>
            </w:r>
            <w:r w:rsidR="008E0B9D" w:rsidRPr="00FE6AE9">
              <w:rPr>
                <w:sz w:val="19"/>
                <w:szCs w:val="19"/>
              </w:rPr>
              <w:t xml:space="preserve">predpokladu </w:t>
            </w:r>
            <w:r w:rsidR="00E53506" w:rsidRPr="00FE6AE9">
              <w:rPr>
                <w:sz w:val="19"/>
                <w:szCs w:val="19"/>
              </w:rPr>
              <w:t xml:space="preserve">poklesu </w:t>
            </w:r>
            <w:r w:rsidR="008D48A6" w:rsidRPr="00FE6AE9">
              <w:rPr>
                <w:sz w:val="19"/>
                <w:szCs w:val="19"/>
              </w:rPr>
              <w:t xml:space="preserve">deficitu </w:t>
            </w:r>
            <w:r w:rsidR="00CE11CA" w:rsidRPr="00FE6AE9">
              <w:rPr>
                <w:sz w:val="19"/>
                <w:szCs w:val="19"/>
              </w:rPr>
              <w:t>pod</w:t>
            </w:r>
            <w:r w:rsidR="008D48A6" w:rsidRPr="00FE6AE9">
              <w:rPr>
                <w:sz w:val="19"/>
                <w:szCs w:val="19"/>
              </w:rPr>
              <w:t xml:space="preserve"> 3 % HDP </w:t>
            </w:r>
            <w:r w:rsidR="009E4913" w:rsidRPr="00FE6AE9">
              <w:rPr>
                <w:sz w:val="19"/>
                <w:szCs w:val="19"/>
              </w:rPr>
              <w:t>do konca volebného obdobia</w:t>
            </w:r>
            <w:r w:rsidR="008E0B9D" w:rsidRPr="00FE6AE9">
              <w:rPr>
                <w:sz w:val="19"/>
                <w:szCs w:val="19"/>
              </w:rPr>
              <w:t xml:space="preserve"> </w:t>
            </w:r>
            <w:r w:rsidR="009E4913" w:rsidRPr="00FE6AE9">
              <w:rPr>
                <w:sz w:val="19"/>
                <w:szCs w:val="19"/>
              </w:rPr>
              <w:t xml:space="preserve">by </w:t>
            </w:r>
            <w:r w:rsidR="00EC164D" w:rsidRPr="00FE6AE9">
              <w:rPr>
                <w:sz w:val="19"/>
                <w:szCs w:val="19"/>
              </w:rPr>
              <w:t xml:space="preserve">sa </w:t>
            </w:r>
            <w:r w:rsidR="009E4913" w:rsidRPr="00FE6AE9">
              <w:rPr>
                <w:sz w:val="19"/>
                <w:szCs w:val="19"/>
              </w:rPr>
              <w:t xml:space="preserve">už </w:t>
            </w:r>
            <w:r w:rsidR="009722F2" w:rsidRPr="00FE6AE9">
              <w:rPr>
                <w:sz w:val="19"/>
                <w:szCs w:val="19"/>
              </w:rPr>
              <w:t xml:space="preserve">trend </w:t>
            </w:r>
            <w:r w:rsidR="00EC164D" w:rsidRPr="00FE6AE9">
              <w:rPr>
                <w:sz w:val="19"/>
                <w:szCs w:val="19"/>
              </w:rPr>
              <w:t>rast</w:t>
            </w:r>
            <w:r w:rsidR="00526FD0">
              <w:rPr>
                <w:sz w:val="19"/>
                <w:szCs w:val="19"/>
              </w:rPr>
              <w:t>u</w:t>
            </w:r>
            <w:r w:rsidR="00EC164D" w:rsidRPr="00FE6AE9">
              <w:rPr>
                <w:sz w:val="19"/>
                <w:szCs w:val="19"/>
              </w:rPr>
              <w:t xml:space="preserve"> dlhu</w:t>
            </w:r>
            <w:r w:rsidR="009722F2" w:rsidRPr="00FE6AE9">
              <w:rPr>
                <w:sz w:val="19"/>
                <w:szCs w:val="19"/>
              </w:rPr>
              <w:t xml:space="preserve"> úplne</w:t>
            </w:r>
            <w:r w:rsidR="00EC164D" w:rsidRPr="00FE6AE9">
              <w:rPr>
                <w:sz w:val="19"/>
                <w:szCs w:val="19"/>
              </w:rPr>
              <w:t xml:space="preserve"> zastavil.</w:t>
            </w:r>
          </w:p>
          <w:p w14:paraId="2FF88491" w14:textId="77777777" w:rsidR="00535407" w:rsidRPr="00C100D7" w:rsidRDefault="00535407" w:rsidP="00745EC6">
            <w:pPr>
              <w:keepNext/>
              <w:widowControl w:val="0"/>
              <w:spacing w:line="264" w:lineRule="auto"/>
              <w:jc w:val="both"/>
              <w:rPr>
                <w:sz w:val="16"/>
                <w:szCs w:val="16"/>
              </w:rPr>
            </w:pPr>
          </w:p>
          <w:p w14:paraId="38AD21DC" w14:textId="2B084674" w:rsidR="001638A5" w:rsidRPr="00FE6AE9" w:rsidRDefault="009006B0" w:rsidP="00745EC6">
            <w:pPr>
              <w:keepNext/>
              <w:widowControl w:val="0"/>
              <w:spacing w:line="264" w:lineRule="auto"/>
              <w:jc w:val="both"/>
              <w:rPr>
                <w:sz w:val="19"/>
                <w:szCs w:val="19"/>
              </w:rPr>
            </w:pPr>
            <w:bookmarkStart w:id="2" w:name="_Hlk170307763"/>
            <w:r w:rsidRPr="00FE6AE9">
              <w:rPr>
                <w:b/>
                <w:bCs/>
                <w:sz w:val="19"/>
                <w:szCs w:val="19"/>
              </w:rPr>
              <w:t>Na dosiahnutie rozpočtových cieľov vlády je potrebné prijať dodatočné úsporné opatrenia v objeme takmer 3 % HDP.</w:t>
            </w:r>
            <w:r w:rsidRPr="00FE6AE9">
              <w:rPr>
                <w:sz w:val="19"/>
                <w:szCs w:val="19"/>
              </w:rPr>
              <w:t xml:space="preserve"> Vláda</w:t>
            </w:r>
            <w:r w:rsidR="00DD0C1C" w:rsidRPr="00FE6AE9">
              <w:rPr>
                <w:sz w:val="19"/>
                <w:szCs w:val="19"/>
              </w:rPr>
              <w:t xml:space="preserve"> s cieľom stabilizovať dlh už </w:t>
            </w:r>
            <w:r w:rsidRPr="00FE6AE9">
              <w:rPr>
                <w:sz w:val="19"/>
                <w:szCs w:val="19"/>
              </w:rPr>
              <w:t>prijala konsolidačný balíček v objeme 1,</w:t>
            </w:r>
            <w:r w:rsidR="00D37533" w:rsidRPr="00FE6AE9">
              <w:rPr>
                <w:sz w:val="19"/>
                <w:szCs w:val="19"/>
              </w:rPr>
              <w:t>4</w:t>
            </w:r>
            <w:r w:rsidRPr="00FE6AE9">
              <w:rPr>
                <w:sz w:val="19"/>
                <w:szCs w:val="19"/>
              </w:rPr>
              <w:t xml:space="preserve"> % HDP, ktorého pozitívny vplyv na deficit bol však tlmený aj novými prioritami vlády najmä v sociálnej oblasti a</w:t>
            </w:r>
            <w:r w:rsidR="00DD0C1C" w:rsidRPr="00FE6AE9">
              <w:rPr>
                <w:sz w:val="19"/>
                <w:szCs w:val="19"/>
              </w:rPr>
              <w:t xml:space="preserve"> tiež</w:t>
            </w:r>
            <w:r w:rsidRPr="00FE6AE9">
              <w:rPr>
                <w:sz w:val="19"/>
                <w:szCs w:val="19"/>
              </w:rPr>
              <w:t> inými faktormi</w:t>
            </w:r>
            <w:r w:rsidR="00DD0C1C" w:rsidRPr="00FE6AE9">
              <w:rPr>
                <w:sz w:val="19"/>
                <w:szCs w:val="19"/>
              </w:rPr>
              <w:t xml:space="preserve"> </w:t>
            </w:r>
            <w:r w:rsidRPr="00FE6AE9">
              <w:rPr>
                <w:sz w:val="19"/>
                <w:szCs w:val="19"/>
              </w:rPr>
              <w:t>mimo kontroly. Ide najmä</w:t>
            </w:r>
            <w:r w:rsidR="00F22FB4" w:rsidRPr="00FE6AE9">
              <w:rPr>
                <w:sz w:val="19"/>
                <w:szCs w:val="19"/>
              </w:rPr>
              <w:t xml:space="preserve"> o</w:t>
            </w:r>
            <w:r w:rsidRPr="00FE6AE9">
              <w:rPr>
                <w:sz w:val="19"/>
                <w:szCs w:val="19"/>
              </w:rPr>
              <w:t xml:space="preserve"> rastúce úrokové náklady, pomalší rast daňovo-odvodových príjmov či nárast výdavkov v obrane. </w:t>
            </w:r>
            <w:r w:rsidR="00DD0C1C" w:rsidRPr="00FE6AE9">
              <w:rPr>
                <w:sz w:val="19"/>
                <w:szCs w:val="19"/>
              </w:rPr>
              <w:t>Na druhú stranu vláda už v aktuálnom výhľade neuvažuje</w:t>
            </w:r>
            <w:r w:rsidRPr="00FE6AE9">
              <w:rPr>
                <w:sz w:val="19"/>
                <w:szCs w:val="19"/>
              </w:rPr>
              <w:t xml:space="preserve"> s vyplá</w:t>
            </w:r>
            <w:r w:rsidR="00DD0C1C" w:rsidRPr="00FE6AE9">
              <w:rPr>
                <w:sz w:val="19"/>
                <w:szCs w:val="19"/>
              </w:rPr>
              <w:t>c</w:t>
            </w:r>
            <w:r w:rsidRPr="00FE6AE9">
              <w:rPr>
                <w:sz w:val="19"/>
                <w:szCs w:val="19"/>
              </w:rPr>
              <w:t>aním energopomoci od budúceho roku a počíta s</w:t>
            </w:r>
            <w:r w:rsidR="009722F2" w:rsidRPr="00FE6AE9">
              <w:rPr>
                <w:sz w:val="19"/>
                <w:szCs w:val="19"/>
              </w:rPr>
              <w:t>a tiež s</w:t>
            </w:r>
            <w:r w:rsidRPr="00FE6AE9">
              <w:rPr>
                <w:sz w:val="19"/>
                <w:szCs w:val="19"/>
              </w:rPr>
              <w:t> tlmením rastu mzdových nákladov. D</w:t>
            </w:r>
            <w:r w:rsidR="00242A3D" w:rsidRPr="00FE6AE9">
              <w:rPr>
                <w:sz w:val="19"/>
                <w:szCs w:val="19"/>
              </w:rPr>
              <w:t>o konca volebného obdobia</w:t>
            </w:r>
            <w:r w:rsidR="009E4913" w:rsidRPr="00FE6AE9">
              <w:rPr>
                <w:sz w:val="19"/>
                <w:szCs w:val="19"/>
              </w:rPr>
              <w:t xml:space="preserve"> </w:t>
            </w:r>
            <w:r w:rsidRPr="00FE6AE9">
              <w:rPr>
                <w:sz w:val="19"/>
                <w:szCs w:val="19"/>
              </w:rPr>
              <w:t xml:space="preserve">je tak </w:t>
            </w:r>
            <w:r w:rsidR="009E4913" w:rsidRPr="00FE6AE9">
              <w:rPr>
                <w:sz w:val="19"/>
                <w:szCs w:val="19"/>
              </w:rPr>
              <w:t xml:space="preserve">potrebné prijať </w:t>
            </w:r>
            <w:r w:rsidR="00130687" w:rsidRPr="00FE6AE9">
              <w:rPr>
                <w:sz w:val="19"/>
                <w:szCs w:val="19"/>
              </w:rPr>
              <w:t xml:space="preserve">oproti súčasnému </w:t>
            </w:r>
            <w:r w:rsidR="002C6F3C" w:rsidRPr="00FE6AE9">
              <w:rPr>
                <w:sz w:val="19"/>
                <w:szCs w:val="19"/>
              </w:rPr>
              <w:t xml:space="preserve">nastaveniu </w:t>
            </w:r>
            <w:r w:rsidR="00130687" w:rsidRPr="00FE6AE9">
              <w:rPr>
                <w:sz w:val="19"/>
                <w:szCs w:val="19"/>
              </w:rPr>
              <w:t xml:space="preserve">rozpočtu </w:t>
            </w:r>
            <w:r w:rsidR="00535407" w:rsidRPr="00FE6AE9">
              <w:rPr>
                <w:sz w:val="19"/>
                <w:szCs w:val="19"/>
              </w:rPr>
              <w:t xml:space="preserve">úsporné </w:t>
            </w:r>
            <w:r w:rsidR="00242A3D" w:rsidRPr="00FE6AE9">
              <w:rPr>
                <w:sz w:val="19"/>
                <w:szCs w:val="19"/>
              </w:rPr>
              <w:t xml:space="preserve">opatrenia </w:t>
            </w:r>
            <w:r w:rsidR="009722F2" w:rsidRPr="00FE6AE9">
              <w:rPr>
                <w:sz w:val="19"/>
                <w:szCs w:val="19"/>
              </w:rPr>
              <w:t xml:space="preserve">celkovo </w:t>
            </w:r>
            <w:r w:rsidR="00242A3D" w:rsidRPr="00FE6AE9">
              <w:rPr>
                <w:sz w:val="19"/>
                <w:szCs w:val="19"/>
              </w:rPr>
              <w:t xml:space="preserve">vo výške </w:t>
            </w:r>
            <w:r w:rsidR="007C20EF">
              <w:rPr>
                <w:sz w:val="19"/>
                <w:szCs w:val="19"/>
              </w:rPr>
              <w:t>do 3</w:t>
            </w:r>
            <w:r w:rsidR="00130687" w:rsidRPr="00FE6AE9">
              <w:rPr>
                <w:sz w:val="19"/>
                <w:szCs w:val="19"/>
              </w:rPr>
              <w:t xml:space="preserve"> </w:t>
            </w:r>
            <w:r w:rsidR="00242A3D" w:rsidRPr="00FE6AE9">
              <w:rPr>
                <w:sz w:val="19"/>
                <w:szCs w:val="19"/>
              </w:rPr>
              <w:t>% HDP</w:t>
            </w:r>
            <w:r w:rsidR="00C81B4E" w:rsidRPr="00FE6AE9">
              <w:rPr>
                <w:sz w:val="19"/>
                <w:szCs w:val="19"/>
              </w:rPr>
              <w:t>.</w:t>
            </w:r>
            <w:r w:rsidR="003E6442" w:rsidRPr="00FE6AE9">
              <w:rPr>
                <w:sz w:val="19"/>
                <w:szCs w:val="19"/>
              </w:rPr>
              <w:t xml:space="preserve"> </w:t>
            </w:r>
            <w:r w:rsidRPr="00FE6AE9">
              <w:rPr>
                <w:sz w:val="19"/>
                <w:szCs w:val="19"/>
              </w:rPr>
              <w:t xml:space="preserve">Vláda </w:t>
            </w:r>
            <w:r w:rsidR="009722F2" w:rsidRPr="00FE6AE9">
              <w:rPr>
                <w:sz w:val="19"/>
                <w:szCs w:val="19"/>
              </w:rPr>
              <w:t xml:space="preserve">v tomto kontexte </w:t>
            </w:r>
            <w:r w:rsidRPr="00FE6AE9">
              <w:rPr>
                <w:sz w:val="19"/>
                <w:szCs w:val="19"/>
              </w:rPr>
              <w:t>už urobila úvodné kroky k zavedeniu dane na</w:t>
            </w:r>
            <w:r w:rsidR="003E6442" w:rsidRPr="00FE6AE9">
              <w:rPr>
                <w:sz w:val="19"/>
                <w:szCs w:val="19"/>
              </w:rPr>
              <w:t xml:space="preserve"> sladené nápoje</w:t>
            </w:r>
            <w:r w:rsidRPr="00FE6AE9">
              <w:rPr>
                <w:sz w:val="19"/>
                <w:szCs w:val="19"/>
              </w:rPr>
              <w:t> a rozšíreniu zdanenia tabakových výrobkov</w:t>
            </w:r>
            <w:r w:rsidR="00535407" w:rsidRPr="00FE6AE9">
              <w:rPr>
                <w:sz w:val="19"/>
                <w:szCs w:val="19"/>
              </w:rPr>
              <w:t>.</w:t>
            </w:r>
            <w:r w:rsidR="00526FD0">
              <w:rPr>
                <w:sz w:val="19"/>
                <w:szCs w:val="19"/>
              </w:rPr>
              <w:t xml:space="preserve"> </w:t>
            </w:r>
            <w:r w:rsidR="00B8379A" w:rsidRPr="00346FCC">
              <w:rPr>
                <w:sz w:val="19"/>
                <w:szCs w:val="19"/>
              </w:rPr>
              <w:t xml:space="preserve">Ďalej sa plánujú </w:t>
            </w:r>
            <w:r w:rsidR="008314AC" w:rsidRPr="00346FCC">
              <w:rPr>
                <w:sz w:val="19"/>
                <w:szCs w:val="19"/>
              </w:rPr>
              <w:t xml:space="preserve">viaceré </w:t>
            </w:r>
            <w:r w:rsidR="00B8379A" w:rsidRPr="00346FCC">
              <w:rPr>
                <w:sz w:val="19"/>
                <w:szCs w:val="19"/>
              </w:rPr>
              <w:t>opatrenia ako na príjmovej</w:t>
            </w:r>
            <w:r w:rsidR="00526FD0">
              <w:rPr>
                <w:sz w:val="19"/>
                <w:szCs w:val="19"/>
              </w:rPr>
              <w:t>,</w:t>
            </w:r>
            <w:r w:rsidR="00B8379A" w:rsidRPr="00346FCC">
              <w:rPr>
                <w:sz w:val="19"/>
                <w:szCs w:val="19"/>
              </w:rPr>
              <w:t xml:space="preserve"> tak výdavkovej strane. Na príjmovej </w:t>
            </w:r>
            <w:r w:rsidR="00346FCC" w:rsidRPr="00346FCC">
              <w:rPr>
                <w:sz w:val="19"/>
                <w:szCs w:val="19"/>
              </w:rPr>
              <w:t>by malo ísť</w:t>
            </w:r>
            <w:r w:rsidR="00B8379A" w:rsidRPr="00346FCC">
              <w:rPr>
                <w:sz w:val="19"/>
                <w:szCs w:val="19"/>
              </w:rPr>
              <w:t xml:space="preserve"> </w:t>
            </w:r>
            <w:r w:rsidR="00346FCC" w:rsidRPr="00346FCC">
              <w:rPr>
                <w:sz w:val="19"/>
                <w:szCs w:val="19"/>
              </w:rPr>
              <w:t xml:space="preserve">o </w:t>
            </w:r>
            <w:r w:rsidR="008314AC" w:rsidRPr="00346FCC">
              <w:rPr>
                <w:sz w:val="19"/>
                <w:szCs w:val="19"/>
              </w:rPr>
              <w:t xml:space="preserve">opatrenia, </w:t>
            </w:r>
            <w:r w:rsidR="00B8379A" w:rsidRPr="00346FCC">
              <w:rPr>
                <w:sz w:val="19"/>
                <w:szCs w:val="19"/>
              </w:rPr>
              <w:t xml:space="preserve">ktoré </w:t>
            </w:r>
            <w:r w:rsidR="008314AC" w:rsidRPr="00346FCC">
              <w:rPr>
                <w:sz w:val="19"/>
                <w:szCs w:val="19"/>
              </w:rPr>
              <w:t>rozložia záťaž zo zvýšenia da</w:t>
            </w:r>
            <w:r w:rsidR="00E1225C" w:rsidRPr="00346FCC">
              <w:rPr>
                <w:sz w:val="19"/>
                <w:szCs w:val="19"/>
              </w:rPr>
              <w:t xml:space="preserve">ňových príjmov </w:t>
            </w:r>
            <w:r w:rsidR="008314AC" w:rsidRPr="00346FCC">
              <w:rPr>
                <w:sz w:val="19"/>
                <w:szCs w:val="19"/>
              </w:rPr>
              <w:t xml:space="preserve">naprieč spoločnosťou s dôrazom na zdanenie väčších firiem, vysokopríjmových zamestnancov a </w:t>
            </w:r>
            <w:r w:rsidR="0016490D" w:rsidRPr="00346FCC">
              <w:rPr>
                <w:sz w:val="19"/>
                <w:szCs w:val="19"/>
              </w:rPr>
              <w:t>negatívn</w:t>
            </w:r>
            <w:r w:rsidR="008314AC" w:rsidRPr="00346FCC">
              <w:rPr>
                <w:sz w:val="19"/>
                <w:szCs w:val="19"/>
              </w:rPr>
              <w:t>ych</w:t>
            </w:r>
            <w:r w:rsidR="0016490D" w:rsidRPr="00346FCC">
              <w:rPr>
                <w:sz w:val="19"/>
                <w:szCs w:val="19"/>
              </w:rPr>
              <w:t xml:space="preserve"> external</w:t>
            </w:r>
            <w:r w:rsidR="008314AC" w:rsidRPr="00346FCC">
              <w:rPr>
                <w:sz w:val="19"/>
                <w:szCs w:val="19"/>
              </w:rPr>
              <w:t>ít</w:t>
            </w:r>
            <w:r w:rsidR="0016490D" w:rsidRPr="00346FCC">
              <w:rPr>
                <w:sz w:val="19"/>
                <w:szCs w:val="19"/>
              </w:rPr>
              <w:t>.</w:t>
            </w:r>
            <w:r w:rsidR="008314AC" w:rsidRPr="00346FCC">
              <w:rPr>
                <w:sz w:val="19"/>
                <w:szCs w:val="19"/>
              </w:rPr>
              <w:t xml:space="preserve"> N</w:t>
            </w:r>
            <w:r w:rsidR="00562381" w:rsidRPr="00346FCC">
              <w:rPr>
                <w:sz w:val="19"/>
                <w:szCs w:val="19"/>
              </w:rPr>
              <w:t xml:space="preserve">a </w:t>
            </w:r>
            <w:r w:rsidR="00B8379A" w:rsidRPr="00346FCC">
              <w:rPr>
                <w:sz w:val="19"/>
                <w:szCs w:val="19"/>
              </w:rPr>
              <w:t>výdavko</w:t>
            </w:r>
            <w:r w:rsidR="00562381" w:rsidRPr="00346FCC">
              <w:rPr>
                <w:sz w:val="19"/>
                <w:szCs w:val="19"/>
              </w:rPr>
              <w:t xml:space="preserve">vej strane </w:t>
            </w:r>
            <w:r w:rsidR="00346FCC" w:rsidRPr="00346FCC">
              <w:rPr>
                <w:sz w:val="19"/>
                <w:szCs w:val="19"/>
              </w:rPr>
              <w:t>sa analyzujú možnosti</w:t>
            </w:r>
            <w:r w:rsidR="00B8379A" w:rsidRPr="00346FCC">
              <w:rPr>
                <w:sz w:val="19"/>
                <w:szCs w:val="19"/>
              </w:rPr>
              <w:t xml:space="preserve"> šetreni</w:t>
            </w:r>
            <w:r w:rsidR="00346FCC" w:rsidRPr="00346FCC">
              <w:rPr>
                <w:sz w:val="19"/>
                <w:szCs w:val="19"/>
              </w:rPr>
              <w:t>a</w:t>
            </w:r>
            <w:r w:rsidR="00B8379A" w:rsidRPr="00346FCC">
              <w:rPr>
                <w:sz w:val="19"/>
                <w:szCs w:val="19"/>
              </w:rPr>
              <w:t xml:space="preserve"> na </w:t>
            </w:r>
            <w:r w:rsidR="00562381" w:rsidRPr="00346FCC">
              <w:rPr>
                <w:sz w:val="19"/>
                <w:szCs w:val="19"/>
              </w:rPr>
              <w:t>p</w:t>
            </w:r>
            <w:r w:rsidR="00B8379A" w:rsidRPr="00346FCC">
              <w:rPr>
                <w:sz w:val="19"/>
                <w:szCs w:val="19"/>
              </w:rPr>
              <w:t>revádzk</w:t>
            </w:r>
            <w:r w:rsidR="00E1225C" w:rsidRPr="00346FCC">
              <w:rPr>
                <w:sz w:val="19"/>
                <w:szCs w:val="19"/>
              </w:rPr>
              <w:t>e</w:t>
            </w:r>
            <w:r w:rsidR="00B8379A" w:rsidRPr="00346FCC">
              <w:rPr>
                <w:sz w:val="19"/>
                <w:szCs w:val="19"/>
              </w:rPr>
              <w:t xml:space="preserve"> štátu</w:t>
            </w:r>
            <w:r w:rsidR="00562381" w:rsidRPr="00346FCC">
              <w:rPr>
                <w:sz w:val="19"/>
                <w:szCs w:val="19"/>
              </w:rPr>
              <w:t xml:space="preserve"> (efektívnejšie a racionálnejšie nákupy tovarov a služieb)</w:t>
            </w:r>
            <w:r w:rsidR="008314AC" w:rsidRPr="00346FCC">
              <w:rPr>
                <w:sz w:val="19"/>
                <w:szCs w:val="19"/>
              </w:rPr>
              <w:t>,</w:t>
            </w:r>
            <w:r w:rsidR="00562381" w:rsidRPr="00346FCC">
              <w:rPr>
                <w:sz w:val="19"/>
                <w:szCs w:val="19"/>
              </w:rPr>
              <w:t xml:space="preserve"> úspory na strane výdavkov na mzdy</w:t>
            </w:r>
            <w:r w:rsidR="008314AC" w:rsidRPr="00346FCC">
              <w:rPr>
                <w:sz w:val="19"/>
                <w:szCs w:val="19"/>
              </w:rPr>
              <w:t xml:space="preserve"> a aj </w:t>
            </w:r>
            <w:r w:rsidR="00E1225C" w:rsidRPr="00346FCC">
              <w:rPr>
                <w:sz w:val="19"/>
                <w:szCs w:val="19"/>
              </w:rPr>
              <w:t>z</w:t>
            </w:r>
            <w:r w:rsidR="008314AC" w:rsidRPr="00346FCC">
              <w:rPr>
                <w:sz w:val="19"/>
                <w:szCs w:val="19"/>
              </w:rPr>
              <w:t>adresnenie niektorých dávok.</w:t>
            </w:r>
            <w:bookmarkEnd w:id="2"/>
          </w:p>
          <w:p w14:paraId="7D08C98C" w14:textId="2AFBF66A" w:rsidR="008E0B9D" w:rsidRPr="00C100D7" w:rsidRDefault="008E0B9D" w:rsidP="00745EC6">
            <w:pPr>
              <w:keepNext/>
              <w:widowControl w:val="0"/>
              <w:spacing w:line="264" w:lineRule="auto"/>
              <w:jc w:val="both"/>
              <w:rPr>
                <w:sz w:val="16"/>
                <w:szCs w:val="16"/>
                <w:highlight w:val="yellow"/>
              </w:rPr>
            </w:pPr>
          </w:p>
          <w:p w14:paraId="7E6789CC" w14:textId="1926D73B" w:rsidR="006B0661" w:rsidRPr="009D39C7" w:rsidRDefault="00DA655A" w:rsidP="009D39C7">
            <w:pPr>
              <w:keepNext/>
              <w:widowControl w:val="0"/>
              <w:spacing w:line="264" w:lineRule="auto"/>
              <w:jc w:val="both"/>
              <w:rPr>
                <w:sz w:val="20"/>
                <w:szCs w:val="20"/>
              </w:rPr>
            </w:pPr>
            <w:r w:rsidRPr="00FE6AE9">
              <w:rPr>
                <w:b/>
                <w:sz w:val="19"/>
                <w:szCs w:val="19"/>
              </w:rPr>
              <w:t xml:space="preserve">Na zníženie </w:t>
            </w:r>
            <w:r w:rsidR="00130687" w:rsidRPr="00FE6AE9">
              <w:rPr>
                <w:b/>
                <w:sz w:val="19"/>
                <w:szCs w:val="19"/>
              </w:rPr>
              <w:t>dlhu pod</w:t>
            </w:r>
            <w:r w:rsidR="009006B0" w:rsidRPr="00FE6AE9">
              <w:rPr>
                <w:b/>
                <w:sz w:val="19"/>
                <w:szCs w:val="19"/>
              </w:rPr>
              <w:t xml:space="preserve"> všetky </w:t>
            </w:r>
            <w:r w:rsidR="00696954" w:rsidRPr="00FE6AE9">
              <w:rPr>
                <w:b/>
                <w:sz w:val="19"/>
                <w:szCs w:val="19"/>
              </w:rPr>
              <w:t>sankčn</w:t>
            </w:r>
            <w:r w:rsidR="00130687" w:rsidRPr="00FE6AE9">
              <w:rPr>
                <w:b/>
                <w:sz w:val="19"/>
                <w:szCs w:val="19"/>
              </w:rPr>
              <w:t>é</w:t>
            </w:r>
            <w:r w:rsidR="00696954" w:rsidRPr="00FE6AE9">
              <w:rPr>
                <w:b/>
                <w:sz w:val="19"/>
                <w:szCs w:val="19"/>
              </w:rPr>
              <w:t xml:space="preserve"> pásm</w:t>
            </w:r>
            <w:r w:rsidR="00130687" w:rsidRPr="00FE6AE9">
              <w:rPr>
                <w:b/>
                <w:sz w:val="19"/>
                <w:szCs w:val="19"/>
              </w:rPr>
              <w:t>a dlhovej brzdy</w:t>
            </w:r>
            <w:r w:rsidR="00696954" w:rsidRPr="00FE6AE9">
              <w:rPr>
                <w:b/>
                <w:sz w:val="19"/>
                <w:szCs w:val="19"/>
              </w:rPr>
              <w:t xml:space="preserve"> </w:t>
            </w:r>
            <w:r w:rsidR="009722F2" w:rsidRPr="00FE6AE9">
              <w:rPr>
                <w:b/>
                <w:sz w:val="19"/>
                <w:szCs w:val="19"/>
              </w:rPr>
              <w:t>bude</w:t>
            </w:r>
            <w:r w:rsidR="009006B0" w:rsidRPr="00FE6AE9">
              <w:rPr>
                <w:b/>
                <w:sz w:val="19"/>
                <w:szCs w:val="19"/>
              </w:rPr>
              <w:t xml:space="preserve"> potrebné pokračovať v konsolidácii aj za horizontom </w:t>
            </w:r>
            <w:r w:rsidR="00CE403F" w:rsidRPr="00FE6AE9">
              <w:rPr>
                <w:b/>
                <w:sz w:val="19"/>
                <w:szCs w:val="19"/>
              </w:rPr>
              <w:t>súčasného vládneho obdobia a</w:t>
            </w:r>
            <w:r w:rsidR="009722F2" w:rsidRPr="00FE6AE9">
              <w:rPr>
                <w:b/>
                <w:sz w:val="19"/>
                <w:szCs w:val="19"/>
              </w:rPr>
              <w:t xml:space="preserve"> postupne </w:t>
            </w:r>
            <w:r w:rsidR="00696954" w:rsidRPr="00FE6AE9">
              <w:rPr>
                <w:b/>
                <w:sz w:val="19"/>
                <w:szCs w:val="19"/>
              </w:rPr>
              <w:t>dosiahnu</w:t>
            </w:r>
            <w:r w:rsidR="00CE403F" w:rsidRPr="00FE6AE9">
              <w:rPr>
                <w:b/>
                <w:sz w:val="19"/>
                <w:szCs w:val="19"/>
              </w:rPr>
              <w:t>ť</w:t>
            </w:r>
            <w:r w:rsidR="008E0B9D" w:rsidRPr="00FE6AE9">
              <w:rPr>
                <w:b/>
                <w:sz w:val="19"/>
                <w:szCs w:val="19"/>
              </w:rPr>
              <w:t xml:space="preserve"> </w:t>
            </w:r>
            <w:r w:rsidR="00CE403F" w:rsidRPr="00FE6AE9">
              <w:rPr>
                <w:b/>
                <w:sz w:val="19"/>
                <w:szCs w:val="19"/>
              </w:rPr>
              <w:t>vyrovnaný rozpočet</w:t>
            </w:r>
            <w:r w:rsidR="001B3A3E" w:rsidRPr="00FE6AE9">
              <w:rPr>
                <w:b/>
                <w:sz w:val="19"/>
                <w:szCs w:val="19"/>
              </w:rPr>
              <w:t xml:space="preserve">. </w:t>
            </w:r>
            <w:r w:rsidR="008E0B9D" w:rsidRPr="00FE6AE9">
              <w:rPr>
                <w:sz w:val="19"/>
                <w:szCs w:val="19"/>
              </w:rPr>
              <w:t>Hrubý dlh by bez pokračujúcej konsolidácie</w:t>
            </w:r>
            <w:r w:rsidR="00A611C0" w:rsidRPr="00FE6AE9">
              <w:rPr>
                <w:sz w:val="19"/>
                <w:szCs w:val="19"/>
              </w:rPr>
              <w:t xml:space="preserve"> </w:t>
            </w:r>
            <w:r w:rsidR="005F7DBA" w:rsidRPr="00FE6AE9">
              <w:rPr>
                <w:sz w:val="19"/>
                <w:szCs w:val="19"/>
              </w:rPr>
              <w:t xml:space="preserve">aj </w:t>
            </w:r>
            <w:r w:rsidR="00A611C0" w:rsidRPr="00FE6AE9">
              <w:rPr>
                <w:sz w:val="19"/>
                <w:szCs w:val="19"/>
              </w:rPr>
              <w:t>v ďalšom volebnom období</w:t>
            </w:r>
            <w:r w:rsidR="008E0B9D" w:rsidRPr="00FE6AE9">
              <w:rPr>
                <w:sz w:val="19"/>
                <w:szCs w:val="19"/>
              </w:rPr>
              <w:t xml:space="preserve"> </w:t>
            </w:r>
            <w:r w:rsidR="00A611C0" w:rsidRPr="00FE6AE9">
              <w:rPr>
                <w:sz w:val="19"/>
                <w:szCs w:val="19"/>
              </w:rPr>
              <w:t>opäť</w:t>
            </w:r>
            <w:r w:rsidR="00696954" w:rsidRPr="00FE6AE9">
              <w:rPr>
                <w:sz w:val="19"/>
                <w:szCs w:val="19"/>
              </w:rPr>
              <w:t xml:space="preserve"> rástol</w:t>
            </w:r>
            <w:r w:rsidR="008E0B9D" w:rsidRPr="00FE6AE9">
              <w:rPr>
                <w:sz w:val="19"/>
                <w:szCs w:val="19"/>
              </w:rPr>
              <w:t>.</w:t>
            </w:r>
            <w:r w:rsidR="001B3A3E" w:rsidRPr="00FE6AE9">
              <w:rPr>
                <w:sz w:val="19"/>
                <w:szCs w:val="19"/>
              </w:rPr>
              <w:t xml:space="preserve"> Naopak, p</w:t>
            </w:r>
            <w:r w:rsidR="00242A3D" w:rsidRPr="00FE6AE9">
              <w:rPr>
                <w:sz w:val="19"/>
                <w:szCs w:val="19"/>
              </w:rPr>
              <w:t xml:space="preserve">okračujúce </w:t>
            </w:r>
            <w:r w:rsidR="00696954" w:rsidRPr="00FE6AE9">
              <w:rPr>
                <w:sz w:val="19"/>
                <w:szCs w:val="19"/>
              </w:rPr>
              <w:t xml:space="preserve">konsolidačné úsilie </w:t>
            </w:r>
            <w:r w:rsidR="005F4676" w:rsidRPr="00FE6AE9">
              <w:rPr>
                <w:sz w:val="19"/>
                <w:szCs w:val="19"/>
              </w:rPr>
              <w:t>1</w:t>
            </w:r>
            <w:r w:rsidR="00742474" w:rsidRPr="00FE6AE9">
              <w:rPr>
                <w:sz w:val="19"/>
                <w:szCs w:val="19"/>
              </w:rPr>
              <w:t xml:space="preserve"> </w:t>
            </w:r>
            <w:r w:rsidR="005F4676" w:rsidRPr="00FE6AE9">
              <w:rPr>
                <w:sz w:val="19"/>
                <w:szCs w:val="19"/>
              </w:rPr>
              <w:t xml:space="preserve">% HDP ročne </w:t>
            </w:r>
            <w:r w:rsidR="00696954" w:rsidRPr="00FE6AE9">
              <w:rPr>
                <w:sz w:val="19"/>
                <w:szCs w:val="19"/>
              </w:rPr>
              <w:t>smerom k vyrovnanému</w:t>
            </w:r>
            <w:r w:rsidR="008E0B9D" w:rsidRPr="00FE6AE9">
              <w:rPr>
                <w:sz w:val="19"/>
                <w:szCs w:val="19"/>
              </w:rPr>
              <w:t xml:space="preserve"> rozpočtu </w:t>
            </w:r>
            <w:r w:rsidR="005F4676" w:rsidRPr="00FE6AE9">
              <w:rPr>
                <w:sz w:val="19"/>
                <w:szCs w:val="19"/>
              </w:rPr>
              <w:t>na prelome ďalšej dekády</w:t>
            </w:r>
            <w:r w:rsidR="001B3A3E" w:rsidRPr="00FE6AE9">
              <w:rPr>
                <w:sz w:val="19"/>
                <w:szCs w:val="19"/>
              </w:rPr>
              <w:t xml:space="preserve"> </w:t>
            </w:r>
            <w:r w:rsidR="008E0B9D" w:rsidRPr="00FE6AE9">
              <w:rPr>
                <w:sz w:val="19"/>
                <w:szCs w:val="19"/>
              </w:rPr>
              <w:t>by zabezpeči</w:t>
            </w:r>
            <w:r w:rsidR="00CE403F" w:rsidRPr="00FE6AE9">
              <w:rPr>
                <w:sz w:val="19"/>
                <w:szCs w:val="19"/>
              </w:rPr>
              <w:t>lo</w:t>
            </w:r>
            <w:r w:rsidR="008E0B9D" w:rsidRPr="00FE6AE9">
              <w:rPr>
                <w:sz w:val="19"/>
                <w:szCs w:val="19"/>
              </w:rPr>
              <w:t xml:space="preserve"> pokles hrubého dlhu pod najvyššie sankčné pásmo dlhovej brzdy </w:t>
            </w:r>
            <w:r w:rsidR="005F4676" w:rsidRPr="00FE6AE9">
              <w:rPr>
                <w:sz w:val="19"/>
                <w:szCs w:val="19"/>
              </w:rPr>
              <w:t>o pár rokov na to</w:t>
            </w:r>
            <w:r w:rsidR="00052684" w:rsidRPr="00FE6AE9">
              <w:rPr>
                <w:sz w:val="19"/>
                <w:szCs w:val="19"/>
              </w:rPr>
              <w:t xml:space="preserve">. To </w:t>
            </w:r>
            <w:r w:rsidR="001B3A3E" w:rsidRPr="00FE6AE9">
              <w:rPr>
                <w:sz w:val="19"/>
                <w:szCs w:val="19"/>
              </w:rPr>
              <w:t xml:space="preserve">by </w:t>
            </w:r>
            <w:r w:rsidR="00052684" w:rsidRPr="00FE6AE9">
              <w:rPr>
                <w:sz w:val="19"/>
                <w:szCs w:val="19"/>
              </w:rPr>
              <w:t xml:space="preserve">si </w:t>
            </w:r>
            <w:r w:rsidR="001B3A3E" w:rsidRPr="00FE6AE9">
              <w:rPr>
                <w:sz w:val="19"/>
                <w:szCs w:val="19"/>
              </w:rPr>
              <w:t>zároveň vyžiadalo</w:t>
            </w:r>
            <w:r w:rsidR="00052684" w:rsidRPr="00FE6AE9">
              <w:rPr>
                <w:sz w:val="19"/>
                <w:szCs w:val="19"/>
              </w:rPr>
              <w:t xml:space="preserve"> </w:t>
            </w:r>
            <w:r w:rsidR="00A611C0" w:rsidRPr="00FE6AE9">
              <w:rPr>
                <w:sz w:val="19"/>
                <w:szCs w:val="19"/>
              </w:rPr>
              <w:t xml:space="preserve">celkové konsolidačné opatrenia </w:t>
            </w:r>
            <w:r w:rsidR="0021175A" w:rsidRPr="00FE6AE9">
              <w:rPr>
                <w:sz w:val="19"/>
                <w:szCs w:val="19"/>
              </w:rPr>
              <w:t xml:space="preserve">v objeme </w:t>
            </w:r>
            <w:r w:rsidR="00907E7C" w:rsidRPr="00FE6AE9">
              <w:rPr>
                <w:sz w:val="19"/>
                <w:szCs w:val="19"/>
              </w:rPr>
              <w:t>cez 6</w:t>
            </w:r>
            <w:r w:rsidR="00696954" w:rsidRPr="00FE6AE9">
              <w:rPr>
                <w:sz w:val="19"/>
                <w:szCs w:val="19"/>
              </w:rPr>
              <w:t xml:space="preserve"> % HDP</w:t>
            </w:r>
            <w:r w:rsidR="00A611C0" w:rsidRPr="00FE6AE9">
              <w:rPr>
                <w:sz w:val="19"/>
                <w:szCs w:val="19"/>
              </w:rPr>
              <w:t>.</w:t>
            </w:r>
          </w:p>
          <w:tbl>
            <w:tblPr>
              <w:tblpPr w:leftFromText="141" w:rightFromText="141" w:vertAnchor="text" w:tblpY="192"/>
              <w:tblOverlap w:val="never"/>
              <w:tblW w:w="8856" w:type="dxa"/>
              <w:tblCellMar>
                <w:left w:w="70" w:type="dxa"/>
                <w:right w:w="70" w:type="dxa"/>
              </w:tblCellMar>
              <w:tblLook w:val="04A0" w:firstRow="1" w:lastRow="0" w:firstColumn="1" w:lastColumn="0" w:noHBand="0" w:noVBand="1"/>
            </w:tblPr>
            <w:tblGrid>
              <w:gridCol w:w="8856"/>
            </w:tblGrid>
            <w:tr w:rsidR="00B2419B" w:rsidRPr="00DE630A" w14:paraId="0D4DDF79" w14:textId="77777777" w:rsidTr="006F6E80">
              <w:trPr>
                <w:trHeight w:val="203"/>
              </w:trPr>
              <w:tc>
                <w:tcPr>
                  <w:tcW w:w="8856" w:type="dxa"/>
                  <w:tcBorders>
                    <w:top w:val="nil"/>
                    <w:left w:val="nil"/>
                    <w:bottom w:val="single" w:sz="4" w:space="0" w:color="auto"/>
                    <w:right w:val="nil"/>
                  </w:tcBorders>
                  <w:shd w:val="clear" w:color="auto" w:fill="auto"/>
                </w:tcPr>
                <w:p w14:paraId="57D1238E" w14:textId="616FB07C" w:rsidR="00B2419B" w:rsidRPr="00DE630A" w:rsidRDefault="00B2419B" w:rsidP="00D37533">
                  <w:pPr>
                    <w:pStyle w:val="Nadpis2"/>
                    <w:keepLines w:val="0"/>
                    <w:widowControl w:val="0"/>
                    <w:spacing w:before="0"/>
                    <w:rPr>
                      <w:rFonts w:ascii="Arial Narrow" w:hAnsi="Arial Narrow"/>
                      <w:color w:val="2C9ADC"/>
                      <w:sz w:val="20"/>
                      <w:szCs w:val="20"/>
                      <w:highlight w:val="yellow"/>
                    </w:rPr>
                  </w:pPr>
                  <w:r w:rsidRPr="0058047F">
                    <w:rPr>
                      <w:rFonts w:ascii="Arial Narrow" w:hAnsi="Arial Narrow"/>
                      <w:color w:val="2C9ADC"/>
                      <w:sz w:val="20"/>
                      <w:szCs w:val="20"/>
                    </w:rPr>
                    <w:t xml:space="preserve">GRAF 1 – </w:t>
                  </w:r>
                  <w:r w:rsidR="00B772F4">
                    <w:rPr>
                      <w:rFonts w:ascii="Arial Narrow" w:hAnsi="Arial Narrow"/>
                      <w:color w:val="2C9ADC"/>
                      <w:sz w:val="20"/>
                      <w:szCs w:val="20"/>
                    </w:rPr>
                    <w:t xml:space="preserve">Prognóza vývoja </w:t>
                  </w:r>
                  <w:r w:rsidR="0058047F">
                    <w:rPr>
                      <w:rFonts w:ascii="Arial Narrow" w:hAnsi="Arial Narrow"/>
                      <w:color w:val="2C9ADC"/>
                      <w:sz w:val="20"/>
                      <w:szCs w:val="20"/>
                    </w:rPr>
                    <w:t>hrubého dlhu verejnej správy</w:t>
                  </w:r>
                  <w:r w:rsidRPr="0058047F">
                    <w:rPr>
                      <w:rFonts w:ascii="Arial Narrow" w:hAnsi="Arial Narrow"/>
                      <w:color w:val="2C9ADC"/>
                      <w:sz w:val="20"/>
                      <w:szCs w:val="20"/>
                    </w:rPr>
                    <w:t xml:space="preserve"> (% HDP)</w:t>
                  </w:r>
                </w:p>
              </w:tc>
            </w:tr>
            <w:tr w:rsidR="00B2419B" w:rsidRPr="00DE630A" w14:paraId="58E9D52D" w14:textId="77777777" w:rsidTr="003F78C3">
              <w:trPr>
                <w:trHeight w:val="3155"/>
              </w:trPr>
              <w:tc>
                <w:tcPr>
                  <w:tcW w:w="8856" w:type="dxa"/>
                  <w:tcBorders>
                    <w:top w:val="nil"/>
                    <w:left w:val="nil"/>
                    <w:bottom w:val="single" w:sz="4" w:space="0" w:color="auto"/>
                    <w:right w:val="nil"/>
                  </w:tcBorders>
                  <w:shd w:val="clear" w:color="auto" w:fill="auto"/>
                </w:tcPr>
                <w:p w14:paraId="7F82D31C" w14:textId="38937ECD" w:rsidR="00B2419B" w:rsidRPr="00DE630A" w:rsidRDefault="00C95F5C" w:rsidP="00745EC6">
                  <w:pPr>
                    <w:pStyle w:val="Nadpis2"/>
                    <w:keepLines w:val="0"/>
                    <w:widowControl w:val="0"/>
                    <w:spacing w:before="0"/>
                    <w:jc w:val="center"/>
                    <w:rPr>
                      <w:rFonts w:ascii="Arial Narrow" w:hAnsi="Arial Narrow"/>
                      <w:color w:val="438042" w:themeColor="accent3" w:themeShade="80"/>
                      <w:sz w:val="20"/>
                      <w:szCs w:val="20"/>
                      <w:highlight w:val="yellow"/>
                    </w:rPr>
                  </w:pPr>
                  <w:r>
                    <w:rPr>
                      <w:noProof/>
                      <w:lang w:eastAsia="sk-SK"/>
                    </w:rPr>
                    <mc:AlternateContent>
                      <mc:Choice Requires="wps">
                        <w:drawing>
                          <wp:anchor distT="0" distB="0" distL="114300" distR="114300" simplePos="0" relativeHeight="251696128" behindDoc="0" locked="0" layoutInCell="1" allowOverlap="1" wp14:anchorId="059B3B02" wp14:editId="2F11EE19">
                            <wp:simplePos x="0" y="0"/>
                            <wp:positionH relativeFrom="column">
                              <wp:posOffset>2795905</wp:posOffset>
                            </wp:positionH>
                            <wp:positionV relativeFrom="paragraph">
                              <wp:posOffset>1352948</wp:posOffset>
                            </wp:positionV>
                            <wp:extent cx="585788" cy="450850"/>
                            <wp:effectExtent l="0" t="0" r="0" b="6350"/>
                            <wp:wrapNone/>
                            <wp:docPr id="31" name="Textové pole 31"/>
                            <wp:cNvGraphicFramePr/>
                            <a:graphic xmlns:a="http://schemas.openxmlformats.org/drawingml/2006/main">
                              <a:graphicData uri="http://schemas.microsoft.com/office/word/2010/wordprocessingShape">
                                <wps:wsp>
                                  <wps:cNvSpPr txBox="1"/>
                                  <wps:spPr>
                                    <a:xfrm>
                                      <a:off x="0" y="0"/>
                                      <a:ext cx="585788" cy="450850"/>
                                    </a:xfrm>
                                    <a:prstGeom prst="rect">
                                      <a:avLst/>
                                    </a:prstGeom>
                                    <a:noFill/>
                                    <a:ln w="6350">
                                      <a:noFill/>
                                    </a:ln>
                                  </wps:spPr>
                                  <wps:txbx>
                                    <w:txbxContent>
                                      <w:p w14:paraId="3D848482" w14:textId="0A1FB7BE" w:rsidR="00EE3657" w:rsidRPr="00A520FD" w:rsidRDefault="00EE3657" w:rsidP="00EE3657">
                                        <w:pPr>
                                          <w:jc w:val="center"/>
                                          <w:rPr>
                                            <w:color w:val="002060"/>
                                            <w:sz w:val="14"/>
                                            <w:szCs w:val="44"/>
                                          </w:rPr>
                                        </w:pPr>
                                        <w:r w:rsidRPr="00A520FD">
                                          <w:rPr>
                                            <w:color w:val="002060"/>
                                            <w:sz w:val="14"/>
                                            <w:szCs w:val="44"/>
                                          </w:rPr>
                                          <w:t>Aktuálne volebné obdobie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59B3B02" id="_x0000_t202" coordsize="21600,21600" o:spt="202" path="m,l,21600r21600,l21600,xe">
                            <v:stroke joinstyle="miter"/>
                            <v:path gradientshapeok="t" o:connecttype="rect"/>
                          </v:shapetype>
                          <v:shape id="Textové pole 31" o:spid="_x0000_s1026" type="#_x0000_t202" style="position:absolute;left:0;text-align:left;margin-left:220.15pt;margin-top:106.55pt;width:46.15pt;height: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" filled="f" stroked="f" strokeweight=".5pt">
                            <v:textbox>
                              <w:txbxContent>
                                <w:p w14:paraId="3D848482" w14:textId="0A1FB7BE" w:rsidR="00EE3657" w:rsidRPr="00A520FD" w:rsidRDefault="00EE3657" w:rsidP="00EE3657">
                                  <w:pPr>
                                    <w:jc w:val="center"/>
                                    <w:rPr>
                                      <w:color w:val="002060"/>
                                      <w:sz w:val="14"/>
                                      <w:szCs w:val="44"/>
                                    </w:rPr>
                                  </w:pPr>
                                  <w:r w:rsidRPr="00A520FD">
                                    <w:rPr>
                                      <w:color w:val="002060"/>
                                      <w:sz w:val="14"/>
                                      <w:szCs w:val="44"/>
                                    </w:rPr>
                                    <w:t>Aktuálne volebné obdobie</w:t>
                                  </w:r>
                                </w:p>
                              </w:txbxContent>
                            </v:textbox>
                          </v:shape>
                        </w:pict>
                      </mc:Fallback>
                    </mc:AlternateContent>
                  </w:r>
                  <w:r>
                    <w:rPr>
                      <w:noProof/>
                      <w:lang w:eastAsia="sk-SK"/>
                    </w:rPr>
                    <mc:AlternateContent>
                      <mc:Choice Requires="wps">
                        <w:drawing>
                          <wp:anchor distT="0" distB="0" distL="114300" distR="114300" simplePos="0" relativeHeight="251678719" behindDoc="0" locked="0" layoutInCell="1" allowOverlap="1" wp14:anchorId="025CAC66" wp14:editId="526BE452">
                            <wp:simplePos x="0" y="0"/>
                            <wp:positionH relativeFrom="column">
                              <wp:posOffset>2774429</wp:posOffset>
                            </wp:positionH>
                            <wp:positionV relativeFrom="paragraph">
                              <wp:posOffset>172474</wp:posOffset>
                            </wp:positionV>
                            <wp:extent cx="628650" cy="1617259"/>
                            <wp:effectExtent l="0" t="0" r="0" b="2540"/>
                            <wp:wrapNone/>
                            <wp:docPr id="3" name="Obdĺžnik 3"/>
                            <wp:cNvGraphicFramePr/>
                            <a:graphic xmlns:a="http://schemas.openxmlformats.org/drawingml/2006/main">
                              <a:graphicData uri="http://schemas.microsoft.com/office/word/2010/wordprocessingShape">
                                <wps:wsp>
                                  <wps:cNvSpPr/>
                                  <wps:spPr>
                                    <a:xfrm>
                                      <a:off x="0" y="0"/>
                                      <a:ext cx="628650" cy="1617259"/>
                                    </a:xfrm>
                                    <a:prstGeom prst="rect">
                                      <a:avLst/>
                                    </a:prstGeom>
                                    <a:solidFill>
                                      <a:schemeClr val="accent1">
                                        <a:lumMod val="20000"/>
                                        <a:lumOff val="80000"/>
                                        <a:alpha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0F81859" id="Obdĺžnik 3" o:spid="_x0000_s1026" style="position:absolute;margin-left:218.45pt;margin-top:13.6pt;width:49.5pt;height:127.35pt;z-index:251678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" fillcolor="#d4eaf8 [660]" stroked="f" strokeweight="2pt">
                            <v:fill opacity="22873f"/>
                          </v:rect>
                        </w:pict>
                      </mc:Fallback>
                    </mc:AlternateContent>
                  </w:r>
                  <w:r w:rsidR="005454F0">
                    <w:rPr>
                      <w:noProof/>
                      <w:lang w:eastAsia="sk-SK"/>
                    </w:rPr>
                    <w:drawing>
                      <wp:inline distT="0" distB="0" distL="0" distR="0" wp14:anchorId="770CC155" wp14:editId="7D18D535">
                        <wp:extent cx="5556250" cy="2033990"/>
                        <wp:effectExtent l="0" t="0" r="0" b="0"/>
                        <wp:docPr id="8" name="Graf 8">
                          <a:extLst xmlns:a="http://schemas.openxmlformats.org/drawingml/2006/main">
                            <a:ext uri="{FF2B5EF4-FFF2-40B4-BE49-F238E27FC236}">
                              <a16:creationId xmlns:a16="http://schemas.microsoft.com/office/drawing/2014/main" id="{8992CF2D-03F7-42C1-8414-14C931CDD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B2419B" w:rsidRPr="0058047F" w14:paraId="3A27CF3E" w14:textId="77777777" w:rsidTr="006F6E80">
              <w:trPr>
                <w:trHeight w:val="203"/>
              </w:trPr>
              <w:tc>
                <w:tcPr>
                  <w:tcW w:w="8856" w:type="dxa"/>
                  <w:tcBorders>
                    <w:top w:val="single" w:sz="4" w:space="0" w:color="auto"/>
                    <w:left w:val="nil"/>
                    <w:right w:val="nil"/>
                  </w:tcBorders>
                  <w:shd w:val="clear" w:color="auto" w:fill="auto"/>
                </w:tcPr>
                <w:p w14:paraId="3DB89BDC" w14:textId="5BA89180" w:rsidR="00130687" w:rsidRDefault="00B2419B" w:rsidP="00130687">
                  <w:pPr>
                    <w:pStyle w:val="Nadpis2"/>
                    <w:keepLines w:val="0"/>
                    <w:widowControl w:val="0"/>
                    <w:spacing w:before="0"/>
                    <w:jc w:val="both"/>
                    <w:rPr>
                      <w:rFonts w:ascii="Arial Narrow" w:hAnsi="Arial Narrow"/>
                      <w:b w:val="0"/>
                      <w:i/>
                      <w:color w:val="000000" w:themeColor="text1"/>
                      <w:sz w:val="14"/>
                      <w:szCs w:val="20"/>
                    </w:rPr>
                  </w:pPr>
                  <w:r w:rsidRPr="0058047F">
                    <w:rPr>
                      <w:rFonts w:ascii="Arial Narrow" w:hAnsi="Arial Narrow"/>
                      <w:b w:val="0"/>
                      <w:i/>
                      <w:color w:val="000000" w:themeColor="text1"/>
                      <w:sz w:val="14"/>
                      <w:szCs w:val="20"/>
                    </w:rPr>
                    <w:t xml:space="preserve">Pozn.: </w:t>
                  </w:r>
                  <w:r w:rsidR="0058047F" w:rsidRPr="0058047F">
                    <w:rPr>
                      <w:rFonts w:ascii="Arial Narrow" w:hAnsi="Arial Narrow"/>
                      <w:b w:val="0"/>
                      <w:i/>
                      <w:color w:val="000000" w:themeColor="text1"/>
                      <w:sz w:val="14"/>
                      <w:szCs w:val="20"/>
                    </w:rPr>
                    <w:t xml:space="preserve">Projekcia </w:t>
                  </w:r>
                  <w:r w:rsidR="00A2703D">
                    <w:rPr>
                      <w:rFonts w:ascii="Arial Narrow" w:hAnsi="Arial Narrow"/>
                      <w:b w:val="0"/>
                      <w:i/>
                      <w:color w:val="000000" w:themeColor="text1"/>
                      <w:sz w:val="14"/>
                      <w:szCs w:val="20"/>
                    </w:rPr>
                    <w:t xml:space="preserve">dlhu podľa návrhu rozpočtu </w:t>
                  </w:r>
                  <w:r w:rsidR="00281244">
                    <w:rPr>
                      <w:rFonts w:ascii="Arial Narrow" w:hAnsi="Arial Narrow"/>
                      <w:b w:val="0"/>
                      <w:i/>
                      <w:color w:val="000000" w:themeColor="text1"/>
                      <w:sz w:val="14"/>
                      <w:szCs w:val="20"/>
                    </w:rPr>
                    <w:t>predpokladá deficit</w:t>
                  </w:r>
                  <w:r w:rsidR="00337189">
                    <w:rPr>
                      <w:rFonts w:ascii="Arial Narrow" w:hAnsi="Arial Narrow"/>
                      <w:b w:val="0"/>
                      <w:i/>
                      <w:color w:val="000000" w:themeColor="text1"/>
                      <w:sz w:val="14"/>
                      <w:szCs w:val="20"/>
                    </w:rPr>
                    <w:t>y 5,4</w:t>
                  </w:r>
                  <w:r w:rsidR="00281244">
                    <w:rPr>
                      <w:rFonts w:ascii="Arial Narrow" w:hAnsi="Arial Narrow"/>
                      <w:b w:val="0"/>
                      <w:i/>
                      <w:color w:val="000000" w:themeColor="text1"/>
                      <w:sz w:val="14"/>
                      <w:szCs w:val="20"/>
                    </w:rPr>
                    <w:t xml:space="preserve"> % HDP</w:t>
                  </w:r>
                  <w:r w:rsidR="00A2703D">
                    <w:rPr>
                      <w:rFonts w:ascii="Arial Narrow" w:hAnsi="Arial Narrow"/>
                      <w:b w:val="0"/>
                      <w:i/>
                      <w:color w:val="000000" w:themeColor="text1"/>
                      <w:sz w:val="14"/>
                      <w:szCs w:val="20"/>
                    </w:rPr>
                    <w:t xml:space="preserve"> v</w:t>
                  </w:r>
                  <w:r w:rsidR="00337189">
                    <w:rPr>
                      <w:rFonts w:ascii="Arial Narrow" w:hAnsi="Arial Narrow"/>
                      <w:b w:val="0"/>
                      <w:i/>
                      <w:color w:val="000000" w:themeColor="text1"/>
                      <w:sz w:val="14"/>
                      <w:szCs w:val="20"/>
                    </w:rPr>
                    <w:t> </w:t>
                  </w:r>
                  <w:r w:rsidR="00A2703D">
                    <w:rPr>
                      <w:rFonts w:ascii="Arial Narrow" w:hAnsi="Arial Narrow"/>
                      <w:b w:val="0"/>
                      <w:i/>
                      <w:color w:val="000000" w:themeColor="text1"/>
                      <w:sz w:val="14"/>
                      <w:szCs w:val="20"/>
                    </w:rPr>
                    <w:t>2025</w:t>
                  </w:r>
                  <w:r w:rsidR="00337189">
                    <w:rPr>
                      <w:rFonts w:ascii="Arial Narrow" w:hAnsi="Arial Narrow"/>
                      <w:b w:val="0"/>
                      <w:i/>
                      <w:color w:val="000000" w:themeColor="text1"/>
                      <w:sz w:val="14"/>
                      <w:szCs w:val="20"/>
                    </w:rPr>
                    <w:t xml:space="preserve">, </w:t>
                  </w:r>
                  <w:r w:rsidR="00281244">
                    <w:rPr>
                      <w:rFonts w:ascii="Arial Narrow" w:hAnsi="Arial Narrow"/>
                      <w:b w:val="0"/>
                      <w:i/>
                      <w:color w:val="000000" w:themeColor="text1"/>
                      <w:sz w:val="14"/>
                      <w:szCs w:val="20"/>
                    </w:rPr>
                    <w:t>5,</w:t>
                  </w:r>
                  <w:r w:rsidR="00337189">
                    <w:rPr>
                      <w:rFonts w:ascii="Arial Narrow" w:hAnsi="Arial Narrow"/>
                      <w:b w:val="0"/>
                      <w:i/>
                      <w:color w:val="000000" w:themeColor="text1"/>
                      <w:sz w:val="14"/>
                      <w:szCs w:val="20"/>
                    </w:rPr>
                    <w:t>2</w:t>
                  </w:r>
                  <w:r w:rsidR="00281244">
                    <w:rPr>
                      <w:rFonts w:ascii="Arial Narrow" w:hAnsi="Arial Narrow"/>
                      <w:b w:val="0"/>
                      <w:i/>
                      <w:color w:val="000000" w:themeColor="text1"/>
                      <w:sz w:val="14"/>
                      <w:szCs w:val="20"/>
                    </w:rPr>
                    <w:t xml:space="preserve"> % HDP</w:t>
                  </w:r>
                  <w:r w:rsidR="00A2703D">
                    <w:rPr>
                      <w:rFonts w:ascii="Arial Narrow" w:hAnsi="Arial Narrow"/>
                      <w:b w:val="0"/>
                      <w:i/>
                      <w:color w:val="000000" w:themeColor="text1"/>
                      <w:sz w:val="14"/>
                      <w:szCs w:val="20"/>
                    </w:rPr>
                    <w:t xml:space="preserve"> v</w:t>
                  </w:r>
                  <w:r w:rsidR="00337189">
                    <w:rPr>
                      <w:rFonts w:ascii="Arial Narrow" w:hAnsi="Arial Narrow"/>
                      <w:b w:val="0"/>
                      <w:i/>
                      <w:color w:val="000000" w:themeColor="text1"/>
                      <w:sz w:val="14"/>
                      <w:szCs w:val="20"/>
                    </w:rPr>
                    <w:t> </w:t>
                  </w:r>
                  <w:r w:rsidR="00A2703D">
                    <w:rPr>
                      <w:rFonts w:ascii="Arial Narrow" w:hAnsi="Arial Narrow"/>
                      <w:b w:val="0"/>
                      <w:i/>
                      <w:color w:val="000000" w:themeColor="text1"/>
                      <w:sz w:val="14"/>
                      <w:szCs w:val="20"/>
                    </w:rPr>
                    <w:t>2026</w:t>
                  </w:r>
                  <w:r w:rsidR="00337189">
                    <w:rPr>
                      <w:rFonts w:ascii="Arial Narrow" w:hAnsi="Arial Narrow"/>
                      <w:b w:val="0"/>
                      <w:i/>
                      <w:color w:val="000000" w:themeColor="text1"/>
                      <w:sz w:val="14"/>
                      <w:szCs w:val="20"/>
                    </w:rPr>
                    <w:t xml:space="preserve"> a 5,5 % HDP v 2027</w:t>
                  </w:r>
                  <w:r w:rsidR="00281244">
                    <w:rPr>
                      <w:rFonts w:ascii="Arial Narrow" w:hAnsi="Arial Narrow"/>
                      <w:b w:val="0"/>
                      <w:i/>
                      <w:color w:val="000000" w:themeColor="text1"/>
                      <w:sz w:val="14"/>
                      <w:szCs w:val="20"/>
                    </w:rPr>
                    <w:t xml:space="preserve">. </w:t>
                  </w:r>
                  <w:r w:rsidR="007E43FD">
                    <w:rPr>
                      <w:rFonts w:ascii="Arial Narrow" w:hAnsi="Arial Narrow"/>
                      <w:b w:val="0"/>
                      <w:i/>
                      <w:color w:val="000000" w:themeColor="text1"/>
                      <w:sz w:val="14"/>
                      <w:szCs w:val="20"/>
                    </w:rPr>
                    <w:t>Od roku 202</w:t>
                  </w:r>
                  <w:r w:rsidR="00337189">
                    <w:rPr>
                      <w:rFonts w:ascii="Arial Narrow" w:hAnsi="Arial Narrow"/>
                      <w:b w:val="0"/>
                      <w:i/>
                      <w:color w:val="000000" w:themeColor="text1"/>
                      <w:sz w:val="14"/>
                      <w:szCs w:val="20"/>
                    </w:rPr>
                    <w:t>8</w:t>
                  </w:r>
                  <w:r w:rsidR="007E43FD">
                    <w:rPr>
                      <w:rFonts w:ascii="Arial Narrow" w:hAnsi="Arial Narrow"/>
                      <w:b w:val="0"/>
                      <w:i/>
                      <w:color w:val="000000" w:themeColor="text1"/>
                      <w:sz w:val="14"/>
                      <w:szCs w:val="20"/>
                    </w:rPr>
                    <w:t xml:space="preserve"> sa počíta s deficitmi </w:t>
                  </w:r>
                  <w:r w:rsidR="00E77CCE">
                    <w:rPr>
                      <w:rFonts w:ascii="Arial Narrow" w:hAnsi="Arial Narrow"/>
                      <w:b w:val="0"/>
                      <w:i/>
                      <w:color w:val="000000" w:themeColor="text1"/>
                      <w:sz w:val="14"/>
                      <w:szCs w:val="20"/>
                    </w:rPr>
                    <w:t>zvyšujúcimi</w:t>
                  </w:r>
                  <w:r w:rsidR="007E43FD">
                    <w:rPr>
                      <w:rFonts w:ascii="Arial Narrow" w:hAnsi="Arial Narrow"/>
                      <w:b w:val="0"/>
                      <w:i/>
                      <w:color w:val="000000" w:themeColor="text1"/>
                      <w:sz w:val="14"/>
                      <w:szCs w:val="20"/>
                    </w:rPr>
                    <w:t xml:space="preserve"> sa o náklady na starnutie populácie v priemere 0,2 % HDP ročne. </w:t>
                  </w:r>
                  <w:r w:rsidR="00281244">
                    <w:rPr>
                      <w:rFonts w:ascii="Arial Narrow" w:hAnsi="Arial Narrow"/>
                      <w:b w:val="0"/>
                      <w:i/>
                      <w:color w:val="000000" w:themeColor="text1"/>
                      <w:sz w:val="14"/>
                      <w:szCs w:val="20"/>
                    </w:rPr>
                    <w:t xml:space="preserve">Scenár </w:t>
                  </w:r>
                  <w:r w:rsidR="00E66E56">
                    <w:rPr>
                      <w:rFonts w:ascii="Arial Narrow" w:hAnsi="Arial Narrow"/>
                      <w:b w:val="0"/>
                      <w:i/>
                      <w:color w:val="000000" w:themeColor="text1"/>
                      <w:sz w:val="14"/>
                      <w:szCs w:val="20"/>
                    </w:rPr>
                    <w:t xml:space="preserve">vývoja dlhu podľa </w:t>
                  </w:r>
                  <w:r w:rsidR="00281244">
                    <w:rPr>
                      <w:rFonts w:ascii="Arial Narrow" w:hAnsi="Arial Narrow"/>
                      <w:b w:val="0"/>
                      <w:i/>
                      <w:color w:val="000000" w:themeColor="text1"/>
                      <w:sz w:val="14"/>
                      <w:szCs w:val="20"/>
                    </w:rPr>
                    <w:t>rozpočtových cieľov deficitov počíta s a</w:t>
                  </w:r>
                  <w:r w:rsidR="000C62CD" w:rsidRPr="0058047F">
                    <w:rPr>
                      <w:rFonts w:ascii="Arial Narrow" w:hAnsi="Arial Narrow"/>
                      <w:b w:val="0"/>
                      <w:i/>
                      <w:color w:val="000000" w:themeColor="text1"/>
                      <w:sz w:val="14"/>
                      <w:szCs w:val="20"/>
                    </w:rPr>
                    <w:t>kruálny</w:t>
                  </w:r>
                  <w:r w:rsidR="0058047F" w:rsidRPr="0058047F">
                    <w:rPr>
                      <w:rFonts w:ascii="Arial Narrow" w:hAnsi="Arial Narrow"/>
                      <w:b w:val="0"/>
                      <w:i/>
                      <w:color w:val="000000" w:themeColor="text1"/>
                      <w:sz w:val="14"/>
                      <w:szCs w:val="20"/>
                    </w:rPr>
                    <w:t>m</w:t>
                  </w:r>
                  <w:r w:rsidR="00281244">
                    <w:rPr>
                      <w:rFonts w:ascii="Arial Narrow" w:hAnsi="Arial Narrow"/>
                      <w:b w:val="0"/>
                      <w:i/>
                      <w:color w:val="000000" w:themeColor="text1"/>
                      <w:sz w:val="14"/>
                      <w:szCs w:val="20"/>
                    </w:rPr>
                    <w:t>i</w:t>
                  </w:r>
                  <w:r w:rsidR="0058047F" w:rsidRPr="0058047F">
                    <w:rPr>
                      <w:rFonts w:ascii="Arial Narrow" w:hAnsi="Arial Narrow"/>
                      <w:b w:val="0"/>
                      <w:i/>
                      <w:color w:val="000000" w:themeColor="text1"/>
                      <w:sz w:val="14"/>
                      <w:szCs w:val="20"/>
                    </w:rPr>
                    <w:t xml:space="preserve"> </w:t>
                  </w:r>
                  <w:r w:rsidR="00281244">
                    <w:rPr>
                      <w:rFonts w:ascii="Arial Narrow" w:hAnsi="Arial Narrow"/>
                      <w:b w:val="0"/>
                      <w:i/>
                      <w:color w:val="000000" w:themeColor="text1"/>
                      <w:sz w:val="14"/>
                      <w:szCs w:val="20"/>
                    </w:rPr>
                    <w:t xml:space="preserve">schodkami </w:t>
                  </w:r>
                  <w:r w:rsidR="0058047F" w:rsidRPr="0058047F">
                    <w:rPr>
                      <w:rFonts w:ascii="Arial Narrow" w:hAnsi="Arial Narrow"/>
                      <w:b w:val="0"/>
                      <w:i/>
                      <w:color w:val="000000" w:themeColor="text1"/>
                      <w:sz w:val="14"/>
                      <w:szCs w:val="20"/>
                    </w:rPr>
                    <w:t xml:space="preserve">verejnej správy – </w:t>
                  </w:r>
                  <w:r w:rsidR="00337189">
                    <w:rPr>
                      <w:rFonts w:ascii="Arial Narrow" w:hAnsi="Arial Narrow"/>
                      <w:b w:val="0"/>
                      <w:i/>
                      <w:color w:val="000000" w:themeColor="text1"/>
                      <w:sz w:val="14"/>
                      <w:szCs w:val="20"/>
                    </w:rPr>
                    <w:t>5,0</w:t>
                  </w:r>
                  <w:r w:rsidR="0058047F" w:rsidRPr="0058047F">
                    <w:rPr>
                      <w:rFonts w:ascii="Arial Narrow" w:hAnsi="Arial Narrow"/>
                      <w:b w:val="0"/>
                      <w:i/>
                      <w:color w:val="000000" w:themeColor="text1"/>
                      <w:sz w:val="14"/>
                      <w:szCs w:val="20"/>
                    </w:rPr>
                    <w:t xml:space="preserve"> % HDP v 202</w:t>
                  </w:r>
                  <w:r w:rsidR="00337189">
                    <w:rPr>
                      <w:rFonts w:ascii="Arial Narrow" w:hAnsi="Arial Narrow"/>
                      <w:b w:val="0"/>
                      <w:i/>
                      <w:color w:val="000000" w:themeColor="text1"/>
                      <w:sz w:val="14"/>
                      <w:szCs w:val="20"/>
                    </w:rPr>
                    <w:t>5</w:t>
                  </w:r>
                  <w:r w:rsidR="0058047F" w:rsidRPr="0058047F">
                    <w:rPr>
                      <w:rFonts w:ascii="Arial Narrow" w:hAnsi="Arial Narrow"/>
                      <w:b w:val="0"/>
                      <w:i/>
                      <w:color w:val="000000" w:themeColor="text1"/>
                      <w:sz w:val="14"/>
                      <w:szCs w:val="20"/>
                    </w:rPr>
                    <w:t xml:space="preserve">, </w:t>
                  </w:r>
                  <w:r w:rsidR="00337189">
                    <w:rPr>
                      <w:rFonts w:ascii="Arial Narrow" w:hAnsi="Arial Narrow"/>
                      <w:b w:val="0"/>
                      <w:i/>
                      <w:color w:val="000000" w:themeColor="text1"/>
                      <w:sz w:val="14"/>
                      <w:szCs w:val="20"/>
                    </w:rPr>
                    <w:t>4,0</w:t>
                  </w:r>
                  <w:r w:rsidR="0058047F" w:rsidRPr="0058047F">
                    <w:rPr>
                      <w:rFonts w:ascii="Arial Narrow" w:hAnsi="Arial Narrow"/>
                      <w:b w:val="0"/>
                      <w:i/>
                      <w:color w:val="000000" w:themeColor="text1"/>
                      <w:sz w:val="14"/>
                      <w:szCs w:val="20"/>
                    </w:rPr>
                    <w:t xml:space="preserve"> % HDP v 202</w:t>
                  </w:r>
                  <w:r w:rsidR="00337189">
                    <w:rPr>
                      <w:rFonts w:ascii="Arial Narrow" w:hAnsi="Arial Narrow"/>
                      <w:b w:val="0"/>
                      <w:i/>
                      <w:color w:val="000000" w:themeColor="text1"/>
                      <w:sz w:val="14"/>
                      <w:szCs w:val="20"/>
                    </w:rPr>
                    <w:t>6</w:t>
                  </w:r>
                  <w:r w:rsidR="0058047F" w:rsidRPr="0058047F">
                    <w:rPr>
                      <w:rFonts w:ascii="Arial Narrow" w:hAnsi="Arial Narrow"/>
                      <w:b w:val="0"/>
                      <w:i/>
                      <w:color w:val="000000" w:themeColor="text1"/>
                      <w:sz w:val="14"/>
                      <w:szCs w:val="20"/>
                    </w:rPr>
                    <w:t xml:space="preserve"> a </w:t>
                  </w:r>
                  <w:r w:rsidR="00337189">
                    <w:rPr>
                      <w:rFonts w:ascii="Arial Narrow" w:hAnsi="Arial Narrow"/>
                      <w:b w:val="0"/>
                      <w:i/>
                      <w:color w:val="000000" w:themeColor="text1"/>
                      <w:sz w:val="14"/>
                      <w:szCs w:val="20"/>
                    </w:rPr>
                    <w:t>3</w:t>
                  </w:r>
                  <w:r w:rsidR="0058047F" w:rsidRPr="0058047F">
                    <w:rPr>
                      <w:rFonts w:ascii="Arial Narrow" w:hAnsi="Arial Narrow"/>
                      <w:b w:val="0"/>
                      <w:i/>
                      <w:color w:val="000000" w:themeColor="text1"/>
                      <w:sz w:val="14"/>
                      <w:szCs w:val="20"/>
                    </w:rPr>
                    <w:t>,0 % HDP v roku 202</w:t>
                  </w:r>
                  <w:r w:rsidR="00337189">
                    <w:rPr>
                      <w:rFonts w:ascii="Arial Narrow" w:hAnsi="Arial Narrow"/>
                      <w:b w:val="0"/>
                      <w:i/>
                      <w:color w:val="000000" w:themeColor="text1"/>
                      <w:sz w:val="14"/>
                      <w:szCs w:val="20"/>
                    </w:rPr>
                    <w:t>7</w:t>
                  </w:r>
                  <w:r w:rsidR="0058047F" w:rsidRPr="0058047F">
                    <w:rPr>
                      <w:rFonts w:ascii="Arial Narrow" w:hAnsi="Arial Narrow"/>
                      <w:b w:val="0"/>
                      <w:i/>
                      <w:color w:val="000000" w:themeColor="text1"/>
                      <w:sz w:val="14"/>
                      <w:szCs w:val="20"/>
                    </w:rPr>
                    <w:t>.</w:t>
                  </w:r>
                  <w:r w:rsidR="008E557E" w:rsidRPr="0058047F">
                    <w:rPr>
                      <w:rFonts w:ascii="Arial Narrow" w:hAnsi="Arial Narrow"/>
                      <w:b w:val="0"/>
                      <w:i/>
                      <w:color w:val="000000" w:themeColor="text1"/>
                      <w:sz w:val="14"/>
                      <w:szCs w:val="20"/>
                    </w:rPr>
                    <w:t xml:space="preserve"> </w:t>
                  </w:r>
                  <w:r w:rsidR="007E43FD">
                    <w:rPr>
                      <w:rFonts w:ascii="Arial Narrow" w:hAnsi="Arial Narrow"/>
                      <w:b w:val="0"/>
                      <w:i/>
                      <w:color w:val="000000" w:themeColor="text1"/>
                      <w:sz w:val="14"/>
                      <w:szCs w:val="20"/>
                    </w:rPr>
                    <w:t>Od roku 202</w:t>
                  </w:r>
                  <w:r w:rsidR="00711EE0">
                    <w:rPr>
                      <w:rFonts w:ascii="Arial Narrow" w:hAnsi="Arial Narrow"/>
                      <w:b w:val="0"/>
                      <w:i/>
                      <w:color w:val="000000" w:themeColor="text1"/>
                      <w:sz w:val="14"/>
                      <w:szCs w:val="20"/>
                    </w:rPr>
                    <w:t>8</w:t>
                  </w:r>
                  <w:r w:rsidR="007E43FD">
                    <w:rPr>
                      <w:rFonts w:ascii="Arial Narrow" w:hAnsi="Arial Narrow"/>
                      <w:b w:val="0"/>
                      <w:i/>
                      <w:color w:val="000000" w:themeColor="text1"/>
                      <w:sz w:val="14"/>
                      <w:szCs w:val="20"/>
                    </w:rPr>
                    <w:t xml:space="preserve"> sa schodky znižujú o 1 % HDP ročne až do dosiahnutia vyrovnaného rozpočtu. </w:t>
                  </w:r>
                  <w:r w:rsidR="000C62CD" w:rsidRPr="0058047F">
                    <w:rPr>
                      <w:rFonts w:ascii="Arial Narrow" w:hAnsi="Arial Narrow"/>
                      <w:b w:val="0"/>
                      <w:i/>
                      <w:color w:val="000000" w:themeColor="text1"/>
                      <w:sz w:val="14"/>
                      <w:szCs w:val="20"/>
                    </w:rPr>
                    <w:t xml:space="preserve">Sankčné pásma </w:t>
                  </w:r>
                  <w:r w:rsidR="00F57116" w:rsidRPr="0058047F">
                    <w:rPr>
                      <w:rFonts w:ascii="Arial Narrow" w:hAnsi="Arial Narrow"/>
                      <w:b w:val="0"/>
                      <w:i/>
                      <w:color w:val="000000" w:themeColor="text1"/>
                      <w:sz w:val="14"/>
                      <w:szCs w:val="20"/>
                    </w:rPr>
                    <w:t xml:space="preserve">vychádzajú z </w:t>
                  </w:r>
                  <w:r w:rsidR="000C62CD" w:rsidRPr="0058047F">
                    <w:rPr>
                      <w:rFonts w:ascii="Arial Narrow" w:hAnsi="Arial Narrow"/>
                      <w:b w:val="0"/>
                      <w:i/>
                      <w:color w:val="000000" w:themeColor="text1"/>
                      <w:sz w:val="14"/>
                      <w:szCs w:val="20"/>
                    </w:rPr>
                    <w:t>platného ústavného zákona o rozpočtovej zodpovednosti</w:t>
                  </w:r>
                  <w:r w:rsidR="00130687">
                    <w:rPr>
                      <w:rFonts w:ascii="Arial Narrow" w:hAnsi="Arial Narrow"/>
                      <w:b w:val="0"/>
                      <w:i/>
                      <w:color w:val="000000" w:themeColor="text1"/>
                      <w:sz w:val="14"/>
                      <w:szCs w:val="20"/>
                    </w:rPr>
                    <w:t xml:space="preserve">. Prognóza neuvažuje s prijatím skokovo vyrovnaného rozpočtu po opätovnom aktivovaní najprísnejších sankcií dlhovej brzdy koncom roka 2025, </w:t>
                  </w:r>
                  <w:r w:rsidR="008951DC">
                    <w:rPr>
                      <w:rFonts w:ascii="Arial Narrow" w:hAnsi="Arial Narrow"/>
                      <w:b w:val="0"/>
                      <w:i/>
                      <w:color w:val="000000" w:themeColor="text1"/>
                      <w:sz w:val="14"/>
                      <w:szCs w:val="20"/>
                    </w:rPr>
                    <w:t>aj vzhľadom na to, že</w:t>
                  </w:r>
                  <w:r w:rsidR="00130687">
                    <w:rPr>
                      <w:rFonts w:ascii="Arial Narrow" w:hAnsi="Arial Narrow"/>
                      <w:b w:val="0"/>
                      <w:i/>
                      <w:color w:val="000000" w:themeColor="text1"/>
                      <w:sz w:val="14"/>
                      <w:szCs w:val="20"/>
                    </w:rPr>
                    <w:t xml:space="preserve"> sa uvažuje o jej novelizácii. </w:t>
                  </w:r>
                  <w:r w:rsidR="000E243D">
                    <w:rPr>
                      <w:rFonts w:ascii="Arial Narrow" w:hAnsi="Arial Narrow"/>
                      <w:b w:val="0"/>
                      <w:i/>
                      <w:color w:val="000000" w:themeColor="text1"/>
                      <w:sz w:val="14"/>
                      <w:szCs w:val="20"/>
                    </w:rPr>
                    <w:t xml:space="preserve">                                                 </w:t>
                  </w:r>
                  <w:r w:rsidR="008951DC">
                    <w:rPr>
                      <w:rFonts w:ascii="Arial Narrow" w:hAnsi="Arial Narrow"/>
                      <w:b w:val="0"/>
                      <w:i/>
                      <w:color w:val="000000" w:themeColor="text1"/>
                      <w:sz w:val="14"/>
                      <w:szCs w:val="20"/>
                    </w:rPr>
                    <w:t xml:space="preserve">                             </w:t>
                  </w:r>
                  <w:r w:rsidR="000E243D">
                    <w:rPr>
                      <w:rFonts w:ascii="Arial Narrow" w:hAnsi="Arial Narrow"/>
                      <w:b w:val="0"/>
                      <w:i/>
                      <w:color w:val="000000" w:themeColor="text1"/>
                      <w:sz w:val="14"/>
                      <w:szCs w:val="20"/>
                    </w:rPr>
                    <w:t xml:space="preserve">     </w:t>
                  </w:r>
                  <w:r w:rsidR="000E243D" w:rsidRPr="0058047F">
                    <w:rPr>
                      <w:rFonts w:ascii="Arial Narrow" w:hAnsi="Arial Narrow"/>
                      <w:b w:val="0"/>
                      <w:i/>
                      <w:color w:val="000000" w:themeColor="text1"/>
                      <w:sz w:val="14"/>
                      <w:szCs w:val="20"/>
                    </w:rPr>
                    <w:t>Zdroj: MF SR</w:t>
                  </w:r>
                </w:p>
                <w:p w14:paraId="1DA410DE" w14:textId="463A1C3E" w:rsidR="00B2419B" w:rsidRPr="0058047F" w:rsidRDefault="0058047F" w:rsidP="000E243D">
                  <w:pPr>
                    <w:pStyle w:val="Nadpis2"/>
                    <w:keepLines w:val="0"/>
                    <w:widowControl w:val="0"/>
                    <w:spacing w:before="0"/>
                    <w:jc w:val="both"/>
                    <w:rPr>
                      <w:rFonts w:ascii="Arial Narrow" w:hAnsi="Arial Narrow"/>
                      <w:b w:val="0"/>
                      <w:i/>
                      <w:color w:val="000000" w:themeColor="text1"/>
                      <w:sz w:val="20"/>
                      <w:szCs w:val="20"/>
                    </w:rPr>
                  </w:pPr>
                  <w:r w:rsidRPr="0058047F">
                    <w:rPr>
                      <w:rFonts w:ascii="Arial Narrow" w:hAnsi="Arial Narrow"/>
                      <w:b w:val="0"/>
                      <w:i/>
                      <w:color w:val="000000" w:themeColor="text1"/>
                      <w:sz w:val="14"/>
                      <w:szCs w:val="20"/>
                    </w:rPr>
                    <w:t xml:space="preserve">                                                                    </w:t>
                  </w:r>
                  <w:r w:rsidR="007E43FD">
                    <w:rPr>
                      <w:rFonts w:ascii="Arial Narrow" w:hAnsi="Arial Narrow"/>
                      <w:b w:val="0"/>
                      <w:i/>
                      <w:color w:val="000000" w:themeColor="text1"/>
                      <w:sz w:val="14"/>
                      <w:szCs w:val="20"/>
                    </w:rPr>
                    <w:t xml:space="preserve">                              </w:t>
                  </w:r>
                  <w:r w:rsidR="00E66E56">
                    <w:rPr>
                      <w:rFonts w:ascii="Arial Narrow" w:hAnsi="Arial Narrow"/>
                      <w:b w:val="0"/>
                      <w:i/>
                      <w:color w:val="000000" w:themeColor="text1"/>
                      <w:sz w:val="14"/>
                      <w:szCs w:val="20"/>
                    </w:rPr>
                    <w:t xml:space="preserve">                </w:t>
                  </w:r>
                  <w:r w:rsidR="007E43FD">
                    <w:rPr>
                      <w:rFonts w:ascii="Arial Narrow" w:hAnsi="Arial Narrow"/>
                      <w:b w:val="0"/>
                      <w:i/>
                      <w:color w:val="000000" w:themeColor="text1"/>
                      <w:sz w:val="14"/>
                      <w:szCs w:val="20"/>
                    </w:rPr>
                    <w:t xml:space="preserve">        </w:t>
                  </w:r>
                  <w:r w:rsidR="002122D8">
                    <w:rPr>
                      <w:rFonts w:ascii="Arial Narrow" w:hAnsi="Arial Narrow"/>
                      <w:b w:val="0"/>
                      <w:i/>
                      <w:color w:val="000000" w:themeColor="text1"/>
                      <w:sz w:val="14"/>
                      <w:szCs w:val="20"/>
                    </w:rPr>
                    <w:t xml:space="preserve">                                                                                                   </w:t>
                  </w:r>
                  <w:r w:rsidR="007E43FD">
                    <w:rPr>
                      <w:rFonts w:ascii="Arial Narrow" w:hAnsi="Arial Narrow"/>
                      <w:b w:val="0"/>
                      <w:i/>
                      <w:color w:val="000000" w:themeColor="text1"/>
                      <w:sz w:val="14"/>
                      <w:szCs w:val="20"/>
                    </w:rPr>
                    <w:t xml:space="preserve">    </w:t>
                  </w:r>
                  <w:r w:rsidR="00B2419B" w:rsidRPr="0058047F">
                    <w:rPr>
                      <w:rFonts w:ascii="Arial Narrow" w:hAnsi="Arial Narrow"/>
                      <w:b w:val="0"/>
                      <w:i/>
                      <w:color w:val="000000" w:themeColor="text1"/>
                      <w:sz w:val="14"/>
                      <w:szCs w:val="20"/>
                    </w:rPr>
                    <w:t xml:space="preserve">  </w:t>
                  </w:r>
                  <w:r w:rsidR="000C62CD" w:rsidRPr="0058047F">
                    <w:rPr>
                      <w:rFonts w:ascii="Arial Narrow" w:hAnsi="Arial Narrow"/>
                      <w:b w:val="0"/>
                      <w:i/>
                      <w:color w:val="000000" w:themeColor="text1"/>
                      <w:sz w:val="14"/>
                      <w:szCs w:val="20"/>
                    </w:rPr>
                    <w:t xml:space="preserve">               </w:t>
                  </w:r>
                  <w:r w:rsidR="00B2419B" w:rsidRPr="0058047F">
                    <w:rPr>
                      <w:rFonts w:ascii="Arial Narrow" w:hAnsi="Arial Narrow"/>
                      <w:b w:val="0"/>
                      <w:i/>
                      <w:color w:val="000000" w:themeColor="text1"/>
                      <w:sz w:val="14"/>
                      <w:szCs w:val="20"/>
                    </w:rPr>
                    <w:t xml:space="preserve">   </w:t>
                  </w:r>
                  <w:r w:rsidR="008E557E" w:rsidRPr="0058047F">
                    <w:rPr>
                      <w:rFonts w:ascii="Arial Narrow" w:hAnsi="Arial Narrow"/>
                      <w:b w:val="0"/>
                      <w:i/>
                      <w:color w:val="000000" w:themeColor="text1"/>
                      <w:sz w:val="14"/>
                      <w:szCs w:val="20"/>
                    </w:rPr>
                    <w:t xml:space="preserve">                                   </w:t>
                  </w:r>
                  <w:r w:rsidR="00B2419B" w:rsidRPr="0058047F">
                    <w:rPr>
                      <w:rFonts w:ascii="Arial Narrow" w:hAnsi="Arial Narrow"/>
                      <w:b w:val="0"/>
                      <w:i/>
                      <w:color w:val="000000" w:themeColor="text1"/>
                      <w:sz w:val="14"/>
                      <w:szCs w:val="20"/>
                    </w:rPr>
                    <w:t xml:space="preserve"> </w:t>
                  </w:r>
                  <w:r w:rsidR="00F57116" w:rsidRPr="0058047F">
                    <w:rPr>
                      <w:rFonts w:ascii="Arial Narrow" w:hAnsi="Arial Narrow"/>
                      <w:b w:val="0"/>
                      <w:i/>
                      <w:color w:val="000000" w:themeColor="text1"/>
                      <w:sz w:val="14"/>
                      <w:szCs w:val="20"/>
                    </w:rPr>
                    <w:t xml:space="preserve">                                                                         </w:t>
                  </w:r>
                  <w:r w:rsidRPr="0058047F">
                    <w:rPr>
                      <w:rFonts w:ascii="Arial Narrow" w:hAnsi="Arial Narrow"/>
                      <w:b w:val="0"/>
                      <w:i/>
                      <w:color w:val="000000" w:themeColor="text1"/>
                      <w:sz w:val="14"/>
                      <w:szCs w:val="20"/>
                    </w:rPr>
                    <w:t xml:space="preserve"> </w:t>
                  </w:r>
                </w:p>
              </w:tc>
            </w:tr>
          </w:tbl>
          <w:p w14:paraId="514B466A" w14:textId="77777777" w:rsidR="007659D5" w:rsidRPr="000A426C" w:rsidRDefault="007659D5" w:rsidP="00745EC6">
            <w:pPr>
              <w:keepNext/>
              <w:widowControl w:val="0"/>
              <w:jc w:val="both"/>
              <w:rPr>
                <w:b/>
                <w:i/>
                <w:sz w:val="6"/>
                <w:szCs w:val="20"/>
                <w:highlight w:val="yellow"/>
              </w:rPr>
            </w:pPr>
          </w:p>
        </w:tc>
      </w:tr>
    </w:tbl>
    <w:p w14:paraId="5D1FDD20" w14:textId="445938BB" w:rsidR="00A164C1" w:rsidRPr="00295C6B" w:rsidRDefault="003C14C9" w:rsidP="00745EC6">
      <w:pPr>
        <w:pStyle w:val="Nadpis2"/>
        <w:keepLines w:val="0"/>
        <w:widowControl w:val="0"/>
        <w:numPr>
          <w:ilvl w:val="0"/>
          <w:numId w:val="1"/>
        </w:numPr>
        <w:spacing w:before="120" w:after="120"/>
        <w:ind w:left="357" w:hanging="357"/>
        <w:rPr>
          <w:rFonts w:ascii="Arial Narrow" w:hAnsi="Arial Narrow"/>
          <w:sz w:val="24"/>
          <w:szCs w:val="20"/>
        </w:rPr>
      </w:pPr>
      <w:bookmarkStart w:id="3" w:name="_Toc24112331"/>
      <w:r>
        <w:rPr>
          <w:rFonts w:ascii="Arial Narrow" w:hAnsi="Arial Narrow"/>
          <w:sz w:val="24"/>
          <w:szCs w:val="20"/>
        </w:rPr>
        <w:lastRenderedPageBreak/>
        <w:t>Aktuálny stav</w:t>
      </w:r>
      <w:r w:rsidR="00A164C1" w:rsidRPr="00295C6B">
        <w:rPr>
          <w:rFonts w:ascii="Arial Narrow" w:hAnsi="Arial Narrow"/>
          <w:sz w:val="24"/>
          <w:szCs w:val="20"/>
        </w:rPr>
        <w:t xml:space="preserve"> hrubého dlhu </w:t>
      </w:r>
      <w:r w:rsidR="00C4403F">
        <w:rPr>
          <w:rFonts w:ascii="Arial Narrow" w:hAnsi="Arial Narrow"/>
          <w:sz w:val="24"/>
          <w:szCs w:val="20"/>
        </w:rPr>
        <w:t>a</w:t>
      </w:r>
      <w:r w:rsidR="00F43B63">
        <w:rPr>
          <w:rFonts w:ascii="Arial Narrow" w:hAnsi="Arial Narrow"/>
          <w:sz w:val="24"/>
          <w:szCs w:val="20"/>
        </w:rPr>
        <w:t xml:space="preserve"> strednodobá </w:t>
      </w:r>
      <w:r w:rsidR="00C4403F">
        <w:rPr>
          <w:rFonts w:ascii="Arial Narrow" w:hAnsi="Arial Narrow"/>
          <w:sz w:val="24"/>
          <w:szCs w:val="20"/>
        </w:rPr>
        <w:t>prognóza do roku 202</w:t>
      </w:r>
      <w:bookmarkEnd w:id="3"/>
      <w:r w:rsidR="00835F39">
        <w:rPr>
          <w:rFonts w:ascii="Arial Narrow" w:hAnsi="Arial Narrow"/>
          <w:sz w:val="24"/>
          <w:szCs w:val="20"/>
        </w:rPr>
        <w:t>7</w:t>
      </w:r>
    </w:p>
    <w:p w14:paraId="0AED92A7" w14:textId="468E828B" w:rsidR="00F7264C" w:rsidRDefault="00E77CCE" w:rsidP="00745EC6">
      <w:pPr>
        <w:keepNext/>
        <w:widowControl w:val="0"/>
        <w:spacing w:line="264" w:lineRule="auto"/>
        <w:jc w:val="both"/>
        <w:rPr>
          <w:sz w:val="20"/>
          <w:szCs w:val="20"/>
        </w:rPr>
      </w:pPr>
      <w:r>
        <w:rPr>
          <w:b/>
          <w:sz w:val="20"/>
          <w:szCs w:val="20"/>
        </w:rPr>
        <w:t>V</w:t>
      </w:r>
      <w:r w:rsidR="00B85F6D">
        <w:rPr>
          <w:b/>
          <w:sz w:val="20"/>
          <w:szCs w:val="20"/>
        </w:rPr>
        <w:t xml:space="preserve">zhľadom na úroveň </w:t>
      </w:r>
      <w:r w:rsidR="003152F5">
        <w:rPr>
          <w:b/>
          <w:sz w:val="20"/>
          <w:szCs w:val="20"/>
        </w:rPr>
        <w:t xml:space="preserve">dlhu </w:t>
      </w:r>
      <w:r w:rsidR="00B85F6D">
        <w:rPr>
          <w:b/>
          <w:sz w:val="20"/>
          <w:szCs w:val="20"/>
        </w:rPr>
        <w:t>v</w:t>
      </w:r>
      <w:r w:rsidR="00EA68CC">
        <w:rPr>
          <w:b/>
          <w:sz w:val="20"/>
          <w:szCs w:val="20"/>
        </w:rPr>
        <w:t> najvyššom sankčnom pásme dlhovej brzdy</w:t>
      </w:r>
      <w:r>
        <w:rPr>
          <w:b/>
          <w:sz w:val="20"/>
          <w:szCs w:val="20"/>
        </w:rPr>
        <w:t>,</w:t>
      </w:r>
      <w:r w:rsidR="00B85F6D">
        <w:rPr>
          <w:b/>
          <w:sz w:val="20"/>
          <w:szCs w:val="20"/>
        </w:rPr>
        <w:t xml:space="preserve"> vláda SR </w:t>
      </w:r>
      <w:r w:rsidR="007C20EF">
        <w:rPr>
          <w:b/>
          <w:sz w:val="20"/>
          <w:szCs w:val="20"/>
        </w:rPr>
        <w:t xml:space="preserve">predkladá </w:t>
      </w:r>
      <w:r w:rsidR="00B85F6D">
        <w:rPr>
          <w:b/>
          <w:sz w:val="20"/>
          <w:szCs w:val="20"/>
        </w:rPr>
        <w:t>do NR SR zdôvodnenie výšky hrubého dlhu a opatrenia na jeho zníženie</w:t>
      </w:r>
      <w:r w:rsidR="00EA68CC" w:rsidRPr="00F7264C">
        <w:rPr>
          <w:b/>
          <w:sz w:val="20"/>
          <w:szCs w:val="20"/>
        </w:rPr>
        <w:t>.</w:t>
      </w:r>
      <w:r w:rsidR="00EA68CC" w:rsidRPr="00F7264C">
        <w:rPr>
          <w:sz w:val="20"/>
          <w:szCs w:val="20"/>
        </w:rPr>
        <w:t xml:space="preserve"> </w:t>
      </w:r>
      <w:r w:rsidR="00F7264C" w:rsidRPr="00F7264C">
        <w:rPr>
          <w:sz w:val="20"/>
          <w:szCs w:val="20"/>
        </w:rPr>
        <w:t>J</w:t>
      </w:r>
      <w:r w:rsidR="00AE4255">
        <w:rPr>
          <w:sz w:val="20"/>
          <w:szCs w:val="20"/>
        </w:rPr>
        <w:t xml:space="preserve">arná </w:t>
      </w:r>
      <w:r w:rsidR="00F7264C" w:rsidRPr="00F7264C">
        <w:rPr>
          <w:sz w:val="20"/>
          <w:szCs w:val="20"/>
        </w:rPr>
        <w:t>notifikácia</w:t>
      </w:r>
      <w:r w:rsidR="00F7264C">
        <w:rPr>
          <w:sz w:val="20"/>
          <w:szCs w:val="20"/>
        </w:rPr>
        <w:t xml:space="preserve"> Eurostatu v</w:t>
      </w:r>
      <w:r w:rsidR="00AE4255">
        <w:rPr>
          <w:sz w:val="20"/>
          <w:szCs w:val="20"/>
        </w:rPr>
        <w:t xml:space="preserve"> apríli </w:t>
      </w:r>
      <w:r w:rsidR="00F7264C">
        <w:rPr>
          <w:sz w:val="20"/>
          <w:szCs w:val="20"/>
        </w:rPr>
        <w:t>202</w:t>
      </w:r>
      <w:r w:rsidR="00AE4255">
        <w:rPr>
          <w:sz w:val="20"/>
          <w:szCs w:val="20"/>
        </w:rPr>
        <w:t>4</w:t>
      </w:r>
      <w:r w:rsidR="00F7264C">
        <w:rPr>
          <w:sz w:val="20"/>
          <w:szCs w:val="20"/>
        </w:rPr>
        <w:t xml:space="preserve"> potvrdila úroveň hrubého zadlženia Slovenska v minulom roku na </w:t>
      </w:r>
      <w:r w:rsidR="004B3E79">
        <w:rPr>
          <w:sz w:val="20"/>
          <w:szCs w:val="20"/>
        </w:rPr>
        <w:t xml:space="preserve">56 </w:t>
      </w:r>
      <w:r w:rsidR="00F7264C">
        <w:rPr>
          <w:sz w:val="20"/>
          <w:szCs w:val="20"/>
        </w:rPr>
        <w:t xml:space="preserve">% HDP. </w:t>
      </w:r>
      <w:r w:rsidR="008C7D86">
        <w:rPr>
          <w:sz w:val="20"/>
          <w:szCs w:val="20"/>
        </w:rPr>
        <w:t>Dlh sa udržal</w:t>
      </w:r>
      <w:r w:rsidR="00F7264C">
        <w:rPr>
          <w:sz w:val="20"/>
          <w:szCs w:val="20"/>
        </w:rPr>
        <w:t xml:space="preserve"> v najvyššom sankčnom pásme národného dlhového pravidla</w:t>
      </w:r>
      <w:r w:rsidR="005C6802">
        <w:rPr>
          <w:sz w:val="20"/>
          <w:szCs w:val="20"/>
        </w:rPr>
        <w:t xml:space="preserve"> ústavného zákona o rozpočtovej zodpovednosti</w:t>
      </w:r>
      <w:r w:rsidR="00901D5D">
        <w:rPr>
          <w:rStyle w:val="Odkaznapoznmkupodiarou"/>
          <w:sz w:val="20"/>
          <w:szCs w:val="20"/>
        </w:rPr>
        <w:footnoteReference w:id="1"/>
      </w:r>
      <w:r w:rsidR="00F7264C">
        <w:rPr>
          <w:sz w:val="20"/>
          <w:szCs w:val="20"/>
        </w:rPr>
        <w:t xml:space="preserve">. </w:t>
      </w:r>
      <w:r w:rsidR="005C6802">
        <w:rPr>
          <w:sz w:val="20"/>
          <w:szCs w:val="20"/>
        </w:rPr>
        <w:t xml:space="preserve">Po voľbách a schválení programového vyhlásenia </w:t>
      </w:r>
      <w:r w:rsidR="00901D5D">
        <w:rPr>
          <w:sz w:val="20"/>
          <w:szCs w:val="20"/>
        </w:rPr>
        <w:t xml:space="preserve">novej </w:t>
      </w:r>
      <w:r w:rsidR="005C6802">
        <w:rPr>
          <w:sz w:val="20"/>
          <w:szCs w:val="20"/>
        </w:rPr>
        <w:t>vlády v novembri 2023 sa opäť aktivo</w:t>
      </w:r>
      <w:r w:rsidR="00901D5D">
        <w:rPr>
          <w:sz w:val="20"/>
          <w:szCs w:val="20"/>
        </w:rPr>
        <w:t xml:space="preserve">vala dvojročná úniková klauzula </w:t>
      </w:r>
      <w:r w:rsidR="005C6802">
        <w:rPr>
          <w:sz w:val="20"/>
          <w:szCs w:val="20"/>
        </w:rPr>
        <w:t xml:space="preserve">z najprísnejších sankcií, </w:t>
      </w:r>
      <w:r w:rsidR="00242A3D">
        <w:rPr>
          <w:sz w:val="20"/>
          <w:szCs w:val="20"/>
        </w:rPr>
        <w:t xml:space="preserve">ktorou sa pozastavuje aj povinnosť </w:t>
      </w:r>
      <w:r w:rsidR="004365F1">
        <w:rPr>
          <w:sz w:val="20"/>
          <w:szCs w:val="20"/>
        </w:rPr>
        <w:t xml:space="preserve">predloženia </w:t>
      </w:r>
      <w:r w:rsidR="005C6802">
        <w:rPr>
          <w:sz w:val="20"/>
          <w:szCs w:val="20"/>
        </w:rPr>
        <w:t>vyrovnaného rozpočtu</w:t>
      </w:r>
      <w:r w:rsidR="008C7D86">
        <w:rPr>
          <w:sz w:val="20"/>
          <w:szCs w:val="20"/>
        </w:rPr>
        <w:t xml:space="preserve"> do NR SR</w:t>
      </w:r>
      <w:r w:rsidR="005C6802">
        <w:rPr>
          <w:sz w:val="20"/>
          <w:szCs w:val="20"/>
        </w:rPr>
        <w:t xml:space="preserve">. </w:t>
      </w:r>
      <w:r w:rsidR="0049322B">
        <w:rPr>
          <w:sz w:val="20"/>
          <w:szCs w:val="20"/>
        </w:rPr>
        <w:t xml:space="preserve">Sankcie by sa mali opätovne spustiť koncom novembra 2025. </w:t>
      </w:r>
      <w:r w:rsidR="00360901">
        <w:rPr>
          <w:sz w:val="20"/>
          <w:szCs w:val="20"/>
        </w:rPr>
        <w:t>V</w:t>
      </w:r>
      <w:r w:rsidR="004F1DB9">
        <w:rPr>
          <w:sz w:val="20"/>
          <w:szCs w:val="20"/>
        </w:rPr>
        <w:t xml:space="preserve">láda preto </w:t>
      </w:r>
      <w:r w:rsidR="00F03798">
        <w:rPr>
          <w:sz w:val="20"/>
          <w:szCs w:val="20"/>
        </w:rPr>
        <w:t xml:space="preserve">aktuálne </w:t>
      </w:r>
      <w:r w:rsidR="004F1DB9">
        <w:rPr>
          <w:sz w:val="20"/>
          <w:szCs w:val="20"/>
        </w:rPr>
        <w:t>predklad</w:t>
      </w:r>
      <w:r w:rsidR="00360901">
        <w:rPr>
          <w:sz w:val="20"/>
          <w:szCs w:val="20"/>
        </w:rPr>
        <w:t>á</w:t>
      </w:r>
      <w:r w:rsidR="004F1DB9">
        <w:rPr>
          <w:sz w:val="20"/>
          <w:szCs w:val="20"/>
        </w:rPr>
        <w:t xml:space="preserve"> </w:t>
      </w:r>
      <w:r w:rsidR="001A3CB2">
        <w:rPr>
          <w:sz w:val="20"/>
          <w:szCs w:val="20"/>
        </w:rPr>
        <w:t>parlamentu</w:t>
      </w:r>
      <w:r w:rsidR="0049322B">
        <w:rPr>
          <w:sz w:val="20"/>
          <w:szCs w:val="20"/>
        </w:rPr>
        <w:t xml:space="preserve"> </w:t>
      </w:r>
      <w:r w:rsidR="00F03798">
        <w:rPr>
          <w:sz w:val="20"/>
          <w:szCs w:val="20"/>
        </w:rPr>
        <w:t xml:space="preserve">materiál zdôvodňujúci výšku dlhu a zoznam konsolidačných opatrení. </w:t>
      </w:r>
    </w:p>
    <w:p w14:paraId="615C757A" w14:textId="5F56FCEE" w:rsidR="00AD7E80" w:rsidRPr="00AD7E80" w:rsidRDefault="00AD7E80" w:rsidP="00745EC6">
      <w:pPr>
        <w:keepNext/>
        <w:widowControl w:val="0"/>
        <w:spacing w:line="264" w:lineRule="auto"/>
        <w:jc w:val="both"/>
        <w:rPr>
          <w:color w:val="2C9ADC"/>
          <w:sz w:val="20"/>
          <w:szCs w:val="20"/>
        </w:rPr>
      </w:pPr>
      <w:r>
        <w:rPr>
          <w:b/>
          <w:color w:val="2C9ADC"/>
          <w:sz w:val="20"/>
          <w:szCs w:val="20"/>
        </w:rPr>
        <w:t>Vývoj zadlženia od finančnej krízy do roku 2019</w:t>
      </w:r>
    </w:p>
    <w:p w14:paraId="1AC4C183" w14:textId="3C76919B" w:rsidR="00595067" w:rsidRDefault="00707075" w:rsidP="00745EC6">
      <w:pPr>
        <w:keepNext/>
        <w:widowControl w:val="0"/>
        <w:spacing w:line="264" w:lineRule="auto"/>
        <w:jc w:val="both"/>
        <w:rPr>
          <w:sz w:val="20"/>
          <w:szCs w:val="20"/>
        </w:rPr>
      </w:pPr>
      <w:r>
        <w:rPr>
          <w:b/>
          <w:sz w:val="20"/>
          <w:szCs w:val="20"/>
        </w:rPr>
        <w:t xml:space="preserve">Súčasný stav zadlženia </w:t>
      </w:r>
      <w:r w:rsidR="00345DA5">
        <w:rPr>
          <w:b/>
          <w:sz w:val="20"/>
          <w:szCs w:val="20"/>
        </w:rPr>
        <w:t xml:space="preserve">Slovenska </w:t>
      </w:r>
      <w:r>
        <w:rPr>
          <w:b/>
          <w:sz w:val="20"/>
          <w:szCs w:val="20"/>
        </w:rPr>
        <w:t xml:space="preserve">je </w:t>
      </w:r>
      <w:r w:rsidR="007A3FF3">
        <w:rPr>
          <w:b/>
          <w:sz w:val="20"/>
          <w:szCs w:val="20"/>
        </w:rPr>
        <w:t>aj</w:t>
      </w:r>
      <w:r w:rsidR="00E77CCE">
        <w:rPr>
          <w:b/>
          <w:sz w:val="20"/>
          <w:szCs w:val="20"/>
        </w:rPr>
        <w:t xml:space="preserve"> </w:t>
      </w:r>
      <w:r>
        <w:rPr>
          <w:b/>
          <w:sz w:val="20"/>
          <w:szCs w:val="20"/>
        </w:rPr>
        <w:t xml:space="preserve">výsledkom </w:t>
      </w:r>
      <w:r w:rsidR="00E51821">
        <w:rPr>
          <w:b/>
          <w:sz w:val="20"/>
          <w:szCs w:val="20"/>
        </w:rPr>
        <w:t xml:space="preserve">historického </w:t>
      </w:r>
      <w:r>
        <w:rPr>
          <w:b/>
          <w:sz w:val="20"/>
          <w:szCs w:val="20"/>
        </w:rPr>
        <w:t>vývoja od finančnej krízy nasledovanej dlhovou krízou v</w:t>
      </w:r>
      <w:r w:rsidR="003B31E5">
        <w:rPr>
          <w:b/>
          <w:sz w:val="20"/>
          <w:szCs w:val="20"/>
        </w:rPr>
        <w:t> </w:t>
      </w:r>
      <w:r w:rsidRPr="005737CA">
        <w:rPr>
          <w:b/>
          <w:sz w:val="20"/>
          <w:szCs w:val="20"/>
        </w:rPr>
        <w:t>eurozóne.</w:t>
      </w:r>
      <w:r w:rsidR="00F94AD3" w:rsidRPr="005737CA">
        <w:rPr>
          <w:b/>
          <w:sz w:val="20"/>
          <w:szCs w:val="20"/>
        </w:rPr>
        <w:t xml:space="preserve"> </w:t>
      </w:r>
      <w:r w:rsidR="00391F55">
        <w:rPr>
          <w:sz w:val="20"/>
          <w:szCs w:val="20"/>
        </w:rPr>
        <w:t xml:space="preserve">Finančná kríza z roku 2008 vyvolala na Slovensku nepriaznivý dopytový šok. </w:t>
      </w:r>
      <w:r w:rsidR="00EF50DA">
        <w:rPr>
          <w:sz w:val="20"/>
          <w:szCs w:val="20"/>
        </w:rPr>
        <w:t xml:space="preserve">Výsledkom </w:t>
      </w:r>
      <w:r w:rsidR="00391F55">
        <w:rPr>
          <w:sz w:val="20"/>
          <w:szCs w:val="20"/>
        </w:rPr>
        <w:t xml:space="preserve">boli vysoké deficity </w:t>
      </w:r>
      <w:r w:rsidR="00173FF3">
        <w:rPr>
          <w:sz w:val="20"/>
          <w:szCs w:val="20"/>
        </w:rPr>
        <w:t xml:space="preserve">vlády </w:t>
      </w:r>
      <w:r w:rsidR="00391F55">
        <w:rPr>
          <w:sz w:val="20"/>
          <w:szCs w:val="20"/>
        </w:rPr>
        <w:t>spôsobené prepadom príjmov a nárastom výdavkov, ktoré sa pretavili do rastu zadlženia</w:t>
      </w:r>
      <w:r w:rsidR="00985E6C">
        <w:rPr>
          <w:sz w:val="20"/>
          <w:szCs w:val="20"/>
        </w:rPr>
        <w:t xml:space="preserve"> (</w:t>
      </w:r>
      <w:r w:rsidR="006A615D">
        <w:rPr>
          <w:b/>
          <w:color w:val="2C9ADC" w:themeColor="accent1"/>
          <w:sz w:val="20"/>
          <w:szCs w:val="20"/>
        </w:rPr>
        <w:t>GRAF 2</w:t>
      </w:r>
      <w:r w:rsidR="00985E6C">
        <w:rPr>
          <w:sz w:val="20"/>
          <w:szCs w:val="20"/>
        </w:rPr>
        <w:t>)</w:t>
      </w:r>
      <w:r w:rsidR="00391F55">
        <w:rPr>
          <w:sz w:val="20"/>
          <w:szCs w:val="20"/>
        </w:rPr>
        <w:t xml:space="preserve">. Dlhová kríza eurozóny, ktorá nadviazala na finančnú krízu, vyvolala </w:t>
      </w:r>
      <w:r w:rsidR="00FD17A3">
        <w:rPr>
          <w:sz w:val="20"/>
          <w:szCs w:val="20"/>
        </w:rPr>
        <w:t xml:space="preserve">navyše </w:t>
      </w:r>
      <w:r w:rsidR="00391F55">
        <w:rPr>
          <w:sz w:val="20"/>
          <w:szCs w:val="20"/>
        </w:rPr>
        <w:t xml:space="preserve">dodatočný tlak na zvýšenie </w:t>
      </w:r>
      <w:r w:rsidR="00FD17A3">
        <w:rPr>
          <w:sz w:val="20"/>
          <w:szCs w:val="20"/>
        </w:rPr>
        <w:t>dlhu SR</w:t>
      </w:r>
      <w:r w:rsidR="00391F55">
        <w:rPr>
          <w:sz w:val="20"/>
          <w:szCs w:val="20"/>
        </w:rPr>
        <w:t xml:space="preserve"> cez záruky </w:t>
      </w:r>
      <w:r w:rsidR="00FD17A3">
        <w:rPr>
          <w:sz w:val="20"/>
          <w:szCs w:val="20"/>
        </w:rPr>
        <w:t xml:space="preserve">poskytnuté </w:t>
      </w:r>
      <w:r w:rsidR="00391F55">
        <w:rPr>
          <w:sz w:val="20"/>
          <w:szCs w:val="20"/>
        </w:rPr>
        <w:t>v stabilizačných mechanizmoch EÚ</w:t>
      </w:r>
      <w:r w:rsidR="00FD17A3">
        <w:rPr>
          <w:rStyle w:val="Odkaznapoznmkupodiarou"/>
          <w:sz w:val="20"/>
          <w:szCs w:val="20"/>
        </w:rPr>
        <w:footnoteReference w:id="2"/>
      </w:r>
      <w:r w:rsidR="00391F55">
        <w:rPr>
          <w:sz w:val="20"/>
          <w:szCs w:val="20"/>
        </w:rPr>
        <w:t>.</w:t>
      </w:r>
      <w:r w:rsidR="0061752F">
        <w:rPr>
          <w:sz w:val="20"/>
          <w:szCs w:val="20"/>
        </w:rPr>
        <w:t xml:space="preserve"> </w:t>
      </w:r>
      <w:r w:rsidR="007A3FF3">
        <w:rPr>
          <w:sz w:val="20"/>
          <w:szCs w:val="20"/>
        </w:rPr>
        <w:t>Dlh v tomto období narástol na historických takmer 55 % HDP.</w:t>
      </w:r>
    </w:p>
    <w:p w14:paraId="0B000B9E" w14:textId="3BB5BD4C" w:rsidR="009D39C7" w:rsidRDefault="00A11B2C" w:rsidP="00745EC6">
      <w:pPr>
        <w:keepNext/>
        <w:widowControl w:val="0"/>
        <w:spacing w:line="264" w:lineRule="auto"/>
        <w:jc w:val="both"/>
        <w:rPr>
          <w:sz w:val="20"/>
          <w:szCs w:val="20"/>
        </w:rPr>
      </w:pPr>
      <w:r>
        <w:rPr>
          <w:b/>
          <w:sz w:val="20"/>
          <w:szCs w:val="20"/>
        </w:rPr>
        <w:t>O</w:t>
      </w:r>
      <w:r w:rsidR="00E77CCE">
        <w:rPr>
          <w:b/>
          <w:sz w:val="20"/>
          <w:szCs w:val="20"/>
        </w:rPr>
        <w:t>d</w:t>
      </w:r>
      <w:r w:rsidR="00E77CCE" w:rsidRPr="00595067">
        <w:rPr>
          <w:b/>
          <w:sz w:val="20"/>
          <w:szCs w:val="20"/>
        </w:rPr>
        <w:t xml:space="preserve"> </w:t>
      </w:r>
      <w:r>
        <w:rPr>
          <w:b/>
          <w:sz w:val="20"/>
          <w:szCs w:val="20"/>
        </w:rPr>
        <w:t xml:space="preserve">roku </w:t>
      </w:r>
      <w:r w:rsidR="00E77CCE" w:rsidRPr="00595067">
        <w:rPr>
          <w:b/>
          <w:sz w:val="20"/>
          <w:szCs w:val="20"/>
        </w:rPr>
        <w:t>2014</w:t>
      </w:r>
      <w:r w:rsidR="00E77CCE">
        <w:rPr>
          <w:b/>
          <w:sz w:val="20"/>
          <w:szCs w:val="20"/>
        </w:rPr>
        <w:t xml:space="preserve"> </w:t>
      </w:r>
      <w:r>
        <w:rPr>
          <w:b/>
          <w:sz w:val="20"/>
          <w:szCs w:val="20"/>
        </w:rPr>
        <w:t xml:space="preserve">dlh </w:t>
      </w:r>
      <w:r w:rsidR="000B1042">
        <w:rPr>
          <w:b/>
          <w:sz w:val="20"/>
          <w:szCs w:val="20"/>
        </w:rPr>
        <w:t>popri</w:t>
      </w:r>
      <w:r w:rsidR="00E77CCE">
        <w:rPr>
          <w:b/>
          <w:sz w:val="20"/>
          <w:szCs w:val="20"/>
        </w:rPr>
        <w:t> hospodársk</w:t>
      </w:r>
      <w:r w:rsidR="000B1042">
        <w:rPr>
          <w:b/>
          <w:sz w:val="20"/>
          <w:szCs w:val="20"/>
        </w:rPr>
        <w:t>om</w:t>
      </w:r>
      <w:r w:rsidR="00E77CCE">
        <w:rPr>
          <w:b/>
          <w:sz w:val="20"/>
          <w:szCs w:val="20"/>
        </w:rPr>
        <w:t xml:space="preserve"> oživení </w:t>
      </w:r>
      <w:r w:rsidR="00595067">
        <w:rPr>
          <w:b/>
          <w:sz w:val="20"/>
          <w:szCs w:val="20"/>
        </w:rPr>
        <w:t xml:space="preserve">nastúpil </w:t>
      </w:r>
      <w:r w:rsidR="00337906">
        <w:rPr>
          <w:b/>
          <w:sz w:val="20"/>
          <w:szCs w:val="20"/>
        </w:rPr>
        <w:t>na klesajúcu trajektóriu</w:t>
      </w:r>
      <w:r w:rsidR="00595067">
        <w:rPr>
          <w:b/>
          <w:sz w:val="20"/>
          <w:szCs w:val="20"/>
        </w:rPr>
        <w:t xml:space="preserve">, </w:t>
      </w:r>
      <w:r>
        <w:rPr>
          <w:b/>
          <w:sz w:val="20"/>
          <w:szCs w:val="20"/>
        </w:rPr>
        <w:t xml:space="preserve">do 2019 však </w:t>
      </w:r>
      <w:r w:rsidR="00595067">
        <w:rPr>
          <w:b/>
          <w:sz w:val="20"/>
          <w:szCs w:val="20"/>
        </w:rPr>
        <w:t xml:space="preserve">nestačil klesnúť na úrovne spred </w:t>
      </w:r>
      <w:r w:rsidR="00E77CCE">
        <w:rPr>
          <w:b/>
          <w:sz w:val="20"/>
          <w:szCs w:val="20"/>
        </w:rPr>
        <w:t>finančnej krízy</w:t>
      </w:r>
      <w:r w:rsidR="00595067">
        <w:rPr>
          <w:sz w:val="20"/>
          <w:szCs w:val="20"/>
        </w:rPr>
        <w:t xml:space="preserve">. </w:t>
      </w:r>
      <w:r w:rsidR="00604292">
        <w:rPr>
          <w:sz w:val="20"/>
          <w:szCs w:val="20"/>
        </w:rPr>
        <w:t xml:space="preserve">Obdobie rokov 2014 až 2019 sprevádzal pozitívny vývoj klesajúceho zadlženia v pomere k veľkosti ekonomiky. </w:t>
      </w:r>
      <w:r w:rsidR="00595067">
        <w:rPr>
          <w:sz w:val="20"/>
          <w:szCs w:val="20"/>
        </w:rPr>
        <w:t>V</w:t>
      </w:r>
      <w:r w:rsidR="004065AD">
        <w:rPr>
          <w:sz w:val="20"/>
          <w:szCs w:val="20"/>
        </w:rPr>
        <w:t xml:space="preserve">ýznamne </w:t>
      </w:r>
      <w:r w:rsidR="00595067">
        <w:rPr>
          <w:sz w:val="20"/>
          <w:szCs w:val="20"/>
        </w:rPr>
        <w:t xml:space="preserve">k tomu </w:t>
      </w:r>
      <w:r w:rsidR="004065AD">
        <w:rPr>
          <w:sz w:val="20"/>
          <w:szCs w:val="20"/>
        </w:rPr>
        <w:t xml:space="preserve">prispel najmä nominálny </w:t>
      </w:r>
      <w:r w:rsidR="00AF2E36">
        <w:rPr>
          <w:sz w:val="20"/>
          <w:szCs w:val="20"/>
        </w:rPr>
        <w:t>rast hospodárstva</w:t>
      </w:r>
      <w:r w:rsidR="004065AD">
        <w:rPr>
          <w:sz w:val="20"/>
          <w:szCs w:val="20"/>
        </w:rPr>
        <w:t xml:space="preserve"> cez efekt menovateľa</w:t>
      </w:r>
      <w:r w:rsidR="006A615D">
        <w:rPr>
          <w:sz w:val="20"/>
          <w:szCs w:val="20"/>
        </w:rPr>
        <w:t xml:space="preserve"> (</w:t>
      </w:r>
      <w:r w:rsidR="006A615D">
        <w:rPr>
          <w:b/>
          <w:color w:val="2C9ADC" w:themeColor="accent1"/>
          <w:sz w:val="20"/>
          <w:szCs w:val="20"/>
        </w:rPr>
        <w:t>GRAF 3</w:t>
      </w:r>
      <w:r w:rsidR="006A615D">
        <w:rPr>
          <w:sz w:val="20"/>
          <w:szCs w:val="20"/>
        </w:rPr>
        <w:t>)</w:t>
      </w:r>
      <w:r w:rsidR="004065AD">
        <w:rPr>
          <w:sz w:val="20"/>
          <w:szCs w:val="20"/>
        </w:rPr>
        <w:t xml:space="preserve">. </w:t>
      </w:r>
      <w:r w:rsidR="00C11ED7">
        <w:rPr>
          <w:sz w:val="20"/>
          <w:szCs w:val="20"/>
        </w:rPr>
        <w:t>Poklesu</w:t>
      </w:r>
      <w:r w:rsidR="004065AD">
        <w:rPr>
          <w:sz w:val="20"/>
          <w:szCs w:val="20"/>
        </w:rPr>
        <w:t xml:space="preserve"> </w:t>
      </w:r>
      <w:r w:rsidR="00DE5CD4">
        <w:rPr>
          <w:sz w:val="20"/>
          <w:szCs w:val="20"/>
        </w:rPr>
        <w:t>dlhu v tomto období</w:t>
      </w:r>
      <w:r w:rsidR="004065AD">
        <w:rPr>
          <w:sz w:val="20"/>
          <w:szCs w:val="20"/>
        </w:rPr>
        <w:t xml:space="preserve"> </w:t>
      </w:r>
      <w:r w:rsidR="007A0E7C">
        <w:rPr>
          <w:sz w:val="20"/>
          <w:szCs w:val="20"/>
        </w:rPr>
        <w:t>pom</w:t>
      </w:r>
      <w:r w:rsidR="00DE5CD4">
        <w:rPr>
          <w:sz w:val="20"/>
          <w:szCs w:val="20"/>
        </w:rPr>
        <w:t>áhal</w:t>
      </w:r>
      <w:r w:rsidR="004065AD">
        <w:rPr>
          <w:sz w:val="20"/>
          <w:szCs w:val="20"/>
        </w:rPr>
        <w:t xml:space="preserve"> </w:t>
      </w:r>
      <w:r w:rsidR="007D5280">
        <w:rPr>
          <w:sz w:val="20"/>
          <w:szCs w:val="20"/>
        </w:rPr>
        <w:t xml:space="preserve">aj </w:t>
      </w:r>
      <w:r w:rsidR="00DE5CD4">
        <w:rPr>
          <w:sz w:val="20"/>
          <w:szCs w:val="20"/>
        </w:rPr>
        <w:t xml:space="preserve">postupne znižujúci </w:t>
      </w:r>
      <w:r w:rsidR="00AF2361">
        <w:rPr>
          <w:sz w:val="20"/>
          <w:szCs w:val="20"/>
        </w:rPr>
        <w:t xml:space="preserve">sa </w:t>
      </w:r>
      <w:r w:rsidR="00DE5CD4">
        <w:rPr>
          <w:sz w:val="20"/>
          <w:szCs w:val="20"/>
        </w:rPr>
        <w:t>primárny deficit</w:t>
      </w:r>
      <w:r w:rsidR="00271899">
        <w:rPr>
          <w:sz w:val="20"/>
          <w:szCs w:val="20"/>
        </w:rPr>
        <w:t xml:space="preserve"> vlády</w:t>
      </w:r>
      <w:r w:rsidR="0015413F">
        <w:rPr>
          <w:sz w:val="20"/>
          <w:szCs w:val="20"/>
        </w:rPr>
        <w:t xml:space="preserve"> </w:t>
      </w:r>
      <w:r w:rsidR="005832F9">
        <w:rPr>
          <w:sz w:val="20"/>
          <w:szCs w:val="20"/>
        </w:rPr>
        <w:t xml:space="preserve">(bez úrokových nákladov) </w:t>
      </w:r>
      <w:r w:rsidR="00DE5CD4">
        <w:rPr>
          <w:sz w:val="20"/>
          <w:szCs w:val="20"/>
        </w:rPr>
        <w:t xml:space="preserve">smerom </w:t>
      </w:r>
      <w:r w:rsidR="004065AD">
        <w:rPr>
          <w:sz w:val="20"/>
          <w:szCs w:val="20"/>
        </w:rPr>
        <w:t xml:space="preserve">až </w:t>
      </w:r>
      <w:r w:rsidR="00DE5CD4">
        <w:rPr>
          <w:sz w:val="20"/>
          <w:szCs w:val="20"/>
        </w:rPr>
        <w:t>k prebytkovému</w:t>
      </w:r>
      <w:r w:rsidR="004065AD">
        <w:rPr>
          <w:sz w:val="20"/>
          <w:szCs w:val="20"/>
        </w:rPr>
        <w:t xml:space="preserve"> saldu</w:t>
      </w:r>
      <w:r w:rsidR="00DE5CD4">
        <w:rPr>
          <w:sz w:val="20"/>
          <w:szCs w:val="20"/>
        </w:rPr>
        <w:t xml:space="preserve"> v 2017 a 2018</w:t>
      </w:r>
      <w:r w:rsidR="0061752F">
        <w:rPr>
          <w:sz w:val="20"/>
          <w:szCs w:val="20"/>
        </w:rPr>
        <w:t>.</w:t>
      </w:r>
      <w:r w:rsidR="00D827EE">
        <w:rPr>
          <w:sz w:val="20"/>
          <w:szCs w:val="20"/>
        </w:rPr>
        <w:t xml:space="preserve"> Napriek </w:t>
      </w:r>
      <w:r w:rsidR="00926340">
        <w:rPr>
          <w:sz w:val="20"/>
          <w:szCs w:val="20"/>
        </w:rPr>
        <w:t xml:space="preserve">príspevku </w:t>
      </w:r>
      <w:r w:rsidR="00D827EE">
        <w:rPr>
          <w:sz w:val="20"/>
          <w:szCs w:val="20"/>
        </w:rPr>
        <w:t>rastu ekonomiky a znižovani</w:t>
      </w:r>
      <w:r w:rsidR="0005295B">
        <w:rPr>
          <w:sz w:val="20"/>
          <w:szCs w:val="20"/>
        </w:rPr>
        <w:t>a</w:t>
      </w:r>
      <w:r w:rsidR="00D827EE">
        <w:rPr>
          <w:sz w:val="20"/>
          <w:szCs w:val="20"/>
        </w:rPr>
        <w:t xml:space="preserve"> primárneho deficitu dlh v pomere k HDP na konci roku </w:t>
      </w:r>
      <w:r w:rsidR="00A609FE">
        <w:rPr>
          <w:sz w:val="20"/>
          <w:szCs w:val="20"/>
        </w:rPr>
        <w:t>2019 dosahoval 48 % HDP</w:t>
      </w:r>
      <w:r w:rsidR="008E6862">
        <w:rPr>
          <w:sz w:val="20"/>
          <w:szCs w:val="20"/>
        </w:rPr>
        <w:t xml:space="preserve">, o 20 p. b. viac ako pred 2009. Nestihol tak </w:t>
      </w:r>
      <w:r w:rsidR="00E24BF1">
        <w:rPr>
          <w:sz w:val="20"/>
          <w:szCs w:val="20"/>
        </w:rPr>
        <w:t xml:space="preserve">klesnúť </w:t>
      </w:r>
      <w:r w:rsidR="008E6862">
        <w:rPr>
          <w:sz w:val="20"/>
          <w:szCs w:val="20"/>
        </w:rPr>
        <w:t>razantne</w:t>
      </w:r>
      <w:r w:rsidR="00E24BF1">
        <w:rPr>
          <w:sz w:val="20"/>
          <w:szCs w:val="20"/>
        </w:rPr>
        <w:t>jšie</w:t>
      </w:r>
      <w:r w:rsidR="008E6862">
        <w:rPr>
          <w:sz w:val="20"/>
          <w:szCs w:val="20"/>
        </w:rPr>
        <w:t xml:space="preserve"> k úrovni </w:t>
      </w:r>
      <w:r w:rsidR="00A609FE">
        <w:rPr>
          <w:sz w:val="20"/>
          <w:szCs w:val="20"/>
        </w:rPr>
        <w:t xml:space="preserve">pred finančnou </w:t>
      </w:r>
      <w:r w:rsidR="008E6862">
        <w:rPr>
          <w:sz w:val="20"/>
          <w:szCs w:val="20"/>
        </w:rPr>
        <w:t>krízou</w:t>
      </w:r>
      <w:r w:rsidR="00A609FE">
        <w:rPr>
          <w:sz w:val="20"/>
          <w:szCs w:val="20"/>
        </w:rPr>
        <w:t>.</w:t>
      </w:r>
      <w:r w:rsidR="00D827EE">
        <w:rPr>
          <w:sz w:val="20"/>
          <w:szCs w:val="20"/>
        </w:rPr>
        <w:t xml:space="preserve"> </w:t>
      </w:r>
    </w:p>
    <w:tbl>
      <w:tblPr>
        <w:tblpPr w:leftFromText="141" w:rightFromText="141" w:vertAnchor="text" w:horzAnchor="margin" w:tblpY="61"/>
        <w:tblOverlap w:val="neve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1E0" w:firstRow="1" w:lastRow="1" w:firstColumn="1" w:lastColumn="1" w:noHBand="0" w:noVBand="0"/>
      </w:tblPr>
      <w:tblGrid>
        <w:gridCol w:w="4717"/>
        <w:gridCol w:w="146"/>
        <w:gridCol w:w="146"/>
        <w:gridCol w:w="4063"/>
      </w:tblGrid>
      <w:tr w:rsidR="00064009" w:rsidRPr="00EE4084" w14:paraId="00CDAAB2" w14:textId="77777777" w:rsidTr="00064009">
        <w:trPr>
          <w:trHeight w:val="339"/>
        </w:trPr>
        <w:tc>
          <w:tcPr>
            <w:tcW w:w="2598" w:type="pct"/>
            <w:tcBorders>
              <w:top w:val="nil"/>
              <w:left w:val="nil"/>
              <w:bottom w:val="single" w:sz="4" w:space="0" w:color="auto"/>
              <w:right w:val="nil"/>
            </w:tcBorders>
            <w:shd w:val="clear" w:color="auto" w:fill="auto"/>
          </w:tcPr>
          <w:p w14:paraId="57F4CD4D" w14:textId="73EFDB87" w:rsidR="00064009" w:rsidRPr="00E96AF2" w:rsidRDefault="00064009" w:rsidP="00F474F6">
            <w:pPr>
              <w:widowControl w:val="0"/>
              <w:spacing w:before="40" w:after="40"/>
              <w:jc w:val="both"/>
              <w:rPr>
                <w:rFonts w:eastAsia="NeueHaasGroteskText W02" w:cs="Arial"/>
                <w:b/>
                <w:bCs/>
                <w:color w:val="2C9ADC"/>
                <w:sz w:val="20"/>
                <w:szCs w:val="20"/>
                <w:u w:color="2C9ADC"/>
              </w:rPr>
            </w:pPr>
            <w:r w:rsidRPr="00E96AF2">
              <w:rPr>
                <w:rFonts w:cs="Arial Narrow"/>
                <w:b/>
                <w:bCs/>
                <w:color w:val="2C9ADC"/>
                <w:sz w:val="20"/>
                <w:szCs w:val="20"/>
              </w:rPr>
              <w:t xml:space="preserve">GRAF </w:t>
            </w:r>
            <w:r>
              <w:rPr>
                <w:b/>
                <w:color w:val="2C9ADC"/>
                <w:sz w:val="20"/>
                <w:szCs w:val="20"/>
              </w:rPr>
              <w:t>2</w:t>
            </w:r>
            <w:r w:rsidRPr="00E96AF2">
              <w:rPr>
                <w:b/>
                <w:color w:val="2C9ADC"/>
                <w:sz w:val="20"/>
                <w:szCs w:val="20"/>
              </w:rPr>
              <w:t xml:space="preserve"> –</w:t>
            </w:r>
            <w:r w:rsidRPr="00E96AF2">
              <w:rPr>
                <w:rFonts w:eastAsia="NeueHaasGroteskText W02" w:cs="Arial"/>
                <w:b/>
                <w:bCs/>
                <w:color w:val="2C9ADC"/>
                <w:sz w:val="20"/>
                <w:szCs w:val="20"/>
                <w:u w:color="2C9ADC"/>
              </w:rPr>
              <w:t> </w:t>
            </w:r>
            <w:r>
              <w:rPr>
                <w:b/>
                <w:color w:val="2C9ADC"/>
                <w:sz w:val="20"/>
                <w:szCs w:val="20"/>
              </w:rPr>
              <w:t>Hrubý a čistý dlh (% HDP)</w:t>
            </w:r>
          </w:p>
        </w:tc>
        <w:tc>
          <w:tcPr>
            <w:tcW w:w="80" w:type="pct"/>
            <w:tcBorders>
              <w:top w:val="nil"/>
              <w:left w:val="nil"/>
              <w:bottom w:val="nil"/>
              <w:right w:val="nil"/>
            </w:tcBorders>
            <w:shd w:val="clear" w:color="auto" w:fill="auto"/>
          </w:tcPr>
          <w:p w14:paraId="6574E8CC" w14:textId="77777777" w:rsidR="00064009" w:rsidRPr="00E96AF2" w:rsidRDefault="00064009" w:rsidP="005C304F">
            <w:pPr>
              <w:widowControl w:val="0"/>
              <w:spacing w:before="60" w:after="60"/>
              <w:rPr>
                <w:rFonts w:cs="Arial"/>
                <w:b/>
                <w:color w:val="2C9ADC"/>
                <w:sz w:val="20"/>
                <w:szCs w:val="20"/>
              </w:rPr>
            </w:pPr>
          </w:p>
        </w:tc>
        <w:tc>
          <w:tcPr>
            <w:tcW w:w="80" w:type="pct"/>
            <w:tcBorders>
              <w:top w:val="nil"/>
              <w:left w:val="nil"/>
              <w:bottom w:val="single" w:sz="4" w:space="0" w:color="auto"/>
              <w:right w:val="nil"/>
            </w:tcBorders>
          </w:tcPr>
          <w:p w14:paraId="46911729" w14:textId="77777777" w:rsidR="00064009" w:rsidRPr="00E96AF2" w:rsidRDefault="00064009" w:rsidP="00F06EA5">
            <w:pPr>
              <w:widowControl w:val="0"/>
              <w:spacing w:before="40" w:after="40"/>
              <w:jc w:val="both"/>
              <w:rPr>
                <w:b/>
                <w:color w:val="2C9ADC"/>
                <w:sz w:val="20"/>
                <w:szCs w:val="20"/>
              </w:rPr>
            </w:pPr>
          </w:p>
        </w:tc>
        <w:tc>
          <w:tcPr>
            <w:tcW w:w="2242" w:type="pct"/>
            <w:tcBorders>
              <w:top w:val="nil"/>
              <w:left w:val="nil"/>
              <w:bottom w:val="single" w:sz="4" w:space="0" w:color="auto"/>
              <w:right w:val="nil"/>
            </w:tcBorders>
            <w:shd w:val="clear" w:color="auto" w:fill="auto"/>
          </w:tcPr>
          <w:p w14:paraId="5113D48B" w14:textId="440D1FFD" w:rsidR="00064009" w:rsidRPr="00E96AF2" w:rsidRDefault="00064009" w:rsidP="00F06EA5">
            <w:pPr>
              <w:widowControl w:val="0"/>
              <w:spacing w:before="40" w:after="40"/>
              <w:jc w:val="both"/>
              <w:rPr>
                <w:b/>
                <w:color w:val="2C9ADC"/>
                <w:sz w:val="20"/>
                <w:szCs w:val="20"/>
              </w:rPr>
            </w:pPr>
            <w:r w:rsidRPr="00E96AF2">
              <w:rPr>
                <w:b/>
                <w:color w:val="2C9ADC"/>
                <w:sz w:val="20"/>
                <w:szCs w:val="20"/>
              </w:rPr>
              <w:t xml:space="preserve">GRAF </w:t>
            </w:r>
            <w:r>
              <w:rPr>
                <w:b/>
                <w:color w:val="2C9ADC"/>
                <w:sz w:val="20"/>
                <w:szCs w:val="20"/>
              </w:rPr>
              <w:t>3</w:t>
            </w:r>
            <w:r w:rsidRPr="00E96AF2">
              <w:rPr>
                <w:b/>
                <w:color w:val="2C9ADC"/>
                <w:sz w:val="20"/>
                <w:szCs w:val="20"/>
              </w:rPr>
              <w:t xml:space="preserve"> – </w:t>
            </w:r>
            <w:r>
              <w:rPr>
                <w:rFonts w:eastAsia="NeueHaasGroteskText W02" w:cs="Arial"/>
                <w:b/>
                <w:bCs/>
                <w:color w:val="2C9ADC"/>
                <w:sz w:val="20"/>
                <w:szCs w:val="20"/>
                <w:u w:color="2C9ADC"/>
              </w:rPr>
              <w:t>Kumulatívne príspevky k zmene hrubého dlhu</w:t>
            </w:r>
            <w:r w:rsidRPr="00E96AF2">
              <w:rPr>
                <w:rFonts w:eastAsia="NeueHaasGroteskText W02" w:cs="Arial"/>
                <w:b/>
                <w:bCs/>
                <w:color w:val="2C9ADC"/>
                <w:sz w:val="20"/>
                <w:szCs w:val="20"/>
                <w:u w:color="2C9ADC"/>
              </w:rPr>
              <w:t xml:space="preserve"> (% HDP)</w:t>
            </w:r>
          </w:p>
        </w:tc>
      </w:tr>
      <w:tr w:rsidR="00064009" w:rsidRPr="001F1A6F" w14:paraId="6E6B3D39" w14:textId="77777777" w:rsidTr="00064009">
        <w:trPr>
          <w:trHeight w:val="866"/>
        </w:trPr>
        <w:tc>
          <w:tcPr>
            <w:tcW w:w="2598" w:type="pct"/>
            <w:tcBorders>
              <w:top w:val="single" w:sz="4" w:space="0" w:color="auto"/>
              <w:left w:val="nil"/>
              <w:bottom w:val="single" w:sz="4" w:space="0" w:color="auto"/>
              <w:right w:val="nil"/>
            </w:tcBorders>
            <w:vAlign w:val="center"/>
          </w:tcPr>
          <w:p w14:paraId="6D1A2C1A" w14:textId="4D6FFDA1" w:rsidR="00064009" w:rsidRPr="001F1A6F" w:rsidRDefault="00064009" w:rsidP="005C304F">
            <w:pPr>
              <w:widowControl w:val="0"/>
              <w:spacing w:before="40" w:after="40"/>
              <w:jc w:val="center"/>
              <w:rPr>
                <w:rFonts w:cs="Arial"/>
                <w:sz w:val="20"/>
                <w:szCs w:val="20"/>
                <w:highlight w:val="yellow"/>
              </w:rPr>
            </w:pPr>
            <w:r>
              <w:rPr>
                <w:noProof/>
                <w:lang w:eastAsia="sk-SK"/>
              </w:rPr>
              <w:drawing>
                <wp:inline distT="0" distB="0" distL="0" distR="0" wp14:anchorId="5C61F442" wp14:editId="3CCDB26B">
                  <wp:extent cx="2927350" cy="2501900"/>
                  <wp:effectExtent l="0" t="0" r="6350" b="0"/>
                  <wp:docPr id="11" name="Graf 1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1F1A6F">
              <w:rPr>
                <w:rFonts w:cs="Arial"/>
                <w:noProof/>
                <w:sz w:val="20"/>
                <w:szCs w:val="20"/>
                <w:highlight w:val="yellow"/>
                <w:lang w:eastAsia="sk-SK"/>
              </w:rPr>
              <mc:AlternateContent>
                <mc:Choice Requires="wps">
                  <w:drawing>
                    <wp:anchor distT="45720" distB="45720" distL="114300" distR="114300" simplePos="0" relativeHeight="251698176" behindDoc="0" locked="0" layoutInCell="1" allowOverlap="1" wp14:anchorId="70FEB85E" wp14:editId="7FEA7C15">
                      <wp:simplePos x="0" y="0"/>
                      <wp:positionH relativeFrom="column">
                        <wp:posOffset>1907540</wp:posOffset>
                      </wp:positionH>
                      <wp:positionV relativeFrom="paragraph">
                        <wp:posOffset>1355725</wp:posOffset>
                      </wp:positionV>
                      <wp:extent cx="661670" cy="186055"/>
                      <wp:effectExtent l="0" t="0" r="0" b="444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86055"/>
                              </a:xfrm>
                              <a:prstGeom prst="rect">
                                <a:avLst/>
                              </a:prstGeom>
                              <a:noFill/>
                              <a:ln w="9525">
                                <a:noFill/>
                                <a:miter lim="800000"/>
                                <a:headEnd/>
                                <a:tailEnd/>
                              </a:ln>
                            </wps:spPr>
                            <wps:txbx>
                              <w:txbxContent>
                                <w:p w14:paraId="36F1090B" w14:textId="77777777" w:rsidR="00064009" w:rsidRPr="00BC676E" w:rsidRDefault="00064009" w:rsidP="00707075">
                                  <w:pPr>
                                    <w:jc w:val="center"/>
                                    <w:rPr>
                                      <w:color w:val="FFFFFF" w:themeColor="background1"/>
                                      <w:sz w:val="12"/>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0FEB85E" id="Textové pole 2" o:spid="_x0000_s1027" type="#_x0000_t202" style="position:absolute;left:0;text-align:left;margin-left:150.2pt;margin-top:106.75pt;width:52.1pt;height:14.6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" filled="f" stroked="f">
                      <v:textbox>
                        <w:txbxContent>
                          <w:p w14:paraId="36F1090B" w14:textId="77777777" w:rsidR="00064009" w:rsidRPr="00BC676E" w:rsidRDefault="00064009" w:rsidP="00707075">
                            <w:pPr>
                              <w:jc w:val="center"/>
                              <w:rPr>
                                <w:color w:val="FFFFFF" w:themeColor="background1"/>
                                <w:sz w:val="12"/>
                                <w:szCs w:val="14"/>
                              </w:rPr>
                            </w:pPr>
                          </w:p>
                        </w:txbxContent>
                      </v:textbox>
                    </v:shape>
                  </w:pict>
                </mc:Fallback>
              </mc:AlternateContent>
            </w:r>
          </w:p>
        </w:tc>
        <w:tc>
          <w:tcPr>
            <w:tcW w:w="80" w:type="pct"/>
            <w:tcBorders>
              <w:top w:val="nil"/>
              <w:left w:val="nil"/>
              <w:bottom w:val="nil"/>
              <w:right w:val="nil"/>
            </w:tcBorders>
            <w:vAlign w:val="center"/>
          </w:tcPr>
          <w:p w14:paraId="201ADF8E" w14:textId="77777777" w:rsidR="00064009" w:rsidRPr="001F1A6F" w:rsidRDefault="00064009" w:rsidP="005C304F">
            <w:pPr>
              <w:widowControl w:val="0"/>
              <w:spacing w:before="40" w:after="40"/>
              <w:jc w:val="center"/>
              <w:rPr>
                <w:rFonts w:cs="Arial"/>
                <w:b/>
                <w:sz w:val="20"/>
                <w:szCs w:val="20"/>
                <w:highlight w:val="yellow"/>
              </w:rPr>
            </w:pPr>
          </w:p>
        </w:tc>
        <w:tc>
          <w:tcPr>
            <w:tcW w:w="80" w:type="pct"/>
            <w:tcBorders>
              <w:top w:val="single" w:sz="4" w:space="0" w:color="auto"/>
              <w:left w:val="nil"/>
              <w:bottom w:val="single" w:sz="4" w:space="0" w:color="auto"/>
              <w:right w:val="nil"/>
            </w:tcBorders>
          </w:tcPr>
          <w:p w14:paraId="70E2FBE4" w14:textId="77777777" w:rsidR="00064009" w:rsidRDefault="00064009" w:rsidP="005C304F">
            <w:pPr>
              <w:widowControl w:val="0"/>
              <w:spacing w:before="40" w:after="40"/>
              <w:rPr>
                <w:noProof/>
              </w:rPr>
            </w:pPr>
          </w:p>
        </w:tc>
        <w:tc>
          <w:tcPr>
            <w:tcW w:w="2242" w:type="pct"/>
            <w:tcBorders>
              <w:top w:val="single" w:sz="4" w:space="0" w:color="auto"/>
              <w:left w:val="nil"/>
              <w:bottom w:val="single" w:sz="4" w:space="0" w:color="auto"/>
              <w:right w:val="nil"/>
            </w:tcBorders>
            <w:vAlign w:val="bottom"/>
          </w:tcPr>
          <w:p w14:paraId="41FEFE36" w14:textId="47325490" w:rsidR="00064009" w:rsidRPr="001F1A6F" w:rsidRDefault="00064009" w:rsidP="005C304F">
            <w:pPr>
              <w:widowControl w:val="0"/>
              <w:spacing w:before="40" w:after="40"/>
              <w:rPr>
                <w:rFonts w:cs="Arial"/>
                <w:sz w:val="20"/>
                <w:szCs w:val="20"/>
                <w:highlight w:val="yellow"/>
              </w:rPr>
            </w:pPr>
            <w:r>
              <w:rPr>
                <w:noProof/>
                <w:lang w:eastAsia="sk-SK"/>
              </w:rPr>
              <w:drawing>
                <wp:inline distT="0" distB="0" distL="0" distR="0" wp14:anchorId="531D1838" wp14:editId="207AA329">
                  <wp:extent cx="2508250" cy="2508250"/>
                  <wp:effectExtent l="0" t="0" r="6350" b="6350"/>
                  <wp:docPr id="14" name="Graf 14">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4E25EB" w:rsidRPr="001F1A6F" w14:paraId="046D5266" w14:textId="77777777" w:rsidTr="004E25EB">
        <w:trPr>
          <w:trHeight w:val="108"/>
        </w:trPr>
        <w:tc>
          <w:tcPr>
            <w:tcW w:w="5000" w:type="pct"/>
            <w:gridSpan w:val="4"/>
            <w:tcBorders>
              <w:top w:val="single" w:sz="4" w:space="0" w:color="auto"/>
              <w:left w:val="nil"/>
              <w:bottom w:val="nil"/>
              <w:right w:val="nil"/>
            </w:tcBorders>
          </w:tcPr>
          <w:p w14:paraId="2318AB38" w14:textId="536172DF" w:rsidR="004E25EB" w:rsidRPr="001F1A6F" w:rsidRDefault="004E25EB" w:rsidP="00A36BB9">
            <w:pPr>
              <w:widowControl w:val="0"/>
              <w:spacing w:before="40" w:after="40"/>
              <w:jc w:val="both"/>
              <w:rPr>
                <w:b/>
                <w:iCs/>
                <w:color w:val="000000"/>
                <w:highlight w:val="yellow"/>
              </w:rPr>
            </w:pPr>
            <w:r>
              <w:rPr>
                <w:i/>
                <w:sz w:val="16"/>
                <w:szCs w:val="16"/>
              </w:rPr>
              <w:t xml:space="preserve">Pozn.: SFA predstavuje faktor zosúladenia deficitu a dlhu – zmena hotovosti verejnej správy, rozdiely medzi hotovostným a akruálnym deficitom, prémie/diskonty pri predaji dlhopisov, príjmy z privatizácie a iné.                                                                                                                           Zdroj: </w:t>
            </w:r>
            <w:r w:rsidRPr="00B810CA">
              <w:rPr>
                <w:i/>
                <w:sz w:val="16"/>
                <w:szCs w:val="16"/>
              </w:rPr>
              <w:t>MF SR</w:t>
            </w:r>
          </w:p>
        </w:tc>
      </w:tr>
    </w:tbl>
    <w:p w14:paraId="3AF3B8E5" w14:textId="29B4E489" w:rsidR="00AD7E80" w:rsidRPr="00BC5CAB" w:rsidRDefault="00B90446" w:rsidP="00BE0B5D">
      <w:pPr>
        <w:keepNext/>
        <w:widowControl w:val="0"/>
        <w:spacing w:before="120" w:line="264" w:lineRule="auto"/>
        <w:jc w:val="both"/>
        <w:rPr>
          <w:b/>
          <w:color w:val="2C9ADC"/>
          <w:sz w:val="20"/>
          <w:szCs w:val="20"/>
        </w:rPr>
      </w:pPr>
      <w:r>
        <w:rPr>
          <w:b/>
          <w:color w:val="2C9ADC"/>
          <w:sz w:val="20"/>
          <w:szCs w:val="20"/>
        </w:rPr>
        <w:t xml:space="preserve">Vývoj dlhu v krízových rokoch </w:t>
      </w:r>
      <w:r w:rsidR="00AD7E80">
        <w:rPr>
          <w:b/>
          <w:color w:val="2C9ADC"/>
          <w:sz w:val="20"/>
          <w:szCs w:val="20"/>
        </w:rPr>
        <w:t>2020</w:t>
      </w:r>
      <w:r>
        <w:rPr>
          <w:b/>
          <w:color w:val="2C9ADC"/>
          <w:sz w:val="20"/>
          <w:szCs w:val="20"/>
        </w:rPr>
        <w:t>-2023</w:t>
      </w:r>
    </w:p>
    <w:p w14:paraId="1AC674F9" w14:textId="3BCD169F" w:rsidR="006D0C40" w:rsidRDefault="007552CA" w:rsidP="00745EC6">
      <w:pPr>
        <w:keepNext/>
        <w:widowControl w:val="0"/>
        <w:spacing w:line="264" w:lineRule="auto"/>
        <w:jc w:val="both"/>
        <w:rPr>
          <w:sz w:val="20"/>
          <w:szCs w:val="20"/>
        </w:rPr>
      </w:pPr>
      <w:r>
        <w:rPr>
          <w:b/>
          <w:sz w:val="20"/>
          <w:szCs w:val="20"/>
        </w:rPr>
        <w:t xml:space="preserve">Hlavným dôvodom </w:t>
      </w:r>
      <w:r w:rsidR="00EB5D60">
        <w:rPr>
          <w:b/>
          <w:sz w:val="20"/>
          <w:szCs w:val="20"/>
        </w:rPr>
        <w:t>súčasnej</w:t>
      </w:r>
      <w:r w:rsidR="00891112">
        <w:rPr>
          <w:b/>
          <w:sz w:val="20"/>
          <w:szCs w:val="20"/>
        </w:rPr>
        <w:t xml:space="preserve"> úrovne </w:t>
      </w:r>
      <w:r w:rsidR="00EB5D60">
        <w:rPr>
          <w:b/>
          <w:sz w:val="20"/>
          <w:szCs w:val="20"/>
        </w:rPr>
        <w:t xml:space="preserve">dlhu </w:t>
      </w:r>
      <w:r w:rsidR="002064DB">
        <w:rPr>
          <w:b/>
          <w:sz w:val="20"/>
          <w:szCs w:val="20"/>
        </w:rPr>
        <w:t>blízko</w:t>
      </w:r>
      <w:r w:rsidR="00891112">
        <w:rPr>
          <w:b/>
          <w:sz w:val="20"/>
          <w:szCs w:val="20"/>
        </w:rPr>
        <w:t xml:space="preserve"> </w:t>
      </w:r>
      <w:r>
        <w:rPr>
          <w:b/>
          <w:sz w:val="20"/>
          <w:szCs w:val="20"/>
        </w:rPr>
        <w:t>60 % HDP</w:t>
      </w:r>
      <w:r w:rsidR="00515926">
        <w:rPr>
          <w:b/>
          <w:sz w:val="20"/>
          <w:szCs w:val="20"/>
        </w:rPr>
        <w:t xml:space="preserve"> </w:t>
      </w:r>
      <w:r w:rsidR="00E04724">
        <w:rPr>
          <w:b/>
          <w:sz w:val="20"/>
          <w:szCs w:val="20"/>
        </w:rPr>
        <w:t xml:space="preserve">je </w:t>
      </w:r>
      <w:r w:rsidR="00816536">
        <w:rPr>
          <w:b/>
          <w:sz w:val="20"/>
          <w:szCs w:val="20"/>
        </w:rPr>
        <w:t xml:space="preserve">krízový </w:t>
      </w:r>
      <w:r w:rsidR="00891112">
        <w:rPr>
          <w:b/>
          <w:sz w:val="20"/>
          <w:szCs w:val="20"/>
        </w:rPr>
        <w:t xml:space="preserve">vývoj </w:t>
      </w:r>
      <w:r w:rsidR="00122831">
        <w:rPr>
          <w:b/>
          <w:sz w:val="20"/>
          <w:szCs w:val="20"/>
        </w:rPr>
        <w:t>spojený s pandémiou</w:t>
      </w:r>
      <w:r>
        <w:rPr>
          <w:b/>
          <w:sz w:val="20"/>
          <w:szCs w:val="20"/>
        </w:rPr>
        <w:t>.</w:t>
      </w:r>
      <w:r w:rsidR="002F50A3">
        <w:rPr>
          <w:b/>
          <w:sz w:val="20"/>
          <w:szCs w:val="20"/>
        </w:rPr>
        <w:t xml:space="preserve"> </w:t>
      </w:r>
      <w:r w:rsidR="002F50A3">
        <w:rPr>
          <w:sz w:val="20"/>
          <w:szCs w:val="20"/>
        </w:rPr>
        <w:t xml:space="preserve">Slovensko vstupovalo do obdobia pandémie s hrubým dlhom 48 % HDP. </w:t>
      </w:r>
      <w:r w:rsidR="00E51106">
        <w:rPr>
          <w:sz w:val="20"/>
          <w:szCs w:val="20"/>
        </w:rPr>
        <w:t>V</w:t>
      </w:r>
      <w:r w:rsidR="00CE0CA6">
        <w:rPr>
          <w:sz w:val="20"/>
          <w:szCs w:val="20"/>
        </w:rPr>
        <w:t> priebehu nasledujúcich dvoch rokov</w:t>
      </w:r>
      <w:r w:rsidR="00E51106">
        <w:rPr>
          <w:sz w:val="20"/>
          <w:szCs w:val="20"/>
        </w:rPr>
        <w:t xml:space="preserve"> zadlženie v</w:t>
      </w:r>
      <w:r w:rsidR="00DB00BC">
        <w:rPr>
          <w:sz w:val="20"/>
          <w:szCs w:val="20"/>
        </w:rPr>
        <w:t xml:space="preserve">zrástlo </w:t>
      </w:r>
      <w:r w:rsidR="004D572E">
        <w:rPr>
          <w:sz w:val="20"/>
          <w:szCs w:val="20"/>
        </w:rPr>
        <w:t>nad 60 % HDP</w:t>
      </w:r>
      <w:r w:rsidR="00DB00BC">
        <w:rPr>
          <w:sz w:val="20"/>
          <w:szCs w:val="20"/>
        </w:rPr>
        <w:t>, čoho príčinou bol</w:t>
      </w:r>
      <w:r w:rsidR="00065826">
        <w:rPr>
          <w:sz w:val="20"/>
          <w:szCs w:val="20"/>
        </w:rPr>
        <w:t>o</w:t>
      </w:r>
      <w:r w:rsidR="00DB00BC">
        <w:rPr>
          <w:sz w:val="20"/>
          <w:szCs w:val="20"/>
        </w:rPr>
        <w:t xml:space="preserve"> </w:t>
      </w:r>
      <w:r w:rsidR="001571AE">
        <w:rPr>
          <w:sz w:val="20"/>
          <w:szCs w:val="20"/>
        </w:rPr>
        <w:t>najmä</w:t>
      </w:r>
      <w:r w:rsidR="00DC0CA7">
        <w:rPr>
          <w:sz w:val="20"/>
          <w:szCs w:val="20"/>
        </w:rPr>
        <w:t xml:space="preserve"> nepriaznivé</w:t>
      </w:r>
      <w:r w:rsidR="00DB00BC">
        <w:rPr>
          <w:sz w:val="20"/>
          <w:szCs w:val="20"/>
        </w:rPr>
        <w:t xml:space="preserve"> </w:t>
      </w:r>
      <w:r w:rsidR="00065826">
        <w:rPr>
          <w:sz w:val="20"/>
          <w:szCs w:val="20"/>
        </w:rPr>
        <w:t>hospodárenie vlády</w:t>
      </w:r>
      <w:r w:rsidR="00CE0CA6">
        <w:rPr>
          <w:sz w:val="20"/>
          <w:szCs w:val="20"/>
        </w:rPr>
        <w:t>. N</w:t>
      </w:r>
      <w:r w:rsidR="00BA510C">
        <w:rPr>
          <w:sz w:val="20"/>
          <w:szCs w:val="20"/>
        </w:rPr>
        <w:t>adpriemern</w:t>
      </w:r>
      <w:r w:rsidR="00CE0CA6">
        <w:rPr>
          <w:sz w:val="20"/>
          <w:szCs w:val="20"/>
        </w:rPr>
        <w:t>é</w:t>
      </w:r>
      <w:r w:rsidR="00BA510C">
        <w:rPr>
          <w:sz w:val="20"/>
          <w:szCs w:val="20"/>
        </w:rPr>
        <w:t xml:space="preserve"> </w:t>
      </w:r>
      <w:r w:rsidR="00CE0CA6">
        <w:rPr>
          <w:sz w:val="20"/>
          <w:szCs w:val="20"/>
        </w:rPr>
        <w:t>deficity</w:t>
      </w:r>
      <w:r w:rsidR="00BA510C">
        <w:rPr>
          <w:sz w:val="20"/>
          <w:szCs w:val="20"/>
        </w:rPr>
        <w:t xml:space="preserve"> </w:t>
      </w:r>
      <w:r w:rsidR="007150E2">
        <w:rPr>
          <w:sz w:val="20"/>
          <w:szCs w:val="20"/>
        </w:rPr>
        <w:t>boli</w:t>
      </w:r>
      <w:r w:rsidR="00242A3D">
        <w:rPr>
          <w:sz w:val="20"/>
          <w:szCs w:val="20"/>
        </w:rPr>
        <w:t xml:space="preserve"> predovšetkým </w:t>
      </w:r>
      <w:r w:rsidR="006570BB">
        <w:rPr>
          <w:sz w:val="20"/>
          <w:szCs w:val="20"/>
        </w:rPr>
        <w:t>odrazom nákladov</w:t>
      </w:r>
      <w:r w:rsidR="00CE0CA6">
        <w:rPr>
          <w:sz w:val="20"/>
          <w:szCs w:val="20"/>
        </w:rPr>
        <w:t xml:space="preserve"> </w:t>
      </w:r>
      <w:r w:rsidR="00242A3D">
        <w:rPr>
          <w:sz w:val="20"/>
          <w:szCs w:val="20"/>
        </w:rPr>
        <w:t xml:space="preserve">pandémie </w:t>
      </w:r>
      <w:r w:rsidR="009D7CB7">
        <w:rPr>
          <w:sz w:val="20"/>
          <w:szCs w:val="20"/>
        </w:rPr>
        <w:t>COVID-19</w:t>
      </w:r>
      <w:r w:rsidR="00BA510C">
        <w:rPr>
          <w:sz w:val="20"/>
          <w:szCs w:val="20"/>
        </w:rPr>
        <w:t>.</w:t>
      </w:r>
      <w:r w:rsidR="00270611">
        <w:rPr>
          <w:sz w:val="20"/>
          <w:szCs w:val="20"/>
        </w:rPr>
        <w:t xml:space="preserve"> </w:t>
      </w:r>
      <w:r w:rsidR="00262556">
        <w:rPr>
          <w:sz w:val="20"/>
          <w:szCs w:val="20"/>
        </w:rPr>
        <w:t xml:space="preserve">Pod </w:t>
      </w:r>
      <w:r w:rsidR="005D5026">
        <w:rPr>
          <w:sz w:val="20"/>
          <w:szCs w:val="20"/>
        </w:rPr>
        <w:t>nárast</w:t>
      </w:r>
      <w:r w:rsidR="0091492B">
        <w:rPr>
          <w:sz w:val="20"/>
          <w:szCs w:val="20"/>
        </w:rPr>
        <w:t xml:space="preserve"> dlhu</w:t>
      </w:r>
      <w:r w:rsidR="00262556">
        <w:rPr>
          <w:sz w:val="20"/>
          <w:szCs w:val="20"/>
        </w:rPr>
        <w:t xml:space="preserve"> sa</w:t>
      </w:r>
      <w:r w:rsidR="0091492B">
        <w:rPr>
          <w:sz w:val="20"/>
          <w:szCs w:val="20"/>
        </w:rPr>
        <w:t xml:space="preserve"> </w:t>
      </w:r>
      <w:r w:rsidR="00AE76FD">
        <w:rPr>
          <w:sz w:val="20"/>
          <w:szCs w:val="20"/>
        </w:rPr>
        <w:t xml:space="preserve">v tomto období </w:t>
      </w:r>
      <w:r w:rsidR="00262556">
        <w:rPr>
          <w:sz w:val="20"/>
          <w:szCs w:val="20"/>
        </w:rPr>
        <w:t>podpísali</w:t>
      </w:r>
      <w:r w:rsidR="0091492B">
        <w:rPr>
          <w:sz w:val="20"/>
          <w:szCs w:val="20"/>
        </w:rPr>
        <w:t xml:space="preserve"> aj </w:t>
      </w:r>
      <w:r w:rsidR="00270611">
        <w:rPr>
          <w:sz w:val="20"/>
          <w:szCs w:val="20"/>
        </w:rPr>
        <w:t xml:space="preserve">vyššie </w:t>
      </w:r>
      <w:r w:rsidR="0091492B">
        <w:rPr>
          <w:sz w:val="20"/>
          <w:szCs w:val="20"/>
        </w:rPr>
        <w:t xml:space="preserve">emisie štátnych dlhopisov nad rámec potrieb </w:t>
      </w:r>
      <w:r w:rsidR="0091492B">
        <w:rPr>
          <w:sz w:val="20"/>
          <w:szCs w:val="20"/>
        </w:rPr>
        <w:lastRenderedPageBreak/>
        <w:t xml:space="preserve">financovania štátu, </w:t>
      </w:r>
      <w:r w:rsidR="002B60B0">
        <w:rPr>
          <w:sz w:val="20"/>
          <w:szCs w:val="20"/>
        </w:rPr>
        <w:t xml:space="preserve">čo prispelo k tomu, že </w:t>
      </w:r>
      <w:r w:rsidR="00AE76FD">
        <w:rPr>
          <w:sz w:val="20"/>
          <w:szCs w:val="20"/>
        </w:rPr>
        <w:t xml:space="preserve">objem likvidných finančných aktív verejnej správy v týchto rokoch presiahol 10 % HDP a udržal sa na tejto úrovni </w:t>
      </w:r>
      <w:r w:rsidR="002C1AEC">
        <w:rPr>
          <w:sz w:val="20"/>
          <w:szCs w:val="20"/>
        </w:rPr>
        <w:t>do konca roku</w:t>
      </w:r>
      <w:r w:rsidR="00AE76FD">
        <w:rPr>
          <w:sz w:val="20"/>
          <w:szCs w:val="20"/>
        </w:rPr>
        <w:t xml:space="preserve"> 2022.</w:t>
      </w:r>
    </w:p>
    <w:p w14:paraId="74C5CF07" w14:textId="44D0B3D1" w:rsidR="001B0FF7" w:rsidRDefault="001B0FF7" w:rsidP="001B0FF7">
      <w:pPr>
        <w:keepNext/>
        <w:widowControl w:val="0"/>
        <w:spacing w:line="264" w:lineRule="auto"/>
        <w:jc w:val="both"/>
        <w:rPr>
          <w:sz w:val="20"/>
          <w:szCs w:val="20"/>
        </w:rPr>
      </w:pPr>
      <w:r w:rsidRPr="00412269">
        <w:rPr>
          <w:b/>
          <w:sz w:val="20"/>
          <w:szCs w:val="20"/>
        </w:rPr>
        <w:t>V</w:t>
      </w:r>
      <w:r w:rsidR="00D11CEE">
        <w:rPr>
          <w:b/>
          <w:sz w:val="20"/>
          <w:szCs w:val="20"/>
        </w:rPr>
        <w:t> posledných dvoch rokoch</w:t>
      </w:r>
      <w:r w:rsidRPr="00412269">
        <w:rPr>
          <w:b/>
          <w:sz w:val="20"/>
          <w:szCs w:val="20"/>
        </w:rPr>
        <w:t xml:space="preserve"> </w:t>
      </w:r>
      <w:r>
        <w:rPr>
          <w:b/>
          <w:sz w:val="20"/>
          <w:szCs w:val="20"/>
        </w:rPr>
        <w:t xml:space="preserve">hrubý dlh </w:t>
      </w:r>
      <w:r w:rsidR="005A001E">
        <w:rPr>
          <w:b/>
          <w:sz w:val="20"/>
          <w:szCs w:val="20"/>
        </w:rPr>
        <w:t>ovplyvnila energetická kríza</w:t>
      </w:r>
      <w:r w:rsidR="000761AD">
        <w:rPr>
          <w:b/>
          <w:sz w:val="20"/>
          <w:szCs w:val="20"/>
        </w:rPr>
        <w:t xml:space="preserve"> </w:t>
      </w:r>
      <w:r w:rsidR="005A001E">
        <w:rPr>
          <w:b/>
          <w:sz w:val="20"/>
          <w:szCs w:val="20"/>
        </w:rPr>
        <w:t>aj vysoká inflácia</w:t>
      </w:r>
      <w:r w:rsidRPr="00412269">
        <w:rPr>
          <w:b/>
          <w:sz w:val="20"/>
          <w:szCs w:val="20"/>
        </w:rPr>
        <w:t xml:space="preserve">. </w:t>
      </w:r>
      <w:r w:rsidR="00FC4E88">
        <w:rPr>
          <w:sz w:val="20"/>
          <w:szCs w:val="20"/>
        </w:rPr>
        <w:t xml:space="preserve">Hoci </w:t>
      </w:r>
      <w:r w:rsidR="00D002C0">
        <w:rPr>
          <w:sz w:val="20"/>
          <w:szCs w:val="20"/>
        </w:rPr>
        <w:t xml:space="preserve">nadpriemerne vysoká inflácia priniesla ešte v roku 2022 </w:t>
      </w:r>
      <w:r w:rsidR="00FC4E88">
        <w:rPr>
          <w:sz w:val="20"/>
          <w:szCs w:val="20"/>
        </w:rPr>
        <w:t xml:space="preserve">do rozpočtu </w:t>
      </w:r>
      <w:r w:rsidR="002828BC">
        <w:rPr>
          <w:sz w:val="20"/>
          <w:szCs w:val="20"/>
        </w:rPr>
        <w:t>dodatočné príjmy</w:t>
      </w:r>
      <w:r w:rsidR="00D002C0">
        <w:rPr>
          <w:rStyle w:val="Odkaznapoznmkupodiarou"/>
          <w:sz w:val="20"/>
          <w:szCs w:val="20"/>
        </w:rPr>
        <w:footnoteReference w:id="3"/>
      </w:r>
      <w:r w:rsidR="00FC4E88">
        <w:rPr>
          <w:sz w:val="20"/>
          <w:szCs w:val="20"/>
        </w:rPr>
        <w:t xml:space="preserve">, </w:t>
      </w:r>
      <w:r w:rsidR="002828BC">
        <w:rPr>
          <w:sz w:val="20"/>
          <w:szCs w:val="20"/>
        </w:rPr>
        <w:t xml:space="preserve">v roku 2023 sa </w:t>
      </w:r>
      <w:r w:rsidR="00FC4E88">
        <w:rPr>
          <w:sz w:val="20"/>
          <w:szCs w:val="20"/>
        </w:rPr>
        <w:t xml:space="preserve">s oneskorením prejavili aj </w:t>
      </w:r>
      <w:r w:rsidR="00A0132E">
        <w:rPr>
          <w:sz w:val="20"/>
          <w:szCs w:val="20"/>
        </w:rPr>
        <w:t>výdavk</w:t>
      </w:r>
      <w:r w:rsidR="00FC4E88">
        <w:rPr>
          <w:sz w:val="20"/>
          <w:szCs w:val="20"/>
        </w:rPr>
        <w:t>y</w:t>
      </w:r>
      <w:r w:rsidR="00A0132E">
        <w:rPr>
          <w:sz w:val="20"/>
          <w:szCs w:val="20"/>
        </w:rPr>
        <w:t xml:space="preserve"> kopírujúc</w:t>
      </w:r>
      <w:r w:rsidR="00FC4E88">
        <w:rPr>
          <w:sz w:val="20"/>
          <w:szCs w:val="20"/>
        </w:rPr>
        <w:t>e</w:t>
      </w:r>
      <w:r w:rsidR="00A0132E">
        <w:rPr>
          <w:sz w:val="20"/>
          <w:szCs w:val="20"/>
        </w:rPr>
        <w:t xml:space="preserve"> vývoj inflácie. </w:t>
      </w:r>
      <w:r w:rsidR="00096D76">
        <w:rPr>
          <w:sz w:val="20"/>
          <w:szCs w:val="20"/>
        </w:rPr>
        <w:t>Išlo o</w:t>
      </w:r>
      <w:r w:rsidR="00A0132E">
        <w:rPr>
          <w:sz w:val="20"/>
          <w:szCs w:val="20"/>
        </w:rPr>
        <w:t xml:space="preserve"> mimoriadn</w:t>
      </w:r>
      <w:r w:rsidR="00096D76">
        <w:rPr>
          <w:sz w:val="20"/>
          <w:szCs w:val="20"/>
        </w:rPr>
        <w:t>u</w:t>
      </w:r>
      <w:r w:rsidR="00A0132E">
        <w:rPr>
          <w:sz w:val="20"/>
          <w:szCs w:val="20"/>
        </w:rPr>
        <w:t xml:space="preserve"> valorizáci</w:t>
      </w:r>
      <w:r w:rsidR="00096D76">
        <w:rPr>
          <w:sz w:val="20"/>
          <w:szCs w:val="20"/>
        </w:rPr>
        <w:t>u</w:t>
      </w:r>
      <w:r w:rsidR="00A0132E">
        <w:rPr>
          <w:sz w:val="20"/>
          <w:szCs w:val="20"/>
        </w:rPr>
        <w:t xml:space="preserve"> dôchodkov, </w:t>
      </w:r>
      <w:r w:rsidR="004741AE">
        <w:rPr>
          <w:sz w:val="20"/>
          <w:szCs w:val="20"/>
        </w:rPr>
        <w:t>rast miezd v zdravotníctve a verejnej správe,</w:t>
      </w:r>
      <w:r w:rsidR="004741AE" w:rsidRPr="004741AE">
        <w:rPr>
          <w:sz w:val="20"/>
          <w:szCs w:val="20"/>
        </w:rPr>
        <w:t xml:space="preserve"> </w:t>
      </w:r>
      <w:r w:rsidR="004741AE">
        <w:rPr>
          <w:sz w:val="20"/>
          <w:szCs w:val="20"/>
        </w:rPr>
        <w:t xml:space="preserve">nábeh výdavkov súvisiacich s rodinnou a sociálnou politikou (zvýšenie daňového bonusu na dieťa, detských prídavkov, obedy zadarmo, či rodičovský dôchodok), či </w:t>
      </w:r>
      <w:r w:rsidR="00A0132E">
        <w:rPr>
          <w:sz w:val="20"/>
          <w:szCs w:val="20"/>
        </w:rPr>
        <w:t xml:space="preserve">vyplatenie náhradného 13. dôchodku. </w:t>
      </w:r>
      <w:r w:rsidR="00122831">
        <w:rPr>
          <w:sz w:val="20"/>
          <w:szCs w:val="20"/>
        </w:rPr>
        <w:t xml:space="preserve">Deficit v 2023 výrazne ovplyvnili aj opatrenia vlády počas energetickej krízy. </w:t>
      </w:r>
      <w:r>
        <w:rPr>
          <w:sz w:val="20"/>
          <w:szCs w:val="20"/>
        </w:rPr>
        <w:t xml:space="preserve">Napriek </w:t>
      </w:r>
      <w:r w:rsidR="008B67F4">
        <w:rPr>
          <w:sz w:val="20"/>
          <w:szCs w:val="20"/>
        </w:rPr>
        <w:t xml:space="preserve">deficitom 1,7 % HDP v 2022 a 4,9 % HDP v 2023 </w:t>
      </w:r>
      <w:r w:rsidR="00F267BB">
        <w:rPr>
          <w:sz w:val="20"/>
          <w:szCs w:val="20"/>
        </w:rPr>
        <w:t xml:space="preserve">sa </w:t>
      </w:r>
      <w:r>
        <w:rPr>
          <w:sz w:val="20"/>
          <w:szCs w:val="20"/>
        </w:rPr>
        <w:t>hrubý dlh v pomere k</w:t>
      </w:r>
      <w:r w:rsidR="00AB552E">
        <w:rPr>
          <w:sz w:val="20"/>
          <w:szCs w:val="20"/>
        </w:rPr>
        <w:t> </w:t>
      </w:r>
      <w:r>
        <w:rPr>
          <w:sz w:val="20"/>
          <w:szCs w:val="20"/>
        </w:rPr>
        <w:t>HDP</w:t>
      </w:r>
      <w:r w:rsidR="00AB552E">
        <w:rPr>
          <w:sz w:val="20"/>
          <w:szCs w:val="20"/>
        </w:rPr>
        <w:t xml:space="preserve"> </w:t>
      </w:r>
      <w:r w:rsidR="008B67F4">
        <w:rPr>
          <w:sz w:val="20"/>
          <w:szCs w:val="20"/>
        </w:rPr>
        <w:t>v priebehu dvoch rokov znížil o 5 p. b. na 56 % HDP</w:t>
      </w:r>
      <w:r>
        <w:rPr>
          <w:sz w:val="20"/>
          <w:szCs w:val="20"/>
        </w:rPr>
        <w:t>. Hlavným zdrojom</w:t>
      </w:r>
      <w:r w:rsidR="00D752D2">
        <w:rPr>
          <w:sz w:val="20"/>
          <w:szCs w:val="20"/>
        </w:rPr>
        <w:t xml:space="preserve"> </w:t>
      </w:r>
      <w:r w:rsidR="00122831">
        <w:rPr>
          <w:sz w:val="20"/>
          <w:szCs w:val="20"/>
        </w:rPr>
        <w:t xml:space="preserve">tohto </w:t>
      </w:r>
      <w:r>
        <w:rPr>
          <w:sz w:val="20"/>
          <w:szCs w:val="20"/>
        </w:rPr>
        <w:t xml:space="preserve">pozitívneho vývoja </w:t>
      </w:r>
      <w:r w:rsidR="00D752D2">
        <w:rPr>
          <w:sz w:val="20"/>
          <w:szCs w:val="20"/>
        </w:rPr>
        <w:t xml:space="preserve">bolo </w:t>
      </w:r>
      <w:r>
        <w:rPr>
          <w:sz w:val="20"/>
          <w:szCs w:val="20"/>
        </w:rPr>
        <w:t xml:space="preserve">nominálne HDP ovplyvnené </w:t>
      </w:r>
      <w:r w:rsidR="00D752D2">
        <w:rPr>
          <w:sz w:val="20"/>
          <w:szCs w:val="20"/>
        </w:rPr>
        <w:t xml:space="preserve">v priemere </w:t>
      </w:r>
      <w:r>
        <w:rPr>
          <w:sz w:val="20"/>
          <w:szCs w:val="20"/>
        </w:rPr>
        <w:t xml:space="preserve">takmer </w:t>
      </w:r>
      <w:r w:rsidR="00D752D2">
        <w:rPr>
          <w:sz w:val="20"/>
          <w:szCs w:val="20"/>
        </w:rPr>
        <w:t>9</w:t>
      </w:r>
      <w:r>
        <w:rPr>
          <w:sz w:val="20"/>
          <w:szCs w:val="20"/>
        </w:rPr>
        <w:t xml:space="preserve"> %</w:t>
      </w:r>
      <w:r w:rsidR="00C81B4E">
        <w:rPr>
          <w:sz w:val="20"/>
          <w:szCs w:val="20"/>
        </w:rPr>
        <w:t>-nou</w:t>
      </w:r>
      <w:r>
        <w:rPr>
          <w:sz w:val="20"/>
          <w:szCs w:val="20"/>
        </w:rPr>
        <w:t xml:space="preserve"> infláciou, ktoré </w:t>
      </w:r>
      <w:r w:rsidR="00F267BB">
        <w:rPr>
          <w:sz w:val="20"/>
          <w:szCs w:val="20"/>
        </w:rPr>
        <w:t>dlh pomerovo zn</w:t>
      </w:r>
      <w:r w:rsidR="00D752D2">
        <w:rPr>
          <w:sz w:val="20"/>
          <w:szCs w:val="20"/>
        </w:rPr>
        <w:t>ižovalo</w:t>
      </w:r>
      <w:r w:rsidR="00F267BB">
        <w:rPr>
          <w:sz w:val="20"/>
          <w:szCs w:val="20"/>
        </w:rPr>
        <w:t xml:space="preserve"> cez </w:t>
      </w:r>
      <w:r>
        <w:rPr>
          <w:sz w:val="20"/>
          <w:szCs w:val="20"/>
        </w:rPr>
        <w:t>efekt menovateľa</w:t>
      </w:r>
      <w:r w:rsidR="00111E35">
        <w:rPr>
          <w:sz w:val="20"/>
          <w:szCs w:val="20"/>
        </w:rPr>
        <w:t xml:space="preserve"> a</w:t>
      </w:r>
      <w:r w:rsidR="00A95079">
        <w:rPr>
          <w:sz w:val="20"/>
          <w:szCs w:val="20"/>
        </w:rPr>
        <w:t xml:space="preserve"> plne </w:t>
      </w:r>
      <w:r w:rsidR="00111E35">
        <w:rPr>
          <w:sz w:val="20"/>
          <w:szCs w:val="20"/>
        </w:rPr>
        <w:t>vykompenzovalo deficitné hospodárenie verejnej správy</w:t>
      </w:r>
      <w:r w:rsidR="005918C1">
        <w:rPr>
          <w:sz w:val="20"/>
          <w:szCs w:val="20"/>
        </w:rPr>
        <w:t>.</w:t>
      </w:r>
      <w:r>
        <w:rPr>
          <w:sz w:val="20"/>
          <w:szCs w:val="20"/>
        </w:rPr>
        <w:t xml:space="preserve"> </w:t>
      </w:r>
      <w:r w:rsidR="00F267BB">
        <w:rPr>
          <w:sz w:val="20"/>
          <w:szCs w:val="20"/>
        </w:rPr>
        <w:t xml:space="preserve">K poklesu dlhu </w:t>
      </w:r>
      <w:r w:rsidR="00D752D2">
        <w:rPr>
          <w:sz w:val="20"/>
          <w:szCs w:val="20"/>
        </w:rPr>
        <w:t>osobitne v minulom roku pomohlo</w:t>
      </w:r>
      <w:r>
        <w:rPr>
          <w:sz w:val="20"/>
          <w:szCs w:val="20"/>
        </w:rPr>
        <w:t xml:space="preserve"> aj využitie časti likvidných finančných aktív štátu na úkor nových emisií dlhopisov</w:t>
      </w:r>
      <w:r w:rsidR="000C4477">
        <w:rPr>
          <w:sz w:val="20"/>
          <w:szCs w:val="20"/>
        </w:rPr>
        <w:t>.</w:t>
      </w:r>
      <w:r>
        <w:rPr>
          <w:sz w:val="20"/>
          <w:szCs w:val="20"/>
        </w:rPr>
        <w:t xml:space="preserve"> Podľa prognózy MF SR </w:t>
      </w:r>
      <w:r w:rsidR="00D752D2">
        <w:rPr>
          <w:sz w:val="20"/>
          <w:szCs w:val="20"/>
        </w:rPr>
        <w:t xml:space="preserve">bol </w:t>
      </w:r>
      <w:r>
        <w:rPr>
          <w:sz w:val="20"/>
          <w:szCs w:val="20"/>
        </w:rPr>
        <w:t>rok 2023 posledným</w:t>
      </w:r>
      <w:r w:rsidR="00D43505">
        <w:rPr>
          <w:sz w:val="20"/>
          <w:szCs w:val="20"/>
        </w:rPr>
        <w:t xml:space="preserve">, v ktorom dlh </w:t>
      </w:r>
      <w:r w:rsidR="007C20EF">
        <w:rPr>
          <w:sz w:val="20"/>
          <w:szCs w:val="20"/>
        </w:rPr>
        <w:t xml:space="preserve">z vyššie uvedených dôvodov </w:t>
      </w:r>
      <w:r w:rsidR="00D43505">
        <w:rPr>
          <w:sz w:val="20"/>
          <w:szCs w:val="20"/>
        </w:rPr>
        <w:t>v pomere k veľkosti</w:t>
      </w:r>
      <w:r>
        <w:rPr>
          <w:sz w:val="20"/>
          <w:szCs w:val="20"/>
        </w:rPr>
        <w:t xml:space="preserve"> ekonomiky</w:t>
      </w:r>
      <w:r w:rsidR="00D752D2">
        <w:rPr>
          <w:sz w:val="20"/>
          <w:szCs w:val="20"/>
        </w:rPr>
        <w:t xml:space="preserve"> ešte</w:t>
      </w:r>
      <w:r>
        <w:rPr>
          <w:sz w:val="20"/>
          <w:szCs w:val="20"/>
        </w:rPr>
        <w:t xml:space="preserve"> kles</w:t>
      </w:r>
      <w:r w:rsidR="00D752D2">
        <w:rPr>
          <w:sz w:val="20"/>
          <w:szCs w:val="20"/>
        </w:rPr>
        <w:t>al</w:t>
      </w:r>
      <w:r>
        <w:rPr>
          <w:sz w:val="20"/>
          <w:szCs w:val="20"/>
        </w:rPr>
        <w:t>.</w:t>
      </w:r>
    </w:p>
    <w:p w14:paraId="58273E24" w14:textId="42D92FB8" w:rsidR="00C05367" w:rsidRDefault="00C05367" w:rsidP="00745EC6">
      <w:pPr>
        <w:keepNext/>
        <w:widowControl w:val="0"/>
        <w:spacing w:line="264" w:lineRule="auto"/>
        <w:jc w:val="both"/>
        <w:rPr>
          <w:b/>
          <w:sz w:val="20"/>
          <w:szCs w:val="20"/>
        </w:rPr>
      </w:pPr>
      <w:r>
        <w:rPr>
          <w:b/>
          <w:color w:val="2C9ADC"/>
          <w:sz w:val="20"/>
          <w:szCs w:val="20"/>
        </w:rPr>
        <w:t xml:space="preserve">Očakávaný vývoj zadlženia </w:t>
      </w:r>
      <w:r w:rsidR="001D0B6A">
        <w:rPr>
          <w:b/>
          <w:color w:val="2C9ADC"/>
          <w:sz w:val="20"/>
          <w:szCs w:val="20"/>
        </w:rPr>
        <w:t>do konca volebného obdobia</w:t>
      </w:r>
    </w:p>
    <w:p w14:paraId="44D460E7" w14:textId="404DBF94" w:rsidR="008951DC" w:rsidRDefault="00A52222" w:rsidP="00EA0DF2">
      <w:pPr>
        <w:keepNext/>
        <w:widowControl w:val="0"/>
        <w:spacing w:line="264" w:lineRule="auto"/>
        <w:jc w:val="both"/>
        <w:rPr>
          <w:sz w:val="20"/>
          <w:szCs w:val="20"/>
        </w:rPr>
      </w:pPr>
      <w:r>
        <w:rPr>
          <w:b/>
          <w:sz w:val="20"/>
          <w:szCs w:val="20"/>
        </w:rPr>
        <w:t>Od a</w:t>
      </w:r>
      <w:r w:rsidR="00354B37">
        <w:rPr>
          <w:b/>
          <w:sz w:val="20"/>
          <w:szCs w:val="20"/>
        </w:rPr>
        <w:t>ktuáln</w:t>
      </w:r>
      <w:r>
        <w:rPr>
          <w:b/>
          <w:sz w:val="20"/>
          <w:szCs w:val="20"/>
        </w:rPr>
        <w:t>eho</w:t>
      </w:r>
      <w:r w:rsidR="00354B37">
        <w:rPr>
          <w:b/>
          <w:sz w:val="20"/>
          <w:szCs w:val="20"/>
        </w:rPr>
        <w:t xml:space="preserve"> rok</w:t>
      </w:r>
      <w:r>
        <w:rPr>
          <w:b/>
          <w:sz w:val="20"/>
          <w:szCs w:val="20"/>
        </w:rPr>
        <w:t>a</w:t>
      </w:r>
      <w:r w:rsidR="00FE5C3D" w:rsidRPr="00985573">
        <w:rPr>
          <w:b/>
          <w:sz w:val="20"/>
          <w:szCs w:val="20"/>
        </w:rPr>
        <w:t xml:space="preserve"> sa </w:t>
      </w:r>
      <w:r>
        <w:rPr>
          <w:b/>
          <w:sz w:val="20"/>
          <w:szCs w:val="20"/>
        </w:rPr>
        <w:t xml:space="preserve">krátkodobý pokles dlhu zastaví </w:t>
      </w:r>
      <w:r w:rsidR="00FE5C3D" w:rsidRPr="00985573">
        <w:rPr>
          <w:b/>
          <w:sz w:val="20"/>
          <w:szCs w:val="20"/>
        </w:rPr>
        <w:t xml:space="preserve">a dlh </w:t>
      </w:r>
      <w:r w:rsidR="000878B5">
        <w:rPr>
          <w:b/>
          <w:sz w:val="20"/>
          <w:szCs w:val="20"/>
        </w:rPr>
        <w:t xml:space="preserve">by </w:t>
      </w:r>
      <w:r>
        <w:rPr>
          <w:b/>
          <w:sz w:val="20"/>
          <w:szCs w:val="20"/>
        </w:rPr>
        <w:t>bez reakcie vlády ďalej rástol pod vplyvom neklesajúceho deficitu</w:t>
      </w:r>
      <w:r w:rsidR="00AF4096">
        <w:rPr>
          <w:b/>
          <w:sz w:val="20"/>
          <w:szCs w:val="20"/>
        </w:rPr>
        <w:t xml:space="preserve"> a</w:t>
      </w:r>
      <w:r>
        <w:rPr>
          <w:b/>
          <w:sz w:val="20"/>
          <w:szCs w:val="20"/>
        </w:rPr>
        <w:t xml:space="preserve"> </w:t>
      </w:r>
      <w:r w:rsidR="00C43EB7">
        <w:rPr>
          <w:b/>
          <w:sz w:val="20"/>
          <w:szCs w:val="20"/>
        </w:rPr>
        <w:t>ustupujúcej infláci</w:t>
      </w:r>
      <w:r w:rsidR="00501D88">
        <w:rPr>
          <w:b/>
          <w:sz w:val="20"/>
          <w:szCs w:val="20"/>
        </w:rPr>
        <w:t>e</w:t>
      </w:r>
      <w:r w:rsidR="00FE5C3D" w:rsidRPr="00985573">
        <w:rPr>
          <w:b/>
          <w:sz w:val="20"/>
          <w:szCs w:val="20"/>
        </w:rPr>
        <w:t>.</w:t>
      </w:r>
      <w:r w:rsidR="00985573">
        <w:rPr>
          <w:sz w:val="20"/>
          <w:szCs w:val="20"/>
        </w:rPr>
        <w:t xml:space="preserve"> </w:t>
      </w:r>
      <w:r w:rsidR="00E656CE">
        <w:rPr>
          <w:sz w:val="20"/>
          <w:szCs w:val="20"/>
        </w:rPr>
        <w:t xml:space="preserve">V roku 2024 už dlh nastúpi na </w:t>
      </w:r>
      <w:r w:rsidR="007C20EF">
        <w:rPr>
          <w:sz w:val="20"/>
          <w:szCs w:val="20"/>
        </w:rPr>
        <w:t xml:space="preserve">mierne </w:t>
      </w:r>
      <w:r w:rsidR="00E656CE">
        <w:rPr>
          <w:sz w:val="20"/>
          <w:szCs w:val="20"/>
        </w:rPr>
        <w:t>rastúcu trajektóriu.</w:t>
      </w:r>
      <w:r w:rsidR="009D47FB">
        <w:rPr>
          <w:sz w:val="20"/>
          <w:szCs w:val="20"/>
        </w:rPr>
        <w:t xml:space="preserve"> Dôvodom </w:t>
      </w:r>
      <w:r w:rsidR="00287EB8">
        <w:rPr>
          <w:sz w:val="20"/>
          <w:szCs w:val="20"/>
        </w:rPr>
        <w:t>sú</w:t>
      </w:r>
      <w:r w:rsidR="0090630A">
        <w:rPr>
          <w:sz w:val="20"/>
          <w:szCs w:val="20"/>
        </w:rPr>
        <w:t xml:space="preserve"> </w:t>
      </w:r>
      <w:r w:rsidR="00674E3D">
        <w:rPr>
          <w:sz w:val="20"/>
          <w:szCs w:val="20"/>
        </w:rPr>
        <w:t>vysok</w:t>
      </w:r>
      <w:r w:rsidR="00287EB8">
        <w:rPr>
          <w:sz w:val="20"/>
          <w:szCs w:val="20"/>
        </w:rPr>
        <w:t>é</w:t>
      </w:r>
      <w:r w:rsidR="00674E3D">
        <w:rPr>
          <w:sz w:val="20"/>
          <w:szCs w:val="20"/>
        </w:rPr>
        <w:t xml:space="preserve"> </w:t>
      </w:r>
      <w:r w:rsidR="00287EB8">
        <w:rPr>
          <w:sz w:val="20"/>
          <w:szCs w:val="20"/>
        </w:rPr>
        <w:t>úrovne</w:t>
      </w:r>
      <w:r w:rsidR="00B037B6">
        <w:rPr>
          <w:sz w:val="20"/>
          <w:szCs w:val="20"/>
        </w:rPr>
        <w:t xml:space="preserve"> deficit</w:t>
      </w:r>
      <w:r w:rsidR="00287EB8">
        <w:rPr>
          <w:sz w:val="20"/>
          <w:szCs w:val="20"/>
        </w:rPr>
        <w:t>ov</w:t>
      </w:r>
      <w:r w:rsidR="009D47FB">
        <w:rPr>
          <w:sz w:val="20"/>
          <w:szCs w:val="20"/>
        </w:rPr>
        <w:t>, ktor</w:t>
      </w:r>
      <w:r w:rsidR="00FA535C">
        <w:rPr>
          <w:sz w:val="20"/>
          <w:szCs w:val="20"/>
        </w:rPr>
        <w:t>é</w:t>
      </w:r>
      <w:r w:rsidR="00674E3D">
        <w:rPr>
          <w:sz w:val="20"/>
          <w:szCs w:val="20"/>
        </w:rPr>
        <w:t xml:space="preserve"> </w:t>
      </w:r>
      <w:r w:rsidR="009D47FB">
        <w:rPr>
          <w:sz w:val="20"/>
          <w:szCs w:val="20"/>
        </w:rPr>
        <w:t xml:space="preserve">už </w:t>
      </w:r>
      <w:r w:rsidR="00D75950">
        <w:rPr>
          <w:sz w:val="20"/>
          <w:szCs w:val="20"/>
        </w:rPr>
        <w:t xml:space="preserve">nebude schopný </w:t>
      </w:r>
      <w:r w:rsidR="00F96EDE">
        <w:rPr>
          <w:sz w:val="20"/>
          <w:szCs w:val="20"/>
        </w:rPr>
        <w:t>kompenzovať</w:t>
      </w:r>
      <w:r w:rsidR="0090630A">
        <w:rPr>
          <w:sz w:val="20"/>
          <w:szCs w:val="20"/>
        </w:rPr>
        <w:t xml:space="preserve"> </w:t>
      </w:r>
      <w:r w:rsidR="002E249A">
        <w:rPr>
          <w:sz w:val="20"/>
          <w:szCs w:val="20"/>
        </w:rPr>
        <w:t xml:space="preserve">spomaľujúci sa </w:t>
      </w:r>
      <w:r w:rsidR="00674E3D">
        <w:rPr>
          <w:sz w:val="20"/>
          <w:szCs w:val="20"/>
        </w:rPr>
        <w:t>nominálny rast ekonomiky</w:t>
      </w:r>
      <w:r w:rsidR="00B037B6">
        <w:rPr>
          <w:sz w:val="20"/>
          <w:szCs w:val="20"/>
        </w:rPr>
        <w:t xml:space="preserve"> </w:t>
      </w:r>
      <w:r w:rsidR="00D75950">
        <w:rPr>
          <w:sz w:val="20"/>
          <w:szCs w:val="20"/>
        </w:rPr>
        <w:t>s</w:t>
      </w:r>
      <w:r w:rsidR="00AF2AC0">
        <w:rPr>
          <w:sz w:val="20"/>
          <w:szCs w:val="20"/>
        </w:rPr>
        <w:t> klesajúcou infláciou</w:t>
      </w:r>
      <w:r w:rsidR="00D47D19">
        <w:rPr>
          <w:sz w:val="20"/>
          <w:szCs w:val="20"/>
        </w:rPr>
        <w:t xml:space="preserve"> (</w:t>
      </w:r>
      <w:r w:rsidR="00D47D19">
        <w:rPr>
          <w:b/>
          <w:color w:val="2C9ADC" w:themeColor="accent1"/>
          <w:sz w:val="20"/>
          <w:szCs w:val="20"/>
        </w:rPr>
        <w:t>GRAF 4</w:t>
      </w:r>
      <w:r w:rsidR="00D47D19">
        <w:rPr>
          <w:sz w:val="20"/>
          <w:szCs w:val="20"/>
        </w:rPr>
        <w:t>)</w:t>
      </w:r>
      <w:r w:rsidR="00DC0CA7">
        <w:rPr>
          <w:sz w:val="20"/>
          <w:szCs w:val="20"/>
        </w:rPr>
        <w:t>.</w:t>
      </w:r>
      <w:r w:rsidR="00AF2AC0">
        <w:rPr>
          <w:sz w:val="20"/>
          <w:szCs w:val="20"/>
        </w:rPr>
        <w:t xml:space="preserve"> Na deficit budú navyše vplývať rastúce náklady na obsluhu dlhu, plánované zvýšenie výdavkov na obranu a očakávaný pomalší rast príjmov. </w:t>
      </w:r>
      <w:r w:rsidR="00392F79">
        <w:rPr>
          <w:sz w:val="20"/>
          <w:szCs w:val="20"/>
        </w:rPr>
        <w:t xml:space="preserve">Postupným poklesom likvidných finančných </w:t>
      </w:r>
      <w:r w:rsidR="00DA1237">
        <w:rPr>
          <w:sz w:val="20"/>
          <w:szCs w:val="20"/>
        </w:rPr>
        <w:t xml:space="preserve">aktív na horizonte rozpočtu </w:t>
      </w:r>
      <w:r w:rsidR="00392F79">
        <w:rPr>
          <w:sz w:val="20"/>
          <w:szCs w:val="20"/>
        </w:rPr>
        <w:t>bližšie k priemernej úrovni spred pandémie</w:t>
      </w:r>
      <w:r w:rsidR="00DA1237">
        <w:rPr>
          <w:sz w:val="20"/>
          <w:szCs w:val="20"/>
        </w:rPr>
        <w:t xml:space="preserve"> (5 % HDP)</w:t>
      </w:r>
      <w:r w:rsidR="00392F79">
        <w:rPr>
          <w:sz w:val="20"/>
          <w:szCs w:val="20"/>
        </w:rPr>
        <w:t xml:space="preserve"> sa už nepredpokladá výraznejší vplyv na dlh verejnej správy.</w:t>
      </w:r>
    </w:p>
    <w:tbl>
      <w:tblPr>
        <w:tblpPr w:leftFromText="141" w:rightFromText="141" w:vertAnchor="text" w:horzAnchor="margin" w:tblpY="61"/>
        <w:tblOverlap w:val="never"/>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1E0" w:firstRow="1" w:lastRow="1" w:firstColumn="1" w:lastColumn="1" w:noHBand="0" w:noVBand="0"/>
      </w:tblPr>
      <w:tblGrid>
        <w:gridCol w:w="4637"/>
        <w:gridCol w:w="146"/>
        <w:gridCol w:w="4289"/>
      </w:tblGrid>
      <w:tr w:rsidR="00500C03" w:rsidRPr="00EE4084" w14:paraId="19E9BD8D" w14:textId="77777777" w:rsidTr="00FD5C1A">
        <w:trPr>
          <w:trHeight w:val="339"/>
        </w:trPr>
        <w:tc>
          <w:tcPr>
            <w:tcW w:w="2556" w:type="pct"/>
            <w:tcBorders>
              <w:top w:val="nil"/>
              <w:left w:val="nil"/>
              <w:bottom w:val="single" w:sz="4" w:space="0" w:color="auto"/>
              <w:right w:val="nil"/>
            </w:tcBorders>
            <w:shd w:val="clear" w:color="auto" w:fill="auto"/>
          </w:tcPr>
          <w:p w14:paraId="4AFA9D08" w14:textId="7B549258" w:rsidR="00A256A2" w:rsidRPr="00E96AF2" w:rsidRDefault="00A256A2" w:rsidP="00DD7B52">
            <w:pPr>
              <w:widowControl w:val="0"/>
              <w:spacing w:before="40" w:after="40"/>
              <w:jc w:val="both"/>
              <w:rPr>
                <w:rFonts w:eastAsia="NeueHaasGroteskText W02" w:cs="Arial"/>
                <w:b/>
                <w:bCs/>
                <w:color w:val="2C9ADC"/>
                <w:sz w:val="20"/>
                <w:szCs w:val="20"/>
                <w:u w:color="2C9ADC"/>
              </w:rPr>
            </w:pPr>
            <w:bookmarkStart w:id="4" w:name="_Toc152932877"/>
            <w:r w:rsidRPr="00E96AF2">
              <w:rPr>
                <w:rFonts w:cs="Arial Narrow"/>
                <w:b/>
                <w:bCs/>
                <w:color w:val="2C9ADC"/>
                <w:sz w:val="20"/>
                <w:szCs w:val="20"/>
              </w:rPr>
              <w:t xml:space="preserve">GRAF </w:t>
            </w:r>
            <w:r w:rsidR="00944C7E">
              <w:rPr>
                <w:b/>
                <w:color w:val="2C9ADC"/>
                <w:sz w:val="20"/>
                <w:szCs w:val="20"/>
              </w:rPr>
              <w:t>4</w:t>
            </w:r>
            <w:r w:rsidRPr="00E96AF2">
              <w:rPr>
                <w:b/>
                <w:color w:val="2C9ADC"/>
                <w:sz w:val="20"/>
                <w:szCs w:val="20"/>
              </w:rPr>
              <w:t xml:space="preserve"> –</w:t>
            </w:r>
            <w:r w:rsidRPr="00E96AF2">
              <w:rPr>
                <w:rFonts w:eastAsia="NeueHaasGroteskText W02" w:cs="Arial"/>
                <w:b/>
                <w:bCs/>
                <w:color w:val="2C9ADC"/>
                <w:sz w:val="20"/>
                <w:szCs w:val="20"/>
                <w:u w:color="2C9ADC"/>
              </w:rPr>
              <w:t> </w:t>
            </w:r>
            <w:r w:rsidR="00CB37E4">
              <w:rPr>
                <w:rFonts w:eastAsia="NeueHaasGroteskText W02" w:cs="Arial"/>
                <w:b/>
                <w:bCs/>
                <w:color w:val="2C9ADC"/>
                <w:sz w:val="20"/>
                <w:szCs w:val="20"/>
                <w:u w:color="2C9ADC"/>
              </w:rPr>
              <w:t>P</w:t>
            </w:r>
            <w:r w:rsidR="00500C03">
              <w:rPr>
                <w:rFonts w:eastAsia="NeueHaasGroteskText W02" w:cs="Arial"/>
                <w:b/>
                <w:bCs/>
                <w:color w:val="2C9ADC"/>
                <w:sz w:val="20"/>
                <w:szCs w:val="20"/>
                <w:u w:color="2C9ADC"/>
              </w:rPr>
              <w:t>ríspevky k</w:t>
            </w:r>
            <w:r w:rsidR="00CB37E4">
              <w:rPr>
                <w:rFonts w:eastAsia="NeueHaasGroteskText W02" w:cs="Arial"/>
                <w:b/>
                <w:bCs/>
                <w:color w:val="2C9ADC"/>
                <w:sz w:val="20"/>
                <w:szCs w:val="20"/>
                <w:u w:color="2C9ADC"/>
              </w:rPr>
              <w:t> </w:t>
            </w:r>
            <w:r w:rsidR="00500C03">
              <w:rPr>
                <w:rFonts w:eastAsia="NeueHaasGroteskText W02" w:cs="Arial"/>
                <w:b/>
                <w:bCs/>
                <w:color w:val="2C9ADC"/>
                <w:sz w:val="20"/>
                <w:szCs w:val="20"/>
                <w:u w:color="2C9ADC"/>
              </w:rPr>
              <w:t>zmene</w:t>
            </w:r>
            <w:r w:rsidR="00CB37E4">
              <w:rPr>
                <w:rFonts w:eastAsia="NeueHaasGroteskText W02" w:cs="Arial"/>
                <w:b/>
                <w:bCs/>
                <w:color w:val="2C9ADC"/>
                <w:sz w:val="20"/>
                <w:szCs w:val="20"/>
                <w:u w:color="2C9ADC"/>
              </w:rPr>
              <w:t xml:space="preserve"> hrubého dlhu </w:t>
            </w:r>
            <w:r w:rsidR="006A2A5E">
              <w:rPr>
                <w:rFonts w:eastAsia="NeueHaasGroteskText W02" w:cs="Arial"/>
                <w:b/>
                <w:bCs/>
                <w:color w:val="2C9ADC"/>
                <w:sz w:val="20"/>
                <w:szCs w:val="20"/>
                <w:u w:color="2C9ADC"/>
              </w:rPr>
              <w:t xml:space="preserve">pri </w:t>
            </w:r>
            <w:r w:rsidR="00DD7B52">
              <w:rPr>
                <w:rFonts w:eastAsia="NeueHaasGroteskText W02" w:cs="Arial"/>
                <w:b/>
                <w:bCs/>
                <w:color w:val="2C9ADC"/>
                <w:sz w:val="20"/>
                <w:szCs w:val="20"/>
                <w:u w:color="2C9ADC"/>
              </w:rPr>
              <w:t>splnení</w:t>
            </w:r>
            <w:r w:rsidR="006A2A5E">
              <w:rPr>
                <w:rFonts w:eastAsia="NeueHaasGroteskText W02" w:cs="Arial"/>
                <w:b/>
                <w:bCs/>
                <w:color w:val="2C9ADC"/>
                <w:sz w:val="20"/>
                <w:szCs w:val="20"/>
                <w:u w:color="2C9ADC"/>
              </w:rPr>
              <w:t xml:space="preserve"> rozpočtových cieľov deficitov</w:t>
            </w:r>
            <w:r w:rsidRPr="00E96AF2">
              <w:rPr>
                <w:rFonts w:eastAsia="NeueHaasGroteskText W02" w:cs="Arial"/>
                <w:b/>
                <w:bCs/>
                <w:color w:val="2C9ADC"/>
                <w:sz w:val="20"/>
                <w:szCs w:val="20"/>
                <w:u w:color="2C9ADC"/>
              </w:rPr>
              <w:t xml:space="preserve"> (% HDP)</w:t>
            </w:r>
            <w:bookmarkEnd w:id="4"/>
          </w:p>
        </w:tc>
        <w:tc>
          <w:tcPr>
            <w:tcW w:w="80" w:type="pct"/>
            <w:tcBorders>
              <w:top w:val="nil"/>
              <w:left w:val="nil"/>
              <w:bottom w:val="nil"/>
              <w:right w:val="nil"/>
            </w:tcBorders>
            <w:shd w:val="clear" w:color="auto" w:fill="auto"/>
          </w:tcPr>
          <w:p w14:paraId="0B6725B5" w14:textId="77777777" w:rsidR="00A256A2" w:rsidRPr="00E96AF2" w:rsidRDefault="00A256A2" w:rsidP="00626AD4">
            <w:pPr>
              <w:widowControl w:val="0"/>
              <w:spacing w:before="60" w:after="60"/>
              <w:rPr>
                <w:rFonts w:cs="Arial"/>
                <w:b/>
                <w:color w:val="2C9ADC"/>
                <w:sz w:val="20"/>
                <w:szCs w:val="20"/>
              </w:rPr>
            </w:pPr>
          </w:p>
        </w:tc>
        <w:tc>
          <w:tcPr>
            <w:tcW w:w="2364" w:type="pct"/>
            <w:tcBorders>
              <w:top w:val="nil"/>
              <w:left w:val="nil"/>
              <w:bottom w:val="single" w:sz="4" w:space="0" w:color="auto"/>
              <w:right w:val="nil"/>
            </w:tcBorders>
            <w:shd w:val="clear" w:color="auto" w:fill="auto"/>
          </w:tcPr>
          <w:p w14:paraId="0F1E5684" w14:textId="342809D5" w:rsidR="00A256A2" w:rsidRPr="00E96AF2" w:rsidRDefault="00A256A2" w:rsidP="00F474F6">
            <w:pPr>
              <w:widowControl w:val="0"/>
              <w:spacing w:before="40" w:after="40"/>
              <w:jc w:val="both"/>
              <w:rPr>
                <w:b/>
                <w:color w:val="2C9ADC"/>
                <w:sz w:val="20"/>
                <w:szCs w:val="20"/>
              </w:rPr>
            </w:pPr>
            <w:bookmarkStart w:id="5" w:name="_Toc152932878"/>
            <w:r w:rsidRPr="00292159">
              <w:rPr>
                <w:b/>
                <w:color w:val="2C9ADC"/>
                <w:sz w:val="20"/>
                <w:szCs w:val="20"/>
              </w:rPr>
              <w:t xml:space="preserve">GRAF </w:t>
            </w:r>
            <w:r w:rsidR="00944C7E" w:rsidRPr="00292159">
              <w:rPr>
                <w:b/>
                <w:color w:val="2C9ADC"/>
                <w:sz w:val="20"/>
                <w:szCs w:val="20"/>
              </w:rPr>
              <w:t>5</w:t>
            </w:r>
            <w:r w:rsidRPr="00292159">
              <w:rPr>
                <w:b/>
                <w:color w:val="2C9ADC"/>
                <w:sz w:val="20"/>
                <w:szCs w:val="20"/>
              </w:rPr>
              <w:t xml:space="preserve"> –</w:t>
            </w:r>
            <w:r w:rsidR="00F474F6" w:rsidRPr="00292159">
              <w:rPr>
                <w:b/>
                <w:color w:val="2C9ADC"/>
                <w:sz w:val="20"/>
                <w:szCs w:val="20"/>
              </w:rPr>
              <w:t xml:space="preserve"> </w:t>
            </w:r>
            <w:r w:rsidR="00F474F6" w:rsidRPr="00292159">
              <w:rPr>
                <w:rFonts w:eastAsia="NeueHaasGroteskText W02" w:cs="Arial"/>
                <w:b/>
                <w:bCs/>
                <w:color w:val="2C9ADC"/>
                <w:sz w:val="20"/>
                <w:szCs w:val="20"/>
                <w:u w:color="2C9ADC"/>
              </w:rPr>
              <w:t>D</w:t>
            </w:r>
            <w:r w:rsidR="00023A8A" w:rsidRPr="00292159">
              <w:rPr>
                <w:rFonts w:eastAsia="NeueHaasGroteskText W02" w:cs="Arial"/>
                <w:b/>
                <w:bCs/>
                <w:color w:val="2C9ADC"/>
                <w:sz w:val="20"/>
                <w:szCs w:val="20"/>
                <w:u w:color="2C9ADC"/>
              </w:rPr>
              <w:t xml:space="preserve">eficit </w:t>
            </w:r>
            <w:r w:rsidR="00F474F6" w:rsidRPr="00292159">
              <w:rPr>
                <w:rFonts w:eastAsia="NeueHaasGroteskText W02" w:cs="Arial"/>
                <w:b/>
                <w:bCs/>
                <w:color w:val="2C9ADC"/>
                <w:sz w:val="20"/>
                <w:szCs w:val="20"/>
                <w:u w:color="2C9ADC"/>
              </w:rPr>
              <w:t xml:space="preserve">stabilizujúci </w:t>
            </w:r>
            <w:r w:rsidR="00292159">
              <w:rPr>
                <w:rFonts w:eastAsia="NeueHaasGroteskText W02" w:cs="Arial"/>
                <w:b/>
                <w:bCs/>
                <w:color w:val="2C9ADC"/>
                <w:sz w:val="20"/>
                <w:szCs w:val="20"/>
                <w:u w:color="2C9ADC"/>
              </w:rPr>
              <w:t>dlh</w:t>
            </w:r>
            <w:r w:rsidR="00F474F6" w:rsidRPr="00292159">
              <w:rPr>
                <w:rFonts w:eastAsia="NeueHaasGroteskText W02" w:cs="Arial"/>
                <w:b/>
                <w:bCs/>
                <w:color w:val="2C9ADC"/>
                <w:sz w:val="20"/>
                <w:szCs w:val="20"/>
                <w:u w:color="2C9ADC"/>
              </w:rPr>
              <w:t xml:space="preserve"> verejnej správy </w:t>
            </w:r>
            <w:r w:rsidRPr="00292159">
              <w:rPr>
                <w:rFonts w:eastAsia="NeueHaasGroteskText W02" w:cs="Arial"/>
                <w:b/>
                <w:bCs/>
                <w:color w:val="2C9ADC"/>
                <w:sz w:val="20"/>
                <w:szCs w:val="20"/>
                <w:u w:color="2C9ADC"/>
              </w:rPr>
              <w:t>(% HDP)</w:t>
            </w:r>
            <w:bookmarkEnd w:id="5"/>
          </w:p>
        </w:tc>
      </w:tr>
      <w:tr w:rsidR="00500C03" w:rsidRPr="001F1A6F" w14:paraId="730E38DF" w14:textId="77777777" w:rsidTr="00FD5C1A">
        <w:trPr>
          <w:trHeight w:val="866"/>
        </w:trPr>
        <w:tc>
          <w:tcPr>
            <w:tcW w:w="2556" w:type="pct"/>
            <w:tcBorders>
              <w:top w:val="single" w:sz="4" w:space="0" w:color="auto"/>
              <w:left w:val="nil"/>
              <w:bottom w:val="single" w:sz="4" w:space="0" w:color="auto"/>
              <w:right w:val="nil"/>
            </w:tcBorders>
            <w:vAlign w:val="center"/>
          </w:tcPr>
          <w:p w14:paraId="37199B85" w14:textId="0442EBD3" w:rsidR="00A256A2" w:rsidRPr="001F1A6F" w:rsidRDefault="0026208B" w:rsidP="00626AD4">
            <w:pPr>
              <w:widowControl w:val="0"/>
              <w:spacing w:before="40" w:after="40"/>
              <w:jc w:val="center"/>
              <w:rPr>
                <w:rFonts w:cs="Arial"/>
                <w:sz w:val="20"/>
                <w:szCs w:val="20"/>
                <w:highlight w:val="yellow"/>
              </w:rPr>
            </w:pPr>
            <w:r>
              <w:rPr>
                <w:noProof/>
                <w:lang w:eastAsia="sk-SK"/>
              </w:rPr>
              <w:drawing>
                <wp:inline distT="0" distB="0" distL="0" distR="0" wp14:anchorId="165DB819" wp14:editId="064D8C00">
                  <wp:extent cx="2843626" cy="2190750"/>
                  <wp:effectExtent l="0" t="0" r="0" b="0"/>
                  <wp:docPr id="16" name="Graf 16">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A256A2" w:rsidRPr="001F1A6F">
              <w:rPr>
                <w:rFonts w:cs="Arial"/>
                <w:noProof/>
                <w:sz w:val="20"/>
                <w:szCs w:val="20"/>
                <w:highlight w:val="yellow"/>
                <w:lang w:eastAsia="sk-SK"/>
              </w:rPr>
              <mc:AlternateContent>
                <mc:Choice Requires="wps">
                  <w:drawing>
                    <wp:anchor distT="45720" distB="45720" distL="114300" distR="114300" simplePos="0" relativeHeight="251687936" behindDoc="0" locked="0" layoutInCell="1" allowOverlap="1" wp14:anchorId="13058C26" wp14:editId="69F85A12">
                      <wp:simplePos x="0" y="0"/>
                      <wp:positionH relativeFrom="column">
                        <wp:posOffset>1907540</wp:posOffset>
                      </wp:positionH>
                      <wp:positionV relativeFrom="paragraph">
                        <wp:posOffset>1355725</wp:posOffset>
                      </wp:positionV>
                      <wp:extent cx="661670" cy="186055"/>
                      <wp:effectExtent l="0" t="0" r="0" b="4445"/>
                      <wp:wrapNone/>
                      <wp:docPr id="2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 cy="186055"/>
                              </a:xfrm>
                              <a:prstGeom prst="rect">
                                <a:avLst/>
                              </a:prstGeom>
                              <a:noFill/>
                              <a:ln w="9525">
                                <a:noFill/>
                                <a:miter lim="800000"/>
                                <a:headEnd/>
                                <a:tailEnd/>
                              </a:ln>
                            </wps:spPr>
                            <wps:txbx>
                              <w:txbxContent>
                                <w:p w14:paraId="209338E6" w14:textId="77777777" w:rsidR="00A256A2" w:rsidRPr="00BC676E" w:rsidRDefault="00A256A2" w:rsidP="00A256A2">
                                  <w:pPr>
                                    <w:jc w:val="center"/>
                                    <w:rPr>
                                      <w:color w:val="FFFFFF" w:themeColor="background1"/>
                                      <w:sz w:val="12"/>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3058C26" id="_x0000_s1028" type="#_x0000_t202" style="position:absolute;left:0;text-align:left;margin-left:150.2pt;margin-top:106.75pt;width:52.1pt;height:14.6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" filled="f" stroked="f">
                      <v:textbox>
                        <w:txbxContent>
                          <w:p w14:paraId="209338E6" w14:textId="77777777" w:rsidR="00A256A2" w:rsidRPr="00BC676E" w:rsidRDefault="00A256A2" w:rsidP="00A256A2">
                            <w:pPr>
                              <w:jc w:val="center"/>
                              <w:rPr>
                                <w:color w:val="FFFFFF" w:themeColor="background1"/>
                                <w:sz w:val="12"/>
                                <w:szCs w:val="14"/>
                              </w:rPr>
                            </w:pPr>
                          </w:p>
                        </w:txbxContent>
                      </v:textbox>
                    </v:shape>
                  </w:pict>
                </mc:Fallback>
              </mc:AlternateContent>
            </w:r>
          </w:p>
        </w:tc>
        <w:tc>
          <w:tcPr>
            <w:tcW w:w="80" w:type="pct"/>
            <w:tcBorders>
              <w:top w:val="nil"/>
              <w:left w:val="nil"/>
              <w:bottom w:val="nil"/>
              <w:right w:val="nil"/>
            </w:tcBorders>
            <w:vAlign w:val="center"/>
          </w:tcPr>
          <w:p w14:paraId="6C701A3A" w14:textId="77777777" w:rsidR="00A256A2" w:rsidRPr="001F1A6F" w:rsidRDefault="00A256A2" w:rsidP="00626AD4">
            <w:pPr>
              <w:widowControl w:val="0"/>
              <w:spacing w:before="40" w:after="40"/>
              <w:jc w:val="center"/>
              <w:rPr>
                <w:rFonts w:cs="Arial"/>
                <w:b/>
                <w:sz w:val="20"/>
                <w:szCs w:val="20"/>
                <w:highlight w:val="yellow"/>
              </w:rPr>
            </w:pPr>
          </w:p>
        </w:tc>
        <w:tc>
          <w:tcPr>
            <w:tcW w:w="2364" w:type="pct"/>
            <w:tcBorders>
              <w:top w:val="single" w:sz="4" w:space="0" w:color="auto"/>
              <w:left w:val="nil"/>
              <w:bottom w:val="single" w:sz="4" w:space="0" w:color="auto"/>
              <w:right w:val="nil"/>
            </w:tcBorders>
            <w:vAlign w:val="bottom"/>
          </w:tcPr>
          <w:p w14:paraId="23AB05E7" w14:textId="0ABDF8AD" w:rsidR="00A256A2" w:rsidRPr="00FB1C59" w:rsidRDefault="00FD5C1A" w:rsidP="00500C03">
            <w:pPr>
              <w:widowControl w:val="0"/>
              <w:spacing w:before="40" w:after="40"/>
              <w:jc w:val="center"/>
              <w:rPr>
                <w:rFonts w:cs="Arial"/>
                <w:color w:val="2C9ADC"/>
                <w:sz w:val="20"/>
                <w:szCs w:val="20"/>
                <w:highlight w:val="yellow"/>
              </w:rPr>
            </w:pPr>
            <w:r>
              <w:rPr>
                <w:noProof/>
                <w:lang w:eastAsia="sk-SK"/>
              </w:rPr>
              <w:drawing>
                <wp:inline distT="0" distB="0" distL="0" distR="0" wp14:anchorId="34F9C330" wp14:editId="5751B476">
                  <wp:extent cx="2590800" cy="2203450"/>
                  <wp:effectExtent l="0" t="0" r="0" b="0"/>
                  <wp:docPr id="6" name="Graf 6">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A256A2" w:rsidRPr="001F1A6F" w14:paraId="78313685" w14:textId="77777777" w:rsidTr="00626AD4">
        <w:trPr>
          <w:trHeight w:val="108"/>
        </w:trPr>
        <w:tc>
          <w:tcPr>
            <w:tcW w:w="5000" w:type="pct"/>
            <w:gridSpan w:val="3"/>
            <w:tcBorders>
              <w:top w:val="single" w:sz="4" w:space="0" w:color="auto"/>
              <w:left w:val="nil"/>
              <w:bottom w:val="nil"/>
              <w:right w:val="nil"/>
            </w:tcBorders>
          </w:tcPr>
          <w:p w14:paraId="03A8A792" w14:textId="06A18F9C" w:rsidR="00A256A2" w:rsidRPr="00210E29" w:rsidRDefault="00A256A2" w:rsidP="001724EF">
            <w:pPr>
              <w:widowControl w:val="0"/>
              <w:spacing w:before="40" w:after="40"/>
              <w:jc w:val="both"/>
              <w:rPr>
                <w:i/>
                <w:sz w:val="16"/>
                <w:szCs w:val="16"/>
              </w:rPr>
            </w:pPr>
            <w:r w:rsidRPr="00210E29">
              <w:rPr>
                <w:i/>
                <w:sz w:val="16"/>
                <w:szCs w:val="16"/>
              </w:rPr>
              <w:t>Pozn.: Prognóza dlhu vychádza z cieľov deficitov na roky 202</w:t>
            </w:r>
            <w:r w:rsidR="006B3156">
              <w:rPr>
                <w:i/>
                <w:sz w:val="16"/>
                <w:szCs w:val="16"/>
              </w:rPr>
              <w:t>5</w:t>
            </w:r>
            <w:r w:rsidRPr="00210E29">
              <w:rPr>
                <w:i/>
                <w:sz w:val="16"/>
                <w:szCs w:val="16"/>
              </w:rPr>
              <w:t xml:space="preserve"> až 202</w:t>
            </w:r>
            <w:r w:rsidR="006B3156">
              <w:rPr>
                <w:i/>
                <w:sz w:val="16"/>
                <w:szCs w:val="16"/>
              </w:rPr>
              <w:t>7</w:t>
            </w:r>
            <w:r w:rsidRPr="00210E29">
              <w:rPr>
                <w:i/>
                <w:sz w:val="16"/>
                <w:szCs w:val="16"/>
              </w:rPr>
              <w:t xml:space="preserve"> na úrovni </w:t>
            </w:r>
            <w:r w:rsidR="006B3156">
              <w:rPr>
                <w:i/>
                <w:sz w:val="16"/>
                <w:szCs w:val="16"/>
              </w:rPr>
              <w:t>5</w:t>
            </w:r>
            <w:r w:rsidRPr="00210E29">
              <w:rPr>
                <w:i/>
                <w:sz w:val="16"/>
                <w:szCs w:val="16"/>
              </w:rPr>
              <w:t>,0</w:t>
            </w:r>
            <w:r w:rsidR="006B3156">
              <w:rPr>
                <w:i/>
                <w:sz w:val="16"/>
                <w:szCs w:val="16"/>
              </w:rPr>
              <w:t xml:space="preserve"> % HDP</w:t>
            </w:r>
            <w:r w:rsidRPr="00210E29">
              <w:rPr>
                <w:i/>
                <w:sz w:val="16"/>
                <w:szCs w:val="16"/>
              </w:rPr>
              <w:t xml:space="preserve">, </w:t>
            </w:r>
            <w:r w:rsidR="006B3156">
              <w:rPr>
                <w:i/>
                <w:sz w:val="16"/>
                <w:szCs w:val="16"/>
              </w:rPr>
              <w:t>4</w:t>
            </w:r>
            <w:r w:rsidRPr="00210E29">
              <w:rPr>
                <w:i/>
                <w:sz w:val="16"/>
                <w:szCs w:val="16"/>
              </w:rPr>
              <w:t>,0</w:t>
            </w:r>
            <w:r w:rsidR="006B3156">
              <w:rPr>
                <w:i/>
                <w:sz w:val="16"/>
                <w:szCs w:val="16"/>
              </w:rPr>
              <w:t xml:space="preserve"> % HDP</w:t>
            </w:r>
            <w:r w:rsidRPr="00210E29">
              <w:rPr>
                <w:i/>
                <w:sz w:val="16"/>
                <w:szCs w:val="16"/>
              </w:rPr>
              <w:t xml:space="preserve"> a </w:t>
            </w:r>
            <w:r w:rsidR="006B3156">
              <w:rPr>
                <w:i/>
                <w:sz w:val="16"/>
                <w:szCs w:val="16"/>
              </w:rPr>
              <w:t>3</w:t>
            </w:r>
            <w:r w:rsidRPr="00210E29">
              <w:rPr>
                <w:i/>
                <w:sz w:val="16"/>
                <w:szCs w:val="16"/>
              </w:rPr>
              <w:t xml:space="preserve">,0 % HDP. </w:t>
            </w:r>
            <w:r w:rsidR="006B3156">
              <w:rPr>
                <w:i/>
                <w:sz w:val="16"/>
                <w:szCs w:val="16"/>
              </w:rPr>
              <w:t xml:space="preserve">                                </w:t>
            </w:r>
            <w:r w:rsidR="001724EF" w:rsidRPr="00210E29">
              <w:rPr>
                <w:i/>
                <w:sz w:val="16"/>
                <w:szCs w:val="16"/>
              </w:rPr>
              <w:t>Zdroj: MF SR</w:t>
            </w:r>
            <w:r w:rsidRPr="00210E29">
              <w:rPr>
                <w:i/>
                <w:sz w:val="16"/>
                <w:szCs w:val="16"/>
              </w:rPr>
              <w:t xml:space="preserve">                                                                                   </w:t>
            </w:r>
          </w:p>
        </w:tc>
      </w:tr>
    </w:tbl>
    <w:p w14:paraId="7AD5E362" w14:textId="77777777" w:rsidR="0071699E" w:rsidRDefault="0071699E" w:rsidP="00310476">
      <w:pPr>
        <w:keepNext/>
        <w:widowControl w:val="0"/>
        <w:spacing w:after="0" w:line="264" w:lineRule="auto"/>
        <w:jc w:val="both"/>
        <w:rPr>
          <w:b/>
          <w:sz w:val="20"/>
          <w:szCs w:val="20"/>
        </w:rPr>
      </w:pPr>
    </w:p>
    <w:p w14:paraId="7CE485DA" w14:textId="77611E8F" w:rsidR="00EA0DF2" w:rsidRDefault="00EA0DF2" w:rsidP="005B5936">
      <w:pPr>
        <w:widowControl w:val="0"/>
        <w:spacing w:line="264" w:lineRule="auto"/>
        <w:jc w:val="both"/>
        <w:rPr>
          <w:sz w:val="20"/>
          <w:szCs w:val="20"/>
        </w:rPr>
      </w:pPr>
      <w:r>
        <w:rPr>
          <w:b/>
          <w:sz w:val="20"/>
          <w:szCs w:val="20"/>
        </w:rPr>
        <w:t>Rast dlhu sa podarí spomaliť</w:t>
      </w:r>
      <w:r w:rsidRPr="001C037C">
        <w:rPr>
          <w:b/>
          <w:sz w:val="20"/>
          <w:szCs w:val="20"/>
        </w:rPr>
        <w:t xml:space="preserve"> </w:t>
      </w:r>
      <w:r w:rsidR="00995213">
        <w:rPr>
          <w:b/>
          <w:sz w:val="20"/>
          <w:szCs w:val="20"/>
        </w:rPr>
        <w:t>dosiahnutím cieleného deficitu</w:t>
      </w:r>
      <w:r w:rsidR="00AD441B">
        <w:rPr>
          <w:b/>
          <w:sz w:val="20"/>
          <w:szCs w:val="20"/>
        </w:rPr>
        <w:t> 3 % HDP v roku 2027</w:t>
      </w:r>
      <w:r w:rsidRPr="001C037C">
        <w:rPr>
          <w:b/>
          <w:sz w:val="20"/>
          <w:szCs w:val="20"/>
        </w:rPr>
        <w:t>.</w:t>
      </w:r>
      <w:r>
        <w:rPr>
          <w:sz w:val="20"/>
          <w:szCs w:val="20"/>
        </w:rPr>
        <w:t xml:space="preserve"> Za horizontom </w:t>
      </w:r>
      <w:r w:rsidR="00AD441B">
        <w:rPr>
          <w:sz w:val="20"/>
          <w:szCs w:val="20"/>
        </w:rPr>
        <w:t>aktuálneho roku</w:t>
      </w:r>
      <w:r>
        <w:rPr>
          <w:sz w:val="20"/>
          <w:szCs w:val="20"/>
        </w:rPr>
        <w:t xml:space="preserve"> je </w:t>
      </w:r>
      <w:r w:rsidR="000815AE">
        <w:rPr>
          <w:sz w:val="20"/>
          <w:szCs w:val="20"/>
        </w:rPr>
        <w:t xml:space="preserve">zámerom vlády </w:t>
      </w:r>
      <w:r>
        <w:rPr>
          <w:sz w:val="20"/>
          <w:szCs w:val="20"/>
        </w:rPr>
        <w:t xml:space="preserve">pokračovať v znižovaní celkového schodku o 1 % HDP ročne </w:t>
      </w:r>
      <w:r w:rsidR="000815AE">
        <w:rPr>
          <w:sz w:val="20"/>
          <w:szCs w:val="20"/>
        </w:rPr>
        <w:t xml:space="preserve">smerom </w:t>
      </w:r>
      <w:r w:rsidR="00AD441B">
        <w:rPr>
          <w:sz w:val="20"/>
          <w:szCs w:val="20"/>
        </w:rPr>
        <w:t>k</w:t>
      </w:r>
      <w:r w:rsidR="000815AE">
        <w:rPr>
          <w:sz w:val="20"/>
          <w:szCs w:val="20"/>
        </w:rPr>
        <w:t xml:space="preserve"> </w:t>
      </w:r>
      <w:r w:rsidR="006E232A">
        <w:rPr>
          <w:sz w:val="20"/>
          <w:szCs w:val="20"/>
        </w:rPr>
        <w:t>3 % HDP v 2027</w:t>
      </w:r>
      <w:r>
        <w:rPr>
          <w:sz w:val="20"/>
          <w:szCs w:val="20"/>
        </w:rPr>
        <w:t xml:space="preserve">. Hoci pokračujúca konsolidácia deficitu rast dlhu spomalí, nestabilizuje ho ešte úplne. Dlh sa krátkodobo udrží pod 60 % HDP, no už v roku 2026 </w:t>
      </w:r>
      <w:r w:rsidR="00995213">
        <w:rPr>
          <w:sz w:val="20"/>
          <w:szCs w:val="20"/>
        </w:rPr>
        <w:t>presiahne</w:t>
      </w:r>
      <w:r>
        <w:rPr>
          <w:sz w:val="20"/>
          <w:szCs w:val="20"/>
        </w:rPr>
        <w:t xml:space="preserve"> túto hranicu. Cieľ úplnej stabilizácie dlhu si bude žiadať pokračovať v konsolidácii aj za horizontom </w:t>
      </w:r>
      <w:r w:rsidR="009A345A">
        <w:rPr>
          <w:sz w:val="20"/>
          <w:szCs w:val="20"/>
        </w:rPr>
        <w:t xml:space="preserve">roku </w:t>
      </w:r>
      <w:r>
        <w:rPr>
          <w:sz w:val="20"/>
          <w:szCs w:val="20"/>
        </w:rPr>
        <w:t>202</w:t>
      </w:r>
      <w:r w:rsidR="009A345A">
        <w:rPr>
          <w:sz w:val="20"/>
          <w:szCs w:val="20"/>
        </w:rPr>
        <w:t>7</w:t>
      </w:r>
      <w:r>
        <w:rPr>
          <w:sz w:val="20"/>
          <w:szCs w:val="20"/>
        </w:rPr>
        <w:t xml:space="preserve"> a bude zrejme potrebné rozložiť ju na viacero volebných období</w:t>
      </w:r>
      <w:r>
        <w:rPr>
          <w:rStyle w:val="Odkaznapoznmkupodiarou"/>
          <w:sz w:val="20"/>
          <w:szCs w:val="20"/>
        </w:rPr>
        <w:footnoteReference w:id="4"/>
      </w:r>
      <w:r>
        <w:rPr>
          <w:sz w:val="20"/>
          <w:szCs w:val="20"/>
        </w:rPr>
        <w:t>.</w:t>
      </w:r>
    </w:p>
    <w:p w14:paraId="63DE54C0" w14:textId="29DFFBA1" w:rsidR="00DF3AC5" w:rsidRPr="00F77756" w:rsidRDefault="00DF3AC5" w:rsidP="005B5936">
      <w:pPr>
        <w:widowControl w:val="0"/>
        <w:spacing w:line="264" w:lineRule="auto"/>
        <w:jc w:val="both"/>
        <w:rPr>
          <w:b/>
          <w:bCs/>
          <w:sz w:val="20"/>
          <w:szCs w:val="20"/>
        </w:rPr>
      </w:pPr>
      <w:r w:rsidRPr="00F77756">
        <w:rPr>
          <w:b/>
          <w:bCs/>
          <w:sz w:val="20"/>
          <w:szCs w:val="20"/>
        </w:rPr>
        <w:t>V</w:t>
      </w:r>
      <w:r>
        <w:rPr>
          <w:b/>
          <w:bCs/>
          <w:sz w:val="20"/>
          <w:szCs w:val="20"/>
        </w:rPr>
        <w:t xml:space="preserve"> aktuálnej </w:t>
      </w:r>
      <w:r w:rsidRPr="00F77756">
        <w:rPr>
          <w:b/>
          <w:bCs/>
          <w:sz w:val="20"/>
          <w:szCs w:val="20"/>
        </w:rPr>
        <w:t xml:space="preserve">prognóze predpokladaný vývoj dlhu reflektuje aj na novú </w:t>
      </w:r>
      <w:r w:rsidRPr="00DF3AC5">
        <w:rPr>
          <w:b/>
          <w:bCs/>
          <w:sz w:val="20"/>
          <w:szCs w:val="20"/>
        </w:rPr>
        <w:t>podobu</w:t>
      </w:r>
      <w:r w:rsidRPr="00F77756">
        <w:rPr>
          <w:b/>
          <w:bCs/>
          <w:sz w:val="20"/>
          <w:szCs w:val="20"/>
        </w:rPr>
        <w:t xml:space="preserve"> európskych fiškálnych pravidiel. </w:t>
      </w:r>
      <w:r w:rsidRPr="00F77756">
        <w:rPr>
          <w:sz w:val="20"/>
          <w:szCs w:val="20"/>
        </w:rPr>
        <w:t xml:space="preserve">Nové </w:t>
      </w:r>
      <w:r>
        <w:rPr>
          <w:sz w:val="20"/>
          <w:szCs w:val="20"/>
        </w:rPr>
        <w:t>fiškálne pravidlá budú nastavovať strop pre rast väčšiny verejných výdavkov</w:t>
      </w:r>
      <w:r w:rsidR="00FD2936">
        <w:rPr>
          <w:sz w:val="20"/>
          <w:szCs w:val="20"/>
        </w:rPr>
        <w:t xml:space="preserve">. </w:t>
      </w:r>
      <w:r>
        <w:rPr>
          <w:sz w:val="20"/>
          <w:szCs w:val="20"/>
        </w:rPr>
        <w:t xml:space="preserve">No vzhľadom na to, že výdavkové pravidlo budú cieliť v prípade Slovenska každoročné zníženie primárneho štrukturálneho deficitu o 1 až 1,5 % HDP v závislosti od </w:t>
      </w:r>
      <w:r>
        <w:rPr>
          <w:sz w:val="20"/>
          <w:szCs w:val="20"/>
        </w:rPr>
        <w:lastRenderedPageBreak/>
        <w:t>reformného úsilia, predpoklad zníženi</w:t>
      </w:r>
      <w:r w:rsidR="00722950">
        <w:rPr>
          <w:sz w:val="20"/>
          <w:szCs w:val="20"/>
        </w:rPr>
        <w:t>a</w:t>
      </w:r>
      <w:r>
        <w:rPr>
          <w:sz w:val="20"/>
          <w:szCs w:val="20"/>
        </w:rPr>
        <w:t xml:space="preserve"> </w:t>
      </w:r>
      <w:r w:rsidR="00722950">
        <w:rPr>
          <w:sz w:val="20"/>
          <w:szCs w:val="20"/>
        </w:rPr>
        <w:t xml:space="preserve">celkového </w:t>
      </w:r>
      <w:r>
        <w:rPr>
          <w:sz w:val="20"/>
          <w:szCs w:val="20"/>
        </w:rPr>
        <w:t>nominálneho deficitu o 1 % HDP ročne je možné brať ako centrálny odhad</w:t>
      </w:r>
      <w:r>
        <w:rPr>
          <w:rStyle w:val="Odkaznapoznmkupodiarou"/>
          <w:sz w:val="20"/>
          <w:szCs w:val="20"/>
        </w:rPr>
        <w:footnoteReference w:id="5"/>
      </w:r>
      <w:r>
        <w:rPr>
          <w:sz w:val="20"/>
          <w:szCs w:val="20"/>
        </w:rPr>
        <w:t xml:space="preserve">. </w:t>
      </w:r>
    </w:p>
    <w:p w14:paraId="2F888AEB" w14:textId="281235FC" w:rsidR="00FE5C3D" w:rsidRPr="00FE5C3D" w:rsidRDefault="0018371D" w:rsidP="00745EC6">
      <w:pPr>
        <w:pStyle w:val="Nadpis2"/>
        <w:keepLines w:val="0"/>
        <w:widowControl w:val="0"/>
        <w:numPr>
          <w:ilvl w:val="0"/>
          <w:numId w:val="1"/>
        </w:numPr>
        <w:spacing w:before="120" w:after="120"/>
        <w:ind w:left="357" w:hanging="357"/>
        <w:rPr>
          <w:rFonts w:ascii="Arial Narrow" w:hAnsi="Arial Narrow"/>
          <w:sz w:val="24"/>
          <w:szCs w:val="20"/>
        </w:rPr>
      </w:pPr>
      <w:r>
        <w:rPr>
          <w:rFonts w:ascii="Arial Narrow" w:hAnsi="Arial Narrow"/>
          <w:sz w:val="24"/>
          <w:szCs w:val="20"/>
        </w:rPr>
        <w:t xml:space="preserve">Opatrenia </w:t>
      </w:r>
      <w:r w:rsidR="00FE1BA2">
        <w:rPr>
          <w:rFonts w:ascii="Arial Narrow" w:hAnsi="Arial Narrow"/>
          <w:sz w:val="24"/>
          <w:szCs w:val="20"/>
        </w:rPr>
        <w:t xml:space="preserve">vlády </w:t>
      </w:r>
      <w:r>
        <w:rPr>
          <w:rFonts w:ascii="Arial Narrow" w:hAnsi="Arial Narrow"/>
          <w:sz w:val="24"/>
          <w:szCs w:val="20"/>
        </w:rPr>
        <w:t>na zníženie hrubého dlhu</w:t>
      </w:r>
    </w:p>
    <w:p w14:paraId="78D8F595" w14:textId="4ED0B1ED" w:rsidR="00C51E19" w:rsidRDefault="00C51E19" w:rsidP="00745EC6">
      <w:pPr>
        <w:keepNext/>
        <w:widowControl w:val="0"/>
        <w:spacing w:before="120" w:after="0"/>
        <w:jc w:val="both"/>
        <w:rPr>
          <w:sz w:val="20"/>
          <w:szCs w:val="20"/>
        </w:rPr>
      </w:pPr>
      <w:r>
        <w:rPr>
          <w:b/>
          <w:sz w:val="20"/>
          <w:szCs w:val="20"/>
        </w:rPr>
        <w:t xml:space="preserve">Súčasťou rozpočtu verejnej správy </w:t>
      </w:r>
      <w:r w:rsidR="007C2A87">
        <w:rPr>
          <w:b/>
          <w:sz w:val="20"/>
          <w:szCs w:val="20"/>
        </w:rPr>
        <w:t xml:space="preserve">na rok 2024 </w:t>
      </w:r>
      <w:r w:rsidR="00B037B6">
        <w:rPr>
          <w:b/>
          <w:sz w:val="20"/>
          <w:szCs w:val="20"/>
        </w:rPr>
        <w:t xml:space="preserve">aj samotnej prognózy dlhu </w:t>
      </w:r>
      <w:r>
        <w:rPr>
          <w:b/>
          <w:sz w:val="20"/>
          <w:szCs w:val="20"/>
        </w:rPr>
        <w:t xml:space="preserve">je balík konsolidačných </w:t>
      </w:r>
      <w:r w:rsidR="00536C9C">
        <w:rPr>
          <w:b/>
          <w:sz w:val="20"/>
          <w:szCs w:val="20"/>
        </w:rPr>
        <w:t xml:space="preserve">opatrení </w:t>
      </w:r>
      <w:r w:rsidR="00B037B6">
        <w:rPr>
          <w:b/>
          <w:sz w:val="20"/>
          <w:szCs w:val="20"/>
        </w:rPr>
        <w:t>v objeme 1,</w:t>
      </w:r>
      <w:r w:rsidR="00EC5A83">
        <w:rPr>
          <w:b/>
          <w:sz w:val="20"/>
          <w:szCs w:val="20"/>
        </w:rPr>
        <w:t>4</w:t>
      </w:r>
      <w:r w:rsidR="00B037B6">
        <w:rPr>
          <w:b/>
          <w:sz w:val="20"/>
          <w:szCs w:val="20"/>
        </w:rPr>
        <w:t xml:space="preserve"> % HDP</w:t>
      </w:r>
      <w:r w:rsidR="00ED2BEF">
        <w:rPr>
          <w:b/>
          <w:sz w:val="20"/>
          <w:szCs w:val="20"/>
        </w:rPr>
        <w:t>.</w:t>
      </w:r>
      <w:r w:rsidR="00BD153E">
        <w:rPr>
          <w:b/>
          <w:sz w:val="20"/>
          <w:szCs w:val="20"/>
        </w:rPr>
        <w:t xml:space="preserve"> </w:t>
      </w:r>
      <w:r w:rsidR="00BD153E">
        <w:rPr>
          <w:sz w:val="20"/>
          <w:szCs w:val="20"/>
        </w:rPr>
        <w:t xml:space="preserve">Vláda na rok 2024 pripravila konsolidačné opatrenia v celkovom objeme </w:t>
      </w:r>
      <w:r w:rsidR="00E22E45">
        <w:rPr>
          <w:sz w:val="20"/>
          <w:szCs w:val="20"/>
        </w:rPr>
        <w:t>takmer 2</w:t>
      </w:r>
      <w:r w:rsidR="00536C9C">
        <w:rPr>
          <w:sz w:val="20"/>
          <w:szCs w:val="20"/>
        </w:rPr>
        <w:t xml:space="preserve"> mld. eur (</w:t>
      </w:r>
      <w:r w:rsidR="00BD153E">
        <w:rPr>
          <w:sz w:val="20"/>
          <w:szCs w:val="20"/>
        </w:rPr>
        <w:t>1,</w:t>
      </w:r>
      <w:r w:rsidR="00EC5A83">
        <w:rPr>
          <w:sz w:val="20"/>
          <w:szCs w:val="20"/>
        </w:rPr>
        <w:t>4</w:t>
      </w:r>
      <w:r w:rsidR="00BD153E">
        <w:rPr>
          <w:sz w:val="20"/>
          <w:szCs w:val="20"/>
        </w:rPr>
        <w:t xml:space="preserve"> % HDP</w:t>
      </w:r>
      <w:r w:rsidR="00536C9C">
        <w:rPr>
          <w:sz w:val="20"/>
          <w:szCs w:val="20"/>
        </w:rPr>
        <w:t>)</w:t>
      </w:r>
      <w:r w:rsidR="00BD153E">
        <w:rPr>
          <w:sz w:val="20"/>
          <w:szCs w:val="20"/>
        </w:rPr>
        <w:t>, z ktorých väčšia časť je zameraná na získanie dodatočných príjmov do rozpočtu (</w:t>
      </w:r>
      <w:r w:rsidR="00BD153E" w:rsidRPr="00BD153E">
        <w:rPr>
          <w:b/>
          <w:color w:val="2C9ADC"/>
          <w:sz w:val="20"/>
          <w:szCs w:val="20"/>
        </w:rPr>
        <w:t>TABUĽKA 1</w:t>
      </w:r>
      <w:r w:rsidR="00BD153E">
        <w:rPr>
          <w:sz w:val="20"/>
          <w:szCs w:val="20"/>
        </w:rPr>
        <w:t xml:space="preserve">). </w:t>
      </w:r>
      <w:r w:rsidR="00556591">
        <w:rPr>
          <w:sz w:val="20"/>
          <w:szCs w:val="20"/>
        </w:rPr>
        <w:t>Objemovo najväčšie opatrenia súvisia so znížením odvodov do II. piliera dôchodkového systému na 4 %, zvýš</w:t>
      </w:r>
      <w:r w:rsidR="00F474F6">
        <w:rPr>
          <w:sz w:val="20"/>
          <w:szCs w:val="20"/>
        </w:rPr>
        <w:t>ením</w:t>
      </w:r>
      <w:r w:rsidR="00556591">
        <w:rPr>
          <w:sz w:val="20"/>
          <w:szCs w:val="20"/>
        </w:rPr>
        <w:t xml:space="preserve"> zdravotn</w:t>
      </w:r>
      <w:r w:rsidR="00F474F6">
        <w:rPr>
          <w:sz w:val="20"/>
          <w:szCs w:val="20"/>
        </w:rPr>
        <w:t>ých</w:t>
      </w:r>
      <w:r w:rsidR="00556591">
        <w:rPr>
          <w:sz w:val="20"/>
          <w:szCs w:val="20"/>
        </w:rPr>
        <w:t xml:space="preserve"> odvod</w:t>
      </w:r>
      <w:r w:rsidR="00F474F6">
        <w:rPr>
          <w:sz w:val="20"/>
          <w:szCs w:val="20"/>
        </w:rPr>
        <w:t>ov</w:t>
      </w:r>
      <w:r w:rsidR="00556591">
        <w:rPr>
          <w:sz w:val="20"/>
          <w:szCs w:val="20"/>
        </w:rPr>
        <w:t xml:space="preserve"> zam</w:t>
      </w:r>
      <w:r w:rsidR="00F474F6">
        <w:rPr>
          <w:sz w:val="20"/>
          <w:szCs w:val="20"/>
        </w:rPr>
        <w:t>estnávateľov o 1 p. b. a rozšírením</w:t>
      </w:r>
      <w:r w:rsidR="00556591">
        <w:rPr>
          <w:sz w:val="20"/>
          <w:szCs w:val="20"/>
        </w:rPr>
        <w:t xml:space="preserve"> osobitn</w:t>
      </w:r>
      <w:r w:rsidR="00F474F6">
        <w:rPr>
          <w:sz w:val="20"/>
          <w:szCs w:val="20"/>
        </w:rPr>
        <w:t>ého</w:t>
      </w:r>
      <w:r w:rsidR="00556591">
        <w:rPr>
          <w:sz w:val="20"/>
          <w:szCs w:val="20"/>
        </w:rPr>
        <w:t xml:space="preserve"> odvod</w:t>
      </w:r>
      <w:r w:rsidR="00F474F6">
        <w:rPr>
          <w:sz w:val="20"/>
          <w:szCs w:val="20"/>
        </w:rPr>
        <w:t>u</w:t>
      </w:r>
      <w:r w:rsidR="00556591">
        <w:rPr>
          <w:sz w:val="20"/>
          <w:szCs w:val="20"/>
        </w:rPr>
        <w:t xml:space="preserve"> </w:t>
      </w:r>
      <w:r w:rsidR="00F474F6">
        <w:rPr>
          <w:sz w:val="20"/>
          <w:szCs w:val="20"/>
        </w:rPr>
        <w:t>aj</w:t>
      </w:r>
      <w:r w:rsidR="006D0409">
        <w:rPr>
          <w:sz w:val="20"/>
          <w:szCs w:val="20"/>
        </w:rPr>
        <w:t xml:space="preserve"> </w:t>
      </w:r>
      <w:r w:rsidR="00F474F6">
        <w:rPr>
          <w:sz w:val="20"/>
          <w:szCs w:val="20"/>
        </w:rPr>
        <w:t>na bankový sektor</w:t>
      </w:r>
      <w:r w:rsidR="00556591">
        <w:rPr>
          <w:sz w:val="20"/>
          <w:szCs w:val="20"/>
        </w:rPr>
        <w:t xml:space="preserve">. </w:t>
      </w:r>
      <w:r w:rsidR="008E7EC5">
        <w:rPr>
          <w:sz w:val="20"/>
          <w:szCs w:val="20"/>
        </w:rPr>
        <w:t>Pripravované opatrenia na výdavkovej strane súvisia najmä s </w:t>
      </w:r>
      <w:r w:rsidR="000B3791">
        <w:rPr>
          <w:sz w:val="20"/>
          <w:szCs w:val="20"/>
        </w:rPr>
        <w:t xml:space="preserve">ušetrením </w:t>
      </w:r>
      <w:r w:rsidR="00676A45">
        <w:rPr>
          <w:sz w:val="20"/>
          <w:szCs w:val="20"/>
        </w:rPr>
        <w:t xml:space="preserve">výdavkov </w:t>
      </w:r>
      <w:r w:rsidR="000B3791">
        <w:rPr>
          <w:sz w:val="20"/>
          <w:szCs w:val="20"/>
        </w:rPr>
        <w:t xml:space="preserve">v objeme </w:t>
      </w:r>
      <w:r w:rsidR="008E7EC5">
        <w:rPr>
          <w:sz w:val="20"/>
          <w:szCs w:val="20"/>
        </w:rPr>
        <w:t xml:space="preserve">5 % </w:t>
      </w:r>
      <w:r w:rsidR="000B3791">
        <w:rPr>
          <w:sz w:val="20"/>
          <w:szCs w:val="20"/>
        </w:rPr>
        <w:t xml:space="preserve">osobných </w:t>
      </w:r>
      <w:r w:rsidR="008E7EC5">
        <w:rPr>
          <w:sz w:val="20"/>
          <w:szCs w:val="20"/>
        </w:rPr>
        <w:t>výdavkov štátnej správy, či zmrazením valorizácie miezd vo verejnej správe.</w:t>
      </w:r>
      <w:r w:rsidR="009775E5">
        <w:rPr>
          <w:sz w:val="20"/>
          <w:szCs w:val="20"/>
        </w:rPr>
        <w:t xml:space="preserve"> </w:t>
      </w:r>
      <w:r w:rsidR="00F30621">
        <w:rPr>
          <w:sz w:val="20"/>
          <w:szCs w:val="20"/>
        </w:rPr>
        <w:t xml:space="preserve">Na pokles výdavkov </w:t>
      </w:r>
      <w:r w:rsidR="00EC5A83">
        <w:rPr>
          <w:sz w:val="20"/>
          <w:szCs w:val="20"/>
        </w:rPr>
        <w:t>v ďalšom roku</w:t>
      </w:r>
      <w:r w:rsidR="00F30621">
        <w:rPr>
          <w:sz w:val="20"/>
          <w:szCs w:val="20"/>
        </w:rPr>
        <w:t xml:space="preserve"> bude vplývať aj ukončenie energopomoci v súčasnom objeme 0,6 % HDP, ktoré </w:t>
      </w:r>
      <w:r w:rsidR="00594DF4">
        <w:rPr>
          <w:sz w:val="20"/>
          <w:szCs w:val="20"/>
        </w:rPr>
        <w:t xml:space="preserve">je už zapracované </w:t>
      </w:r>
      <w:r w:rsidR="00F30621">
        <w:rPr>
          <w:sz w:val="20"/>
          <w:szCs w:val="20"/>
        </w:rPr>
        <w:t xml:space="preserve">v aktuálnom fiškálnom rámci rozpočtu. </w:t>
      </w:r>
      <w:r w:rsidR="00074DE5">
        <w:rPr>
          <w:sz w:val="20"/>
          <w:szCs w:val="20"/>
        </w:rPr>
        <w:t>K</w:t>
      </w:r>
      <w:r w:rsidR="009775E5">
        <w:rPr>
          <w:sz w:val="20"/>
          <w:szCs w:val="20"/>
        </w:rPr>
        <w:t>onsolidácia</w:t>
      </w:r>
      <w:r w:rsidR="00074DE5">
        <w:rPr>
          <w:sz w:val="20"/>
          <w:szCs w:val="20"/>
        </w:rPr>
        <w:t xml:space="preserve"> </w:t>
      </w:r>
      <w:r w:rsidR="003152F5">
        <w:rPr>
          <w:sz w:val="20"/>
          <w:szCs w:val="20"/>
        </w:rPr>
        <w:t>za</w:t>
      </w:r>
      <w:r w:rsidR="00074DE5">
        <w:rPr>
          <w:sz w:val="20"/>
          <w:szCs w:val="20"/>
        </w:rPr>
        <w:t xml:space="preserve"> 1,</w:t>
      </w:r>
      <w:r w:rsidR="00EC5A83">
        <w:rPr>
          <w:sz w:val="20"/>
          <w:szCs w:val="20"/>
        </w:rPr>
        <w:t>4</w:t>
      </w:r>
      <w:r w:rsidR="00074DE5">
        <w:rPr>
          <w:sz w:val="20"/>
          <w:szCs w:val="20"/>
        </w:rPr>
        <w:t xml:space="preserve"> % HDP súčasne</w:t>
      </w:r>
      <w:r w:rsidR="009775E5">
        <w:rPr>
          <w:sz w:val="20"/>
          <w:szCs w:val="20"/>
        </w:rPr>
        <w:t xml:space="preserve"> </w:t>
      </w:r>
      <w:r w:rsidR="00B037B6">
        <w:rPr>
          <w:sz w:val="20"/>
          <w:szCs w:val="20"/>
        </w:rPr>
        <w:t>vytv</w:t>
      </w:r>
      <w:r w:rsidR="00795869">
        <w:rPr>
          <w:sz w:val="20"/>
          <w:szCs w:val="20"/>
        </w:rPr>
        <w:t>orila</w:t>
      </w:r>
      <w:r w:rsidR="00B037B6">
        <w:rPr>
          <w:sz w:val="20"/>
          <w:szCs w:val="20"/>
        </w:rPr>
        <w:t xml:space="preserve"> priestor pre </w:t>
      </w:r>
      <w:r w:rsidR="009775E5">
        <w:rPr>
          <w:sz w:val="20"/>
          <w:szCs w:val="20"/>
        </w:rPr>
        <w:t>priority vlády</w:t>
      </w:r>
      <w:r w:rsidR="00F474F6">
        <w:rPr>
          <w:sz w:val="20"/>
          <w:szCs w:val="20"/>
        </w:rPr>
        <w:t>,</w:t>
      </w:r>
      <w:r w:rsidR="009775E5">
        <w:rPr>
          <w:sz w:val="20"/>
          <w:szCs w:val="20"/>
        </w:rPr>
        <w:t xml:space="preserve"> ako sú </w:t>
      </w:r>
      <w:r w:rsidR="00BF7ACF">
        <w:rPr>
          <w:sz w:val="20"/>
          <w:szCs w:val="20"/>
        </w:rPr>
        <w:t xml:space="preserve">najmä </w:t>
      </w:r>
      <w:r w:rsidR="009775E5">
        <w:rPr>
          <w:sz w:val="20"/>
          <w:szCs w:val="20"/>
        </w:rPr>
        <w:t>13. dôchodky</w:t>
      </w:r>
      <w:r w:rsidR="00BF7ACF">
        <w:rPr>
          <w:sz w:val="20"/>
          <w:szCs w:val="20"/>
        </w:rPr>
        <w:t xml:space="preserve"> a</w:t>
      </w:r>
      <w:r w:rsidR="009775E5">
        <w:rPr>
          <w:sz w:val="20"/>
          <w:szCs w:val="20"/>
        </w:rPr>
        <w:t xml:space="preserve"> pokračujúce tlmenie rastu cien energií pre domácnosti</w:t>
      </w:r>
      <w:r w:rsidR="00074DE5">
        <w:rPr>
          <w:sz w:val="20"/>
          <w:szCs w:val="20"/>
        </w:rPr>
        <w:t>.</w:t>
      </w:r>
      <w:r w:rsidR="00E115F7" w:rsidRPr="00E115F7">
        <w:rPr>
          <w:sz w:val="20"/>
          <w:szCs w:val="20"/>
        </w:rPr>
        <w:t xml:space="preserve"> </w:t>
      </w:r>
    </w:p>
    <w:p w14:paraId="6675E298" w14:textId="0242DEDB" w:rsidR="00F07B98" w:rsidRPr="003A3041" w:rsidRDefault="00F07B98" w:rsidP="00210E29">
      <w:pPr>
        <w:widowControl w:val="0"/>
        <w:spacing w:before="120" w:after="0"/>
        <w:jc w:val="both"/>
        <w:rPr>
          <w:rFonts w:cs="Arial Narrow"/>
          <w:b/>
          <w:color w:val="2C9ADC"/>
          <w:sz w:val="20"/>
          <w:szCs w:val="20"/>
        </w:rPr>
      </w:pPr>
      <w:r w:rsidRPr="003A3041">
        <w:rPr>
          <w:rFonts w:cs="Arial Narrow"/>
          <w:b/>
          <w:color w:val="2C9ADC"/>
          <w:sz w:val="20"/>
          <w:szCs w:val="20"/>
        </w:rPr>
        <w:t xml:space="preserve">TABUĽKA 1 – </w:t>
      </w:r>
      <w:r>
        <w:rPr>
          <w:rFonts w:cs="Arial Narrow"/>
          <w:b/>
          <w:color w:val="2C9ADC"/>
          <w:sz w:val="20"/>
          <w:szCs w:val="20"/>
        </w:rPr>
        <w:t>Prehľad konsolidačných</w:t>
      </w:r>
      <w:r w:rsidRPr="003A3041">
        <w:rPr>
          <w:rFonts w:cs="Arial Narrow"/>
          <w:b/>
          <w:color w:val="2C9ADC"/>
          <w:sz w:val="20"/>
          <w:szCs w:val="20"/>
        </w:rPr>
        <w:t xml:space="preserve"> opatren</w:t>
      </w:r>
      <w:r>
        <w:rPr>
          <w:rFonts w:cs="Arial Narrow"/>
          <w:b/>
          <w:color w:val="2C9ADC"/>
          <w:sz w:val="20"/>
          <w:szCs w:val="20"/>
        </w:rPr>
        <w:t>í</w:t>
      </w:r>
      <w:r w:rsidRPr="003A3041">
        <w:rPr>
          <w:rFonts w:cs="Arial Narrow"/>
          <w:b/>
          <w:color w:val="2C9ADC"/>
          <w:sz w:val="20"/>
          <w:szCs w:val="20"/>
        </w:rPr>
        <w:t xml:space="preserve"> </w:t>
      </w:r>
      <w:r>
        <w:rPr>
          <w:rFonts w:cs="Arial Narrow"/>
          <w:b/>
          <w:color w:val="2C9ADC"/>
          <w:sz w:val="20"/>
          <w:szCs w:val="20"/>
        </w:rPr>
        <w:t>vlády</w:t>
      </w:r>
      <w:r w:rsidR="00880EC5">
        <w:rPr>
          <w:rFonts w:cs="Arial Narrow"/>
          <w:b/>
          <w:color w:val="2C9ADC"/>
          <w:sz w:val="20"/>
          <w:szCs w:val="20"/>
        </w:rPr>
        <w:t xml:space="preserve"> na horizonte rozpočtu VS</w:t>
      </w:r>
      <w:r w:rsidRPr="003A3041">
        <w:rPr>
          <w:rFonts w:cs="Arial Narrow"/>
          <w:b/>
          <w:color w:val="2C9ADC"/>
          <w:sz w:val="20"/>
          <w:szCs w:val="20"/>
        </w:rPr>
        <w:t xml:space="preserve"> (mil. eur)</w:t>
      </w:r>
    </w:p>
    <w:tbl>
      <w:tblPr>
        <w:tblW w:w="90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6"/>
        <w:gridCol w:w="886"/>
        <w:gridCol w:w="711"/>
        <w:gridCol w:w="1007"/>
      </w:tblGrid>
      <w:tr w:rsidR="00F07B98" w:rsidRPr="00BE46C5" w14:paraId="747D9648" w14:textId="77777777" w:rsidTr="000A2FEF">
        <w:trPr>
          <w:trHeight w:val="286"/>
          <w:jc w:val="center"/>
        </w:trPr>
        <w:tc>
          <w:tcPr>
            <w:tcW w:w="6406" w:type="dxa"/>
            <w:tcBorders>
              <w:top w:val="single" w:sz="6" w:space="0" w:color="auto"/>
              <w:left w:val="nil"/>
              <w:bottom w:val="single" w:sz="6" w:space="0" w:color="auto"/>
              <w:right w:val="nil"/>
            </w:tcBorders>
            <w:shd w:val="clear" w:color="auto" w:fill="auto"/>
            <w:vAlign w:val="center"/>
          </w:tcPr>
          <w:p w14:paraId="5382D2E2" w14:textId="77777777" w:rsidR="00F07B98" w:rsidRPr="00E74C9E" w:rsidRDefault="00F07B98" w:rsidP="00210E29">
            <w:pPr>
              <w:widowControl w:val="0"/>
              <w:spacing w:after="0" w:line="240" w:lineRule="auto"/>
              <w:textAlignment w:val="baseline"/>
              <w:rPr>
                <w:i/>
                <w:color w:val="000000"/>
                <w:sz w:val="18"/>
                <w:szCs w:val="18"/>
                <w:lang w:eastAsia="sk-SK"/>
              </w:rPr>
            </w:pPr>
          </w:p>
        </w:tc>
        <w:tc>
          <w:tcPr>
            <w:tcW w:w="886" w:type="dxa"/>
            <w:tcBorders>
              <w:top w:val="single" w:sz="6" w:space="0" w:color="auto"/>
              <w:left w:val="nil"/>
              <w:bottom w:val="single" w:sz="6" w:space="0" w:color="auto"/>
              <w:right w:val="nil"/>
            </w:tcBorders>
            <w:shd w:val="clear" w:color="auto" w:fill="auto"/>
            <w:vAlign w:val="center"/>
          </w:tcPr>
          <w:p w14:paraId="5CE116FE" w14:textId="77777777" w:rsidR="00F07B98" w:rsidRPr="00E74C9E" w:rsidRDefault="00F07B98" w:rsidP="00210E29">
            <w:pPr>
              <w:widowControl w:val="0"/>
              <w:spacing w:after="0" w:line="240" w:lineRule="auto"/>
              <w:jc w:val="center"/>
              <w:textAlignment w:val="baseline"/>
              <w:rPr>
                <w:b/>
                <w:bCs/>
                <w:i/>
                <w:color w:val="000000"/>
                <w:sz w:val="18"/>
                <w:szCs w:val="18"/>
                <w:lang w:eastAsia="sk-SK"/>
              </w:rPr>
            </w:pPr>
            <w:r w:rsidRPr="00E74C9E">
              <w:rPr>
                <w:b/>
                <w:bCs/>
                <w:i/>
                <w:color w:val="000000"/>
                <w:sz w:val="18"/>
                <w:szCs w:val="18"/>
                <w:lang w:eastAsia="sk-SK"/>
              </w:rPr>
              <w:t>2024</w:t>
            </w:r>
          </w:p>
        </w:tc>
        <w:tc>
          <w:tcPr>
            <w:tcW w:w="711" w:type="dxa"/>
            <w:tcBorders>
              <w:top w:val="single" w:sz="6" w:space="0" w:color="auto"/>
              <w:left w:val="nil"/>
              <w:bottom w:val="single" w:sz="6" w:space="0" w:color="auto"/>
              <w:right w:val="nil"/>
            </w:tcBorders>
            <w:shd w:val="clear" w:color="auto" w:fill="auto"/>
            <w:vAlign w:val="center"/>
          </w:tcPr>
          <w:p w14:paraId="423C07E2" w14:textId="77777777" w:rsidR="00F07B98" w:rsidRPr="00E74C9E" w:rsidRDefault="00F07B98" w:rsidP="00210E29">
            <w:pPr>
              <w:widowControl w:val="0"/>
              <w:spacing w:after="0" w:line="240" w:lineRule="auto"/>
              <w:jc w:val="center"/>
              <w:textAlignment w:val="baseline"/>
              <w:rPr>
                <w:b/>
                <w:bCs/>
                <w:i/>
                <w:color w:val="000000"/>
                <w:sz w:val="18"/>
                <w:szCs w:val="18"/>
                <w:lang w:eastAsia="sk-SK"/>
              </w:rPr>
            </w:pPr>
            <w:r w:rsidRPr="00E74C9E">
              <w:rPr>
                <w:b/>
                <w:bCs/>
                <w:i/>
                <w:color w:val="000000"/>
                <w:sz w:val="18"/>
                <w:szCs w:val="18"/>
                <w:lang w:eastAsia="sk-SK"/>
              </w:rPr>
              <w:t>2025</w:t>
            </w:r>
          </w:p>
        </w:tc>
        <w:tc>
          <w:tcPr>
            <w:tcW w:w="1007" w:type="dxa"/>
            <w:tcBorders>
              <w:top w:val="single" w:sz="6" w:space="0" w:color="auto"/>
              <w:left w:val="nil"/>
              <w:bottom w:val="single" w:sz="6" w:space="0" w:color="auto"/>
              <w:right w:val="nil"/>
            </w:tcBorders>
            <w:shd w:val="clear" w:color="auto" w:fill="auto"/>
            <w:vAlign w:val="center"/>
          </w:tcPr>
          <w:p w14:paraId="14073B60" w14:textId="77777777" w:rsidR="00F07B98" w:rsidRPr="00E74C9E" w:rsidRDefault="00F07B98" w:rsidP="00210E29">
            <w:pPr>
              <w:widowControl w:val="0"/>
              <w:spacing w:after="0" w:line="240" w:lineRule="auto"/>
              <w:jc w:val="center"/>
              <w:textAlignment w:val="baseline"/>
              <w:rPr>
                <w:b/>
                <w:bCs/>
                <w:i/>
                <w:color w:val="000000"/>
                <w:sz w:val="18"/>
                <w:szCs w:val="18"/>
                <w:lang w:eastAsia="sk-SK"/>
              </w:rPr>
            </w:pPr>
            <w:r w:rsidRPr="00E74C9E">
              <w:rPr>
                <w:b/>
                <w:bCs/>
                <w:i/>
                <w:color w:val="000000"/>
                <w:sz w:val="18"/>
                <w:szCs w:val="18"/>
                <w:lang w:eastAsia="sk-SK"/>
              </w:rPr>
              <w:t>2026</w:t>
            </w:r>
          </w:p>
        </w:tc>
      </w:tr>
      <w:tr w:rsidR="00F07B98" w:rsidRPr="00BE46C5" w14:paraId="4AF1922E" w14:textId="77777777" w:rsidTr="000A2FEF">
        <w:trPr>
          <w:trHeight w:val="286"/>
          <w:jc w:val="center"/>
        </w:trPr>
        <w:tc>
          <w:tcPr>
            <w:tcW w:w="6406" w:type="dxa"/>
            <w:tcBorders>
              <w:top w:val="single" w:sz="6" w:space="0" w:color="auto"/>
              <w:left w:val="nil"/>
              <w:bottom w:val="single" w:sz="6" w:space="0" w:color="auto"/>
              <w:right w:val="nil"/>
            </w:tcBorders>
            <w:shd w:val="clear" w:color="auto" w:fill="D4EAF8" w:themeFill="accent1" w:themeFillTint="33"/>
            <w:vAlign w:val="center"/>
            <w:hideMark/>
          </w:tcPr>
          <w:p w14:paraId="10FB4225" w14:textId="77777777" w:rsidR="00F07B98" w:rsidRPr="00E74C9E" w:rsidRDefault="00F07B98" w:rsidP="00210E29">
            <w:pPr>
              <w:widowControl w:val="0"/>
              <w:spacing w:after="0" w:line="240" w:lineRule="auto"/>
              <w:textAlignment w:val="baseline"/>
              <w:rPr>
                <w:b/>
                <w:i/>
                <w:sz w:val="18"/>
                <w:szCs w:val="18"/>
                <w:lang w:eastAsia="sk-SK"/>
              </w:rPr>
            </w:pPr>
            <w:r w:rsidRPr="00E74C9E">
              <w:rPr>
                <w:b/>
                <w:i/>
                <w:color w:val="000000"/>
                <w:sz w:val="18"/>
                <w:szCs w:val="18"/>
                <w:lang w:eastAsia="sk-SK"/>
              </w:rPr>
              <w:t>Príjmová strana rozpočtu VS</w:t>
            </w:r>
          </w:p>
        </w:tc>
        <w:tc>
          <w:tcPr>
            <w:tcW w:w="886" w:type="dxa"/>
            <w:tcBorders>
              <w:top w:val="single" w:sz="6" w:space="0" w:color="auto"/>
              <w:left w:val="nil"/>
              <w:bottom w:val="single" w:sz="6" w:space="0" w:color="auto"/>
              <w:right w:val="nil"/>
            </w:tcBorders>
            <w:shd w:val="clear" w:color="auto" w:fill="D4EAF8" w:themeFill="accent1" w:themeFillTint="33"/>
            <w:vAlign w:val="center"/>
          </w:tcPr>
          <w:p w14:paraId="12252DD5" w14:textId="0B2FD8B5" w:rsidR="00F07B98" w:rsidRPr="00E74C9E" w:rsidRDefault="001A42B8" w:rsidP="00210E29">
            <w:pPr>
              <w:widowControl w:val="0"/>
              <w:spacing w:after="0" w:line="240" w:lineRule="auto"/>
              <w:jc w:val="center"/>
              <w:textAlignment w:val="baseline"/>
              <w:rPr>
                <w:i/>
                <w:sz w:val="18"/>
                <w:szCs w:val="18"/>
                <w:lang w:eastAsia="sk-SK"/>
              </w:rPr>
            </w:pPr>
            <w:r>
              <w:rPr>
                <w:b/>
                <w:sz w:val="18"/>
                <w:szCs w:val="18"/>
              </w:rPr>
              <w:t>1644</w:t>
            </w:r>
          </w:p>
        </w:tc>
        <w:tc>
          <w:tcPr>
            <w:tcW w:w="711" w:type="dxa"/>
            <w:tcBorders>
              <w:top w:val="single" w:sz="6" w:space="0" w:color="auto"/>
              <w:left w:val="nil"/>
              <w:bottom w:val="single" w:sz="6" w:space="0" w:color="auto"/>
              <w:right w:val="nil"/>
            </w:tcBorders>
            <w:shd w:val="clear" w:color="auto" w:fill="D4EAF8" w:themeFill="accent1" w:themeFillTint="33"/>
            <w:vAlign w:val="center"/>
          </w:tcPr>
          <w:p w14:paraId="375BF42F" w14:textId="245F66E9" w:rsidR="00F07B98" w:rsidRPr="00E74C9E" w:rsidRDefault="001A42B8" w:rsidP="00210E29">
            <w:pPr>
              <w:widowControl w:val="0"/>
              <w:spacing w:after="0" w:line="240" w:lineRule="auto"/>
              <w:jc w:val="center"/>
              <w:textAlignment w:val="baseline"/>
              <w:rPr>
                <w:i/>
                <w:sz w:val="18"/>
                <w:szCs w:val="18"/>
                <w:lang w:eastAsia="sk-SK"/>
              </w:rPr>
            </w:pPr>
            <w:r>
              <w:rPr>
                <w:b/>
                <w:sz w:val="18"/>
                <w:szCs w:val="18"/>
              </w:rPr>
              <w:t>1785</w:t>
            </w:r>
          </w:p>
        </w:tc>
        <w:tc>
          <w:tcPr>
            <w:tcW w:w="1007" w:type="dxa"/>
            <w:tcBorders>
              <w:top w:val="single" w:sz="6" w:space="0" w:color="auto"/>
              <w:left w:val="nil"/>
              <w:bottom w:val="single" w:sz="6" w:space="0" w:color="auto"/>
              <w:right w:val="nil"/>
            </w:tcBorders>
            <w:shd w:val="clear" w:color="auto" w:fill="D4EAF8" w:themeFill="accent1" w:themeFillTint="33"/>
            <w:vAlign w:val="center"/>
          </w:tcPr>
          <w:p w14:paraId="5DB38491" w14:textId="1274095E" w:rsidR="00F07B98" w:rsidRPr="00E74C9E" w:rsidRDefault="001A42B8" w:rsidP="00210E29">
            <w:pPr>
              <w:widowControl w:val="0"/>
              <w:spacing w:after="0" w:line="240" w:lineRule="auto"/>
              <w:jc w:val="center"/>
              <w:textAlignment w:val="baseline"/>
              <w:rPr>
                <w:i/>
                <w:sz w:val="18"/>
                <w:szCs w:val="18"/>
                <w:lang w:eastAsia="sk-SK"/>
              </w:rPr>
            </w:pPr>
            <w:r>
              <w:rPr>
                <w:b/>
                <w:sz w:val="18"/>
                <w:szCs w:val="18"/>
              </w:rPr>
              <w:t>1927</w:t>
            </w:r>
          </w:p>
        </w:tc>
      </w:tr>
      <w:tr w:rsidR="00F07B98" w:rsidRPr="00BE46C5" w14:paraId="687ADE02" w14:textId="77777777" w:rsidTr="000A2FEF">
        <w:trPr>
          <w:trHeight w:val="254"/>
          <w:jc w:val="center"/>
        </w:trPr>
        <w:tc>
          <w:tcPr>
            <w:tcW w:w="6406" w:type="dxa"/>
            <w:tcBorders>
              <w:top w:val="single" w:sz="6" w:space="0" w:color="auto"/>
              <w:left w:val="nil"/>
              <w:bottom w:val="nil"/>
              <w:right w:val="nil"/>
            </w:tcBorders>
            <w:shd w:val="clear" w:color="auto" w:fill="auto"/>
            <w:vAlign w:val="center"/>
            <w:hideMark/>
          </w:tcPr>
          <w:p w14:paraId="3081D0F1" w14:textId="77777777" w:rsidR="00F07B98" w:rsidRPr="00E74C9E" w:rsidRDefault="00F07B98" w:rsidP="00210E29">
            <w:pPr>
              <w:widowControl w:val="0"/>
              <w:spacing w:after="0" w:line="240" w:lineRule="auto"/>
              <w:textAlignment w:val="baseline"/>
              <w:rPr>
                <w:sz w:val="18"/>
                <w:szCs w:val="18"/>
                <w:lang w:eastAsia="sk-SK"/>
              </w:rPr>
            </w:pPr>
            <w:r w:rsidRPr="00E74C9E">
              <w:rPr>
                <w:rFonts w:cs="Calibri"/>
                <w:color w:val="000000"/>
                <w:sz w:val="18"/>
                <w:szCs w:val="18"/>
              </w:rPr>
              <w:t>Zníženie odvodov sporiteľov do II. piliera</w:t>
            </w:r>
          </w:p>
        </w:tc>
        <w:tc>
          <w:tcPr>
            <w:tcW w:w="886" w:type="dxa"/>
            <w:tcBorders>
              <w:top w:val="single" w:sz="6" w:space="0" w:color="auto"/>
              <w:left w:val="nil"/>
              <w:bottom w:val="nil"/>
              <w:right w:val="nil"/>
            </w:tcBorders>
            <w:shd w:val="clear" w:color="auto" w:fill="auto"/>
            <w:vAlign w:val="center"/>
            <w:hideMark/>
          </w:tcPr>
          <w:p w14:paraId="7F398C68" w14:textId="6D221D6E" w:rsidR="00F07B98" w:rsidRPr="00E74C9E" w:rsidRDefault="00F30621" w:rsidP="00210E29">
            <w:pPr>
              <w:widowControl w:val="0"/>
              <w:spacing w:after="0" w:line="240" w:lineRule="auto"/>
              <w:jc w:val="center"/>
              <w:textAlignment w:val="baseline"/>
              <w:rPr>
                <w:sz w:val="18"/>
                <w:szCs w:val="18"/>
                <w:lang w:eastAsia="sk-SK"/>
              </w:rPr>
            </w:pPr>
            <w:r>
              <w:rPr>
                <w:sz w:val="18"/>
                <w:szCs w:val="18"/>
                <w:lang w:eastAsia="sk-SK"/>
              </w:rPr>
              <w:t>371</w:t>
            </w:r>
          </w:p>
        </w:tc>
        <w:tc>
          <w:tcPr>
            <w:tcW w:w="711" w:type="dxa"/>
            <w:tcBorders>
              <w:top w:val="single" w:sz="6" w:space="0" w:color="auto"/>
              <w:left w:val="nil"/>
              <w:bottom w:val="nil"/>
              <w:right w:val="nil"/>
            </w:tcBorders>
            <w:shd w:val="clear" w:color="auto" w:fill="auto"/>
            <w:vAlign w:val="center"/>
            <w:hideMark/>
          </w:tcPr>
          <w:p w14:paraId="5DCC7055" w14:textId="4CC11F72" w:rsidR="00F07B98" w:rsidRPr="00E74C9E" w:rsidRDefault="00D141DB" w:rsidP="00210E29">
            <w:pPr>
              <w:widowControl w:val="0"/>
              <w:spacing w:after="0" w:line="240" w:lineRule="auto"/>
              <w:jc w:val="center"/>
              <w:textAlignment w:val="baseline"/>
              <w:rPr>
                <w:sz w:val="18"/>
                <w:szCs w:val="18"/>
                <w:lang w:eastAsia="sk-SK"/>
              </w:rPr>
            </w:pPr>
            <w:r>
              <w:rPr>
                <w:sz w:val="18"/>
                <w:szCs w:val="18"/>
              </w:rPr>
              <w:t>442</w:t>
            </w:r>
          </w:p>
        </w:tc>
        <w:tc>
          <w:tcPr>
            <w:tcW w:w="1007" w:type="dxa"/>
            <w:tcBorders>
              <w:top w:val="single" w:sz="6" w:space="0" w:color="auto"/>
              <w:left w:val="nil"/>
              <w:bottom w:val="nil"/>
              <w:right w:val="nil"/>
            </w:tcBorders>
            <w:shd w:val="clear" w:color="auto" w:fill="auto"/>
            <w:vAlign w:val="center"/>
            <w:hideMark/>
          </w:tcPr>
          <w:p w14:paraId="06FE6525" w14:textId="6FE8924C" w:rsidR="00F07B98" w:rsidRPr="00E74C9E" w:rsidRDefault="00D141DB" w:rsidP="00210E29">
            <w:pPr>
              <w:widowControl w:val="0"/>
              <w:spacing w:after="0" w:line="240" w:lineRule="auto"/>
              <w:jc w:val="center"/>
              <w:textAlignment w:val="baseline"/>
              <w:rPr>
                <w:sz w:val="18"/>
                <w:szCs w:val="18"/>
                <w:lang w:eastAsia="sk-SK"/>
              </w:rPr>
            </w:pPr>
            <w:r>
              <w:rPr>
                <w:sz w:val="18"/>
                <w:szCs w:val="18"/>
              </w:rPr>
              <w:t>465</w:t>
            </w:r>
          </w:p>
        </w:tc>
      </w:tr>
      <w:tr w:rsidR="00F07B98" w:rsidRPr="00BE46C5" w14:paraId="049E2EEE" w14:textId="77777777" w:rsidTr="000A2FEF">
        <w:trPr>
          <w:trHeight w:val="254"/>
          <w:jc w:val="center"/>
        </w:trPr>
        <w:tc>
          <w:tcPr>
            <w:tcW w:w="6406" w:type="dxa"/>
            <w:tcBorders>
              <w:top w:val="nil"/>
              <w:left w:val="nil"/>
              <w:bottom w:val="nil"/>
              <w:right w:val="nil"/>
            </w:tcBorders>
            <w:shd w:val="clear" w:color="auto" w:fill="auto"/>
            <w:vAlign w:val="center"/>
            <w:hideMark/>
          </w:tcPr>
          <w:p w14:paraId="4CA3DAF4" w14:textId="77777777" w:rsidR="00F07B98" w:rsidRPr="00E74C9E" w:rsidRDefault="00F07B98" w:rsidP="00210E29">
            <w:pPr>
              <w:widowControl w:val="0"/>
              <w:spacing w:after="0" w:line="240" w:lineRule="auto"/>
              <w:textAlignment w:val="baseline"/>
              <w:rPr>
                <w:sz w:val="18"/>
                <w:szCs w:val="18"/>
                <w:lang w:eastAsia="sk-SK"/>
              </w:rPr>
            </w:pPr>
            <w:r w:rsidRPr="00E74C9E">
              <w:rPr>
                <w:rFonts w:cs="Calibri"/>
                <w:color w:val="000000"/>
                <w:sz w:val="18"/>
                <w:szCs w:val="18"/>
              </w:rPr>
              <w:t>Zvýšenie zdravotných odvodov zo strany zamestnávateľa</w:t>
            </w:r>
          </w:p>
        </w:tc>
        <w:tc>
          <w:tcPr>
            <w:tcW w:w="886" w:type="dxa"/>
            <w:tcBorders>
              <w:top w:val="nil"/>
              <w:left w:val="nil"/>
              <w:bottom w:val="nil"/>
              <w:right w:val="nil"/>
            </w:tcBorders>
            <w:shd w:val="clear" w:color="auto" w:fill="auto"/>
            <w:vAlign w:val="center"/>
            <w:hideMark/>
          </w:tcPr>
          <w:p w14:paraId="45138F84" w14:textId="18D0E466" w:rsidR="00F07B98" w:rsidRPr="00E74C9E" w:rsidRDefault="00D141DB" w:rsidP="00210E29">
            <w:pPr>
              <w:widowControl w:val="0"/>
              <w:spacing w:after="0" w:line="240" w:lineRule="auto"/>
              <w:jc w:val="center"/>
              <w:textAlignment w:val="baseline"/>
              <w:rPr>
                <w:sz w:val="18"/>
                <w:szCs w:val="18"/>
                <w:lang w:eastAsia="sk-SK"/>
              </w:rPr>
            </w:pPr>
            <w:r>
              <w:rPr>
                <w:sz w:val="18"/>
                <w:szCs w:val="18"/>
              </w:rPr>
              <w:t>350</w:t>
            </w:r>
          </w:p>
        </w:tc>
        <w:tc>
          <w:tcPr>
            <w:tcW w:w="711" w:type="dxa"/>
            <w:tcBorders>
              <w:top w:val="nil"/>
              <w:left w:val="nil"/>
              <w:bottom w:val="nil"/>
              <w:right w:val="nil"/>
            </w:tcBorders>
            <w:shd w:val="clear" w:color="auto" w:fill="auto"/>
            <w:vAlign w:val="center"/>
            <w:hideMark/>
          </w:tcPr>
          <w:p w14:paraId="1A75A2BB" w14:textId="08B3EF8E" w:rsidR="00F07B98" w:rsidRPr="00E74C9E" w:rsidRDefault="00D141DB" w:rsidP="00210E29">
            <w:pPr>
              <w:widowControl w:val="0"/>
              <w:spacing w:after="0" w:line="240" w:lineRule="auto"/>
              <w:jc w:val="center"/>
              <w:textAlignment w:val="baseline"/>
              <w:rPr>
                <w:sz w:val="18"/>
                <w:szCs w:val="18"/>
                <w:lang w:eastAsia="sk-SK"/>
              </w:rPr>
            </w:pPr>
            <w:r>
              <w:rPr>
                <w:sz w:val="18"/>
                <w:szCs w:val="18"/>
              </w:rPr>
              <w:t>372</w:t>
            </w:r>
          </w:p>
        </w:tc>
        <w:tc>
          <w:tcPr>
            <w:tcW w:w="1007" w:type="dxa"/>
            <w:tcBorders>
              <w:top w:val="nil"/>
              <w:left w:val="nil"/>
              <w:bottom w:val="nil"/>
              <w:right w:val="nil"/>
            </w:tcBorders>
            <w:shd w:val="clear" w:color="auto" w:fill="auto"/>
            <w:vAlign w:val="center"/>
            <w:hideMark/>
          </w:tcPr>
          <w:p w14:paraId="2DF0A95D" w14:textId="49E8E627" w:rsidR="00F07B98" w:rsidRPr="00E74C9E" w:rsidRDefault="00D141DB" w:rsidP="00210E29">
            <w:pPr>
              <w:widowControl w:val="0"/>
              <w:spacing w:after="0" w:line="240" w:lineRule="auto"/>
              <w:jc w:val="center"/>
              <w:textAlignment w:val="baseline"/>
              <w:rPr>
                <w:sz w:val="18"/>
                <w:szCs w:val="18"/>
                <w:lang w:eastAsia="sk-SK"/>
              </w:rPr>
            </w:pPr>
            <w:r>
              <w:rPr>
                <w:sz w:val="18"/>
                <w:szCs w:val="18"/>
              </w:rPr>
              <w:t>390</w:t>
            </w:r>
          </w:p>
        </w:tc>
      </w:tr>
      <w:tr w:rsidR="00F07B98" w:rsidRPr="00BE46C5" w14:paraId="4063AAD5" w14:textId="77777777" w:rsidTr="000A2FEF">
        <w:trPr>
          <w:trHeight w:val="254"/>
          <w:jc w:val="center"/>
        </w:trPr>
        <w:tc>
          <w:tcPr>
            <w:tcW w:w="6406" w:type="dxa"/>
            <w:tcBorders>
              <w:top w:val="nil"/>
              <w:left w:val="nil"/>
              <w:bottom w:val="nil"/>
              <w:right w:val="nil"/>
            </w:tcBorders>
            <w:shd w:val="clear" w:color="auto" w:fill="auto"/>
            <w:vAlign w:val="center"/>
            <w:hideMark/>
          </w:tcPr>
          <w:p w14:paraId="437B0148" w14:textId="77777777" w:rsidR="00F07B98" w:rsidRPr="00E74C9E" w:rsidRDefault="00F07B98" w:rsidP="00210E29">
            <w:pPr>
              <w:widowControl w:val="0"/>
              <w:spacing w:after="0" w:line="240" w:lineRule="auto"/>
              <w:textAlignment w:val="baseline"/>
              <w:rPr>
                <w:sz w:val="18"/>
                <w:szCs w:val="18"/>
                <w:lang w:eastAsia="sk-SK"/>
              </w:rPr>
            </w:pPr>
            <w:r w:rsidRPr="00E74C9E">
              <w:rPr>
                <w:rFonts w:cs="Calibri"/>
                <w:color w:val="000000"/>
                <w:sz w:val="18"/>
                <w:szCs w:val="18"/>
              </w:rPr>
              <w:t>Rozšírenie osobitného odvodu bankového sektora</w:t>
            </w:r>
          </w:p>
        </w:tc>
        <w:tc>
          <w:tcPr>
            <w:tcW w:w="886" w:type="dxa"/>
            <w:tcBorders>
              <w:top w:val="nil"/>
              <w:left w:val="nil"/>
              <w:bottom w:val="nil"/>
              <w:right w:val="nil"/>
            </w:tcBorders>
            <w:shd w:val="clear" w:color="auto" w:fill="auto"/>
            <w:vAlign w:val="center"/>
            <w:hideMark/>
          </w:tcPr>
          <w:p w14:paraId="60ECF00F" w14:textId="2487E9B7" w:rsidR="00F07B98" w:rsidRPr="00E74C9E" w:rsidRDefault="00F07B98" w:rsidP="00210E29">
            <w:pPr>
              <w:widowControl w:val="0"/>
              <w:spacing w:after="0" w:line="240" w:lineRule="auto"/>
              <w:jc w:val="center"/>
              <w:textAlignment w:val="baseline"/>
              <w:rPr>
                <w:sz w:val="18"/>
                <w:szCs w:val="18"/>
                <w:lang w:eastAsia="sk-SK"/>
              </w:rPr>
            </w:pPr>
            <w:r w:rsidRPr="00E74C9E">
              <w:rPr>
                <w:sz w:val="18"/>
                <w:szCs w:val="18"/>
                <w:lang w:eastAsia="sk-SK"/>
              </w:rPr>
              <w:t>3</w:t>
            </w:r>
            <w:r w:rsidR="00D141DB">
              <w:rPr>
                <w:sz w:val="18"/>
                <w:szCs w:val="18"/>
                <w:lang w:eastAsia="sk-SK"/>
              </w:rPr>
              <w:t>20</w:t>
            </w:r>
          </w:p>
        </w:tc>
        <w:tc>
          <w:tcPr>
            <w:tcW w:w="711" w:type="dxa"/>
            <w:tcBorders>
              <w:top w:val="nil"/>
              <w:left w:val="nil"/>
              <w:bottom w:val="nil"/>
              <w:right w:val="nil"/>
            </w:tcBorders>
            <w:shd w:val="clear" w:color="auto" w:fill="auto"/>
            <w:vAlign w:val="center"/>
          </w:tcPr>
          <w:p w14:paraId="7CC26588" w14:textId="6B7AE00D" w:rsidR="00F07B98" w:rsidRPr="00E74C9E" w:rsidRDefault="00D141DB" w:rsidP="00210E29">
            <w:pPr>
              <w:widowControl w:val="0"/>
              <w:spacing w:after="0" w:line="240" w:lineRule="auto"/>
              <w:jc w:val="center"/>
              <w:textAlignment w:val="baseline"/>
              <w:rPr>
                <w:sz w:val="18"/>
                <w:szCs w:val="18"/>
                <w:lang w:eastAsia="sk-SK"/>
              </w:rPr>
            </w:pPr>
            <w:r>
              <w:rPr>
                <w:sz w:val="18"/>
                <w:szCs w:val="18"/>
                <w:lang w:eastAsia="sk-SK"/>
              </w:rPr>
              <w:t>269</w:t>
            </w:r>
          </w:p>
        </w:tc>
        <w:tc>
          <w:tcPr>
            <w:tcW w:w="1007" w:type="dxa"/>
            <w:tcBorders>
              <w:top w:val="nil"/>
              <w:left w:val="nil"/>
              <w:bottom w:val="nil"/>
              <w:right w:val="nil"/>
            </w:tcBorders>
            <w:shd w:val="clear" w:color="auto" w:fill="auto"/>
            <w:vAlign w:val="center"/>
          </w:tcPr>
          <w:p w14:paraId="48BE1CCC" w14:textId="4599760B" w:rsidR="00F07B98" w:rsidRPr="00E74C9E" w:rsidRDefault="00D141DB" w:rsidP="00210E29">
            <w:pPr>
              <w:widowControl w:val="0"/>
              <w:spacing w:after="0" w:line="240" w:lineRule="auto"/>
              <w:jc w:val="center"/>
              <w:textAlignment w:val="baseline"/>
              <w:rPr>
                <w:sz w:val="18"/>
                <w:szCs w:val="18"/>
                <w:lang w:eastAsia="sk-SK"/>
              </w:rPr>
            </w:pPr>
            <w:r>
              <w:rPr>
                <w:sz w:val="18"/>
                <w:szCs w:val="18"/>
                <w:lang w:eastAsia="sk-SK"/>
              </w:rPr>
              <w:t>228</w:t>
            </w:r>
          </w:p>
        </w:tc>
      </w:tr>
      <w:tr w:rsidR="00F07B98" w:rsidRPr="00BE46C5" w14:paraId="5BF9F164" w14:textId="77777777" w:rsidTr="000A2FEF">
        <w:trPr>
          <w:trHeight w:val="254"/>
          <w:jc w:val="center"/>
        </w:trPr>
        <w:tc>
          <w:tcPr>
            <w:tcW w:w="6406" w:type="dxa"/>
            <w:tcBorders>
              <w:top w:val="nil"/>
              <w:left w:val="nil"/>
              <w:bottom w:val="nil"/>
              <w:right w:val="nil"/>
            </w:tcBorders>
            <w:shd w:val="clear" w:color="auto" w:fill="auto"/>
            <w:vAlign w:val="center"/>
          </w:tcPr>
          <w:p w14:paraId="4A9D765C" w14:textId="77777777" w:rsidR="00F07B98" w:rsidRPr="00714F71" w:rsidRDefault="00F07B98" w:rsidP="00210E29">
            <w:pPr>
              <w:widowControl w:val="0"/>
              <w:spacing w:after="0" w:line="240" w:lineRule="auto"/>
              <w:textAlignment w:val="baseline"/>
              <w:rPr>
                <w:rFonts w:cs="Calibri"/>
                <w:color w:val="000000"/>
                <w:sz w:val="18"/>
                <w:szCs w:val="18"/>
              </w:rPr>
            </w:pPr>
            <w:r w:rsidRPr="00714F71">
              <w:rPr>
                <w:rFonts w:cs="Calibri"/>
                <w:color w:val="000000"/>
                <w:sz w:val="18"/>
                <w:szCs w:val="18"/>
              </w:rPr>
              <w:t>Predĺženie solidárneho príspevku zo spracovania ropy</w:t>
            </w:r>
          </w:p>
        </w:tc>
        <w:tc>
          <w:tcPr>
            <w:tcW w:w="886" w:type="dxa"/>
            <w:tcBorders>
              <w:top w:val="nil"/>
              <w:left w:val="nil"/>
              <w:bottom w:val="nil"/>
              <w:right w:val="nil"/>
            </w:tcBorders>
            <w:shd w:val="clear" w:color="auto" w:fill="auto"/>
            <w:vAlign w:val="center"/>
          </w:tcPr>
          <w:p w14:paraId="15D27E1E" w14:textId="5A1AB734" w:rsidR="00F07B98" w:rsidRPr="00714F71" w:rsidRDefault="00F07B98" w:rsidP="00210E29">
            <w:pPr>
              <w:widowControl w:val="0"/>
              <w:spacing w:after="0" w:line="240" w:lineRule="auto"/>
              <w:jc w:val="center"/>
              <w:textAlignment w:val="baseline"/>
              <w:rPr>
                <w:sz w:val="18"/>
                <w:szCs w:val="18"/>
                <w:lang w:eastAsia="sk-SK"/>
              </w:rPr>
            </w:pPr>
            <w:r w:rsidRPr="00714F71">
              <w:rPr>
                <w:sz w:val="18"/>
                <w:szCs w:val="18"/>
                <w:lang w:eastAsia="sk-SK"/>
              </w:rPr>
              <w:t>1</w:t>
            </w:r>
            <w:r w:rsidR="00874BF3" w:rsidRPr="00714F71">
              <w:rPr>
                <w:sz w:val="18"/>
                <w:szCs w:val="18"/>
                <w:lang w:eastAsia="sk-SK"/>
              </w:rPr>
              <w:t>29</w:t>
            </w:r>
          </w:p>
        </w:tc>
        <w:tc>
          <w:tcPr>
            <w:tcW w:w="711" w:type="dxa"/>
            <w:tcBorders>
              <w:top w:val="nil"/>
              <w:left w:val="nil"/>
              <w:bottom w:val="nil"/>
              <w:right w:val="nil"/>
            </w:tcBorders>
            <w:shd w:val="clear" w:color="auto" w:fill="auto"/>
            <w:vAlign w:val="center"/>
          </w:tcPr>
          <w:p w14:paraId="473CFE71" w14:textId="77777777" w:rsidR="00F07B98" w:rsidRPr="00714F71" w:rsidRDefault="00F07B98" w:rsidP="00210E29">
            <w:pPr>
              <w:widowControl w:val="0"/>
              <w:spacing w:after="0" w:line="240" w:lineRule="auto"/>
              <w:jc w:val="center"/>
              <w:textAlignment w:val="baseline"/>
              <w:rPr>
                <w:sz w:val="18"/>
                <w:szCs w:val="18"/>
                <w:lang w:eastAsia="sk-SK"/>
              </w:rPr>
            </w:pPr>
            <w:r w:rsidRPr="00714F71">
              <w:rPr>
                <w:sz w:val="18"/>
                <w:szCs w:val="18"/>
                <w:lang w:eastAsia="sk-SK"/>
              </w:rPr>
              <w:t>-</w:t>
            </w:r>
          </w:p>
        </w:tc>
        <w:tc>
          <w:tcPr>
            <w:tcW w:w="1007" w:type="dxa"/>
            <w:tcBorders>
              <w:top w:val="nil"/>
              <w:left w:val="nil"/>
              <w:bottom w:val="nil"/>
              <w:right w:val="nil"/>
            </w:tcBorders>
            <w:shd w:val="clear" w:color="auto" w:fill="auto"/>
            <w:vAlign w:val="center"/>
          </w:tcPr>
          <w:p w14:paraId="09FA2213" w14:textId="77777777" w:rsidR="00F07B98" w:rsidRPr="00714F71" w:rsidRDefault="00F07B98" w:rsidP="00210E29">
            <w:pPr>
              <w:widowControl w:val="0"/>
              <w:spacing w:after="0" w:line="240" w:lineRule="auto"/>
              <w:jc w:val="center"/>
              <w:textAlignment w:val="baseline"/>
              <w:rPr>
                <w:sz w:val="18"/>
                <w:szCs w:val="18"/>
                <w:lang w:eastAsia="sk-SK"/>
              </w:rPr>
            </w:pPr>
            <w:r w:rsidRPr="00714F71">
              <w:rPr>
                <w:sz w:val="18"/>
                <w:szCs w:val="18"/>
                <w:lang w:eastAsia="sk-SK"/>
              </w:rPr>
              <w:t>-</w:t>
            </w:r>
          </w:p>
        </w:tc>
      </w:tr>
      <w:tr w:rsidR="00F07B98" w:rsidRPr="00BE46C5" w14:paraId="528BE40D" w14:textId="77777777" w:rsidTr="000A2FEF">
        <w:trPr>
          <w:trHeight w:val="254"/>
          <w:jc w:val="center"/>
        </w:trPr>
        <w:tc>
          <w:tcPr>
            <w:tcW w:w="6406" w:type="dxa"/>
            <w:tcBorders>
              <w:top w:val="nil"/>
              <w:left w:val="nil"/>
              <w:bottom w:val="nil"/>
              <w:right w:val="nil"/>
            </w:tcBorders>
            <w:shd w:val="clear" w:color="auto" w:fill="auto"/>
            <w:vAlign w:val="center"/>
          </w:tcPr>
          <w:p w14:paraId="1EAE75E7" w14:textId="77777777" w:rsidR="00F07B98" w:rsidRPr="00714F71" w:rsidRDefault="00F07B98" w:rsidP="00210E29">
            <w:pPr>
              <w:widowControl w:val="0"/>
              <w:spacing w:after="0" w:line="240" w:lineRule="auto"/>
              <w:textAlignment w:val="baseline"/>
              <w:rPr>
                <w:rFonts w:cs="Calibri"/>
                <w:color w:val="000000" w:themeColor="text1"/>
                <w:sz w:val="18"/>
                <w:szCs w:val="18"/>
              </w:rPr>
            </w:pPr>
            <w:r w:rsidRPr="00714F71">
              <w:rPr>
                <w:rFonts w:cs="Calibri"/>
                <w:color w:val="000000" w:themeColor="text1"/>
                <w:sz w:val="18"/>
                <w:szCs w:val="18"/>
              </w:rPr>
              <w:t>Zavedenie minimálnej dane z príjmu pre právnické osoby</w:t>
            </w:r>
          </w:p>
        </w:tc>
        <w:tc>
          <w:tcPr>
            <w:tcW w:w="886" w:type="dxa"/>
            <w:tcBorders>
              <w:top w:val="nil"/>
              <w:left w:val="nil"/>
              <w:bottom w:val="nil"/>
              <w:right w:val="nil"/>
            </w:tcBorders>
            <w:shd w:val="clear" w:color="auto" w:fill="auto"/>
            <w:vAlign w:val="center"/>
          </w:tcPr>
          <w:p w14:paraId="25EDD9F7" w14:textId="77777777" w:rsidR="00F07B98" w:rsidRPr="00714F71" w:rsidRDefault="00F07B98" w:rsidP="00210E29">
            <w:pPr>
              <w:widowControl w:val="0"/>
              <w:spacing w:after="0" w:line="240" w:lineRule="auto"/>
              <w:jc w:val="center"/>
              <w:textAlignment w:val="baseline"/>
              <w:rPr>
                <w:color w:val="000000" w:themeColor="text1"/>
                <w:sz w:val="18"/>
                <w:szCs w:val="18"/>
                <w:lang w:eastAsia="sk-SK"/>
              </w:rPr>
            </w:pPr>
            <w:r w:rsidRPr="00714F71">
              <w:rPr>
                <w:color w:val="000000" w:themeColor="text1"/>
                <w:sz w:val="18"/>
                <w:szCs w:val="18"/>
              </w:rPr>
              <w:t>118</w:t>
            </w:r>
          </w:p>
        </w:tc>
        <w:tc>
          <w:tcPr>
            <w:tcW w:w="711" w:type="dxa"/>
            <w:tcBorders>
              <w:top w:val="nil"/>
              <w:left w:val="nil"/>
              <w:bottom w:val="nil"/>
              <w:right w:val="nil"/>
            </w:tcBorders>
            <w:shd w:val="clear" w:color="auto" w:fill="auto"/>
            <w:vAlign w:val="center"/>
          </w:tcPr>
          <w:p w14:paraId="30CF914D" w14:textId="77777777" w:rsidR="00F07B98" w:rsidRPr="00714F71" w:rsidRDefault="00F07B98" w:rsidP="00210E29">
            <w:pPr>
              <w:widowControl w:val="0"/>
              <w:spacing w:after="0" w:line="240" w:lineRule="auto"/>
              <w:jc w:val="center"/>
              <w:textAlignment w:val="baseline"/>
              <w:rPr>
                <w:color w:val="000000" w:themeColor="text1"/>
                <w:sz w:val="18"/>
                <w:szCs w:val="18"/>
                <w:lang w:eastAsia="sk-SK"/>
              </w:rPr>
            </w:pPr>
            <w:r w:rsidRPr="00714F71">
              <w:rPr>
                <w:color w:val="000000" w:themeColor="text1"/>
                <w:sz w:val="18"/>
                <w:szCs w:val="18"/>
                <w:lang w:eastAsia="sk-SK"/>
              </w:rPr>
              <w:t>102</w:t>
            </w:r>
          </w:p>
        </w:tc>
        <w:tc>
          <w:tcPr>
            <w:tcW w:w="1007" w:type="dxa"/>
            <w:tcBorders>
              <w:top w:val="nil"/>
              <w:left w:val="nil"/>
              <w:bottom w:val="nil"/>
              <w:right w:val="nil"/>
            </w:tcBorders>
            <w:shd w:val="clear" w:color="auto" w:fill="auto"/>
            <w:vAlign w:val="center"/>
          </w:tcPr>
          <w:p w14:paraId="26061622" w14:textId="77777777" w:rsidR="00F07B98" w:rsidRPr="00714F71" w:rsidRDefault="00F07B98" w:rsidP="00210E29">
            <w:pPr>
              <w:widowControl w:val="0"/>
              <w:spacing w:after="0" w:line="240" w:lineRule="auto"/>
              <w:jc w:val="center"/>
              <w:textAlignment w:val="baseline"/>
              <w:rPr>
                <w:color w:val="000000" w:themeColor="text1"/>
                <w:sz w:val="18"/>
                <w:szCs w:val="18"/>
                <w:lang w:eastAsia="sk-SK"/>
              </w:rPr>
            </w:pPr>
            <w:r w:rsidRPr="00714F71">
              <w:rPr>
                <w:color w:val="000000" w:themeColor="text1"/>
                <w:sz w:val="18"/>
                <w:szCs w:val="18"/>
                <w:lang w:eastAsia="sk-SK"/>
              </w:rPr>
              <w:t>101</w:t>
            </w:r>
          </w:p>
        </w:tc>
      </w:tr>
      <w:tr w:rsidR="00F07B98" w:rsidRPr="00BE46C5" w14:paraId="6EE4F799" w14:textId="77777777" w:rsidTr="000A2FEF">
        <w:trPr>
          <w:trHeight w:val="254"/>
          <w:jc w:val="center"/>
        </w:trPr>
        <w:tc>
          <w:tcPr>
            <w:tcW w:w="6406" w:type="dxa"/>
            <w:tcBorders>
              <w:top w:val="nil"/>
              <w:left w:val="nil"/>
              <w:bottom w:val="nil"/>
              <w:right w:val="nil"/>
            </w:tcBorders>
            <w:shd w:val="clear" w:color="auto" w:fill="auto"/>
            <w:vAlign w:val="center"/>
          </w:tcPr>
          <w:p w14:paraId="5BB8AE6C" w14:textId="77777777" w:rsidR="00F07B98" w:rsidRPr="0083579D" w:rsidRDefault="00F07B98" w:rsidP="00210E29">
            <w:pPr>
              <w:widowControl w:val="0"/>
              <w:spacing w:after="0" w:line="240" w:lineRule="auto"/>
              <w:textAlignment w:val="baseline"/>
              <w:rPr>
                <w:rFonts w:cs="Calibri"/>
                <w:color w:val="000000" w:themeColor="text1"/>
                <w:sz w:val="18"/>
                <w:szCs w:val="18"/>
              </w:rPr>
            </w:pPr>
            <w:r w:rsidRPr="0083579D">
              <w:rPr>
                <w:rFonts w:cs="Calibri"/>
                <w:color w:val="000000" w:themeColor="text1"/>
                <w:sz w:val="18"/>
                <w:szCs w:val="18"/>
              </w:rPr>
              <w:t>Zvýšenie spotrebnej dane z tabakových výrobkov</w:t>
            </w:r>
          </w:p>
        </w:tc>
        <w:tc>
          <w:tcPr>
            <w:tcW w:w="886" w:type="dxa"/>
            <w:tcBorders>
              <w:top w:val="nil"/>
              <w:left w:val="nil"/>
              <w:bottom w:val="nil"/>
              <w:right w:val="nil"/>
            </w:tcBorders>
            <w:shd w:val="clear" w:color="auto" w:fill="auto"/>
            <w:vAlign w:val="center"/>
          </w:tcPr>
          <w:p w14:paraId="57084E0F" w14:textId="43C0093E" w:rsidR="00F07B98" w:rsidRPr="0083579D" w:rsidRDefault="000A0ED3" w:rsidP="00210E29">
            <w:pPr>
              <w:widowControl w:val="0"/>
              <w:spacing w:after="0" w:line="240" w:lineRule="auto"/>
              <w:jc w:val="center"/>
              <w:textAlignment w:val="baseline"/>
              <w:rPr>
                <w:color w:val="000000" w:themeColor="text1"/>
                <w:sz w:val="18"/>
                <w:szCs w:val="18"/>
                <w:lang w:eastAsia="sk-SK"/>
              </w:rPr>
            </w:pPr>
            <w:r w:rsidRPr="0083579D">
              <w:rPr>
                <w:color w:val="000000" w:themeColor="text1"/>
                <w:sz w:val="18"/>
                <w:szCs w:val="18"/>
              </w:rPr>
              <w:t>83</w:t>
            </w:r>
          </w:p>
        </w:tc>
        <w:tc>
          <w:tcPr>
            <w:tcW w:w="711" w:type="dxa"/>
            <w:tcBorders>
              <w:top w:val="nil"/>
              <w:left w:val="nil"/>
              <w:bottom w:val="nil"/>
              <w:right w:val="nil"/>
            </w:tcBorders>
            <w:shd w:val="clear" w:color="auto" w:fill="auto"/>
            <w:vAlign w:val="center"/>
          </w:tcPr>
          <w:p w14:paraId="74A773B5" w14:textId="77777777" w:rsidR="00F07B98" w:rsidRPr="0083579D" w:rsidRDefault="00F07B98" w:rsidP="00210E29">
            <w:pPr>
              <w:widowControl w:val="0"/>
              <w:spacing w:after="0" w:line="240" w:lineRule="auto"/>
              <w:jc w:val="center"/>
              <w:textAlignment w:val="baseline"/>
              <w:rPr>
                <w:color w:val="000000" w:themeColor="text1"/>
                <w:sz w:val="18"/>
                <w:szCs w:val="18"/>
                <w:lang w:eastAsia="sk-SK"/>
              </w:rPr>
            </w:pPr>
            <w:r w:rsidRPr="0083579D">
              <w:rPr>
                <w:color w:val="000000" w:themeColor="text1"/>
                <w:sz w:val="18"/>
                <w:szCs w:val="18"/>
              </w:rPr>
              <w:t>153</w:t>
            </w:r>
          </w:p>
        </w:tc>
        <w:tc>
          <w:tcPr>
            <w:tcW w:w="1007" w:type="dxa"/>
            <w:tcBorders>
              <w:top w:val="nil"/>
              <w:left w:val="nil"/>
              <w:bottom w:val="nil"/>
              <w:right w:val="nil"/>
            </w:tcBorders>
            <w:shd w:val="clear" w:color="auto" w:fill="auto"/>
            <w:vAlign w:val="center"/>
          </w:tcPr>
          <w:p w14:paraId="570ED3EC" w14:textId="006E06B7" w:rsidR="00F07B98" w:rsidRPr="0083579D" w:rsidRDefault="000A0ED3" w:rsidP="00210E29">
            <w:pPr>
              <w:widowControl w:val="0"/>
              <w:spacing w:after="0" w:line="240" w:lineRule="auto"/>
              <w:jc w:val="center"/>
              <w:textAlignment w:val="baseline"/>
              <w:rPr>
                <w:color w:val="000000" w:themeColor="text1"/>
                <w:sz w:val="18"/>
                <w:szCs w:val="18"/>
                <w:lang w:eastAsia="sk-SK"/>
              </w:rPr>
            </w:pPr>
            <w:r w:rsidRPr="0083579D">
              <w:rPr>
                <w:color w:val="000000" w:themeColor="text1"/>
                <w:sz w:val="18"/>
                <w:szCs w:val="18"/>
              </w:rPr>
              <w:t>152</w:t>
            </w:r>
          </w:p>
        </w:tc>
      </w:tr>
      <w:tr w:rsidR="00F07B98" w:rsidRPr="00BE46C5" w14:paraId="2B0741EC" w14:textId="77777777" w:rsidTr="000A2FEF">
        <w:trPr>
          <w:trHeight w:val="254"/>
          <w:jc w:val="center"/>
        </w:trPr>
        <w:tc>
          <w:tcPr>
            <w:tcW w:w="6406" w:type="dxa"/>
            <w:tcBorders>
              <w:top w:val="nil"/>
              <w:left w:val="nil"/>
              <w:bottom w:val="nil"/>
              <w:right w:val="nil"/>
            </w:tcBorders>
            <w:shd w:val="clear" w:color="auto" w:fill="auto"/>
            <w:vAlign w:val="center"/>
          </w:tcPr>
          <w:p w14:paraId="60FB93E1" w14:textId="77777777" w:rsidR="00F07B98" w:rsidRPr="00714F71" w:rsidRDefault="00F07B98" w:rsidP="00210E29">
            <w:pPr>
              <w:widowControl w:val="0"/>
              <w:spacing w:after="0" w:line="240" w:lineRule="auto"/>
              <w:textAlignment w:val="baseline"/>
              <w:rPr>
                <w:rFonts w:cs="Calibri"/>
                <w:color w:val="000000" w:themeColor="text1"/>
                <w:sz w:val="18"/>
                <w:szCs w:val="18"/>
              </w:rPr>
            </w:pPr>
            <w:r w:rsidRPr="00714F71">
              <w:rPr>
                <w:rFonts w:cs="Calibri"/>
                <w:color w:val="000000" w:themeColor="text1"/>
                <w:sz w:val="18"/>
                <w:szCs w:val="18"/>
              </w:rPr>
              <w:t>Odvod zo zisku Vodohospodárskej výstavby</w:t>
            </w:r>
          </w:p>
        </w:tc>
        <w:tc>
          <w:tcPr>
            <w:tcW w:w="886" w:type="dxa"/>
            <w:tcBorders>
              <w:top w:val="nil"/>
              <w:left w:val="nil"/>
              <w:bottom w:val="nil"/>
              <w:right w:val="nil"/>
            </w:tcBorders>
            <w:shd w:val="clear" w:color="auto" w:fill="auto"/>
            <w:vAlign w:val="center"/>
          </w:tcPr>
          <w:p w14:paraId="2E64FCC6" w14:textId="71FB1940" w:rsidR="00F07B98" w:rsidRPr="00714F71" w:rsidRDefault="00F07B98" w:rsidP="00210E29">
            <w:pPr>
              <w:widowControl w:val="0"/>
              <w:spacing w:after="0" w:line="240" w:lineRule="auto"/>
              <w:jc w:val="center"/>
              <w:textAlignment w:val="baseline"/>
              <w:rPr>
                <w:color w:val="000000" w:themeColor="text1"/>
                <w:sz w:val="18"/>
                <w:szCs w:val="18"/>
              </w:rPr>
            </w:pPr>
            <w:r w:rsidRPr="00714F71">
              <w:rPr>
                <w:color w:val="000000" w:themeColor="text1"/>
                <w:sz w:val="18"/>
                <w:szCs w:val="18"/>
              </w:rPr>
              <w:t>8</w:t>
            </w:r>
            <w:r w:rsidR="000D3E09" w:rsidRPr="00714F71">
              <w:rPr>
                <w:color w:val="000000" w:themeColor="text1"/>
                <w:sz w:val="18"/>
                <w:szCs w:val="18"/>
              </w:rPr>
              <w:t>3</w:t>
            </w:r>
          </w:p>
        </w:tc>
        <w:tc>
          <w:tcPr>
            <w:tcW w:w="711" w:type="dxa"/>
            <w:tcBorders>
              <w:top w:val="nil"/>
              <w:left w:val="nil"/>
              <w:bottom w:val="nil"/>
              <w:right w:val="nil"/>
            </w:tcBorders>
            <w:shd w:val="clear" w:color="auto" w:fill="auto"/>
            <w:vAlign w:val="center"/>
          </w:tcPr>
          <w:p w14:paraId="73421031" w14:textId="77777777" w:rsidR="00F07B98" w:rsidRPr="00714F71" w:rsidRDefault="00F07B98" w:rsidP="00210E29">
            <w:pPr>
              <w:widowControl w:val="0"/>
              <w:spacing w:after="0" w:line="240" w:lineRule="auto"/>
              <w:jc w:val="center"/>
              <w:textAlignment w:val="baseline"/>
              <w:rPr>
                <w:color w:val="000000" w:themeColor="text1"/>
                <w:sz w:val="18"/>
                <w:szCs w:val="18"/>
              </w:rPr>
            </w:pPr>
            <w:r w:rsidRPr="00714F71">
              <w:rPr>
                <w:color w:val="000000" w:themeColor="text1"/>
                <w:sz w:val="18"/>
                <w:szCs w:val="18"/>
              </w:rPr>
              <w:t>40</w:t>
            </w:r>
          </w:p>
        </w:tc>
        <w:tc>
          <w:tcPr>
            <w:tcW w:w="1007" w:type="dxa"/>
            <w:tcBorders>
              <w:top w:val="nil"/>
              <w:left w:val="nil"/>
              <w:bottom w:val="nil"/>
              <w:right w:val="nil"/>
            </w:tcBorders>
            <w:shd w:val="clear" w:color="auto" w:fill="auto"/>
            <w:vAlign w:val="center"/>
          </w:tcPr>
          <w:p w14:paraId="487426F4" w14:textId="77777777" w:rsidR="00F07B98" w:rsidRPr="00714F71" w:rsidRDefault="00F07B98" w:rsidP="00210E29">
            <w:pPr>
              <w:widowControl w:val="0"/>
              <w:spacing w:after="0" w:line="240" w:lineRule="auto"/>
              <w:jc w:val="center"/>
              <w:textAlignment w:val="baseline"/>
              <w:rPr>
                <w:color w:val="000000" w:themeColor="text1"/>
                <w:sz w:val="18"/>
                <w:szCs w:val="18"/>
              </w:rPr>
            </w:pPr>
            <w:r w:rsidRPr="00714F71">
              <w:rPr>
                <w:color w:val="000000" w:themeColor="text1"/>
                <w:sz w:val="18"/>
                <w:szCs w:val="18"/>
              </w:rPr>
              <w:t>20</w:t>
            </w:r>
          </w:p>
        </w:tc>
      </w:tr>
      <w:tr w:rsidR="00F07B98" w:rsidRPr="00BE46C5" w14:paraId="41748116" w14:textId="77777777" w:rsidTr="00DB629A">
        <w:trPr>
          <w:trHeight w:val="254"/>
          <w:jc w:val="center"/>
        </w:trPr>
        <w:tc>
          <w:tcPr>
            <w:tcW w:w="6406" w:type="dxa"/>
            <w:tcBorders>
              <w:top w:val="nil"/>
              <w:left w:val="nil"/>
              <w:bottom w:val="nil"/>
              <w:right w:val="nil"/>
            </w:tcBorders>
            <w:shd w:val="clear" w:color="auto" w:fill="auto"/>
            <w:vAlign w:val="center"/>
          </w:tcPr>
          <w:p w14:paraId="5078C80F" w14:textId="77777777" w:rsidR="00F07B98" w:rsidRPr="00714F71" w:rsidRDefault="00F07B98" w:rsidP="00210E29">
            <w:pPr>
              <w:widowControl w:val="0"/>
              <w:spacing w:after="0" w:line="240" w:lineRule="auto"/>
              <w:textAlignment w:val="baseline"/>
              <w:rPr>
                <w:rFonts w:cs="Calibri"/>
                <w:color w:val="000000" w:themeColor="text1"/>
                <w:sz w:val="18"/>
                <w:szCs w:val="18"/>
              </w:rPr>
            </w:pPr>
            <w:r w:rsidRPr="00714F71">
              <w:rPr>
                <w:rFonts w:cs="Calibri"/>
                <w:color w:val="000000" w:themeColor="text1"/>
                <w:sz w:val="18"/>
                <w:szCs w:val="18"/>
              </w:rPr>
              <w:t>Ostatné príjmové opatrenia</w:t>
            </w:r>
          </w:p>
        </w:tc>
        <w:tc>
          <w:tcPr>
            <w:tcW w:w="886" w:type="dxa"/>
            <w:tcBorders>
              <w:top w:val="nil"/>
              <w:left w:val="nil"/>
              <w:bottom w:val="nil"/>
              <w:right w:val="nil"/>
            </w:tcBorders>
            <w:shd w:val="clear" w:color="auto" w:fill="auto"/>
            <w:vAlign w:val="center"/>
          </w:tcPr>
          <w:p w14:paraId="449FD2AC" w14:textId="544EE390" w:rsidR="00F07B98" w:rsidRPr="00714F71" w:rsidRDefault="001A42B8" w:rsidP="00210E29">
            <w:pPr>
              <w:widowControl w:val="0"/>
              <w:spacing w:after="0" w:line="240" w:lineRule="auto"/>
              <w:jc w:val="center"/>
              <w:textAlignment w:val="baseline"/>
              <w:rPr>
                <w:color w:val="000000" w:themeColor="text1"/>
                <w:sz w:val="18"/>
                <w:szCs w:val="18"/>
              </w:rPr>
            </w:pPr>
            <w:r w:rsidRPr="00714F71">
              <w:rPr>
                <w:color w:val="000000" w:themeColor="text1"/>
                <w:sz w:val="18"/>
                <w:szCs w:val="18"/>
              </w:rPr>
              <w:t>187</w:t>
            </w:r>
          </w:p>
        </w:tc>
        <w:tc>
          <w:tcPr>
            <w:tcW w:w="711" w:type="dxa"/>
            <w:tcBorders>
              <w:top w:val="nil"/>
              <w:left w:val="nil"/>
              <w:bottom w:val="nil"/>
              <w:right w:val="nil"/>
            </w:tcBorders>
            <w:shd w:val="clear" w:color="auto" w:fill="auto"/>
            <w:vAlign w:val="center"/>
          </w:tcPr>
          <w:p w14:paraId="4261E78D" w14:textId="2614A9A4" w:rsidR="00F07B98" w:rsidRPr="00714F71" w:rsidRDefault="001A42B8" w:rsidP="00210E29">
            <w:pPr>
              <w:widowControl w:val="0"/>
              <w:spacing w:after="0" w:line="240" w:lineRule="auto"/>
              <w:jc w:val="center"/>
              <w:textAlignment w:val="baseline"/>
              <w:rPr>
                <w:color w:val="000000" w:themeColor="text1"/>
                <w:sz w:val="18"/>
                <w:szCs w:val="18"/>
              </w:rPr>
            </w:pPr>
            <w:r w:rsidRPr="00714F71">
              <w:rPr>
                <w:color w:val="000000" w:themeColor="text1"/>
                <w:sz w:val="18"/>
                <w:szCs w:val="18"/>
              </w:rPr>
              <w:t>222</w:t>
            </w:r>
          </w:p>
        </w:tc>
        <w:tc>
          <w:tcPr>
            <w:tcW w:w="1007" w:type="dxa"/>
            <w:tcBorders>
              <w:top w:val="nil"/>
              <w:left w:val="nil"/>
              <w:bottom w:val="nil"/>
              <w:right w:val="nil"/>
            </w:tcBorders>
            <w:shd w:val="clear" w:color="auto" w:fill="auto"/>
            <w:vAlign w:val="center"/>
          </w:tcPr>
          <w:p w14:paraId="40FCE89C" w14:textId="05354AAE" w:rsidR="00F07B98" w:rsidRPr="00714F71" w:rsidRDefault="001A42B8" w:rsidP="00210E29">
            <w:pPr>
              <w:widowControl w:val="0"/>
              <w:spacing w:after="0" w:line="240" w:lineRule="auto"/>
              <w:jc w:val="center"/>
              <w:textAlignment w:val="baseline"/>
              <w:rPr>
                <w:color w:val="000000" w:themeColor="text1"/>
                <w:sz w:val="18"/>
                <w:szCs w:val="18"/>
              </w:rPr>
            </w:pPr>
            <w:r w:rsidRPr="00714F71">
              <w:rPr>
                <w:color w:val="000000" w:themeColor="text1"/>
                <w:sz w:val="18"/>
                <w:szCs w:val="18"/>
              </w:rPr>
              <w:t>236</w:t>
            </w:r>
          </w:p>
        </w:tc>
      </w:tr>
      <w:tr w:rsidR="00F07B98" w:rsidRPr="00BE46C5" w14:paraId="1E86E4EF" w14:textId="77777777" w:rsidTr="00DB629A">
        <w:trPr>
          <w:trHeight w:val="254"/>
          <w:jc w:val="center"/>
        </w:trPr>
        <w:tc>
          <w:tcPr>
            <w:tcW w:w="6406" w:type="dxa"/>
            <w:tcBorders>
              <w:top w:val="nil"/>
              <w:left w:val="nil"/>
              <w:bottom w:val="single" w:sz="4" w:space="0" w:color="auto"/>
              <w:right w:val="nil"/>
            </w:tcBorders>
            <w:shd w:val="clear" w:color="auto" w:fill="auto"/>
            <w:vAlign w:val="center"/>
          </w:tcPr>
          <w:p w14:paraId="2D890FB8" w14:textId="77777777" w:rsidR="00F07B98" w:rsidRPr="00714F71" w:rsidRDefault="00F07B98" w:rsidP="00210E29">
            <w:pPr>
              <w:widowControl w:val="0"/>
              <w:spacing w:after="0" w:line="240" w:lineRule="auto"/>
              <w:textAlignment w:val="baseline"/>
              <w:rPr>
                <w:rFonts w:cs="Calibri"/>
                <w:color w:val="000000" w:themeColor="text1"/>
                <w:sz w:val="18"/>
                <w:szCs w:val="18"/>
              </w:rPr>
            </w:pPr>
            <w:r w:rsidRPr="00714F71">
              <w:rPr>
                <w:rFonts w:cs="Calibri"/>
                <w:color w:val="000000" w:themeColor="text1"/>
                <w:sz w:val="18"/>
                <w:szCs w:val="18"/>
              </w:rPr>
              <w:t>Zrušenie jedného dňa pracovného pokoja</w:t>
            </w:r>
          </w:p>
        </w:tc>
        <w:tc>
          <w:tcPr>
            <w:tcW w:w="886" w:type="dxa"/>
            <w:tcBorders>
              <w:top w:val="nil"/>
              <w:left w:val="nil"/>
              <w:bottom w:val="single" w:sz="4" w:space="0" w:color="auto"/>
              <w:right w:val="nil"/>
            </w:tcBorders>
            <w:shd w:val="clear" w:color="auto" w:fill="auto"/>
            <w:vAlign w:val="center"/>
          </w:tcPr>
          <w:p w14:paraId="7E2CE0CE" w14:textId="04A2EA98" w:rsidR="00F07B98" w:rsidRPr="00714F71" w:rsidRDefault="000D3E09" w:rsidP="00210E29">
            <w:pPr>
              <w:widowControl w:val="0"/>
              <w:spacing w:after="0" w:line="240" w:lineRule="auto"/>
              <w:jc w:val="center"/>
              <w:textAlignment w:val="baseline"/>
              <w:rPr>
                <w:color w:val="000000" w:themeColor="text1"/>
                <w:sz w:val="18"/>
                <w:szCs w:val="18"/>
              </w:rPr>
            </w:pPr>
            <w:r w:rsidRPr="00714F71">
              <w:rPr>
                <w:color w:val="000000" w:themeColor="text1"/>
                <w:sz w:val="18"/>
                <w:szCs w:val="18"/>
              </w:rPr>
              <w:t>3</w:t>
            </w:r>
          </w:p>
        </w:tc>
        <w:tc>
          <w:tcPr>
            <w:tcW w:w="711" w:type="dxa"/>
            <w:tcBorders>
              <w:top w:val="nil"/>
              <w:left w:val="nil"/>
              <w:bottom w:val="single" w:sz="4" w:space="0" w:color="auto"/>
              <w:right w:val="nil"/>
            </w:tcBorders>
            <w:shd w:val="clear" w:color="auto" w:fill="auto"/>
            <w:vAlign w:val="center"/>
          </w:tcPr>
          <w:p w14:paraId="1AB92C4F" w14:textId="389E26CA" w:rsidR="00F07B98" w:rsidRPr="00714F71" w:rsidRDefault="000D3E09" w:rsidP="00210E29">
            <w:pPr>
              <w:widowControl w:val="0"/>
              <w:spacing w:after="0" w:line="240" w:lineRule="auto"/>
              <w:jc w:val="center"/>
              <w:textAlignment w:val="baseline"/>
              <w:rPr>
                <w:color w:val="000000" w:themeColor="text1"/>
                <w:sz w:val="18"/>
                <w:szCs w:val="18"/>
              </w:rPr>
            </w:pPr>
            <w:r w:rsidRPr="00714F71">
              <w:rPr>
                <w:color w:val="000000" w:themeColor="text1"/>
                <w:sz w:val="18"/>
                <w:szCs w:val="18"/>
              </w:rPr>
              <w:t>90</w:t>
            </w:r>
          </w:p>
        </w:tc>
        <w:tc>
          <w:tcPr>
            <w:tcW w:w="1007" w:type="dxa"/>
            <w:tcBorders>
              <w:top w:val="nil"/>
              <w:left w:val="nil"/>
              <w:bottom w:val="single" w:sz="4" w:space="0" w:color="auto"/>
              <w:right w:val="nil"/>
            </w:tcBorders>
            <w:shd w:val="clear" w:color="auto" w:fill="auto"/>
            <w:vAlign w:val="center"/>
          </w:tcPr>
          <w:p w14:paraId="4CE594B6" w14:textId="1EF34FC3" w:rsidR="00F07B98" w:rsidRPr="00714F71" w:rsidRDefault="000D3E09" w:rsidP="00210E29">
            <w:pPr>
              <w:widowControl w:val="0"/>
              <w:spacing w:after="0" w:line="240" w:lineRule="auto"/>
              <w:jc w:val="center"/>
              <w:textAlignment w:val="baseline"/>
              <w:rPr>
                <w:color w:val="000000" w:themeColor="text1"/>
                <w:sz w:val="18"/>
                <w:szCs w:val="18"/>
              </w:rPr>
            </w:pPr>
            <w:r w:rsidRPr="00714F71">
              <w:rPr>
                <w:color w:val="000000" w:themeColor="text1"/>
                <w:sz w:val="18"/>
                <w:szCs w:val="18"/>
              </w:rPr>
              <w:t>100</w:t>
            </w:r>
          </w:p>
        </w:tc>
      </w:tr>
      <w:tr w:rsidR="00880EC5" w:rsidRPr="00BE46C5" w14:paraId="30693B13" w14:textId="77777777" w:rsidTr="00DB629A">
        <w:trPr>
          <w:trHeight w:val="254"/>
          <w:jc w:val="center"/>
        </w:trPr>
        <w:tc>
          <w:tcPr>
            <w:tcW w:w="6406" w:type="dxa"/>
            <w:tcBorders>
              <w:top w:val="single" w:sz="4" w:space="0" w:color="auto"/>
              <w:left w:val="nil"/>
              <w:bottom w:val="nil"/>
              <w:right w:val="nil"/>
            </w:tcBorders>
            <w:shd w:val="clear" w:color="auto" w:fill="auto"/>
            <w:vAlign w:val="center"/>
          </w:tcPr>
          <w:p w14:paraId="32BE091A" w14:textId="3E09E21F" w:rsidR="00880EC5" w:rsidRPr="00DB629A" w:rsidRDefault="00880EC5" w:rsidP="00210E29">
            <w:pPr>
              <w:widowControl w:val="0"/>
              <w:spacing w:after="0" w:line="240" w:lineRule="auto"/>
              <w:textAlignment w:val="baseline"/>
              <w:rPr>
                <w:rFonts w:cs="Calibri"/>
                <w:i/>
                <w:iCs/>
                <w:color w:val="000000" w:themeColor="text1"/>
                <w:sz w:val="18"/>
                <w:szCs w:val="18"/>
              </w:rPr>
            </w:pPr>
            <w:r w:rsidRPr="00DB629A">
              <w:rPr>
                <w:rFonts w:cs="Calibri"/>
                <w:i/>
                <w:iCs/>
                <w:color w:val="000000" w:themeColor="text1"/>
                <w:sz w:val="18"/>
                <w:szCs w:val="18"/>
              </w:rPr>
              <w:t>Spotrebná daň zo sladených nealkoholických nápojov</w:t>
            </w:r>
            <w:r w:rsidR="00784159" w:rsidRPr="00DB629A">
              <w:rPr>
                <w:rFonts w:cs="Calibri"/>
                <w:i/>
                <w:iCs/>
                <w:color w:val="000000" w:themeColor="text1"/>
                <w:sz w:val="18"/>
                <w:szCs w:val="18"/>
              </w:rPr>
              <w:t>*</w:t>
            </w:r>
          </w:p>
        </w:tc>
        <w:tc>
          <w:tcPr>
            <w:tcW w:w="886" w:type="dxa"/>
            <w:tcBorders>
              <w:top w:val="single" w:sz="4" w:space="0" w:color="auto"/>
              <w:left w:val="nil"/>
              <w:bottom w:val="nil"/>
              <w:right w:val="nil"/>
            </w:tcBorders>
            <w:shd w:val="clear" w:color="auto" w:fill="auto"/>
            <w:vAlign w:val="center"/>
          </w:tcPr>
          <w:p w14:paraId="3F700AF4" w14:textId="77777777" w:rsidR="00880EC5" w:rsidRPr="00DB629A" w:rsidRDefault="00880EC5" w:rsidP="00210E29">
            <w:pPr>
              <w:widowControl w:val="0"/>
              <w:spacing w:after="0" w:line="240" w:lineRule="auto"/>
              <w:jc w:val="center"/>
              <w:textAlignment w:val="baseline"/>
              <w:rPr>
                <w:i/>
                <w:iCs/>
                <w:color w:val="000000" w:themeColor="text1"/>
                <w:sz w:val="18"/>
                <w:szCs w:val="18"/>
              </w:rPr>
            </w:pPr>
          </w:p>
        </w:tc>
        <w:tc>
          <w:tcPr>
            <w:tcW w:w="711" w:type="dxa"/>
            <w:tcBorders>
              <w:top w:val="single" w:sz="4" w:space="0" w:color="auto"/>
              <w:left w:val="nil"/>
              <w:bottom w:val="nil"/>
              <w:right w:val="nil"/>
            </w:tcBorders>
            <w:shd w:val="clear" w:color="auto" w:fill="auto"/>
            <w:vAlign w:val="center"/>
          </w:tcPr>
          <w:p w14:paraId="48610AAE" w14:textId="1C89B16A" w:rsidR="00880EC5" w:rsidRPr="00DB629A" w:rsidRDefault="00880EC5" w:rsidP="00210E29">
            <w:pPr>
              <w:widowControl w:val="0"/>
              <w:spacing w:after="0" w:line="240" w:lineRule="auto"/>
              <w:jc w:val="center"/>
              <w:textAlignment w:val="baseline"/>
              <w:rPr>
                <w:i/>
                <w:iCs/>
                <w:color w:val="000000" w:themeColor="text1"/>
                <w:sz w:val="18"/>
                <w:szCs w:val="18"/>
              </w:rPr>
            </w:pPr>
            <w:r w:rsidRPr="00DB629A">
              <w:rPr>
                <w:i/>
                <w:iCs/>
                <w:color w:val="000000" w:themeColor="text1"/>
                <w:sz w:val="18"/>
                <w:szCs w:val="18"/>
              </w:rPr>
              <w:t>8</w:t>
            </w:r>
            <w:r w:rsidR="00CB5F06" w:rsidRPr="00DB629A">
              <w:rPr>
                <w:i/>
                <w:iCs/>
                <w:color w:val="000000" w:themeColor="text1"/>
                <w:sz w:val="18"/>
                <w:szCs w:val="18"/>
              </w:rPr>
              <w:t>0</w:t>
            </w:r>
          </w:p>
        </w:tc>
        <w:tc>
          <w:tcPr>
            <w:tcW w:w="1007" w:type="dxa"/>
            <w:tcBorders>
              <w:top w:val="single" w:sz="4" w:space="0" w:color="auto"/>
              <w:left w:val="nil"/>
              <w:bottom w:val="nil"/>
              <w:right w:val="nil"/>
            </w:tcBorders>
            <w:shd w:val="clear" w:color="auto" w:fill="auto"/>
            <w:vAlign w:val="center"/>
          </w:tcPr>
          <w:p w14:paraId="4DE39F75" w14:textId="56D87F47" w:rsidR="00880EC5" w:rsidRPr="00DB629A" w:rsidRDefault="00CB5F06" w:rsidP="00210E29">
            <w:pPr>
              <w:widowControl w:val="0"/>
              <w:spacing w:after="0" w:line="240" w:lineRule="auto"/>
              <w:jc w:val="center"/>
              <w:textAlignment w:val="baseline"/>
              <w:rPr>
                <w:i/>
                <w:iCs/>
                <w:color w:val="000000" w:themeColor="text1"/>
                <w:sz w:val="18"/>
                <w:szCs w:val="18"/>
              </w:rPr>
            </w:pPr>
            <w:r w:rsidRPr="00DB629A">
              <w:rPr>
                <w:i/>
                <w:iCs/>
                <w:color w:val="000000" w:themeColor="text1"/>
                <w:sz w:val="18"/>
                <w:szCs w:val="18"/>
              </w:rPr>
              <w:t>109</w:t>
            </w:r>
          </w:p>
        </w:tc>
      </w:tr>
      <w:tr w:rsidR="00880EC5" w:rsidRPr="00BE46C5" w14:paraId="76ABB342" w14:textId="77777777" w:rsidTr="00880EC5">
        <w:trPr>
          <w:trHeight w:val="254"/>
          <w:jc w:val="center"/>
        </w:trPr>
        <w:tc>
          <w:tcPr>
            <w:tcW w:w="6406" w:type="dxa"/>
            <w:tcBorders>
              <w:top w:val="nil"/>
              <w:left w:val="nil"/>
              <w:bottom w:val="single" w:sz="4" w:space="0" w:color="auto"/>
              <w:right w:val="nil"/>
            </w:tcBorders>
            <w:shd w:val="clear" w:color="auto" w:fill="auto"/>
            <w:vAlign w:val="center"/>
          </w:tcPr>
          <w:p w14:paraId="65126B2D" w14:textId="1C349369" w:rsidR="00880EC5" w:rsidRPr="00DB629A" w:rsidRDefault="00880EC5" w:rsidP="00210E29">
            <w:pPr>
              <w:widowControl w:val="0"/>
              <w:spacing w:after="0" w:line="240" w:lineRule="auto"/>
              <w:textAlignment w:val="baseline"/>
              <w:rPr>
                <w:rFonts w:cs="Calibri"/>
                <w:i/>
                <w:iCs/>
                <w:color w:val="000000" w:themeColor="text1"/>
                <w:sz w:val="18"/>
                <w:szCs w:val="18"/>
              </w:rPr>
            </w:pPr>
            <w:r w:rsidRPr="00DB629A">
              <w:rPr>
                <w:rFonts w:cs="Calibri"/>
                <w:i/>
                <w:iCs/>
                <w:color w:val="000000" w:themeColor="text1"/>
                <w:sz w:val="18"/>
                <w:szCs w:val="18"/>
              </w:rPr>
              <w:t>Spotrebná daň z elektronických cigariet</w:t>
            </w:r>
            <w:r w:rsidR="00AC1929" w:rsidRPr="00DB629A">
              <w:rPr>
                <w:rFonts w:cs="Calibri"/>
                <w:i/>
                <w:iCs/>
                <w:color w:val="000000" w:themeColor="text1"/>
                <w:sz w:val="18"/>
                <w:szCs w:val="18"/>
              </w:rPr>
              <w:t xml:space="preserve"> a zvýšenie dane z tabakových výrobkov</w:t>
            </w:r>
            <w:r w:rsidR="00784159" w:rsidRPr="00DB629A">
              <w:rPr>
                <w:rFonts w:cs="Calibri"/>
                <w:i/>
                <w:iCs/>
                <w:color w:val="000000" w:themeColor="text1"/>
                <w:sz w:val="18"/>
                <w:szCs w:val="18"/>
              </w:rPr>
              <w:t>*</w:t>
            </w:r>
          </w:p>
        </w:tc>
        <w:tc>
          <w:tcPr>
            <w:tcW w:w="886" w:type="dxa"/>
            <w:tcBorders>
              <w:top w:val="nil"/>
              <w:left w:val="nil"/>
              <w:bottom w:val="single" w:sz="4" w:space="0" w:color="auto"/>
              <w:right w:val="nil"/>
            </w:tcBorders>
            <w:shd w:val="clear" w:color="auto" w:fill="auto"/>
            <w:vAlign w:val="center"/>
          </w:tcPr>
          <w:p w14:paraId="0EA69037" w14:textId="77777777" w:rsidR="00880EC5" w:rsidRPr="00DB629A" w:rsidRDefault="00880EC5" w:rsidP="00210E29">
            <w:pPr>
              <w:widowControl w:val="0"/>
              <w:spacing w:after="0" w:line="240" w:lineRule="auto"/>
              <w:jc w:val="center"/>
              <w:textAlignment w:val="baseline"/>
              <w:rPr>
                <w:i/>
                <w:iCs/>
                <w:color w:val="000000" w:themeColor="text1"/>
                <w:sz w:val="18"/>
                <w:szCs w:val="18"/>
              </w:rPr>
            </w:pPr>
          </w:p>
        </w:tc>
        <w:tc>
          <w:tcPr>
            <w:tcW w:w="711" w:type="dxa"/>
            <w:tcBorders>
              <w:top w:val="nil"/>
              <w:left w:val="nil"/>
              <w:bottom w:val="single" w:sz="4" w:space="0" w:color="auto"/>
              <w:right w:val="nil"/>
            </w:tcBorders>
            <w:shd w:val="clear" w:color="auto" w:fill="auto"/>
            <w:vAlign w:val="center"/>
          </w:tcPr>
          <w:p w14:paraId="26F752EB" w14:textId="065AFBF8" w:rsidR="00880EC5" w:rsidRPr="00DB629A" w:rsidRDefault="00880EC5" w:rsidP="00210E29">
            <w:pPr>
              <w:widowControl w:val="0"/>
              <w:spacing w:after="0" w:line="240" w:lineRule="auto"/>
              <w:jc w:val="center"/>
              <w:textAlignment w:val="baseline"/>
              <w:rPr>
                <w:i/>
                <w:iCs/>
                <w:color w:val="000000" w:themeColor="text1"/>
                <w:sz w:val="18"/>
                <w:szCs w:val="18"/>
              </w:rPr>
            </w:pPr>
            <w:r w:rsidRPr="00DB629A">
              <w:rPr>
                <w:i/>
                <w:iCs/>
                <w:color w:val="000000" w:themeColor="text1"/>
                <w:sz w:val="18"/>
                <w:szCs w:val="18"/>
              </w:rPr>
              <w:t>15</w:t>
            </w:r>
          </w:p>
        </w:tc>
        <w:tc>
          <w:tcPr>
            <w:tcW w:w="1007" w:type="dxa"/>
            <w:tcBorders>
              <w:top w:val="nil"/>
              <w:left w:val="nil"/>
              <w:bottom w:val="single" w:sz="4" w:space="0" w:color="auto"/>
              <w:right w:val="nil"/>
            </w:tcBorders>
            <w:shd w:val="clear" w:color="auto" w:fill="auto"/>
            <w:vAlign w:val="center"/>
          </w:tcPr>
          <w:p w14:paraId="7934B90A" w14:textId="350A3266" w:rsidR="00880EC5" w:rsidRPr="00DB629A" w:rsidRDefault="00CB5F06" w:rsidP="00210E29">
            <w:pPr>
              <w:widowControl w:val="0"/>
              <w:spacing w:after="0" w:line="240" w:lineRule="auto"/>
              <w:jc w:val="center"/>
              <w:textAlignment w:val="baseline"/>
              <w:rPr>
                <w:i/>
                <w:iCs/>
                <w:color w:val="000000" w:themeColor="text1"/>
                <w:sz w:val="18"/>
                <w:szCs w:val="18"/>
              </w:rPr>
            </w:pPr>
            <w:r w:rsidRPr="00DB629A">
              <w:rPr>
                <w:i/>
                <w:iCs/>
                <w:color w:val="000000" w:themeColor="text1"/>
                <w:sz w:val="18"/>
                <w:szCs w:val="18"/>
              </w:rPr>
              <w:t>126</w:t>
            </w:r>
          </w:p>
        </w:tc>
      </w:tr>
      <w:tr w:rsidR="00F07B98" w:rsidRPr="00BE46C5" w14:paraId="025C509C" w14:textId="77777777" w:rsidTr="000A2FEF">
        <w:trPr>
          <w:trHeight w:val="254"/>
          <w:jc w:val="center"/>
        </w:trPr>
        <w:tc>
          <w:tcPr>
            <w:tcW w:w="6406" w:type="dxa"/>
            <w:tcBorders>
              <w:top w:val="single" w:sz="4" w:space="0" w:color="auto"/>
              <w:left w:val="nil"/>
              <w:bottom w:val="single" w:sz="4" w:space="0" w:color="auto"/>
              <w:right w:val="nil"/>
            </w:tcBorders>
            <w:shd w:val="clear" w:color="auto" w:fill="D4EAF8" w:themeFill="accent1" w:themeFillTint="33"/>
            <w:vAlign w:val="center"/>
          </w:tcPr>
          <w:p w14:paraId="38095DFF" w14:textId="77777777" w:rsidR="00F07B98" w:rsidRPr="00E74C9E" w:rsidRDefault="00F07B98" w:rsidP="00210E29">
            <w:pPr>
              <w:widowControl w:val="0"/>
              <w:spacing w:after="0" w:line="240" w:lineRule="auto"/>
              <w:textAlignment w:val="baseline"/>
              <w:rPr>
                <w:rFonts w:cs="Calibri"/>
                <w:b/>
                <w:color w:val="000000"/>
                <w:sz w:val="18"/>
                <w:szCs w:val="18"/>
              </w:rPr>
            </w:pPr>
            <w:r w:rsidRPr="00E74C9E">
              <w:rPr>
                <w:b/>
                <w:i/>
                <w:color w:val="000000"/>
                <w:sz w:val="18"/>
                <w:szCs w:val="18"/>
                <w:lang w:eastAsia="sk-SK"/>
              </w:rPr>
              <w:t>Výdavková strana rozpočtu VS</w:t>
            </w:r>
          </w:p>
        </w:tc>
        <w:tc>
          <w:tcPr>
            <w:tcW w:w="886" w:type="dxa"/>
            <w:tcBorders>
              <w:top w:val="single" w:sz="4" w:space="0" w:color="auto"/>
              <w:left w:val="nil"/>
              <w:bottom w:val="single" w:sz="4" w:space="0" w:color="auto"/>
              <w:right w:val="nil"/>
            </w:tcBorders>
            <w:shd w:val="clear" w:color="auto" w:fill="D4EAF8" w:themeFill="accent1" w:themeFillTint="33"/>
            <w:vAlign w:val="center"/>
          </w:tcPr>
          <w:p w14:paraId="5A67C9D0" w14:textId="77777777" w:rsidR="00F07B98" w:rsidRPr="00E74C9E" w:rsidRDefault="00F07B98" w:rsidP="00210E29">
            <w:pPr>
              <w:widowControl w:val="0"/>
              <w:spacing w:after="0" w:line="240" w:lineRule="auto"/>
              <w:jc w:val="center"/>
              <w:textAlignment w:val="baseline"/>
              <w:rPr>
                <w:i/>
                <w:sz w:val="18"/>
                <w:szCs w:val="18"/>
              </w:rPr>
            </w:pPr>
            <w:r w:rsidRPr="00E74C9E">
              <w:rPr>
                <w:b/>
                <w:sz w:val="18"/>
                <w:szCs w:val="18"/>
              </w:rPr>
              <w:t>-222</w:t>
            </w:r>
          </w:p>
        </w:tc>
        <w:tc>
          <w:tcPr>
            <w:tcW w:w="711" w:type="dxa"/>
            <w:tcBorders>
              <w:top w:val="single" w:sz="4" w:space="0" w:color="auto"/>
              <w:left w:val="nil"/>
              <w:bottom w:val="single" w:sz="4" w:space="0" w:color="auto"/>
              <w:right w:val="nil"/>
            </w:tcBorders>
            <w:shd w:val="clear" w:color="auto" w:fill="D4EAF8" w:themeFill="accent1" w:themeFillTint="33"/>
            <w:vAlign w:val="center"/>
          </w:tcPr>
          <w:p w14:paraId="5AB62A05" w14:textId="77777777" w:rsidR="00F07B98" w:rsidRPr="00E74C9E" w:rsidRDefault="00F07B98" w:rsidP="00210E29">
            <w:pPr>
              <w:widowControl w:val="0"/>
              <w:spacing w:after="0" w:line="240" w:lineRule="auto"/>
              <w:jc w:val="center"/>
              <w:textAlignment w:val="baseline"/>
              <w:rPr>
                <w:i/>
                <w:sz w:val="18"/>
                <w:szCs w:val="18"/>
              </w:rPr>
            </w:pPr>
            <w:r w:rsidRPr="00E74C9E">
              <w:rPr>
                <w:b/>
                <w:sz w:val="18"/>
                <w:szCs w:val="18"/>
              </w:rPr>
              <w:t>-420</w:t>
            </w:r>
          </w:p>
        </w:tc>
        <w:tc>
          <w:tcPr>
            <w:tcW w:w="1007" w:type="dxa"/>
            <w:tcBorders>
              <w:top w:val="single" w:sz="4" w:space="0" w:color="auto"/>
              <w:left w:val="nil"/>
              <w:bottom w:val="single" w:sz="4" w:space="0" w:color="auto"/>
              <w:right w:val="nil"/>
            </w:tcBorders>
            <w:shd w:val="clear" w:color="auto" w:fill="D4EAF8" w:themeFill="accent1" w:themeFillTint="33"/>
            <w:vAlign w:val="center"/>
          </w:tcPr>
          <w:p w14:paraId="1976EC84" w14:textId="77777777" w:rsidR="00F07B98" w:rsidRPr="00E74C9E" w:rsidRDefault="00F07B98" w:rsidP="00210E29">
            <w:pPr>
              <w:widowControl w:val="0"/>
              <w:spacing w:after="0" w:line="240" w:lineRule="auto"/>
              <w:jc w:val="center"/>
              <w:textAlignment w:val="baseline"/>
              <w:rPr>
                <w:i/>
                <w:sz w:val="18"/>
                <w:szCs w:val="18"/>
              </w:rPr>
            </w:pPr>
            <w:r w:rsidRPr="00E74C9E">
              <w:rPr>
                <w:b/>
                <w:sz w:val="18"/>
                <w:szCs w:val="18"/>
              </w:rPr>
              <w:t>-522</w:t>
            </w:r>
          </w:p>
        </w:tc>
      </w:tr>
      <w:tr w:rsidR="00F07B98" w:rsidRPr="00BE46C5" w14:paraId="24DCF1D8" w14:textId="77777777" w:rsidTr="000A2FEF">
        <w:trPr>
          <w:trHeight w:val="254"/>
          <w:jc w:val="center"/>
        </w:trPr>
        <w:tc>
          <w:tcPr>
            <w:tcW w:w="6406" w:type="dxa"/>
            <w:tcBorders>
              <w:top w:val="single" w:sz="4" w:space="0" w:color="auto"/>
              <w:left w:val="nil"/>
              <w:bottom w:val="nil"/>
              <w:right w:val="nil"/>
            </w:tcBorders>
            <w:shd w:val="clear" w:color="auto" w:fill="auto"/>
            <w:vAlign w:val="center"/>
          </w:tcPr>
          <w:p w14:paraId="2A8D1D2E" w14:textId="280CBA1C" w:rsidR="00F07B98" w:rsidRPr="00E74C9E" w:rsidRDefault="00E22E45" w:rsidP="00210E29">
            <w:pPr>
              <w:widowControl w:val="0"/>
              <w:spacing w:after="0" w:line="240" w:lineRule="auto"/>
              <w:textAlignment w:val="baseline"/>
              <w:rPr>
                <w:rFonts w:cs="Calibri"/>
                <w:color w:val="000000"/>
                <w:sz w:val="18"/>
                <w:szCs w:val="18"/>
              </w:rPr>
            </w:pPr>
            <w:r>
              <w:rPr>
                <w:rFonts w:cs="Calibri"/>
                <w:color w:val="000000"/>
                <w:sz w:val="18"/>
                <w:szCs w:val="18"/>
              </w:rPr>
              <w:t xml:space="preserve">Šetrenie v objeme </w:t>
            </w:r>
            <w:r w:rsidR="00F07B98" w:rsidRPr="00E74C9E">
              <w:rPr>
                <w:rFonts w:cs="Calibri"/>
                <w:color w:val="000000"/>
                <w:sz w:val="18"/>
                <w:szCs w:val="18"/>
              </w:rPr>
              <w:t xml:space="preserve">5 % </w:t>
            </w:r>
            <w:r>
              <w:rPr>
                <w:rFonts w:cs="Calibri"/>
                <w:color w:val="000000"/>
                <w:sz w:val="18"/>
                <w:szCs w:val="18"/>
              </w:rPr>
              <w:t xml:space="preserve">osobných </w:t>
            </w:r>
            <w:r w:rsidR="00F07B98" w:rsidRPr="00E74C9E">
              <w:rPr>
                <w:rFonts w:cs="Calibri"/>
                <w:color w:val="000000"/>
                <w:sz w:val="18"/>
                <w:szCs w:val="18"/>
              </w:rPr>
              <w:t>výdavkov kapitol štátneho rozpočtu</w:t>
            </w:r>
          </w:p>
        </w:tc>
        <w:tc>
          <w:tcPr>
            <w:tcW w:w="886" w:type="dxa"/>
            <w:tcBorders>
              <w:top w:val="single" w:sz="4" w:space="0" w:color="auto"/>
              <w:left w:val="nil"/>
              <w:bottom w:val="nil"/>
              <w:right w:val="nil"/>
            </w:tcBorders>
            <w:shd w:val="clear" w:color="auto" w:fill="auto"/>
            <w:vAlign w:val="center"/>
          </w:tcPr>
          <w:p w14:paraId="02A54383" w14:textId="77777777" w:rsidR="00F07B98" w:rsidRPr="00E74C9E" w:rsidRDefault="00F07B98" w:rsidP="00210E29">
            <w:pPr>
              <w:widowControl w:val="0"/>
              <w:spacing w:after="0" w:line="240" w:lineRule="auto"/>
              <w:jc w:val="center"/>
              <w:textAlignment w:val="baseline"/>
              <w:rPr>
                <w:sz w:val="18"/>
                <w:szCs w:val="18"/>
              </w:rPr>
            </w:pPr>
            <w:r w:rsidRPr="00E74C9E">
              <w:rPr>
                <w:sz w:val="18"/>
                <w:szCs w:val="18"/>
              </w:rPr>
              <w:t>-71</w:t>
            </w:r>
          </w:p>
        </w:tc>
        <w:tc>
          <w:tcPr>
            <w:tcW w:w="711" w:type="dxa"/>
            <w:tcBorders>
              <w:top w:val="single" w:sz="4" w:space="0" w:color="auto"/>
              <w:left w:val="nil"/>
              <w:bottom w:val="nil"/>
              <w:right w:val="nil"/>
            </w:tcBorders>
            <w:shd w:val="clear" w:color="auto" w:fill="auto"/>
            <w:vAlign w:val="center"/>
          </w:tcPr>
          <w:p w14:paraId="191B9BE2" w14:textId="77777777" w:rsidR="00F07B98" w:rsidRPr="00E74C9E" w:rsidRDefault="00F07B98" w:rsidP="00210E29">
            <w:pPr>
              <w:widowControl w:val="0"/>
              <w:spacing w:after="0" w:line="240" w:lineRule="auto"/>
              <w:jc w:val="center"/>
              <w:textAlignment w:val="baseline"/>
              <w:rPr>
                <w:sz w:val="18"/>
                <w:szCs w:val="18"/>
              </w:rPr>
            </w:pPr>
            <w:r w:rsidRPr="00E74C9E">
              <w:rPr>
                <w:sz w:val="18"/>
                <w:szCs w:val="18"/>
              </w:rPr>
              <w:t>-71</w:t>
            </w:r>
          </w:p>
        </w:tc>
        <w:tc>
          <w:tcPr>
            <w:tcW w:w="1007" w:type="dxa"/>
            <w:tcBorders>
              <w:top w:val="single" w:sz="4" w:space="0" w:color="auto"/>
              <w:left w:val="nil"/>
              <w:bottom w:val="nil"/>
              <w:right w:val="nil"/>
            </w:tcBorders>
            <w:shd w:val="clear" w:color="auto" w:fill="auto"/>
            <w:vAlign w:val="center"/>
          </w:tcPr>
          <w:p w14:paraId="5337F5C9" w14:textId="77777777" w:rsidR="00F07B98" w:rsidRPr="00E74C9E" w:rsidRDefault="00F07B98" w:rsidP="00210E29">
            <w:pPr>
              <w:widowControl w:val="0"/>
              <w:spacing w:after="0" w:line="240" w:lineRule="auto"/>
              <w:jc w:val="center"/>
              <w:textAlignment w:val="baseline"/>
              <w:rPr>
                <w:sz w:val="18"/>
                <w:szCs w:val="18"/>
              </w:rPr>
            </w:pPr>
            <w:r w:rsidRPr="00E74C9E">
              <w:rPr>
                <w:sz w:val="18"/>
                <w:szCs w:val="18"/>
              </w:rPr>
              <w:t>-71</w:t>
            </w:r>
          </w:p>
        </w:tc>
      </w:tr>
      <w:tr w:rsidR="00F07B98" w:rsidRPr="00BE46C5" w14:paraId="3236DEB0" w14:textId="77777777" w:rsidTr="000A2FEF">
        <w:trPr>
          <w:trHeight w:val="254"/>
          <w:jc w:val="center"/>
        </w:trPr>
        <w:tc>
          <w:tcPr>
            <w:tcW w:w="6406" w:type="dxa"/>
            <w:tcBorders>
              <w:top w:val="nil"/>
              <w:left w:val="nil"/>
              <w:bottom w:val="nil"/>
              <w:right w:val="nil"/>
            </w:tcBorders>
            <w:shd w:val="clear" w:color="auto" w:fill="auto"/>
            <w:vAlign w:val="center"/>
          </w:tcPr>
          <w:p w14:paraId="4B36AC6E" w14:textId="0F0F6771" w:rsidR="00F07B98" w:rsidRPr="00E74C9E" w:rsidRDefault="00F07B98" w:rsidP="00210E29">
            <w:pPr>
              <w:widowControl w:val="0"/>
              <w:spacing w:after="0" w:line="240" w:lineRule="auto"/>
              <w:textAlignment w:val="baseline"/>
              <w:rPr>
                <w:rFonts w:cs="Calibri"/>
                <w:color w:val="000000"/>
                <w:sz w:val="18"/>
                <w:szCs w:val="18"/>
              </w:rPr>
            </w:pPr>
            <w:r w:rsidRPr="00E74C9E">
              <w:rPr>
                <w:rFonts w:cs="Calibri"/>
                <w:color w:val="000000"/>
                <w:sz w:val="18"/>
                <w:szCs w:val="18"/>
              </w:rPr>
              <w:t>Zmrazenie valorizácie miezd vo VS v 2024 a</w:t>
            </w:r>
            <w:r w:rsidR="008860C3">
              <w:rPr>
                <w:rFonts w:cs="Calibri"/>
                <w:color w:val="000000"/>
                <w:sz w:val="18"/>
                <w:szCs w:val="18"/>
              </w:rPr>
              <w:t xml:space="preserve"> jej </w:t>
            </w:r>
            <w:r w:rsidRPr="00E74C9E">
              <w:rPr>
                <w:rFonts w:cs="Calibri"/>
                <w:color w:val="000000"/>
                <w:sz w:val="18"/>
                <w:szCs w:val="18"/>
              </w:rPr>
              <w:t>tlmenie od 2025</w:t>
            </w:r>
          </w:p>
        </w:tc>
        <w:tc>
          <w:tcPr>
            <w:tcW w:w="886" w:type="dxa"/>
            <w:tcBorders>
              <w:top w:val="nil"/>
              <w:left w:val="nil"/>
              <w:bottom w:val="nil"/>
              <w:right w:val="nil"/>
            </w:tcBorders>
            <w:shd w:val="clear" w:color="auto" w:fill="auto"/>
            <w:vAlign w:val="center"/>
          </w:tcPr>
          <w:p w14:paraId="0B81E450" w14:textId="77777777" w:rsidR="00F07B98" w:rsidRPr="00E74C9E" w:rsidRDefault="00F07B98" w:rsidP="00210E29">
            <w:pPr>
              <w:widowControl w:val="0"/>
              <w:spacing w:after="0" w:line="240" w:lineRule="auto"/>
              <w:jc w:val="center"/>
              <w:textAlignment w:val="baseline"/>
              <w:rPr>
                <w:sz w:val="18"/>
                <w:szCs w:val="18"/>
              </w:rPr>
            </w:pPr>
            <w:r w:rsidRPr="00E74C9E">
              <w:rPr>
                <w:sz w:val="18"/>
                <w:szCs w:val="18"/>
              </w:rPr>
              <w:t>-56</w:t>
            </w:r>
          </w:p>
        </w:tc>
        <w:tc>
          <w:tcPr>
            <w:tcW w:w="711" w:type="dxa"/>
            <w:tcBorders>
              <w:top w:val="nil"/>
              <w:left w:val="nil"/>
              <w:bottom w:val="nil"/>
              <w:right w:val="nil"/>
            </w:tcBorders>
            <w:shd w:val="clear" w:color="auto" w:fill="auto"/>
            <w:vAlign w:val="center"/>
          </w:tcPr>
          <w:p w14:paraId="11207734" w14:textId="77777777" w:rsidR="00F07B98" w:rsidRPr="00E74C9E" w:rsidRDefault="00F07B98" w:rsidP="00210E29">
            <w:pPr>
              <w:widowControl w:val="0"/>
              <w:spacing w:after="0" w:line="240" w:lineRule="auto"/>
              <w:jc w:val="center"/>
              <w:textAlignment w:val="baseline"/>
              <w:rPr>
                <w:sz w:val="18"/>
                <w:szCs w:val="18"/>
              </w:rPr>
            </w:pPr>
            <w:r w:rsidRPr="00E74C9E">
              <w:rPr>
                <w:sz w:val="18"/>
                <w:szCs w:val="18"/>
              </w:rPr>
              <w:t>-249</w:t>
            </w:r>
          </w:p>
        </w:tc>
        <w:tc>
          <w:tcPr>
            <w:tcW w:w="1007" w:type="dxa"/>
            <w:tcBorders>
              <w:top w:val="nil"/>
              <w:left w:val="nil"/>
              <w:bottom w:val="nil"/>
              <w:right w:val="nil"/>
            </w:tcBorders>
            <w:shd w:val="clear" w:color="auto" w:fill="auto"/>
            <w:vAlign w:val="center"/>
          </w:tcPr>
          <w:p w14:paraId="2589CAD4" w14:textId="77777777" w:rsidR="00F07B98" w:rsidRPr="00E74C9E" w:rsidRDefault="00F07B98" w:rsidP="00210E29">
            <w:pPr>
              <w:widowControl w:val="0"/>
              <w:spacing w:after="0" w:line="240" w:lineRule="auto"/>
              <w:jc w:val="center"/>
              <w:textAlignment w:val="baseline"/>
              <w:rPr>
                <w:sz w:val="18"/>
                <w:szCs w:val="18"/>
              </w:rPr>
            </w:pPr>
            <w:r w:rsidRPr="00E74C9E">
              <w:rPr>
                <w:sz w:val="18"/>
                <w:szCs w:val="18"/>
              </w:rPr>
              <w:t>-347</w:t>
            </w:r>
          </w:p>
        </w:tc>
      </w:tr>
      <w:tr w:rsidR="00F07B98" w:rsidRPr="00BE46C5" w14:paraId="66E1D04D" w14:textId="77777777" w:rsidTr="000A2FEF">
        <w:trPr>
          <w:trHeight w:val="254"/>
          <w:jc w:val="center"/>
        </w:trPr>
        <w:tc>
          <w:tcPr>
            <w:tcW w:w="6406" w:type="dxa"/>
            <w:tcBorders>
              <w:top w:val="nil"/>
              <w:left w:val="nil"/>
              <w:bottom w:val="nil"/>
              <w:right w:val="nil"/>
            </w:tcBorders>
            <w:shd w:val="clear" w:color="auto" w:fill="auto"/>
            <w:vAlign w:val="center"/>
          </w:tcPr>
          <w:p w14:paraId="7E09DE33" w14:textId="77777777" w:rsidR="00F07B98" w:rsidRPr="00310476" w:rsidRDefault="00F07B98" w:rsidP="00210E29">
            <w:pPr>
              <w:widowControl w:val="0"/>
              <w:spacing w:after="0" w:line="240" w:lineRule="auto"/>
              <w:textAlignment w:val="baseline"/>
              <w:rPr>
                <w:rFonts w:cs="Calibri"/>
                <w:color w:val="000000"/>
                <w:sz w:val="18"/>
                <w:szCs w:val="18"/>
              </w:rPr>
            </w:pPr>
            <w:r w:rsidRPr="00310476">
              <w:rPr>
                <w:rFonts w:cs="Calibri"/>
                <w:color w:val="000000"/>
                <w:sz w:val="18"/>
                <w:szCs w:val="18"/>
              </w:rPr>
              <w:t>Zníženie výdavkov na financovanie RTVS</w:t>
            </w:r>
          </w:p>
        </w:tc>
        <w:tc>
          <w:tcPr>
            <w:tcW w:w="886" w:type="dxa"/>
            <w:tcBorders>
              <w:top w:val="nil"/>
              <w:left w:val="nil"/>
              <w:bottom w:val="nil"/>
              <w:right w:val="nil"/>
            </w:tcBorders>
            <w:shd w:val="clear" w:color="auto" w:fill="auto"/>
            <w:vAlign w:val="center"/>
          </w:tcPr>
          <w:p w14:paraId="5B9E49AE" w14:textId="77777777" w:rsidR="00F07B98" w:rsidRPr="00310476" w:rsidRDefault="00F07B98" w:rsidP="00210E29">
            <w:pPr>
              <w:widowControl w:val="0"/>
              <w:spacing w:after="0" w:line="240" w:lineRule="auto"/>
              <w:jc w:val="center"/>
              <w:textAlignment w:val="baseline"/>
              <w:rPr>
                <w:sz w:val="18"/>
                <w:szCs w:val="18"/>
              </w:rPr>
            </w:pPr>
            <w:r w:rsidRPr="00310476">
              <w:rPr>
                <w:sz w:val="18"/>
                <w:szCs w:val="18"/>
              </w:rPr>
              <w:t>-55</w:t>
            </w:r>
          </w:p>
        </w:tc>
        <w:tc>
          <w:tcPr>
            <w:tcW w:w="711" w:type="dxa"/>
            <w:tcBorders>
              <w:top w:val="nil"/>
              <w:left w:val="nil"/>
              <w:bottom w:val="nil"/>
              <w:right w:val="nil"/>
            </w:tcBorders>
            <w:shd w:val="clear" w:color="auto" w:fill="auto"/>
            <w:vAlign w:val="center"/>
          </w:tcPr>
          <w:p w14:paraId="627D7B7D" w14:textId="77777777" w:rsidR="00F07B98" w:rsidRPr="00310476" w:rsidRDefault="00F07B98" w:rsidP="00210E29">
            <w:pPr>
              <w:widowControl w:val="0"/>
              <w:spacing w:after="0" w:line="240" w:lineRule="auto"/>
              <w:jc w:val="center"/>
              <w:textAlignment w:val="baseline"/>
              <w:rPr>
                <w:sz w:val="18"/>
                <w:szCs w:val="18"/>
              </w:rPr>
            </w:pPr>
            <w:r w:rsidRPr="00310476">
              <w:rPr>
                <w:sz w:val="18"/>
                <w:szCs w:val="18"/>
              </w:rPr>
              <w:t>-60</w:t>
            </w:r>
          </w:p>
        </w:tc>
        <w:tc>
          <w:tcPr>
            <w:tcW w:w="1007" w:type="dxa"/>
            <w:tcBorders>
              <w:top w:val="nil"/>
              <w:left w:val="nil"/>
              <w:bottom w:val="nil"/>
              <w:right w:val="nil"/>
            </w:tcBorders>
            <w:shd w:val="clear" w:color="auto" w:fill="auto"/>
            <w:vAlign w:val="center"/>
          </w:tcPr>
          <w:p w14:paraId="02F75E1A" w14:textId="77777777" w:rsidR="00F07B98" w:rsidRPr="00310476" w:rsidRDefault="00F07B98" w:rsidP="00210E29">
            <w:pPr>
              <w:widowControl w:val="0"/>
              <w:spacing w:after="0" w:line="240" w:lineRule="auto"/>
              <w:jc w:val="center"/>
              <w:textAlignment w:val="baseline"/>
              <w:rPr>
                <w:sz w:val="18"/>
                <w:szCs w:val="18"/>
              </w:rPr>
            </w:pPr>
            <w:r w:rsidRPr="00310476">
              <w:rPr>
                <w:sz w:val="18"/>
                <w:szCs w:val="18"/>
              </w:rPr>
              <w:t>-64</w:t>
            </w:r>
          </w:p>
        </w:tc>
      </w:tr>
      <w:tr w:rsidR="00F07B98" w:rsidRPr="00BE46C5" w14:paraId="283B9E1C" w14:textId="77777777" w:rsidTr="000A2FEF">
        <w:trPr>
          <w:trHeight w:val="254"/>
          <w:jc w:val="center"/>
        </w:trPr>
        <w:tc>
          <w:tcPr>
            <w:tcW w:w="6406" w:type="dxa"/>
            <w:tcBorders>
              <w:top w:val="nil"/>
              <w:left w:val="nil"/>
              <w:bottom w:val="single" w:sz="4" w:space="0" w:color="auto"/>
              <w:right w:val="nil"/>
            </w:tcBorders>
            <w:shd w:val="clear" w:color="auto" w:fill="auto"/>
            <w:vAlign w:val="center"/>
          </w:tcPr>
          <w:p w14:paraId="00011769" w14:textId="77777777" w:rsidR="00F07B98" w:rsidRPr="00E74C9E" w:rsidRDefault="00F07B98" w:rsidP="00210E29">
            <w:pPr>
              <w:widowControl w:val="0"/>
              <w:spacing w:after="0" w:line="240" w:lineRule="auto"/>
              <w:textAlignment w:val="baseline"/>
              <w:rPr>
                <w:rFonts w:cs="Calibri"/>
                <w:color w:val="000000"/>
                <w:sz w:val="18"/>
                <w:szCs w:val="18"/>
              </w:rPr>
            </w:pPr>
            <w:r w:rsidRPr="00E74C9E">
              <w:rPr>
                <w:rFonts w:cs="Calibri"/>
                <w:color w:val="000000"/>
                <w:sz w:val="18"/>
                <w:szCs w:val="18"/>
              </w:rPr>
              <w:t>Zrušenie podpory na zníženie koncovej ceny elektriny pre podniky</w:t>
            </w:r>
          </w:p>
        </w:tc>
        <w:tc>
          <w:tcPr>
            <w:tcW w:w="886" w:type="dxa"/>
            <w:tcBorders>
              <w:top w:val="nil"/>
              <w:left w:val="nil"/>
              <w:bottom w:val="single" w:sz="4" w:space="0" w:color="auto"/>
              <w:right w:val="nil"/>
            </w:tcBorders>
            <w:shd w:val="clear" w:color="auto" w:fill="auto"/>
            <w:vAlign w:val="center"/>
          </w:tcPr>
          <w:p w14:paraId="44EBBDCF" w14:textId="77777777" w:rsidR="00F07B98" w:rsidRPr="00E74C9E" w:rsidRDefault="00F07B98" w:rsidP="00210E29">
            <w:pPr>
              <w:widowControl w:val="0"/>
              <w:spacing w:after="0" w:line="240" w:lineRule="auto"/>
              <w:jc w:val="center"/>
              <w:textAlignment w:val="baseline"/>
              <w:rPr>
                <w:sz w:val="18"/>
                <w:szCs w:val="18"/>
              </w:rPr>
            </w:pPr>
            <w:r w:rsidRPr="00E74C9E">
              <w:rPr>
                <w:sz w:val="18"/>
                <w:szCs w:val="18"/>
              </w:rPr>
              <w:t>-40</w:t>
            </w:r>
          </w:p>
        </w:tc>
        <w:tc>
          <w:tcPr>
            <w:tcW w:w="711" w:type="dxa"/>
            <w:tcBorders>
              <w:top w:val="nil"/>
              <w:left w:val="nil"/>
              <w:bottom w:val="single" w:sz="4" w:space="0" w:color="auto"/>
              <w:right w:val="nil"/>
            </w:tcBorders>
            <w:shd w:val="clear" w:color="auto" w:fill="auto"/>
            <w:vAlign w:val="center"/>
          </w:tcPr>
          <w:p w14:paraId="22DD7D8D" w14:textId="77777777" w:rsidR="00F07B98" w:rsidRPr="00E74C9E" w:rsidRDefault="00F07B98" w:rsidP="00210E29">
            <w:pPr>
              <w:widowControl w:val="0"/>
              <w:spacing w:after="0" w:line="240" w:lineRule="auto"/>
              <w:jc w:val="center"/>
              <w:textAlignment w:val="baseline"/>
              <w:rPr>
                <w:sz w:val="18"/>
                <w:szCs w:val="18"/>
              </w:rPr>
            </w:pPr>
            <w:r w:rsidRPr="00E74C9E">
              <w:rPr>
                <w:sz w:val="18"/>
                <w:szCs w:val="18"/>
              </w:rPr>
              <w:t>-40</w:t>
            </w:r>
          </w:p>
        </w:tc>
        <w:tc>
          <w:tcPr>
            <w:tcW w:w="1007" w:type="dxa"/>
            <w:tcBorders>
              <w:top w:val="nil"/>
              <w:left w:val="nil"/>
              <w:bottom w:val="single" w:sz="4" w:space="0" w:color="auto"/>
              <w:right w:val="nil"/>
            </w:tcBorders>
            <w:shd w:val="clear" w:color="auto" w:fill="auto"/>
            <w:vAlign w:val="center"/>
          </w:tcPr>
          <w:p w14:paraId="26265946" w14:textId="77777777" w:rsidR="00F07B98" w:rsidRPr="00E74C9E" w:rsidRDefault="00F07B98" w:rsidP="00210E29">
            <w:pPr>
              <w:widowControl w:val="0"/>
              <w:spacing w:after="0" w:line="240" w:lineRule="auto"/>
              <w:jc w:val="center"/>
              <w:textAlignment w:val="baseline"/>
              <w:rPr>
                <w:sz w:val="18"/>
                <w:szCs w:val="18"/>
              </w:rPr>
            </w:pPr>
            <w:r w:rsidRPr="00E74C9E">
              <w:rPr>
                <w:sz w:val="18"/>
                <w:szCs w:val="18"/>
              </w:rPr>
              <w:t>-40</w:t>
            </w:r>
          </w:p>
        </w:tc>
      </w:tr>
      <w:tr w:rsidR="00F07B98" w:rsidRPr="00BE46C5" w14:paraId="715C92B6" w14:textId="77777777" w:rsidTr="000A2FEF">
        <w:trPr>
          <w:trHeight w:val="254"/>
          <w:jc w:val="center"/>
        </w:trPr>
        <w:tc>
          <w:tcPr>
            <w:tcW w:w="9010" w:type="dxa"/>
            <w:gridSpan w:val="4"/>
            <w:tcBorders>
              <w:top w:val="single" w:sz="4" w:space="0" w:color="auto"/>
              <w:left w:val="nil"/>
              <w:bottom w:val="nil"/>
              <w:right w:val="nil"/>
            </w:tcBorders>
            <w:shd w:val="clear" w:color="auto" w:fill="auto"/>
            <w:vAlign w:val="center"/>
          </w:tcPr>
          <w:p w14:paraId="122D5D2F" w14:textId="6897AE0A" w:rsidR="00F07B98" w:rsidRDefault="00F07B98" w:rsidP="00784159">
            <w:pPr>
              <w:widowControl w:val="0"/>
              <w:spacing w:after="0" w:line="240" w:lineRule="auto"/>
              <w:jc w:val="both"/>
              <w:textAlignment w:val="baseline"/>
              <w:rPr>
                <w:b/>
                <w:sz w:val="18"/>
                <w:szCs w:val="20"/>
              </w:rPr>
            </w:pPr>
            <w:r>
              <w:rPr>
                <w:i/>
                <w:sz w:val="16"/>
                <w:szCs w:val="20"/>
              </w:rPr>
              <w:t xml:space="preserve">Pozn.: </w:t>
            </w:r>
            <w:r w:rsidR="00784159">
              <w:rPr>
                <w:i/>
                <w:sz w:val="16"/>
                <w:szCs w:val="20"/>
              </w:rPr>
              <w:t xml:space="preserve">* Opatrenia nezapracované vo fiškálnom rámci rozpočtu predstavené v Programe stability SR na roky 2024-2027. </w:t>
            </w:r>
            <w:r>
              <w:rPr>
                <w:i/>
                <w:sz w:val="16"/>
                <w:szCs w:val="20"/>
              </w:rPr>
              <w:t xml:space="preserve">Kladná hodnota predstavuje dodatočné príjmy/dodatočné výdavky a naopak.                                                                        </w:t>
            </w:r>
            <w:r w:rsidR="00784159">
              <w:rPr>
                <w:i/>
                <w:sz w:val="16"/>
                <w:szCs w:val="20"/>
              </w:rPr>
              <w:t xml:space="preserve">                                                         </w:t>
            </w:r>
            <w:r>
              <w:rPr>
                <w:i/>
                <w:sz w:val="16"/>
                <w:szCs w:val="20"/>
              </w:rPr>
              <w:t xml:space="preserve">                    </w:t>
            </w:r>
            <w:r w:rsidRPr="0068405E">
              <w:rPr>
                <w:i/>
                <w:sz w:val="16"/>
                <w:szCs w:val="20"/>
              </w:rPr>
              <w:t>Zdroj: MF SR</w:t>
            </w:r>
          </w:p>
        </w:tc>
      </w:tr>
    </w:tbl>
    <w:p w14:paraId="2A87312F" w14:textId="65665C2C" w:rsidR="00C463C2" w:rsidRDefault="002F2CE0" w:rsidP="002F2CE0">
      <w:pPr>
        <w:widowControl w:val="0"/>
        <w:jc w:val="both"/>
        <w:rPr>
          <w:sz w:val="20"/>
          <w:szCs w:val="20"/>
        </w:rPr>
      </w:pPr>
      <w:r>
        <w:rPr>
          <w:b/>
          <w:sz w:val="20"/>
          <w:szCs w:val="20"/>
        </w:rPr>
        <w:br/>
      </w:r>
      <w:r w:rsidR="00A833C8">
        <w:rPr>
          <w:b/>
          <w:sz w:val="20"/>
          <w:szCs w:val="20"/>
        </w:rPr>
        <w:t>Stratégia</w:t>
      </w:r>
      <w:r w:rsidR="00992912">
        <w:rPr>
          <w:b/>
          <w:sz w:val="20"/>
          <w:szCs w:val="20"/>
        </w:rPr>
        <w:t xml:space="preserve"> znižovani</w:t>
      </w:r>
      <w:r w:rsidR="00A833C8">
        <w:rPr>
          <w:b/>
          <w:sz w:val="20"/>
          <w:szCs w:val="20"/>
        </w:rPr>
        <w:t>a</w:t>
      </w:r>
      <w:r w:rsidR="00992912">
        <w:rPr>
          <w:b/>
          <w:sz w:val="20"/>
          <w:szCs w:val="20"/>
        </w:rPr>
        <w:t xml:space="preserve"> deficitu o 1 % HDP ročne do konca volebného obdobia si bude vyžadovať dodatočnú konsolidáciu </w:t>
      </w:r>
      <w:r w:rsidR="007C20EF">
        <w:rPr>
          <w:b/>
          <w:sz w:val="20"/>
          <w:szCs w:val="20"/>
        </w:rPr>
        <w:t>v objeme do 3,0</w:t>
      </w:r>
      <w:r w:rsidR="00992912">
        <w:rPr>
          <w:b/>
          <w:sz w:val="20"/>
          <w:szCs w:val="20"/>
        </w:rPr>
        <w:t xml:space="preserve"> % HDP. </w:t>
      </w:r>
      <w:r w:rsidR="00992912">
        <w:rPr>
          <w:sz w:val="20"/>
          <w:szCs w:val="20"/>
        </w:rPr>
        <w:t xml:space="preserve">Vláda na ďalší rok už </w:t>
      </w:r>
      <w:r w:rsidR="00844A70">
        <w:rPr>
          <w:sz w:val="20"/>
          <w:szCs w:val="20"/>
        </w:rPr>
        <w:t>iniciovala z</w:t>
      </w:r>
      <w:r w:rsidR="00992912">
        <w:rPr>
          <w:sz w:val="20"/>
          <w:szCs w:val="20"/>
        </w:rPr>
        <w:t xml:space="preserve">avedenie novej spotrebnej dane zo sladených nealkoholických nápojov s pridaným cukrom alebo umelými sladidlami. Do rozpočtu podľa </w:t>
      </w:r>
      <w:r w:rsidR="00992912" w:rsidRPr="002763B8">
        <w:rPr>
          <w:sz w:val="20"/>
          <w:szCs w:val="20"/>
        </w:rPr>
        <w:t>odhadov prinesie okolo 0,1 % HDP. Rovnako</w:t>
      </w:r>
      <w:r w:rsidR="00992912">
        <w:rPr>
          <w:sz w:val="20"/>
          <w:szCs w:val="20"/>
        </w:rPr>
        <w:t xml:space="preserve"> je v legislatívnom procese aj zavedenie spotrebnej dane z elektronických cigariet, nikotínových vrecúšok a iných výrobkov s nikotínom so sadzbou na </w:t>
      </w:r>
      <w:r w:rsidR="00992912" w:rsidRPr="0080021D">
        <w:rPr>
          <w:sz w:val="20"/>
          <w:szCs w:val="20"/>
        </w:rPr>
        <w:t xml:space="preserve">priemernej úrovni EÚ. Očakáva sa tiež dodatočné zvýšenie dane z tabakových výrobkov, čo by spolu malo priniesť výnos do 0,1 % HDP. </w:t>
      </w:r>
      <w:r w:rsidR="003F363C" w:rsidRPr="0080021D">
        <w:rPr>
          <w:sz w:val="20"/>
          <w:szCs w:val="20"/>
        </w:rPr>
        <w:t xml:space="preserve">Pre zníženie deficitu sa plánujú prijať ďalšie opatrenia. Na príjmovej strane by malo ísť o opatrenia, ktoré rozložia záťaž zo zvýšenia daňových príjmov naprieč spoločnosťou s dôrazom na zdanenie väčších firiem, vysokopríjmových zamestnancov a negatívnych externalít. Na výdavkovej strane sa analyzujú možnosti šetrenia na prevádzke štátu (efektívnejšie a racionálnejšie nákupy tovarov a služieb), úspory na strane </w:t>
      </w:r>
      <w:r w:rsidR="00AC7C9C" w:rsidRPr="0080021D">
        <w:rPr>
          <w:sz w:val="20"/>
          <w:szCs w:val="20"/>
        </w:rPr>
        <w:t>mzdových v</w:t>
      </w:r>
      <w:r w:rsidR="003F363C" w:rsidRPr="0080021D">
        <w:rPr>
          <w:sz w:val="20"/>
          <w:szCs w:val="20"/>
        </w:rPr>
        <w:t>ýdavkov</w:t>
      </w:r>
      <w:r w:rsidR="00AC7C9C" w:rsidRPr="0080021D">
        <w:rPr>
          <w:sz w:val="20"/>
          <w:szCs w:val="20"/>
        </w:rPr>
        <w:t xml:space="preserve">, či </w:t>
      </w:r>
      <w:r w:rsidR="003F363C" w:rsidRPr="0080021D">
        <w:rPr>
          <w:sz w:val="20"/>
          <w:szCs w:val="20"/>
        </w:rPr>
        <w:t>zadresnenie niektorých dávok.</w:t>
      </w:r>
    </w:p>
    <w:p w14:paraId="71EF0290" w14:textId="3B7700F9" w:rsidR="00FD6AA5" w:rsidRDefault="008C1FCD" w:rsidP="002F2CE0">
      <w:pPr>
        <w:widowControl w:val="0"/>
        <w:jc w:val="both"/>
        <w:rPr>
          <w:sz w:val="20"/>
          <w:szCs w:val="20"/>
        </w:rPr>
      </w:pPr>
      <w:r>
        <w:rPr>
          <w:b/>
          <w:sz w:val="20"/>
          <w:szCs w:val="20"/>
        </w:rPr>
        <w:t>Na p</w:t>
      </w:r>
      <w:r w:rsidR="00F07B98">
        <w:rPr>
          <w:b/>
          <w:sz w:val="20"/>
          <w:szCs w:val="20"/>
        </w:rPr>
        <w:t xml:space="preserve">okles dlhu pod najvyššie sankčné pásmo </w:t>
      </w:r>
      <w:r w:rsidR="008842B5">
        <w:rPr>
          <w:b/>
          <w:sz w:val="20"/>
          <w:szCs w:val="20"/>
        </w:rPr>
        <w:t>bude</w:t>
      </w:r>
      <w:r>
        <w:rPr>
          <w:b/>
          <w:sz w:val="20"/>
          <w:szCs w:val="20"/>
        </w:rPr>
        <w:t xml:space="preserve"> potrebn</w:t>
      </w:r>
      <w:r w:rsidR="008A5841">
        <w:rPr>
          <w:b/>
          <w:sz w:val="20"/>
          <w:szCs w:val="20"/>
        </w:rPr>
        <w:t>á pokračujúca konsolidácia aj za horizontom súčasného volebného obdobia a</w:t>
      </w:r>
      <w:r w:rsidR="00F07B98">
        <w:rPr>
          <w:b/>
          <w:sz w:val="20"/>
          <w:szCs w:val="20"/>
        </w:rPr>
        <w:t xml:space="preserve"> dosiahnutie vyrovnaného rozpočtu. </w:t>
      </w:r>
      <w:r w:rsidR="00F07B98">
        <w:rPr>
          <w:sz w:val="20"/>
          <w:szCs w:val="20"/>
        </w:rPr>
        <w:t>Hrubý dlh by bez pokračujúcej konsolidácie po roku 202</w:t>
      </w:r>
      <w:r w:rsidR="00ED4F75">
        <w:rPr>
          <w:sz w:val="20"/>
          <w:szCs w:val="20"/>
        </w:rPr>
        <w:t>7</w:t>
      </w:r>
      <w:r w:rsidR="00F07B98">
        <w:rPr>
          <w:sz w:val="20"/>
          <w:szCs w:val="20"/>
        </w:rPr>
        <w:t xml:space="preserve"> pokračoval v raste. </w:t>
      </w:r>
      <w:r>
        <w:rPr>
          <w:sz w:val="20"/>
          <w:szCs w:val="20"/>
        </w:rPr>
        <w:t>Zníženie dlhu pod najvyššie sankčné pásmo by si už vyžadovalo dosiahnuť vyrovnaný rozpočet</w:t>
      </w:r>
      <w:r w:rsidR="00562258">
        <w:rPr>
          <w:sz w:val="20"/>
          <w:szCs w:val="20"/>
        </w:rPr>
        <w:t xml:space="preserve">, </w:t>
      </w:r>
      <w:r w:rsidR="00F07B98">
        <w:rPr>
          <w:sz w:val="20"/>
          <w:szCs w:val="20"/>
        </w:rPr>
        <w:t xml:space="preserve">a to aj z dôvodu, že sankčné pásma </w:t>
      </w:r>
      <w:r w:rsidR="008842B5">
        <w:rPr>
          <w:sz w:val="20"/>
          <w:szCs w:val="20"/>
        </w:rPr>
        <w:t>postupne klesajú až do dosiahnutia prísnejších hraníc</w:t>
      </w:r>
      <w:r w:rsidR="00F07B98">
        <w:rPr>
          <w:rStyle w:val="Odkaznapoznmkupodiarou"/>
          <w:sz w:val="20"/>
          <w:szCs w:val="20"/>
        </w:rPr>
        <w:footnoteReference w:id="6"/>
      </w:r>
      <w:r>
        <w:rPr>
          <w:sz w:val="20"/>
          <w:szCs w:val="20"/>
        </w:rPr>
        <w:t>.</w:t>
      </w:r>
      <w:r w:rsidR="00A611C0">
        <w:rPr>
          <w:sz w:val="20"/>
          <w:szCs w:val="20"/>
        </w:rPr>
        <w:t xml:space="preserve"> </w:t>
      </w:r>
      <w:r w:rsidR="00A611C0" w:rsidRPr="00A611C0">
        <w:rPr>
          <w:sz w:val="20"/>
          <w:szCs w:val="20"/>
        </w:rPr>
        <w:t xml:space="preserve">Pre dosiahnutie vyrovnaného rozpočtu </w:t>
      </w:r>
      <w:r w:rsidR="008842B5">
        <w:rPr>
          <w:sz w:val="20"/>
          <w:szCs w:val="20"/>
        </w:rPr>
        <w:lastRenderedPageBreak/>
        <w:t>by bolo</w:t>
      </w:r>
      <w:r w:rsidR="00A611C0" w:rsidRPr="00A611C0">
        <w:rPr>
          <w:sz w:val="20"/>
          <w:szCs w:val="20"/>
        </w:rPr>
        <w:t xml:space="preserve"> potrebné prijať </w:t>
      </w:r>
      <w:r w:rsidR="001B3A3E">
        <w:rPr>
          <w:sz w:val="20"/>
          <w:szCs w:val="20"/>
        </w:rPr>
        <w:t xml:space="preserve">celkovo </w:t>
      </w:r>
      <w:r w:rsidR="00A611C0" w:rsidRPr="00A611C0">
        <w:rPr>
          <w:sz w:val="20"/>
          <w:szCs w:val="20"/>
        </w:rPr>
        <w:t xml:space="preserve">opatrenia za </w:t>
      </w:r>
      <w:r w:rsidR="008E7B6C">
        <w:rPr>
          <w:sz w:val="20"/>
          <w:szCs w:val="20"/>
        </w:rPr>
        <w:t>vyše 6</w:t>
      </w:r>
      <w:r w:rsidR="00A611C0" w:rsidRPr="00A611C0">
        <w:rPr>
          <w:sz w:val="20"/>
          <w:szCs w:val="20"/>
        </w:rPr>
        <w:t xml:space="preserve"> % HDP</w:t>
      </w:r>
      <w:r w:rsidR="00A611C0">
        <w:rPr>
          <w:sz w:val="20"/>
          <w:szCs w:val="20"/>
        </w:rPr>
        <w:t xml:space="preserve"> (1</w:t>
      </w:r>
      <w:r w:rsidR="008E7B6C">
        <w:rPr>
          <w:sz w:val="20"/>
          <w:szCs w:val="20"/>
        </w:rPr>
        <w:t>1</w:t>
      </w:r>
      <w:r w:rsidR="00A611C0">
        <w:rPr>
          <w:sz w:val="20"/>
          <w:szCs w:val="20"/>
        </w:rPr>
        <w:t xml:space="preserve"> mld. eur)</w:t>
      </w:r>
      <w:r w:rsidR="001B3A3E">
        <w:rPr>
          <w:sz w:val="20"/>
          <w:szCs w:val="20"/>
        </w:rPr>
        <w:t xml:space="preserve"> nad rámec súčasného rozpočtu.</w:t>
      </w:r>
    </w:p>
    <w:p w14:paraId="283F4A69" w14:textId="61DC80A3" w:rsidR="00394776" w:rsidRPr="003A3041" w:rsidRDefault="00394776" w:rsidP="00210E29">
      <w:pPr>
        <w:widowControl w:val="0"/>
        <w:spacing w:after="0"/>
        <w:jc w:val="both"/>
        <w:rPr>
          <w:rFonts w:cs="Arial Narrow"/>
          <w:b/>
          <w:color w:val="2C9ADC"/>
          <w:sz w:val="20"/>
          <w:szCs w:val="20"/>
        </w:rPr>
      </w:pPr>
      <w:r w:rsidRPr="003A3041">
        <w:rPr>
          <w:rFonts w:cs="Arial Narrow"/>
          <w:b/>
          <w:color w:val="2C9ADC"/>
          <w:sz w:val="20"/>
          <w:szCs w:val="20"/>
        </w:rPr>
        <w:t>TABUĽKA</w:t>
      </w:r>
      <w:r>
        <w:rPr>
          <w:rFonts w:cs="Arial Narrow"/>
          <w:b/>
          <w:color w:val="2C9ADC"/>
          <w:sz w:val="20"/>
          <w:szCs w:val="20"/>
        </w:rPr>
        <w:t xml:space="preserve"> 2</w:t>
      </w:r>
      <w:r w:rsidRPr="003A3041">
        <w:rPr>
          <w:rFonts w:cs="Arial Narrow"/>
          <w:b/>
          <w:color w:val="2C9ADC"/>
          <w:sz w:val="20"/>
          <w:szCs w:val="20"/>
        </w:rPr>
        <w:t xml:space="preserve"> – </w:t>
      </w:r>
      <w:r w:rsidR="00964D0D">
        <w:rPr>
          <w:rFonts w:cs="Arial Narrow"/>
          <w:b/>
          <w:color w:val="2C9ADC"/>
          <w:sz w:val="20"/>
          <w:szCs w:val="20"/>
        </w:rPr>
        <w:t>Potreba dodatočných opatrení</w:t>
      </w:r>
      <w:r>
        <w:rPr>
          <w:rFonts w:cs="Arial Narrow"/>
          <w:b/>
          <w:color w:val="2C9ADC"/>
          <w:sz w:val="20"/>
          <w:szCs w:val="20"/>
        </w:rPr>
        <w:t xml:space="preserve"> pre dosiahnutie vyrovnaného rozpočtu v 2030 (% HDP)</w:t>
      </w:r>
    </w:p>
    <w:tbl>
      <w:tblPr>
        <w:tblW w:w="908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9"/>
        <w:gridCol w:w="602"/>
        <w:gridCol w:w="602"/>
        <w:gridCol w:w="602"/>
        <w:gridCol w:w="602"/>
        <w:gridCol w:w="602"/>
        <w:gridCol w:w="602"/>
        <w:gridCol w:w="602"/>
      </w:tblGrid>
      <w:tr w:rsidR="00394776" w:rsidRPr="00BE46C5" w14:paraId="36C2C8DB" w14:textId="77777777" w:rsidTr="006F2E4A">
        <w:trPr>
          <w:trHeight w:val="338"/>
          <w:jc w:val="center"/>
        </w:trPr>
        <w:tc>
          <w:tcPr>
            <w:tcW w:w="4869" w:type="dxa"/>
            <w:tcBorders>
              <w:top w:val="single" w:sz="6" w:space="0" w:color="auto"/>
              <w:left w:val="nil"/>
              <w:bottom w:val="single" w:sz="6" w:space="0" w:color="auto"/>
              <w:right w:val="single" w:sz="4" w:space="0" w:color="auto"/>
            </w:tcBorders>
            <w:shd w:val="clear" w:color="auto" w:fill="auto"/>
            <w:vAlign w:val="center"/>
          </w:tcPr>
          <w:p w14:paraId="1F165B83" w14:textId="77777777" w:rsidR="00394776" w:rsidRPr="001A5D06" w:rsidRDefault="00394776" w:rsidP="00210E29">
            <w:pPr>
              <w:widowControl w:val="0"/>
              <w:spacing w:after="0" w:line="240" w:lineRule="auto"/>
              <w:textAlignment w:val="baseline"/>
              <w:rPr>
                <w:i/>
                <w:sz w:val="16"/>
                <w:szCs w:val="20"/>
                <w:lang w:eastAsia="sk-SK"/>
              </w:rPr>
            </w:pPr>
          </w:p>
        </w:tc>
        <w:tc>
          <w:tcPr>
            <w:tcW w:w="2408" w:type="dxa"/>
            <w:gridSpan w:val="4"/>
            <w:tcBorders>
              <w:top w:val="single" w:sz="6" w:space="0" w:color="auto"/>
              <w:left w:val="single" w:sz="4" w:space="0" w:color="auto"/>
              <w:bottom w:val="single" w:sz="6" w:space="0" w:color="auto"/>
              <w:right w:val="single" w:sz="4" w:space="0" w:color="auto"/>
            </w:tcBorders>
            <w:shd w:val="clear" w:color="auto" w:fill="auto"/>
            <w:vAlign w:val="center"/>
          </w:tcPr>
          <w:p w14:paraId="37C1815D" w14:textId="77777777" w:rsidR="00394776" w:rsidRDefault="00394776" w:rsidP="00210E29">
            <w:pPr>
              <w:widowControl w:val="0"/>
              <w:spacing w:after="0" w:line="240" w:lineRule="auto"/>
              <w:jc w:val="center"/>
              <w:textAlignment w:val="baseline"/>
              <w:rPr>
                <w:b/>
                <w:bCs/>
                <w:i/>
                <w:color w:val="000000"/>
                <w:sz w:val="18"/>
                <w:szCs w:val="20"/>
                <w:lang w:eastAsia="sk-SK"/>
              </w:rPr>
            </w:pPr>
            <w:r>
              <w:rPr>
                <w:bCs/>
                <w:color w:val="000000"/>
                <w:sz w:val="14"/>
                <w:szCs w:val="20"/>
                <w:lang w:eastAsia="sk-SK"/>
              </w:rPr>
              <w:t>Celé 4-ročné volebné obdobie</w:t>
            </w:r>
          </w:p>
        </w:tc>
        <w:tc>
          <w:tcPr>
            <w:tcW w:w="602" w:type="dxa"/>
            <w:tcBorders>
              <w:top w:val="single" w:sz="6" w:space="0" w:color="auto"/>
              <w:left w:val="single" w:sz="4" w:space="0" w:color="auto"/>
              <w:bottom w:val="single" w:sz="6" w:space="0" w:color="auto"/>
              <w:right w:val="nil"/>
            </w:tcBorders>
            <w:shd w:val="clear" w:color="auto" w:fill="auto"/>
            <w:vAlign w:val="center"/>
          </w:tcPr>
          <w:p w14:paraId="158C9F49" w14:textId="77777777" w:rsidR="00394776" w:rsidRDefault="00394776" w:rsidP="00210E29">
            <w:pPr>
              <w:widowControl w:val="0"/>
              <w:spacing w:after="0" w:line="240" w:lineRule="auto"/>
              <w:jc w:val="center"/>
              <w:textAlignment w:val="baseline"/>
              <w:rPr>
                <w:b/>
                <w:bCs/>
                <w:i/>
                <w:color w:val="000000"/>
                <w:sz w:val="18"/>
                <w:szCs w:val="20"/>
                <w:lang w:eastAsia="sk-SK"/>
              </w:rPr>
            </w:pPr>
          </w:p>
        </w:tc>
        <w:tc>
          <w:tcPr>
            <w:tcW w:w="602" w:type="dxa"/>
            <w:tcBorders>
              <w:top w:val="single" w:sz="6" w:space="0" w:color="auto"/>
              <w:left w:val="nil"/>
              <w:bottom w:val="single" w:sz="6" w:space="0" w:color="auto"/>
              <w:right w:val="nil"/>
            </w:tcBorders>
            <w:shd w:val="clear" w:color="auto" w:fill="auto"/>
            <w:vAlign w:val="center"/>
          </w:tcPr>
          <w:p w14:paraId="4EC76678" w14:textId="77777777" w:rsidR="00394776" w:rsidRDefault="00394776" w:rsidP="00210E29">
            <w:pPr>
              <w:widowControl w:val="0"/>
              <w:spacing w:after="0" w:line="240" w:lineRule="auto"/>
              <w:jc w:val="center"/>
              <w:textAlignment w:val="baseline"/>
              <w:rPr>
                <w:b/>
                <w:bCs/>
                <w:i/>
                <w:color w:val="000000"/>
                <w:sz w:val="18"/>
                <w:szCs w:val="20"/>
                <w:lang w:eastAsia="sk-SK"/>
              </w:rPr>
            </w:pPr>
          </w:p>
        </w:tc>
        <w:tc>
          <w:tcPr>
            <w:tcW w:w="602" w:type="dxa"/>
            <w:tcBorders>
              <w:top w:val="single" w:sz="6" w:space="0" w:color="auto"/>
              <w:left w:val="nil"/>
              <w:bottom w:val="single" w:sz="6" w:space="0" w:color="auto"/>
              <w:right w:val="nil"/>
            </w:tcBorders>
            <w:shd w:val="clear" w:color="auto" w:fill="auto"/>
            <w:vAlign w:val="center"/>
          </w:tcPr>
          <w:p w14:paraId="52B2F737" w14:textId="77777777" w:rsidR="00394776" w:rsidRDefault="00394776" w:rsidP="00210E29">
            <w:pPr>
              <w:widowControl w:val="0"/>
              <w:spacing w:after="0" w:line="240" w:lineRule="auto"/>
              <w:jc w:val="center"/>
              <w:textAlignment w:val="baseline"/>
              <w:rPr>
                <w:b/>
                <w:bCs/>
                <w:i/>
                <w:color w:val="000000"/>
                <w:sz w:val="18"/>
                <w:szCs w:val="20"/>
                <w:lang w:eastAsia="sk-SK"/>
              </w:rPr>
            </w:pPr>
          </w:p>
        </w:tc>
      </w:tr>
      <w:tr w:rsidR="0063551E" w:rsidRPr="00BE46C5" w14:paraId="048D3C14" w14:textId="77777777" w:rsidTr="00D66C7E">
        <w:trPr>
          <w:trHeight w:val="338"/>
          <w:jc w:val="center"/>
        </w:trPr>
        <w:tc>
          <w:tcPr>
            <w:tcW w:w="4869" w:type="dxa"/>
            <w:tcBorders>
              <w:top w:val="single" w:sz="6" w:space="0" w:color="auto"/>
              <w:left w:val="nil"/>
              <w:bottom w:val="single" w:sz="6" w:space="0" w:color="auto"/>
              <w:right w:val="single" w:sz="4" w:space="0" w:color="auto"/>
            </w:tcBorders>
            <w:shd w:val="clear" w:color="auto" w:fill="D4EAF8" w:themeFill="accent1" w:themeFillTint="33"/>
            <w:vAlign w:val="center"/>
          </w:tcPr>
          <w:p w14:paraId="69A04529" w14:textId="77777777" w:rsidR="0063551E" w:rsidRPr="001A5D06" w:rsidRDefault="0063551E" w:rsidP="00210E29">
            <w:pPr>
              <w:widowControl w:val="0"/>
              <w:spacing w:after="0" w:line="240" w:lineRule="auto"/>
              <w:textAlignment w:val="baseline"/>
              <w:rPr>
                <w:i/>
                <w:sz w:val="16"/>
                <w:szCs w:val="20"/>
                <w:lang w:eastAsia="sk-SK"/>
              </w:rPr>
            </w:pPr>
          </w:p>
        </w:tc>
        <w:tc>
          <w:tcPr>
            <w:tcW w:w="2408" w:type="dxa"/>
            <w:gridSpan w:val="4"/>
            <w:tcBorders>
              <w:top w:val="single" w:sz="6" w:space="0" w:color="auto"/>
              <w:left w:val="single" w:sz="4" w:space="0" w:color="auto"/>
              <w:bottom w:val="single" w:sz="6" w:space="0" w:color="auto"/>
              <w:right w:val="single" w:sz="4" w:space="0" w:color="auto"/>
            </w:tcBorders>
            <w:shd w:val="clear" w:color="auto" w:fill="D4EAF8" w:themeFill="accent1" w:themeFillTint="33"/>
            <w:vAlign w:val="center"/>
          </w:tcPr>
          <w:p w14:paraId="011FBEBD" w14:textId="47ED9EF1" w:rsidR="0063551E" w:rsidRDefault="0063551E" w:rsidP="00210E29">
            <w:pPr>
              <w:widowControl w:val="0"/>
              <w:spacing w:after="0" w:line="240" w:lineRule="auto"/>
              <w:jc w:val="center"/>
              <w:textAlignment w:val="baseline"/>
              <w:rPr>
                <w:b/>
                <w:bCs/>
                <w:i/>
                <w:color w:val="000000"/>
                <w:sz w:val="18"/>
                <w:szCs w:val="20"/>
                <w:lang w:eastAsia="sk-SK"/>
              </w:rPr>
            </w:pPr>
            <w:r>
              <w:rPr>
                <w:bCs/>
                <w:color w:val="000000"/>
                <w:sz w:val="14"/>
                <w:szCs w:val="20"/>
                <w:lang w:eastAsia="sk-SK"/>
              </w:rPr>
              <w:t>Program stability SR na roky 2024-2027</w:t>
            </w:r>
          </w:p>
        </w:tc>
        <w:tc>
          <w:tcPr>
            <w:tcW w:w="602" w:type="dxa"/>
            <w:tcBorders>
              <w:top w:val="single" w:sz="6" w:space="0" w:color="auto"/>
              <w:left w:val="single" w:sz="4" w:space="0" w:color="auto"/>
              <w:bottom w:val="single" w:sz="6" w:space="0" w:color="auto"/>
              <w:right w:val="nil"/>
            </w:tcBorders>
            <w:shd w:val="clear" w:color="auto" w:fill="D9D9D9" w:themeFill="background1" w:themeFillShade="D9"/>
            <w:vAlign w:val="center"/>
          </w:tcPr>
          <w:p w14:paraId="39E50611" w14:textId="77777777" w:rsidR="0063551E" w:rsidRDefault="0063551E" w:rsidP="00210E29">
            <w:pPr>
              <w:widowControl w:val="0"/>
              <w:spacing w:after="0" w:line="240" w:lineRule="auto"/>
              <w:jc w:val="center"/>
              <w:textAlignment w:val="baseline"/>
              <w:rPr>
                <w:b/>
                <w:bCs/>
                <w:i/>
                <w:color w:val="000000"/>
                <w:sz w:val="18"/>
                <w:szCs w:val="20"/>
                <w:lang w:eastAsia="sk-SK"/>
              </w:rPr>
            </w:pPr>
          </w:p>
        </w:tc>
        <w:tc>
          <w:tcPr>
            <w:tcW w:w="602" w:type="dxa"/>
            <w:tcBorders>
              <w:top w:val="single" w:sz="6" w:space="0" w:color="auto"/>
              <w:left w:val="nil"/>
              <w:bottom w:val="single" w:sz="6" w:space="0" w:color="auto"/>
              <w:right w:val="nil"/>
            </w:tcBorders>
            <w:shd w:val="clear" w:color="auto" w:fill="D9D9D9" w:themeFill="background1" w:themeFillShade="D9"/>
            <w:vAlign w:val="center"/>
          </w:tcPr>
          <w:p w14:paraId="222696DE" w14:textId="77777777" w:rsidR="0063551E" w:rsidRDefault="0063551E" w:rsidP="00210E29">
            <w:pPr>
              <w:widowControl w:val="0"/>
              <w:spacing w:after="0" w:line="240" w:lineRule="auto"/>
              <w:jc w:val="center"/>
              <w:textAlignment w:val="baseline"/>
              <w:rPr>
                <w:b/>
                <w:bCs/>
                <w:i/>
                <w:color w:val="000000"/>
                <w:sz w:val="18"/>
                <w:szCs w:val="20"/>
                <w:lang w:eastAsia="sk-SK"/>
              </w:rPr>
            </w:pPr>
          </w:p>
        </w:tc>
        <w:tc>
          <w:tcPr>
            <w:tcW w:w="602" w:type="dxa"/>
            <w:tcBorders>
              <w:top w:val="single" w:sz="6" w:space="0" w:color="auto"/>
              <w:left w:val="nil"/>
              <w:bottom w:val="single" w:sz="6" w:space="0" w:color="auto"/>
              <w:right w:val="nil"/>
            </w:tcBorders>
            <w:shd w:val="clear" w:color="auto" w:fill="D9D9D9" w:themeFill="background1" w:themeFillShade="D9"/>
            <w:vAlign w:val="center"/>
          </w:tcPr>
          <w:p w14:paraId="3D7675AD" w14:textId="77777777" w:rsidR="0063551E" w:rsidRDefault="0063551E" w:rsidP="00210E29">
            <w:pPr>
              <w:widowControl w:val="0"/>
              <w:spacing w:after="0" w:line="240" w:lineRule="auto"/>
              <w:jc w:val="center"/>
              <w:textAlignment w:val="baseline"/>
              <w:rPr>
                <w:b/>
                <w:bCs/>
                <w:i/>
                <w:color w:val="000000"/>
                <w:sz w:val="18"/>
                <w:szCs w:val="20"/>
                <w:lang w:eastAsia="sk-SK"/>
              </w:rPr>
            </w:pPr>
          </w:p>
        </w:tc>
      </w:tr>
      <w:tr w:rsidR="00394776" w:rsidRPr="00BE46C5" w14:paraId="1F725821" w14:textId="77777777" w:rsidTr="0063551E">
        <w:trPr>
          <w:trHeight w:val="338"/>
          <w:jc w:val="center"/>
        </w:trPr>
        <w:tc>
          <w:tcPr>
            <w:tcW w:w="4869" w:type="dxa"/>
            <w:tcBorders>
              <w:top w:val="single" w:sz="6" w:space="0" w:color="auto"/>
              <w:left w:val="nil"/>
              <w:bottom w:val="single" w:sz="6" w:space="0" w:color="auto"/>
              <w:right w:val="single" w:sz="4" w:space="0" w:color="auto"/>
            </w:tcBorders>
            <w:shd w:val="clear" w:color="auto" w:fill="D4EAF8" w:themeFill="accent1" w:themeFillTint="33"/>
            <w:vAlign w:val="center"/>
            <w:hideMark/>
          </w:tcPr>
          <w:p w14:paraId="394670A8" w14:textId="77777777" w:rsidR="00394776" w:rsidRPr="00E74C9E" w:rsidRDefault="00394776" w:rsidP="00210E29">
            <w:pPr>
              <w:widowControl w:val="0"/>
              <w:spacing w:after="0" w:line="240" w:lineRule="auto"/>
              <w:textAlignment w:val="baseline"/>
              <w:rPr>
                <w:b/>
                <w:i/>
                <w:sz w:val="18"/>
                <w:szCs w:val="18"/>
                <w:lang w:eastAsia="sk-SK"/>
              </w:rPr>
            </w:pPr>
          </w:p>
        </w:tc>
        <w:tc>
          <w:tcPr>
            <w:tcW w:w="602" w:type="dxa"/>
            <w:tcBorders>
              <w:top w:val="single" w:sz="6" w:space="0" w:color="auto"/>
              <w:left w:val="single" w:sz="4" w:space="0" w:color="auto"/>
              <w:bottom w:val="single" w:sz="6" w:space="0" w:color="auto"/>
              <w:right w:val="nil"/>
            </w:tcBorders>
            <w:shd w:val="clear" w:color="auto" w:fill="D4EAF8" w:themeFill="accent1" w:themeFillTint="33"/>
            <w:vAlign w:val="center"/>
            <w:hideMark/>
          </w:tcPr>
          <w:p w14:paraId="5E5CA902" w14:textId="77777777" w:rsidR="00394776" w:rsidRPr="00E74C9E" w:rsidRDefault="00394776" w:rsidP="00210E29">
            <w:pPr>
              <w:widowControl w:val="0"/>
              <w:spacing w:after="0" w:line="240" w:lineRule="auto"/>
              <w:jc w:val="center"/>
              <w:textAlignment w:val="baseline"/>
              <w:rPr>
                <w:i/>
                <w:sz w:val="18"/>
                <w:szCs w:val="18"/>
                <w:lang w:eastAsia="sk-SK"/>
              </w:rPr>
            </w:pPr>
            <w:r w:rsidRPr="00E74C9E">
              <w:rPr>
                <w:b/>
                <w:bCs/>
                <w:i/>
                <w:color w:val="000000"/>
                <w:sz w:val="18"/>
                <w:szCs w:val="18"/>
                <w:lang w:eastAsia="sk-SK"/>
              </w:rPr>
              <w:t>2024</w:t>
            </w:r>
          </w:p>
        </w:tc>
        <w:tc>
          <w:tcPr>
            <w:tcW w:w="602" w:type="dxa"/>
            <w:tcBorders>
              <w:top w:val="single" w:sz="6" w:space="0" w:color="auto"/>
              <w:left w:val="nil"/>
              <w:bottom w:val="single" w:sz="6" w:space="0" w:color="auto"/>
              <w:right w:val="nil"/>
            </w:tcBorders>
            <w:shd w:val="clear" w:color="auto" w:fill="D4EAF8" w:themeFill="accent1" w:themeFillTint="33"/>
            <w:vAlign w:val="center"/>
            <w:hideMark/>
          </w:tcPr>
          <w:p w14:paraId="23CC929C" w14:textId="77777777" w:rsidR="00394776" w:rsidRPr="00E74C9E" w:rsidRDefault="00394776" w:rsidP="00210E29">
            <w:pPr>
              <w:widowControl w:val="0"/>
              <w:spacing w:after="0" w:line="240" w:lineRule="auto"/>
              <w:jc w:val="center"/>
              <w:textAlignment w:val="baseline"/>
              <w:rPr>
                <w:i/>
                <w:sz w:val="18"/>
                <w:szCs w:val="18"/>
                <w:lang w:eastAsia="sk-SK"/>
              </w:rPr>
            </w:pPr>
            <w:r w:rsidRPr="00E74C9E">
              <w:rPr>
                <w:b/>
                <w:bCs/>
                <w:i/>
                <w:color w:val="000000"/>
                <w:sz w:val="18"/>
                <w:szCs w:val="18"/>
                <w:lang w:eastAsia="sk-SK"/>
              </w:rPr>
              <w:t>2025</w:t>
            </w:r>
          </w:p>
        </w:tc>
        <w:tc>
          <w:tcPr>
            <w:tcW w:w="602" w:type="dxa"/>
            <w:tcBorders>
              <w:top w:val="single" w:sz="6" w:space="0" w:color="auto"/>
              <w:left w:val="nil"/>
              <w:bottom w:val="single" w:sz="6" w:space="0" w:color="auto"/>
              <w:right w:val="nil"/>
            </w:tcBorders>
            <w:shd w:val="clear" w:color="auto" w:fill="D4EAF8" w:themeFill="accent1" w:themeFillTint="33"/>
            <w:vAlign w:val="center"/>
            <w:hideMark/>
          </w:tcPr>
          <w:p w14:paraId="7A213F30" w14:textId="77777777" w:rsidR="00394776" w:rsidRPr="00E74C9E" w:rsidRDefault="00394776" w:rsidP="00210E29">
            <w:pPr>
              <w:widowControl w:val="0"/>
              <w:spacing w:after="0" w:line="240" w:lineRule="auto"/>
              <w:jc w:val="center"/>
              <w:textAlignment w:val="baseline"/>
              <w:rPr>
                <w:i/>
                <w:sz w:val="18"/>
                <w:szCs w:val="18"/>
                <w:lang w:eastAsia="sk-SK"/>
              </w:rPr>
            </w:pPr>
            <w:r w:rsidRPr="00E74C9E">
              <w:rPr>
                <w:b/>
                <w:bCs/>
                <w:i/>
                <w:color w:val="000000"/>
                <w:sz w:val="18"/>
                <w:szCs w:val="18"/>
                <w:lang w:eastAsia="sk-SK"/>
              </w:rPr>
              <w:t>2026</w:t>
            </w:r>
          </w:p>
        </w:tc>
        <w:tc>
          <w:tcPr>
            <w:tcW w:w="602" w:type="dxa"/>
            <w:tcBorders>
              <w:top w:val="single" w:sz="6" w:space="0" w:color="auto"/>
              <w:left w:val="nil"/>
              <w:bottom w:val="single" w:sz="6" w:space="0" w:color="auto"/>
              <w:right w:val="single" w:sz="4" w:space="0" w:color="auto"/>
            </w:tcBorders>
            <w:shd w:val="clear" w:color="auto" w:fill="D4EAF8" w:themeFill="accent1" w:themeFillTint="33"/>
            <w:vAlign w:val="center"/>
          </w:tcPr>
          <w:p w14:paraId="68821071" w14:textId="77777777" w:rsidR="00394776" w:rsidRPr="00E74C9E" w:rsidRDefault="00394776" w:rsidP="00210E29">
            <w:pPr>
              <w:widowControl w:val="0"/>
              <w:spacing w:after="0" w:line="240" w:lineRule="auto"/>
              <w:jc w:val="center"/>
              <w:textAlignment w:val="baseline"/>
              <w:rPr>
                <w:b/>
                <w:bCs/>
                <w:i/>
                <w:color w:val="000000"/>
                <w:sz w:val="18"/>
                <w:szCs w:val="18"/>
                <w:lang w:eastAsia="sk-SK"/>
              </w:rPr>
            </w:pPr>
            <w:r w:rsidRPr="00E74C9E">
              <w:rPr>
                <w:b/>
                <w:bCs/>
                <w:i/>
                <w:color w:val="000000"/>
                <w:sz w:val="18"/>
                <w:szCs w:val="18"/>
                <w:lang w:eastAsia="sk-SK"/>
              </w:rPr>
              <w:t>2027</w:t>
            </w:r>
          </w:p>
        </w:tc>
        <w:tc>
          <w:tcPr>
            <w:tcW w:w="602" w:type="dxa"/>
            <w:tcBorders>
              <w:top w:val="single" w:sz="6" w:space="0" w:color="auto"/>
              <w:left w:val="single" w:sz="4" w:space="0" w:color="auto"/>
              <w:bottom w:val="single" w:sz="6" w:space="0" w:color="auto"/>
              <w:right w:val="nil"/>
            </w:tcBorders>
            <w:shd w:val="clear" w:color="auto" w:fill="D9D9D9" w:themeFill="background1" w:themeFillShade="D9"/>
            <w:vAlign w:val="center"/>
          </w:tcPr>
          <w:p w14:paraId="60BDB091" w14:textId="77777777" w:rsidR="00394776" w:rsidRPr="00E74C9E" w:rsidRDefault="00394776" w:rsidP="00210E29">
            <w:pPr>
              <w:widowControl w:val="0"/>
              <w:spacing w:after="0" w:line="240" w:lineRule="auto"/>
              <w:jc w:val="center"/>
              <w:textAlignment w:val="baseline"/>
              <w:rPr>
                <w:b/>
                <w:bCs/>
                <w:i/>
                <w:color w:val="000000"/>
                <w:sz w:val="18"/>
                <w:szCs w:val="18"/>
                <w:lang w:eastAsia="sk-SK"/>
              </w:rPr>
            </w:pPr>
            <w:r w:rsidRPr="00E74C9E">
              <w:rPr>
                <w:b/>
                <w:bCs/>
                <w:i/>
                <w:color w:val="000000"/>
                <w:sz w:val="18"/>
                <w:szCs w:val="18"/>
                <w:lang w:eastAsia="sk-SK"/>
              </w:rPr>
              <w:t>2028</w:t>
            </w:r>
          </w:p>
        </w:tc>
        <w:tc>
          <w:tcPr>
            <w:tcW w:w="602" w:type="dxa"/>
            <w:tcBorders>
              <w:top w:val="single" w:sz="6" w:space="0" w:color="auto"/>
              <w:left w:val="nil"/>
              <w:bottom w:val="single" w:sz="6" w:space="0" w:color="auto"/>
              <w:right w:val="nil"/>
            </w:tcBorders>
            <w:shd w:val="clear" w:color="auto" w:fill="D9D9D9" w:themeFill="background1" w:themeFillShade="D9"/>
            <w:vAlign w:val="center"/>
          </w:tcPr>
          <w:p w14:paraId="682B8BA2" w14:textId="77777777" w:rsidR="00394776" w:rsidRPr="00E74C9E" w:rsidRDefault="00394776" w:rsidP="00210E29">
            <w:pPr>
              <w:widowControl w:val="0"/>
              <w:spacing w:after="0" w:line="240" w:lineRule="auto"/>
              <w:jc w:val="center"/>
              <w:textAlignment w:val="baseline"/>
              <w:rPr>
                <w:b/>
                <w:bCs/>
                <w:i/>
                <w:color w:val="000000"/>
                <w:sz w:val="18"/>
                <w:szCs w:val="18"/>
                <w:lang w:eastAsia="sk-SK"/>
              </w:rPr>
            </w:pPr>
            <w:r w:rsidRPr="00E74C9E">
              <w:rPr>
                <w:b/>
                <w:bCs/>
                <w:i/>
                <w:color w:val="000000"/>
                <w:sz w:val="18"/>
                <w:szCs w:val="18"/>
                <w:lang w:eastAsia="sk-SK"/>
              </w:rPr>
              <w:t>2029</w:t>
            </w:r>
          </w:p>
        </w:tc>
        <w:tc>
          <w:tcPr>
            <w:tcW w:w="602" w:type="dxa"/>
            <w:tcBorders>
              <w:top w:val="single" w:sz="6" w:space="0" w:color="auto"/>
              <w:left w:val="nil"/>
              <w:bottom w:val="single" w:sz="6" w:space="0" w:color="auto"/>
              <w:right w:val="nil"/>
            </w:tcBorders>
            <w:shd w:val="clear" w:color="auto" w:fill="D9D9D9" w:themeFill="background1" w:themeFillShade="D9"/>
            <w:vAlign w:val="center"/>
          </w:tcPr>
          <w:p w14:paraId="6998A156" w14:textId="77777777" w:rsidR="00394776" w:rsidRPr="00E74C9E" w:rsidRDefault="00394776" w:rsidP="00210E29">
            <w:pPr>
              <w:widowControl w:val="0"/>
              <w:spacing w:after="0" w:line="240" w:lineRule="auto"/>
              <w:jc w:val="center"/>
              <w:textAlignment w:val="baseline"/>
              <w:rPr>
                <w:b/>
                <w:bCs/>
                <w:i/>
                <w:color w:val="000000"/>
                <w:sz w:val="18"/>
                <w:szCs w:val="18"/>
                <w:lang w:eastAsia="sk-SK"/>
              </w:rPr>
            </w:pPr>
            <w:r w:rsidRPr="00E74C9E">
              <w:rPr>
                <w:b/>
                <w:bCs/>
                <w:i/>
                <w:color w:val="000000"/>
                <w:sz w:val="18"/>
                <w:szCs w:val="18"/>
                <w:lang w:eastAsia="sk-SK"/>
              </w:rPr>
              <w:t>2030</w:t>
            </w:r>
          </w:p>
        </w:tc>
      </w:tr>
      <w:tr w:rsidR="00394776" w:rsidRPr="00BE46C5" w14:paraId="07717042" w14:textId="77777777" w:rsidTr="0063551E">
        <w:trPr>
          <w:trHeight w:val="300"/>
          <w:jc w:val="center"/>
        </w:trPr>
        <w:tc>
          <w:tcPr>
            <w:tcW w:w="4869" w:type="dxa"/>
            <w:tcBorders>
              <w:top w:val="single" w:sz="6" w:space="0" w:color="auto"/>
              <w:left w:val="nil"/>
              <w:bottom w:val="nil"/>
              <w:right w:val="single" w:sz="4" w:space="0" w:color="auto"/>
            </w:tcBorders>
            <w:shd w:val="clear" w:color="auto" w:fill="D4EAF8" w:themeFill="accent1" w:themeFillTint="33"/>
            <w:vAlign w:val="center"/>
            <w:hideMark/>
          </w:tcPr>
          <w:p w14:paraId="00ABB572" w14:textId="27313455" w:rsidR="00394776" w:rsidRPr="00E74C9E" w:rsidRDefault="00394776" w:rsidP="00210E29">
            <w:pPr>
              <w:widowControl w:val="0"/>
              <w:spacing w:after="0" w:line="240" w:lineRule="auto"/>
              <w:textAlignment w:val="baseline"/>
              <w:rPr>
                <w:sz w:val="18"/>
                <w:szCs w:val="18"/>
                <w:lang w:eastAsia="sk-SK"/>
              </w:rPr>
            </w:pPr>
            <w:r w:rsidRPr="00E74C9E">
              <w:rPr>
                <w:rFonts w:cs="Calibri"/>
                <w:color w:val="000000"/>
                <w:sz w:val="18"/>
                <w:szCs w:val="18"/>
              </w:rPr>
              <w:t>Deficit</w:t>
            </w:r>
            <w:r w:rsidR="001B3A3E">
              <w:rPr>
                <w:rFonts w:cs="Calibri"/>
                <w:color w:val="000000"/>
                <w:sz w:val="18"/>
                <w:szCs w:val="18"/>
              </w:rPr>
              <w:t xml:space="preserve"> hospodárenia verejnej správy</w:t>
            </w:r>
            <w:r w:rsidRPr="00E74C9E">
              <w:rPr>
                <w:rFonts w:cs="Calibri"/>
                <w:color w:val="000000"/>
                <w:sz w:val="18"/>
                <w:szCs w:val="18"/>
              </w:rPr>
              <w:t xml:space="preserve"> v návrhu rozpočtu (1)*</w:t>
            </w:r>
          </w:p>
        </w:tc>
        <w:tc>
          <w:tcPr>
            <w:tcW w:w="602" w:type="dxa"/>
            <w:tcBorders>
              <w:top w:val="single" w:sz="6" w:space="0" w:color="auto"/>
              <w:left w:val="single" w:sz="4" w:space="0" w:color="auto"/>
              <w:bottom w:val="nil"/>
              <w:right w:val="nil"/>
            </w:tcBorders>
            <w:shd w:val="clear" w:color="auto" w:fill="D4EAF8" w:themeFill="accent1" w:themeFillTint="33"/>
            <w:vAlign w:val="center"/>
            <w:hideMark/>
          </w:tcPr>
          <w:p w14:paraId="565C8684" w14:textId="77777777" w:rsidR="00394776" w:rsidRPr="00E74C9E" w:rsidRDefault="00394776" w:rsidP="00210E29">
            <w:pPr>
              <w:widowControl w:val="0"/>
              <w:spacing w:after="0" w:line="240" w:lineRule="auto"/>
              <w:jc w:val="center"/>
              <w:textAlignment w:val="baseline"/>
              <w:rPr>
                <w:sz w:val="18"/>
                <w:szCs w:val="18"/>
                <w:lang w:eastAsia="sk-SK"/>
              </w:rPr>
            </w:pPr>
            <w:r w:rsidRPr="00E74C9E">
              <w:rPr>
                <w:sz w:val="18"/>
                <w:szCs w:val="18"/>
                <w:lang w:eastAsia="sk-SK"/>
              </w:rPr>
              <w:t>-6,0</w:t>
            </w:r>
          </w:p>
        </w:tc>
        <w:tc>
          <w:tcPr>
            <w:tcW w:w="602" w:type="dxa"/>
            <w:tcBorders>
              <w:top w:val="single" w:sz="6" w:space="0" w:color="auto"/>
              <w:left w:val="nil"/>
              <w:bottom w:val="nil"/>
              <w:right w:val="nil"/>
            </w:tcBorders>
            <w:shd w:val="clear" w:color="auto" w:fill="D4EAF8" w:themeFill="accent1" w:themeFillTint="33"/>
            <w:vAlign w:val="center"/>
            <w:hideMark/>
          </w:tcPr>
          <w:p w14:paraId="36A16752" w14:textId="49A1ED92" w:rsidR="00394776" w:rsidRPr="00E74C9E" w:rsidRDefault="00394776" w:rsidP="00210E29">
            <w:pPr>
              <w:widowControl w:val="0"/>
              <w:spacing w:after="0" w:line="240" w:lineRule="auto"/>
              <w:jc w:val="center"/>
              <w:textAlignment w:val="baseline"/>
              <w:rPr>
                <w:sz w:val="18"/>
                <w:szCs w:val="18"/>
                <w:lang w:eastAsia="sk-SK"/>
              </w:rPr>
            </w:pPr>
            <w:r w:rsidRPr="00E74C9E">
              <w:rPr>
                <w:sz w:val="18"/>
                <w:szCs w:val="18"/>
              </w:rPr>
              <w:t>-</w:t>
            </w:r>
            <w:r w:rsidR="0063551E">
              <w:rPr>
                <w:sz w:val="18"/>
                <w:szCs w:val="18"/>
              </w:rPr>
              <w:t>5,4</w:t>
            </w:r>
          </w:p>
        </w:tc>
        <w:tc>
          <w:tcPr>
            <w:tcW w:w="602" w:type="dxa"/>
            <w:tcBorders>
              <w:top w:val="single" w:sz="6" w:space="0" w:color="auto"/>
              <w:left w:val="nil"/>
              <w:bottom w:val="nil"/>
              <w:right w:val="nil"/>
            </w:tcBorders>
            <w:shd w:val="clear" w:color="auto" w:fill="D4EAF8" w:themeFill="accent1" w:themeFillTint="33"/>
            <w:vAlign w:val="center"/>
            <w:hideMark/>
          </w:tcPr>
          <w:p w14:paraId="69059345" w14:textId="4B482A25" w:rsidR="00394776" w:rsidRPr="00E74C9E" w:rsidRDefault="00394776" w:rsidP="00210E29">
            <w:pPr>
              <w:widowControl w:val="0"/>
              <w:spacing w:after="0" w:line="240" w:lineRule="auto"/>
              <w:jc w:val="center"/>
              <w:textAlignment w:val="baseline"/>
              <w:rPr>
                <w:sz w:val="18"/>
                <w:szCs w:val="18"/>
                <w:lang w:eastAsia="sk-SK"/>
              </w:rPr>
            </w:pPr>
            <w:r w:rsidRPr="00E74C9E">
              <w:rPr>
                <w:sz w:val="18"/>
                <w:szCs w:val="18"/>
              </w:rPr>
              <w:t>-5,</w:t>
            </w:r>
            <w:r w:rsidR="0063551E">
              <w:rPr>
                <w:sz w:val="18"/>
                <w:szCs w:val="18"/>
              </w:rPr>
              <w:t>2</w:t>
            </w:r>
          </w:p>
        </w:tc>
        <w:tc>
          <w:tcPr>
            <w:tcW w:w="602" w:type="dxa"/>
            <w:tcBorders>
              <w:top w:val="single" w:sz="6" w:space="0" w:color="auto"/>
              <w:left w:val="nil"/>
              <w:bottom w:val="nil"/>
              <w:right w:val="single" w:sz="4" w:space="0" w:color="auto"/>
            </w:tcBorders>
            <w:shd w:val="clear" w:color="auto" w:fill="D4EAF8" w:themeFill="accent1" w:themeFillTint="33"/>
            <w:vAlign w:val="center"/>
          </w:tcPr>
          <w:p w14:paraId="15EFC025" w14:textId="6688CEA4" w:rsidR="00394776" w:rsidRPr="00EA0EFD" w:rsidRDefault="00394776" w:rsidP="00210E29">
            <w:pPr>
              <w:widowControl w:val="0"/>
              <w:spacing w:after="0" w:line="240" w:lineRule="auto"/>
              <w:jc w:val="center"/>
              <w:textAlignment w:val="baseline"/>
              <w:rPr>
                <w:sz w:val="18"/>
                <w:szCs w:val="18"/>
              </w:rPr>
            </w:pPr>
            <w:r w:rsidRPr="00EA0EFD">
              <w:rPr>
                <w:sz w:val="18"/>
                <w:szCs w:val="18"/>
              </w:rPr>
              <w:t>-5,</w:t>
            </w:r>
            <w:r w:rsidR="0063551E" w:rsidRPr="00EA0EFD">
              <w:rPr>
                <w:sz w:val="18"/>
                <w:szCs w:val="18"/>
              </w:rPr>
              <w:t>5</w:t>
            </w:r>
          </w:p>
        </w:tc>
        <w:tc>
          <w:tcPr>
            <w:tcW w:w="602" w:type="dxa"/>
            <w:tcBorders>
              <w:top w:val="single" w:sz="6" w:space="0" w:color="auto"/>
              <w:left w:val="single" w:sz="4" w:space="0" w:color="auto"/>
              <w:bottom w:val="nil"/>
              <w:right w:val="nil"/>
            </w:tcBorders>
            <w:shd w:val="clear" w:color="auto" w:fill="D9D9D9" w:themeFill="background1" w:themeFillShade="D9"/>
            <w:vAlign w:val="center"/>
          </w:tcPr>
          <w:p w14:paraId="29AB0B82" w14:textId="1B5B3B2A" w:rsidR="00394776" w:rsidRPr="00EA0EFD" w:rsidRDefault="0063551E" w:rsidP="00210E29">
            <w:pPr>
              <w:widowControl w:val="0"/>
              <w:spacing w:after="0" w:line="240" w:lineRule="auto"/>
              <w:jc w:val="center"/>
              <w:textAlignment w:val="baseline"/>
              <w:rPr>
                <w:sz w:val="18"/>
                <w:szCs w:val="18"/>
              </w:rPr>
            </w:pPr>
            <w:r w:rsidRPr="00EA0EFD">
              <w:rPr>
                <w:sz w:val="18"/>
                <w:szCs w:val="18"/>
              </w:rPr>
              <w:t>-5,6</w:t>
            </w:r>
          </w:p>
        </w:tc>
        <w:tc>
          <w:tcPr>
            <w:tcW w:w="602" w:type="dxa"/>
            <w:tcBorders>
              <w:top w:val="single" w:sz="6" w:space="0" w:color="auto"/>
              <w:left w:val="nil"/>
              <w:bottom w:val="nil"/>
              <w:right w:val="nil"/>
            </w:tcBorders>
            <w:shd w:val="clear" w:color="auto" w:fill="D9D9D9" w:themeFill="background1" w:themeFillShade="D9"/>
            <w:vAlign w:val="center"/>
          </w:tcPr>
          <w:p w14:paraId="21E53951" w14:textId="0BAAFF17" w:rsidR="00394776" w:rsidRPr="00EA0EFD" w:rsidRDefault="0063551E" w:rsidP="00210E29">
            <w:pPr>
              <w:widowControl w:val="0"/>
              <w:spacing w:after="0" w:line="240" w:lineRule="auto"/>
              <w:jc w:val="center"/>
              <w:textAlignment w:val="baseline"/>
              <w:rPr>
                <w:sz w:val="18"/>
                <w:szCs w:val="18"/>
              </w:rPr>
            </w:pPr>
            <w:r w:rsidRPr="00EA0EFD">
              <w:rPr>
                <w:sz w:val="18"/>
                <w:szCs w:val="18"/>
              </w:rPr>
              <w:t>-6,1</w:t>
            </w:r>
          </w:p>
        </w:tc>
        <w:tc>
          <w:tcPr>
            <w:tcW w:w="602" w:type="dxa"/>
            <w:tcBorders>
              <w:top w:val="single" w:sz="6" w:space="0" w:color="auto"/>
              <w:left w:val="nil"/>
              <w:bottom w:val="nil"/>
              <w:right w:val="nil"/>
            </w:tcBorders>
            <w:shd w:val="clear" w:color="auto" w:fill="D9D9D9" w:themeFill="background1" w:themeFillShade="D9"/>
            <w:vAlign w:val="center"/>
          </w:tcPr>
          <w:p w14:paraId="71D4B004" w14:textId="1FE15115" w:rsidR="00394776" w:rsidRPr="00EA0EFD" w:rsidRDefault="0063551E" w:rsidP="00210E29">
            <w:pPr>
              <w:widowControl w:val="0"/>
              <w:spacing w:after="0" w:line="240" w:lineRule="auto"/>
              <w:jc w:val="center"/>
              <w:textAlignment w:val="baseline"/>
              <w:rPr>
                <w:sz w:val="18"/>
                <w:szCs w:val="18"/>
              </w:rPr>
            </w:pPr>
            <w:r w:rsidRPr="00EA0EFD">
              <w:rPr>
                <w:sz w:val="18"/>
                <w:szCs w:val="18"/>
              </w:rPr>
              <w:t>-6,3</w:t>
            </w:r>
          </w:p>
        </w:tc>
      </w:tr>
      <w:tr w:rsidR="00394776" w:rsidRPr="00BE46C5" w14:paraId="05221337" w14:textId="77777777" w:rsidTr="0063551E">
        <w:trPr>
          <w:trHeight w:val="300"/>
          <w:jc w:val="center"/>
        </w:trPr>
        <w:tc>
          <w:tcPr>
            <w:tcW w:w="4869" w:type="dxa"/>
            <w:tcBorders>
              <w:top w:val="nil"/>
              <w:left w:val="nil"/>
              <w:bottom w:val="nil"/>
              <w:right w:val="single" w:sz="4" w:space="0" w:color="auto"/>
            </w:tcBorders>
            <w:shd w:val="clear" w:color="auto" w:fill="D4EAF8" w:themeFill="accent1" w:themeFillTint="33"/>
            <w:vAlign w:val="center"/>
            <w:hideMark/>
          </w:tcPr>
          <w:p w14:paraId="25EC4F8C" w14:textId="77777777" w:rsidR="00394776" w:rsidRPr="00E74C9E" w:rsidRDefault="00394776" w:rsidP="00210E29">
            <w:pPr>
              <w:widowControl w:val="0"/>
              <w:spacing w:after="0" w:line="240" w:lineRule="auto"/>
              <w:ind w:left="284"/>
              <w:textAlignment w:val="baseline"/>
              <w:rPr>
                <w:i/>
                <w:sz w:val="16"/>
                <w:szCs w:val="18"/>
                <w:lang w:eastAsia="sk-SK"/>
              </w:rPr>
            </w:pPr>
            <w:r w:rsidRPr="00E74C9E">
              <w:rPr>
                <w:rFonts w:cs="Calibri"/>
                <w:i/>
                <w:color w:val="000000"/>
                <w:sz w:val="16"/>
                <w:szCs w:val="18"/>
              </w:rPr>
              <w:t>z toho vplyv starnutia populácie</w:t>
            </w:r>
          </w:p>
        </w:tc>
        <w:tc>
          <w:tcPr>
            <w:tcW w:w="602" w:type="dxa"/>
            <w:tcBorders>
              <w:top w:val="nil"/>
              <w:left w:val="single" w:sz="4" w:space="0" w:color="auto"/>
              <w:bottom w:val="nil"/>
              <w:right w:val="nil"/>
            </w:tcBorders>
            <w:shd w:val="clear" w:color="auto" w:fill="D4EAF8" w:themeFill="accent1" w:themeFillTint="33"/>
            <w:vAlign w:val="center"/>
            <w:hideMark/>
          </w:tcPr>
          <w:p w14:paraId="75B470D8" w14:textId="77777777" w:rsidR="00394776" w:rsidRPr="00E74C9E" w:rsidRDefault="00394776" w:rsidP="00210E29">
            <w:pPr>
              <w:widowControl w:val="0"/>
              <w:spacing w:after="0" w:line="240" w:lineRule="auto"/>
              <w:jc w:val="center"/>
              <w:textAlignment w:val="baseline"/>
              <w:rPr>
                <w:i/>
                <w:sz w:val="16"/>
                <w:szCs w:val="18"/>
                <w:lang w:eastAsia="sk-SK"/>
              </w:rPr>
            </w:pPr>
          </w:p>
        </w:tc>
        <w:tc>
          <w:tcPr>
            <w:tcW w:w="602" w:type="dxa"/>
            <w:tcBorders>
              <w:top w:val="nil"/>
              <w:left w:val="nil"/>
              <w:bottom w:val="nil"/>
              <w:right w:val="nil"/>
            </w:tcBorders>
            <w:shd w:val="clear" w:color="auto" w:fill="D4EAF8" w:themeFill="accent1" w:themeFillTint="33"/>
            <w:vAlign w:val="center"/>
            <w:hideMark/>
          </w:tcPr>
          <w:p w14:paraId="2659F725" w14:textId="77777777" w:rsidR="00394776" w:rsidRPr="00E74C9E" w:rsidRDefault="00394776" w:rsidP="00210E29">
            <w:pPr>
              <w:widowControl w:val="0"/>
              <w:spacing w:after="0" w:line="240" w:lineRule="auto"/>
              <w:jc w:val="center"/>
              <w:textAlignment w:val="baseline"/>
              <w:rPr>
                <w:i/>
                <w:sz w:val="16"/>
                <w:szCs w:val="18"/>
                <w:lang w:eastAsia="sk-SK"/>
              </w:rPr>
            </w:pPr>
          </w:p>
        </w:tc>
        <w:tc>
          <w:tcPr>
            <w:tcW w:w="602" w:type="dxa"/>
            <w:tcBorders>
              <w:top w:val="nil"/>
              <w:left w:val="nil"/>
              <w:bottom w:val="nil"/>
              <w:right w:val="nil"/>
            </w:tcBorders>
            <w:shd w:val="clear" w:color="auto" w:fill="D4EAF8" w:themeFill="accent1" w:themeFillTint="33"/>
            <w:vAlign w:val="center"/>
            <w:hideMark/>
          </w:tcPr>
          <w:p w14:paraId="646B16D6" w14:textId="77777777" w:rsidR="00394776" w:rsidRPr="00E74C9E" w:rsidRDefault="00394776" w:rsidP="00210E29">
            <w:pPr>
              <w:widowControl w:val="0"/>
              <w:spacing w:after="0" w:line="240" w:lineRule="auto"/>
              <w:jc w:val="center"/>
              <w:textAlignment w:val="baseline"/>
              <w:rPr>
                <w:i/>
                <w:sz w:val="16"/>
                <w:szCs w:val="18"/>
                <w:lang w:eastAsia="sk-SK"/>
              </w:rPr>
            </w:pPr>
          </w:p>
        </w:tc>
        <w:tc>
          <w:tcPr>
            <w:tcW w:w="602" w:type="dxa"/>
            <w:tcBorders>
              <w:top w:val="nil"/>
              <w:left w:val="nil"/>
              <w:bottom w:val="nil"/>
              <w:right w:val="single" w:sz="4" w:space="0" w:color="auto"/>
            </w:tcBorders>
            <w:shd w:val="clear" w:color="auto" w:fill="D4EAF8" w:themeFill="accent1" w:themeFillTint="33"/>
            <w:vAlign w:val="center"/>
          </w:tcPr>
          <w:p w14:paraId="7B580C1F" w14:textId="1B61F89A" w:rsidR="00394776" w:rsidRPr="00E74C9E" w:rsidRDefault="00394776" w:rsidP="00210E29">
            <w:pPr>
              <w:widowControl w:val="0"/>
              <w:spacing w:after="0" w:line="240" w:lineRule="auto"/>
              <w:jc w:val="center"/>
              <w:textAlignment w:val="baseline"/>
              <w:rPr>
                <w:i/>
                <w:sz w:val="16"/>
                <w:szCs w:val="18"/>
              </w:rPr>
            </w:pPr>
            <w:r w:rsidRPr="00E74C9E">
              <w:rPr>
                <w:i/>
                <w:sz w:val="16"/>
                <w:szCs w:val="18"/>
              </w:rPr>
              <w:t>0,</w:t>
            </w:r>
            <w:r w:rsidR="0063551E">
              <w:rPr>
                <w:i/>
                <w:sz w:val="16"/>
                <w:szCs w:val="18"/>
              </w:rPr>
              <w:t>3</w:t>
            </w:r>
          </w:p>
        </w:tc>
        <w:tc>
          <w:tcPr>
            <w:tcW w:w="602" w:type="dxa"/>
            <w:tcBorders>
              <w:top w:val="nil"/>
              <w:left w:val="single" w:sz="4" w:space="0" w:color="auto"/>
              <w:bottom w:val="nil"/>
              <w:right w:val="nil"/>
            </w:tcBorders>
            <w:shd w:val="clear" w:color="auto" w:fill="D9D9D9" w:themeFill="background1" w:themeFillShade="D9"/>
            <w:vAlign w:val="center"/>
          </w:tcPr>
          <w:p w14:paraId="7BD5EF2E" w14:textId="246A6FBC" w:rsidR="00394776" w:rsidRPr="00E74C9E" w:rsidRDefault="00394776" w:rsidP="00210E29">
            <w:pPr>
              <w:widowControl w:val="0"/>
              <w:spacing w:after="0" w:line="240" w:lineRule="auto"/>
              <w:jc w:val="center"/>
              <w:textAlignment w:val="baseline"/>
              <w:rPr>
                <w:i/>
                <w:sz w:val="16"/>
                <w:szCs w:val="18"/>
              </w:rPr>
            </w:pPr>
            <w:r w:rsidRPr="00E74C9E">
              <w:rPr>
                <w:i/>
                <w:sz w:val="16"/>
                <w:szCs w:val="18"/>
              </w:rPr>
              <w:t>0,</w:t>
            </w:r>
            <w:r w:rsidR="0063551E">
              <w:rPr>
                <w:i/>
                <w:sz w:val="16"/>
                <w:szCs w:val="18"/>
              </w:rPr>
              <w:t>6</w:t>
            </w:r>
          </w:p>
        </w:tc>
        <w:tc>
          <w:tcPr>
            <w:tcW w:w="602" w:type="dxa"/>
            <w:tcBorders>
              <w:top w:val="nil"/>
              <w:left w:val="nil"/>
              <w:bottom w:val="nil"/>
              <w:right w:val="nil"/>
            </w:tcBorders>
            <w:shd w:val="clear" w:color="auto" w:fill="D9D9D9" w:themeFill="background1" w:themeFillShade="D9"/>
            <w:vAlign w:val="center"/>
          </w:tcPr>
          <w:p w14:paraId="5945A388" w14:textId="77777777" w:rsidR="00394776" w:rsidRPr="00E74C9E" w:rsidRDefault="00394776" w:rsidP="00210E29">
            <w:pPr>
              <w:widowControl w:val="0"/>
              <w:spacing w:after="0" w:line="240" w:lineRule="auto"/>
              <w:jc w:val="center"/>
              <w:textAlignment w:val="baseline"/>
              <w:rPr>
                <w:i/>
                <w:sz w:val="16"/>
                <w:szCs w:val="18"/>
              </w:rPr>
            </w:pPr>
            <w:r w:rsidRPr="00E74C9E">
              <w:rPr>
                <w:i/>
                <w:sz w:val="16"/>
                <w:szCs w:val="18"/>
              </w:rPr>
              <w:t>0,7</w:t>
            </w:r>
          </w:p>
        </w:tc>
        <w:tc>
          <w:tcPr>
            <w:tcW w:w="602" w:type="dxa"/>
            <w:tcBorders>
              <w:top w:val="nil"/>
              <w:left w:val="nil"/>
              <w:bottom w:val="nil"/>
              <w:right w:val="nil"/>
            </w:tcBorders>
            <w:shd w:val="clear" w:color="auto" w:fill="D9D9D9" w:themeFill="background1" w:themeFillShade="D9"/>
            <w:vAlign w:val="center"/>
          </w:tcPr>
          <w:p w14:paraId="5F9F80EE" w14:textId="07F4D858" w:rsidR="00394776" w:rsidRPr="00E74C9E" w:rsidRDefault="00394776" w:rsidP="00210E29">
            <w:pPr>
              <w:widowControl w:val="0"/>
              <w:spacing w:after="0" w:line="240" w:lineRule="auto"/>
              <w:jc w:val="center"/>
              <w:textAlignment w:val="baseline"/>
              <w:rPr>
                <w:i/>
                <w:sz w:val="16"/>
                <w:szCs w:val="18"/>
              </w:rPr>
            </w:pPr>
            <w:r w:rsidRPr="00E74C9E">
              <w:rPr>
                <w:i/>
                <w:sz w:val="16"/>
                <w:szCs w:val="18"/>
              </w:rPr>
              <w:t>0,</w:t>
            </w:r>
            <w:r w:rsidR="0063551E">
              <w:rPr>
                <w:i/>
                <w:sz w:val="16"/>
                <w:szCs w:val="18"/>
              </w:rPr>
              <w:t>8</w:t>
            </w:r>
          </w:p>
        </w:tc>
      </w:tr>
      <w:tr w:rsidR="00394776" w:rsidRPr="00BE46C5" w14:paraId="503318E1" w14:textId="77777777" w:rsidTr="0063551E">
        <w:trPr>
          <w:trHeight w:val="300"/>
          <w:jc w:val="center"/>
        </w:trPr>
        <w:tc>
          <w:tcPr>
            <w:tcW w:w="4869" w:type="dxa"/>
            <w:tcBorders>
              <w:top w:val="nil"/>
              <w:left w:val="nil"/>
              <w:bottom w:val="single" w:sz="4" w:space="0" w:color="auto"/>
              <w:right w:val="single" w:sz="4" w:space="0" w:color="auto"/>
            </w:tcBorders>
            <w:shd w:val="clear" w:color="auto" w:fill="D4EAF8" w:themeFill="accent1" w:themeFillTint="33"/>
            <w:vAlign w:val="center"/>
            <w:hideMark/>
          </w:tcPr>
          <w:p w14:paraId="0747D5EA" w14:textId="77777777" w:rsidR="00394776" w:rsidRPr="00E74C9E" w:rsidRDefault="00394776" w:rsidP="00210E29">
            <w:pPr>
              <w:widowControl w:val="0"/>
              <w:spacing w:after="0" w:line="240" w:lineRule="auto"/>
              <w:textAlignment w:val="baseline"/>
              <w:rPr>
                <w:sz w:val="18"/>
                <w:szCs w:val="18"/>
                <w:lang w:eastAsia="sk-SK"/>
              </w:rPr>
            </w:pPr>
            <w:r w:rsidRPr="00E74C9E">
              <w:rPr>
                <w:rFonts w:cs="Calibri"/>
                <w:color w:val="000000"/>
                <w:sz w:val="18"/>
                <w:szCs w:val="18"/>
              </w:rPr>
              <w:t>Rozpočtové ciele deficitov (2)**</w:t>
            </w:r>
          </w:p>
        </w:tc>
        <w:tc>
          <w:tcPr>
            <w:tcW w:w="602" w:type="dxa"/>
            <w:tcBorders>
              <w:top w:val="nil"/>
              <w:left w:val="single" w:sz="4" w:space="0" w:color="auto"/>
              <w:bottom w:val="single" w:sz="4" w:space="0" w:color="auto"/>
              <w:right w:val="nil"/>
            </w:tcBorders>
            <w:shd w:val="clear" w:color="auto" w:fill="D4EAF8" w:themeFill="accent1" w:themeFillTint="33"/>
            <w:vAlign w:val="center"/>
            <w:hideMark/>
          </w:tcPr>
          <w:p w14:paraId="69E61692" w14:textId="77777777" w:rsidR="00394776" w:rsidRPr="00E74C9E" w:rsidRDefault="00394776" w:rsidP="00210E29">
            <w:pPr>
              <w:widowControl w:val="0"/>
              <w:spacing w:after="0" w:line="240" w:lineRule="auto"/>
              <w:jc w:val="center"/>
              <w:textAlignment w:val="baseline"/>
              <w:rPr>
                <w:sz w:val="18"/>
                <w:szCs w:val="18"/>
                <w:lang w:eastAsia="sk-SK"/>
              </w:rPr>
            </w:pPr>
            <w:r w:rsidRPr="00E74C9E">
              <w:rPr>
                <w:sz w:val="18"/>
                <w:szCs w:val="18"/>
                <w:lang w:eastAsia="sk-SK"/>
              </w:rPr>
              <w:t>-6,0</w:t>
            </w:r>
          </w:p>
        </w:tc>
        <w:tc>
          <w:tcPr>
            <w:tcW w:w="602" w:type="dxa"/>
            <w:tcBorders>
              <w:top w:val="nil"/>
              <w:left w:val="nil"/>
              <w:bottom w:val="single" w:sz="4" w:space="0" w:color="auto"/>
              <w:right w:val="nil"/>
            </w:tcBorders>
            <w:shd w:val="clear" w:color="auto" w:fill="D4EAF8" w:themeFill="accent1" w:themeFillTint="33"/>
            <w:vAlign w:val="center"/>
          </w:tcPr>
          <w:p w14:paraId="3AFCD175" w14:textId="77777777" w:rsidR="00394776" w:rsidRPr="00E74C9E" w:rsidRDefault="00394776" w:rsidP="00210E29">
            <w:pPr>
              <w:widowControl w:val="0"/>
              <w:spacing w:after="0" w:line="240" w:lineRule="auto"/>
              <w:jc w:val="center"/>
              <w:textAlignment w:val="baseline"/>
              <w:rPr>
                <w:sz w:val="18"/>
                <w:szCs w:val="18"/>
                <w:lang w:eastAsia="sk-SK"/>
              </w:rPr>
            </w:pPr>
            <w:r w:rsidRPr="00E74C9E">
              <w:rPr>
                <w:sz w:val="18"/>
                <w:szCs w:val="18"/>
                <w:lang w:eastAsia="sk-SK"/>
              </w:rPr>
              <w:t>-5,0</w:t>
            </w:r>
          </w:p>
        </w:tc>
        <w:tc>
          <w:tcPr>
            <w:tcW w:w="602" w:type="dxa"/>
            <w:tcBorders>
              <w:top w:val="nil"/>
              <w:left w:val="nil"/>
              <w:bottom w:val="single" w:sz="4" w:space="0" w:color="auto"/>
              <w:right w:val="nil"/>
            </w:tcBorders>
            <w:shd w:val="clear" w:color="auto" w:fill="D4EAF8" w:themeFill="accent1" w:themeFillTint="33"/>
            <w:vAlign w:val="center"/>
          </w:tcPr>
          <w:p w14:paraId="0FFC36FF" w14:textId="77777777" w:rsidR="00394776" w:rsidRPr="00E74C9E" w:rsidRDefault="00394776" w:rsidP="00210E29">
            <w:pPr>
              <w:widowControl w:val="0"/>
              <w:spacing w:after="0" w:line="240" w:lineRule="auto"/>
              <w:jc w:val="center"/>
              <w:textAlignment w:val="baseline"/>
              <w:rPr>
                <w:sz w:val="18"/>
                <w:szCs w:val="18"/>
                <w:lang w:eastAsia="sk-SK"/>
              </w:rPr>
            </w:pPr>
            <w:r w:rsidRPr="00E74C9E">
              <w:rPr>
                <w:sz w:val="18"/>
                <w:szCs w:val="18"/>
                <w:lang w:eastAsia="sk-SK"/>
              </w:rPr>
              <w:t>-4,0</w:t>
            </w:r>
          </w:p>
        </w:tc>
        <w:tc>
          <w:tcPr>
            <w:tcW w:w="602" w:type="dxa"/>
            <w:tcBorders>
              <w:top w:val="nil"/>
              <w:left w:val="nil"/>
              <w:bottom w:val="single" w:sz="4" w:space="0" w:color="auto"/>
              <w:right w:val="single" w:sz="4" w:space="0" w:color="auto"/>
            </w:tcBorders>
            <w:shd w:val="clear" w:color="auto" w:fill="D4EAF8" w:themeFill="accent1" w:themeFillTint="33"/>
            <w:vAlign w:val="center"/>
          </w:tcPr>
          <w:p w14:paraId="59D67EAC" w14:textId="77777777" w:rsidR="00394776" w:rsidRPr="00D1060A" w:rsidRDefault="00394776" w:rsidP="00210E29">
            <w:pPr>
              <w:widowControl w:val="0"/>
              <w:spacing w:after="0" w:line="240" w:lineRule="auto"/>
              <w:jc w:val="center"/>
              <w:textAlignment w:val="baseline"/>
              <w:rPr>
                <w:b/>
                <w:sz w:val="18"/>
                <w:szCs w:val="18"/>
                <w:lang w:eastAsia="sk-SK"/>
              </w:rPr>
            </w:pPr>
            <w:r w:rsidRPr="00D1060A">
              <w:rPr>
                <w:b/>
                <w:sz w:val="18"/>
                <w:szCs w:val="18"/>
                <w:lang w:eastAsia="sk-SK"/>
              </w:rPr>
              <w:t>-3,0</w:t>
            </w:r>
          </w:p>
        </w:tc>
        <w:tc>
          <w:tcPr>
            <w:tcW w:w="602" w:type="dxa"/>
            <w:tcBorders>
              <w:top w:val="nil"/>
              <w:left w:val="single" w:sz="4" w:space="0" w:color="auto"/>
              <w:bottom w:val="single" w:sz="4" w:space="0" w:color="auto"/>
              <w:right w:val="nil"/>
            </w:tcBorders>
            <w:shd w:val="clear" w:color="auto" w:fill="D9D9D9" w:themeFill="background1" w:themeFillShade="D9"/>
            <w:vAlign w:val="center"/>
          </w:tcPr>
          <w:p w14:paraId="14C66281" w14:textId="77777777" w:rsidR="00394776" w:rsidRPr="00E74C9E" w:rsidRDefault="00394776" w:rsidP="00210E29">
            <w:pPr>
              <w:widowControl w:val="0"/>
              <w:spacing w:after="0" w:line="240" w:lineRule="auto"/>
              <w:jc w:val="center"/>
              <w:textAlignment w:val="baseline"/>
              <w:rPr>
                <w:sz w:val="18"/>
                <w:szCs w:val="18"/>
                <w:lang w:eastAsia="sk-SK"/>
              </w:rPr>
            </w:pPr>
            <w:r w:rsidRPr="00E74C9E">
              <w:rPr>
                <w:sz w:val="18"/>
                <w:szCs w:val="18"/>
                <w:lang w:eastAsia="sk-SK"/>
              </w:rPr>
              <w:t>-2,0</w:t>
            </w:r>
          </w:p>
        </w:tc>
        <w:tc>
          <w:tcPr>
            <w:tcW w:w="602" w:type="dxa"/>
            <w:tcBorders>
              <w:top w:val="nil"/>
              <w:left w:val="nil"/>
              <w:bottom w:val="single" w:sz="4" w:space="0" w:color="auto"/>
              <w:right w:val="nil"/>
            </w:tcBorders>
            <w:shd w:val="clear" w:color="auto" w:fill="D9D9D9" w:themeFill="background1" w:themeFillShade="D9"/>
            <w:vAlign w:val="center"/>
          </w:tcPr>
          <w:p w14:paraId="19BDB66C" w14:textId="77777777" w:rsidR="00394776" w:rsidRPr="00E74C9E" w:rsidRDefault="00394776" w:rsidP="00210E29">
            <w:pPr>
              <w:widowControl w:val="0"/>
              <w:spacing w:after="0" w:line="240" w:lineRule="auto"/>
              <w:jc w:val="center"/>
              <w:textAlignment w:val="baseline"/>
              <w:rPr>
                <w:sz w:val="18"/>
                <w:szCs w:val="18"/>
                <w:lang w:eastAsia="sk-SK"/>
              </w:rPr>
            </w:pPr>
            <w:r w:rsidRPr="00E74C9E">
              <w:rPr>
                <w:sz w:val="18"/>
                <w:szCs w:val="18"/>
                <w:lang w:eastAsia="sk-SK"/>
              </w:rPr>
              <w:t>-1,0</w:t>
            </w:r>
          </w:p>
        </w:tc>
        <w:tc>
          <w:tcPr>
            <w:tcW w:w="602" w:type="dxa"/>
            <w:tcBorders>
              <w:top w:val="nil"/>
              <w:left w:val="nil"/>
              <w:bottom w:val="single" w:sz="4" w:space="0" w:color="auto"/>
              <w:right w:val="nil"/>
            </w:tcBorders>
            <w:shd w:val="clear" w:color="auto" w:fill="D9D9D9" w:themeFill="background1" w:themeFillShade="D9"/>
            <w:vAlign w:val="center"/>
          </w:tcPr>
          <w:p w14:paraId="1E0C129F" w14:textId="77777777" w:rsidR="00394776" w:rsidRPr="00E74C9E" w:rsidRDefault="00394776" w:rsidP="00210E29">
            <w:pPr>
              <w:widowControl w:val="0"/>
              <w:spacing w:after="0" w:line="240" w:lineRule="auto"/>
              <w:jc w:val="center"/>
              <w:textAlignment w:val="baseline"/>
              <w:rPr>
                <w:b/>
                <w:sz w:val="18"/>
                <w:szCs w:val="18"/>
                <w:lang w:eastAsia="sk-SK"/>
              </w:rPr>
            </w:pPr>
            <w:r w:rsidRPr="00E74C9E">
              <w:rPr>
                <w:b/>
                <w:sz w:val="18"/>
                <w:szCs w:val="18"/>
                <w:lang w:eastAsia="sk-SK"/>
              </w:rPr>
              <w:t>0,0</w:t>
            </w:r>
          </w:p>
        </w:tc>
      </w:tr>
      <w:tr w:rsidR="00394776" w:rsidRPr="006A6F7F" w14:paraId="4408F5C5" w14:textId="77777777" w:rsidTr="0063551E">
        <w:trPr>
          <w:trHeight w:val="300"/>
          <w:jc w:val="center"/>
        </w:trPr>
        <w:tc>
          <w:tcPr>
            <w:tcW w:w="4869" w:type="dxa"/>
            <w:tcBorders>
              <w:top w:val="single" w:sz="4" w:space="0" w:color="auto"/>
              <w:left w:val="nil"/>
              <w:bottom w:val="single" w:sz="4" w:space="0" w:color="auto"/>
              <w:right w:val="single" w:sz="4" w:space="0" w:color="auto"/>
            </w:tcBorders>
            <w:shd w:val="clear" w:color="auto" w:fill="D4EAF8" w:themeFill="accent1" w:themeFillTint="33"/>
            <w:vAlign w:val="center"/>
          </w:tcPr>
          <w:p w14:paraId="534E55A4" w14:textId="72036E12" w:rsidR="00394776" w:rsidRPr="00E74C9E" w:rsidRDefault="00394776" w:rsidP="00210E29">
            <w:pPr>
              <w:widowControl w:val="0"/>
              <w:spacing w:after="0" w:line="240" w:lineRule="auto"/>
              <w:textAlignment w:val="baseline"/>
              <w:rPr>
                <w:rFonts w:cs="Calibri"/>
                <w:i/>
                <w:color w:val="000000"/>
                <w:sz w:val="18"/>
                <w:szCs w:val="18"/>
              </w:rPr>
            </w:pPr>
            <w:r w:rsidRPr="00E74C9E">
              <w:rPr>
                <w:rFonts w:cs="Calibri"/>
                <w:i/>
                <w:color w:val="000000"/>
                <w:sz w:val="18"/>
                <w:szCs w:val="18"/>
              </w:rPr>
              <w:t>Potreba dodatočných opatrení voči rozpočtu (3=2-1)</w:t>
            </w:r>
          </w:p>
        </w:tc>
        <w:tc>
          <w:tcPr>
            <w:tcW w:w="602" w:type="dxa"/>
            <w:tcBorders>
              <w:top w:val="single" w:sz="4" w:space="0" w:color="auto"/>
              <w:left w:val="single" w:sz="4" w:space="0" w:color="auto"/>
              <w:bottom w:val="single" w:sz="4" w:space="0" w:color="auto"/>
              <w:right w:val="nil"/>
            </w:tcBorders>
            <w:shd w:val="clear" w:color="auto" w:fill="D4EAF8" w:themeFill="accent1" w:themeFillTint="33"/>
            <w:vAlign w:val="center"/>
          </w:tcPr>
          <w:p w14:paraId="7F384F9D" w14:textId="77777777" w:rsidR="00394776" w:rsidRPr="00E74C9E" w:rsidRDefault="00394776" w:rsidP="00210E29">
            <w:pPr>
              <w:widowControl w:val="0"/>
              <w:spacing w:after="0" w:line="240" w:lineRule="auto"/>
              <w:jc w:val="center"/>
              <w:textAlignment w:val="baseline"/>
              <w:rPr>
                <w:i/>
                <w:sz w:val="18"/>
                <w:szCs w:val="18"/>
                <w:lang w:eastAsia="sk-SK"/>
              </w:rPr>
            </w:pPr>
          </w:p>
        </w:tc>
        <w:tc>
          <w:tcPr>
            <w:tcW w:w="602" w:type="dxa"/>
            <w:tcBorders>
              <w:top w:val="single" w:sz="4" w:space="0" w:color="auto"/>
              <w:left w:val="nil"/>
              <w:bottom w:val="single" w:sz="4" w:space="0" w:color="auto"/>
              <w:right w:val="nil"/>
            </w:tcBorders>
            <w:shd w:val="clear" w:color="auto" w:fill="D4EAF8" w:themeFill="accent1" w:themeFillTint="33"/>
            <w:vAlign w:val="center"/>
          </w:tcPr>
          <w:p w14:paraId="2E532E7A" w14:textId="2CA685B8" w:rsidR="00394776" w:rsidRPr="00E74C9E" w:rsidRDefault="00603FC6" w:rsidP="00210E29">
            <w:pPr>
              <w:widowControl w:val="0"/>
              <w:spacing w:after="0" w:line="240" w:lineRule="auto"/>
              <w:jc w:val="center"/>
              <w:textAlignment w:val="baseline"/>
              <w:rPr>
                <w:i/>
                <w:sz w:val="18"/>
                <w:szCs w:val="18"/>
                <w:lang w:eastAsia="sk-SK"/>
              </w:rPr>
            </w:pPr>
            <w:r>
              <w:rPr>
                <w:i/>
                <w:sz w:val="18"/>
                <w:szCs w:val="18"/>
                <w:lang w:eastAsia="sk-SK"/>
              </w:rPr>
              <w:t>0,5</w:t>
            </w:r>
          </w:p>
        </w:tc>
        <w:tc>
          <w:tcPr>
            <w:tcW w:w="602" w:type="dxa"/>
            <w:tcBorders>
              <w:top w:val="single" w:sz="4" w:space="0" w:color="auto"/>
              <w:left w:val="nil"/>
              <w:bottom w:val="single" w:sz="4" w:space="0" w:color="auto"/>
              <w:right w:val="nil"/>
            </w:tcBorders>
            <w:shd w:val="clear" w:color="auto" w:fill="D4EAF8" w:themeFill="accent1" w:themeFillTint="33"/>
            <w:vAlign w:val="center"/>
          </w:tcPr>
          <w:p w14:paraId="482ABC49" w14:textId="43988042" w:rsidR="00394776" w:rsidRPr="00E74C9E" w:rsidRDefault="00603FC6" w:rsidP="00210E29">
            <w:pPr>
              <w:widowControl w:val="0"/>
              <w:spacing w:after="0" w:line="240" w:lineRule="auto"/>
              <w:jc w:val="center"/>
              <w:textAlignment w:val="baseline"/>
              <w:rPr>
                <w:i/>
                <w:sz w:val="18"/>
                <w:szCs w:val="18"/>
                <w:lang w:eastAsia="sk-SK"/>
              </w:rPr>
            </w:pPr>
            <w:r>
              <w:rPr>
                <w:i/>
                <w:sz w:val="18"/>
                <w:szCs w:val="18"/>
                <w:lang w:eastAsia="sk-SK"/>
              </w:rPr>
              <w:t>1,2</w:t>
            </w:r>
          </w:p>
        </w:tc>
        <w:tc>
          <w:tcPr>
            <w:tcW w:w="602" w:type="dxa"/>
            <w:tcBorders>
              <w:top w:val="single" w:sz="4" w:space="0" w:color="auto"/>
              <w:left w:val="nil"/>
              <w:bottom w:val="single" w:sz="4" w:space="0" w:color="auto"/>
              <w:right w:val="single" w:sz="4" w:space="0" w:color="auto"/>
            </w:tcBorders>
            <w:shd w:val="clear" w:color="auto" w:fill="D4EAF8" w:themeFill="accent1" w:themeFillTint="33"/>
            <w:vAlign w:val="center"/>
          </w:tcPr>
          <w:p w14:paraId="2A861EAD" w14:textId="1C65FC0F" w:rsidR="00394776" w:rsidRPr="00E74C9E" w:rsidRDefault="00603FC6" w:rsidP="00210E29">
            <w:pPr>
              <w:widowControl w:val="0"/>
              <w:spacing w:after="0" w:line="240" w:lineRule="auto"/>
              <w:jc w:val="center"/>
              <w:textAlignment w:val="baseline"/>
              <w:rPr>
                <w:b/>
                <w:i/>
                <w:sz w:val="18"/>
                <w:szCs w:val="18"/>
                <w:lang w:eastAsia="sk-SK"/>
              </w:rPr>
            </w:pPr>
            <w:r>
              <w:rPr>
                <w:b/>
                <w:i/>
                <w:sz w:val="18"/>
                <w:szCs w:val="18"/>
                <w:lang w:eastAsia="sk-SK"/>
              </w:rPr>
              <w:t>2,6</w:t>
            </w:r>
          </w:p>
        </w:tc>
        <w:tc>
          <w:tcPr>
            <w:tcW w:w="60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653AABC" w14:textId="0F22D61D" w:rsidR="00394776" w:rsidRPr="00E74C9E" w:rsidRDefault="000010F5" w:rsidP="00210E29">
            <w:pPr>
              <w:widowControl w:val="0"/>
              <w:spacing w:after="0" w:line="240" w:lineRule="auto"/>
              <w:jc w:val="center"/>
              <w:textAlignment w:val="baseline"/>
              <w:rPr>
                <w:i/>
                <w:sz w:val="18"/>
                <w:szCs w:val="18"/>
                <w:lang w:eastAsia="sk-SK"/>
              </w:rPr>
            </w:pPr>
            <w:r>
              <w:rPr>
                <w:i/>
                <w:sz w:val="18"/>
                <w:szCs w:val="18"/>
                <w:lang w:eastAsia="sk-SK"/>
              </w:rPr>
              <w:t>3,6</w:t>
            </w:r>
          </w:p>
        </w:tc>
        <w:tc>
          <w:tcPr>
            <w:tcW w:w="602" w:type="dxa"/>
            <w:tcBorders>
              <w:top w:val="single" w:sz="4" w:space="0" w:color="auto"/>
              <w:left w:val="nil"/>
              <w:bottom w:val="single" w:sz="4" w:space="0" w:color="auto"/>
              <w:right w:val="nil"/>
            </w:tcBorders>
            <w:shd w:val="clear" w:color="auto" w:fill="D9D9D9" w:themeFill="background1" w:themeFillShade="D9"/>
            <w:vAlign w:val="center"/>
          </w:tcPr>
          <w:p w14:paraId="02C9F0FA" w14:textId="0B766FDB" w:rsidR="00394776" w:rsidRPr="00E74C9E" w:rsidRDefault="000010F5" w:rsidP="00210E29">
            <w:pPr>
              <w:widowControl w:val="0"/>
              <w:spacing w:after="0" w:line="240" w:lineRule="auto"/>
              <w:jc w:val="center"/>
              <w:textAlignment w:val="baseline"/>
              <w:rPr>
                <w:i/>
                <w:sz w:val="18"/>
                <w:szCs w:val="18"/>
                <w:lang w:eastAsia="sk-SK"/>
              </w:rPr>
            </w:pPr>
            <w:r>
              <w:rPr>
                <w:i/>
                <w:sz w:val="18"/>
                <w:szCs w:val="18"/>
                <w:lang w:eastAsia="sk-SK"/>
              </w:rPr>
              <w:t>5,1</w:t>
            </w:r>
          </w:p>
        </w:tc>
        <w:tc>
          <w:tcPr>
            <w:tcW w:w="602" w:type="dxa"/>
            <w:tcBorders>
              <w:top w:val="single" w:sz="4" w:space="0" w:color="auto"/>
              <w:left w:val="nil"/>
              <w:bottom w:val="single" w:sz="4" w:space="0" w:color="auto"/>
              <w:right w:val="nil"/>
            </w:tcBorders>
            <w:shd w:val="clear" w:color="auto" w:fill="D9D9D9" w:themeFill="background1" w:themeFillShade="D9"/>
            <w:vAlign w:val="center"/>
          </w:tcPr>
          <w:p w14:paraId="182E51E8" w14:textId="47968995" w:rsidR="00394776" w:rsidRPr="00E74C9E" w:rsidRDefault="00394776" w:rsidP="00210E29">
            <w:pPr>
              <w:widowControl w:val="0"/>
              <w:spacing w:after="0" w:line="240" w:lineRule="auto"/>
              <w:jc w:val="center"/>
              <w:textAlignment w:val="baseline"/>
              <w:rPr>
                <w:b/>
                <w:i/>
                <w:sz w:val="18"/>
                <w:szCs w:val="18"/>
                <w:lang w:eastAsia="sk-SK"/>
              </w:rPr>
            </w:pPr>
            <w:r w:rsidRPr="00E74C9E">
              <w:rPr>
                <w:b/>
                <w:i/>
                <w:sz w:val="18"/>
                <w:szCs w:val="18"/>
                <w:lang w:eastAsia="sk-SK"/>
              </w:rPr>
              <w:t>6,</w:t>
            </w:r>
            <w:r w:rsidR="000010F5">
              <w:rPr>
                <w:b/>
                <w:i/>
                <w:sz w:val="18"/>
                <w:szCs w:val="18"/>
                <w:lang w:eastAsia="sk-SK"/>
              </w:rPr>
              <w:t>3</w:t>
            </w:r>
          </w:p>
        </w:tc>
      </w:tr>
      <w:tr w:rsidR="00394776" w:rsidRPr="006A6F7F" w14:paraId="5010D27E" w14:textId="77777777" w:rsidTr="0063551E">
        <w:trPr>
          <w:trHeight w:val="300"/>
          <w:jc w:val="center"/>
        </w:trPr>
        <w:tc>
          <w:tcPr>
            <w:tcW w:w="4869" w:type="dxa"/>
            <w:tcBorders>
              <w:top w:val="single" w:sz="4" w:space="0" w:color="auto"/>
              <w:left w:val="nil"/>
              <w:bottom w:val="nil"/>
              <w:right w:val="single" w:sz="4" w:space="0" w:color="auto"/>
            </w:tcBorders>
            <w:shd w:val="clear" w:color="auto" w:fill="D4EAF8" w:themeFill="accent1" w:themeFillTint="33"/>
            <w:vAlign w:val="center"/>
          </w:tcPr>
          <w:p w14:paraId="26C951CC" w14:textId="1F18B3DA" w:rsidR="00394776" w:rsidRPr="00E74C9E" w:rsidRDefault="00394776" w:rsidP="00210E29">
            <w:pPr>
              <w:widowControl w:val="0"/>
              <w:spacing w:after="0" w:line="240" w:lineRule="auto"/>
              <w:textAlignment w:val="baseline"/>
              <w:rPr>
                <w:rFonts w:cs="Calibri"/>
                <w:i/>
                <w:color w:val="000000"/>
                <w:sz w:val="16"/>
                <w:szCs w:val="18"/>
              </w:rPr>
            </w:pPr>
            <w:r w:rsidRPr="00E74C9E">
              <w:rPr>
                <w:rFonts w:cs="Calibri"/>
                <w:color w:val="000000"/>
                <w:sz w:val="16"/>
                <w:szCs w:val="18"/>
              </w:rPr>
              <w:t>Hrubý dlh v</w:t>
            </w:r>
            <w:r w:rsidR="00290F6A">
              <w:rPr>
                <w:rFonts w:cs="Calibri"/>
                <w:color w:val="000000"/>
                <w:sz w:val="16"/>
                <w:szCs w:val="18"/>
              </w:rPr>
              <w:t xml:space="preserve"> aktuálnom nastavení </w:t>
            </w:r>
            <w:r w:rsidRPr="00E74C9E">
              <w:rPr>
                <w:rFonts w:cs="Calibri"/>
                <w:color w:val="000000"/>
                <w:sz w:val="16"/>
                <w:szCs w:val="18"/>
              </w:rPr>
              <w:t>rozpočtu</w:t>
            </w:r>
            <w:r w:rsidR="00290F6A">
              <w:rPr>
                <w:rFonts w:cs="Calibri"/>
                <w:color w:val="000000"/>
                <w:sz w:val="16"/>
                <w:szCs w:val="18"/>
              </w:rPr>
              <w:t xml:space="preserve"> v Programe stability</w:t>
            </w:r>
            <w:r w:rsidRPr="00E74C9E">
              <w:rPr>
                <w:rFonts w:cs="Calibri"/>
                <w:color w:val="000000"/>
                <w:sz w:val="16"/>
                <w:szCs w:val="18"/>
              </w:rPr>
              <w:t>*</w:t>
            </w:r>
          </w:p>
        </w:tc>
        <w:tc>
          <w:tcPr>
            <w:tcW w:w="602" w:type="dxa"/>
            <w:tcBorders>
              <w:top w:val="single" w:sz="4" w:space="0" w:color="auto"/>
              <w:left w:val="single" w:sz="4" w:space="0" w:color="auto"/>
              <w:bottom w:val="nil"/>
              <w:right w:val="nil"/>
            </w:tcBorders>
            <w:shd w:val="clear" w:color="auto" w:fill="D4EAF8" w:themeFill="accent1" w:themeFillTint="33"/>
            <w:vAlign w:val="center"/>
          </w:tcPr>
          <w:p w14:paraId="1453C0AD" w14:textId="56CFDA7B" w:rsidR="00394776" w:rsidRPr="00E74C9E" w:rsidRDefault="00394776" w:rsidP="00210E29">
            <w:pPr>
              <w:widowControl w:val="0"/>
              <w:spacing w:after="0" w:line="240" w:lineRule="auto"/>
              <w:jc w:val="center"/>
              <w:textAlignment w:val="baseline"/>
              <w:rPr>
                <w:i/>
                <w:sz w:val="16"/>
                <w:szCs w:val="18"/>
                <w:lang w:eastAsia="sk-SK"/>
              </w:rPr>
            </w:pPr>
            <w:r w:rsidRPr="00E74C9E">
              <w:rPr>
                <w:sz w:val="16"/>
                <w:szCs w:val="18"/>
                <w:lang w:eastAsia="sk-SK"/>
              </w:rPr>
              <w:t>58,</w:t>
            </w:r>
            <w:r w:rsidR="00FB3F1D">
              <w:rPr>
                <w:sz w:val="16"/>
                <w:szCs w:val="18"/>
                <w:lang w:eastAsia="sk-SK"/>
              </w:rPr>
              <w:t>6</w:t>
            </w:r>
          </w:p>
        </w:tc>
        <w:tc>
          <w:tcPr>
            <w:tcW w:w="602" w:type="dxa"/>
            <w:tcBorders>
              <w:top w:val="single" w:sz="4" w:space="0" w:color="auto"/>
              <w:left w:val="nil"/>
              <w:bottom w:val="nil"/>
              <w:right w:val="nil"/>
            </w:tcBorders>
            <w:shd w:val="clear" w:color="auto" w:fill="D4EAF8" w:themeFill="accent1" w:themeFillTint="33"/>
            <w:vAlign w:val="center"/>
          </w:tcPr>
          <w:p w14:paraId="6C135DD9" w14:textId="5FD09DF9" w:rsidR="00394776" w:rsidRPr="00E74C9E" w:rsidRDefault="00FB3F1D" w:rsidP="00210E29">
            <w:pPr>
              <w:widowControl w:val="0"/>
              <w:spacing w:after="0" w:line="240" w:lineRule="auto"/>
              <w:jc w:val="center"/>
              <w:textAlignment w:val="baseline"/>
              <w:rPr>
                <w:i/>
                <w:sz w:val="16"/>
                <w:szCs w:val="18"/>
                <w:lang w:eastAsia="sk-SK"/>
              </w:rPr>
            </w:pPr>
            <w:r>
              <w:rPr>
                <w:sz w:val="16"/>
                <w:szCs w:val="18"/>
              </w:rPr>
              <w:t>59,8</w:t>
            </w:r>
          </w:p>
        </w:tc>
        <w:tc>
          <w:tcPr>
            <w:tcW w:w="602" w:type="dxa"/>
            <w:tcBorders>
              <w:top w:val="single" w:sz="4" w:space="0" w:color="auto"/>
              <w:left w:val="nil"/>
              <w:bottom w:val="nil"/>
              <w:right w:val="nil"/>
            </w:tcBorders>
            <w:shd w:val="clear" w:color="auto" w:fill="D4EAF8" w:themeFill="accent1" w:themeFillTint="33"/>
            <w:vAlign w:val="center"/>
          </w:tcPr>
          <w:p w14:paraId="3E044618" w14:textId="07474A59" w:rsidR="00394776" w:rsidRPr="00E74C9E" w:rsidRDefault="00FB3F1D" w:rsidP="00210E29">
            <w:pPr>
              <w:widowControl w:val="0"/>
              <w:spacing w:after="0" w:line="240" w:lineRule="auto"/>
              <w:jc w:val="center"/>
              <w:textAlignment w:val="baseline"/>
              <w:rPr>
                <w:i/>
                <w:sz w:val="16"/>
                <w:szCs w:val="18"/>
                <w:lang w:eastAsia="sk-SK"/>
              </w:rPr>
            </w:pPr>
            <w:r>
              <w:rPr>
                <w:sz w:val="16"/>
                <w:szCs w:val="18"/>
              </w:rPr>
              <w:t>63,6</w:t>
            </w:r>
          </w:p>
        </w:tc>
        <w:tc>
          <w:tcPr>
            <w:tcW w:w="602" w:type="dxa"/>
            <w:tcBorders>
              <w:top w:val="single" w:sz="4" w:space="0" w:color="auto"/>
              <w:left w:val="nil"/>
              <w:bottom w:val="nil"/>
              <w:right w:val="single" w:sz="4" w:space="0" w:color="auto"/>
            </w:tcBorders>
            <w:shd w:val="clear" w:color="auto" w:fill="D4EAF8" w:themeFill="accent1" w:themeFillTint="33"/>
            <w:vAlign w:val="center"/>
          </w:tcPr>
          <w:p w14:paraId="4501CEBA" w14:textId="50578A1D" w:rsidR="00394776" w:rsidRPr="00E74C9E" w:rsidRDefault="00FB3F1D" w:rsidP="00210E29">
            <w:pPr>
              <w:widowControl w:val="0"/>
              <w:spacing w:after="0" w:line="240" w:lineRule="auto"/>
              <w:jc w:val="center"/>
              <w:textAlignment w:val="baseline"/>
              <w:rPr>
                <w:i/>
                <w:sz w:val="16"/>
                <w:szCs w:val="18"/>
                <w:lang w:eastAsia="sk-SK"/>
              </w:rPr>
            </w:pPr>
            <w:r>
              <w:rPr>
                <w:sz w:val="16"/>
                <w:szCs w:val="18"/>
              </w:rPr>
              <w:t>67,8</w:t>
            </w:r>
          </w:p>
        </w:tc>
        <w:tc>
          <w:tcPr>
            <w:tcW w:w="602" w:type="dxa"/>
            <w:tcBorders>
              <w:top w:val="single" w:sz="4" w:space="0" w:color="auto"/>
              <w:left w:val="single" w:sz="4" w:space="0" w:color="auto"/>
              <w:bottom w:val="nil"/>
              <w:right w:val="nil"/>
            </w:tcBorders>
            <w:shd w:val="clear" w:color="auto" w:fill="D9D9D9" w:themeFill="background1" w:themeFillShade="D9"/>
            <w:vAlign w:val="center"/>
          </w:tcPr>
          <w:p w14:paraId="71647E66" w14:textId="0BD42654" w:rsidR="00394776" w:rsidRPr="00E74C9E" w:rsidRDefault="00FB3F1D" w:rsidP="00210E29">
            <w:pPr>
              <w:widowControl w:val="0"/>
              <w:spacing w:after="0" w:line="240" w:lineRule="auto"/>
              <w:jc w:val="center"/>
              <w:textAlignment w:val="baseline"/>
              <w:rPr>
                <w:i/>
                <w:sz w:val="16"/>
                <w:szCs w:val="18"/>
                <w:lang w:eastAsia="sk-SK"/>
              </w:rPr>
            </w:pPr>
            <w:r>
              <w:rPr>
                <w:sz w:val="16"/>
                <w:szCs w:val="18"/>
              </w:rPr>
              <w:t>70,9</w:t>
            </w:r>
          </w:p>
        </w:tc>
        <w:tc>
          <w:tcPr>
            <w:tcW w:w="602" w:type="dxa"/>
            <w:tcBorders>
              <w:top w:val="single" w:sz="4" w:space="0" w:color="auto"/>
              <w:left w:val="nil"/>
              <w:bottom w:val="nil"/>
              <w:right w:val="nil"/>
            </w:tcBorders>
            <w:shd w:val="clear" w:color="auto" w:fill="D9D9D9" w:themeFill="background1" w:themeFillShade="D9"/>
            <w:vAlign w:val="center"/>
          </w:tcPr>
          <w:p w14:paraId="3751FE2D" w14:textId="786DA16F" w:rsidR="00394776" w:rsidRPr="00E74C9E" w:rsidRDefault="00FB3F1D" w:rsidP="00210E29">
            <w:pPr>
              <w:widowControl w:val="0"/>
              <w:spacing w:after="0" w:line="240" w:lineRule="auto"/>
              <w:jc w:val="center"/>
              <w:textAlignment w:val="baseline"/>
              <w:rPr>
                <w:i/>
                <w:sz w:val="16"/>
                <w:szCs w:val="18"/>
                <w:lang w:eastAsia="sk-SK"/>
              </w:rPr>
            </w:pPr>
            <w:r>
              <w:rPr>
                <w:sz w:val="16"/>
                <w:szCs w:val="18"/>
              </w:rPr>
              <w:t>74,4</w:t>
            </w:r>
          </w:p>
        </w:tc>
        <w:tc>
          <w:tcPr>
            <w:tcW w:w="602" w:type="dxa"/>
            <w:tcBorders>
              <w:top w:val="single" w:sz="4" w:space="0" w:color="auto"/>
              <w:left w:val="nil"/>
              <w:bottom w:val="nil"/>
              <w:right w:val="nil"/>
            </w:tcBorders>
            <w:shd w:val="clear" w:color="auto" w:fill="D9D9D9" w:themeFill="background1" w:themeFillShade="D9"/>
            <w:vAlign w:val="center"/>
          </w:tcPr>
          <w:p w14:paraId="5F90C635" w14:textId="0E376018" w:rsidR="00394776" w:rsidRPr="00E74C9E" w:rsidRDefault="00FB3F1D" w:rsidP="00210E29">
            <w:pPr>
              <w:widowControl w:val="0"/>
              <w:spacing w:after="0" w:line="240" w:lineRule="auto"/>
              <w:jc w:val="center"/>
              <w:textAlignment w:val="baseline"/>
              <w:rPr>
                <w:b/>
                <w:i/>
                <w:sz w:val="16"/>
                <w:szCs w:val="18"/>
                <w:lang w:eastAsia="sk-SK"/>
              </w:rPr>
            </w:pPr>
            <w:r>
              <w:rPr>
                <w:sz w:val="16"/>
                <w:szCs w:val="18"/>
              </w:rPr>
              <w:t>78,3</w:t>
            </w:r>
          </w:p>
        </w:tc>
      </w:tr>
      <w:tr w:rsidR="00394776" w:rsidRPr="006A6F7F" w14:paraId="51930AC3" w14:textId="77777777" w:rsidTr="0063551E">
        <w:trPr>
          <w:trHeight w:val="300"/>
          <w:jc w:val="center"/>
        </w:trPr>
        <w:tc>
          <w:tcPr>
            <w:tcW w:w="4869" w:type="dxa"/>
            <w:tcBorders>
              <w:top w:val="nil"/>
              <w:left w:val="nil"/>
              <w:bottom w:val="single" w:sz="4" w:space="0" w:color="auto"/>
              <w:right w:val="single" w:sz="4" w:space="0" w:color="auto"/>
            </w:tcBorders>
            <w:shd w:val="clear" w:color="auto" w:fill="D4EAF8" w:themeFill="accent1" w:themeFillTint="33"/>
            <w:vAlign w:val="center"/>
          </w:tcPr>
          <w:p w14:paraId="3068138D" w14:textId="77777777" w:rsidR="00394776" w:rsidRPr="00E74C9E" w:rsidRDefault="00394776" w:rsidP="00210E29">
            <w:pPr>
              <w:widowControl w:val="0"/>
              <w:spacing w:after="0" w:line="240" w:lineRule="auto"/>
              <w:textAlignment w:val="baseline"/>
              <w:rPr>
                <w:rFonts w:cs="Calibri"/>
                <w:i/>
                <w:color w:val="000000"/>
                <w:sz w:val="16"/>
                <w:szCs w:val="18"/>
              </w:rPr>
            </w:pPr>
            <w:r w:rsidRPr="00E74C9E">
              <w:rPr>
                <w:rFonts w:cs="Calibri"/>
                <w:color w:val="000000"/>
                <w:sz w:val="16"/>
                <w:szCs w:val="18"/>
              </w:rPr>
              <w:t>Hrubý dlh podľa cieľov deficitov**</w:t>
            </w:r>
          </w:p>
        </w:tc>
        <w:tc>
          <w:tcPr>
            <w:tcW w:w="602" w:type="dxa"/>
            <w:tcBorders>
              <w:top w:val="nil"/>
              <w:left w:val="single" w:sz="4" w:space="0" w:color="auto"/>
              <w:bottom w:val="single" w:sz="4" w:space="0" w:color="auto"/>
              <w:right w:val="nil"/>
            </w:tcBorders>
            <w:shd w:val="clear" w:color="auto" w:fill="D4EAF8" w:themeFill="accent1" w:themeFillTint="33"/>
            <w:vAlign w:val="center"/>
          </w:tcPr>
          <w:p w14:paraId="23C2D1A8" w14:textId="05B69672" w:rsidR="00394776" w:rsidRPr="00E74C9E" w:rsidRDefault="00394776" w:rsidP="00210E29">
            <w:pPr>
              <w:widowControl w:val="0"/>
              <w:spacing w:after="0" w:line="240" w:lineRule="auto"/>
              <w:jc w:val="center"/>
              <w:textAlignment w:val="baseline"/>
              <w:rPr>
                <w:i/>
                <w:sz w:val="16"/>
                <w:szCs w:val="18"/>
                <w:lang w:eastAsia="sk-SK"/>
              </w:rPr>
            </w:pPr>
            <w:r w:rsidRPr="00E74C9E">
              <w:rPr>
                <w:sz w:val="16"/>
                <w:szCs w:val="18"/>
                <w:lang w:eastAsia="sk-SK"/>
              </w:rPr>
              <w:t>58,</w:t>
            </w:r>
            <w:r w:rsidR="00FB3F1D">
              <w:rPr>
                <w:sz w:val="16"/>
                <w:szCs w:val="18"/>
                <w:lang w:eastAsia="sk-SK"/>
              </w:rPr>
              <w:t>5</w:t>
            </w:r>
          </w:p>
        </w:tc>
        <w:tc>
          <w:tcPr>
            <w:tcW w:w="602" w:type="dxa"/>
            <w:tcBorders>
              <w:top w:val="nil"/>
              <w:left w:val="nil"/>
              <w:bottom w:val="single" w:sz="4" w:space="0" w:color="auto"/>
              <w:right w:val="nil"/>
            </w:tcBorders>
            <w:shd w:val="clear" w:color="auto" w:fill="D4EAF8" w:themeFill="accent1" w:themeFillTint="33"/>
            <w:vAlign w:val="center"/>
          </w:tcPr>
          <w:p w14:paraId="03F1CDD0" w14:textId="129F77F4" w:rsidR="00394776" w:rsidRPr="00E74C9E" w:rsidRDefault="00394776" w:rsidP="00210E29">
            <w:pPr>
              <w:widowControl w:val="0"/>
              <w:spacing w:after="0" w:line="240" w:lineRule="auto"/>
              <w:jc w:val="center"/>
              <w:textAlignment w:val="baseline"/>
              <w:rPr>
                <w:i/>
                <w:sz w:val="16"/>
                <w:szCs w:val="18"/>
                <w:lang w:eastAsia="sk-SK"/>
              </w:rPr>
            </w:pPr>
            <w:r w:rsidRPr="00E74C9E">
              <w:rPr>
                <w:sz w:val="16"/>
                <w:szCs w:val="18"/>
              </w:rPr>
              <w:t>59,</w:t>
            </w:r>
            <w:r w:rsidR="00FB3F1D">
              <w:rPr>
                <w:sz w:val="16"/>
                <w:szCs w:val="18"/>
              </w:rPr>
              <w:t>5</w:t>
            </w:r>
          </w:p>
        </w:tc>
        <w:tc>
          <w:tcPr>
            <w:tcW w:w="602" w:type="dxa"/>
            <w:tcBorders>
              <w:top w:val="nil"/>
              <w:left w:val="nil"/>
              <w:bottom w:val="single" w:sz="4" w:space="0" w:color="auto"/>
              <w:right w:val="nil"/>
            </w:tcBorders>
            <w:shd w:val="clear" w:color="auto" w:fill="D4EAF8" w:themeFill="accent1" w:themeFillTint="33"/>
            <w:vAlign w:val="center"/>
          </w:tcPr>
          <w:p w14:paraId="6E714561" w14:textId="700A28F7" w:rsidR="00394776" w:rsidRPr="00E74C9E" w:rsidRDefault="00394776" w:rsidP="00210E29">
            <w:pPr>
              <w:widowControl w:val="0"/>
              <w:spacing w:after="0" w:line="240" w:lineRule="auto"/>
              <w:jc w:val="center"/>
              <w:textAlignment w:val="baseline"/>
              <w:rPr>
                <w:i/>
                <w:sz w:val="16"/>
                <w:szCs w:val="18"/>
                <w:lang w:eastAsia="sk-SK"/>
              </w:rPr>
            </w:pPr>
            <w:r w:rsidRPr="00E74C9E">
              <w:rPr>
                <w:sz w:val="16"/>
                <w:szCs w:val="18"/>
              </w:rPr>
              <w:t>61,</w:t>
            </w:r>
            <w:r w:rsidR="00FB3F1D">
              <w:rPr>
                <w:sz w:val="16"/>
                <w:szCs w:val="18"/>
              </w:rPr>
              <w:t>1</w:t>
            </w:r>
          </w:p>
        </w:tc>
        <w:tc>
          <w:tcPr>
            <w:tcW w:w="602" w:type="dxa"/>
            <w:tcBorders>
              <w:top w:val="nil"/>
              <w:left w:val="nil"/>
              <w:bottom w:val="single" w:sz="4" w:space="0" w:color="auto"/>
              <w:right w:val="single" w:sz="4" w:space="0" w:color="auto"/>
            </w:tcBorders>
            <w:shd w:val="clear" w:color="auto" w:fill="D4EAF8" w:themeFill="accent1" w:themeFillTint="33"/>
            <w:vAlign w:val="center"/>
          </w:tcPr>
          <w:p w14:paraId="0A7F8983" w14:textId="5350AF0B" w:rsidR="00394776" w:rsidRPr="00E74C9E" w:rsidRDefault="00FB3F1D" w:rsidP="00210E29">
            <w:pPr>
              <w:widowControl w:val="0"/>
              <w:spacing w:after="0" w:line="240" w:lineRule="auto"/>
              <w:jc w:val="center"/>
              <w:textAlignment w:val="baseline"/>
              <w:rPr>
                <w:i/>
                <w:sz w:val="16"/>
                <w:szCs w:val="18"/>
                <w:lang w:eastAsia="sk-SK"/>
              </w:rPr>
            </w:pPr>
            <w:r>
              <w:rPr>
                <w:sz w:val="16"/>
                <w:szCs w:val="18"/>
              </w:rPr>
              <w:t>62,3</w:t>
            </w:r>
          </w:p>
        </w:tc>
        <w:tc>
          <w:tcPr>
            <w:tcW w:w="602" w:type="dxa"/>
            <w:tcBorders>
              <w:top w:val="nil"/>
              <w:left w:val="single" w:sz="4" w:space="0" w:color="auto"/>
              <w:bottom w:val="single" w:sz="4" w:space="0" w:color="auto"/>
              <w:right w:val="nil"/>
            </w:tcBorders>
            <w:shd w:val="clear" w:color="auto" w:fill="D9D9D9" w:themeFill="background1" w:themeFillShade="D9"/>
            <w:vAlign w:val="center"/>
          </w:tcPr>
          <w:p w14:paraId="59CB1006" w14:textId="1948FE81" w:rsidR="00394776" w:rsidRPr="00E74C9E" w:rsidRDefault="00FB3F1D" w:rsidP="00210E29">
            <w:pPr>
              <w:widowControl w:val="0"/>
              <w:spacing w:after="0" w:line="240" w:lineRule="auto"/>
              <w:jc w:val="center"/>
              <w:textAlignment w:val="baseline"/>
              <w:rPr>
                <w:i/>
                <w:sz w:val="16"/>
                <w:szCs w:val="18"/>
                <w:lang w:eastAsia="sk-SK"/>
              </w:rPr>
            </w:pPr>
            <w:r>
              <w:rPr>
                <w:sz w:val="16"/>
                <w:szCs w:val="18"/>
              </w:rPr>
              <w:t>62,2</w:t>
            </w:r>
          </w:p>
        </w:tc>
        <w:tc>
          <w:tcPr>
            <w:tcW w:w="602" w:type="dxa"/>
            <w:tcBorders>
              <w:top w:val="nil"/>
              <w:left w:val="nil"/>
              <w:bottom w:val="single" w:sz="4" w:space="0" w:color="auto"/>
              <w:right w:val="nil"/>
            </w:tcBorders>
            <w:shd w:val="clear" w:color="auto" w:fill="D9D9D9" w:themeFill="background1" w:themeFillShade="D9"/>
            <w:vAlign w:val="center"/>
          </w:tcPr>
          <w:p w14:paraId="5E32A12D" w14:textId="3562E792" w:rsidR="00394776" w:rsidRPr="00E74C9E" w:rsidRDefault="00FB3F1D" w:rsidP="00210E29">
            <w:pPr>
              <w:widowControl w:val="0"/>
              <w:spacing w:after="0" w:line="240" w:lineRule="auto"/>
              <w:jc w:val="center"/>
              <w:textAlignment w:val="baseline"/>
              <w:rPr>
                <w:i/>
                <w:sz w:val="16"/>
                <w:szCs w:val="18"/>
                <w:lang w:eastAsia="sk-SK"/>
              </w:rPr>
            </w:pPr>
            <w:r>
              <w:rPr>
                <w:sz w:val="16"/>
                <w:szCs w:val="18"/>
              </w:rPr>
              <w:t>61,4</w:t>
            </w:r>
          </w:p>
        </w:tc>
        <w:tc>
          <w:tcPr>
            <w:tcW w:w="602" w:type="dxa"/>
            <w:tcBorders>
              <w:top w:val="nil"/>
              <w:left w:val="nil"/>
              <w:bottom w:val="single" w:sz="4" w:space="0" w:color="auto"/>
              <w:right w:val="nil"/>
            </w:tcBorders>
            <w:shd w:val="clear" w:color="auto" w:fill="D9D9D9" w:themeFill="background1" w:themeFillShade="D9"/>
            <w:vAlign w:val="center"/>
          </w:tcPr>
          <w:p w14:paraId="575E23DF" w14:textId="71CBA01C" w:rsidR="00394776" w:rsidRPr="00E74C9E" w:rsidRDefault="00FB3F1D" w:rsidP="00210E29">
            <w:pPr>
              <w:widowControl w:val="0"/>
              <w:spacing w:after="0" w:line="240" w:lineRule="auto"/>
              <w:jc w:val="center"/>
              <w:textAlignment w:val="baseline"/>
              <w:rPr>
                <w:b/>
                <w:i/>
                <w:sz w:val="16"/>
                <w:szCs w:val="18"/>
                <w:lang w:eastAsia="sk-SK"/>
              </w:rPr>
            </w:pPr>
            <w:r>
              <w:rPr>
                <w:sz w:val="16"/>
                <w:szCs w:val="18"/>
              </w:rPr>
              <w:t>59,4</w:t>
            </w:r>
          </w:p>
        </w:tc>
      </w:tr>
      <w:tr w:rsidR="00394776" w:rsidRPr="00BE46C5" w14:paraId="488E8D48" w14:textId="77777777" w:rsidTr="000A2FEF">
        <w:trPr>
          <w:trHeight w:val="300"/>
          <w:jc w:val="center"/>
        </w:trPr>
        <w:tc>
          <w:tcPr>
            <w:tcW w:w="9083" w:type="dxa"/>
            <w:gridSpan w:val="8"/>
            <w:tcBorders>
              <w:top w:val="single" w:sz="4" w:space="0" w:color="auto"/>
              <w:left w:val="nil"/>
              <w:bottom w:val="nil"/>
              <w:right w:val="nil"/>
            </w:tcBorders>
            <w:shd w:val="clear" w:color="auto" w:fill="auto"/>
            <w:vAlign w:val="center"/>
          </w:tcPr>
          <w:p w14:paraId="1EAB91DE" w14:textId="1A5BC8CD" w:rsidR="008951DC" w:rsidRDefault="00490EEA" w:rsidP="00210E29">
            <w:pPr>
              <w:widowControl w:val="0"/>
              <w:spacing w:after="0"/>
              <w:textAlignment w:val="baseline"/>
              <w:rPr>
                <w:rFonts w:cs="Calibri"/>
                <w:i/>
                <w:color w:val="000000"/>
                <w:sz w:val="16"/>
                <w:szCs w:val="20"/>
              </w:rPr>
            </w:pPr>
            <w:r>
              <w:rPr>
                <w:rFonts w:cs="Calibri"/>
                <w:i/>
                <w:color w:val="000000"/>
                <w:sz w:val="16"/>
                <w:szCs w:val="20"/>
              </w:rPr>
              <w:t>* O</w:t>
            </w:r>
            <w:r w:rsidR="00394776">
              <w:rPr>
                <w:rFonts w:cs="Calibri"/>
                <w:i/>
                <w:color w:val="000000"/>
                <w:sz w:val="16"/>
                <w:szCs w:val="20"/>
              </w:rPr>
              <w:t>d roku 202</w:t>
            </w:r>
            <w:r w:rsidR="0063551E">
              <w:rPr>
                <w:rFonts w:cs="Calibri"/>
                <w:i/>
                <w:color w:val="000000"/>
                <w:sz w:val="16"/>
                <w:szCs w:val="20"/>
              </w:rPr>
              <w:t>8</w:t>
            </w:r>
            <w:r w:rsidR="00394776">
              <w:rPr>
                <w:rFonts w:cs="Calibri"/>
                <w:i/>
                <w:color w:val="000000"/>
                <w:sz w:val="16"/>
                <w:szCs w:val="20"/>
              </w:rPr>
              <w:t xml:space="preserve"> scenár nezmenených politík s predpokladom </w:t>
            </w:r>
            <w:r w:rsidR="001B3A3E">
              <w:rPr>
                <w:rFonts w:cs="Calibri"/>
                <w:i/>
                <w:color w:val="000000"/>
                <w:sz w:val="16"/>
                <w:szCs w:val="20"/>
              </w:rPr>
              <w:t>zvyšovania</w:t>
            </w:r>
            <w:r w:rsidR="00394776">
              <w:rPr>
                <w:rFonts w:cs="Calibri"/>
                <w:i/>
                <w:color w:val="000000"/>
                <w:sz w:val="16"/>
                <w:szCs w:val="20"/>
              </w:rPr>
              <w:t xml:space="preserve"> deficitu o vplyv nákladov na starnutie populácie. </w:t>
            </w:r>
          </w:p>
          <w:p w14:paraId="1DC0E8A4" w14:textId="01026F52" w:rsidR="008951DC" w:rsidRDefault="00394776" w:rsidP="00210E29">
            <w:pPr>
              <w:widowControl w:val="0"/>
              <w:spacing w:after="0"/>
              <w:textAlignment w:val="baseline"/>
              <w:rPr>
                <w:rFonts w:cs="Calibri"/>
                <w:i/>
                <w:color w:val="000000"/>
                <w:sz w:val="16"/>
                <w:szCs w:val="20"/>
              </w:rPr>
            </w:pPr>
            <w:r w:rsidRPr="00F74E93">
              <w:rPr>
                <w:rFonts w:cs="Calibri"/>
                <w:i/>
                <w:color w:val="000000"/>
                <w:sz w:val="16"/>
                <w:szCs w:val="20"/>
              </w:rPr>
              <w:t>** Od roku 202</w:t>
            </w:r>
            <w:r w:rsidR="00F74E93" w:rsidRPr="00F74E93">
              <w:rPr>
                <w:rFonts w:cs="Calibri"/>
                <w:i/>
                <w:color w:val="000000"/>
                <w:sz w:val="16"/>
                <w:szCs w:val="20"/>
              </w:rPr>
              <w:t>8</w:t>
            </w:r>
            <w:r w:rsidRPr="00F74E93">
              <w:rPr>
                <w:rFonts w:cs="Calibri"/>
                <w:i/>
                <w:color w:val="000000"/>
                <w:sz w:val="16"/>
                <w:szCs w:val="20"/>
              </w:rPr>
              <w:t xml:space="preserve"> pokračujúca konsolidácia 1 % HDP ročne smerom k vyrovnanému rozpočtu</w:t>
            </w:r>
            <w:r w:rsidR="008951DC" w:rsidRPr="00F74E93">
              <w:rPr>
                <w:rFonts w:cs="Calibri"/>
                <w:i/>
                <w:color w:val="000000"/>
                <w:sz w:val="16"/>
                <w:szCs w:val="20"/>
              </w:rPr>
              <w:t xml:space="preserve"> (abstrahujúc od povinnosti predstaviť vyrovnaný rozpočet</w:t>
            </w:r>
            <w:r w:rsidR="00F474F6" w:rsidRPr="00F74E93">
              <w:rPr>
                <w:rFonts w:cs="Calibri"/>
                <w:i/>
                <w:color w:val="000000"/>
                <w:sz w:val="16"/>
                <w:szCs w:val="20"/>
              </w:rPr>
              <w:t xml:space="preserve"> už</w:t>
            </w:r>
            <w:r w:rsidR="008951DC" w:rsidRPr="00F74E93">
              <w:rPr>
                <w:rFonts w:cs="Calibri"/>
                <w:i/>
                <w:color w:val="000000"/>
                <w:sz w:val="16"/>
                <w:szCs w:val="20"/>
              </w:rPr>
              <w:t xml:space="preserve"> na rok 2026</w:t>
            </w:r>
            <w:r w:rsidR="000174B6">
              <w:rPr>
                <w:rFonts w:cs="Calibri"/>
                <w:i/>
                <w:color w:val="000000"/>
                <w:sz w:val="16"/>
                <w:szCs w:val="20"/>
              </w:rPr>
              <w:t>)</w:t>
            </w:r>
            <w:r w:rsidR="00490EEA" w:rsidRPr="00F74E93">
              <w:rPr>
                <w:rFonts w:cs="Calibri"/>
                <w:i/>
                <w:color w:val="000000"/>
                <w:sz w:val="16"/>
                <w:szCs w:val="20"/>
              </w:rPr>
              <w:t>.</w:t>
            </w:r>
            <w:r>
              <w:rPr>
                <w:rFonts w:cs="Calibri"/>
                <w:i/>
                <w:color w:val="000000"/>
                <w:sz w:val="16"/>
                <w:szCs w:val="20"/>
              </w:rPr>
              <w:t xml:space="preserve">                                                                                                     </w:t>
            </w:r>
            <w:r w:rsidR="00CC2423">
              <w:rPr>
                <w:rFonts w:cs="Calibri"/>
                <w:i/>
                <w:color w:val="000000"/>
                <w:sz w:val="16"/>
                <w:szCs w:val="20"/>
              </w:rPr>
              <w:t xml:space="preserve">                                                                               </w:t>
            </w:r>
            <w:r>
              <w:rPr>
                <w:rFonts w:cs="Calibri"/>
                <w:i/>
                <w:color w:val="000000"/>
                <w:sz w:val="16"/>
                <w:szCs w:val="20"/>
              </w:rPr>
              <w:t xml:space="preserve">        </w:t>
            </w:r>
            <w:r w:rsidR="00CD44D4">
              <w:rPr>
                <w:rFonts w:cs="Calibri"/>
                <w:i/>
                <w:color w:val="000000"/>
                <w:sz w:val="16"/>
                <w:szCs w:val="20"/>
              </w:rPr>
              <w:t xml:space="preserve">         </w:t>
            </w:r>
            <w:r>
              <w:rPr>
                <w:rFonts w:cs="Calibri"/>
                <w:i/>
                <w:color w:val="000000"/>
                <w:sz w:val="16"/>
                <w:szCs w:val="20"/>
              </w:rPr>
              <w:t xml:space="preserve">          </w:t>
            </w:r>
            <w:r w:rsidR="000174B6">
              <w:rPr>
                <w:rFonts w:cs="Calibri"/>
                <w:i/>
                <w:color w:val="000000"/>
                <w:sz w:val="16"/>
                <w:szCs w:val="20"/>
              </w:rPr>
              <w:t xml:space="preserve"> </w:t>
            </w:r>
            <w:r>
              <w:rPr>
                <w:rFonts w:cs="Calibri"/>
                <w:i/>
                <w:color w:val="000000"/>
                <w:sz w:val="16"/>
                <w:szCs w:val="20"/>
              </w:rPr>
              <w:t xml:space="preserve">   </w:t>
            </w:r>
            <w:r w:rsidR="00CC2423" w:rsidRPr="00BC5CAB">
              <w:rPr>
                <w:rFonts w:cs="Calibri"/>
                <w:i/>
                <w:color w:val="000000"/>
                <w:sz w:val="16"/>
                <w:szCs w:val="20"/>
              </w:rPr>
              <w:t>Zdroj: MF SR</w:t>
            </w:r>
          </w:p>
          <w:p w14:paraId="729038B7" w14:textId="77777777" w:rsidR="008951DC" w:rsidRDefault="008951DC" w:rsidP="00210E29">
            <w:pPr>
              <w:widowControl w:val="0"/>
              <w:spacing w:after="0"/>
              <w:textAlignment w:val="baseline"/>
              <w:rPr>
                <w:rFonts w:cs="Calibri"/>
                <w:i/>
                <w:color w:val="000000"/>
                <w:sz w:val="16"/>
                <w:szCs w:val="20"/>
              </w:rPr>
            </w:pPr>
          </w:p>
          <w:p w14:paraId="1110B222" w14:textId="316316D7" w:rsidR="00394776" w:rsidRPr="008951DC" w:rsidRDefault="00394776" w:rsidP="00210E29">
            <w:pPr>
              <w:widowControl w:val="0"/>
              <w:spacing w:after="0"/>
              <w:jc w:val="right"/>
              <w:textAlignment w:val="baseline"/>
              <w:rPr>
                <w:rFonts w:cs="Calibri"/>
                <w:i/>
                <w:color w:val="000000"/>
                <w:sz w:val="16"/>
                <w:szCs w:val="20"/>
              </w:rPr>
            </w:pPr>
          </w:p>
        </w:tc>
      </w:tr>
    </w:tbl>
    <w:p w14:paraId="06F73FDE" w14:textId="43410072" w:rsidR="00097F99" w:rsidRPr="000E56EF" w:rsidRDefault="00097F99" w:rsidP="00210E29">
      <w:pPr>
        <w:widowControl w:val="0"/>
        <w:spacing w:before="120"/>
        <w:jc w:val="both"/>
        <w:rPr>
          <w:sz w:val="20"/>
          <w:szCs w:val="20"/>
        </w:rPr>
      </w:pPr>
    </w:p>
    <w:tbl>
      <w:tblPr>
        <w:tblW w:w="908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83"/>
      </w:tblGrid>
      <w:tr w:rsidR="002D7DA6" w:rsidRPr="00BE46C5" w14:paraId="70DCB640" w14:textId="77777777" w:rsidTr="00D522A0">
        <w:trPr>
          <w:trHeight w:val="300"/>
          <w:jc w:val="center"/>
        </w:trPr>
        <w:tc>
          <w:tcPr>
            <w:tcW w:w="9083" w:type="dxa"/>
            <w:tcBorders>
              <w:top w:val="nil"/>
              <w:left w:val="nil"/>
              <w:bottom w:val="nil"/>
              <w:right w:val="nil"/>
            </w:tcBorders>
            <w:shd w:val="clear" w:color="auto" w:fill="auto"/>
            <w:vAlign w:val="center"/>
          </w:tcPr>
          <w:p w14:paraId="5848832A" w14:textId="77777777" w:rsidR="002D7DA6" w:rsidRDefault="002D7DA6" w:rsidP="00210E29">
            <w:pPr>
              <w:rPr>
                <w:rFonts w:cs="Calibri"/>
                <w:i/>
                <w:color w:val="000000"/>
                <w:sz w:val="16"/>
                <w:szCs w:val="20"/>
              </w:rPr>
            </w:pPr>
          </w:p>
        </w:tc>
      </w:tr>
    </w:tbl>
    <w:p w14:paraId="178C0E69" w14:textId="4FA601E4" w:rsidR="00326341" w:rsidRDefault="00326341" w:rsidP="006C520B">
      <w:pPr>
        <w:widowControl w:val="0"/>
        <w:spacing w:before="120"/>
        <w:jc w:val="both"/>
        <w:rPr>
          <w:sz w:val="20"/>
          <w:szCs w:val="20"/>
        </w:rPr>
      </w:pPr>
    </w:p>
    <w:sectPr w:rsidR="00326341" w:rsidSect="00F700B8">
      <w:headerReference w:type="default" r:id="rId14"/>
      <w:footerReference w:type="defaul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91CD2" w14:textId="77777777" w:rsidR="00A438D2" w:rsidRDefault="00A438D2" w:rsidP="00936D2E">
      <w:pPr>
        <w:spacing w:after="0" w:line="240" w:lineRule="auto"/>
      </w:pPr>
      <w:r>
        <w:separator/>
      </w:r>
    </w:p>
  </w:endnote>
  <w:endnote w:type="continuationSeparator" w:id="0">
    <w:p w14:paraId="37704B4D" w14:textId="77777777" w:rsidR="00A438D2" w:rsidRDefault="00A438D2" w:rsidP="00936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NeueHaasGroteskText W02">
    <w:altName w:val="Calibri"/>
    <w:charset w:val="EE"/>
    <w:family w:val="swiss"/>
    <w:pitch w:val="variable"/>
    <w:sig w:usb0="800000A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91CD5" w14:textId="69F4E12A" w:rsidR="00085B85" w:rsidRDefault="00085B85">
    <w:pPr>
      <w:pStyle w:val="Pta"/>
      <w:jc w:val="center"/>
    </w:pPr>
    <w:r>
      <w:fldChar w:fldCharType="begin"/>
    </w:r>
    <w:r>
      <w:instrText>PAGE   \* MERGEFORMAT</w:instrText>
    </w:r>
    <w:r>
      <w:fldChar w:fldCharType="separate"/>
    </w:r>
    <w:r w:rsidR="003B002A">
      <w:rPr>
        <w:noProof/>
      </w:rPr>
      <w:t>2</w:t>
    </w:r>
    <w:r>
      <w:fldChar w:fldCharType="end"/>
    </w:r>
  </w:p>
  <w:p w14:paraId="4E23F856" w14:textId="77777777" w:rsidR="00085B85" w:rsidRDefault="00085B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F918C" w14:textId="77777777" w:rsidR="00A438D2" w:rsidRDefault="00A438D2" w:rsidP="00936D2E">
      <w:pPr>
        <w:spacing w:after="0" w:line="240" w:lineRule="auto"/>
      </w:pPr>
      <w:r>
        <w:separator/>
      </w:r>
    </w:p>
  </w:footnote>
  <w:footnote w:type="continuationSeparator" w:id="0">
    <w:p w14:paraId="2B8B9444" w14:textId="77777777" w:rsidR="00A438D2" w:rsidRDefault="00A438D2" w:rsidP="00936D2E">
      <w:pPr>
        <w:spacing w:after="0" w:line="240" w:lineRule="auto"/>
      </w:pPr>
      <w:r>
        <w:continuationSeparator/>
      </w:r>
    </w:p>
  </w:footnote>
  <w:footnote w:id="1">
    <w:p w14:paraId="7312036C" w14:textId="3FEF1133" w:rsidR="00901D5D" w:rsidRPr="0066447B" w:rsidRDefault="00901D5D" w:rsidP="0066447B">
      <w:pPr>
        <w:pStyle w:val="Textpoznmkypodiarou"/>
        <w:jc w:val="both"/>
        <w:rPr>
          <w:sz w:val="16"/>
          <w:szCs w:val="16"/>
        </w:rPr>
      </w:pPr>
      <w:r w:rsidRPr="0066447B">
        <w:rPr>
          <w:rStyle w:val="Odkaznapoznmkupodiarou"/>
          <w:sz w:val="16"/>
          <w:szCs w:val="16"/>
        </w:rPr>
        <w:footnoteRef/>
      </w:r>
      <w:r w:rsidRPr="0066447B">
        <w:rPr>
          <w:sz w:val="16"/>
          <w:szCs w:val="16"/>
        </w:rPr>
        <w:t xml:space="preserve"> Horné pásmo dlhovej brzdy definované v ústavnom zákone o rozpočtovej zodpovednosti č. 493/2011 </w:t>
      </w:r>
      <w:r w:rsidR="00404CEB">
        <w:rPr>
          <w:sz w:val="16"/>
          <w:szCs w:val="16"/>
        </w:rPr>
        <w:t>pre</w:t>
      </w:r>
      <w:r w:rsidRPr="0066447B">
        <w:rPr>
          <w:sz w:val="16"/>
          <w:szCs w:val="16"/>
        </w:rPr>
        <w:t> rok 202</w:t>
      </w:r>
      <w:r w:rsidR="00932EB1">
        <w:rPr>
          <w:sz w:val="16"/>
          <w:szCs w:val="16"/>
        </w:rPr>
        <w:t>3</w:t>
      </w:r>
      <w:r w:rsidRPr="0066447B">
        <w:rPr>
          <w:sz w:val="16"/>
          <w:szCs w:val="16"/>
        </w:rPr>
        <w:t xml:space="preserve"> predstavovalo hranicu od 5</w:t>
      </w:r>
      <w:r w:rsidR="00932EB1">
        <w:rPr>
          <w:sz w:val="16"/>
          <w:szCs w:val="16"/>
        </w:rPr>
        <w:t>4</w:t>
      </w:r>
      <w:r w:rsidRPr="0066447B">
        <w:rPr>
          <w:sz w:val="16"/>
          <w:szCs w:val="16"/>
        </w:rPr>
        <w:t xml:space="preserve"> % HDP.</w:t>
      </w:r>
    </w:p>
  </w:footnote>
  <w:footnote w:id="2">
    <w:p w14:paraId="307F5ADE" w14:textId="1241AE12" w:rsidR="00FD17A3" w:rsidRPr="00FD17A3" w:rsidRDefault="00FD17A3" w:rsidP="0066447B">
      <w:pPr>
        <w:pStyle w:val="Textpoznmkypodiarou"/>
        <w:jc w:val="both"/>
        <w:rPr>
          <w:sz w:val="16"/>
          <w:szCs w:val="16"/>
        </w:rPr>
      </w:pPr>
      <w:r w:rsidRPr="0066447B">
        <w:rPr>
          <w:rStyle w:val="Odkaznapoznmkupodiarou"/>
          <w:sz w:val="16"/>
          <w:szCs w:val="16"/>
        </w:rPr>
        <w:footnoteRef/>
      </w:r>
      <w:r w:rsidRPr="0066447B">
        <w:rPr>
          <w:sz w:val="16"/>
          <w:szCs w:val="16"/>
        </w:rPr>
        <w:t xml:space="preserve"> V roku 2013 predstavoval vplyv záväzkov v Európskom nástroji finančnej stability (EFSF) a Európskom mechanizme pre stabilitu (ESM) na hrubý dlh SR celkovo 3,3 % HDP.</w:t>
      </w:r>
    </w:p>
  </w:footnote>
  <w:footnote w:id="3">
    <w:p w14:paraId="008AE25F" w14:textId="42667E00" w:rsidR="00D002C0" w:rsidRDefault="00D002C0" w:rsidP="00D002C0">
      <w:pPr>
        <w:pStyle w:val="Textpoznmkypodiarou"/>
        <w:jc w:val="both"/>
      </w:pPr>
      <w:r w:rsidRPr="00D002C0">
        <w:rPr>
          <w:rStyle w:val="Odkaznapoznmkupodiarou"/>
          <w:sz w:val="16"/>
          <w:szCs w:val="16"/>
        </w:rPr>
        <w:footnoteRef/>
      </w:r>
      <w:r w:rsidRPr="00D002C0">
        <w:rPr>
          <w:sz w:val="16"/>
          <w:szCs w:val="16"/>
        </w:rPr>
        <w:t xml:space="preserve"> Inflačný vývoj v 2022 viedol k novele zákona o štátnom rozpočte, ktorým NR SR v októbri 2022 navýšila príjmy a výdavky štátneho rozpočtu o</w:t>
      </w:r>
      <w:r w:rsidR="00E43A99">
        <w:rPr>
          <w:sz w:val="16"/>
          <w:szCs w:val="16"/>
        </w:rPr>
        <w:t xml:space="preserve"> dodatočných</w:t>
      </w:r>
      <w:r w:rsidRPr="00D002C0">
        <w:rPr>
          <w:sz w:val="16"/>
          <w:szCs w:val="16"/>
        </w:rPr>
        <w:t> 1,5 mld. eur.</w:t>
      </w:r>
    </w:p>
  </w:footnote>
  <w:footnote w:id="4">
    <w:p w14:paraId="65EFFA73" w14:textId="77777777" w:rsidR="00EA0DF2" w:rsidRDefault="00EA0DF2" w:rsidP="00EA0DF2">
      <w:pPr>
        <w:pStyle w:val="Textpoznmkypodiarou"/>
        <w:jc w:val="both"/>
      </w:pPr>
      <w:r w:rsidRPr="00161C76">
        <w:rPr>
          <w:rStyle w:val="Odkaznapoznmkupodiarou"/>
          <w:sz w:val="16"/>
          <w:szCs w:val="16"/>
        </w:rPr>
        <w:footnoteRef/>
      </w:r>
      <w:r w:rsidRPr="00161C76">
        <w:rPr>
          <w:sz w:val="16"/>
          <w:szCs w:val="16"/>
        </w:rPr>
        <w:t xml:space="preserve"> MF SR v prognóze neuvažuje so sankciou dlhovej brzdy v podobe predloženia a schválenia skokovo vyrovnaného rozpočtu verejnej správy po opätovnom aktivovaní sankcií v roku 2025</w:t>
      </w:r>
      <w:r>
        <w:rPr>
          <w:sz w:val="16"/>
          <w:szCs w:val="16"/>
        </w:rPr>
        <w:t>, nakoľko nie je známa podoba legislatívy aj v kontexte zámerov programového vyhlásenia vlády zákon novelizovať.</w:t>
      </w:r>
    </w:p>
  </w:footnote>
  <w:footnote w:id="5">
    <w:p w14:paraId="3125EB95" w14:textId="5D76864A" w:rsidR="00DF3AC5" w:rsidRPr="00F77756" w:rsidRDefault="00DF3AC5" w:rsidP="00F77756">
      <w:pPr>
        <w:pStyle w:val="Textpoznmkypodiarou"/>
        <w:jc w:val="both"/>
        <w:rPr>
          <w:sz w:val="16"/>
          <w:szCs w:val="16"/>
        </w:rPr>
      </w:pPr>
      <w:r w:rsidRPr="00F77756">
        <w:rPr>
          <w:rStyle w:val="Odkaznapoznmkupodiarou"/>
          <w:sz w:val="16"/>
          <w:szCs w:val="16"/>
        </w:rPr>
        <w:footnoteRef/>
      </w:r>
      <w:r w:rsidRPr="00F77756">
        <w:rPr>
          <w:sz w:val="16"/>
          <w:szCs w:val="16"/>
        </w:rPr>
        <w:t xml:space="preserve"> </w:t>
      </w:r>
      <w:r>
        <w:rPr>
          <w:sz w:val="16"/>
          <w:szCs w:val="16"/>
        </w:rPr>
        <w:t>V aktuálnej prognóz</w:t>
      </w:r>
      <w:r w:rsidR="00722950">
        <w:rPr>
          <w:sz w:val="16"/>
          <w:szCs w:val="16"/>
        </w:rPr>
        <w:t>e</w:t>
      </w:r>
      <w:r>
        <w:rPr>
          <w:sz w:val="16"/>
          <w:szCs w:val="16"/>
        </w:rPr>
        <w:t xml:space="preserve"> sa nepriaznivo vyvíjajú úrokové náklady, ktoré budú každoročne zvyšovať schodok približne o 0,2 p.b</w:t>
      </w:r>
      <w:r w:rsidR="00722950">
        <w:rPr>
          <w:sz w:val="16"/>
          <w:szCs w:val="16"/>
        </w:rPr>
        <w:t>, pritom nie sú súčasťou primárneho salda.</w:t>
      </w:r>
    </w:p>
  </w:footnote>
  <w:footnote w:id="6">
    <w:p w14:paraId="2BD15796" w14:textId="3607110D" w:rsidR="00F07B98" w:rsidRDefault="00F07B98" w:rsidP="00F07B98">
      <w:pPr>
        <w:pStyle w:val="Textpoznmkypodiarou"/>
        <w:jc w:val="both"/>
      </w:pPr>
      <w:r w:rsidRPr="00A175FF">
        <w:rPr>
          <w:rStyle w:val="Odkaznapoznmkupodiarou"/>
          <w:sz w:val="16"/>
        </w:rPr>
        <w:footnoteRef/>
      </w:r>
      <w:r w:rsidRPr="00A175FF">
        <w:rPr>
          <w:sz w:val="16"/>
        </w:rPr>
        <w:t xml:space="preserve"> </w:t>
      </w:r>
      <w:r>
        <w:rPr>
          <w:sz w:val="16"/>
        </w:rPr>
        <w:t>Sank</w:t>
      </w:r>
      <w:r w:rsidR="00F60E1F">
        <w:rPr>
          <w:sz w:val="16"/>
        </w:rPr>
        <w:t xml:space="preserve">čné pásma od </w:t>
      </w:r>
      <w:r>
        <w:rPr>
          <w:sz w:val="16"/>
        </w:rPr>
        <w:t>2018</w:t>
      </w:r>
      <w:r w:rsidRPr="00A175FF">
        <w:rPr>
          <w:sz w:val="16"/>
        </w:rPr>
        <w:t xml:space="preserve"> </w:t>
      </w:r>
      <w:r>
        <w:rPr>
          <w:sz w:val="16"/>
        </w:rPr>
        <w:t>klesajú</w:t>
      </w:r>
      <w:r w:rsidRPr="00A175FF">
        <w:rPr>
          <w:sz w:val="16"/>
        </w:rPr>
        <w:t xml:space="preserve"> každý rok o 1 p. b.</w:t>
      </w:r>
      <w:r>
        <w:rPr>
          <w:sz w:val="16"/>
        </w:rPr>
        <w:t xml:space="preserve"> až do roku 2027, kedy </w:t>
      </w:r>
      <w:r w:rsidRPr="00A175FF">
        <w:rPr>
          <w:sz w:val="16"/>
        </w:rPr>
        <w:t>dosiahnu cielenú úroveň definovanú v ústavnom zákone o rozpočtovej zodpovednosti – 1. pásmo (40-43 % HDP), 2. pásmo (43-45 % HDP), 3. pásmo (45-47 % HDP), 4. pásmo (47-50 % HDP) a 5. pásmo (od 50 % HDP vyššie).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C89BA" w14:textId="77777777" w:rsidR="00085B85" w:rsidRPr="009C03E3" w:rsidRDefault="00085B85" w:rsidP="0052227D">
    <w:pPr>
      <w:pStyle w:val="Hlavika"/>
      <w:tabs>
        <w:tab w:val="left" w:pos="567"/>
        <w:tab w:val="left" w:pos="6660"/>
      </w:tabs>
      <w:rPr>
        <w:rFonts w:cs="Arial Narrow"/>
        <w:b/>
        <w:bCs/>
      </w:rPr>
    </w:pPr>
    <w:r w:rsidRPr="009C03E3">
      <w:rPr>
        <w:rFonts w:cs="Arial Narrow"/>
        <w:b/>
        <w:bCs/>
      </w:rPr>
      <w:t xml:space="preserve">      </w:t>
    </w:r>
    <w:r>
      <w:rPr>
        <w:noProof/>
        <w:lang w:eastAsia="sk-SK"/>
      </w:rPr>
      <w:drawing>
        <wp:anchor distT="0" distB="0" distL="114300" distR="114300" simplePos="0" relativeHeight="251659264" behindDoc="0" locked="1" layoutInCell="1" allowOverlap="0" wp14:anchorId="1BCE74F6" wp14:editId="5A69B178">
          <wp:simplePos x="0" y="0"/>
          <wp:positionH relativeFrom="column">
            <wp:posOffset>-7620</wp:posOffset>
          </wp:positionH>
          <wp:positionV relativeFrom="paragraph">
            <wp:posOffset>-9525</wp:posOffset>
          </wp:positionV>
          <wp:extent cx="318770" cy="375285"/>
          <wp:effectExtent l="0" t="0" r="0" b="0"/>
          <wp:wrapNone/>
          <wp:docPr id="1"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77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3E3">
      <w:rPr>
        <w:rFonts w:cs="Arial Narrow"/>
        <w:b/>
        <w:bCs/>
      </w:rPr>
      <w:t xml:space="preserve">      </w:t>
    </w:r>
    <w:r w:rsidRPr="009C03E3">
      <w:rPr>
        <w:rFonts w:cs="Arial Narrow"/>
        <w:b/>
        <w:bCs/>
        <w:spacing w:val="6"/>
      </w:rPr>
      <w:t>MINISTERSTVO FINANCIÍ</w:t>
    </w:r>
    <w:r w:rsidRPr="009C03E3">
      <w:rPr>
        <w:rFonts w:cs="Arial Narrow"/>
        <w:b/>
        <w:bCs/>
      </w:rPr>
      <w:t xml:space="preserve">                                          </w:t>
    </w:r>
    <w:r>
      <w:rPr>
        <w:rFonts w:cs="Arial Narrow"/>
        <w:b/>
        <w:bCs/>
      </w:rPr>
      <w:tab/>
    </w:r>
    <w:r w:rsidRPr="009C03E3">
      <w:rPr>
        <w:rFonts w:cs="Arial Narrow"/>
        <w:b/>
        <w:bCs/>
      </w:rPr>
      <w:t xml:space="preserve"> </w:t>
    </w:r>
  </w:p>
  <w:p w14:paraId="50AC7305" w14:textId="77777777" w:rsidR="00085B85" w:rsidRPr="009C03E3" w:rsidRDefault="00085B85" w:rsidP="0052227D">
    <w:pPr>
      <w:pStyle w:val="Hlavika"/>
      <w:tabs>
        <w:tab w:val="left" w:pos="567"/>
        <w:tab w:val="left" w:pos="6660"/>
      </w:tabs>
      <w:rPr>
        <w:rFonts w:cs="Arial Narrow"/>
        <w:b/>
        <w:bCs/>
      </w:rPr>
    </w:pPr>
    <w:r w:rsidRPr="009C03E3">
      <w:rPr>
        <w:rFonts w:cs="Arial Narrow"/>
        <w:b/>
        <w:bCs/>
      </w:rPr>
      <w:t xml:space="preserve">           </w:t>
    </w:r>
    <w:r>
      <w:rPr>
        <w:rFonts w:cs="Arial Narrow"/>
        <w:b/>
        <w:bCs/>
      </w:rPr>
      <w:t xml:space="preserve"> </w:t>
    </w:r>
    <w:r w:rsidRPr="009C03E3">
      <w:rPr>
        <w:rFonts w:cs="Arial Narrow"/>
        <w:b/>
        <w:bCs/>
      </w:rPr>
      <w:t xml:space="preserve">SLOVENSKEJ REPUBLIKY                                             </w:t>
    </w:r>
    <w:r>
      <w:rPr>
        <w:rFonts w:cs="Arial Narrow"/>
        <w:b/>
        <w:bCs/>
      </w:rPr>
      <w:tab/>
    </w:r>
    <w:r w:rsidRPr="009C03E3">
      <w:rPr>
        <w:rFonts w:cs="Arial Narrow"/>
        <w:b/>
        <w:bCs/>
      </w:rPr>
      <w:t xml:space="preserve"> </w:t>
    </w:r>
  </w:p>
  <w:p w14:paraId="02C5677A" w14:textId="77777777" w:rsidR="00085B85" w:rsidRPr="009C03E3" w:rsidRDefault="00085B85" w:rsidP="0052227D">
    <w:pPr>
      <w:pStyle w:val="Hlavika"/>
      <w:rPr>
        <w:rFonts w:cs="Arial Narrow"/>
      </w:rPr>
    </w:pPr>
    <w:r>
      <w:rPr>
        <w:noProof/>
        <w:lang w:eastAsia="sk-SK"/>
      </w:rPr>
      <mc:AlternateContent>
        <mc:Choice Requires="wps">
          <w:drawing>
            <wp:anchor distT="4294967289" distB="4294967289" distL="114300" distR="114300" simplePos="0" relativeHeight="251660288" behindDoc="0" locked="1" layoutInCell="1" allowOverlap="1" wp14:anchorId="23CA39F6" wp14:editId="201E6564">
              <wp:simplePos x="0" y="0"/>
              <wp:positionH relativeFrom="column">
                <wp:posOffset>0</wp:posOffset>
              </wp:positionH>
              <wp:positionV relativeFrom="paragraph">
                <wp:posOffset>108584</wp:posOffset>
              </wp:positionV>
              <wp:extent cx="5715000" cy="0"/>
              <wp:effectExtent l="0" t="0" r="19050" b="19050"/>
              <wp:wrapNone/>
              <wp:docPr id="9" name="Rovná spojnic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A759080" id="Rovná spojnica 11"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0,8.55pt" to="450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">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31"/>
    <w:multiLevelType w:val="hybridMultilevel"/>
    <w:tmpl w:val="EDBA95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147869"/>
    <w:multiLevelType w:val="hybridMultilevel"/>
    <w:tmpl w:val="DD189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E63B70"/>
    <w:multiLevelType w:val="hybridMultilevel"/>
    <w:tmpl w:val="FFAC01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7A14CD"/>
    <w:multiLevelType w:val="hybridMultilevel"/>
    <w:tmpl w:val="840078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4E3977"/>
    <w:multiLevelType w:val="hybridMultilevel"/>
    <w:tmpl w:val="DD189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957623"/>
    <w:multiLevelType w:val="hybridMultilevel"/>
    <w:tmpl w:val="3478377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B3564DD"/>
    <w:multiLevelType w:val="hybridMultilevel"/>
    <w:tmpl w:val="834210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7500D5"/>
    <w:multiLevelType w:val="hybridMultilevel"/>
    <w:tmpl w:val="557A95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E04F4B"/>
    <w:multiLevelType w:val="hybridMultilevel"/>
    <w:tmpl w:val="8962ED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2C4C82"/>
    <w:multiLevelType w:val="hybridMultilevel"/>
    <w:tmpl w:val="DD189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F719DA"/>
    <w:multiLevelType w:val="hybridMultilevel"/>
    <w:tmpl w:val="EBD4A36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32756D73"/>
    <w:multiLevelType w:val="multilevel"/>
    <w:tmpl w:val="B21213B0"/>
    <w:lvl w:ilvl="0">
      <w:start w:val="1"/>
      <w:numFmt w:val="upperRoman"/>
      <w:lvlText w:val="%1."/>
      <w:lvlJc w:val="left"/>
      <w:pPr>
        <w:ind w:left="107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4B36207"/>
    <w:multiLevelType w:val="hybridMultilevel"/>
    <w:tmpl w:val="FFE0CF3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6CB4AFB"/>
    <w:multiLevelType w:val="hybridMultilevel"/>
    <w:tmpl w:val="DD189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9D1D1F"/>
    <w:multiLevelType w:val="hybridMultilevel"/>
    <w:tmpl w:val="DD189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7A66D1"/>
    <w:multiLevelType w:val="hybridMultilevel"/>
    <w:tmpl w:val="524C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C486E"/>
    <w:multiLevelType w:val="hybridMultilevel"/>
    <w:tmpl w:val="A9F23A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3C1026C"/>
    <w:multiLevelType w:val="hybridMultilevel"/>
    <w:tmpl w:val="F57AF4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97C6AED"/>
    <w:multiLevelType w:val="hybridMultilevel"/>
    <w:tmpl w:val="DD189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DE3BDC"/>
    <w:multiLevelType w:val="hybridMultilevel"/>
    <w:tmpl w:val="C6A06E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F89022F"/>
    <w:multiLevelType w:val="hybridMultilevel"/>
    <w:tmpl w:val="7D602E92"/>
    <w:lvl w:ilvl="0" w:tplc="A42A78CA">
      <w:start w:val="1"/>
      <w:numFmt w:val="decimal"/>
      <w:lvlText w:val="%1."/>
      <w:lvlJc w:val="left"/>
      <w:pPr>
        <w:ind w:left="720" w:hanging="360"/>
      </w:pPr>
      <w:rPr>
        <w:rFonts w:hint="default"/>
        <w:b/>
        <w:color w:val="2C9AD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56C6B"/>
    <w:multiLevelType w:val="hybridMultilevel"/>
    <w:tmpl w:val="DD189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CC1EB4"/>
    <w:multiLevelType w:val="hybridMultilevel"/>
    <w:tmpl w:val="A7088A8E"/>
    <w:lvl w:ilvl="0" w:tplc="20084BA0">
      <w:start w:val="13"/>
      <w:numFmt w:val="bullet"/>
      <w:lvlText w:val=""/>
      <w:lvlJc w:val="left"/>
      <w:pPr>
        <w:ind w:left="720" w:hanging="360"/>
      </w:pPr>
      <w:rPr>
        <w:rFonts w:ascii="Symbol" w:eastAsia="Times New Roman" w:hAnsi="Symbol" w:cs="Calibri"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60C654D"/>
    <w:multiLevelType w:val="hybridMultilevel"/>
    <w:tmpl w:val="1BD2A1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B4C4764"/>
    <w:multiLevelType w:val="hybridMultilevel"/>
    <w:tmpl w:val="DF16EC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BA52366"/>
    <w:multiLevelType w:val="hybridMultilevel"/>
    <w:tmpl w:val="C6BA7DEE"/>
    <w:lvl w:ilvl="0" w:tplc="9D5C5E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E0075E"/>
    <w:multiLevelType w:val="hybridMultilevel"/>
    <w:tmpl w:val="B19645AE"/>
    <w:lvl w:ilvl="0" w:tplc="381AC794">
      <w:start w:val="1"/>
      <w:numFmt w:val="bullet"/>
      <w:lvlText w:val=""/>
      <w:lvlJc w:val="left"/>
      <w:pPr>
        <w:ind w:left="720" w:hanging="360"/>
      </w:pPr>
      <w:rPr>
        <w:rFonts w:ascii="Wingdings" w:hAnsi="Wingdings" w:hint="default"/>
        <w:color w:val="2C9ADC"/>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A7A2226"/>
    <w:multiLevelType w:val="hybridMultilevel"/>
    <w:tmpl w:val="9B4678D8"/>
    <w:lvl w:ilvl="0" w:tplc="D9786B44">
      <w:start w:val="1"/>
      <w:numFmt w:val="decimal"/>
      <w:lvlText w:val="%1."/>
      <w:lvlJc w:val="left"/>
      <w:pPr>
        <w:ind w:left="408" w:hanging="360"/>
      </w:pPr>
      <w:rPr>
        <w:rFonts w:hint="default"/>
      </w:rPr>
    </w:lvl>
    <w:lvl w:ilvl="1" w:tplc="041B0019" w:tentative="1">
      <w:start w:val="1"/>
      <w:numFmt w:val="lowerLetter"/>
      <w:lvlText w:val="%2."/>
      <w:lvlJc w:val="left"/>
      <w:pPr>
        <w:ind w:left="1128" w:hanging="360"/>
      </w:pPr>
    </w:lvl>
    <w:lvl w:ilvl="2" w:tplc="041B001B" w:tentative="1">
      <w:start w:val="1"/>
      <w:numFmt w:val="lowerRoman"/>
      <w:lvlText w:val="%3."/>
      <w:lvlJc w:val="right"/>
      <w:pPr>
        <w:ind w:left="1848" w:hanging="180"/>
      </w:pPr>
    </w:lvl>
    <w:lvl w:ilvl="3" w:tplc="041B000F" w:tentative="1">
      <w:start w:val="1"/>
      <w:numFmt w:val="decimal"/>
      <w:lvlText w:val="%4."/>
      <w:lvlJc w:val="left"/>
      <w:pPr>
        <w:ind w:left="2568" w:hanging="360"/>
      </w:pPr>
    </w:lvl>
    <w:lvl w:ilvl="4" w:tplc="041B0019" w:tentative="1">
      <w:start w:val="1"/>
      <w:numFmt w:val="lowerLetter"/>
      <w:lvlText w:val="%5."/>
      <w:lvlJc w:val="left"/>
      <w:pPr>
        <w:ind w:left="3288" w:hanging="360"/>
      </w:pPr>
    </w:lvl>
    <w:lvl w:ilvl="5" w:tplc="041B001B" w:tentative="1">
      <w:start w:val="1"/>
      <w:numFmt w:val="lowerRoman"/>
      <w:lvlText w:val="%6."/>
      <w:lvlJc w:val="right"/>
      <w:pPr>
        <w:ind w:left="4008" w:hanging="180"/>
      </w:pPr>
    </w:lvl>
    <w:lvl w:ilvl="6" w:tplc="041B000F" w:tentative="1">
      <w:start w:val="1"/>
      <w:numFmt w:val="decimal"/>
      <w:lvlText w:val="%7."/>
      <w:lvlJc w:val="left"/>
      <w:pPr>
        <w:ind w:left="4728" w:hanging="360"/>
      </w:pPr>
    </w:lvl>
    <w:lvl w:ilvl="7" w:tplc="041B0019" w:tentative="1">
      <w:start w:val="1"/>
      <w:numFmt w:val="lowerLetter"/>
      <w:lvlText w:val="%8."/>
      <w:lvlJc w:val="left"/>
      <w:pPr>
        <w:ind w:left="5448" w:hanging="360"/>
      </w:pPr>
    </w:lvl>
    <w:lvl w:ilvl="8" w:tplc="041B001B" w:tentative="1">
      <w:start w:val="1"/>
      <w:numFmt w:val="lowerRoman"/>
      <w:lvlText w:val="%9."/>
      <w:lvlJc w:val="right"/>
      <w:pPr>
        <w:ind w:left="6168" w:hanging="180"/>
      </w:pPr>
    </w:lvl>
  </w:abstractNum>
  <w:abstractNum w:abstractNumId="28" w15:restartNumberingAfterBreak="0">
    <w:nsid w:val="6ADA0126"/>
    <w:multiLevelType w:val="hybridMultilevel"/>
    <w:tmpl w:val="586EE8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0AA6AA9"/>
    <w:multiLevelType w:val="hybridMultilevel"/>
    <w:tmpl w:val="535A3188"/>
    <w:lvl w:ilvl="0" w:tplc="041B0001">
      <w:start w:val="1"/>
      <w:numFmt w:val="bullet"/>
      <w:lvlText w:val=""/>
      <w:lvlJc w:val="left"/>
      <w:pPr>
        <w:ind w:left="766" w:hanging="360"/>
      </w:pPr>
      <w:rPr>
        <w:rFonts w:ascii="Symbol" w:hAnsi="Symbol" w:hint="default"/>
      </w:rPr>
    </w:lvl>
    <w:lvl w:ilvl="1" w:tplc="041B0003" w:tentative="1">
      <w:start w:val="1"/>
      <w:numFmt w:val="bullet"/>
      <w:lvlText w:val="o"/>
      <w:lvlJc w:val="left"/>
      <w:pPr>
        <w:ind w:left="1486" w:hanging="360"/>
      </w:pPr>
      <w:rPr>
        <w:rFonts w:ascii="Courier New" w:hAnsi="Courier New" w:cs="Courier New" w:hint="default"/>
      </w:rPr>
    </w:lvl>
    <w:lvl w:ilvl="2" w:tplc="041B0005" w:tentative="1">
      <w:start w:val="1"/>
      <w:numFmt w:val="bullet"/>
      <w:lvlText w:val=""/>
      <w:lvlJc w:val="left"/>
      <w:pPr>
        <w:ind w:left="2206" w:hanging="360"/>
      </w:pPr>
      <w:rPr>
        <w:rFonts w:ascii="Wingdings" w:hAnsi="Wingdings" w:hint="default"/>
      </w:rPr>
    </w:lvl>
    <w:lvl w:ilvl="3" w:tplc="041B0001" w:tentative="1">
      <w:start w:val="1"/>
      <w:numFmt w:val="bullet"/>
      <w:lvlText w:val=""/>
      <w:lvlJc w:val="left"/>
      <w:pPr>
        <w:ind w:left="2926" w:hanging="360"/>
      </w:pPr>
      <w:rPr>
        <w:rFonts w:ascii="Symbol" w:hAnsi="Symbol" w:hint="default"/>
      </w:rPr>
    </w:lvl>
    <w:lvl w:ilvl="4" w:tplc="041B0003" w:tentative="1">
      <w:start w:val="1"/>
      <w:numFmt w:val="bullet"/>
      <w:lvlText w:val="o"/>
      <w:lvlJc w:val="left"/>
      <w:pPr>
        <w:ind w:left="3646" w:hanging="360"/>
      </w:pPr>
      <w:rPr>
        <w:rFonts w:ascii="Courier New" w:hAnsi="Courier New" w:cs="Courier New" w:hint="default"/>
      </w:rPr>
    </w:lvl>
    <w:lvl w:ilvl="5" w:tplc="041B0005" w:tentative="1">
      <w:start w:val="1"/>
      <w:numFmt w:val="bullet"/>
      <w:lvlText w:val=""/>
      <w:lvlJc w:val="left"/>
      <w:pPr>
        <w:ind w:left="4366" w:hanging="360"/>
      </w:pPr>
      <w:rPr>
        <w:rFonts w:ascii="Wingdings" w:hAnsi="Wingdings" w:hint="default"/>
      </w:rPr>
    </w:lvl>
    <w:lvl w:ilvl="6" w:tplc="041B0001" w:tentative="1">
      <w:start w:val="1"/>
      <w:numFmt w:val="bullet"/>
      <w:lvlText w:val=""/>
      <w:lvlJc w:val="left"/>
      <w:pPr>
        <w:ind w:left="5086" w:hanging="360"/>
      </w:pPr>
      <w:rPr>
        <w:rFonts w:ascii="Symbol" w:hAnsi="Symbol" w:hint="default"/>
      </w:rPr>
    </w:lvl>
    <w:lvl w:ilvl="7" w:tplc="041B0003" w:tentative="1">
      <w:start w:val="1"/>
      <w:numFmt w:val="bullet"/>
      <w:lvlText w:val="o"/>
      <w:lvlJc w:val="left"/>
      <w:pPr>
        <w:ind w:left="5806" w:hanging="360"/>
      </w:pPr>
      <w:rPr>
        <w:rFonts w:ascii="Courier New" w:hAnsi="Courier New" w:cs="Courier New" w:hint="default"/>
      </w:rPr>
    </w:lvl>
    <w:lvl w:ilvl="8" w:tplc="041B0005" w:tentative="1">
      <w:start w:val="1"/>
      <w:numFmt w:val="bullet"/>
      <w:lvlText w:val=""/>
      <w:lvlJc w:val="left"/>
      <w:pPr>
        <w:ind w:left="6526" w:hanging="360"/>
      </w:pPr>
      <w:rPr>
        <w:rFonts w:ascii="Wingdings" w:hAnsi="Wingdings" w:hint="default"/>
      </w:rPr>
    </w:lvl>
  </w:abstractNum>
  <w:abstractNum w:abstractNumId="30" w15:restartNumberingAfterBreak="0">
    <w:nsid w:val="72962FC6"/>
    <w:multiLevelType w:val="hybridMultilevel"/>
    <w:tmpl w:val="DD189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735ED8"/>
    <w:multiLevelType w:val="hybridMultilevel"/>
    <w:tmpl w:val="C478E52C"/>
    <w:lvl w:ilvl="0" w:tplc="30929656">
      <w:start w:val="1"/>
      <w:numFmt w:val="decimal"/>
      <w:lvlText w:val="%1.1."/>
      <w:lvlJc w:val="left"/>
      <w:pPr>
        <w:ind w:left="928" w:hanging="360"/>
      </w:pPr>
      <w:rPr>
        <w:rFonts w:hint="default"/>
        <w:color w:val="2C9ADC" w:themeColor="accent1"/>
      </w:rPr>
    </w:lvl>
    <w:lvl w:ilvl="1" w:tplc="041B0019" w:tentative="1">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32" w15:restartNumberingAfterBreak="0">
    <w:nsid w:val="75A6207E"/>
    <w:multiLevelType w:val="hybridMultilevel"/>
    <w:tmpl w:val="8F4600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78219DF"/>
    <w:multiLevelType w:val="hybridMultilevel"/>
    <w:tmpl w:val="75327C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DAC15FC"/>
    <w:multiLevelType w:val="hybridMultilevel"/>
    <w:tmpl w:val="55B689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5" w15:restartNumberingAfterBreak="0">
    <w:nsid w:val="7E2C3176"/>
    <w:multiLevelType w:val="hybridMultilevel"/>
    <w:tmpl w:val="DD1890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20"/>
  </w:num>
  <w:num w:numId="3">
    <w:abstractNumId w:val="31"/>
  </w:num>
  <w:num w:numId="4">
    <w:abstractNumId w:val="24"/>
  </w:num>
  <w:num w:numId="5">
    <w:abstractNumId w:val="3"/>
  </w:num>
  <w:num w:numId="6">
    <w:abstractNumId w:val="0"/>
  </w:num>
  <w:num w:numId="7">
    <w:abstractNumId w:val="17"/>
  </w:num>
  <w:num w:numId="8">
    <w:abstractNumId w:val="23"/>
  </w:num>
  <w:num w:numId="9">
    <w:abstractNumId w:val="6"/>
  </w:num>
  <w:num w:numId="10">
    <w:abstractNumId w:val="29"/>
  </w:num>
  <w:num w:numId="11">
    <w:abstractNumId w:val="7"/>
  </w:num>
  <w:num w:numId="12">
    <w:abstractNumId w:val="16"/>
  </w:num>
  <w:num w:numId="13">
    <w:abstractNumId w:val="5"/>
  </w:num>
  <w:num w:numId="14">
    <w:abstractNumId w:val="34"/>
  </w:num>
  <w:num w:numId="15">
    <w:abstractNumId w:val="8"/>
  </w:num>
  <w:num w:numId="16">
    <w:abstractNumId w:val="33"/>
  </w:num>
  <w:num w:numId="17">
    <w:abstractNumId w:val="10"/>
  </w:num>
  <w:num w:numId="18">
    <w:abstractNumId w:val="12"/>
  </w:num>
  <w:num w:numId="19">
    <w:abstractNumId w:val="15"/>
  </w:num>
  <w:num w:numId="20">
    <w:abstractNumId w:val="32"/>
  </w:num>
  <w:num w:numId="21">
    <w:abstractNumId w:val="19"/>
  </w:num>
  <w:num w:numId="22">
    <w:abstractNumId w:val="25"/>
  </w:num>
  <w:num w:numId="23">
    <w:abstractNumId w:val="26"/>
  </w:num>
  <w:num w:numId="24">
    <w:abstractNumId w:val="28"/>
  </w:num>
  <w:num w:numId="25">
    <w:abstractNumId w:val="2"/>
  </w:num>
  <w:num w:numId="26">
    <w:abstractNumId w:val="27"/>
  </w:num>
  <w:num w:numId="27">
    <w:abstractNumId w:val="30"/>
  </w:num>
  <w:num w:numId="28">
    <w:abstractNumId w:val="14"/>
  </w:num>
  <w:num w:numId="29">
    <w:abstractNumId w:val="13"/>
  </w:num>
  <w:num w:numId="30">
    <w:abstractNumId w:val="1"/>
  </w:num>
  <w:num w:numId="31">
    <w:abstractNumId w:val="21"/>
  </w:num>
  <w:num w:numId="32">
    <w:abstractNumId w:val="35"/>
  </w:num>
  <w:num w:numId="33">
    <w:abstractNumId w:val="9"/>
  </w:num>
  <w:num w:numId="34">
    <w:abstractNumId w:val="4"/>
  </w:num>
  <w:num w:numId="35">
    <w:abstractNumId w:val="18"/>
  </w:num>
  <w:num w:numId="3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EB9"/>
    <w:rsid w:val="00000D0B"/>
    <w:rsid w:val="000010F5"/>
    <w:rsid w:val="00001397"/>
    <w:rsid w:val="0000148E"/>
    <w:rsid w:val="00001C37"/>
    <w:rsid w:val="00002F4D"/>
    <w:rsid w:val="000037B1"/>
    <w:rsid w:val="00003A38"/>
    <w:rsid w:val="00003FF1"/>
    <w:rsid w:val="0000408E"/>
    <w:rsid w:val="00005C07"/>
    <w:rsid w:val="00005D4D"/>
    <w:rsid w:val="00005F7E"/>
    <w:rsid w:val="0000616E"/>
    <w:rsid w:val="00007948"/>
    <w:rsid w:val="00007E27"/>
    <w:rsid w:val="000157EA"/>
    <w:rsid w:val="000174A9"/>
    <w:rsid w:val="000174B6"/>
    <w:rsid w:val="0001762F"/>
    <w:rsid w:val="00017772"/>
    <w:rsid w:val="00017F03"/>
    <w:rsid w:val="00020721"/>
    <w:rsid w:val="00020967"/>
    <w:rsid w:val="00020F74"/>
    <w:rsid w:val="00022618"/>
    <w:rsid w:val="00022BBC"/>
    <w:rsid w:val="00023A8A"/>
    <w:rsid w:val="000247CC"/>
    <w:rsid w:val="000248C5"/>
    <w:rsid w:val="00024B36"/>
    <w:rsid w:val="0002521A"/>
    <w:rsid w:val="00025EED"/>
    <w:rsid w:val="00025F88"/>
    <w:rsid w:val="00026012"/>
    <w:rsid w:val="00026D1A"/>
    <w:rsid w:val="000270C0"/>
    <w:rsid w:val="0002732E"/>
    <w:rsid w:val="000278EE"/>
    <w:rsid w:val="00027C8F"/>
    <w:rsid w:val="00030467"/>
    <w:rsid w:val="00030576"/>
    <w:rsid w:val="00030A69"/>
    <w:rsid w:val="00030EA3"/>
    <w:rsid w:val="00031C7C"/>
    <w:rsid w:val="00032329"/>
    <w:rsid w:val="000337B4"/>
    <w:rsid w:val="0003382E"/>
    <w:rsid w:val="00033943"/>
    <w:rsid w:val="00033E97"/>
    <w:rsid w:val="0003496D"/>
    <w:rsid w:val="00034C23"/>
    <w:rsid w:val="00035346"/>
    <w:rsid w:val="00035507"/>
    <w:rsid w:val="00035F36"/>
    <w:rsid w:val="00036813"/>
    <w:rsid w:val="0003712A"/>
    <w:rsid w:val="00037504"/>
    <w:rsid w:val="00037EFB"/>
    <w:rsid w:val="00040106"/>
    <w:rsid w:val="0004086B"/>
    <w:rsid w:val="00041CD9"/>
    <w:rsid w:val="000428F3"/>
    <w:rsid w:val="00044315"/>
    <w:rsid w:val="00044937"/>
    <w:rsid w:val="00045147"/>
    <w:rsid w:val="000451EB"/>
    <w:rsid w:val="000466AB"/>
    <w:rsid w:val="00047AFF"/>
    <w:rsid w:val="000514A9"/>
    <w:rsid w:val="0005169C"/>
    <w:rsid w:val="0005204B"/>
    <w:rsid w:val="00052684"/>
    <w:rsid w:val="0005295B"/>
    <w:rsid w:val="000538C5"/>
    <w:rsid w:val="00053C18"/>
    <w:rsid w:val="00053DDB"/>
    <w:rsid w:val="00053ECD"/>
    <w:rsid w:val="00054097"/>
    <w:rsid w:val="0005419D"/>
    <w:rsid w:val="0005493A"/>
    <w:rsid w:val="00054E32"/>
    <w:rsid w:val="0005513B"/>
    <w:rsid w:val="00055388"/>
    <w:rsid w:val="00055D03"/>
    <w:rsid w:val="00055FAD"/>
    <w:rsid w:val="000569A0"/>
    <w:rsid w:val="00057614"/>
    <w:rsid w:val="00057B47"/>
    <w:rsid w:val="00057B73"/>
    <w:rsid w:val="0006027F"/>
    <w:rsid w:val="0006028C"/>
    <w:rsid w:val="000617C1"/>
    <w:rsid w:val="00061DCE"/>
    <w:rsid w:val="0006216B"/>
    <w:rsid w:val="00062BCC"/>
    <w:rsid w:val="00063566"/>
    <w:rsid w:val="000635F6"/>
    <w:rsid w:val="00063FCA"/>
    <w:rsid w:val="00064009"/>
    <w:rsid w:val="00064505"/>
    <w:rsid w:val="00065826"/>
    <w:rsid w:val="00065EE9"/>
    <w:rsid w:val="00067579"/>
    <w:rsid w:val="00067B6D"/>
    <w:rsid w:val="00067F0B"/>
    <w:rsid w:val="000702A2"/>
    <w:rsid w:val="0007091B"/>
    <w:rsid w:val="00070A6D"/>
    <w:rsid w:val="00070ACD"/>
    <w:rsid w:val="00071629"/>
    <w:rsid w:val="00072B21"/>
    <w:rsid w:val="00072DBA"/>
    <w:rsid w:val="00073A17"/>
    <w:rsid w:val="00073E70"/>
    <w:rsid w:val="0007438A"/>
    <w:rsid w:val="00074DE5"/>
    <w:rsid w:val="00074E4B"/>
    <w:rsid w:val="000755F2"/>
    <w:rsid w:val="000761AD"/>
    <w:rsid w:val="0007638B"/>
    <w:rsid w:val="00077602"/>
    <w:rsid w:val="000815AE"/>
    <w:rsid w:val="000817FA"/>
    <w:rsid w:val="00081A17"/>
    <w:rsid w:val="00081AA3"/>
    <w:rsid w:val="00081C7C"/>
    <w:rsid w:val="0008208D"/>
    <w:rsid w:val="000827F9"/>
    <w:rsid w:val="00083989"/>
    <w:rsid w:val="00083A56"/>
    <w:rsid w:val="0008501A"/>
    <w:rsid w:val="00085A0F"/>
    <w:rsid w:val="00085B85"/>
    <w:rsid w:val="0008625A"/>
    <w:rsid w:val="00086C28"/>
    <w:rsid w:val="00086CDE"/>
    <w:rsid w:val="000872C2"/>
    <w:rsid w:val="00087492"/>
    <w:rsid w:val="000878B5"/>
    <w:rsid w:val="00090FB9"/>
    <w:rsid w:val="00091732"/>
    <w:rsid w:val="0009238F"/>
    <w:rsid w:val="00093142"/>
    <w:rsid w:val="0009348F"/>
    <w:rsid w:val="00093950"/>
    <w:rsid w:val="00095089"/>
    <w:rsid w:val="000965DB"/>
    <w:rsid w:val="000965F9"/>
    <w:rsid w:val="000967EE"/>
    <w:rsid w:val="00096B11"/>
    <w:rsid w:val="00096D76"/>
    <w:rsid w:val="0009715C"/>
    <w:rsid w:val="00097F99"/>
    <w:rsid w:val="000A02E2"/>
    <w:rsid w:val="000A0C66"/>
    <w:rsid w:val="000A0ED3"/>
    <w:rsid w:val="000A1174"/>
    <w:rsid w:val="000A1973"/>
    <w:rsid w:val="000A1A47"/>
    <w:rsid w:val="000A1C4E"/>
    <w:rsid w:val="000A1EE6"/>
    <w:rsid w:val="000A32C3"/>
    <w:rsid w:val="000A426C"/>
    <w:rsid w:val="000A5DBF"/>
    <w:rsid w:val="000A60AE"/>
    <w:rsid w:val="000A61A0"/>
    <w:rsid w:val="000A6B94"/>
    <w:rsid w:val="000A6FF9"/>
    <w:rsid w:val="000A7603"/>
    <w:rsid w:val="000A7879"/>
    <w:rsid w:val="000B1042"/>
    <w:rsid w:val="000B1DBB"/>
    <w:rsid w:val="000B29E6"/>
    <w:rsid w:val="000B3791"/>
    <w:rsid w:val="000B4628"/>
    <w:rsid w:val="000B4F47"/>
    <w:rsid w:val="000B5E95"/>
    <w:rsid w:val="000B6A13"/>
    <w:rsid w:val="000B7496"/>
    <w:rsid w:val="000B7E73"/>
    <w:rsid w:val="000C006A"/>
    <w:rsid w:val="000C11ED"/>
    <w:rsid w:val="000C154E"/>
    <w:rsid w:val="000C3328"/>
    <w:rsid w:val="000C38B3"/>
    <w:rsid w:val="000C4461"/>
    <w:rsid w:val="000C4477"/>
    <w:rsid w:val="000C45AF"/>
    <w:rsid w:val="000C62CD"/>
    <w:rsid w:val="000C660E"/>
    <w:rsid w:val="000C725B"/>
    <w:rsid w:val="000C7659"/>
    <w:rsid w:val="000C7BCF"/>
    <w:rsid w:val="000D0075"/>
    <w:rsid w:val="000D02D2"/>
    <w:rsid w:val="000D0E0B"/>
    <w:rsid w:val="000D1456"/>
    <w:rsid w:val="000D175C"/>
    <w:rsid w:val="000D181F"/>
    <w:rsid w:val="000D2FA3"/>
    <w:rsid w:val="000D3212"/>
    <w:rsid w:val="000D3459"/>
    <w:rsid w:val="000D39EC"/>
    <w:rsid w:val="000D3E09"/>
    <w:rsid w:val="000D4B4A"/>
    <w:rsid w:val="000D4D3C"/>
    <w:rsid w:val="000D78B1"/>
    <w:rsid w:val="000D7947"/>
    <w:rsid w:val="000E0128"/>
    <w:rsid w:val="000E0939"/>
    <w:rsid w:val="000E12B1"/>
    <w:rsid w:val="000E18CA"/>
    <w:rsid w:val="000E1ADB"/>
    <w:rsid w:val="000E1B5F"/>
    <w:rsid w:val="000E1D7A"/>
    <w:rsid w:val="000E243D"/>
    <w:rsid w:val="000E2DC7"/>
    <w:rsid w:val="000E2F9A"/>
    <w:rsid w:val="000E3912"/>
    <w:rsid w:val="000E395C"/>
    <w:rsid w:val="000E3D8A"/>
    <w:rsid w:val="000E4BD2"/>
    <w:rsid w:val="000E56EF"/>
    <w:rsid w:val="000E58E6"/>
    <w:rsid w:val="000E781B"/>
    <w:rsid w:val="000F0984"/>
    <w:rsid w:val="000F09DF"/>
    <w:rsid w:val="000F1198"/>
    <w:rsid w:val="000F16BD"/>
    <w:rsid w:val="000F1740"/>
    <w:rsid w:val="000F1E69"/>
    <w:rsid w:val="000F22CB"/>
    <w:rsid w:val="000F2A59"/>
    <w:rsid w:val="000F2C71"/>
    <w:rsid w:val="000F345A"/>
    <w:rsid w:val="000F367A"/>
    <w:rsid w:val="000F3789"/>
    <w:rsid w:val="000F3B31"/>
    <w:rsid w:val="000F43DB"/>
    <w:rsid w:val="000F4792"/>
    <w:rsid w:val="000F4807"/>
    <w:rsid w:val="000F5366"/>
    <w:rsid w:val="000F69EF"/>
    <w:rsid w:val="000F756B"/>
    <w:rsid w:val="000F77E7"/>
    <w:rsid w:val="00100215"/>
    <w:rsid w:val="00100416"/>
    <w:rsid w:val="00100B7C"/>
    <w:rsid w:val="00100C3D"/>
    <w:rsid w:val="001014C3"/>
    <w:rsid w:val="00101A6A"/>
    <w:rsid w:val="00101AC1"/>
    <w:rsid w:val="00102CBA"/>
    <w:rsid w:val="001052CE"/>
    <w:rsid w:val="001059EF"/>
    <w:rsid w:val="00105B75"/>
    <w:rsid w:val="00106A57"/>
    <w:rsid w:val="00106D1C"/>
    <w:rsid w:val="00107EC8"/>
    <w:rsid w:val="00110413"/>
    <w:rsid w:val="00110630"/>
    <w:rsid w:val="001107B6"/>
    <w:rsid w:val="001108A9"/>
    <w:rsid w:val="001109AF"/>
    <w:rsid w:val="00110E61"/>
    <w:rsid w:val="0011106C"/>
    <w:rsid w:val="0011178D"/>
    <w:rsid w:val="00111E35"/>
    <w:rsid w:val="00112965"/>
    <w:rsid w:val="00112E90"/>
    <w:rsid w:val="001132B1"/>
    <w:rsid w:val="001138F9"/>
    <w:rsid w:val="001143A7"/>
    <w:rsid w:val="00115466"/>
    <w:rsid w:val="0011548B"/>
    <w:rsid w:val="00115D4A"/>
    <w:rsid w:val="001169B8"/>
    <w:rsid w:val="001169DD"/>
    <w:rsid w:val="0012015A"/>
    <w:rsid w:val="00120325"/>
    <w:rsid w:val="00121B11"/>
    <w:rsid w:val="00122831"/>
    <w:rsid w:val="00122B18"/>
    <w:rsid w:val="00123A46"/>
    <w:rsid w:val="00123CAC"/>
    <w:rsid w:val="00124216"/>
    <w:rsid w:val="00124721"/>
    <w:rsid w:val="00124F81"/>
    <w:rsid w:val="001252DB"/>
    <w:rsid w:val="00125A06"/>
    <w:rsid w:val="001260F2"/>
    <w:rsid w:val="00126505"/>
    <w:rsid w:val="0012772D"/>
    <w:rsid w:val="00127D5E"/>
    <w:rsid w:val="001300A1"/>
    <w:rsid w:val="00130687"/>
    <w:rsid w:val="001306F8"/>
    <w:rsid w:val="00131C35"/>
    <w:rsid w:val="00133965"/>
    <w:rsid w:val="00134E06"/>
    <w:rsid w:val="00135D9A"/>
    <w:rsid w:val="00137262"/>
    <w:rsid w:val="001378F5"/>
    <w:rsid w:val="00140950"/>
    <w:rsid w:val="001417FE"/>
    <w:rsid w:val="00141F41"/>
    <w:rsid w:val="001428E4"/>
    <w:rsid w:val="00142A53"/>
    <w:rsid w:val="00142A93"/>
    <w:rsid w:val="00142AEF"/>
    <w:rsid w:val="00142CD6"/>
    <w:rsid w:val="001433E7"/>
    <w:rsid w:val="00143417"/>
    <w:rsid w:val="001439DC"/>
    <w:rsid w:val="0014436E"/>
    <w:rsid w:val="00144F07"/>
    <w:rsid w:val="00145333"/>
    <w:rsid w:val="00145CEA"/>
    <w:rsid w:val="00145E87"/>
    <w:rsid w:val="001465D9"/>
    <w:rsid w:val="00146C14"/>
    <w:rsid w:val="00146D7A"/>
    <w:rsid w:val="001470A0"/>
    <w:rsid w:val="001477A0"/>
    <w:rsid w:val="00150C12"/>
    <w:rsid w:val="00150E44"/>
    <w:rsid w:val="00151287"/>
    <w:rsid w:val="0015238B"/>
    <w:rsid w:val="00152F58"/>
    <w:rsid w:val="00153228"/>
    <w:rsid w:val="00153488"/>
    <w:rsid w:val="0015413E"/>
    <w:rsid w:val="0015413F"/>
    <w:rsid w:val="0015434C"/>
    <w:rsid w:val="001544D3"/>
    <w:rsid w:val="00154595"/>
    <w:rsid w:val="00154728"/>
    <w:rsid w:val="0015519D"/>
    <w:rsid w:val="00155212"/>
    <w:rsid w:val="00156479"/>
    <w:rsid w:val="0015663B"/>
    <w:rsid w:val="001571AE"/>
    <w:rsid w:val="00157988"/>
    <w:rsid w:val="00160D2B"/>
    <w:rsid w:val="00161480"/>
    <w:rsid w:val="00161C76"/>
    <w:rsid w:val="00162752"/>
    <w:rsid w:val="001631D3"/>
    <w:rsid w:val="0016372B"/>
    <w:rsid w:val="001638A5"/>
    <w:rsid w:val="0016490D"/>
    <w:rsid w:val="00165413"/>
    <w:rsid w:val="001654F6"/>
    <w:rsid w:val="00165AA7"/>
    <w:rsid w:val="0016630F"/>
    <w:rsid w:val="00166653"/>
    <w:rsid w:val="00167820"/>
    <w:rsid w:val="00167D87"/>
    <w:rsid w:val="00170AC8"/>
    <w:rsid w:val="001711B5"/>
    <w:rsid w:val="00172314"/>
    <w:rsid w:val="00172357"/>
    <w:rsid w:val="001724EF"/>
    <w:rsid w:val="001729A5"/>
    <w:rsid w:val="00173248"/>
    <w:rsid w:val="001739EA"/>
    <w:rsid w:val="00173F80"/>
    <w:rsid w:val="00173FF3"/>
    <w:rsid w:val="001743BD"/>
    <w:rsid w:val="0017454B"/>
    <w:rsid w:val="001746CA"/>
    <w:rsid w:val="00174E56"/>
    <w:rsid w:val="00175387"/>
    <w:rsid w:val="00175C53"/>
    <w:rsid w:val="00175D94"/>
    <w:rsid w:val="001763DB"/>
    <w:rsid w:val="00176A2C"/>
    <w:rsid w:val="00176EDA"/>
    <w:rsid w:val="001771F7"/>
    <w:rsid w:val="00177AA8"/>
    <w:rsid w:val="00180719"/>
    <w:rsid w:val="0018106D"/>
    <w:rsid w:val="0018108D"/>
    <w:rsid w:val="00181A05"/>
    <w:rsid w:val="00181D57"/>
    <w:rsid w:val="00181F98"/>
    <w:rsid w:val="00181FE0"/>
    <w:rsid w:val="001821C9"/>
    <w:rsid w:val="00182537"/>
    <w:rsid w:val="0018371D"/>
    <w:rsid w:val="00183735"/>
    <w:rsid w:val="0018491B"/>
    <w:rsid w:val="00184928"/>
    <w:rsid w:val="00184B3D"/>
    <w:rsid w:val="001854C0"/>
    <w:rsid w:val="001870CC"/>
    <w:rsid w:val="00187F95"/>
    <w:rsid w:val="0019074E"/>
    <w:rsid w:val="00190D05"/>
    <w:rsid w:val="001914B4"/>
    <w:rsid w:val="00191FF1"/>
    <w:rsid w:val="0019244B"/>
    <w:rsid w:val="0019332E"/>
    <w:rsid w:val="001944A9"/>
    <w:rsid w:val="00195E7C"/>
    <w:rsid w:val="001963F0"/>
    <w:rsid w:val="00197F45"/>
    <w:rsid w:val="001A03BF"/>
    <w:rsid w:val="001A10A5"/>
    <w:rsid w:val="001A1685"/>
    <w:rsid w:val="001A2F25"/>
    <w:rsid w:val="001A3CB2"/>
    <w:rsid w:val="001A42B8"/>
    <w:rsid w:val="001A478B"/>
    <w:rsid w:val="001A53DE"/>
    <w:rsid w:val="001A54FE"/>
    <w:rsid w:val="001A5922"/>
    <w:rsid w:val="001A5D06"/>
    <w:rsid w:val="001A63B6"/>
    <w:rsid w:val="001A6966"/>
    <w:rsid w:val="001A69B8"/>
    <w:rsid w:val="001A6E24"/>
    <w:rsid w:val="001A6F83"/>
    <w:rsid w:val="001A78B8"/>
    <w:rsid w:val="001A79B5"/>
    <w:rsid w:val="001B0993"/>
    <w:rsid w:val="001B0FF7"/>
    <w:rsid w:val="001B2166"/>
    <w:rsid w:val="001B3A3E"/>
    <w:rsid w:val="001B3B8B"/>
    <w:rsid w:val="001B4F14"/>
    <w:rsid w:val="001B5D43"/>
    <w:rsid w:val="001B7962"/>
    <w:rsid w:val="001C037C"/>
    <w:rsid w:val="001C0578"/>
    <w:rsid w:val="001C068A"/>
    <w:rsid w:val="001C0DCE"/>
    <w:rsid w:val="001C1548"/>
    <w:rsid w:val="001C4A90"/>
    <w:rsid w:val="001C5CD6"/>
    <w:rsid w:val="001C5D15"/>
    <w:rsid w:val="001C630A"/>
    <w:rsid w:val="001C63EF"/>
    <w:rsid w:val="001C68E6"/>
    <w:rsid w:val="001C6A98"/>
    <w:rsid w:val="001C6AE5"/>
    <w:rsid w:val="001C6E08"/>
    <w:rsid w:val="001C75AF"/>
    <w:rsid w:val="001C7EEF"/>
    <w:rsid w:val="001D060F"/>
    <w:rsid w:val="001D0B6A"/>
    <w:rsid w:val="001D17B8"/>
    <w:rsid w:val="001D1AF0"/>
    <w:rsid w:val="001D1AF2"/>
    <w:rsid w:val="001D1D13"/>
    <w:rsid w:val="001D3435"/>
    <w:rsid w:val="001D399F"/>
    <w:rsid w:val="001D4495"/>
    <w:rsid w:val="001D461F"/>
    <w:rsid w:val="001D48B0"/>
    <w:rsid w:val="001D4997"/>
    <w:rsid w:val="001D4AC9"/>
    <w:rsid w:val="001D5442"/>
    <w:rsid w:val="001D5F2A"/>
    <w:rsid w:val="001D658F"/>
    <w:rsid w:val="001D68BD"/>
    <w:rsid w:val="001D693D"/>
    <w:rsid w:val="001D69DA"/>
    <w:rsid w:val="001D6CEA"/>
    <w:rsid w:val="001D7D64"/>
    <w:rsid w:val="001E03CD"/>
    <w:rsid w:val="001E19F4"/>
    <w:rsid w:val="001E29B2"/>
    <w:rsid w:val="001E336C"/>
    <w:rsid w:val="001E3E2E"/>
    <w:rsid w:val="001E62A2"/>
    <w:rsid w:val="001E677E"/>
    <w:rsid w:val="001E698A"/>
    <w:rsid w:val="001E69E6"/>
    <w:rsid w:val="001E7838"/>
    <w:rsid w:val="001E7ABB"/>
    <w:rsid w:val="001E7DD5"/>
    <w:rsid w:val="001F00C9"/>
    <w:rsid w:val="001F0435"/>
    <w:rsid w:val="001F0D37"/>
    <w:rsid w:val="001F2DE5"/>
    <w:rsid w:val="001F3450"/>
    <w:rsid w:val="001F3862"/>
    <w:rsid w:val="001F439B"/>
    <w:rsid w:val="001F4D57"/>
    <w:rsid w:val="001F50D4"/>
    <w:rsid w:val="001F52B7"/>
    <w:rsid w:val="001F5845"/>
    <w:rsid w:val="001F655F"/>
    <w:rsid w:val="001F67A6"/>
    <w:rsid w:val="001F6EE4"/>
    <w:rsid w:val="001F7D76"/>
    <w:rsid w:val="0020039A"/>
    <w:rsid w:val="00200B42"/>
    <w:rsid w:val="0020127F"/>
    <w:rsid w:val="00201978"/>
    <w:rsid w:val="002032CC"/>
    <w:rsid w:val="00203682"/>
    <w:rsid w:val="00204179"/>
    <w:rsid w:val="00204F27"/>
    <w:rsid w:val="00205B0B"/>
    <w:rsid w:val="00205D0E"/>
    <w:rsid w:val="002061BD"/>
    <w:rsid w:val="002064DB"/>
    <w:rsid w:val="0020653B"/>
    <w:rsid w:val="0020676D"/>
    <w:rsid w:val="00210E29"/>
    <w:rsid w:val="00210FFE"/>
    <w:rsid w:val="0021123B"/>
    <w:rsid w:val="0021175A"/>
    <w:rsid w:val="0021193F"/>
    <w:rsid w:val="0021220E"/>
    <w:rsid w:val="0021223F"/>
    <w:rsid w:val="002122D8"/>
    <w:rsid w:val="0021295F"/>
    <w:rsid w:val="00212990"/>
    <w:rsid w:val="00212B20"/>
    <w:rsid w:val="00212B8E"/>
    <w:rsid w:val="00212BEF"/>
    <w:rsid w:val="00213973"/>
    <w:rsid w:val="0021538C"/>
    <w:rsid w:val="00216177"/>
    <w:rsid w:val="002169E2"/>
    <w:rsid w:val="002170C1"/>
    <w:rsid w:val="00217C3E"/>
    <w:rsid w:val="0022007D"/>
    <w:rsid w:val="002200BF"/>
    <w:rsid w:val="00220259"/>
    <w:rsid w:val="00221D74"/>
    <w:rsid w:val="002221E1"/>
    <w:rsid w:val="00222729"/>
    <w:rsid w:val="00222B01"/>
    <w:rsid w:val="0022661C"/>
    <w:rsid w:val="00226FE9"/>
    <w:rsid w:val="002273FC"/>
    <w:rsid w:val="0022777F"/>
    <w:rsid w:val="00230C02"/>
    <w:rsid w:val="0023299B"/>
    <w:rsid w:val="00233C62"/>
    <w:rsid w:val="00233E25"/>
    <w:rsid w:val="00235443"/>
    <w:rsid w:val="00237007"/>
    <w:rsid w:val="002371A1"/>
    <w:rsid w:val="00237257"/>
    <w:rsid w:val="00237478"/>
    <w:rsid w:val="002375E8"/>
    <w:rsid w:val="00237776"/>
    <w:rsid w:val="00237B05"/>
    <w:rsid w:val="00237E41"/>
    <w:rsid w:val="00241014"/>
    <w:rsid w:val="0024101A"/>
    <w:rsid w:val="002416D8"/>
    <w:rsid w:val="002417DF"/>
    <w:rsid w:val="002420B4"/>
    <w:rsid w:val="00242A3D"/>
    <w:rsid w:val="00242B19"/>
    <w:rsid w:val="00242BF2"/>
    <w:rsid w:val="00243191"/>
    <w:rsid w:val="00243469"/>
    <w:rsid w:val="002443C8"/>
    <w:rsid w:val="00244731"/>
    <w:rsid w:val="0024561B"/>
    <w:rsid w:val="00245DE0"/>
    <w:rsid w:val="00245E1E"/>
    <w:rsid w:val="00245F81"/>
    <w:rsid w:val="00246AD5"/>
    <w:rsid w:val="00246FF4"/>
    <w:rsid w:val="0024755D"/>
    <w:rsid w:val="00247855"/>
    <w:rsid w:val="00251842"/>
    <w:rsid w:val="002521CF"/>
    <w:rsid w:val="002522C0"/>
    <w:rsid w:val="00252CE1"/>
    <w:rsid w:val="00252D2F"/>
    <w:rsid w:val="00253185"/>
    <w:rsid w:val="002539A9"/>
    <w:rsid w:val="00253BBE"/>
    <w:rsid w:val="00254592"/>
    <w:rsid w:val="002558FF"/>
    <w:rsid w:val="00256238"/>
    <w:rsid w:val="00256D7C"/>
    <w:rsid w:val="002570E4"/>
    <w:rsid w:val="002600DF"/>
    <w:rsid w:val="00260561"/>
    <w:rsid w:val="0026174A"/>
    <w:rsid w:val="002619F7"/>
    <w:rsid w:val="00261B89"/>
    <w:rsid w:val="00261F11"/>
    <w:rsid w:val="0026208B"/>
    <w:rsid w:val="00262556"/>
    <w:rsid w:val="00262B60"/>
    <w:rsid w:val="00262F24"/>
    <w:rsid w:val="00263436"/>
    <w:rsid w:val="002636A3"/>
    <w:rsid w:val="002638C1"/>
    <w:rsid w:val="00263A06"/>
    <w:rsid w:val="002649CA"/>
    <w:rsid w:val="0026518E"/>
    <w:rsid w:val="00267199"/>
    <w:rsid w:val="00267862"/>
    <w:rsid w:val="00267B42"/>
    <w:rsid w:val="00267CEA"/>
    <w:rsid w:val="00270023"/>
    <w:rsid w:val="00270611"/>
    <w:rsid w:val="002713C7"/>
    <w:rsid w:val="0027157A"/>
    <w:rsid w:val="00271854"/>
    <w:rsid w:val="00271899"/>
    <w:rsid w:val="00272343"/>
    <w:rsid w:val="00272348"/>
    <w:rsid w:val="002736FA"/>
    <w:rsid w:val="00273922"/>
    <w:rsid w:val="002740CF"/>
    <w:rsid w:val="00274339"/>
    <w:rsid w:val="00274439"/>
    <w:rsid w:val="00274797"/>
    <w:rsid w:val="002749A7"/>
    <w:rsid w:val="00274B08"/>
    <w:rsid w:val="00274BBC"/>
    <w:rsid w:val="00274D0F"/>
    <w:rsid w:val="002752CF"/>
    <w:rsid w:val="002763B8"/>
    <w:rsid w:val="00276B6A"/>
    <w:rsid w:val="00277160"/>
    <w:rsid w:val="002773E1"/>
    <w:rsid w:val="0028119A"/>
    <w:rsid w:val="00281244"/>
    <w:rsid w:val="00281851"/>
    <w:rsid w:val="002821A2"/>
    <w:rsid w:val="0028266F"/>
    <w:rsid w:val="00282805"/>
    <w:rsid w:val="002828BC"/>
    <w:rsid w:val="002835C4"/>
    <w:rsid w:val="00284105"/>
    <w:rsid w:val="00285BEE"/>
    <w:rsid w:val="00286576"/>
    <w:rsid w:val="002869B1"/>
    <w:rsid w:val="00286ADA"/>
    <w:rsid w:val="00287EB8"/>
    <w:rsid w:val="00290F6A"/>
    <w:rsid w:val="002910D2"/>
    <w:rsid w:val="00291691"/>
    <w:rsid w:val="00291867"/>
    <w:rsid w:val="00292159"/>
    <w:rsid w:val="00292A44"/>
    <w:rsid w:val="002930B3"/>
    <w:rsid w:val="002931B3"/>
    <w:rsid w:val="00294F4A"/>
    <w:rsid w:val="00295205"/>
    <w:rsid w:val="002953CF"/>
    <w:rsid w:val="00295C6B"/>
    <w:rsid w:val="002964C1"/>
    <w:rsid w:val="00296EA1"/>
    <w:rsid w:val="002A181B"/>
    <w:rsid w:val="002A2054"/>
    <w:rsid w:val="002A2E6B"/>
    <w:rsid w:val="002A2E96"/>
    <w:rsid w:val="002A330E"/>
    <w:rsid w:val="002A3884"/>
    <w:rsid w:val="002A46C8"/>
    <w:rsid w:val="002A5714"/>
    <w:rsid w:val="002A5A2E"/>
    <w:rsid w:val="002A6D95"/>
    <w:rsid w:val="002A70C2"/>
    <w:rsid w:val="002B04F7"/>
    <w:rsid w:val="002B0911"/>
    <w:rsid w:val="002B152A"/>
    <w:rsid w:val="002B1BD2"/>
    <w:rsid w:val="002B26C9"/>
    <w:rsid w:val="002B2738"/>
    <w:rsid w:val="002B2A81"/>
    <w:rsid w:val="002B2D3B"/>
    <w:rsid w:val="002B3044"/>
    <w:rsid w:val="002B3297"/>
    <w:rsid w:val="002B4064"/>
    <w:rsid w:val="002B4856"/>
    <w:rsid w:val="002B541A"/>
    <w:rsid w:val="002B554A"/>
    <w:rsid w:val="002B5C44"/>
    <w:rsid w:val="002B60B0"/>
    <w:rsid w:val="002B667B"/>
    <w:rsid w:val="002B6ADF"/>
    <w:rsid w:val="002B6DDC"/>
    <w:rsid w:val="002B7B52"/>
    <w:rsid w:val="002B7C53"/>
    <w:rsid w:val="002C11BA"/>
    <w:rsid w:val="002C18C7"/>
    <w:rsid w:val="002C19A3"/>
    <w:rsid w:val="002C1AEC"/>
    <w:rsid w:val="002C1F8C"/>
    <w:rsid w:val="002C239E"/>
    <w:rsid w:val="002C3B4E"/>
    <w:rsid w:val="002C5D0E"/>
    <w:rsid w:val="002C5EAF"/>
    <w:rsid w:val="002C63D1"/>
    <w:rsid w:val="002C6F3C"/>
    <w:rsid w:val="002C73FF"/>
    <w:rsid w:val="002C784E"/>
    <w:rsid w:val="002C79AE"/>
    <w:rsid w:val="002D0101"/>
    <w:rsid w:val="002D0BBF"/>
    <w:rsid w:val="002D0C00"/>
    <w:rsid w:val="002D15CA"/>
    <w:rsid w:val="002D2451"/>
    <w:rsid w:val="002D26CB"/>
    <w:rsid w:val="002D3524"/>
    <w:rsid w:val="002D4E44"/>
    <w:rsid w:val="002D4F0B"/>
    <w:rsid w:val="002D5475"/>
    <w:rsid w:val="002D5C7B"/>
    <w:rsid w:val="002D5CF6"/>
    <w:rsid w:val="002D768B"/>
    <w:rsid w:val="002D7DA6"/>
    <w:rsid w:val="002E0CE9"/>
    <w:rsid w:val="002E1505"/>
    <w:rsid w:val="002E1C0E"/>
    <w:rsid w:val="002E23A2"/>
    <w:rsid w:val="002E249A"/>
    <w:rsid w:val="002E295E"/>
    <w:rsid w:val="002E4E89"/>
    <w:rsid w:val="002E5463"/>
    <w:rsid w:val="002E5F3C"/>
    <w:rsid w:val="002E6216"/>
    <w:rsid w:val="002E64C6"/>
    <w:rsid w:val="002E6765"/>
    <w:rsid w:val="002E6DAC"/>
    <w:rsid w:val="002F05AD"/>
    <w:rsid w:val="002F1ACA"/>
    <w:rsid w:val="002F1F39"/>
    <w:rsid w:val="002F2CE0"/>
    <w:rsid w:val="002F34CA"/>
    <w:rsid w:val="002F3E0B"/>
    <w:rsid w:val="002F3F13"/>
    <w:rsid w:val="002F3FAF"/>
    <w:rsid w:val="002F5067"/>
    <w:rsid w:val="002F50A3"/>
    <w:rsid w:val="002F5904"/>
    <w:rsid w:val="002F5EEF"/>
    <w:rsid w:val="002F65F7"/>
    <w:rsid w:val="002F6EAC"/>
    <w:rsid w:val="002F6F24"/>
    <w:rsid w:val="002F7455"/>
    <w:rsid w:val="002F7597"/>
    <w:rsid w:val="002F78A8"/>
    <w:rsid w:val="002F7D77"/>
    <w:rsid w:val="002F7D9C"/>
    <w:rsid w:val="00302029"/>
    <w:rsid w:val="00302927"/>
    <w:rsid w:val="00302B8C"/>
    <w:rsid w:val="0030349B"/>
    <w:rsid w:val="003036A6"/>
    <w:rsid w:val="00303C2A"/>
    <w:rsid w:val="003041A2"/>
    <w:rsid w:val="0030453F"/>
    <w:rsid w:val="003053B2"/>
    <w:rsid w:val="00305809"/>
    <w:rsid w:val="00305AA3"/>
    <w:rsid w:val="0030636D"/>
    <w:rsid w:val="00306C27"/>
    <w:rsid w:val="00306FBA"/>
    <w:rsid w:val="00307A2F"/>
    <w:rsid w:val="00307DD3"/>
    <w:rsid w:val="00310225"/>
    <w:rsid w:val="00310476"/>
    <w:rsid w:val="00310DCB"/>
    <w:rsid w:val="00311172"/>
    <w:rsid w:val="00311685"/>
    <w:rsid w:val="00311779"/>
    <w:rsid w:val="00311DE6"/>
    <w:rsid w:val="00311FD4"/>
    <w:rsid w:val="003129F9"/>
    <w:rsid w:val="00312A55"/>
    <w:rsid w:val="00312C1B"/>
    <w:rsid w:val="0031300A"/>
    <w:rsid w:val="003137E4"/>
    <w:rsid w:val="003142C1"/>
    <w:rsid w:val="00314586"/>
    <w:rsid w:val="00314A6D"/>
    <w:rsid w:val="003152F5"/>
    <w:rsid w:val="003161B0"/>
    <w:rsid w:val="003163AA"/>
    <w:rsid w:val="00316EC8"/>
    <w:rsid w:val="003175AA"/>
    <w:rsid w:val="00320030"/>
    <w:rsid w:val="003203F1"/>
    <w:rsid w:val="00320B43"/>
    <w:rsid w:val="00321E18"/>
    <w:rsid w:val="00322421"/>
    <w:rsid w:val="00323505"/>
    <w:rsid w:val="0032360B"/>
    <w:rsid w:val="003236FD"/>
    <w:rsid w:val="00323963"/>
    <w:rsid w:val="00323A06"/>
    <w:rsid w:val="003241E6"/>
    <w:rsid w:val="00324948"/>
    <w:rsid w:val="00325082"/>
    <w:rsid w:val="003258D7"/>
    <w:rsid w:val="00326341"/>
    <w:rsid w:val="003275A1"/>
    <w:rsid w:val="003277F1"/>
    <w:rsid w:val="00330A15"/>
    <w:rsid w:val="00331414"/>
    <w:rsid w:val="00332A02"/>
    <w:rsid w:val="00332C09"/>
    <w:rsid w:val="0033301E"/>
    <w:rsid w:val="00333087"/>
    <w:rsid w:val="003330A8"/>
    <w:rsid w:val="003335E7"/>
    <w:rsid w:val="00334317"/>
    <w:rsid w:val="003344F5"/>
    <w:rsid w:val="00334FB8"/>
    <w:rsid w:val="003367EA"/>
    <w:rsid w:val="00336986"/>
    <w:rsid w:val="00336A4D"/>
    <w:rsid w:val="00336E6C"/>
    <w:rsid w:val="00337189"/>
    <w:rsid w:val="00337906"/>
    <w:rsid w:val="003403BA"/>
    <w:rsid w:val="003407F5"/>
    <w:rsid w:val="00340EE4"/>
    <w:rsid w:val="003416C4"/>
    <w:rsid w:val="003423BD"/>
    <w:rsid w:val="003428C6"/>
    <w:rsid w:val="003429F3"/>
    <w:rsid w:val="00342BD5"/>
    <w:rsid w:val="00343A12"/>
    <w:rsid w:val="003444F9"/>
    <w:rsid w:val="0034504C"/>
    <w:rsid w:val="00345382"/>
    <w:rsid w:val="003454C2"/>
    <w:rsid w:val="00345DA5"/>
    <w:rsid w:val="0034648B"/>
    <w:rsid w:val="003465B4"/>
    <w:rsid w:val="00346FCC"/>
    <w:rsid w:val="00347140"/>
    <w:rsid w:val="00347AAB"/>
    <w:rsid w:val="00347FC8"/>
    <w:rsid w:val="003503D3"/>
    <w:rsid w:val="00350A9C"/>
    <w:rsid w:val="00350E18"/>
    <w:rsid w:val="003526A7"/>
    <w:rsid w:val="00352D33"/>
    <w:rsid w:val="00353086"/>
    <w:rsid w:val="003536F5"/>
    <w:rsid w:val="00353BAC"/>
    <w:rsid w:val="00354B37"/>
    <w:rsid w:val="00354B3D"/>
    <w:rsid w:val="003555E1"/>
    <w:rsid w:val="00355AAE"/>
    <w:rsid w:val="00355B42"/>
    <w:rsid w:val="00355B8C"/>
    <w:rsid w:val="003564F1"/>
    <w:rsid w:val="003564F3"/>
    <w:rsid w:val="00357ABB"/>
    <w:rsid w:val="00357B54"/>
    <w:rsid w:val="003605DD"/>
    <w:rsid w:val="00360901"/>
    <w:rsid w:val="003613F9"/>
    <w:rsid w:val="0036200B"/>
    <w:rsid w:val="00362650"/>
    <w:rsid w:val="003626B1"/>
    <w:rsid w:val="00364C85"/>
    <w:rsid w:val="003651A9"/>
    <w:rsid w:val="0036575C"/>
    <w:rsid w:val="00366544"/>
    <w:rsid w:val="003677DA"/>
    <w:rsid w:val="003677EC"/>
    <w:rsid w:val="003706A5"/>
    <w:rsid w:val="00370A75"/>
    <w:rsid w:val="00371551"/>
    <w:rsid w:val="003716A4"/>
    <w:rsid w:val="0037188D"/>
    <w:rsid w:val="00372889"/>
    <w:rsid w:val="003730D0"/>
    <w:rsid w:val="0037366C"/>
    <w:rsid w:val="00373D8A"/>
    <w:rsid w:val="00373EF0"/>
    <w:rsid w:val="00374D8F"/>
    <w:rsid w:val="003754EE"/>
    <w:rsid w:val="003770AA"/>
    <w:rsid w:val="0038095D"/>
    <w:rsid w:val="00380AC0"/>
    <w:rsid w:val="00380D1E"/>
    <w:rsid w:val="00382600"/>
    <w:rsid w:val="00384490"/>
    <w:rsid w:val="003845CB"/>
    <w:rsid w:val="003847BD"/>
    <w:rsid w:val="003859C2"/>
    <w:rsid w:val="00386100"/>
    <w:rsid w:val="00391F0B"/>
    <w:rsid w:val="00391F55"/>
    <w:rsid w:val="00392F79"/>
    <w:rsid w:val="00393BC3"/>
    <w:rsid w:val="00394454"/>
    <w:rsid w:val="00394776"/>
    <w:rsid w:val="00394AF8"/>
    <w:rsid w:val="00394B92"/>
    <w:rsid w:val="00395114"/>
    <w:rsid w:val="003969DF"/>
    <w:rsid w:val="00396D98"/>
    <w:rsid w:val="00397447"/>
    <w:rsid w:val="003A1B6B"/>
    <w:rsid w:val="003A1D20"/>
    <w:rsid w:val="003A1EB4"/>
    <w:rsid w:val="003A2D4A"/>
    <w:rsid w:val="003A3041"/>
    <w:rsid w:val="003A3844"/>
    <w:rsid w:val="003A3AE3"/>
    <w:rsid w:val="003A4002"/>
    <w:rsid w:val="003A4144"/>
    <w:rsid w:val="003A4DB6"/>
    <w:rsid w:val="003A5654"/>
    <w:rsid w:val="003A6E3D"/>
    <w:rsid w:val="003A761E"/>
    <w:rsid w:val="003B002A"/>
    <w:rsid w:val="003B0753"/>
    <w:rsid w:val="003B0937"/>
    <w:rsid w:val="003B19D9"/>
    <w:rsid w:val="003B31E5"/>
    <w:rsid w:val="003B3508"/>
    <w:rsid w:val="003B3804"/>
    <w:rsid w:val="003B3A46"/>
    <w:rsid w:val="003B3EFB"/>
    <w:rsid w:val="003B419B"/>
    <w:rsid w:val="003B480A"/>
    <w:rsid w:val="003B66E1"/>
    <w:rsid w:val="003B7229"/>
    <w:rsid w:val="003B726B"/>
    <w:rsid w:val="003B75D5"/>
    <w:rsid w:val="003C0669"/>
    <w:rsid w:val="003C0822"/>
    <w:rsid w:val="003C0ADC"/>
    <w:rsid w:val="003C1139"/>
    <w:rsid w:val="003C14C9"/>
    <w:rsid w:val="003C15AB"/>
    <w:rsid w:val="003C18A8"/>
    <w:rsid w:val="003C1AF7"/>
    <w:rsid w:val="003C23F2"/>
    <w:rsid w:val="003C302C"/>
    <w:rsid w:val="003C32DB"/>
    <w:rsid w:val="003C4C8C"/>
    <w:rsid w:val="003C5A5B"/>
    <w:rsid w:val="003C5AEF"/>
    <w:rsid w:val="003C6357"/>
    <w:rsid w:val="003C68DD"/>
    <w:rsid w:val="003C6D3B"/>
    <w:rsid w:val="003C71A4"/>
    <w:rsid w:val="003C7B12"/>
    <w:rsid w:val="003C7B59"/>
    <w:rsid w:val="003C7D30"/>
    <w:rsid w:val="003D02BF"/>
    <w:rsid w:val="003D05D4"/>
    <w:rsid w:val="003D113A"/>
    <w:rsid w:val="003D24CF"/>
    <w:rsid w:val="003D3D23"/>
    <w:rsid w:val="003D3E75"/>
    <w:rsid w:val="003D427F"/>
    <w:rsid w:val="003D4DBF"/>
    <w:rsid w:val="003D554C"/>
    <w:rsid w:val="003D5585"/>
    <w:rsid w:val="003D5AA9"/>
    <w:rsid w:val="003D7882"/>
    <w:rsid w:val="003E0F3C"/>
    <w:rsid w:val="003E1767"/>
    <w:rsid w:val="003E196B"/>
    <w:rsid w:val="003E1B2A"/>
    <w:rsid w:val="003E1D8E"/>
    <w:rsid w:val="003E1FD3"/>
    <w:rsid w:val="003E2A8A"/>
    <w:rsid w:val="003E2E8C"/>
    <w:rsid w:val="003E301A"/>
    <w:rsid w:val="003E30E6"/>
    <w:rsid w:val="003E3104"/>
    <w:rsid w:val="003E3687"/>
    <w:rsid w:val="003E4079"/>
    <w:rsid w:val="003E6442"/>
    <w:rsid w:val="003E6A00"/>
    <w:rsid w:val="003E6C29"/>
    <w:rsid w:val="003E6C47"/>
    <w:rsid w:val="003E7531"/>
    <w:rsid w:val="003E7D0E"/>
    <w:rsid w:val="003F05F7"/>
    <w:rsid w:val="003F100A"/>
    <w:rsid w:val="003F11A0"/>
    <w:rsid w:val="003F11A3"/>
    <w:rsid w:val="003F1932"/>
    <w:rsid w:val="003F267C"/>
    <w:rsid w:val="003F2D95"/>
    <w:rsid w:val="003F2EBD"/>
    <w:rsid w:val="003F307E"/>
    <w:rsid w:val="003F34A5"/>
    <w:rsid w:val="003F363C"/>
    <w:rsid w:val="003F3B05"/>
    <w:rsid w:val="003F3DA4"/>
    <w:rsid w:val="003F47E1"/>
    <w:rsid w:val="003F485C"/>
    <w:rsid w:val="003F4AF8"/>
    <w:rsid w:val="003F4DAE"/>
    <w:rsid w:val="003F5139"/>
    <w:rsid w:val="003F57C5"/>
    <w:rsid w:val="003F5DF5"/>
    <w:rsid w:val="003F6292"/>
    <w:rsid w:val="003F6D39"/>
    <w:rsid w:val="003F78C3"/>
    <w:rsid w:val="003F7C25"/>
    <w:rsid w:val="00400E47"/>
    <w:rsid w:val="00401381"/>
    <w:rsid w:val="00401388"/>
    <w:rsid w:val="004035E0"/>
    <w:rsid w:val="004038F5"/>
    <w:rsid w:val="00404CEB"/>
    <w:rsid w:val="00404EE7"/>
    <w:rsid w:val="00405472"/>
    <w:rsid w:val="00405AFB"/>
    <w:rsid w:val="00405C3C"/>
    <w:rsid w:val="00405D49"/>
    <w:rsid w:val="004065AD"/>
    <w:rsid w:val="004068E5"/>
    <w:rsid w:val="0041101C"/>
    <w:rsid w:val="00411BCE"/>
    <w:rsid w:val="00412144"/>
    <w:rsid w:val="00412269"/>
    <w:rsid w:val="004123E8"/>
    <w:rsid w:val="004126D8"/>
    <w:rsid w:val="0041548F"/>
    <w:rsid w:val="00415927"/>
    <w:rsid w:val="00416013"/>
    <w:rsid w:val="00416103"/>
    <w:rsid w:val="00416AAC"/>
    <w:rsid w:val="00416C51"/>
    <w:rsid w:val="00416E7C"/>
    <w:rsid w:val="004172D7"/>
    <w:rsid w:val="00417EBE"/>
    <w:rsid w:val="0042009E"/>
    <w:rsid w:val="00420B03"/>
    <w:rsid w:val="00420CB6"/>
    <w:rsid w:val="004215EA"/>
    <w:rsid w:val="00421B6B"/>
    <w:rsid w:val="00421D0B"/>
    <w:rsid w:val="00421ED3"/>
    <w:rsid w:val="00422020"/>
    <w:rsid w:val="00422133"/>
    <w:rsid w:val="00422812"/>
    <w:rsid w:val="00422A82"/>
    <w:rsid w:val="00423160"/>
    <w:rsid w:val="004231F2"/>
    <w:rsid w:val="00423FBD"/>
    <w:rsid w:val="004245A0"/>
    <w:rsid w:val="0042494F"/>
    <w:rsid w:val="004251C7"/>
    <w:rsid w:val="0042550A"/>
    <w:rsid w:val="0042558E"/>
    <w:rsid w:val="00426F27"/>
    <w:rsid w:val="00430034"/>
    <w:rsid w:val="00430212"/>
    <w:rsid w:val="004302EF"/>
    <w:rsid w:val="00430F34"/>
    <w:rsid w:val="00430F42"/>
    <w:rsid w:val="0043123E"/>
    <w:rsid w:val="00431315"/>
    <w:rsid w:val="004313D2"/>
    <w:rsid w:val="00432196"/>
    <w:rsid w:val="004324FF"/>
    <w:rsid w:val="00432A93"/>
    <w:rsid w:val="00432ABE"/>
    <w:rsid w:val="00434F46"/>
    <w:rsid w:val="00436549"/>
    <w:rsid w:val="004365F1"/>
    <w:rsid w:val="00440DBA"/>
    <w:rsid w:val="00441DCB"/>
    <w:rsid w:val="00443846"/>
    <w:rsid w:val="00443F9E"/>
    <w:rsid w:val="004440A2"/>
    <w:rsid w:val="004449BB"/>
    <w:rsid w:val="004465D1"/>
    <w:rsid w:val="00446C10"/>
    <w:rsid w:val="004471DD"/>
    <w:rsid w:val="004472E7"/>
    <w:rsid w:val="004473FF"/>
    <w:rsid w:val="004476A7"/>
    <w:rsid w:val="0044793D"/>
    <w:rsid w:val="00450577"/>
    <w:rsid w:val="00452F62"/>
    <w:rsid w:val="00453825"/>
    <w:rsid w:val="00453D2E"/>
    <w:rsid w:val="0045465E"/>
    <w:rsid w:val="004552AE"/>
    <w:rsid w:val="0045542E"/>
    <w:rsid w:val="00456490"/>
    <w:rsid w:val="00456505"/>
    <w:rsid w:val="004575FB"/>
    <w:rsid w:val="0046021B"/>
    <w:rsid w:val="00460F63"/>
    <w:rsid w:val="004611D9"/>
    <w:rsid w:val="0046177E"/>
    <w:rsid w:val="004623C5"/>
    <w:rsid w:val="004637EF"/>
    <w:rsid w:val="004637F0"/>
    <w:rsid w:val="00463F8C"/>
    <w:rsid w:val="00464533"/>
    <w:rsid w:val="00464F23"/>
    <w:rsid w:val="004655CF"/>
    <w:rsid w:val="00465903"/>
    <w:rsid w:val="0046625C"/>
    <w:rsid w:val="004671EF"/>
    <w:rsid w:val="0046782F"/>
    <w:rsid w:val="004710B9"/>
    <w:rsid w:val="00471E7A"/>
    <w:rsid w:val="00471ED8"/>
    <w:rsid w:val="004722A3"/>
    <w:rsid w:val="004723B3"/>
    <w:rsid w:val="00472F43"/>
    <w:rsid w:val="00473528"/>
    <w:rsid w:val="004736DB"/>
    <w:rsid w:val="0047373B"/>
    <w:rsid w:val="00473D82"/>
    <w:rsid w:val="004740D0"/>
    <w:rsid w:val="004741AE"/>
    <w:rsid w:val="0047447D"/>
    <w:rsid w:val="00474C8C"/>
    <w:rsid w:val="00475E8B"/>
    <w:rsid w:val="00476429"/>
    <w:rsid w:val="00476A3E"/>
    <w:rsid w:val="00477313"/>
    <w:rsid w:val="0047783D"/>
    <w:rsid w:val="00477DCE"/>
    <w:rsid w:val="00480BED"/>
    <w:rsid w:val="00480E56"/>
    <w:rsid w:val="004813F9"/>
    <w:rsid w:val="0048168D"/>
    <w:rsid w:val="004817A0"/>
    <w:rsid w:val="00481C63"/>
    <w:rsid w:val="004829AB"/>
    <w:rsid w:val="00482CBD"/>
    <w:rsid w:val="0048488A"/>
    <w:rsid w:val="0048511D"/>
    <w:rsid w:val="00486DE2"/>
    <w:rsid w:val="004873D4"/>
    <w:rsid w:val="00490417"/>
    <w:rsid w:val="00490EEA"/>
    <w:rsid w:val="0049145B"/>
    <w:rsid w:val="004915A0"/>
    <w:rsid w:val="00491917"/>
    <w:rsid w:val="00492052"/>
    <w:rsid w:val="004922E0"/>
    <w:rsid w:val="00492507"/>
    <w:rsid w:val="004926EC"/>
    <w:rsid w:val="00493061"/>
    <w:rsid w:val="0049322B"/>
    <w:rsid w:val="00494311"/>
    <w:rsid w:val="0049509E"/>
    <w:rsid w:val="004950AD"/>
    <w:rsid w:val="00495628"/>
    <w:rsid w:val="004958B4"/>
    <w:rsid w:val="00495ABD"/>
    <w:rsid w:val="0049645F"/>
    <w:rsid w:val="0049764C"/>
    <w:rsid w:val="004A0241"/>
    <w:rsid w:val="004A09B9"/>
    <w:rsid w:val="004A0D4C"/>
    <w:rsid w:val="004A142A"/>
    <w:rsid w:val="004A2846"/>
    <w:rsid w:val="004A2A06"/>
    <w:rsid w:val="004A30B8"/>
    <w:rsid w:val="004A384D"/>
    <w:rsid w:val="004A3E27"/>
    <w:rsid w:val="004A41B0"/>
    <w:rsid w:val="004A61CC"/>
    <w:rsid w:val="004A6473"/>
    <w:rsid w:val="004A7900"/>
    <w:rsid w:val="004B00A4"/>
    <w:rsid w:val="004B0E8D"/>
    <w:rsid w:val="004B2D21"/>
    <w:rsid w:val="004B2EFB"/>
    <w:rsid w:val="004B3E79"/>
    <w:rsid w:val="004B42B7"/>
    <w:rsid w:val="004B4509"/>
    <w:rsid w:val="004B492D"/>
    <w:rsid w:val="004B55BA"/>
    <w:rsid w:val="004B5D64"/>
    <w:rsid w:val="004B5DC4"/>
    <w:rsid w:val="004B6265"/>
    <w:rsid w:val="004B63ED"/>
    <w:rsid w:val="004B670B"/>
    <w:rsid w:val="004B6B57"/>
    <w:rsid w:val="004B6D01"/>
    <w:rsid w:val="004B7392"/>
    <w:rsid w:val="004C02D5"/>
    <w:rsid w:val="004C0674"/>
    <w:rsid w:val="004C21F3"/>
    <w:rsid w:val="004C2873"/>
    <w:rsid w:val="004C28E4"/>
    <w:rsid w:val="004C2CC3"/>
    <w:rsid w:val="004C31A4"/>
    <w:rsid w:val="004C32AD"/>
    <w:rsid w:val="004C3CA6"/>
    <w:rsid w:val="004C42BC"/>
    <w:rsid w:val="004C5117"/>
    <w:rsid w:val="004C642B"/>
    <w:rsid w:val="004D0209"/>
    <w:rsid w:val="004D0AF6"/>
    <w:rsid w:val="004D0BEE"/>
    <w:rsid w:val="004D0C7F"/>
    <w:rsid w:val="004D0D28"/>
    <w:rsid w:val="004D0E66"/>
    <w:rsid w:val="004D1AA8"/>
    <w:rsid w:val="004D1E60"/>
    <w:rsid w:val="004D1F53"/>
    <w:rsid w:val="004D2329"/>
    <w:rsid w:val="004D3302"/>
    <w:rsid w:val="004D3BD9"/>
    <w:rsid w:val="004D4ADF"/>
    <w:rsid w:val="004D4CDC"/>
    <w:rsid w:val="004D53E4"/>
    <w:rsid w:val="004D572E"/>
    <w:rsid w:val="004E03DE"/>
    <w:rsid w:val="004E0B64"/>
    <w:rsid w:val="004E0BE8"/>
    <w:rsid w:val="004E213B"/>
    <w:rsid w:val="004E2448"/>
    <w:rsid w:val="004E25EB"/>
    <w:rsid w:val="004E298F"/>
    <w:rsid w:val="004E2FE7"/>
    <w:rsid w:val="004E30BA"/>
    <w:rsid w:val="004E3817"/>
    <w:rsid w:val="004E4704"/>
    <w:rsid w:val="004E527F"/>
    <w:rsid w:val="004E54E8"/>
    <w:rsid w:val="004E671A"/>
    <w:rsid w:val="004E725B"/>
    <w:rsid w:val="004E72F9"/>
    <w:rsid w:val="004E7F20"/>
    <w:rsid w:val="004F011F"/>
    <w:rsid w:val="004F0537"/>
    <w:rsid w:val="004F0CFF"/>
    <w:rsid w:val="004F0E60"/>
    <w:rsid w:val="004F14F7"/>
    <w:rsid w:val="004F1891"/>
    <w:rsid w:val="004F1DB9"/>
    <w:rsid w:val="004F1FEA"/>
    <w:rsid w:val="004F2126"/>
    <w:rsid w:val="004F283E"/>
    <w:rsid w:val="004F4672"/>
    <w:rsid w:val="004F4EBF"/>
    <w:rsid w:val="004F5F23"/>
    <w:rsid w:val="004F6CC8"/>
    <w:rsid w:val="004F6D84"/>
    <w:rsid w:val="004F7FEE"/>
    <w:rsid w:val="00500694"/>
    <w:rsid w:val="00500C03"/>
    <w:rsid w:val="00500D8A"/>
    <w:rsid w:val="005012A2"/>
    <w:rsid w:val="005012FF"/>
    <w:rsid w:val="00501B4B"/>
    <w:rsid w:val="00501D88"/>
    <w:rsid w:val="0050238B"/>
    <w:rsid w:val="0050278B"/>
    <w:rsid w:val="00503B0E"/>
    <w:rsid w:val="00503DA3"/>
    <w:rsid w:val="0050449A"/>
    <w:rsid w:val="0050557C"/>
    <w:rsid w:val="00505E92"/>
    <w:rsid w:val="00506027"/>
    <w:rsid w:val="00506C00"/>
    <w:rsid w:val="00506FB5"/>
    <w:rsid w:val="005106FF"/>
    <w:rsid w:val="0051084F"/>
    <w:rsid w:val="00510C55"/>
    <w:rsid w:val="00511BCD"/>
    <w:rsid w:val="005125BA"/>
    <w:rsid w:val="00512A82"/>
    <w:rsid w:val="00512B37"/>
    <w:rsid w:val="00512D4C"/>
    <w:rsid w:val="00512DB6"/>
    <w:rsid w:val="00513092"/>
    <w:rsid w:val="00514887"/>
    <w:rsid w:val="00514C48"/>
    <w:rsid w:val="00514D86"/>
    <w:rsid w:val="0051586C"/>
    <w:rsid w:val="00515926"/>
    <w:rsid w:val="00515FAD"/>
    <w:rsid w:val="00516A7B"/>
    <w:rsid w:val="00516CC4"/>
    <w:rsid w:val="0051743B"/>
    <w:rsid w:val="00521E6F"/>
    <w:rsid w:val="005220EC"/>
    <w:rsid w:val="0052227D"/>
    <w:rsid w:val="00523443"/>
    <w:rsid w:val="00524662"/>
    <w:rsid w:val="0052487D"/>
    <w:rsid w:val="00524ACE"/>
    <w:rsid w:val="00526CB9"/>
    <w:rsid w:val="00526FD0"/>
    <w:rsid w:val="005274C6"/>
    <w:rsid w:val="00527815"/>
    <w:rsid w:val="00530040"/>
    <w:rsid w:val="005301D4"/>
    <w:rsid w:val="00530488"/>
    <w:rsid w:val="0053058B"/>
    <w:rsid w:val="005308F9"/>
    <w:rsid w:val="00530B77"/>
    <w:rsid w:val="00530CE5"/>
    <w:rsid w:val="00531429"/>
    <w:rsid w:val="00531ED8"/>
    <w:rsid w:val="0053322D"/>
    <w:rsid w:val="0053342D"/>
    <w:rsid w:val="005339C5"/>
    <w:rsid w:val="00533A58"/>
    <w:rsid w:val="00533AA2"/>
    <w:rsid w:val="00533C0E"/>
    <w:rsid w:val="00535407"/>
    <w:rsid w:val="0053584D"/>
    <w:rsid w:val="005362B9"/>
    <w:rsid w:val="0053657E"/>
    <w:rsid w:val="005368F2"/>
    <w:rsid w:val="00536C71"/>
    <w:rsid w:val="00536C9C"/>
    <w:rsid w:val="00536DD0"/>
    <w:rsid w:val="005371FB"/>
    <w:rsid w:val="00537567"/>
    <w:rsid w:val="00540AAA"/>
    <w:rsid w:val="0054204E"/>
    <w:rsid w:val="0054227B"/>
    <w:rsid w:val="00542395"/>
    <w:rsid w:val="00542C64"/>
    <w:rsid w:val="00542D6B"/>
    <w:rsid w:val="00543508"/>
    <w:rsid w:val="005435B4"/>
    <w:rsid w:val="0054450E"/>
    <w:rsid w:val="00545097"/>
    <w:rsid w:val="0054528B"/>
    <w:rsid w:val="005454F0"/>
    <w:rsid w:val="0054573E"/>
    <w:rsid w:val="00545C47"/>
    <w:rsid w:val="00546946"/>
    <w:rsid w:val="0054736D"/>
    <w:rsid w:val="00547CF4"/>
    <w:rsid w:val="00547D73"/>
    <w:rsid w:val="00547FA3"/>
    <w:rsid w:val="005501A9"/>
    <w:rsid w:val="0055032E"/>
    <w:rsid w:val="00550E4C"/>
    <w:rsid w:val="00550E6D"/>
    <w:rsid w:val="00552B3F"/>
    <w:rsid w:val="00552B9C"/>
    <w:rsid w:val="00553865"/>
    <w:rsid w:val="00554B91"/>
    <w:rsid w:val="00554E4D"/>
    <w:rsid w:val="0055529E"/>
    <w:rsid w:val="00555F12"/>
    <w:rsid w:val="00555F1D"/>
    <w:rsid w:val="00556591"/>
    <w:rsid w:val="00556698"/>
    <w:rsid w:val="00556AF7"/>
    <w:rsid w:val="00556C2E"/>
    <w:rsid w:val="00557066"/>
    <w:rsid w:val="00557161"/>
    <w:rsid w:val="00557DC7"/>
    <w:rsid w:val="00557E2D"/>
    <w:rsid w:val="0056016B"/>
    <w:rsid w:val="0056042D"/>
    <w:rsid w:val="00560519"/>
    <w:rsid w:val="005608A6"/>
    <w:rsid w:val="005608DD"/>
    <w:rsid w:val="00562258"/>
    <w:rsid w:val="00562381"/>
    <w:rsid w:val="005628B1"/>
    <w:rsid w:val="00563098"/>
    <w:rsid w:val="0056455E"/>
    <w:rsid w:val="00564FE2"/>
    <w:rsid w:val="005651A0"/>
    <w:rsid w:val="00565211"/>
    <w:rsid w:val="00565B5B"/>
    <w:rsid w:val="005660C2"/>
    <w:rsid w:val="005661A0"/>
    <w:rsid w:val="0056766F"/>
    <w:rsid w:val="005708DB"/>
    <w:rsid w:val="00571217"/>
    <w:rsid w:val="0057184A"/>
    <w:rsid w:val="00571C79"/>
    <w:rsid w:val="0057333E"/>
    <w:rsid w:val="005737CA"/>
    <w:rsid w:val="00573C6E"/>
    <w:rsid w:val="00573EA5"/>
    <w:rsid w:val="00574896"/>
    <w:rsid w:val="0057537F"/>
    <w:rsid w:val="00575647"/>
    <w:rsid w:val="0057635C"/>
    <w:rsid w:val="00577338"/>
    <w:rsid w:val="00580086"/>
    <w:rsid w:val="00580422"/>
    <w:rsid w:val="0058047F"/>
    <w:rsid w:val="005807FF"/>
    <w:rsid w:val="005813BE"/>
    <w:rsid w:val="0058156F"/>
    <w:rsid w:val="0058161F"/>
    <w:rsid w:val="005817D3"/>
    <w:rsid w:val="005818C9"/>
    <w:rsid w:val="00582240"/>
    <w:rsid w:val="00582A8C"/>
    <w:rsid w:val="005832F9"/>
    <w:rsid w:val="00583D69"/>
    <w:rsid w:val="00586805"/>
    <w:rsid w:val="005871FA"/>
    <w:rsid w:val="005900F1"/>
    <w:rsid w:val="00590F61"/>
    <w:rsid w:val="005912CA"/>
    <w:rsid w:val="005918C1"/>
    <w:rsid w:val="005923B2"/>
    <w:rsid w:val="00592919"/>
    <w:rsid w:val="00592EC4"/>
    <w:rsid w:val="00593362"/>
    <w:rsid w:val="0059389A"/>
    <w:rsid w:val="00593CCE"/>
    <w:rsid w:val="005941F8"/>
    <w:rsid w:val="00594903"/>
    <w:rsid w:val="00594DF4"/>
    <w:rsid w:val="00595067"/>
    <w:rsid w:val="005951D3"/>
    <w:rsid w:val="0059656D"/>
    <w:rsid w:val="005977DF"/>
    <w:rsid w:val="00597E51"/>
    <w:rsid w:val="005A001E"/>
    <w:rsid w:val="005A041B"/>
    <w:rsid w:val="005A12AC"/>
    <w:rsid w:val="005A1CDB"/>
    <w:rsid w:val="005A1F88"/>
    <w:rsid w:val="005A2AC0"/>
    <w:rsid w:val="005A2DAB"/>
    <w:rsid w:val="005A3B14"/>
    <w:rsid w:val="005A42E4"/>
    <w:rsid w:val="005A459E"/>
    <w:rsid w:val="005A5068"/>
    <w:rsid w:val="005A6A57"/>
    <w:rsid w:val="005A6BE0"/>
    <w:rsid w:val="005A755B"/>
    <w:rsid w:val="005A770C"/>
    <w:rsid w:val="005A7C9C"/>
    <w:rsid w:val="005B008A"/>
    <w:rsid w:val="005B00AB"/>
    <w:rsid w:val="005B051F"/>
    <w:rsid w:val="005B079D"/>
    <w:rsid w:val="005B18C8"/>
    <w:rsid w:val="005B1946"/>
    <w:rsid w:val="005B2470"/>
    <w:rsid w:val="005B2758"/>
    <w:rsid w:val="005B28B8"/>
    <w:rsid w:val="005B2F69"/>
    <w:rsid w:val="005B3111"/>
    <w:rsid w:val="005B3580"/>
    <w:rsid w:val="005B4460"/>
    <w:rsid w:val="005B5099"/>
    <w:rsid w:val="005B5748"/>
    <w:rsid w:val="005B5936"/>
    <w:rsid w:val="005B5CAA"/>
    <w:rsid w:val="005B6678"/>
    <w:rsid w:val="005B68FA"/>
    <w:rsid w:val="005B6A39"/>
    <w:rsid w:val="005B75AF"/>
    <w:rsid w:val="005C006A"/>
    <w:rsid w:val="005C0395"/>
    <w:rsid w:val="005C048B"/>
    <w:rsid w:val="005C09A1"/>
    <w:rsid w:val="005C0DAF"/>
    <w:rsid w:val="005C1368"/>
    <w:rsid w:val="005C1E0E"/>
    <w:rsid w:val="005C24BC"/>
    <w:rsid w:val="005C4990"/>
    <w:rsid w:val="005C4C32"/>
    <w:rsid w:val="005C4FDF"/>
    <w:rsid w:val="005C51D5"/>
    <w:rsid w:val="005C550A"/>
    <w:rsid w:val="005C6802"/>
    <w:rsid w:val="005C76E3"/>
    <w:rsid w:val="005C7BA9"/>
    <w:rsid w:val="005C7BB9"/>
    <w:rsid w:val="005C7D5C"/>
    <w:rsid w:val="005D01F8"/>
    <w:rsid w:val="005D045D"/>
    <w:rsid w:val="005D0BB7"/>
    <w:rsid w:val="005D0CCD"/>
    <w:rsid w:val="005D0F2A"/>
    <w:rsid w:val="005D38EF"/>
    <w:rsid w:val="005D3A5A"/>
    <w:rsid w:val="005D4C8A"/>
    <w:rsid w:val="005D5026"/>
    <w:rsid w:val="005D5485"/>
    <w:rsid w:val="005D61F9"/>
    <w:rsid w:val="005D6791"/>
    <w:rsid w:val="005D6C0C"/>
    <w:rsid w:val="005D72AD"/>
    <w:rsid w:val="005E1D62"/>
    <w:rsid w:val="005E1F50"/>
    <w:rsid w:val="005E2186"/>
    <w:rsid w:val="005E350C"/>
    <w:rsid w:val="005E3972"/>
    <w:rsid w:val="005E3AF2"/>
    <w:rsid w:val="005E3BD5"/>
    <w:rsid w:val="005E4FF5"/>
    <w:rsid w:val="005E5614"/>
    <w:rsid w:val="005E65DC"/>
    <w:rsid w:val="005E6F55"/>
    <w:rsid w:val="005E730F"/>
    <w:rsid w:val="005E749E"/>
    <w:rsid w:val="005E79E4"/>
    <w:rsid w:val="005F075E"/>
    <w:rsid w:val="005F1BE9"/>
    <w:rsid w:val="005F213B"/>
    <w:rsid w:val="005F216B"/>
    <w:rsid w:val="005F24CF"/>
    <w:rsid w:val="005F2FCD"/>
    <w:rsid w:val="005F4279"/>
    <w:rsid w:val="005F4676"/>
    <w:rsid w:val="005F4D3E"/>
    <w:rsid w:val="005F58FF"/>
    <w:rsid w:val="005F5A0E"/>
    <w:rsid w:val="005F5A34"/>
    <w:rsid w:val="005F5C3E"/>
    <w:rsid w:val="005F66E1"/>
    <w:rsid w:val="005F682B"/>
    <w:rsid w:val="005F73ED"/>
    <w:rsid w:val="005F7907"/>
    <w:rsid w:val="005F7DBA"/>
    <w:rsid w:val="00601B28"/>
    <w:rsid w:val="00603BA2"/>
    <w:rsid w:val="00603FC6"/>
    <w:rsid w:val="00604292"/>
    <w:rsid w:val="00604D63"/>
    <w:rsid w:val="00605DEE"/>
    <w:rsid w:val="006060C1"/>
    <w:rsid w:val="0060633F"/>
    <w:rsid w:val="00606C80"/>
    <w:rsid w:val="0060780F"/>
    <w:rsid w:val="006100C2"/>
    <w:rsid w:val="006104BB"/>
    <w:rsid w:val="0061144F"/>
    <w:rsid w:val="0061185E"/>
    <w:rsid w:val="00611E4C"/>
    <w:rsid w:val="006132CB"/>
    <w:rsid w:val="00613B8F"/>
    <w:rsid w:val="00613DCF"/>
    <w:rsid w:val="006144C5"/>
    <w:rsid w:val="006154F3"/>
    <w:rsid w:val="00616BD3"/>
    <w:rsid w:val="00616F7F"/>
    <w:rsid w:val="0061752F"/>
    <w:rsid w:val="00617772"/>
    <w:rsid w:val="006178A2"/>
    <w:rsid w:val="00617D0F"/>
    <w:rsid w:val="00617D4A"/>
    <w:rsid w:val="006202FB"/>
    <w:rsid w:val="006203C9"/>
    <w:rsid w:val="006213E8"/>
    <w:rsid w:val="00621F0E"/>
    <w:rsid w:val="0062279A"/>
    <w:rsid w:val="00622DE6"/>
    <w:rsid w:val="0062381F"/>
    <w:rsid w:val="006238E7"/>
    <w:rsid w:val="00624398"/>
    <w:rsid w:val="006243BD"/>
    <w:rsid w:val="00624449"/>
    <w:rsid w:val="006246EA"/>
    <w:rsid w:val="00624AD7"/>
    <w:rsid w:val="00626081"/>
    <w:rsid w:val="00626AD4"/>
    <w:rsid w:val="006271CD"/>
    <w:rsid w:val="006276EC"/>
    <w:rsid w:val="00630147"/>
    <w:rsid w:val="00630B1E"/>
    <w:rsid w:val="00630E5D"/>
    <w:rsid w:val="00630F77"/>
    <w:rsid w:val="00631D97"/>
    <w:rsid w:val="0063260D"/>
    <w:rsid w:val="00632B46"/>
    <w:rsid w:val="00633127"/>
    <w:rsid w:val="0063551E"/>
    <w:rsid w:val="00635E67"/>
    <w:rsid w:val="00635F7F"/>
    <w:rsid w:val="00636894"/>
    <w:rsid w:val="0063759F"/>
    <w:rsid w:val="00637E58"/>
    <w:rsid w:val="00637E71"/>
    <w:rsid w:val="0064165C"/>
    <w:rsid w:val="00641A76"/>
    <w:rsid w:val="00641E57"/>
    <w:rsid w:val="00642317"/>
    <w:rsid w:val="00642EAC"/>
    <w:rsid w:val="00642F51"/>
    <w:rsid w:val="006441B4"/>
    <w:rsid w:val="00644AE5"/>
    <w:rsid w:val="00644EE8"/>
    <w:rsid w:val="00645192"/>
    <w:rsid w:val="00645213"/>
    <w:rsid w:val="00645738"/>
    <w:rsid w:val="00645A45"/>
    <w:rsid w:val="00645B72"/>
    <w:rsid w:val="00645BFB"/>
    <w:rsid w:val="00646AC3"/>
    <w:rsid w:val="00646C42"/>
    <w:rsid w:val="00646D41"/>
    <w:rsid w:val="00647364"/>
    <w:rsid w:val="00647EF7"/>
    <w:rsid w:val="006508A8"/>
    <w:rsid w:val="00650C95"/>
    <w:rsid w:val="00650F74"/>
    <w:rsid w:val="006516C4"/>
    <w:rsid w:val="00651858"/>
    <w:rsid w:val="00651F8D"/>
    <w:rsid w:val="006524C8"/>
    <w:rsid w:val="00652726"/>
    <w:rsid w:val="00652BF1"/>
    <w:rsid w:val="00653BFC"/>
    <w:rsid w:val="006546E9"/>
    <w:rsid w:val="006551D4"/>
    <w:rsid w:val="00655ED9"/>
    <w:rsid w:val="0065637E"/>
    <w:rsid w:val="00656B13"/>
    <w:rsid w:val="00656C11"/>
    <w:rsid w:val="006570BB"/>
    <w:rsid w:val="006578CA"/>
    <w:rsid w:val="0066073F"/>
    <w:rsid w:val="0066099C"/>
    <w:rsid w:val="00660D4B"/>
    <w:rsid w:val="00661559"/>
    <w:rsid w:val="006620B9"/>
    <w:rsid w:val="006622A9"/>
    <w:rsid w:val="00662435"/>
    <w:rsid w:val="00662C94"/>
    <w:rsid w:val="0066322A"/>
    <w:rsid w:val="00663D38"/>
    <w:rsid w:val="00663E48"/>
    <w:rsid w:val="0066411B"/>
    <w:rsid w:val="0066447B"/>
    <w:rsid w:val="00664805"/>
    <w:rsid w:val="006659E4"/>
    <w:rsid w:val="00665E52"/>
    <w:rsid w:val="006660C0"/>
    <w:rsid w:val="00666E34"/>
    <w:rsid w:val="0066711C"/>
    <w:rsid w:val="00667794"/>
    <w:rsid w:val="00667881"/>
    <w:rsid w:val="00667B20"/>
    <w:rsid w:val="006700BE"/>
    <w:rsid w:val="00670758"/>
    <w:rsid w:val="0067085D"/>
    <w:rsid w:val="00670A33"/>
    <w:rsid w:val="00671269"/>
    <w:rsid w:val="006714D6"/>
    <w:rsid w:val="0067228F"/>
    <w:rsid w:val="00672296"/>
    <w:rsid w:val="006722B7"/>
    <w:rsid w:val="0067254F"/>
    <w:rsid w:val="00672A81"/>
    <w:rsid w:val="006737E4"/>
    <w:rsid w:val="00674C22"/>
    <w:rsid w:val="00674CFF"/>
    <w:rsid w:val="00674D05"/>
    <w:rsid w:val="00674D16"/>
    <w:rsid w:val="00674E3D"/>
    <w:rsid w:val="00675454"/>
    <w:rsid w:val="00675868"/>
    <w:rsid w:val="006759D4"/>
    <w:rsid w:val="0067652F"/>
    <w:rsid w:val="00676A45"/>
    <w:rsid w:val="006809D1"/>
    <w:rsid w:val="00680AA8"/>
    <w:rsid w:val="00680E00"/>
    <w:rsid w:val="00681034"/>
    <w:rsid w:val="006813A4"/>
    <w:rsid w:val="006817FF"/>
    <w:rsid w:val="00681E7C"/>
    <w:rsid w:val="00682429"/>
    <w:rsid w:val="00682AC0"/>
    <w:rsid w:val="0068360A"/>
    <w:rsid w:val="00683BAB"/>
    <w:rsid w:val="0068405E"/>
    <w:rsid w:val="0068485B"/>
    <w:rsid w:val="0068557B"/>
    <w:rsid w:val="0068561C"/>
    <w:rsid w:val="00685B63"/>
    <w:rsid w:val="0068606D"/>
    <w:rsid w:val="00686A0F"/>
    <w:rsid w:val="00686EA9"/>
    <w:rsid w:val="0068720F"/>
    <w:rsid w:val="0068730D"/>
    <w:rsid w:val="0068781F"/>
    <w:rsid w:val="00687A7A"/>
    <w:rsid w:val="00687D56"/>
    <w:rsid w:val="00687DBA"/>
    <w:rsid w:val="006902E7"/>
    <w:rsid w:val="00690AC5"/>
    <w:rsid w:val="00690D54"/>
    <w:rsid w:val="006910E6"/>
    <w:rsid w:val="006918FB"/>
    <w:rsid w:val="00691F4C"/>
    <w:rsid w:val="006921F9"/>
    <w:rsid w:val="00692C3B"/>
    <w:rsid w:val="00692C45"/>
    <w:rsid w:val="00692C9F"/>
    <w:rsid w:val="0069301E"/>
    <w:rsid w:val="00694D0A"/>
    <w:rsid w:val="00695757"/>
    <w:rsid w:val="00695F02"/>
    <w:rsid w:val="00696954"/>
    <w:rsid w:val="00696990"/>
    <w:rsid w:val="00697317"/>
    <w:rsid w:val="006A045B"/>
    <w:rsid w:val="006A0F30"/>
    <w:rsid w:val="006A14D6"/>
    <w:rsid w:val="006A19E3"/>
    <w:rsid w:val="006A1CA7"/>
    <w:rsid w:val="006A2561"/>
    <w:rsid w:val="006A265A"/>
    <w:rsid w:val="006A2A5E"/>
    <w:rsid w:val="006A2B2C"/>
    <w:rsid w:val="006A31B9"/>
    <w:rsid w:val="006A3B98"/>
    <w:rsid w:val="006A3CCF"/>
    <w:rsid w:val="006A3E4A"/>
    <w:rsid w:val="006A4439"/>
    <w:rsid w:val="006A5076"/>
    <w:rsid w:val="006A5312"/>
    <w:rsid w:val="006A5642"/>
    <w:rsid w:val="006A5A78"/>
    <w:rsid w:val="006A615D"/>
    <w:rsid w:val="006A6F7F"/>
    <w:rsid w:val="006A7695"/>
    <w:rsid w:val="006B0417"/>
    <w:rsid w:val="006B04D9"/>
    <w:rsid w:val="006B0661"/>
    <w:rsid w:val="006B0B8C"/>
    <w:rsid w:val="006B20F9"/>
    <w:rsid w:val="006B20FD"/>
    <w:rsid w:val="006B3156"/>
    <w:rsid w:val="006B317E"/>
    <w:rsid w:val="006B35DA"/>
    <w:rsid w:val="006B3C1E"/>
    <w:rsid w:val="006B3C38"/>
    <w:rsid w:val="006B3D7C"/>
    <w:rsid w:val="006B41C9"/>
    <w:rsid w:val="006B4C5E"/>
    <w:rsid w:val="006B4E99"/>
    <w:rsid w:val="006B5C00"/>
    <w:rsid w:val="006B684C"/>
    <w:rsid w:val="006B7131"/>
    <w:rsid w:val="006C011F"/>
    <w:rsid w:val="006C060D"/>
    <w:rsid w:val="006C069E"/>
    <w:rsid w:val="006C0E9D"/>
    <w:rsid w:val="006C1372"/>
    <w:rsid w:val="006C32FB"/>
    <w:rsid w:val="006C3688"/>
    <w:rsid w:val="006C4A2C"/>
    <w:rsid w:val="006C520B"/>
    <w:rsid w:val="006C6876"/>
    <w:rsid w:val="006C7B47"/>
    <w:rsid w:val="006C7CE9"/>
    <w:rsid w:val="006D00EA"/>
    <w:rsid w:val="006D0409"/>
    <w:rsid w:val="006D0C40"/>
    <w:rsid w:val="006D17D9"/>
    <w:rsid w:val="006D1C45"/>
    <w:rsid w:val="006D269B"/>
    <w:rsid w:val="006D3E50"/>
    <w:rsid w:val="006D3EEC"/>
    <w:rsid w:val="006D4418"/>
    <w:rsid w:val="006D4839"/>
    <w:rsid w:val="006D48BE"/>
    <w:rsid w:val="006D4A7E"/>
    <w:rsid w:val="006D5313"/>
    <w:rsid w:val="006D59A3"/>
    <w:rsid w:val="006D5ACD"/>
    <w:rsid w:val="006D6B9A"/>
    <w:rsid w:val="006D6F4E"/>
    <w:rsid w:val="006D6FAA"/>
    <w:rsid w:val="006D7374"/>
    <w:rsid w:val="006D7F83"/>
    <w:rsid w:val="006E005C"/>
    <w:rsid w:val="006E028A"/>
    <w:rsid w:val="006E0333"/>
    <w:rsid w:val="006E0AEC"/>
    <w:rsid w:val="006E129D"/>
    <w:rsid w:val="006E17A2"/>
    <w:rsid w:val="006E19C4"/>
    <w:rsid w:val="006E21CF"/>
    <w:rsid w:val="006E232A"/>
    <w:rsid w:val="006E2600"/>
    <w:rsid w:val="006E2ABB"/>
    <w:rsid w:val="006E2CD5"/>
    <w:rsid w:val="006E4122"/>
    <w:rsid w:val="006E4451"/>
    <w:rsid w:val="006E4477"/>
    <w:rsid w:val="006E60D8"/>
    <w:rsid w:val="006E62D7"/>
    <w:rsid w:val="006E646A"/>
    <w:rsid w:val="006E65E5"/>
    <w:rsid w:val="006E7295"/>
    <w:rsid w:val="006E78BE"/>
    <w:rsid w:val="006E7C3E"/>
    <w:rsid w:val="006F04FD"/>
    <w:rsid w:val="006F223C"/>
    <w:rsid w:val="006F2532"/>
    <w:rsid w:val="006F2B28"/>
    <w:rsid w:val="006F2E4A"/>
    <w:rsid w:val="006F332D"/>
    <w:rsid w:val="006F3815"/>
    <w:rsid w:val="006F4096"/>
    <w:rsid w:val="006F53A0"/>
    <w:rsid w:val="006F5A86"/>
    <w:rsid w:val="006F6E80"/>
    <w:rsid w:val="006F7C6F"/>
    <w:rsid w:val="006F7CE6"/>
    <w:rsid w:val="006F7E70"/>
    <w:rsid w:val="00700080"/>
    <w:rsid w:val="007001EF"/>
    <w:rsid w:val="00700AA2"/>
    <w:rsid w:val="00700B61"/>
    <w:rsid w:val="00700DD7"/>
    <w:rsid w:val="00702152"/>
    <w:rsid w:val="00703714"/>
    <w:rsid w:val="00704F5F"/>
    <w:rsid w:val="00705000"/>
    <w:rsid w:val="0070520C"/>
    <w:rsid w:val="00705381"/>
    <w:rsid w:val="00705964"/>
    <w:rsid w:val="00706D9E"/>
    <w:rsid w:val="00707075"/>
    <w:rsid w:val="00707277"/>
    <w:rsid w:val="0070758B"/>
    <w:rsid w:val="00710115"/>
    <w:rsid w:val="00710688"/>
    <w:rsid w:val="00710E91"/>
    <w:rsid w:val="00711EE0"/>
    <w:rsid w:val="00712B8B"/>
    <w:rsid w:val="00712CE6"/>
    <w:rsid w:val="00713FD6"/>
    <w:rsid w:val="007145BF"/>
    <w:rsid w:val="00714BF5"/>
    <w:rsid w:val="00714F71"/>
    <w:rsid w:val="007150E2"/>
    <w:rsid w:val="00715425"/>
    <w:rsid w:val="007156EB"/>
    <w:rsid w:val="007158C5"/>
    <w:rsid w:val="0071590A"/>
    <w:rsid w:val="00715AA6"/>
    <w:rsid w:val="0071699E"/>
    <w:rsid w:val="00716BE5"/>
    <w:rsid w:val="00717442"/>
    <w:rsid w:val="007177BE"/>
    <w:rsid w:val="00720006"/>
    <w:rsid w:val="00721E09"/>
    <w:rsid w:val="007223D0"/>
    <w:rsid w:val="00722950"/>
    <w:rsid w:val="0072365A"/>
    <w:rsid w:val="00723F71"/>
    <w:rsid w:val="00724CD9"/>
    <w:rsid w:val="00724FB1"/>
    <w:rsid w:val="0072520C"/>
    <w:rsid w:val="0072653C"/>
    <w:rsid w:val="00726881"/>
    <w:rsid w:val="00727328"/>
    <w:rsid w:val="00732F01"/>
    <w:rsid w:val="00733101"/>
    <w:rsid w:val="0073366C"/>
    <w:rsid w:val="00733A31"/>
    <w:rsid w:val="00734838"/>
    <w:rsid w:val="007348D8"/>
    <w:rsid w:val="00734FCA"/>
    <w:rsid w:val="00735BBE"/>
    <w:rsid w:val="00735C2E"/>
    <w:rsid w:val="00735F04"/>
    <w:rsid w:val="0073657D"/>
    <w:rsid w:val="0073694E"/>
    <w:rsid w:val="00736B0E"/>
    <w:rsid w:val="00737043"/>
    <w:rsid w:val="007370B0"/>
    <w:rsid w:val="0073730C"/>
    <w:rsid w:val="007410C2"/>
    <w:rsid w:val="00741AA9"/>
    <w:rsid w:val="00741DFC"/>
    <w:rsid w:val="00741F0F"/>
    <w:rsid w:val="00741F2B"/>
    <w:rsid w:val="00742474"/>
    <w:rsid w:val="00743127"/>
    <w:rsid w:val="0074379C"/>
    <w:rsid w:val="00743ADA"/>
    <w:rsid w:val="00743C75"/>
    <w:rsid w:val="00744021"/>
    <w:rsid w:val="00744DC0"/>
    <w:rsid w:val="00745761"/>
    <w:rsid w:val="00745EC6"/>
    <w:rsid w:val="00745EE1"/>
    <w:rsid w:val="00746127"/>
    <w:rsid w:val="007464F2"/>
    <w:rsid w:val="007465C8"/>
    <w:rsid w:val="00746955"/>
    <w:rsid w:val="0074737E"/>
    <w:rsid w:val="007474E4"/>
    <w:rsid w:val="00747F2F"/>
    <w:rsid w:val="00750703"/>
    <w:rsid w:val="00750DE9"/>
    <w:rsid w:val="007512B5"/>
    <w:rsid w:val="00751A26"/>
    <w:rsid w:val="007533E1"/>
    <w:rsid w:val="007538CC"/>
    <w:rsid w:val="00754765"/>
    <w:rsid w:val="007552CA"/>
    <w:rsid w:val="00755B0F"/>
    <w:rsid w:val="0075666F"/>
    <w:rsid w:val="00756CE1"/>
    <w:rsid w:val="00756F6F"/>
    <w:rsid w:val="0075714E"/>
    <w:rsid w:val="0076039B"/>
    <w:rsid w:val="00760AA2"/>
    <w:rsid w:val="00761130"/>
    <w:rsid w:val="007613D2"/>
    <w:rsid w:val="00761731"/>
    <w:rsid w:val="0076260F"/>
    <w:rsid w:val="00763015"/>
    <w:rsid w:val="0076368E"/>
    <w:rsid w:val="007638F5"/>
    <w:rsid w:val="007642D4"/>
    <w:rsid w:val="007647AC"/>
    <w:rsid w:val="00764F14"/>
    <w:rsid w:val="0076573D"/>
    <w:rsid w:val="007659C9"/>
    <w:rsid w:val="007659D5"/>
    <w:rsid w:val="00766688"/>
    <w:rsid w:val="00766945"/>
    <w:rsid w:val="00766C19"/>
    <w:rsid w:val="00767677"/>
    <w:rsid w:val="007677DF"/>
    <w:rsid w:val="00767C24"/>
    <w:rsid w:val="00767F46"/>
    <w:rsid w:val="007708E6"/>
    <w:rsid w:val="00770BA8"/>
    <w:rsid w:val="0077122F"/>
    <w:rsid w:val="0077177B"/>
    <w:rsid w:val="00771B36"/>
    <w:rsid w:val="00771D58"/>
    <w:rsid w:val="00773606"/>
    <w:rsid w:val="00773CE2"/>
    <w:rsid w:val="00773D5E"/>
    <w:rsid w:val="00774CA2"/>
    <w:rsid w:val="0077570D"/>
    <w:rsid w:val="00775D49"/>
    <w:rsid w:val="00776030"/>
    <w:rsid w:val="007762A2"/>
    <w:rsid w:val="0077638D"/>
    <w:rsid w:val="007773FD"/>
    <w:rsid w:val="007777B3"/>
    <w:rsid w:val="0078091F"/>
    <w:rsid w:val="0078137C"/>
    <w:rsid w:val="00781B1B"/>
    <w:rsid w:val="007826A8"/>
    <w:rsid w:val="00782BDC"/>
    <w:rsid w:val="007831CB"/>
    <w:rsid w:val="007836C3"/>
    <w:rsid w:val="0078397E"/>
    <w:rsid w:val="00784028"/>
    <w:rsid w:val="00784159"/>
    <w:rsid w:val="007847B0"/>
    <w:rsid w:val="00784DA6"/>
    <w:rsid w:val="00786076"/>
    <w:rsid w:val="007867AD"/>
    <w:rsid w:val="007868AD"/>
    <w:rsid w:val="00786BFC"/>
    <w:rsid w:val="0079040A"/>
    <w:rsid w:val="00790C3D"/>
    <w:rsid w:val="00791B73"/>
    <w:rsid w:val="00791DB8"/>
    <w:rsid w:val="007925DF"/>
    <w:rsid w:val="0079328B"/>
    <w:rsid w:val="00793C4F"/>
    <w:rsid w:val="007946B1"/>
    <w:rsid w:val="00795376"/>
    <w:rsid w:val="00795450"/>
    <w:rsid w:val="0079546A"/>
    <w:rsid w:val="00795869"/>
    <w:rsid w:val="007959A7"/>
    <w:rsid w:val="007A0E7C"/>
    <w:rsid w:val="007A20AE"/>
    <w:rsid w:val="007A259F"/>
    <w:rsid w:val="007A28DD"/>
    <w:rsid w:val="007A3FF3"/>
    <w:rsid w:val="007A4DEB"/>
    <w:rsid w:val="007A5D89"/>
    <w:rsid w:val="007A62C2"/>
    <w:rsid w:val="007A70FF"/>
    <w:rsid w:val="007A7646"/>
    <w:rsid w:val="007A76B3"/>
    <w:rsid w:val="007B0261"/>
    <w:rsid w:val="007B0BFF"/>
    <w:rsid w:val="007B0C5B"/>
    <w:rsid w:val="007B1A77"/>
    <w:rsid w:val="007B1D4C"/>
    <w:rsid w:val="007B2813"/>
    <w:rsid w:val="007B2F16"/>
    <w:rsid w:val="007B3431"/>
    <w:rsid w:val="007B3CD8"/>
    <w:rsid w:val="007B40D0"/>
    <w:rsid w:val="007B482B"/>
    <w:rsid w:val="007B4A8E"/>
    <w:rsid w:val="007B4E64"/>
    <w:rsid w:val="007B4ED2"/>
    <w:rsid w:val="007B6676"/>
    <w:rsid w:val="007B69FB"/>
    <w:rsid w:val="007B703F"/>
    <w:rsid w:val="007B7BDF"/>
    <w:rsid w:val="007C20EF"/>
    <w:rsid w:val="007C2546"/>
    <w:rsid w:val="007C2A87"/>
    <w:rsid w:val="007C2BF2"/>
    <w:rsid w:val="007C2F5E"/>
    <w:rsid w:val="007C32E7"/>
    <w:rsid w:val="007C3753"/>
    <w:rsid w:val="007C3816"/>
    <w:rsid w:val="007C3FE2"/>
    <w:rsid w:val="007C48E3"/>
    <w:rsid w:val="007C4B04"/>
    <w:rsid w:val="007C4DF5"/>
    <w:rsid w:val="007C521D"/>
    <w:rsid w:val="007C54CD"/>
    <w:rsid w:val="007C5857"/>
    <w:rsid w:val="007C63D8"/>
    <w:rsid w:val="007C64D2"/>
    <w:rsid w:val="007C67B8"/>
    <w:rsid w:val="007C6CE0"/>
    <w:rsid w:val="007C793F"/>
    <w:rsid w:val="007D05CE"/>
    <w:rsid w:val="007D0D97"/>
    <w:rsid w:val="007D0E8E"/>
    <w:rsid w:val="007D1E2D"/>
    <w:rsid w:val="007D25D2"/>
    <w:rsid w:val="007D293D"/>
    <w:rsid w:val="007D29E3"/>
    <w:rsid w:val="007D2DFE"/>
    <w:rsid w:val="007D2F0F"/>
    <w:rsid w:val="007D3105"/>
    <w:rsid w:val="007D4244"/>
    <w:rsid w:val="007D4FD6"/>
    <w:rsid w:val="007D5280"/>
    <w:rsid w:val="007D5BF8"/>
    <w:rsid w:val="007D5CD8"/>
    <w:rsid w:val="007D617F"/>
    <w:rsid w:val="007D6DCA"/>
    <w:rsid w:val="007D7D9F"/>
    <w:rsid w:val="007D7EE9"/>
    <w:rsid w:val="007E0B53"/>
    <w:rsid w:val="007E0BF0"/>
    <w:rsid w:val="007E0C9A"/>
    <w:rsid w:val="007E0F31"/>
    <w:rsid w:val="007E1C68"/>
    <w:rsid w:val="007E230E"/>
    <w:rsid w:val="007E2B82"/>
    <w:rsid w:val="007E2E45"/>
    <w:rsid w:val="007E3323"/>
    <w:rsid w:val="007E35C7"/>
    <w:rsid w:val="007E43FD"/>
    <w:rsid w:val="007F025B"/>
    <w:rsid w:val="007F02C7"/>
    <w:rsid w:val="007F199E"/>
    <w:rsid w:val="007F2258"/>
    <w:rsid w:val="007F23BC"/>
    <w:rsid w:val="007F5D5A"/>
    <w:rsid w:val="007F5ECB"/>
    <w:rsid w:val="007F5F93"/>
    <w:rsid w:val="007F63F2"/>
    <w:rsid w:val="007F7ADA"/>
    <w:rsid w:val="0080021D"/>
    <w:rsid w:val="008003F1"/>
    <w:rsid w:val="00801010"/>
    <w:rsid w:val="008025BA"/>
    <w:rsid w:val="00802AEF"/>
    <w:rsid w:val="00802C8E"/>
    <w:rsid w:val="00802F43"/>
    <w:rsid w:val="00803235"/>
    <w:rsid w:val="0080384F"/>
    <w:rsid w:val="00804BEB"/>
    <w:rsid w:val="00804F27"/>
    <w:rsid w:val="008058E1"/>
    <w:rsid w:val="00807254"/>
    <w:rsid w:val="008072EF"/>
    <w:rsid w:val="008101DE"/>
    <w:rsid w:val="00810DDA"/>
    <w:rsid w:val="00811E52"/>
    <w:rsid w:val="00811F5E"/>
    <w:rsid w:val="00812732"/>
    <w:rsid w:val="00813C10"/>
    <w:rsid w:val="00814EFD"/>
    <w:rsid w:val="008157F0"/>
    <w:rsid w:val="0081608C"/>
    <w:rsid w:val="00816536"/>
    <w:rsid w:val="0081756B"/>
    <w:rsid w:val="008179DF"/>
    <w:rsid w:val="00817C02"/>
    <w:rsid w:val="00820255"/>
    <w:rsid w:val="008205EB"/>
    <w:rsid w:val="00820CD0"/>
    <w:rsid w:val="00821505"/>
    <w:rsid w:val="008218D8"/>
    <w:rsid w:val="00822059"/>
    <w:rsid w:val="00823815"/>
    <w:rsid w:val="00823A0B"/>
    <w:rsid w:val="00823A23"/>
    <w:rsid w:val="008245C8"/>
    <w:rsid w:val="00825343"/>
    <w:rsid w:val="00825504"/>
    <w:rsid w:val="0082707C"/>
    <w:rsid w:val="00827150"/>
    <w:rsid w:val="00830A29"/>
    <w:rsid w:val="00830ABD"/>
    <w:rsid w:val="008310DA"/>
    <w:rsid w:val="008314AC"/>
    <w:rsid w:val="00831733"/>
    <w:rsid w:val="00831DB1"/>
    <w:rsid w:val="008322FE"/>
    <w:rsid w:val="00832459"/>
    <w:rsid w:val="008337E4"/>
    <w:rsid w:val="00833A6C"/>
    <w:rsid w:val="008342E2"/>
    <w:rsid w:val="008354DD"/>
    <w:rsid w:val="00835798"/>
    <w:rsid w:val="0083579D"/>
    <w:rsid w:val="008359EA"/>
    <w:rsid w:val="00835F39"/>
    <w:rsid w:val="00836ADF"/>
    <w:rsid w:val="00836EE5"/>
    <w:rsid w:val="00836F04"/>
    <w:rsid w:val="00837751"/>
    <w:rsid w:val="0083778D"/>
    <w:rsid w:val="00837FEC"/>
    <w:rsid w:val="00840521"/>
    <w:rsid w:val="0084068A"/>
    <w:rsid w:val="00840E74"/>
    <w:rsid w:val="00841EFB"/>
    <w:rsid w:val="008424AB"/>
    <w:rsid w:val="00843384"/>
    <w:rsid w:val="00843AA4"/>
    <w:rsid w:val="008445E5"/>
    <w:rsid w:val="00844A70"/>
    <w:rsid w:val="00844E50"/>
    <w:rsid w:val="00844FFF"/>
    <w:rsid w:val="00845D73"/>
    <w:rsid w:val="008465F3"/>
    <w:rsid w:val="00846721"/>
    <w:rsid w:val="0084679B"/>
    <w:rsid w:val="008469D6"/>
    <w:rsid w:val="00851D6C"/>
    <w:rsid w:val="00852781"/>
    <w:rsid w:val="00854264"/>
    <w:rsid w:val="008547B6"/>
    <w:rsid w:val="00854CE7"/>
    <w:rsid w:val="0085568B"/>
    <w:rsid w:val="00855CEA"/>
    <w:rsid w:val="00855D3E"/>
    <w:rsid w:val="008561F5"/>
    <w:rsid w:val="00856C7D"/>
    <w:rsid w:val="00856EBF"/>
    <w:rsid w:val="0085703D"/>
    <w:rsid w:val="00860ABB"/>
    <w:rsid w:val="008629E9"/>
    <w:rsid w:val="00862DE2"/>
    <w:rsid w:val="008653B3"/>
    <w:rsid w:val="0086580D"/>
    <w:rsid w:val="00865813"/>
    <w:rsid w:val="00865CA1"/>
    <w:rsid w:val="00865E09"/>
    <w:rsid w:val="00865F6A"/>
    <w:rsid w:val="0086601F"/>
    <w:rsid w:val="00866F09"/>
    <w:rsid w:val="00867233"/>
    <w:rsid w:val="0086787D"/>
    <w:rsid w:val="00867B8A"/>
    <w:rsid w:val="00867C20"/>
    <w:rsid w:val="00867CBB"/>
    <w:rsid w:val="008700CC"/>
    <w:rsid w:val="00871625"/>
    <w:rsid w:val="00872156"/>
    <w:rsid w:val="00872390"/>
    <w:rsid w:val="008726F1"/>
    <w:rsid w:val="00872D15"/>
    <w:rsid w:val="008730F5"/>
    <w:rsid w:val="008732E7"/>
    <w:rsid w:val="00873775"/>
    <w:rsid w:val="008737A5"/>
    <w:rsid w:val="00873DDB"/>
    <w:rsid w:val="00874BF3"/>
    <w:rsid w:val="00874C56"/>
    <w:rsid w:val="00875361"/>
    <w:rsid w:val="00877FEF"/>
    <w:rsid w:val="00880155"/>
    <w:rsid w:val="00880AF5"/>
    <w:rsid w:val="00880C0D"/>
    <w:rsid w:val="00880D7B"/>
    <w:rsid w:val="00880EC5"/>
    <w:rsid w:val="0088199F"/>
    <w:rsid w:val="00881AF8"/>
    <w:rsid w:val="0088237F"/>
    <w:rsid w:val="00882A5B"/>
    <w:rsid w:val="00883189"/>
    <w:rsid w:val="00883335"/>
    <w:rsid w:val="0088400D"/>
    <w:rsid w:val="008841E3"/>
    <w:rsid w:val="008842B5"/>
    <w:rsid w:val="00884476"/>
    <w:rsid w:val="008846B1"/>
    <w:rsid w:val="00884812"/>
    <w:rsid w:val="00885DE3"/>
    <w:rsid w:val="008860C3"/>
    <w:rsid w:val="0088614C"/>
    <w:rsid w:val="00886C4A"/>
    <w:rsid w:val="00886D06"/>
    <w:rsid w:val="008871F0"/>
    <w:rsid w:val="008873FA"/>
    <w:rsid w:val="008874C0"/>
    <w:rsid w:val="00887769"/>
    <w:rsid w:val="00887B5A"/>
    <w:rsid w:val="00891112"/>
    <w:rsid w:val="00891777"/>
    <w:rsid w:val="00892B95"/>
    <w:rsid w:val="00894667"/>
    <w:rsid w:val="00894FB2"/>
    <w:rsid w:val="008951DC"/>
    <w:rsid w:val="008952E1"/>
    <w:rsid w:val="00895ABE"/>
    <w:rsid w:val="00895C02"/>
    <w:rsid w:val="008960FF"/>
    <w:rsid w:val="008962C9"/>
    <w:rsid w:val="0089641E"/>
    <w:rsid w:val="00896769"/>
    <w:rsid w:val="00896AD0"/>
    <w:rsid w:val="00896DDC"/>
    <w:rsid w:val="00897133"/>
    <w:rsid w:val="008973DF"/>
    <w:rsid w:val="008976A4"/>
    <w:rsid w:val="008976D0"/>
    <w:rsid w:val="00897FA4"/>
    <w:rsid w:val="008A0130"/>
    <w:rsid w:val="008A05B9"/>
    <w:rsid w:val="008A151B"/>
    <w:rsid w:val="008A2AE7"/>
    <w:rsid w:val="008A351B"/>
    <w:rsid w:val="008A3DC6"/>
    <w:rsid w:val="008A4397"/>
    <w:rsid w:val="008A4B21"/>
    <w:rsid w:val="008A4B97"/>
    <w:rsid w:val="008A4DA1"/>
    <w:rsid w:val="008A51DF"/>
    <w:rsid w:val="008A5841"/>
    <w:rsid w:val="008A6A62"/>
    <w:rsid w:val="008B027E"/>
    <w:rsid w:val="008B1A7B"/>
    <w:rsid w:val="008B2112"/>
    <w:rsid w:val="008B238E"/>
    <w:rsid w:val="008B46FD"/>
    <w:rsid w:val="008B4ACC"/>
    <w:rsid w:val="008B67F4"/>
    <w:rsid w:val="008C0581"/>
    <w:rsid w:val="008C10F9"/>
    <w:rsid w:val="008C15FF"/>
    <w:rsid w:val="008C1613"/>
    <w:rsid w:val="008C1D0C"/>
    <w:rsid w:val="008C1FCD"/>
    <w:rsid w:val="008C27AC"/>
    <w:rsid w:val="008C2926"/>
    <w:rsid w:val="008C29EA"/>
    <w:rsid w:val="008C3B03"/>
    <w:rsid w:val="008C5BAE"/>
    <w:rsid w:val="008C7185"/>
    <w:rsid w:val="008C7A6E"/>
    <w:rsid w:val="008C7D86"/>
    <w:rsid w:val="008D1468"/>
    <w:rsid w:val="008D1953"/>
    <w:rsid w:val="008D1A66"/>
    <w:rsid w:val="008D2720"/>
    <w:rsid w:val="008D3114"/>
    <w:rsid w:val="008D394C"/>
    <w:rsid w:val="008D48A6"/>
    <w:rsid w:val="008D4CF5"/>
    <w:rsid w:val="008D50B1"/>
    <w:rsid w:val="008D53A2"/>
    <w:rsid w:val="008D6039"/>
    <w:rsid w:val="008D650D"/>
    <w:rsid w:val="008D65C7"/>
    <w:rsid w:val="008D6A6D"/>
    <w:rsid w:val="008D755E"/>
    <w:rsid w:val="008D7696"/>
    <w:rsid w:val="008D77E2"/>
    <w:rsid w:val="008D7FA1"/>
    <w:rsid w:val="008E07E2"/>
    <w:rsid w:val="008E0B9D"/>
    <w:rsid w:val="008E0CEC"/>
    <w:rsid w:val="008E143F"/>
    <w:rsid w:val="008E1FD1"/>
    <w:rsid w:val="008E27F4"/>
    <w:rsid w:val="008E2DCA"/>
    <w:rsid w:val="008E2E62"/>
    <w:rsid w:val="008E3253"/>
    <w:rsid w:val="008E3CD1"/>
    <w:rsid w:val="008E5174"/>
    <w:rsid w:val="008E53F9"/>
    <w:rsid w:val="008E557E"/>
    <w:rsid w:val="008E67E0"/>
    <w:rsid w:val="008E6862"/>
    <w:rsid w:val="008E7653"/>
    <w:rsid w:val="008E7B6C"/>
    <w:rsid w:val="008E7EC5"/>
    <w:rsid w:val="008E7EE9"/>
    <w:rsid w:val="008F020F"/>
    <w:rsid w:val="008F1164"/>
    <w:rsid w:val="008F1352"/>
    <w:rsid w:val="008F25D6"/>
    <w:rsid w:val="008F2B37"/>
    <w:rsid w:val="008F3189"/>
    <w:rsid w:val="008F3249"/>
    <w:rsid w:val="008F33D9"/>
    <w:rsid w:val="008F3487"/>
    <w:rsid w:val="008F3661"/>
    <w:rsid w:val="008F3692"/>
    <w:rsid w:val="008F3DF2"/>
    <w:rsid w:val="008F6CC3"/>
    <w:rsid w:val="0090019D"/>
    <w:rsid w:val="009006B0"/>
    <w:rsid w:val="00901A76"/>
    <w:rsid w:val="00901D5D"/>
    <w:rsid w:val="00902A17"/>
    <w:rsid w:val="00902AD5"/>
    <w:rsid w:val="00902DEB"/>
    <w:rsid w:val="00902E6E"/>
    <w:rsid w:val="00902F6A"/>
    <w:rsid w:val="00903256"/>
    <w:rsid w:val="009037AA"/>
    <w:rsid w:val="00903A7B"/>
    <w:rsid w:val="009042B7"/>
    <w:rsid w:val="00904701"/>
    <w:rsid w:val="00904B4D"/>
    <w:rsid w:val="00905434"/>
    <w:rsid w:val="0090630A"/>
    <w:rsid w:val="009063A2"/>
    <w:rsid w:val="00907759"/>
    <w:rsid w:val="00907E1D"/>
    <w:rsid w:val="00907E7C"/>
    <w:rsid w:val="0091015A"/>
    <w:rsid w:val="00912CF2"/>
    <w:rsid w:val="00912D64"/>
    <w:rsid w:val="0091492B"/>
    <w:rsid w:val="00914D08"/>
    <w:rsid w:val="00914D5C"/>
    <w:rsid w:val="009167B8"/>
    <w:rsid w:val="00917039"/>
    <w:rsid w:val="009171CE"/>
    <w:rsid w:val="00917508"/>
    <w:rsid w:val="00917FD7"/>
    <w:rsid w:val="009202BF"/>
    <w:rsid w:val="00920841"/>
    <w:rsid w:val="00920C56"/>
    <w:rsid w:val="00921148"/>
    <w:rsid w:val="009213BD"/>
    <w:rsid w:val="00921A91"/>
    <w:rsid w:val="00921C52"/>
    <w:rsid w:val="00922153"/>
    <w:rsid w:val="0092242F"/>
    <w:rsid w:val="00922AD8"/>
    <w:rsid w:val="009236AC"/>
    <w:rsid w:val="00923DEE"/>
    <w:rsid w:val="00924461"/>
    <w:rsid w:val="00925AFD"/>
    <w:rsid w:val="00926340"/>
    <w:rsid w:val="0092684D"/>
    <w:rsid w:val="00927007"/>
    <w:rsid w:val="009270A5"/>
    <w:rsid w:val="009270AB"/>
    <w:rsid w:val="00927227"/>
    <w:rsid w:val="00930D95"/>
    <w:rsid w:val="00930D9F"/>
    <w:rsid w:val="009322E8"/>
    <w:rsid w:val="00932347"/>
    <w:rsid w:val="00932597"/>
    <w:rsid w:val="00932B2F"/>
    <w:rsid w:val="00932BFA"/>
    <w:rsid w:val="00932EB1"/>
    <w:rsid w:val="00933137"/>
    <w:rsid w:val="00933317"/>
    <w:rsid w:val="00933957"/>
    <w:rsid w:val="009353A4"/>
    <w:rsid w:val="00935B3B"/>
    <w:rsid w:val="00935EC9"/>
    <w:rsid w:val="00936D2E"/>
    <w:rsid w:val="00937B1E"/>
    <w:rsid w:val="00937C0C"/>
    <w:rsid w:val="009402D2"/>
    <w:rsid w:val="0094047E"/>
    <w:rsid w:val="00942E21"/>
    <w:rsid w:val="00942F2A"/>
    <w:rsid w:val="0094379A"/>
    <w:rsid w:val="00943A5E"/>
    <w:rsid w:val="00943B17"/>
    <w:rsid w:val="00943FB5"/>
    <w:rsid w:val="00944C7E"/>
    <w:rsid w:val="00944C9E"/>
    <w:rsid w:val="00944F5A"/>
    <w:rsid w:val="00945ABF"/>
    <w:rsid w:val="00945EDA"/>
    <w:rsid w:val="00946D71"/>
    <w:rsid w:val="00947249"/>
    <w:rsid w:val="009478D8"/>
    <w:rsid w:val="00950671"/>
    <w:rsid w:val="00952082"/>
    <w:rsid w:val="00952B0D"/>
    <w:rsid w:val="00952D2C"/>
    <w:rsid w:val="0095304C"/>
    <w:rsid w:val="00953192"/>
    <w:rsid w:val="009542C3"/>
    <w:rsid w:val="00954D3B"/>
    <w:rsid w:val="0095516F"/>
    <w:rsid w:val="00955D09"/>
    <w:rsid w:val="0095641C"/>
    <w:rsid w:val="00956A2B"/>
    <w:rsid w:val="00956C59"/>
    <w:rsid w:val="009575DF"/>
    <w:rsid w:val="0095766B"/>
    <w:rsid w:val="00957A68"/>
    <w:rsid w:val="00957FF7"/>
    <w:rsid w:val="009615C0"/>
    <w:rsid w:val="00962799"/>
    <w:rsid w:val="009635A5"/>
    <w:rsid w:val="0096406D"/>
    <w:rsid w:val="00964744"/>
    <w:rsid w:val="00964D0D"/>
    <w:rsid w:val="009654BE"/>
    <w:rsid w:val="009658DD"/>
    <w:rsid w:val="009659E0"/>
    <w:rsid w:val="00965B1B"/>
    <w:rsid w:val="00965E91"/>
    <w:rsid w:val="00966153"/>
    <w:rsid w:val="00966DBD"/>
    <w:rsid w:val="009703F5"/>
    <w:rsid w:val="009709BE"/>
    <w:rsid w:val="00970EEB"/>
    <w:rsid w:val="00971448"/>
    <w:rsid w:val="009722F2"/>
    <w:rsid w:val="00972F2C"/>
    <w:rsid w:val="00973356"/>
    <w:rsid w:val="00973526"/>
    <w:rsid w:val="00973AC4"/>
    <w:rsid w:val="009744A8"/>
    <w:rsid w:val="00974FEE"/>
    <w:rsid w:val="00975607"/>
    <w:rsid w:val="00975E54"/>
    <w:rsid w:val="00976ED8"/>
    <w:rsid w:val="009775E5"/>
    <w:rsid w:val="00977BBE"/>
    <w:rsid w:val="00980A0F"/>
    <w:rsid w:val="00980D0B"/>
    <w:rsid w:val="0098178F"/>
    <w:rsid w:val="00981C1D"/>
    <w:rsid w:val="00982856"/>
    <w:rsid w:val="009835F5"/>
    <w:rsid w:val="009836BD"/>
    <w:rsid w:val="009837CD"/>
    <w:rsid w:val="00983BAB"/>
    <w:rsid w:val="00983D67"/>
    <w:rsid w:val="00983DF7"/>
    <w:rsid w:val="009844A9"/>
    <w:rsid w:val="009849E1"/>
    <w:rsid w:val="00984C40"/>
    <w:rsid w:val="00984FC8"/>
    <w:rsid w:val="009853CC"/>
    <w:rsid w:val="00985573"/>
    <w:rsid w:val="009858B2"/>
    <w:rsid w:val="00985E6C"/>
    <w:rsid w:val="009879B6"/>
    <w:rsid w:val="00987D01"/>
    <w:rsid w:val="00990271"/>
    <w:rsid w:val="009905E1"/>
    <w:rsid w:val="0099163F"/>
    <w:rsid w:val="00991E4E"/>
    <w:rsid w:val="0099236E"/>
    <w:rsid w:val="009923A5"/>
    <w:rsid w:val="0099261F"/>
    <w:rsid w:val="009926C0"/>
    <w:rsid w:val="00992912"/>
    <w:rsid w:val="00993DA0"/>
    <w:rsid w:val="009946FD"/>
    <w:rsid w:val="00994F38"/>
    <w:rsid w:val="00995213"/>
    <w:rsid w:val="0099555E"/>
    <w:rsid w:val="0099632B"/>
    <w:rsid w:val="0099648F"/>
    <w:rsid w:val="00997437"/>
    <w:rsid w:val="0099759A"/>
    <w:rsid w:val="009A084C"/>
    <w:rsid w:val="009A0F89"/>
    <w:rsid w:val="009A0FC7"/>
    <w:rsid w:val="009A210C"/>
    <w:rsid w:val="009A2732"/>
    <w:rsid w:val="009A2B1C"/>
    <w:rsid w:val="009A2C02"/>
    <w:rsid w:val="009A31E1"/>
    <w:rsid w:val="009A345A"/>
    <w:rsid w:val="009A41FE"/>
    <w:rsid w:val="009A48E4"/>
    <w:rsid w:val="009A499A"/>
    <w:rsid w:val="009A4EA3"/>
    <w:rsid w:val="009A5841"/>
    <w:rsid w:val="009A6523"/>
    <w:rsid w:val="009A7091"/>
    <w:rsid w:val="009A73FC"/>
    <w:rsid w:val="009B0FE8"/>
    <w:rsid w:val="009B10CB"/>
    <w:rsid w:val="009B270F"/>
    <w:rsid w:val="009B2D65"/>
    <w:rsid w:val="009B37A7"/>
    <w:rsid w:val="009B3926"/>
    <w:rsid w:val="009B4E6F"/>
    <w:rsid w:val="009B5CD5"/>
    <w:rsid w:val="009B6AED"/>
    <w:rsid w:val="009B7392"/>
    <w:rsid w:val="009B7429"/>
    <w:rsid w:val="009C03E3"/>
    <w:rsid w:val="009C1554"/>
    <w:rsid w:val="009C2437"/>
    <w:rsid w:val="009C248C"/>
    <w:rsid w:val="009C25D0"/>
    <w:rsid w:val="009C25DF"/>
    <w:rsid w:val="009C2E75"/>
    <w:rsid w:val="009C3196"/>
    <w:rsid w:val="009C446E"/>
    <w:rsid w:val="009C4ADA"/>
    <w:rsid w:val="009C636B"/>
    <w:rsid w:val="009C6555"/>
    <w:rsid w:val="009C7202"/>
    <w:rsid w:val="009C76CD"/>
    <w:rsid w:val="009C7B04"/>
    <w:rsid w:val="009C7B2B"/>
    <w:rsid w:val="009D031D"/>
    <w:rsid w:val="009D0CEA"/>
    <w:rsid w:val="009D16FB"/>
    <w:rsid w:val="009D270B"/>
    <w:rsid w:val="009D2A5F"/>
    <w:rsid w:val="009D2ED4"/>
    <w:rsid w:val="009D31D7"/>
    <w:rsid w:val="009D32E2"/>
    <w:rsid w:val="009D367F"/>
    <w:rsid w:val="009D39C7"/>
    <w:rsid w:val="009D47FB"/>
    <w:rsid w:val="009D60EA"/>
    <w:rsid w:val="009D677F"/>
    <w:rsid w:val="009D7A69"/>
    <w:rsid w:val="009D7CB7"/>
    <w:rsid w:val="009E21DB"/>
    <w:rsid w:val="009E23CD"/>
    <w:rsid w:val="009E23D6"/>
    <w:rsid w:val="009E2D7E"/>
    <w:rsid w:val="009E3043"/>
    <w:rsid w:val="009E3289"/>
    <w:rsid w:val="009E3311"/>
    <w:rsid w:val="009E3567"/>
    <w:rsid w:val="009E4217"/>
    <w:rsid w:val="009E4569"/>
    <w:rsid w:val="009E4848"/>
    <w:rsid w:val="009E4913"/>
    <w:rsid w:val="009E60FE"/>
    <w:rsid w:val="009E681D"/>
    <w:rsid w:val="009E68AC"/>
    <w:rsid w:val="009E6DE4"/>
    <w:rsid w:val="009E720F"/>
    <w:rsid w:val="009E7B0A"/>
    <w:rsid w:val="009E7C58"/>
    <w:rsid w:val="009E7F54"/>
    <w:rsid w:val="009F0803"/>
    <w:rsid w:val="009F0C81"/>
    <w:rsid w:val="009F2839"/>
    <w:rsid w:val="009F289F"/>
    <w:rsid w:val="009F3757"/>
    <w:rsid w:val="009F46A9"/>
    <w:rsid w:val="009F4863"/>
    <w:rsid w:val="009F4D66"/>
    <w:rsid w:val="009F52E4"/>
    <w:rsid w:val="009F6507"/>
    <w:rsid w:val="009F6A13"/>
    <w:rsid w:val="009F78C5"/>
    <w:rsid w:val="00A00322"/>
    <w:rsid w:val="00A0035A"/>
    <w:rsid w:val="00A0132E"/>
    <w:rsid w:val="00A0162C"/>
    <w:rsid w:val="00A019A3"/>
    <w:rsid w:val="00A022EE"/>
    <w:rsid w:val="00A0285A"/>
    <w:rsid w:val="00A04B6B"/>
    <w:rsid w:val="00A04FE3"/>
    <w:rsid w:val="00A062A3"/>
    <w:rsid w:val="00A06EDA"/>
    <w:rsid w:val="00A102C9"/>
    <w:rsid w:val="00A111E4"/>
    <w:rsid w:val="00A11612"/>
    <w:rsid w:val="00A11B2C"/>
    <w:rsid w:val="00A1293D"/>
    <w:rsid w:val="00A1395B"/>
    <w:rsid w:val="00A13DC5"/>
    <w:rsid w:val="00A14877"/>
    <w:rsid w:val="00A14D7F"/>
    <w:rsid w:val="00A14FAC"/>
    <w:rsid w:val="00A16299"/>
    <w:rsid w:val="00A164C1"/>
    <w:rsid w:val="00A172F8"/>
    <w:rsid w:val="00A175FF"/>
    <w:rsid w:val="00A1760B"/>
    <w:rsid w:val="00A2061C"/>
    <w:rsid w:val="00A21B14"/>
    <w:rsid w:val="00A2296C"/>
    <w:rsid w:val="00A22E10"/>
    <w:rsid w:val="00A2311E"/>
    <w:rsid w:val="00A235F2"/>
    <w:rsid w:val="00A24D1E"/>
    <w:rsid w:val="00A24ED5"/>
    <w:rsid w:val="00A250B1"/>
    <w:rsid w:val="00A256A2"/>
    <w:rsid w:val="00A25FE5"/>
    <w:rsid w:val="00A2703D"/>
    <w:rsid w:val="00A27478"/>
    <w:rsid w:val="00A31D56"/>
    <w:rsid w:val="00A32615"/>
    <w:rsid w:val="00A32CA9"/>
    <w:rsid w:val="00A32FE2"/>
    <w:rsid w:val="00A335DD"/>
    <w:rsid w:val="00A33D97"/>
    <w:rsid w:val="00A34E4E"/>
    <w:rsid w:val="00A35729"/>
    <w:rsid w:val="00A35C30"/>
    <w:rsid w:val="00A35D9B"/>
    <w:rsid w:val="00A36559"/>
    <w:rsid w:val="00A36B66"/>
    <w:rsid w:val="00A36BB9"/>
    <w:rsid w:val="00A36C9C"/>
    <w:rsid w:val="00A40290"/>
    <w:rsid w:val="00A40487"/>
    <w:rsid w:val="00A4070F"/>
    <w:rsid w:val="00A40CF5"/>
    <w:rsid w:val="00A417D4"/>
    <w:rsid w:val="00A41BE6"/>
    <w:rsid w:val="00A41F30"/>
    <w:rsid w:val="00A438D2"/>
    <w:rsid w:val="00A43BF8"/>
    <w:rsid w:val="00A43E34"/>
    <w:rsid w:val="00A44009"/>
    <w:rsid w:val="00A454B5"/>
    <w:rsid w:val="00A45776"/>
    <w:rsid w:val="00A45BEF"/>
    <w:rsid w:val="00A462E7"/>
    <w:rsid w:val="00A4674F"/>
    <w:rsid w:val="00A51124"/>
    <w:rsid w:val="00A5132C"/>
    <w:rsid w:val="00A513B0"/>
    <w:rsid w:val="00A5150C"/>
    <w:rsid w:val="00A515B8"/>
    <w:rsid w:val="00A520FD"/>
    <w:rsid w:val="00A52222"/>
    <w:rsid w:val="00A52993"/>
    <w:rsid w:val="00A52BCB"/>
    <w:rsid w:val="00A52D21"/>
    <w:rsid w:val="00A530D6"/>
    <w:rsid w:val="00A5463E"/>
    <w:rsid w:val="00A549F5"/>
    <w:rsid w:val="00A54EED"/>
    <w:rsid w:val="00A5520A"/>
    <w:rsid w:val="00A557DA"/>
    <w:rsid w:val="00A55863"/>
    <w:rsid w:val="00A560C0"/>
    <w:rsid w:val="00A5695D"/>
    <w:rsid w:val="00A56A98"/>
    <w:rsid w:val="00A56BC5"/>
    <w:rsid w:val="00A56D72"/>
    <w:rsid w:val="00A5744D"/>
    <w:rsid w:val="00A57ABA"/>
    <w:rsid w:val="00A609FE"/>
    <w:rsid w:val="00A60AC9"/>
    <w:rsid w:val="00A611C0"/>
    <w:rsid w:val="00A612AF"/>
    <w:rsid w:val="00A615D6"/>
    <w:rsid w:val="00A616C1"/>
    <w:rsid w:val="00A61924"/>
    <w:rsid w:val="00A62459"/>
    <w:rsid w:val="00A62604"/>
    <w:rsid w:val="00A6287E"/>
    <w:rsid w:val="00A62D59"/>
    <w:rsid w:val="00A632D2"/>
    <w:rsid w:val="00A632F0"/>
    <w:rsid w:val="00A63A65"/>
    <w:rsid w:val="00A646A7"/>
    <w:rsid w:val="00A64D0B"/>
    <w:rsid w:val="00A6538F"/>
    <w:rsid w:val="00A71ABF"/>
    <w:rsid w:val="00A71B6D"/>
    <w:rsid w:val="00A72D57"/>
    <w:rsid w:val="00A73CF0"/>
    <w:rsid w:val="00A73DEB"/>
    <w:rsid w:val="00A74309"/>
    <w:rsid w:val="00A74532"/>
    <w:rsid w:val="00A74736"/>
    <w:rsid w:val="00A74A31"/>
    <w:rsid w:val="00A754D2"/>
    <w:rsid w:val="00A765CA"/>
    <w:rsid w:val="00A771DD"/>
    <w:rsid w:val="00A77540"/>
    <w:rsid w:val="00A777B2"/>
    <w:rsid w:val="00A77FB2"/>
    <w:rsid w:val="00A801AC"/>
    <w:rsid w:val="00A8025E"/>
    <w:rsid w:val="00A81235"/>
    <w:rsid w:val="00A81320"/>
    <w:rsid w:val="00A826A7"/>
    <w:rsid w:val="00A82A8B"/>
    <w:rsid w:val="00A82BAF"/>
    <w:rsid w:val="00A82F7D"/>
    <w:rsid w:val="00A83096"/>
    <w:rsid w:val="00A833C8"/>
    <w:rsid w:val="00A835F1"/>
    <w:rsid w:val="00A83EAA"/>
    <w:rsid w:val="00A84215"/>
    <w:rsid w:val="00A84A57"/>
    <w:rsid w:val="00A8514C"/>
    <w:rsid w:val="00A859A8"/>
    <w:rsid w:val="00A85E80"/>
    <w:rsid w:val="00A85FF0"/>
    <w:rsid w:val="00A862C2"/>
    <w:rsid w:val="00A86CDE"/>
    <w:rsid w:val="00A8705A"/>
    <w:rsid w:val="00A8753E"/>
    <w:rsid w:val="00A901FE"/>
    <w:rsid w:val="00A904BD"/>
    <w:rsid w:val="00A911F3"/>
    <w:rsid w:val="00A91981"/>
    <w:rsid w:val="00A922E3"/>
    <w:rsid w:val="00A92F51"/>
    <w:rsid w:val="00A93081"/>
    <w:rsid w:val="00A930C9"/>
    <w:rsid w:val="00A9398A"/>
    <w:rsid w:val="00A93E2E"/>
    <w:rsid w:val="00A93FE5"/>
    <w:rsid w:val="00A9418D"/>
    <w:rsid w:val="00A94585"/>
    <w:rsid w:val="00A94755"/>
    <w:rsid w:val="00A94775"/>
    <w:rsid w:val="00A95079"/>
    <w:rsid w:val="00A9569F"/>
    <w:rsid w:val="00A96960"/>
    <w:rsid w:val="00A97E5B"/>
    <w:rsid w:val="00AA144E"/>
    <w:rsid w:val="00AA14D5"/>
    <w:rsid w:val="00AA2820"/>
    <w:rsid w:val="00AA2B9A"/>
    <w:rsid w:val="00AA40B3"/>
    <w:rsid w:val="00AA4324"/>
    <w:rsid w:val="00AA46AE"/>
    <w:rsid w:val="00AA51AD"/>
    <w:rsid w:val="00AA7503"/>
    <w:rsid w:val="00AB05BC"/>
    <w:rsid w:val="00AB07E9"/>
    <w:rsid w:val="00AB0997"/>
    <w:rsid w:val="00AB0C7E"/>
    <w:rsid w:val="00AB106E"/>
    <w:rsid w:val="00AB12FE"/>
    <w:rsid w:val="00AB1365"/>
    <w:rsid w:val="00AB243A"/>
    <w:rsid w:val="00AB2994"/>
    <w:rsid w:val="00AB3150"/>
    <w:rsid w:val="00AB357C"/>
    <w:rsid w:val="00AB3820"/>
    <w:rsid w:val="00AB4B25"/>
    <w:rsid w:val="00AB552E"/>
    <w:rsid w:val="00AB5A87"/>
    <w:rsid w:val="00AB61D0"/>
    <w:rsid w:val="00AB66C7"/>
    <w:rsid w:val="00AB6A2D"/>
    <w:rsid w:val="00AB7D76"/>
    <w:rsid w:val="00AC0749"/>
    <w:rsid w:val="00AC14A9"/>
    <w:rsid w:val="00AC1929"/>
    <w:rsid w:val="00AC2222"/>
    <w:rsid w:val="00AC25F8"/>
    <w:rsid w:val="00AC25FF"/>
    <w:rsid w:val="00AC2CF9"/>
    <w:rsid w:val="00AC2CFA"/>
    <w:rsid w:val="00AC346D"/>
    <w:rsid w:val="00AC43F6"/>
    <w:rsid w:val="00AC5A9C"/>
    <w:rsid w:val="00AC6625"/>
    <w:rsid w:val="00AC7908"/>
    <w:rsid w:val="00AC7C9C"/>
    <w:rsid w:val="00AC7FA3"/>
    <w:rsid w:val="00AD0E79"/>
    <w:rsid w:val="00AD11D3"/>
    <w:rsid w:val="00AD19A5"/>
    <w:rsid w:val="00AD1B71"/>
    <w:rsid w:val="00AD1D9B"/>
    <w:rsid w:val="00AD2362"/>
    <w:rsid w:val="00AD25A3"/>
    <w:rsid w:val="00AD2709"/>
    <w:rsid w:val="00AD29A7"/>
    <w:rsid w:val="00AD2B7F"/>
    <w:rsid w:val="00AD2D7B"/>
    <w:rsid w:val="00AD2FEC"/>
    <w:rsid w:val="00AD34FD"/>
    <w:rsid w:val="00AD3A3B"/>
    <w:rsid w:val="00AD441B"/>
    <w:rsid w:val="00AD48A9"/>
    <w:rsid w:val="00AD5A25"/>
    <w:rsid w:val="00AD61EA"/>
    <w:rsid w:val="00AD6378"/>
    <w:rsid w:val="00AD6DB2"/>
    <w:rsid w:val="00AD7283"/>
    <w:rsid w:val="00AD73FE"/>
    <w:rsid w:val="00AD7E75"/>
    <w:rsid w:val="00AD7E80"/>
    <w:rsid w:val="00AE06A0"/>
    <w:rsid w:val="00AE230D"/>
    <w:rsid w:val="00AE2434"/>
    <w:rsid w:val="00AE2D57"/>
    <w:rsid w:val="00AE414F"/>
    <w:rsid w:val="00AE4255"/>
    <w:rsid w:val="00AE5061"/>
    <w:rsid w:val="00AE5C7E"/>
    <w:rsid w:val="00AE6990"/>
    <w:rsid w:val="00AE7229"/>
    <w:rsid w:val="00AE76FD"/>
    <w:rsid w:val="00AE7F5C"/>
    <w:rsid w:val="00AF06EB"/>
    <w:rsid w:val="00AF0BA3"/>
    <w:rsid w:val="00AF0EF5"/>
    <w:rsid w:val="00AF1B0B"/>
    <w:rsid w:val="00AF1C45"/>
    <w:rsid w:val="00AF20D0"/>
    <w:rsid w:val="00AF231B"/>
    <w:rsid w:val="00AF2361"/>
    <w:rsid w:val="00AF29E9"/>
    <w:rsid w:val="00AF2AC0"/>
    <w:rsid w:val="00AF2E36"/>
    <w:rsid w:val="00AF4096"/>
    <w:rsid w:val="00AF4517"/>
    <w:rsid w:val="00AF5117"/>
    <w:rsid w:val="00AF5DAA"/>
    <w:rsid w:val="00AF5E8D"/>
    <w:rsid w:val="00AF6443"/>
    <w:rsid w:val="00AF6AF9"/>
    <w:rsid w:val="00AF716D"/>
    <w:rsid w:val="00AF7540"/>
    <w:rsid w:val="00B00469"/>
    <w:rsid w:val="00B009E9"/>
    <w:rsid w:val="00B00D63"/>
    <w:rsid w:val="00B00DA5"/>
    <w:rsid w:val="00B017A5"/>
    <w:rsid w:val="00B026AE"/>
    <w:rsid w:val="00B02E9A"/>
    <w:rsid w:val="00B037B6"/>
    <w:rsid w:val="00B03A00"/>
    <w:rsid w:val="00B043A1"/>
    <w:rsid w:val="00B04507"/>
    <w:rsid w:val="00B049A1"/>
    <w:rsid w:val="00B04E3B"/>
    <w:rsid w:val="00B06522"/>
    <w:rsid w:val="00B069EA"/>
    <w:rsid w:val="00B074C3"/>
    <w:rsid w:val="00B100B7"/>
    <w:rsid w:val="00B10613"/>
    <w:rsid w:val="00B10C90"/>
    <w:rsid w:val="00B10F23"/>
    <w:rsid w:val="00B10F4B"/>
    <w:rsid w:val="00B1104D"/>
    <w:rsid w:val="00B11A8E"/>
    <w:rsid w:val="00B12451"/>
    <w:rsid w:val="00B12726"/>
    <w:rsid w:val="00B127F0"/>
    <w:rsid w:val="00B128B7"/>
    <w:rsid w:val="00B13626"/>
    <w:rsid w:val="00B13A63"/>
    <w:rsid w:val="00B1424C"/>
    <w:rsid w:val="00B14A6F"/>
    <w:rsid w:val="00B15E24"/>
    <w:rsid w:val="00B1743E"/>
    <w:rsid w:val="00B1760D"/>
    <w:rsid w:val="00B20E1B"/>
    <w:rsid w:val="00B21119"/>
    <w:rsid w:val="00B21148"/>
    <w:rsid w:val="00B213CB"/>
    <w:rsid w:val="00B2158B"/>
    <w:rsid w:val="00B23708"/>
    <w:rsid w:val="00B23957"/>
    <w:rsid w:val="00B23C0B"/>
    <w:rsid w:val="00B23D8B"/>
    <w:rsid w:val="00B2419B"/>
    <w:rsid w:val="00B241A4"/>
    <w:rsid w:val="00B24812"/>
    <w:rsid w:val="00B253C3"/>
    <w:rsid w:val="00B257FC"/>
    <w:rsid w:val="00B2596D"/>
    <w:rsid w:val="00B26299"/>
    <w:rsid w:val="00B27FD9"/>
    <w:rsid w:val="00B3009D"/>
    <w:rsid w:val="00B31C36"/>
    <w:rsid w:val="00B31F4F"/>
    <w:rsid w:val="00B320F0"/>
    <w:rsid w:val="00B321A5"/>
    <w:rsid w:val="00B32744"/>
    <w:rsid w:val="00B327B7"/>
    <w:rsid w:val="00B32949"/>
    <w:rsid w:val="00B339B6"/>
    <w:rsid w:val="00B33F2D"/>
    <w:rsid w:val="00B362B7"/>
    <w:rsid w:val="00B36B45"/>
    <w:rsid w:val="00B36B9B"/>
    <w:rsid w:val="00B36F1D"/>
    <w:rsid w:val="00B36FC9"/>
    <w:rsid w:val="00B37D45"/>
    <w:rsid w:val="00B37F07"/>
    <w:rsid w:val="00B40818"/>
    <w:rsid w:val="00B41B7E"/>
    <w:rsid w:val="00B41CE2"/>
    <w:rsid w:val="00B41E2B"/>
    <w:rsid w:val="00B41E47"/>
    <w:rsid w:val="00B42E3A"/>
    <w:rsid w:val="00B442AE"/>
    <w:rsid w:val="00B44B5D"/>
    <w:rsid w:val="00B44E5B"/>
    <w:rsid w:val="00B45526"/>
    <w:rsid w:val="00B47357"/>
    <w:rsid w:val="00B47479"/>
    <w:rsid w:val="00B51D60"/>
    <w:rsid w:val="00B5278C"/>
    <w:rsid w:val="00B5375A"/>
    <w:rsid w:val="00B540FA"/>
    <w:rsid w:val="00B5422F"/>
    <w:rsid w:val="00B55B6E"/>
    <w:rsid w:val="00B561B5"/>
    <w:rsid w:val="00B56887"/>
    <w:rsid w:val="00B56A89"/>
    <w:rsid w:val="00B56C79"/>
    <w:rsid w:val="00B56F68"/>
    <w:rsid w:val="00B57729"/>
    <w:rsid w:val="00B602E0"/>
    <w:rsid w:val="00B60444"/>
    <w:rsid w:val="00B6068A"/>
    <w:rsid w:val="00B608C5"/>
    <w:rsid w:val="00B60B7F"/>
    <w:rsid w:val="00B614FC"/>
    <w:rsid w:val="00B61661"/>
    <w:rsid w:val="00B62595"/>
    <w:rsid w:val="00B629BB"/>
    <w:rsid w:val="00B63DE0"/>
    <w:rsid w:val="00B64431"/>
    <w:rsid w:val="00B65651"/>
    <w:rsid w:val="00B66244"/>
    <w:rsid w:val="00B669D9"/>
    <w:rsid w:val="00B66FCC"/>
    <w:rsid w:val="00B67087"/>
    <w:rsid w:val="00B70702"/>
    <w:rsid w:val="00B72E63"/>
    <w:rsid w:val="00B73647"/>
    <w:rsid w:val="00B73891"/>
    <w:rsid w:val="00B7482F"/>
    <w:rsid w:val="00B763E0"/>
    <w:rsid w:val="00B772F4"/>
    <w:rsid w:val="00B77542"/>
    <w:rsid w:val="00B80807"/>
    <w:rsid w:val="00B80ABD"/>
    <w:rsid w:val="00B826F9"/>
    <w:rsid w:val="00B8379A"/>
    <w:rsid w:val="00B84C10"/>
    <w:rsid w:val="00B84C5F"/>
    <w:rsid w:val="00B84FB6"/>
    <w:rsid w:val="00B85072"/>
    <w:rsid w:val="00B85477"/>
    <w:rsid w:val="00B8558F"/>
    <w:rsid w:val="00B858C6"/>
    <w:rsid w:val="00B85F6D"/>
    <w:rsid w:val="00B86178"/>
    <w:rsid w:val="00B86F8F"/>
    <w:rsid w:val="00B8713E"/>
    <w:rsid w:val="00B9009A"/>
    <w:rsid w:val="00B903D1"/>
    <w:rsid w:val="00B90446"/>
    <w:rsid w:val="00B905AC"/>
    <w:rsid w:val="00B91069"/>
    <w:rsid w:val="00B91516"/>
    <w:rsid w:val="00B92166"/>
    <w:rsid w:val="00B922D2"/>
    <w:rsid w:val="00B92E13"/>
    <w:rsid w:val="00B935AD"/>
    <w:rsid w:val="00B93D24"/>
    <w:rsid w:val="00B94026"/>
    <w:rsid w:val="00B9410F"/>
    <w:rsid w:val="00B941AF"/>
    <w:rsid w:val="00B94233"/>
    <w:rsid w:val="00B97677"/>
    <w:rsid w:val="00B97E74"/>
    <w:rsid w:val="00B97F3B"/>
    <w:rsid w:val="00BA070A"/>
    <w:rsid w:val="00BA0864"/>
    <w:rsid w:val="00BA0B57"/>
    <w:rsid w:val="00BA1A3C"/>
    <w:rsid w:val="00BA1C1E"/>
    <w:rsid w:val="00BA1DBB"/>
    <w:rsid w:val="00BA1EAB"/>
    <w:rsid w:val="00BA30A3"/>
    <w:rsid w:val="00BA32DE"/>
    <w:rsid w:val="00BA35D4"/>
    <w:rsid w:val="00BA3CE2"/>
    <w:rsid w:val="00BA510C"/>
    <w:rsid w:val="00BA5458"/>
    <w:rsid w:val="00BA5C18"/>
    <w:rsid w:val="00BA5DBC"/>
    <w:rsid w:val="00BA60D7"/>
    <w:rsid w:val="00BA68B8"/>
    <w:rsid w:val="00BA71BE"/>
    <w:rsid w:val="00BA7633"/>
    <w:rsid w:val="00BA7B44"/>
    <w:rsid w:val="00BB001D"/>
    <w:rsid w:val="00BB1364"/>
    <w:rsid w:val="00BB20E6"/>
    <w:rsid w:val="00BB2F90"/>
    <w:rsid w:val="00BB4CEC"/>
    <w:rsid w:val="00BB5820"/>
    <w:rsid w:val="00BB6001"/>
    <w:rsid w:val="00BB61CD"/>
    <w:rsid w:val="00BB6375"/>
    <w:rsid w:val="00BB6686"/>
    <w:rsid w:val="00BC0120"/>
    <w:rsid w:val="00BC0157"/>
    <w:rsid w:val="00BC0727"/>
    <w:rsid w:val="00BC08C0"/>
    <w:rsid w:val="00BC1AF7"/>
    <w:rsid w:val="00BC21A4"/>
    <w:rsid w:val="00BC29D1"/>
    <w:rsid w:val="00BC3544"/>
    <w:rsid w:val="00BC36DC"/>
    <w:rsid w:val="00BC481D"/>
    <w:rsid w:val="00BC4911"/>
    <w:rsid w:val="00BC58D2"/>
    <w:rsid w:val="00BC5CAB"/>
    <w:rsid w:val="00BC6ECF"/>
    <w:rsid w:val="00BC7669"/>
    <w:rsid w:val="00BC79F3"/>
    <w:rsid w:val="00BC7CAD"/>
    <w:rsid w:val="00BD153E"/>
    <w:rsid w:val="00BD175C"/>
    <w:rsid w:val="00BD19B1"/>
    <w:rsid w:val="00BD2B1C"/>
    <w:rsid w:val="00BD450A"/>
    <w:rsid w:val="00BD4F63"/>
    <w:rsid w:val="00BD5396"/>
    <w:rsid w:val="00BD58C0"/>
    <w:rsid w:val="00BD5E97"/>
    <w:rsid w:val="00BD6053"/>
    <w:rsid w:val="00BD60C1"/>
    <w:rsid w:val="00BD6C6D"/>
    <w:rsid w:val="00BD79F6"/>
    <w:rsid w:val="00BD7C8E"/>
    <w:rsid w:val="00BE075E"/>
    <w:rsid w:val="00BE0B5D"/>
    <w:rsid w:val="00BE1189"/>
    <w:rsid w:val="00BE1C1B"/>
    <w:rsid w:val="00BE1CD9"/>
    <w:rsid w:val="00BE1EF9"/>
    <w:rsid w:val="00BE207A"/>
    <w:rsid w:val="00BE2415"/>
    <w:rsid w:val="00BE3626"/>
    <w:rsid w:val="00BE3A6B"/>
    <w:rsid w:val="00BE404A"/>
    <w:rsid w:val="00BE46C5"/>
    <w:rsid w:val="00BE4DAC"/>
    <w:rsid w:val="00BE548A"/>
    <w:rsid w:val="00BE58F4"/>
    <w:rsid w:val="00BE5D0A"/>
    <w:rsid w:val="00BE6138"/>
    <w:rsid w:val="00BE6308"/>
    <w:rsid w:val="00BE6B2E"/>
    <w:rsid w:val="00BE7AD8"/>
    <w:rsid w:val="00BE7F19"/>
    <w:rsid w:val="00BF0197"/>
    <w:rsid w:val="00BF073C"/>
    <w:rsid w:val="00BF0C41"/>
    <w:rsid w:val="00BF13E2"/>
    <w:rsid w:val="00BF16AD"/>
    <w:rsid w:val="00BF1DE3"/>
    <w:rsid w:val="00BF24F8"/>
    <w:rsid w:val="00BF2F81"/>
    <w:rsid w:val="00BF3106"/>
    <w:rsid w:val="00BF311A"/>
    <w:rsid w:val="00BF3785"/>
    <w:rsid w:val="00BF37AE"/>
    <w:rsid w:val="00BF45FD"/>
    <w:rsid w:val="00BF4930"/>
    <w:rsid w:val="00BF5763"/>
    <w:rsid w:val="00BF7ACF"/>
    <w:rsid w:val="00C001F5"/>
    <w:rsid w:val="00C00F25"/>
    <w:rsid w:val="00C01955"/>
    <w:rsid w:val="00C01BE7"/>
    <w:rsid w:val="00C02827"/>
    <w:rsid w:val="00C05367"/>
    <w:rsid w:val="00C05868"/>
    <w:rsid w:val="00C05D08"/>
    <w:rsid w:val="00C07561"/>
    <w:rsid w:val="00C07718"/>
    <w:rsid w:val="00C07FD5"/>
    <w:rsid w:val="00C100D7"/>
    <w:rsid w:val="00C10531"/>
    <w:rsid w:val="00C105A9"/>
    <w:rsid w:val="00C11C19"/>
    <w:rsid w:val="00C11DF0"/>
    <w:rsid w:val="00C11ED7"/>
    <w:rsid w:val="00C1211A"/>
    <w:rsid w:val="00C13879"/>
    <w:rsid w:val="00C14944"/>
    <w:rsid w:val="00C14B0C"/>
    <w:rsid w:val="00C14D1A"/>
    <w:rsid w:val="00C15C4D"/>
    <w:rsid w:val="00C15D2B"/>
    <w:rsid w:val="00C165D8"/>
    <w:rsid w:val="00C16683"/>
    <w:rsid w:val="00C171C4"/>
    <w:rsid w:val="00C17937"/>
    <w:rsid w:val="00C17AC1"/>
    <w:rsid w:val="00C20525"/>
    <w:rsid w:val="00C208D6"/>
    <w:rsid w:val="00C20C90"/>
    <w:rsid w:val="00C20E24"/>
    <w:rsid w:val="00C226BA"/>
    <w:rsid w:val="00C24396"/>
    <w:rsid w:val="00C248FC"/>
    <w:rsid w:val="00C24BEF"/>
    <w:rsid w:val="00C25826"/>
    <w:rsid w:val="00C25D6D"/>
    <w:rsid w:val="00C25E33"/>
    <w:rsid w:val="00C2769A"/>
    <w:rsid w:val="00C27994"/>
    <w:rsid w:val="00C306E8"/>
    <w:rsid w:val="00C30A21"/>
    <w:rsid w:val="00C30C56"/>
    <w:rsid w:val="00C3115C"/>
    <w:rsid w:val="00C31183"/>
    <w:rsid w:val="00C32A07"/>
    <w:rsid w:val="00C32B88"/>
    <w:rsid w:val="00C32BDC"/>
    <w:rsid w:val="00C33A8F"/>
    <w:rsid w:val="00C342BD"/>
    <w:rsid w:val="00C34FD9"/>
    <w:rsid w:val="00C3579C"/>
    <w:rsid w:val="00C37855"/>
    <w:rsid w:val="00C37AE7"/>
    <w:rsid w:val="00C37B74"/>
    <w:rsid w:val="00C40F3F"/>
    <w:rsid w:val="00C41588"/>
    <w:rsid w:val="00C4211F"/>
    <w:rsid w:val="00C426DC"/>
    <w:rsid w:val="00C4283E"/>
    <w:rsid w:val="00C4348B"/>
    <w:rsid w:val="00C43997"/>
    <w:rsid w:val="00C43EB7"/>
    <w:rsid w:val="00C4403F"/>
    <w:rsid w:val="00C440EE"/>
    <w:rsid w:val="00C441BF"/>
    <w:rsid w:val="00C44206"/>
    <w:rsid w:val="00C446E7"/>
    <w:rsid w:val="00C44CA4"/>
    <w:rsid w:val="00C46089"/>
    <w:rsid w:val="00C463C2"/>
    <w:rsid w:val="00C46928"/>
    <w:rsid w:val="00C47714"/>
    <w:rsid w:val="00C5021B"/>
    <w:rsid w:val="00C502E8"/>
    <w:rsid w:val="00C515B4"/>
    <w:rsid w:val="00C51725"/>
    <w:rsid w:val="00C51E06"/>
    <w:rsid w:val="00C51E19"/>
    <w:rsid w:val="00C52123"/>
    <w:rsid w:val="00C521A7"/>
    <w:rsid w:val="00C52405"/>
    <w:rsid w:val="00C52901"/>
    <w:rsid w:val="00C52D56"/>
    <w:rsid w:val="00C53B33"/>
    <w:rsid w:val="00C54AFA"/>
    <w:rsid w:val="00C55622"/>
    <w:rsid w:val="00C55C47"/>
    <w:rsid w:val="00C56300"/>
    <w:rsid w:val="00C56BCF"/>
    <w:rsid w:val="00C56D3C"/>
    <w:rsid w:val="00C576AB"/>
    <w:rsid w:val="00C57C2D"/>
    <w:rsid w:val="00C60901"/>
    <w:rsid w:val="00C612ED"/>
    <w:rsid w:val="00C61E19"/>
    <w:rsid w:val="00C6245A"/>
    <w:rsid w:val="00C6286F"/>
    <w:rsid w:val="00C62CF2"/>
    <w:rsid w:val="00C62F1B"/>
    <w:rsid w:val="00C63AA7"/>
    <w:rsid w:val="00C643AC"/>
    <w:rsid w:val="00C64929"/>
    <w:rsid w:val="00C65A33"/>
    <w:rsid w:val="00C662AA"/>
    <w:rsid w:val="00C664AF"/>
    <w:rsid w:val="00C66F01"/>
    <w:rsid w:val="00C66F66"/>
    <w:rsid w:val="00C70306"/>
    <w:rsid w:val="00C70422"/>
    <w:rsid w:val="00C7102D"/>
    <w:rsid w:val="00C71EF2"/>
    <w:rsid w:val="00C724C6"/>
    <w:rsid w:val="00C72A8A"/>
    <w:rsid w:val="00C73136"/>
    <w:rsid w:val="00C73D9D"/>
    <w:rsid w:val="00C74821"/>
    <w:rsid w:val="00C74F49"/>
    <w:rsid w:val="00C75387"/>
    <w:rsid w:val="00C757B6"/>
    <w:rsid w:val="00C76FD4"/>
    <w:rsid w:val="00C772DE"/>
    <w:rsid w:val="00C776CB"/>
    <w:rsid w:val="00C8014D"/>
    <w:rsid w:val="00C80166"/>
    <w:rsid w:val="00C806D5"/>
    <w:rsid w:val="00C81222"/>
    <w:rsid w:val="00C81B4E"/>
    <w:rsid w:val="00C81DC4"/>
    <w:rsid w:val="00C81F25"/>
    <w:rsid w:val="00C81F9D"/>
    <w:rsid w:val="00C8225D"/>
    <w:rsid w:val="00C8268A"/>
    <w:rsid w:val="00C830E0"/>
    <w:rsid w:val="00C8322A"/>
    <w:rsid w:val="00C8499B"/>
    <w:rsid w:val="00C8529F"/>
    <w:rsid w:val="00C860D4"/>
    <w:rsid w:val="00C870E1"/>
    <w:rsid w:val="00C8757C"/>
    <w:rsid w:val="00C909B4"/>
    <w:rsid w:val="00C91602"/>
    <w:rsid w:val="00C91EC9"/>
    <w:rsid w:val="00C91F46"/>
    <w:rsid w:val="00C9257A"/>
    <w:rsid w:val="00C92A08"/>
    <w:rsid w:val="00C938A8"/>
    <w:rsid w:val="00C94223"/>
    <w:rsid w:val="00C943CE"/>
    <w:rsid w:val="00C94913"/>
    <w:rsid w:val="00C95F5C"/>
    <w:rsid w:val="00C96088"/>
    <w:rsid w:val="00C964BE"/>
    <w:rsid w:val="00C96ACC"/>
    <w:rsid w:val="00C96B4B"/>
    <w:rsid w:val="00C97125"/>
    <w:rsid w:val="00C971F4"/>
    <w:rsid w:val="00C975A6"/>
    <w:rsid w:val="00C978ED"/>
    <w:rsid w:val="00CA1CCD"/>
    <w:rsid w:val="00CA2F37"/>
    <w:rsid w:val="00CA3CB6"/>
    <w:rsid w:val="00CA3DBA"/>
    <w:rsid w:val="00CA44EE"/>
    <w:rsid w:val="00CA4629"/>
    <w:rsid w:val="00CA4711"/>
    <w:rsid w:val="00CA5823"/>
    <w:rsid w:val="00CA61CE"/>
    <w:rsid w:val="00CA6438"/>
    <w:rsid w:val="00CA674B"/>
    <w:rsid w:val="00CB0F70"/>
    <w:rsid w:val="00CB2648"/>
    <w:rsid w:val="00CB2978"/>
    <w:rsid w:val="00CB2F80"/>
    <w:rsid w:val="00CB3255"/>
    <w:rsid w:val="00CB37E4"/>
    <w:rsid w:val="00CB4158"/>
    <w:rsid w:val="00CB52E6"/>
    <w:rsid w:val="00CB581A"/>
    <w:rsid w:val="00CB5F06"/>
    <w:rsid w:val="00CB6A29"/>
    <w:rsid w:val="00CB707F"/>
    <w:rsid w:val="00CC0E9E"/>
    <w:rsid w:val="00CC20A1"/>
    <w:rsid w:val="00CC2423"/>
    <w:rsid w:val="00CC2C9B"/>
    <w:rsid w:val="00CC32AC"/>
    <w:rsid w:val="00CC385A"/>
    <w:rsid w:val="00CC3E80"/>
    <w:rsid w:val="00CC3EB2"/>
    <w:rsid w:val="00CC4840"/>
    <w:rsid w:val="00CC4E09"/>
    <w:rsid w:val="00CC5FD7"/>
    <w:rsid w:val="00CC6D14"/>
    <w:rsid w:val="00CC7D83"/>
    <w:rsid w:val="00CD00B0"/>
    <w:rsid w:val="00CD0939"/>
    <w:rsid w:val="00CD137C"/>
    <w:rsid w:val="00CD1AC6"/>
    <w:rsid w:val="00CD1C09"/>
    <w:rsid w:val="00CD20EF"/>
    <w:rsid w:val="00CD2330"/>
    <w:rsid w:val="00CD2901"/>
    <w:rsid w:val="00CD2B77"/>
    <w:rsid w:val="00CD2C7E"/>
    <w:rsid w:val="00CD373C"/>
    <w:rsid w:val="00CD3DB8"/>
    <w:rsid w:val="00CD44D4"/>
    <w:rsid w:val="00CD46F8"/>
    <w:rsid w:val="00CD4EDC"/>
    <w:rsid w:val="00CD5F6F"/>
    <w:rsid w:val="00CD6883"/>
    <w:rsid w:val="00CD71D0"/>
    <w:rsid w:val="00CD733F"/>
    <w:rsid w:val="00CD7486"/>
    <w:rsid w:val="00CD7AEE"/>
    <w:rsid w:val="00CD7DA8"/>
    <w:rsid w:val="00CD7F09"/>
    <w:rsid w:val="00CE01A9"/>
    <w:rsid w:val="00CE07E6"/>
    <w:rsid w:val="00CE0A0E"/>
    <w:rsid w:val="00CE0CA6"/>
    <w:rsid w:val="00CE11CA"/>
    <w:rsid w:val="00CE15A3"/>
    <w:rsid w:val="00CE1B96"/>
    <w:rsid w:val="00CE3D55"/>
    <w:rsid w:val="00CE403F"/>
    <w:rsid w:val="00CE4398"/>
    <w:rsid w:val="00CE4B43"/>
    <w:rsid w:val="00CE5608"/>
    <w:rsid w:val="00CE5710"/>
    <w:rsid w:val="00CE661F"/>
    <w:rsid w:val="00CE6FC2"/>
    <w:rsid w:val="00CE78D9"/>
    <w:rsid w:val="00CE7D21"/>
    <w:rsid w:val="00CE7DC3"/>
    <w:rsid w:val="00CF0792"/>
    <w:rsid w:val="00CF0BDC"/>
    <w:rsid w:val="00CF1075"/>
    <w:rsid w:val="00CF2751"/>
    <w:rsid w:val="00CF6C3A"/>
    <w:rsid w:val="00CF7B26"/>
    <w:rsid w:val="00CF7DDB"/>
    <w:rsid w:val="00D002C0"/>
    <w:rsid w:val="00D00A03"/>
    <w:rsid w:val="00D00F9F"/>
    <w:rsid w:val="00D01E4F"/>
    <w:rsid w:val="00D02523"/>
    <w:rsid w:val="00D02FD5"/>
    <w:rsid w:val="00D03744"/>
    <w:rsid w:val="00D038A2"/>
    <w:rsid w:val="00D03DDD"/>
    <w:rsid w:val="00D0414B"/>
    <w:rsid w:val="00D06C4F"/>
    <w:rsid w:val="00D1060A"/>
    <w:rsid w:val="00D1181D"/>
    <w:rsid w:val="00D11CEE"/>
    <w:rsid w:val="00D141DB"/>
    <w:rsid w:val="00D142F2"/>
    <w:rsid w:val="00D14375"/>
    <w:rsid w:val="00D14C52"/>
    <w:rsid w:val="00D15239"/>
    <w:rsid w:val="00D16650"/>
    <w:rsid w:val="00D168FC"/>
    <w:rsid w:val="00D16BAF"/>
    <w:rsid w:val="00D2032F"/>
    <w:rsid w:val="00D20820"/>
    <w:rsid w:val="00D20C3D"/>
    <w:rsid w:val="00D214CE"/>
    <w:rsid w:val="00D216E0"/>
    <w:rsid w:val="00D222CF"/>
    <w:rsid w:val="00D22CFB"/>
    <w:rsid w:val="00D23611"/>
    <w:rsid w:val="00D238D9"/>
    <w:rsid w:val="00D23EB0"/>
    <w:rsid w:val="00D25031"/>
    <w:rsid w:val="00D25173"/>
    <w:rsid w:val="00D25A8B"/>
    <w:rsid w:val="00D25E04"/>
    <w:rsid w:val="00D263D0"/>
    <w:rsid w:val="00D26EF3"/>
    <w:rsid w:val="00D27BAD"/>
    <w:rsid w:val="00D27BB9"/>
    <w:rsid w:val="00D27F05"/>
    <w:rsid w:val="00D30BB1"/>
    <w:rsid w:val="00D32062"/>
    <w:rsid w:val="00D32E1F"/>
    <w:rsid w:val="00D334E9"/>
    <w:rsid w:val="00D335B3"/>
    <w:rsid w:val="00D3362A"/>
    <w:rsid w:val="00D34202"/>
    <w:rsid w:val="00D343A1"/>
    <w:rsid w:val="00D343D1"/>
    <w:rsid w:val="00D34929"/>
    <w:rsid w:val="00D34992"/>
    <w:rsid w:val="00D35946"/>
    <w:rsid w:val="00D372D4"/>
    <w:rsid w:val="00D37533"/>
    <w:rsid w:val="00D37D05"/>
    <w:rsid w:val="00D37F19"/>
    <w:rsid w:val="00D4003A"/>
    <w:rsid w:val="00D400E2"/>
    <w:rsid w:val="00D40933"/>
    <w:rsid w:val="00D40C01"/>
    <w:rsid w:val="00D4246D"/>
    <w:rsid w:val="00D42A9A"/>
    <w:rsid w:val="00D43505"/>
    <w:rsid w:val="00D43607"/>
    <w:rsid w:val="00D436D2"/>
    <w:rsid w:val="00D43FC4"/>
    <w:rsid w:val="00D44678"/>
    <w:rsid w:val="00D446D4"/>
    <w:rsid w:val="00D44EB3"/>
    <w:rsid w:val="00D457FC"/>
    <w:rsid w:val="00D45B18"/>
    <w:rsid w:val="00D45E2D"/>
    <w:rsid w:val="00D45E69"/>
    <w:rsid w:val="00D472E2"/>
    <w:rsid w:val="00D47A28"/>
    <w:rsid w:val="00D47BA1"/>
    <w:rsid w:val="00D47D19"/>
    <w:rsid w:val="00D50165"/>
    <w:rsid w:val="00D5075B"/>
    <w:rsid w:val="00D52D50"/>
    <w:rsid w:val="00D53196"/>
    <w:rsid w:val="00D53AE3"/>
    <w:rsid w:val="00D53DA1"/>
    <w:rsid w:val="00D53E00"/>
    <w:rsid w:val="00D54307"/>
    <w:rsid w:val="00D54F6B"/>
    <w:rsid w:val="00D55318"/>
    <w:rsid w:val="00D55BE3"/>
    <w:rsid w:val="00D55E51"/>
    <w:rsid w:val="00D55E8C"/>
    <w:rsid w:val="00D56515"/>
    <w:rsid w:val="00D572B7"/>
    <w:rsid w:val="00D57304"/>
    <w:rsid w:val="00D57994"/>
    <w:rsid w:val="00D57A72"/>
    <w:rsid w:val="00D60334"/>
    <w:rsid w:val="00D609E1"/>
    <w:rsid w:val="00D614DF"/>
    <w:rsid w:val="00D618CF"/>
    <w:rsid w:val="00D62353"/>
    <w:rsid w:val="00D633E6"/>
    <w:rsid w:val="00D639CF"/>
    <w:rsid w:val="00D642B6"/>
    <w:rsid w:val="00D65866"/>
    <w:rsid w:val="00D660E7"/>
    <w:rsid w:val="00D665FF"/>
    <w:rsid w:val="00D66A63"/>
    <w:rsid w:val="00D70147"/>
    <w:rsid w:val="00D702ED"/>
    <w:rsid w:val="00D70645"/>
    <w:rsid w:val="00D70C28"/>
    <w:rsid w:val="00D71523"/>
    <w:rsid w:val="00D72001"/>
    <w:rsid w:val="00D7430E"/>
    <w:rsid w:val="00D74483"/>
    <w:rsid w:val="00D748F3"/>
    <w:rsid w:val="00D74B95"/>
    <w:rsid w:val="00D74BD1"/>
    <w:rsid w:val="00D7502A"/>
    <w:rsid w:val="00D752D2"/>
    <w:rsid w:val="00D75766"/>
    <w:rsid w:val="00D758CD"/>
    <w:rsid w:val="00D75950"/>
    <w:rsid w:val="00D7604A"/>
    <w:rsid w:val="00D763A1"/>
    <w:rsid w:val="00D7640E"/>
    <w:rsid w:val="00D76579"/>
    <w:rsid w:val="00D77850"/>
    <w:rsid w:val="00D77949"/>
    <w:rsid w:val="00D77A1A"/>
    <w:rsid w:val="00D77BA7"/>
    <w:rsid w:val="00D80520"/>
    <w:rsid w:val="00D8062C"/>
    <w:rsid w:val="00D80C1E"/>
    <w:rsid w:val="00D80C30"/>
    <w:rsid w:val="00D80F0D"/>
    <w:rsid w:val="00D827A5"/>
    <w:rsid w:val="00D827EE"/>
    <w:rsid w:val="00D82B56"/>
    <w:rsid w:val="00D82D36"/>
    <w:rsid w:val="00D831B3"/>
    <w:rsid w:val="00D8324D"/>
    <w:rsid w:val="00D83F83"/>
    <w:rsid w:val="00D842B2"/>
    <w:rsid w:val="00D84619"/>
    <w:rsid w:val="00D84E78"/>
    <w:rsid w:val="00D85CC7"/>
    <w:rsid w:val="00D85D76"/>
    <w:rsid w:val="00D866E8"/>
    <w:rsid w:val="00D86782"/>
    <w:rsid w:val="00D872DF"/>
    <w:rsid w:val="00D87467"/>
    <w:rsid w:val="00D87AF0"/>
    <w:rsid w:val="00D93D74"/>
    <w:rsid w:val="00D946D9"/>
    <w:rsid w:val="00D965A3"/>
    <w:rsid w:val="00D9670B"/>
    <w:rsid w:val="00D97996"/>
    <w:rsid w:val="00DA0422"/>
    <w:rsid w:val="00DA0928"/>
    <w:rsid w:val="00DA0FA3"/>
    <w:rsid w:val="00DA1237"/>
    <w:rsid w:val="00DA18A8"/>
    <w:rsid w:val="00DA2040"/>
    <w:rsid w:val="00DA2E60"/>
    <w:rsid w:val="00DA3663"/>
    <w:rsid w:val="00DA36F8"/>
    <w:rsid w:val="00DA40DA"/>
    <w:rsid w:val="00DA6482"/>
    <w:rsid w:val="00DA655A"/>
    <w:rsid w:val="00DA6B78"/>
    <w:rsid w:val="00DA71ED"/>
    <w:rsid w:val="00DA75E5"/>
    <w:rsid w:val="00DB00BC"/>
    <w:rsid w:val="00DB095B"/>
    <w:rsid w:val="00DB13C7"/>
    <w:rsid w:val="00DB153A"/>
    <w:rsid w:val="00DB2AAB"/>
    <w:rsid w:val="00DB2C8B"/>
    <w:rsid w:val="00DB3378"/>
    <w:rsid w:val="00DB36A3"/>
    <w:rsid w:val="00DB3A43"/>
    <w:rsid w:val="00DB3EA0"/>
    <w:rsid w:val="00DB4E59"/>
    <w:rsid w:val="00DB51DE"/>
    <w:rsid w:val="00DB55E7"/>
    <w:rsid w:val="00DB564D"/>
    <w:rsid w:val="00DB572B"/>
    <w:rsid w:val="00DB5F8E"/>
    <w:rsid w:val="00DB629A"/>
    <w:rsid w:val="00DB770C"/>
    <w:rsid w:val="00DB794C"/>
    <w:rsid w:val="00DB7972"/>
    <w:rsid w:val="00DC0453"/>
    <w:rsid w:val="00DC0CA7"/>
    <w:rsid w:val="00DC10DE"/>
    <w:rsid w:val="00DC41C2"/>
    <w:rsid w:val="00DC6304"/>
    <w:rsid w:val="00DC6581"/>
    <w:rsid w:val="00DC6C57"/>
    <w:rsid w:val="00DC79C1"/>
    <w:rsid w:val="00DD00A3"/>
    <w:rsid w:val="00DD05D4"/>
    <w:rsid w:val="00DD0C1C"/>
    <w:rsid w:val="00DD1DF6"/>
    <w:rsid w:val="00DD1FF6"/>
    <w:rsid w:val="00DD207B"/>
    <w:rsid w:val="00DD3016"/>
    <w:rsid w:val="00DD4341"/>
    <w:rsid w:val="00DD4E87"/>
    <w:rsid w:val="00DD5F27"/>
    <w:rsid w:val="00DD69F1"/>
    <w:rsid w:val="00DD7B4A"/>
    <w:rsid w:val="00DD7B52"/>
    <w:rsid w:val="00DE0D42"/>
    <w:rsid w:val="00DE1033"/>
    <w:rsid w:val="00DE2A2D"/>
    <w:rsid w:val="00DE37E6"/>
    <w:rsid w:val="00DE392F"/>
    <w:rsid w:val="00DE4C8B"/>
    <w:rsid w:val="00DE52DA"/>
    <w:rsid w:val="00DE5505"/>
    <w:rsid w:val="00DE5A9E"/>
    <w:rsid w:val="00DE5CD4"/>
    <w:rsid w:val="00DE60A2"/>
    <w:rsid w:val="00DE630A"/>
    <w:rsid w:val="00DE6373"/>
    <w:rsid w:val="00DE76A6"/>
    <w:rsid w:val="00DF0C1A"/>
    <w:rsid w:val="00DF0CAA"/>
    <w:rsid w:val="00DF3AC5"/>
    <w:rsid w:val="00DF49CB"/>
    <w:rsid w:val="00DF5435"/>
    <w:rsid w:val="00DF593E"/>
    <w:rsid w:val="00DF762D"/>
    <w:rsid w:val="00DF7B42"/>
    <w:rsid w:val="00E001BB"/>
    <w:rsid w:val="00E005A0"/>
    <w:rsid w:val="00E00CB0"/>
    <w:rsid w:val="00E014C8"/>
    <w:rsid w:val="00E01B81"/>
    <w:rsid w:val="00E03332"/>
    <w:rsid w:val="00E03BD0"/>
    <w:rsid w:val="00E03C12"/>
    <w:rsid w:val="00E03D58"/>
    <w:rsid w:val="00E03F89"/>
    <w:rsid w:val="00E04724"/>
    <w:rsid w:val="00E05C7F"/>
    <w:rsid w:val="00E063E7"/>
    <w:rsid w:val="00E06863"/>
    <w:rsid w:val="00E07686"/>
    <w:rsid w:val="00E10678"/>
    <w:rsid w:val="00E10E40"/>
    <w:rsid w:val="00E10F09"/>
    <w:rsid w:val="00E115F7"/>
    <w:rsid w:val="00E11A0C"/>
    <w:rsid w:val="00E11A7A"/>
    <w:rsid w:val="00E11B48"/>
    <w:rsid w:val="00E11D5F"/>
    <w:rsid w:val="00E1225C"/>
    <w:rsid w:val="00E12B83"/>
    <w:rsid w:val="00E141E3"/>
    <w:rsid w:val="00E14307"/>
    <w:rsid w:val="00E146A8"/>
    <w:rsid w:val="00E15048"/>
    <w:rsid w:val="00E1519E"/>
    <w:rsid w:val="00E15384"/>
    <w:rsid w:val="00E15D3C"/>
    <w:rsid w:val="00E15DF3"/>
    <w:rsid w:val="00E1673E"/>
    <w:rsid w:val="00E16CEB"/>
    <w:rsid w:val="00E17088"/>
    <w:rsid w:val="00E20862"/>
    <w:rsid w:val="00E21433"/>
    <w:rsid w:val="00E21CE4"/>
    <w:rsid w:val="00E21DD9"/>
    <w:rsid w:val="00E224F0"/>
    <w:rsid w:val="00E22E45"/>
    <w:rsid w:val="00E24BF1"/>
    <w:rsid w:val="00E268A4"/>
    <w:rsid w:val="00E26FDD"/>
    <w:rsid w:val="00E27385"/>
    <w:rsid w:val="00E27A6B"/>
    <w:rsid w:val="00E27F85"/>
    <w:rsid w:val="00E306F1"/>
    <w:rsid w:val="00E30DD0"/>
    <w:rsid w:val="00E31EB6"/>
    <w:rsid w:val="00E326F3"/>
    <w:rsid w:val="00E32ABA"/>
    <w:rsid w:val="00E32B45"/>
    <w:rsid w:val="00E32EA0"/>
    <w:rsid w:val="00E330E0"/>
    <w:rsid w:val="00E336BD"/>
    <w:rsid w:val="00E33904"/>
    <w:rsid w:val="00E34D69"/>
    <w:rsid w:val="00E34EC0"/>
    <w:rsid w:val="00E3526C"/>
    <w:rsid w:val="00E35D7E"/>
    <w:rsid w:val="00E35F20"/>
    <w:rsid w:val="00E361AD"/>
    <w:rsid w:val="00E36473"/>
    <w:rsid w:val="00E36614"/>
    <w:rsid w:val="00E36747"/>
    <w:rsid w:val="00E3684D"/>
    <w:rsid w:val="00E36D15"/>
    <w:rsid w:val="00E42D48"/>
    <w:rsid w:val="00E43A99"/>
    <w:rsid w:val="00E43F98"/>
    <w:rsid w:val="00E444CE"/>
    <w:rsid w:val="00E4520C"/>
    <w:rsid w:val="00E452B2"/>
    <w:rsid w:val="00E45B19"/>
    <w:rsid w:val="00E4603C"/>
    <w:rsid w:val="00E46701"/>
    <w:rsid w:val="00E46DB4"/>
    <w:rsid w:val="00E470B5"/>
    <w:rsid w:val="00E47BF8"/>
    <w:rsid w:val="00E50384"/>
    <w:rsid w:val="00E50650"/>
    <w:rsid w:val="00E510FA"/>
    <w:rsid w:val="00E51106"/>
    <w:rsid w:val="00E51821"/>
    <w:rsid w:val="00E51E2C"/>
    <w:rsid w:val="00E51E31"/>
    <w:rsid w:val="00E52637"/>
    <w:rsid w:val="00E52B59"/>
    <w:rsid w:val="00E53506"/>
    <w:rsid w:val="00E53B42"/>
    <w:rsid w:val="00E55E00"/>
    <w:rsid w:val="00E5628C"/>
    <w:rsid w:val="00E56BF0"/>
    <w:rsid w:val="00E56D21"/>
    <w:rsid w:val="00E6033B"/>
    <w:rsid w:val="00E62370"/>
    <w:rsid w:val="00E62693"/>
    <w:rsid w:val="00E633AC"/>
    <w:rsid w:val="00E63C9D"/>
    <w:rsid w:val="00E63CB0"/>
    <w:rsid w:val="00E6426D"/>
    <w:rsid w:val="00E64592"/>
    <w:rsid w:val="00E64668"/>
    <w:rsid w:val="00E65147"/>
    <w:rsid w:val="00E65180"/>
    <w:rsid w:val="00E656CE"/>
    <w:rsid w:val="00E6584C"/>
    <w:rsid w:val="00E66806"/>
    <w:rsid w:val="00E66E56"/>
    <w:rsid w:val="00E67125"/>
    <w:rsid w:val="00E6762F"/>
    <w:rsid w:val="00E67879"/>
    <w:rsid w:val="00E67A91"/>
    <w:rsid w:val="00E70E6A"/>
    <w:rsid w:val="00E71036"/>
    <w:rsid w:val="00E71155"/>
    <w:rsid w:val="00E71CA7"/>
    <w:rsid w:val="00E72803"/>
    <w:rsid w:val="00E72877"/>
    <w:rsid w:val="00E72EB8"/>
    <w:rsid w:val="00E72F00"/>
    <w:rsid w:val="00E73526"/>
    <w:rsid w:val="00E74917"/>
    <w:rsid w:val="00E74C9E"/>
    <w:rsid w:val="00E757C3"/>
    <w:rsid w:val="00E75B42"/>
    <w:rsid w:val="00E764D5"/>
    <w:rsid w:val="00E775F7"/>
    <w:rsid w:val="00E77CCE"/>
    <w:rsid w:val="00E80970"/>
    <w:rsid w:val="00E80AA8"/>
    <w:rsid w:val="00E81AE9"/>
    <w:rsid w:val="00E81B7E"/>
    <w:rsid w:val="00E81F70"/>
    <w:rsid w:val="00E83B6A"/>
    <w:rsid w:val="00E855B7"/>
    <w:rsid w:val="00E8570A"/>
    <w:rsid w:val="00E85CBE"/>
    <w:rsid w:val="00E862CC"/>
    <w:rsid w:val="00E86A7E"/>
    <w:rsid w:val="00E90667"/>
    <w:rsid w:val="00E907D9"/>
    <w:rsid w:val="00E91794"/>
    <w:rsid w:val="00E91A08"/>
    <w:rsid w:val="00E93BD5"/>
    <w:rsid w:val="00E93F8D"/>
    <w:rsid w:val="00E9401C"/>
    <w:rsid w:val="00E94053"/>
    <w:rsid w:val="00E94448"/>
    <w:rsid w:val="00E94734"/>
    <w:rsid w:val="00E94A63"/>
    <w:rsid w:val="00E95008"/>
    <w:rsid w:val="00E96BDD"/>
    <w:rsid w:val="00E97EC8"/>
    <w:rsid w:val="00E97F5A"/>
    <w:rsid w:val="00E97FF3"/>
    <w:rsid w:val="00EA06FA"/>
    <w:rsid w:val="00EA0DF2"/>
    <w:rsid w:val="00EA0EFD"/>
    <w:rsid w:val="00EA0F56"/>
    <w:rsid w:val="00EA1A0A"/>
    <w:rsid w:val="00EA1AC3"/>
    <w:rsid w:val="00EA2581"/>
    <w:rsid w:val="00EA30B5"/>
    <w:rsid w:val="00EA30FC"/>
    <w:rsid w:val="00EA31E8"/>
    <w:rsid w:val="00EA382F"/>
    <w:rsid w:val="00EA3E45"/>
    <w:rsid w:val="00EA4912"/>
    <w:rsid w:val="00EA4B93"/>
    <w:rsid w:val="00EA5B01"/>
    <w:rsid w:val="00EA635B"/>
    <w:rsid w:val="00EA66B7"/>
    <w:rsid w:val="00EA68CC"/>
    <w:rsid w:val="00EA74D0"/>
    <w:rsid w:val="00EA7726"/>
    <w:rsid w:val="00EA78E9"/>
    <w:rsid w:val="00EA7A59"/>
    <w:rsid w:val="00EA7FD6"/>
    <w:rsid w:val="00EB0ACA"/>
    <w:rsid w:val="00EB1222"/>
    <w:rsid w:val="00EB12AF"/>
    <w:rsid w:val="00EB262E"/>
    <w:rsid w:val="00EB27AF"/>
    <w:rsid w:val="00EB27FD"/>
    <w:rsid w:val="00EB2A5D"/>
    <w:rsid w:val="00EB34B6"/>
    <w:rsid w:val="00EB4746"/>
    <w:rsid w:val="00EB490E"/>
    <w:rsid w:val="00EB49FE"/>
    <w:rsid w:val="00EB52EF"/>
    <w:rsid w:val="00EB5646"/>
    <w:rsid w:val="00EB5924"/>
    <w:rsid w:val="00EB5D60"/>
    <w:rsid w:val="00EB673B"/>
    <w:rsid w:val="00EB6E77"/>
    <w:rsid w:val="00EC07C9"/>
    <w:rsid w:val="00EC09BB"/>
    <w:rsid w:val="00EC0B16"/>
    <w:rsid w:val="00EC1111"/>
    <w:rsid w:val="00EC1123"/>
    <w:rsid w:val="00EC164D"/>
    <w:rsid w:val="00EC1A4F"/>
    <w:rsid w:val="00EC219A"/>
    <w:rsid w:val="00EC2543"/>
    <w:rsid w:val="00EC2F34"/>
    <w:rsid w:val="00EC3AA2"/>
    <w:rsid w:val="00EC3BF5"/>
    <w:rsid w:val="00EC3F29"/>
    <w:rsid w:val="00EC43C6"/>
    <w:rsid w:val="00EC4753"/>
    <w:rsid w:val="00EC4B9A"/>
    <w:rsid w:val="00EC4FC0"/>
    <w:rsid w:val="00EC54B8"/>
    <w:rsid w:val="00EC5A83"/>
    <w:rsid w:val="00EC6DAB"/>
    <w:rsid w:val="00EC73B4"/>
    <w:rsid w:val="00EC743D"/>
    <w:rsid w:val="00ED17ED"/>
    <w:rsid w:val="00ED1D9F"/>
    <w:rsid w:val="00ED2608"/>
    <w:rsid w:val="00ED27C9"/>
    <w:rsid w:val="00ED2A31"/>
    <w:rsid w:val="00ED2BEF"/>
    <w:rsid w:val="00ED3175"/>
    <w:rsid w:val="00ED39A6"/>
    <w:rsid w:val="00ED4F75"/>
    <w:rsid w:val="00ED5764"/>
    <w:rsid w:val="00ED5CBF"/>
    <w:rsid w:val="00ED601F"/>
    <w:rsid w:val="00ED675D"/>
    <w:rsid w:val="00EE0A41"/>
    <w:rsid w:val="00EE1218"/>
    <w:rsid w:val="00EE223B"/>
    <w:rsid w:val="00EE258C"/>
    <w:rsid w:val="00EE2B0C"/>
    <w:rsid w:val="00EE351B"/>
    <w:rsid w:val="00EE3657"/>
    <w:rsid w:val="00EE3B8E"/>
    <w:rsid w:val="00EE3F5C"/>
    <w:rsid w:val="00EE471F"/>
    <w:rsid w:val="00EE47DE"/>
    <w:rsid w:val="00EE525C"/>
    <w:rsid w:val="00EE5442"/>
    <w:rsid w:val="00EE5FD2"/>
    <w:rsid w:val="00EE660E"/>
    <w:rsid w:val="00EE7972"/>
    <w:rsid w:val="00EF01E1"/>
    <w:rsid w:val="00EF03D8"/>
    <w:rsid w:val="00EF098D"/>
    <w:rsid w:val="00EF1185"/>
    <w:rsid w:val="00EF12CB"/>
    <w:rsid w:val="00EF1930"/>
    <w:rsid w:val="00EF1981"/>
    <w:rsid w:val="00EF257A"/>
    <w:rsid w:val="00EF261F"/>
    <w:rsid w:val="00EF2AED"/>
    <w:rsid w:val="00EF331D"/>
    <w:rsid w:val="00EF3AF9"/>
    <w:rsid w:val="00EF50DA"/>
    <w:rsid w:val="00EF559C"/>
    <w:rsid w:val="00EF5AAB"/>
    <w:rsid w:val="00EF6841"/>
    <w:rsid w:val="00EF6E4E"/>
    <w:rsid w:val="00EF76AE"/>
    <w:rsid w:val="00F0021C"/>
    <w:rsid w:val="00F0056C"/>
    <w:rsid w:val="00F016EA"/>
    <w:rsid w:val="00F01A58"/>
    <w:rsid w:val="00F02024"/>
    <w:rsid w:val="00F02D73"/>
    <w:rsid w:val="00F03798"/>
    <w:rsid w:val="00F0392F"/>
    <w:rsid w:val="00F03AF3"/>
    <w:rsid w:val="00F0460E"/>
    <w:rsid w:val="00F04746"/>
    <w:rsid w:val="00F04DB0"/>
    <w:rsid w:val="00F05ACE"/>
    <w:rsid w:val="00F06AB9"/>
    <w:rsid w:val="00F06BB1"/>
    <w:rsid w:val="00F06EA5"/>
    <w:rsid w:val="00F06EB6"/>
    <w:rsid w:val="00F076A2"/>
    <w:rsid w:val="00F077AB"/>
    <w:rsid w:val="00F07B98"/>
    <w:rsid w:val="00F11637"/>
    <w:rsid w:val="00F11E33"/>
    <w:rsid w:val="00F12BDA"/>
    <w:rsid w:val="00F12D78"/>
    <w:rsid w:val="00F1385E"/>
    <w:rsid w:val="00F1519C"/>
    <w:rsid w:val="00F15925"/>
    <w:rsid w:val="00F16A38"/>
    <w:rsid w:val="00F16DF1"/>
    <w:rsid w:val="00F1736A"/>
    <w:rsid w:val="00F17961"/>
    <w:rsid w:val="00F21694"/>
    <w:rsid w:val="00F21B14"/>
    <w:rsid w:val="00F2226D"/>
    <w:rsid w:val="00F227D1"/>
    <w:rsid w:val="00F22FB4"/>
    <w:rsid w:val="00F23345"/>
    <w:rsid w:val="00F23358"/>
    <w:rsid w:val="00F23A1F"/>
    <w:rsid w:val="00F23FCE"/>
    <w:rsid w:val="00F240A5"/>
    <w:rsid w:val="00F24430"/>
    <w:rsid w:val="00F2571D"/>
    <w:rsid w:val="00F25FC1"/>
    <w:rsid w:val="00F26019"/>
    <w:rsid w:val="00F26313"/>
    <w:rsid w:val="00F26462"/>
    <w:rsid w:val="00F2661B"/>
    <w:rsid w:val="00F267BB"/>
    <w:rsid w:val="00F26F03"/>
    <w:rsid w:val="00F26F5B"/>
    <w:rsid w:val="00F26FFD"/>
    <w:rsid w:val="00F275A9"/>
    <w:rsid w:val="00F276C2"/>
    <w:rsid w:val="00F27C7F"/>
    <w:rsid w:val="00F300C9"/>
    <w:rsid w:val="00F30621"/>
    <w:rsid w:val="00F31C13"/>
    <w:rsid w:val="00F31C52"/>
    <w:rsid w:val="00F321D9"/>
    <w:rsid w:val="00F32390"/>
    <w:rsid w:val="00F32F19"/>
    <w:rsid w:val="00F3334D"/>
    <w:rsid w:val="00F33572"/>
    <w:rsid w:val="00F3375C"/>
    <w:rsid w:val="00F33CEB"/>
    <w:rsid w:val="00F345A5"/>
    <w:rsid w:val="00F345F6"/>
    <w:rsid w:val="00F347A9"/>
    <w:rsid w:val="00F34895"/>
    <w:rsid w:val="00F35430"/>
    <w:rsid w:val="00F36901"/>
    <w:rsid w:val="00F36BE8"/>
    <w:rsid w:val="00F36EA6"/>
    <w:rsid w:val="00F37D2F"/>
    <w:rsid w:val="00F4140C"/>
    <w:rsid w:val="00F41940"/>
    <w:rsid w:val="00F41AB8"/>
    <w:rsid w:val="00F41ABB"/>
    <w:rsid w:val="00F42557"/>
    <w:rsid w:val="00F42896"/>
    <w:rsid w:val="00F43B63"/>
    <w:rsid w:val="00F443CC"/>
    <w:rsid w:val="00F44EB9"/>
    <w:rsid w:val="00F45B5C"/>
    <w:rsid w:val="00F471E3"/>
    <w:rsid w:val="00F472F9"/>
    <w:rsid w:val="00F474F6"/>
    <w:rsid w:val="00F47BDC"/>
    <w:rsid w:val="00F5066E"/>
    <w:rsid w:val="00F51052"/>
    <w:rsid w:val="00F51805"/>
    <w:rsid w:val="00F51AF9"/>
    <w:rsid w:val="00F52F95"/>
    <w:rsid w:val="00F53CC6"/>
    <w:rsid w:val="00F53F44"/>
    <w:rsid w:val="00F54DBB"/>
    <w:rsid w:val="00F55216"/>
    <w:rsid w:val="00F555DE"/>
    <w:rsid w:val="00F55B82"/>
    <w:rsid w:val="00F55DE8"/>
    <w:rsid w:val="00F56916"/>
    <w:rsid w:val="00F569E4"/>
    <w:rsid w:val="00F56CD3"/>
    <w:rsid w:val="00F57116"/>
    <w:rsid w:val="00F574F7"/>
    <w:rsid w:val="00F577AB"/>
    <w:rsid w:val="00F57873"/>
    <w:rsid w:val="00F60E1F"/>
    <w:rsid w:val="00F611DE"/>
    <w:rsid w:val="00F612E0"/>
    <w:rsid w:val="00F6138B"/>
    <w:rsid w:val="00F61FEE"/>
    <w:rsid w:val="00F626AB"/>
    <w:rsid w:val="00F62B0C"/>
    <w:rsid w:val="00F637DD"/>
    <w:rsid w:val="00F6458E"/>
    <w:rsid w:val="00F64825"/>
    <w:rsid w:val="00F649CF"/>
    <w:rsid w:val="00F64AEC"/>
    <w:rsid w:val="00F64C2E"/>
    <w:rsid w:val="00F64D0E"/>
    <w:rsid w:val="00F65C2D"/>
    <w:rsid w:val="00F65CC9"/>
    <w:rsid w:val="00F700B8"/>
    <w:rsid w:val="00F70A48"/>
    <w:rsid w:val="00F71720"/>
    <w:rsid w:val="00F71A08"/>
    <w:rsid w:val="00F71B97"/>
    <w:rsid w:val="00F72044"/>
    <w:rsid w:val="00F72577"/>
    <w:rsid w:val="00F7264C"/>
    <w:rsid w:val="00F727F7"/>
    <w:rsid w:val="00F72BE9"/>
    <w:rsid w:val="00F72EE6"/>
    <w:rsid w:val="00F74B89"/>
    <w:rsid w:val="00F74E93"/>
    <w:rsid w:val="00F76134"/>
    <w:rsid w:val="00F76306"/>
    <w:rsid w:val="00F76BF6"/>
    <w:rsid w:val="00F771D7"/>
    <w:rsid w:val="00F77234"/>
    <w:rsid w:val="00F77419"/>
    <w:rsid w:val="00F7772B"/>
    <w:rsid w:val="00F77756"/>
    <w:rsid w:val="00F77AB3"/>
    <w:rsid w:val="00F8021C"/>
    <w:rsid w:val="00F8072A"/>
    <w:rsid w:val="00F810A7"/>
    <w:rsid w:val="00F8208A"/>
    <w:rsid w:val="00F82C90"/>
    <w:rsid w:val="00F82D46"/>
    <w:rsid w:val="00F83C7E"/>
    <w:rsid w:val="00F852C3"/>
    <w:rsid w:val="00F85A91"/>
    <w:rsid w:val="00F8612D"/>
    <w:rsid w:val="00F870CA"/>
    <w:rsid w:val="00F872B3"/>
    <w:rsid w:val="00F87B9E"/>
    <w:rsid w:val="00F87EA2"/>
    <w:rsid w:val="00F90EE7"/>
    <w:rsid w:val="00F91224"/>
    <w:rsid w:val="00F91483"/>
    <w:rsid w:val="00F919CC"/>
    <w:rsid w:val="00F91FD6"/>
    <w:rsid w:val="00F92CA3"/>
    <w:rsid w:val="00F93301"/>
    <w:rsid w:val="00F93493"/>
    <w:rsid w:val="00F936AE"/>
    <w:rsid w:val="00F94AAB"/>
    <w:rsid w:val="00F94AD3"/>
    <w:rsid w:val="00F95040"/>
    <w:rsid w:val="00F9599F"/>
    <w:rsid w:val="00F9602C"/>
    <w:rsid w:val="00F96193"/>
    <w:rsid w:val="00F96D9D"/>
    <w:rsid w:val="00F96EDE"/>
    <w:rsid w:val="00F977D9"/>
    <w:rsid w:val="00FA068B"/>
    <w:rsid w:val="00FA1098"/>
    <w:rsid w:val="00FA1C1B"/>
    <w:rsid w:val="00FA272C"/>
    <w:rsid w:val="00FA2A76"/>
    <w:rsid w:val="00FA2DED"/>
    <w:rsid w:val="00FA3674"/>
    <w:rsid w:val="00FA3A4D"/>
    <w:rsid w:val="00FA3B27"/>
    <w:rsid w:val="00FA45C9"/>
    <w:rsid w:val="00FA47DB"/>
    <w:rsid w:val="00FA4D6A"/>
    <w:rsid w:val="00FA4E29"/>
    <w:rsid w:val="00FA4EA2"/>
    <w:rsid w:val="00FA535C"/>
    <w:rsid w:val="00FA5624"/>
    <w:rsid w:val="00FA56E0"/>
    <w:rsid w:val="00FA5DCD"/>
    <w:rsid w:val="00FA6A1F"/>
    <w:rsid w:val="00FA7008"/>
    <w:rsid w:val="00FA758E"/>
    <w:rsid w:val="00FA7826"/>
    <w:rsid w:val="00FA7AA3"/>
    <w:rsid w:val="00FA7D12"/>
    <w:rsid w:val="00FB0079"/>
    <w:rsid w:val="00FB0205"/>
    <w:rsid w:val="00FB170A"/>
    <w:rsid w:val="00FB1746"/>
    <w:rsid w:val="00FB1C59"/>
    <w:rsid w:val="00FB2025"/>
    <w:rsid w:val="00FB2416"/>
    <w:rsid w:val="00FB2BE5"/>
    <w:rsid w:val="00FB304A"/>
    <w:rsid w:val="00FB30A3"/>
    <w:rsid w:val="00FB334E"/>
    <w:rsid w:val="00FB33C4"/>
    <w:rsid w:val="00FB3F1D"/>
    <w:rsid w:val="00FB4671"/>
    <w:rsid w:val="00FB4C62"/>
    <w:rsid w:val="00FB4D3A"/>
    <w:rsid w:val="00FB4D94"/>
    <w:rsid w:val="00FB5F66"/>
    <w:rsid w:val="00FB60AB"/>
    <w:rsid w:val="00FB6124"/>
    <w:rsid w:val="00FB7507"/>
    <w:rsid w:val="00FB7640"/>
    <w:rsid w:val="00FC0262"/>
    <w:rsid w:val="00FC086C"/>
    <w:rsid w:val="00FC0E77"/>
    <w:rsid w:val="00FC16B1"/>
    <w:rsid w:val="00FC18D8"/>
    <w:rsid w:val="00FC28D5"/>
    <w:rsid w:val="00FC2A88"/>
    <w:rsid w:val="00FC31AC"/>
    <w:rsid w:val="00FC3D3E"/>
    <w:rsid w:val="00FC442F"/>
    <w:rsid w:val="00FC4764"/>
    <w:rsid w:val="00FC4E88"/>
    <w:rsid w:val="00FC5254"/>
    <w:rsid w:val="00FC7217"/>
    <w:rsid w:val="00FC77E9"/>
    <w:rsid w:val="00FC790F"/>
    <w:rsid w:val="00FC7923"/>
    <w:rsid w:val="00FC7CBC"/>
    <w:rsid w:val="00FD0977"/>
    <w:rsid w:val="00FD133B"/>
    <w:rsid w:val="00FD138B"/>
    <w:rsid w:val="00FD17A3"/>
    <w:rsid w:val="00FD2032"/>
    <w:rsid w:val="00FD2329"/>
    <w:rsid w:val="00FD2936"/>
    <w:rsid w:val="00FD2B7B"/>
    <w:rsid w:val="00FD2EEF"/>
    <w:rsid w:val="00FD3A12"/>
    <w:rsid w:val="00FD3C28"/>
    <w:rsid w:val="00FD4192"/>
    <w:rsid w:val="00FD4552"/>
    <w:rsid w:val="00FD4894"/>
    <w:rsid w:val="00FD4940"/>
    <w:rsid w:val="00FD4F39"/>
    <w:rsid w:val="00FD58D6"/>
    <w:rsid w:val="00FD5C1A"/>
    <w:rsid w:val="00FD60A0"/>
    <w:rsid w:val="00FD6AA5"/>
    <w:rsid w:val="00FD6FD7"/>
    <w:rsid w:val="00FD7C32"/>
    <w:rsid w:val="00FE09F1"/>
    <w:rsid w:val="00FE0A2D"/>
    <w:rsid w:val="00FE1578"/>
    <w:rsid w:val="00FE17B6"/>
    <w:rsid w:val="00FE1801"/>
    <w:rsid w:val="00FE1942"/>
    <w:rsid w:val="00FE1BA2"/>
    <w:rsid w:val="00FE1E11"/>
    <w:rsid w:val="00FE2070"/>
    <w:rsid w:val="00FE20D5"/>
    <w:rsid w:val="00FE230A"/>
    <w:rsid w:val="00FE248D"/>
    <w:rsid w:val="00FE3C6A"/>
    <w:rsid w:val="00FE5C3D"/>
    <w:rsid w:val="00FE5CFE"/>
    <w:rsid w:val="00FE5E65"/>
    <w:rsid w:val="00FE6AE9"/>
    <w:rsid w:val="00FE6E6F"/>
    <w:rsid w:val="00FE7610"/>
    <w:rsid w:val="00FE7835"/>
    <w:rsid w:val="00FF0FB6"/>
    <w:rsid w:val="00FF1F4D"/>
    <w:rsid w:val="00FF27BC"/>
    <w:rsid w:val="00FF4C90"/>
    <w:rsid w:val="00FF6716"/>
    <w:rsid w:val="00FF69B2"/>
    <w:rsid w:val="00FF7614"/>
    <w:rsid w:val="00FF79B2"/>
    <w:rsid w:val="00FF7A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FDAD9A"/>
  <w14:defaultImageDpi w14:val="96"/>
  <w15:docId w15:val="{C2A7329A-5B17-465D-B5E1-0CAC27C5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Arial Narrow"/>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qFormat="1"/>
    <w:lsdException w:name="caption" w:semiHidden="1" w:uiPriority="35" w:unhideWhenUsed="1" w:qFormat="1"/>
    <w:lsdException w:name="footnote reference"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8199F"/>
    <w:rPr>
      <w:rFonts w:cs="Times New Roman"/>
      <w:szCs w:val="36"/>
    </w:rPr>
  </w:style>
  <w:style w:type="paragraph" w:styleId="Nadpis1">
    <w:name w:val="heading 1"/>
    <w:basedOn w:val="Normlny"/>
    <w:next w:val="Normlny"/>
    <w:link w:val="Nadpis1Char"/>
    <w:uiPriority w:val="9"/>
    <w:qFormat/>
    <w:rsid w:val="00BF1DE3"/>
    <w:pPr>
      <w:keepNext/>
      <w:keepLines/>
      <w:spacing w:before="480" w:after="0"/>
      <w:outlineLvl w:val="0"/>
    </w:pPr>
    <w:rPr>
      <w:rFonts w:asciiTheme="majorHAnsi" w:eastAsiaTheme="majorEastAsia" w:hAnsiTheme="majorHAnsi"/>
      <w:b/>
      <w:bCs/>
      <w:color w:val="1C74A9" w:themeColor="accent1" w:themeShade="BF"/>
      <w:sz w:val="28"/>
      <w:szCs w:val="28"/>
    </w:rPr>
  </w:style>
  <w:style w:type="paragraph" w:styleId="Nadpis2">
    <w:name w:val="heading 2"/>
    <w:basedOn w:val="Normlny"/>
    <w:next w:val="Normlny"/>
    <w:link w:val="Nadpis2Char"/>
    <w:uiPriority w:val="9"/>
    <w:unhideWhenUsed/>
    <w:qFormat/>
    <w:rsid w:val="00BF1DE3"/>
    <w:pPr>
      <w:keepNext/>
      <w:keepLines/>
      <w:spacing w:before="200" w:after="0"/>
      <w:outlineLvl w:val="1"/>
    </w:pPr>
    <w:rPr>
      <w:rFonts w:asciiTheme="majorHAnsi" w:eastAsiaTheme="majorEastAsia" w:hAnsiTheme="majorHAnsi"/>
      <w:b/>
      <w:bCs/>
      <w:color w:val="2C9ADC" w:themeColor="accent1"/>
      <w:sz w:val="26"/>
      <w:szCs w:val="26"/>
    </w:rPr>
  </w:style>
  <w:style w:type="paragraph" w:styleId="Nadpis3">
    <w:name w:val="heading 3"/>
    <w:aliases w:val="Tab"/>
    <w:basedOn w:val="Normlny"/>
    <w:next w:val="Normlny"/>
    <w:link w:val="Nadpis3Char"/>
    <w:uiPriority w:val="9"/>
    <w:qFormat/>
    <w:rsid w:val="00C8529F"/>
    <w:pPr>
      <w:keepNext/>
      <w:spacing w:after="0" w:line="240" w:lineRule="auto"/>
      <w:outlineLvl w:val="2"/>
    </w:pPr>
    <w:rPr>
      <w:rFonts w:cs="Arial"/>
      <w:b/>
      <w:bCs/>
      <w:sz w:val="20"/>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BF1DE3"/>
    <w:rPr>
      <w:rFonts w:asciiTheme="majorHAnsi" w:eastAsiaTheme="majorEastAsia" w:hAnsiTheme="majorHAnsi" w:cs="Times New Roman"/>
      <w:b/>
      <w:bCs/>
      <w:color w:val="1C74A9" w:themeColor="accent1" w:themeShade="BF"/>
      <w:sz w:val="28"/>
      <w:szCs w:val="28"/>
    </w:rPr>
  </w:style>
  <w:style w:type="character" w:customStyle="1" w:styleId="Nadpis2Char">
    <w:name w:val="Nadpis 2 Char"/>
    <w:basedOn w:val="Predvolenpsmoodseku"/>
    <w:link w:val="Nadpis2"/>
    <w:uiPriority w:val="9"/>
    <w:locked/>
    <w:rsid w:val="00BF1DE3"/>
    <w:rPr>
      <w:rFonts w:asciiTheme="majorHAnsi" w:eastAsiaTheme="majorEastAsia" w:hAnsiTheme="majorHAnsi" w:cs="Times New Roman"/>
      <w:b/>
      <w:bCs/>
      <w:color w:val="2C9ADC" w:themeColor="accent1"/>
      <w:sz w:val="26"/>
      <w:szCs w:val="26"/>
    </w:rPr>
  </w:style>
  <w:style w:type="character" w:customStyle="1" w:styleId="Nadpis3Char">
    <w:name w:val="Nadpis 3 Char"/>
    <w:aliases w:val="Tab Char"/>
    <w:basedOn w:val="Predvolenpsmoodseku"/>
    <w:link w:val="Nadpis3"/>
    <w:uiPriority w:val="9"/>
    <w:locked/>
    <w:rsid w:val="00C8529F"/>
    <w:rPr>
      <w:rFonts w:eastAsia="Times New Roman" w:cs="Arial"/>
      <w:b/>
      <w:bCs/>
      <w:sz w:val="26"/>
      <w:szCs w:val="26"/>
      <w:lang w:val="x-none" w:eastAsia="sk-SK"/>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 Char Char Char Char Char,f,Plonk"/>
    <w:basedOn w:val="Normlny"/>
    <w:link w:val="TextpoznmkypodiarouChar"/>
    <w:uiPriority w:val="99"/>
    <w:unhideWhenUsed/>
    <w:qFormat/>
    <w:rsid w:val="00936D2E"/>
    <w:pPr>
      <w:spacing w:after="0" w:line="240" w:lineRule="auto"/>
    </w:pPr>
    <w:rPr>
      <w:sz w:val="20"/>
      <w:szCs w:val="20"/>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 Char,Plonk Char"/>
    <w:basedOn w:val="Predvolenpsmoodseku"/>
    <w:link w:val="Textpoznmkypodiarou"/>
    <w:uiPriority w:val="99"/>
    <w:locked/>
    <w:rsid w:val="00936D2E"/>
    <w:rPr>
      <w:rFonts w:cs="Times New Roman"/>
      <w:sz w:val="20"/>
      <w:szCs w:val="20"/>
    </w:rPr>
  </w:style>
  <w:style w:type="paragraph" w:styleId="Odsekzoznamu">
    <w:name w:val="List Paragraph"/>
    <w:aliases w:val="body,Odsek zoznamu2,Dot pt,F5 List Paragraph,No Spacing1,List Paragraph Char Char Char,Indicator Text,Numbered Para 1,Colorful List - Accent 11,Bullet 1,Bullet Points,Párrafo de lista,MAIN CONTENT,Recommendation"/>
    <w:basedOn w:val="Normlny"/>
    <w:link w:val="OdsekzoznamuChar"/>
    <w:uiPriority w:val="34"/>
    <w:qFormat/>
    <w:rsid w:val="00F44EB9"/>
    <w:pPr>
      <w:spacing w:after="0" w:line="240" w:lineRule="auto"/>
      <w:ind w:left="720"/>
    </w:pPr>
    <w:rPr>
      <w:rFonts w:ascii="Calibri" w:hAnsi="Calibri"/>
      <w:szCs w:val="22"/>
      <w:lang w:val="en-US"/>
    </w:rPr>
  </w:style>
  <w:style w:type="paragraph" w:styleId="Zkladntext2">
    <w:name w:val="Body Text 2"/>
    <w:basedOn w:val="Normlny"/>
    <w:link w:val="Zkladntext2Char"/>
    <w:uiPriority w:val="99"/>
    <w:unhideWhenUsed/>
    <w:rsid w:val="001729A5"/>
    <w:pPr>
      <w:spacing w:after="120" w:line="480" w:lineRule="auto"/>
    </w:pPr>
    <w:rPr>
      <w:rFonts w:cs="Book Antiqua"/>
      <w:szCs w:val="22"/>
      <w:lang w:eastAsia="sk-SK"/>
    </w:rPr>
  </w:style>
  <w:style w:type="character" w:customStyle="1" w:styleId="Zkladntext2Char">
    <w:name w:val="Základný text 2 Char"/>
    <w:basedOn w:val="Predvolenpsmoodseku"/>
    <w:link w:val="Zkladntext2"/>
    <w:uiPriority w:val="99"/>
    <w:locked/>
    <w:rsid w:val="001729A5"/>
    <w:rPr>
      <w:rFonts w:eastAsia="Times New Roman" w:cs="Book Antiqua"/>
      <w:sz w:val="22"/>
      <w:szCs w:val="22"/>
      <w:lang w:val="x-none" w:eastAsia="sk-SK"/>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link w:val="Char2"/>
    <w:uiPriority w:val="99"/>
    <w:unhideWhenUsed/>
    <w:qFormat/>
    <w:rsid w:val="00936D2E"/>
    <w:rPr>
      <w:rFonts w:cs="Times New Roman"/>
      <w:vertAlign w:val="superscript"/>
    </w:rPr>
  </w:style>
  <w:style w:type="paragraph" w:styleId="Hlavika">
    <w:name w:val="header"/>
    <w:basedOn w:val="Normlny"/>
    <w:link w:val="HlavikaChar"/>
    <w:uiPriority w:val="99"/>
    <w:unhideWhenUsed/>
    <w:rsid w:val="002B3044"/>
    <w:pPr>
      <w:tabs>
        <w:tab w:val="center" w:pos="4703"/>
        <w:tab w:val="right" w:pos="9406"/>
      </w:tabs>
      <w:spacing w:after="0" w:line="240" w:lineRule="auto"/>
    </w:pPr>
  </w:style>
  <w:style w:type="character" w:customStyle="1" w:styleId="HlavikaChar">
    <w:name w:val="Hlavička Char"/>
    <w:basedOn w:val="Predvolenpsmoodseku"/>
    <w:link w:val="Hlavika"/>
    <w:uiPriority w:val="99"/>
    <w:locked/>
    <w:rsid w:val="002B3044"/>
    <w:rPr>
      <w:rFonts w:cs="Times New Roman"/>
    </w:rPr>
  </w:style>
  <w:style w:type="paragraph" w:styleId="Textbubliny">
    <w:name w:val="Balloon Text"/>
    <w:basedOn w:val="Normlny"/>
    <w:link w:val="TextbublinyChar"/>
    <w:uiPriority w:val="99"/>
    <w:semiHidden/>
    <w:unhideWhenUsed/>
    <w:rsid w:val="00C8499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C8499B"/>
    <w:rPr>
      <w:rFonts w:ascii="Tahoma" w:hAnsi="Tahoma" w:cs="Tahoma"/>
      <w:sz w:val="16"/>
      <w:szCs w:val="16"/>
    </w:rPr>
  </w:style>
  <w:style w:type="paragraph" w:styleId="Pta">
    <w:name w:val="footer"/>
    <w:basedOn w:val="Normlny"/>
    <w:link w:val="PtaChar"/>
    <w:uiPriority w:val="99"/>
    <w:unhideWhenUsed/>
    <w:rsid w:val="002B3044"/>
    <w:pPr>
      <w:tabs>
        <w:tab w:val="center" w:pos="4703"/>
        <w:tab w:val="right" w:pos="9406"/>
      </w:tabs>
      <w:spacing w:after="0" w:line="240" w:lineRule="auto"/>
    </w:pPr>
  </w:style>
  <w:style w:type="character" w:customStyle="1" w:styleId="PtaChar">
    <w:name w:val="Päta Char"/>
    <w:basedOn w:val="Predvolenpsmoodseku"/>
    <w:link w:val="Pta"/>
    <w:uiPriority w:val="99"/>
    <w:locked/>
    <w:rsid w:val="002B3044"/>
    <w:rPr>
      <w:rFonts w:cs="Times New Roman"/>
    </w:rPr>
  </w:style>
  <w:style w:type="paragraph" w:styleId="Bezriadkovania">
    <w:name w:val="No Spacing"/>
    <w:uiPriority w:val="1"/>
    <w:qFormat/>
    <w:rsid w:val="00416013"/>
    <w:pPr>
      <w:spacing w:after="0" w:line="240" w:lineRule="auto"/>
    </w:pPr>
    <w:rPr>
      <w:rFonts w:cs="Times New Roman"/>
      <w:szCs w:val="36"/>
    </w:rPr>
  </w:style>
  <w:style w:type="paragraph" w:customStyle="1" w:styleId="ListParagraph1">
    <w:name w:val="List Paragraph1"/>
    <w:basedOn w:val="Normlny"/>
    <w:rsid w:val="00937C0C"/>
    <w:pPr>
      <w:ind w:left="720"/>
    </w:pPr>
    <w:rPr>
      <w:rFonts w:ascii="Calibri" w:hAnsi="Calibri"/>
      <w:szCs w:val="22"/>
    </w:rPr>
  </w:style>
  <w:style w:type="character" w:styleId="Hypertextovprepojenie">
    <w:name w:val="Hyperlink"/>
    <w:basedOn w:val="Predvolenpsmoodseku"/>
    <w:uiPriority w:val="99"/>
    <w:unhideWhenUsed/>
    <w:rsid w:val="00B074C3"/>
    <w:rPr>
      <w:rFonts w:cs="Times New Roman"/>
      <w:color w:val="0000FF" w:themeColor="hyperlink"/>
      <w:u w:val="single"/>
    </w:rPr>
  </w:style>
  <w:style w:type="paragraph" w:styleId="Normlnywebov">
    <w:name w:val="Normal (Web)"/>
    <w:basedOn w:val="Normlny"/>
    <w:uiPriority w:val="99"/>
    <w:semiHidden/>
    <w:unhideWhenUsed/>
    <w:rsid w:val="0021223F"/>
    <w:pPr>
      <w:spacing w:before="100" w:beforeAutospacing="1" w:after="100" w:afterAutospacing="1" w:line="240" w:lineRule="auto"/>
    </w:pPr>
    <w:rPr>
      <w:rFonts w:ascii="Times New Roman" w:eastAsiaTheme="minorEastAsia" w:hAnsi="Times New Roman"/>
      <w:sz w:val="24"/>
      <w:szCs w:val="24"/>
      <w:lang w:val="en-US"/>
    </w:rPr>
  </w:style>
  <w:style w:type="character" w:styleId="Odkaznakomentr">
    <w:name w:val="annotation reference"/>
    <w:basedOn w:val="Predvolenpsmoodseku"/>
    <w:uiPriority w:val="99"/>
    <w:semiHidden/>
    <w:unhideWhenUsed/>
    <w:rsid w:val="00A616C1"/>
    <w:rPr>
      <w:rFonts w:cs="Times New Roman"/>
      <w:sz w:val="16"/>
      <w:szCs w:val="16"/>
    </w:rPr>
  </w:style>
  <w:style w:type="paragraph" w:styleId="Textkomentra">
    <w:name w:val="annotation text"/>
    <w:basedOn w:val="Normlny"/>
    <w:link w:val="TextkomentraChar"/>
    <w:uiPriority w:val="99"/>
    <w:unhideWhenUsed/>
    <w:rsid w:val="00A616C1"/>
    <w:pPr>
      <w:spacing w:line="240" w:lineRule="auto"/>
    </w:pPr>
    <w:rPr>
      <w:sz w:val="20"/>
      <w:szCs w:val="20"/>
    </w:rPr>
  </w:style>
  <w:style w:type="character" w:customStyle="1" w:styleId="TextkomentraChar">
    <w:name w:val="Text komentára Char"/>
    <w:basedOn w:val="Predvolenpsmoodseku"/>
    <w:link w:val="Textkomentra"/>
    <w:uiPriority w:val="99"/>
    <w:locked/>
    <w:rsid w:val="00A616C1"/>
    <w:rPr>
      <w:rFonts w:cs="Times New Roman"/>
      <w:sz w:val="20"/>
      <w:szCs w:val="20"/>
    </w:rPr>
  </w:style>
  <w:style w:type="paragraph" w:styleId="Hlavikaobsahu">
    <w:name w:val="TOC Heading"/>
    <w:basedOn w:val="Nadpis1"/>
    <w:next w:val="Normlny"/>
    <w:uiPriority w:val="39"/>
    <w:semiHidden/>
    <w:unhideWhenUsed/>
    <w:qFormat/>
    <w:rsid w:val="00BF1DE3"/>
    <w:pPr>
      <w:outlineLvl w:val="9"/>
    </w:pPr>
    <w:rPr>
      <w:lang w:val="en-US"/>
    </w:rPr>
  </w:style>
  <w:style w:type="paragraph" w:styleId="Predmetkomentra">
    <w:name w:val="annotation subject"/>
    <w:basedOn w:val="Textkomentra"/>
    <w:next w:val="Textkomentra"/>
    <w:link w:val="PredmetkomentraChar"/>
    <w:uiPriority w:val="99"/>
    <w:semiHidden/>
    <w:unhideWhenUsed/>
    <w:rsid w:val="00A616C1"/>
    <w:rPr>
      <w:b/>
      <w:bCs/>
    </w:rPr>
  </w:style>
  <w:style w:type="character" w:customStyle="1" w:styleId="PredmetkomentraChar">
    <w:name w:val="Predmet komentára Char"/>
    <w:basedOn w:val="TextkomentraChar"/>
    <w:link w:val="Predmetkomentra"/>
    <w:uiPriority w:val="99"/>
    <w:semiHidden/>
    <w:locked/>
    <w:rsid w:val="00A616C1"/>
    <w:rPr>
      <w:rFonts w:cs="Times New Roman"/>
      <w:b/>
      <w:bCs/>
      <w:sz w:val="20"/>
      <w:szCs w:val="20"/>
    </w:rPr>
  </w:style>
  <w:style w:type="paragraph" w:styleId="Obsah3">
    <w:name w:val="toc 3"/>
    <w:basedOn w:val="Normlny"/>
    <w:next w:val="Normlny"/>
    <w:autoRedefine/>
    <w:uiPriority w:val="39"/>
    <w:unhideWhenUsed/>
    <w:rsid w:val="00BF1DE3"/>
    <w:pPr>
      <w:spacing w:after="100"/>
      <w:ind w:left="440"/>
    </w:pPr>
  </w:style>
  <w:style w:type="paragraph" w:styleId="Obsah1">
    <w:name w:val="toc 1"/>
    <w:basedOn w:val="Normlny"/>
    <w:next w:val="Normlny"/>
    <w:autoRedefine/>
    <w:uiPriority w:val="39"/>
    <w:unhideWhenUsed/>
    <w:rsid w:val="00524ACE"/>
    <w:pPr>
      <w:tabs>
        <w:tab w:val="left" w:pos="440"/>
        <w:tab w:val="right" w:leader="dot" w:pos="9062"/>
      </w:tabs>
      <w:spacing w:after="100"/>
    </w:pPr>
  </w:style>
  <w:style w:type="paragraph" w:styleId="Obsah2">
    <w:name w:val="toc 2"/>
    <w:basedOn w:val="Normlny"/>
    <w:next w:val="Normlny"/>
    <w:autoRedefine/>
    <w:uiPriority w:val="39"/>
    <w:unhideWhenUsed/>
    <w:rsid w:val="00922153"/>
    <w:pPr>
      <w:tabs>
        <w:tab w:val="left" w:pos="880"/>
        <w:tab w:val="right" w:leader="dot" w:pos="9062"/>
      </w:tabs>
      <w:spacing w:after="100"/>
    </w:pPr>
  </w:style>
  <w:style w:type="character" w:customStyle="1" w:styleId="OdsekzoznamuChar">
    <w:name w:val="Odsek zoznamu Char"/>
    <w:aliases w:val="body Char,Odsek zoznamu2 Char,Dot pt Char,F5 List Paragraph Char,No Spacing1 Char,List Paragraph Char Char Char Char,Indicator Text Char,Numbered Para 1 Char,Colorful List - Accent 11 Char,Bullet 1 Char,Bullet Points Char"/>
    <w:link w:val="Odsekzoznamu"/>
    <w:uiPriority w:val="34"/>
    <w:qFormat/>
    <w:locked/>
    <w:rsid w:val="00ED2608"/>
    <w:rPr>
      <w:rFonts w:ascii="Calibri" w:hAnsi="Calibri"/>
      <w:sz w:val="22"/>
      <w:lang w:val="en-US" w:eastAsia="x-none"/>
    </w:rPr>
  </w:style>
  <w:style w:type="table" w:styleId="Mriekatabuky">
    <w:name w:val="Table Grid"/>
    <w:basedOn w:val="Normlnatabuka"/>
    <w:uiPriority w:val="59"/>
    <w:rsid w:val="0056042D"/>
    <w:pPr>
      <w:spacing w:after="0" w:line="240" w:lineRule="auto"/>
    </w:pPr>
    <w:rPr>
      <w:rFonts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ist">
    <w:name w:val="NormalList"/>
    <w:basedOn w:val="Normlny"/>
    <w:qFormat/>
    <w:rsid w:val="000D0075"/>
    <w:pPr>
      <w:spacing w:after="0" w:line="240" w:lineRule="auto"/>
      <w:jc w:val="both"/>
    </w:pPr>
    <w:rPr>
      <w:rFonts w:cs="Book Antiqua"/>
      <w:szCs w:val="22"/>
    </w:rPr>
  </w:style>
  <w:style w:type="paragraph" w:styleId="Revzia">
    <w:name w:val="Revision"/>
    <w:hidden/>
    <w:uiPriority w:val="99"/>
    <w:semiHidden/>
    <w:rsid w:val="00FD3C28"/>
    <w:pPr>
      <w:spacing w:after="0" w:line="240" w:lineRule="auto"/>
    </w:pPr>
    <w:rPr>
      <w:rFonts w:cs="Times New Roman"/>
      <w:szCs w:val="36"/>
    </w:rPr>
  </w:style>
  <w:style w:type="character" w:styleId="PouitHypertextovPrepojenie">
    <w:name w:val="FollowedHyperlink"/>
    <w:basedOn w:val="Predvolenpsmoodseku"/>
    <w:uiPriority w:val="99"/>
    <w:rsid w:val="00C4348B"/>
    <w:rPr>
      <w:color w:val="800080" w:themeColor="followedHyperlink"/>
      <w:u w:val="single"/>
    </w:rPr>
  </w:style>
  <w:style w:type="paragraph" w:customStyle="1" w:styleId="Char2">
    <w:name w:val="Char2"/>
    <w:basedOn w:val="Normlny"/>
    <w:link w:val="Odkaznapoznmkupodiarou"/>
    <w:uiPriority w:val="99"/>
    <w:rsid w:val="005A2AC0"/>
    <w:pPr>
      <w:spacing w:after="0" w:line="240" w:lineRule="exact"/>
    </w:pPr>
    <w:rPr>
      <w:szCs w:val="22"/>
      <w:vertAlign w:val="superscript"/>
    </w:rPr>
  </w:style>
  <w:style w:type="paragraph" w:customStyle="1" w:styleId="Graf">
    <w:name w:val="Graf"/>
    <w:autoRedefine/>
    <w:qFormat/>
    <w:rsid w:val="00E21CE4"/>
    <w:pPr>
      <w:spacing w:before="120" w:after="0" w:line="240" w:lineRule="auto"/>
    </w:pPr>
    <w:rPr>
      <w:rFonts w:eastAsia="Arial Narrow"/>
      <w:b/>
      <w:bCs/>
      <w:noProof/>
      <w:color w:val="2C9ADC" w:themeColor="accent1"/>
      <w:sz w:val="20"/>
      <w:szCs w:val="36"/>
      <w:lang w:eastAsia="sk-SK"/>
    </w:rPr>
  </w:style>
  <w:style w:type="character" w:styleId="Zvraznenie">
    <w:name w:val="Emphasis"/>
    <w:basedOn w:val="Predvolenpsmoodseku"/>
    <w:uiPriority w:val="20"/>
    <w:qFormat/>
    <w:rsid w:val="001A6F83"/>
    <w:rPr>
      <w:i/>
      <w:iCs/>
    </w:rPr>
  </w:style>
  <w:style w:type="paragraph" w:styleId="Popis">
    <w:name w:val="caption"/>
    <w:basedOn w:val="Normlny"/>
    <w:next w:val="Normlny"/>
    <w:uiPriority w:val="35"/>
    <w:unhideWhenUsed/>
    <w:qFormat/>
    <w:rsid w:val="00A549F5"/>
    <w:pPr>
      <w:spacing w:line="240" w:lineRule="auto"/>
    </w:pPr>
    <w:rPr>
      <w:rFonts w:eastAsiaTheme="minorHAnsi" w:cstheme="minorBidi"/>
      <w:b/>
      <w:bCs/>
      <w:color w:val="2C9ADC"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6255">
      <w:marLeft w:val="0"/>
      <w:marRight w:val="0"/>
      <w:marTop w:val="0"/>
      <w:marBottom w:val="0"/>
      <w:divBdr>
        <w:top w:val="none" w:sz="0" w:space="0" w:color="auto"/>
        <w:left w:val="none" w:sz="0" w:space="0" w:color="auto"/>
        <w:bottom w:val="none" w:sz="0" w:space="0" w:color="auto"/>
        <w:right w:val="none" w:sz="0" w:space="0" w:color="auto"/>
      </w:divBdr>
    </w:div>
    <w:div w:id="126356256">
      <w:marLeft w:val="0"/>
      <w:marRight w:val="0"/>
      <w:marTop w:val="0"/>
      <w:marBottom w:val="0"/>
      <w:divBdr>
        <w:top w:val="none" w:sz="0" w:space="0" w:color="auto"/>
        <w:left w:val="none" w:sz="0" w:space="0" w:color="auto"/>
        <w:bottom w:val="none" w:sz="0" w:space="0" w:color="auto"/>
        <w:right w:val="none" w:sz="0" w:space="0" w:color="auto"/>
      </w:divBdr>
    </w:div>
    <w:div w:id="126356257">
      <w:marLeft w:val="0"/>
      <w:marRight w:val="0"/>
      <w:marTop w:val="0"/>
      <w:marBottom w:val="0"/>
      <w:divBdr>
        <w:top w:val="none" w:sz="0" w:space="0" w:color="auto"/>
        <w:left w:val="none" w:sz="0" w:space="0" w:color="auto"/>
        <w:bottom w:val="none" w:sz="0" w:space="0" w:color="auto"/>
        <w:right w:val="none" w:sz="0" w:space="0" w:color="auto"/>
      </w:divBdr>
    </w:div>
    <w:div w:id="126356258">
      <w:marLeft w:val="0"/>
      <w:marRight w:val="0"/>
      <w:marTop w:val="0"/>
      <w:marBottom w:val="0"/>
      <w:divBdr>
        <w:top w:val="none" w:sz="0" w:space="0" w:color="auto"/>
        <w:left w:val="none" w:sz="0" w:space="0" w:color="auto"/>
        <w:bottom w:val="none" w:sz="0" w:space="0" w:color="auto"/>
        <w:right w:val="none" w:sz="0" w:space="0" w:color="auto"/>
      </w:divBdr>
    </w:div>
    <w:div w:id="126356259">
      <w:marLeft w:val="0"/>
      <w:marRight w:val="0"/>
      <w:marTop w:val="0"/>
      <w:marBottom w:val="0"/>
      <w:divBdr>
        <w:top w:val="none" w:sz="0" w:space="0" w:color="auto"/>
        <w:left w:val="none" w:sz="0" w:space="0" w:color="auto"/>
        <w:bottom w:val="none" w:sz="0" w:space="0" w:color="auto"/>
        <w:right w:val="none" w:sz="0" w:space="0" w:color="auto"/>
      </w:divBdr>
    </w:div>
    <w:div w:id="126356260">
      <w:marLeft w:val="0"/>
      <w:marRight w:val="0"/>
      <w:marTop w:val="0"/>
      <w:marBottom w:val="0"/>
      <w:divBdr>
        <w:top w:val="none" w:sz="0" w:space="0" w:color="auto"/>
        <w:left w:val="none" w:sz="0" w:space="0" w:color="auto"/>
        <w:bottom w:val="none" w:sz="0" w:space="0" w:color="auto"/>
        <w:right w:val="none" w:sz="0" w:space="0" w:color="auto"/>
      </w:divBdr>
    </w:div>
    <w:div w:id="126356261">
      <w:marLeft w:val="0"/>
      <w:marRight w:val="0"/>
      <w:marTop w:val="0"/>
      <w:marBottom w:val="0"/>
      <w:divBdr>
        <w:top w:val="none" w:sz="0" w:space="0" w:color="auto"/>
        <w:left w:val="none" w:sz="0" w:space="0" w:color="auto"/>
        <w:bottom w:val="none" w:sz="0" w:space="0" w:color="auto"/>
        <w:right w:val="none" w:sz="0" w:space="0" w:color="auto"/>
      </w:divBdr>
    </w:div>
    <w:div w:id="126356262">
      <w:marLeft w:val="0"/>
      <w:marRight w:val="0"/>
      <w:marTop w:val="0"/>
      <w:marBottom w:val="0"/>
      <w:divBdr>
        <w:top w:val="none" w:sz="0" w:space="0" w:color="auto"/>
        <w:left w:val="none" w:sz="0" w:space="0" w:color="auto"/>
        <w:bottom w:val="none" w:sz="0" w:space="0" w:color="auto"/>
        <w:right w:val="none" w:sz="0" w:space="0" w:color="auto"/>
      </w:divBdr>
    </w:div>
    <w:div w:id="126356263">
      <w:marLeft w:val="0"/>
      <w:marRight w:val="0"/>
      <w:marTop w:val="0"/>
      <w:marBottom w:val="0"/>
      <w:divBdr>
        <w:top w:val="none" w:sz="0" w:space="0" w:color="auto"/>
        <w:left w:val="none" w:sz="0" w:space="0" w:color="auto"/>
        <w:bottom w:val="none" w:sz="0" w:space="0" w:color="auto"/>
        <w:right w:val="none" w:sz="0" w:space="0" w:color="auto"/>
      </w:divBdr>
    </w:div>
    <w:div w:id="126356264">
      <w:marLeft w:val="0"/>
      <w:marRight w:val="0"/>
      <w:marTop w:val="0"/>
      <w:marBottom w:val="0"/>
      <w:divBdr>
        <w:top w:val="none" w:sz="0" w:space="0" w:color="auto"/>
        <w:left w:val="none" w:sz="0" w:space="0" w:color="auto"/>
        <w:bottom w:val="none" w:sz="0" w:space="0" w:color="auto"/>
        <w:right w:val="none" w:sz="0" w:space="0" w:color="auto"/>
      </w:divBdr>
    </w:div>
    <w:div w:id="126356265">
      <w:marLeft w:val="0"/>
      <w:marRight w:val="0"/>
      <w:marTop w:val="0"/>
      <w:marBottom w:val="0"/>
      <w:divBdr>
        <w:top w:val="none" w:sz="0" w:space="0" w:color="auto"/>
        <w:left w:val="none" w:sz="0" w:space="0" w:color="auto"/>
        <w:bottom w:val="none" w:sz="0" w:space="0" w:color="auto"/>
        <w:right w:val="none" w:sz="0" w:space="0" w:color="auto"/>
      </w:divBdr>
    </w:div>
    <w:div w:id="126356266">
      <w:marLeft w:val="0"/>
      <w:marRight w:val="0"/>
      <w:marTop w:val="0"/>
      <w:marBottom w:val="0"/>
      <w:divBdr>
        <w:top w:val="none" w:sz="0" w:space="0" w:color="auto"/>
        <w:left w:val="none" w:sz="0" w:space="0" w:color="auto"/>
        <w:bottom w:val="none" w:sz="0" w:space="0" w:color="auto"/>
        <w:right w:val="none" w:sz="0" w:space="0" w:color="auto"/>
      </w:divBdr>
    </w:div>
    <w:div w:id="126356267">
      <w:marLeft w:val="0"/>
      <w:marRight w:val="0"/>
      <w:marTop w:val="0"/>
      <w:marBottom w:val="0"/>
      <w:divBdr>
        <w:top w:val="none" w:sz="0" w:space="0" w:color="auto"/>
        <w:left w:val="none" w:sz="0" w:space="0" w:color="auto"/>
        <w:bottom w:val="none" w:sz="0" w:space="0" w:color="auto"/>
        <w:right w:val="none" w:sz="0" w:space="0" w:color="auto"/>
      </w:divBdr>
    </w:div>
    <w:div w:id="319702199">
      <w:bodyDiv w:val="1"/>
      <w:marLeft w:val="0"/>
      <w:marRight w:val="0"/>
      <w:marTop w:val="0"/>
      <w:marBottom w:val="0"/>
      <w:divBdr>
        <w:top w:val="none" w:sz="0" w:space="0" w:color="auto"/>
        <w:left w:val="none" w:sz="0" w:space="0" w:color="auto"/>
        <w:bottom w:val="none" w:sz="0" w:space="0" w:color="auto"/>
        <w:right w:val="none" w:sz="0" w:space="0" w:color="auto"/>
      </w:divBdr>
    </w:div>
    <w:div w:id="655305555">
      <w:bodyDiv w:val="1"/>
      <w:marLeft w:val="0"/>
      <w:marRight w:val="0"/>
      <w:marTop w:val="0"/>
      <w:marBottom w:val="0"/>
      <w:divBdr>
        <w:top w:val="none" w:sz="0" w:space="0" w:color="auto"/>
        <w:left w:val="none" w:sz="0" w:space="0" w:color="auto"/>
        <w:bottom w:val="none" w:sz="0" w:space="0" w:color="auto"/>
        <w:right w:val="none" w:sz="0" w:space="0" w:color="auto"/>
      </w:divBdr>
    </w:div>
    <w:div w:id="766267637">
      <w:bodyDiv w:val="1"/>
      <w:marLeft w:val="0"/>
      <w:marRight w:val="0"/>
      <w:marTop w:val="0"/>
      <w:marBottom w:val="0"/>
      <w:divBdr>
        <w:top w:val="none" w:sz="0" w:space="0" w:color="auto"/>
        <w:left w:val="none" w:sz="0" w:space="0" w:color="auto"/>
        <w:bottom w:val="none" w:sz="0" w:space="0" w:color="auto"/>
        <w:right w:val="none" w:sz="0" w:space="0" w:color="auto"/>
      </w:divBdr>
    </w:div>
    <w:div w:id="925923513">
      <w:bodyDiv w:val="1"/>
      <w:marLeft w:val="0"/>
      <w:marRight w:val="0"/>
      <w:marTop w:val="0"/>
      <w:marBottom w:val="0"/>
      <w:divBdr>
        <w:top w:val="none" w:sz="0" w:space="0" w:color="auto"/>
        <w:left w:val="none" w:sz="0" w:space="0" w:color="auto"/>
        <w:bottom w:val="none" w:sz="0" w:space="0" w:color="auto"/>
        <w:right w:val="none" w:sz="0" w:space="0" w:color="auto"/>
      </w:divBdr>
    </w:div>
    <w:div w:id="943345133">
      <w:bodyDiv w:val="1"/>
      <w:marLeft w:val="0"/>
      <w:marRight w:val="0"/>
      <w:marTop w:val="0"/>
      <w:marBottom w:val="0"/>
      <w:divBdr>
        <w:top w:val="none" w:sz="0" w:space="0" w:color="auto"/>
        <w:left w:val="none" w:sz="0" w:space="0" w:color="auto"/>
        <w:bottom w:val="none" w:sz="0" w:space="0" w:color="auto"/>
        <w:right w:val="none" w:sz="0" w:space="0" w:color="auto"/>
      </w:divBdr>
    </w:div>
    <w:div w:id="953899035">
      <w:bodyDiv w:val="1"/>
      <w:marLeft w:val="0"/>
      <w:marRight w:val="0"/>
      <w:marTop w:val="0"/>
      <w:marBottom w:val="0"/>
      <w:divBdr>
        <w:top w:val="none" w:sz="0" w:space="0" w:color="auto"/>
        <w:left w:val="none" w:sz="0" w:space="0" w:color="auto"/>
        <w:bottom w:val="none" w:sz="0" w:space="0" w:color="auto"/>
        <w:right w:val="none" w:sz="0" w:space="0" w:color="auto"/>
      </w:divBdr>
    </w:div>
    <w:div w:id="1191645156">
      <w:bodyDiv w:val="1"/>
      <w:marLeft w:val="0"/>
      <w:marRight w:val="0"/>
      <w:marTop w:val="0"/>
      <w:marBottom w:val="0"/>
      <w:divBdr>
        <w:top w:val="none" w:sz="0" w:space="0" w:color="auto"/>
        <w:left w:val="none" w:sz="0" w:space="0" w:color="auto"/>
        <w:bottom w:val="none" w:sz="0" w:space="0" w:color="auto"/>
        <w:right w:val="none" w:sz="0" w:space="0" w:color="auto"/>
      </w:divBdr>
    </w:div>
    <w:div w:id="1643390592">
      <w:bodyDiv w:val="1"/>
      <w:marLeft w:val="0"/>
      <w:marRight w:val="0"/>
      <w:marTop w:val="0"/>
      <w:marBottom w:val="0"/>
      <w:divBdr>
        <w:top w:val="none" w:sz="0" w:space="0" w:color="auto"/>
        <w:left w:val="none" w:sz="0" w:space="0" w:color="auto"/>
        <w:bottom w:val="none" w:sz="0" w:space="0" w:color="auto"/>
        <w:right w:val="none" w:sz="0" w:space="0" w:color="auto"/>
      </w:divBdr>
    </w:div>
    <w:div w:id="1726905596">
      <w:bodyDiv w:val="1"/>
      <w:marLeft w:val="0"/>
      <w:marRight w:val="0"/>
      <w:marTop w:val="0"/>
      <w:marBottom w:val="0"/>
      <w:divBdr>
        <w:top w:val="none" w:sz="0" w:space="0" w:color="auto"/>
        <w:left w:val="none" w:sz="0" w:space="0" w:color="auto"/>
        <w:bottom w:val="none" w:sz="0" w:space="0" w:color="auto"/>
        <w:right w:val="none" w:sz="0" w:space="0" w:color="auto"/>
      </w:divBdr>
    </w:div>
    <w:div w:id="1793595001">
      <w:bodyDiv w:val="1"/>
      <w:marLeft w:val="0"/>
      <w:marRight w:val="0"/>
      <w:marTop w:val="0"/>
      <w:marBottom w:val="0"/>
      <w:divBdr>
        <w:top w:val="none" w:sz="0" w:space="0" w:color="auto"/>
        <w:left w:val="none" w:sz="0" w:space="0" w:color="auto"/>
        <w:bottom w:val="none" w:sz="0" w:space="0" w:color="auto"/>
        <w:right w:val="none" w:sz="0" w:space="0" w:color="auto"/>
      </w:divBdr>
    </w:div>
    <w:div w:id="1815948578">
      <w:bodyDiv w:val="1"/>
      <w:marLeft w:val="0"/>
      <w:marRight w:val="0"/>
      <w:marTop w:val="0"/>
      <w:marBottom w:val="0"/>
      <w:divBdr>
        <w:top w:val="none" w:sz="0" w:space="0" w:color="auto"/>
        <w:left w:val="none" w:sz="0" w:space="0" w:color="auto"/>
        <w:bottom w:val="none" w:sz="0" w:space="0" w:color="auto"/>
        <w:right w:val="none" w:sz="0" w:space="0" w:color="auto"/>
      </w:divBdr>
    </w:div>
    <w:div w:id="1882328560">
      <w:bodyDiv w:val="1"/>
      <w:marLeft w:val="0"/>
      <w:marRight w:val="0"/>
      <w:marTop w:val="0"/>
      <w:marBottom w:val="0"/>
      <w:divBdr>
        <w:top w:val="none" w:sz="0" w:space="0" w:color="auto"/>
        <w:left w:val="none" w:sz="0" w:space="0" w:color="auto"/>
        <w:bottom w:val="none" w:sz="0" w:space="0" w:color="auto"/>
        <w:right w:val="none" w:sz="0" w:space="0" w:color="auto"/>
      </w:divBdr>
    </w:div>
    <w:div w:id="1928608396">
      <w:bodyDiv w:val="1"/>
      <w:marLeft w:val="0"/>
      <w:marRight w:val="0"/>
      <w:marTop w:val="0"/>
      <w:marBottom w:val="0"/>
      <w:divBdr>
        <w:top w:val="none" w:sz="0" w:space="0" w:color="auto"/>
        <w:left w:val="none" w:sz="0" w:space="0" w:color="auto"/>
        <w:bottom w:val="none" w:sz="0" w:space="0" w:color="auto"/>
        <w:right w:val="none" w:sz="0" w:space="0" w:color="auto"/>
      </w:divBdr>
    </w:div>
    <w:div w:id="2065054744">
      <w:bodyDiv w:val="1"/>
      <w:marLeft w:val="0"/>
      <w:marRight w:val="0"/>
      <w:marTop w:val="0"/>
      <w:marBottom w:val="0"/>
      <w:divBdr>
        <w:top w:val="none" w:sz="0" w:space="0" w:color="auto"/>
        <w:left w:val="none" w:sz="0" w:space="0" w:color="auto"/>
        <w:bottom w:val="none" w:sz="0" w:space="0" w:color="auto"/>
        <w:right w:val="none" w:sz="0" w:space="0" w:color="auto"/>
      </w:divBdr>
    </w:div>
    <w:div w:id="211008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VM-DFS.mf.mfsr.sk\FileShare\ADRESARE\IFP_NEW\5_MATERIALY\5_3_Strategicke_materialy\List%20dlh\2023\Dlh_dlhodoba%20projekcia_2040_2024.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VM-DFS.mf.mfsr.sk\FileShare\ADRESARE\IFP_NEW\5_MATERIALY\5_3_Strategicke_materialy\List%20dlh\2023\DLH_Model_2024_PS%202024_List%20dlh.xlsm"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VM-DFS.mf.mfsr.sk\FileShare\ADRESARE\IFP_NEW\5_MATERIALY\5_3_Strategicke_materialy\List%20dlh\2023\DLH_Model_2024_PS%202024_List%20dlh.xlsm"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VM-DFS.mf.mfsr.sk\FileShare\ADRESARE\IFP_NEW\5_MATERIALY\5_3_Strategicke_materialy\List%20dlh\2023\DLH_Model_2024_PS%202024_List%20dlh.xlsm"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VM-DFS.mf.mfsr.sk\FileShare\ADRESARE\IFP_NEW\5_MATERIALY\5_3_Strategicke_materialy\List%20dlh\2023\DLH_Model_2024_PS%202024_List%20dlh.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0241803528496984E-2"/>
          <c:y val="2.9236351448750038E-2"/>
          <c:w val="0.92904001871013109"/>
          <c:h val="0.84922819610439382"/>
        </c:manualLayout>
      </c:layout>
      <c:areaChart>
        <c:grouping val="stacked"/>
        <c:varyColors val="0"/>
        <c:ser>
          <c:idx val="0"/>
          <c:order val="0"/>
          <c:tx>
            <c:strRef>
              <c:f>Graf!$B$148</c:f>
              <c:strCache>
                <c:ptCount val="1"/>
                <c:pt idx="0">
                  <c:v>Hrubý dlh (pri splnení rozpočtových cieľov deficitu)</c:v>
                </c:pt>
              </c:strCache>
            </c:strRef>
          </c:tx>
          <c:spPr>
            <a:solidFill>
              <a:srgbClr val="2C9ADC">
                <a:lumMod val="75000"/>
              </a:srgbClr>
            </a:solidFill>
            <a:ln w="25400">
              <a:noFill/>
            </a:ln>
            <a:effectLst/>
          </c:spPr>
          <c:cat>
            <c:numRef>
              <c:f>Graf!$C$147:$AI$147</c:f>
              <c:numCache>
                <c:formatCode>General</c:formatCode>
                <c:ptCount val="3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pt idx="18">
                  <c:v>2026</c:v>
                </c:pt>
                <c:pt idx="19">
                  <c:v>2027</c:v>
                </c:pt>
                <c:pt idx="20">
                  <c:v>2028</c:v>
                </c:pt>
                <c:pt idx="21">
                  <c:v>2029</c:v>
                </c:pt>
                <c:pt idx="22">
                  <c:v>2030</c:v>
                </c:pt>
                <c:pt idx="23">
                  <c:v>2031</c:v>
                </c:pt>
                <c:pt idx="24">
                  <c:v>2032</c:v>
                </c:pt>
                <c:pt idx="25">
                  <c:v>2033</c:v>
                </c:pt>
                <c:pt idx="26">
                  <c:v>2034</c:v>
                </c:pt>
                <c:pt idx="27">
                  <c:v>2035</c:v>
                </c:pt>
                <c:pt idx="28">
                  <c:v>2036</c:v>
                </c:pt>
                <c:pt idx="29">
                  <c:v>2037</c:v>
                </c:pt>
                <c:pt idx="30">
                  <c:v>2038</c:v>
                </c:pt>
                <c:pt idx="31">
                  <c:v>2039</c:v>
                </c:pt>
                <c:pt idx="32">
                  <c:v>2040</c:v>
                </c:pt>
              </c:numCache>
            </c:numRef>
          </c:cat>
          <c:val>
            <c:numRef>
              <c:f>Graf!$C$148:$AI$148</c:f>
              <c:numCache>
                <c:formatCode>0.0</c:formatCode>
                <c:ptCount val="33"/>
                <c:pt idx="0">
                  <c:v>28.598844266178187</c:v>
                </c:pt>
                <c:pt idx="1">
                  <c:v>36.360888192511553</c:v>
                </c:pt>
                <c:pt idx="2">
                  <c:v>40.614937142320493</c:v>
                </c:pt>
                <c:pt idx="3">
                  <c:v>43.155992060050387</c:v>
                </c:pt>
                <c:pt idx="4">
                  <c:v>51.729081258755947</c:v>
                </c:pt>
                <c:pt idx="5">
                  <c:v>54.692556634304204</c:v>
                </c:pt>
                <c:pt idx="6">
                  <c:v>53.492576287948566</c:v>
                </c:pt>
                <c:pt idx="7">
                  <c:v>51.685254712674713</c:v>
                </c:pt>
                <c:pt idx="8">
                  <c:v>52.274890812114805</c:v>
                </c:pt>
                <c:pt idx="9">
                  <c:v>51.46157115593779</c:v>
                </c:pt>
                <c:pt idx="10">
                  <c:v>49.408050829169454</c:v>
                </c:pt>
                <c:pt idx="11">
                  <c:v>47.978118841253959</c:v>
                </c:pt>
                <c:pt idx="12">
                  <c:v>58.851100662368225</c:v>
                </c:pt>
                <c:pt idx="13">
                  <c:v>61.081558627462272</c:v>
                </c:pt>
                <c:pt idx="14">
                  <c:v>57.802788675150573</c:v>
                </c:pt>
                <c:pt idx="15">
                  <c:v>56.044684106407651</c:v>
                </c:pt>
                <c:pt idx="16">
                  <c:v>58.463582980082137</c:v>
                </c:pt>
                <c:pt idx="17">
                  <c:v>59.498276219852556</c:v>
                </c:pt>
                <c:pt idx="18">
                  <c:v>61.101303832536345</c:v>
                </c:pt>
                <c:pt idx="19">
                  <c:v>62.265517227563684</c:v>
                </c:pt>
                <c:pt idx="20">
                  <c:v>62.166757353444481</c:v>
                </c:pt>
                <c:pt idx="21">
                  <c:v>61.407913695762474</c:v>
                </c:pt>
                <c:pt idx="22">
                  <c:v>59.42194073842807</c:v>
                </c:pt>
                <c:pt idx="23">
                  <c:v>56.968436693079525</c:v>
                </c:pt>
                <c:pt idx="24">
                  <c:v>54.576269621845441</c:v>
                </c:pt>
                <c:pt idx="25">
                  <c:v>52.287174186182064</c:v>
                </c:pt>
                <c:pt idx="26">
                  <c:v>50.558273956502653</c:v>
                </c:pt>
                <c:pt idx="27">
                  <c:v>48.887957244587227</c:v>
                </c:pt>
                <c:pt idx="28">
                  <c:v>47.274554701304012</c:v>
                </c:pt>
                <c:pt idx="29">
                  <c:v>45.716367512905244</c:v>
                </c:pt>
                <c:pt idx="30">
                  <c:v>44.236629958519522</c:v>
                </c:pt>
                <c:pt idx="31">
                  <c:v>42.828368156907558</c:v>
                </c:pt>
                <c:pt idx="32">
                  <c:v>41.489655172922937</c:v>
                </c:pt>
              </c:numCache>
            </c:numRef>
          </c:val>
          <c:extLst>
            <c:ext xmlns:c16="http://schemas.microsoft.com/office/drawing/2014/chart" uri="{C3380CC4-5D6E-409C-BE32-E72D297353CC}">
              <c16:uniqueId val="{00000000-589E-411F-9EB5-B0857B220D37}"/>
            </c:ext>
          </c:extLst>
        </c:ser>
        <c:dLbls>
          <c:showLegendKey val="0"/>
          <c:showVal val="0"/>
          <c:showCatName val="0"/>
          <c:showSerName val="0"/>
          <c:showPercent val="0"/>
          <c:showBubbleSize val="0"/>
        </c:dLbls>
        <c:axId val="319272512"/>
        <c:axId val="319271336"/>
      </c:areaChart>
      <c:lineChart>
        <c:grouping val="standard"/>
        <c:varyColors val="0"/>
        <c:ser>
          <c:idx val="2"/>
          <c:order val="1"/>
          <c:tx>
            <c:strRef>
              <c:f>Graf!$B$148</c:f>
              <c:strCache>
                <c:ptCount val="1"/>
                <c:pt idx="0">
                  <c:v>Hrubý dlh (pri splnení rozpočtových cieľov deficitu)</c:v>
                </c:pt>
              </c:strCache>
            </c:strRef>
          </c:tx>
          <c:spPr>
            <a:ln w="25400" cap="rnd">
              <a:noFill/>
              <a:round/>
            </a:ln>
            <a:effectLst/>
          </c:spPr>
          <c:marker>
            <c:symbol val="circle"/>
            <c:size val="5"/>
            <c:spPr>
              <a:solidFill>
                <a:sysClr val="windowText" lastClr="000000"/>
              </a:solidFill>
              <a:ln w="3175">
                <a:solidFill>
                  <a:sysClr val="window" lastClr="FFFFFF"/>
                </a:solidFill>
              </a:ln>
              <a:effectLst/>
            </c:spPr>
          </c:marker>
          <c:dPt>
            <c:idx val="1"/>
            <c:marker>
              <c:symbol val="none"/>
            </c:marker>
            <c:bubble3D val="0"/>
            <c:extLst>
              <c:ext xmlns:c16="http://schemas.microsoft.com/office/drawing/2014/chart" uri="{C3380CC4-5D6E-409C-BE32-E72D297353CC}">
                <c16:uniqueId val="{00000001-589E-411F-9EB5-B0857B220D37}"/>
              </c:ext>
            </c:extLst>
          </c:dPt>
          <c:dPt>
            <c:idx val="2"/>
            <c:marker>
              <c:symbol val="none"/>
            </c:marker>
            <c:bubble3D val="0"/>
            <c:extLst>
              <c:ext xmlns:c16="http://schemas.microsoft.com/office/drawing/2014/chart" uri="{C3380CC4-5D6E-409C-BE32-E72D297353CC}">
                <c16:uniqueId val="{00000002-589E-411F-9EB5-B0857B220D37}"/>
              </c:ext>
            </c:extLst>
          </c:dPt>
          <c:dPt>
            <c:idx val="3"/>
            <c:marker>
              <c:symbol val="none"/>
            </c:marker>
            <c:bubble3D val="0"/>
            <c:extLst>
              <c:ext xmlns:c16="http://schemas.microsoft.com/office/drawing/2014/chart" uri="{C3380CC4-5D6E-409C-BE32-E72D297353CC}">
                <c16:uniqueId val="{00000003-589E-411F-9EB5-B0857B220D37}"/>
              </c:ext>
            </c:extLst>
          </c:dPt>
          <c:dPt>
            <c:idx val="4"/>
            <c:marker>
              <c:symbol val="none"/>
            </c:marker>
            <c:bubble3D val="0"/>
            <c:extLst>
              <c:ext xmlns:c16="http://schemas.microsoft.com/office/drawing/2014/chart" uri="{C3380CC4-5D6E-409C-BE32-E72D297353CC}">
                <c16:uniqueId val="{00000004-589E-411F-9EB5-B0857B220D37}"/>
              </c:ext>
            </c:extLst>
          </c:dPt>
          <c:dPt>
            <c:idx val="6"/>
            <c:marker>
              <c:symbol val="none"/>
            </c:marker>
            <c:bubble3D val="0"/>
            <c:extLst>
              <c:ext xmlns:c16="http://schemas.microsoft.com/office/drawing/2014/chart" uri="{C3380CC4-5D6E-409C-BE32-E72D297353CC}">
                <c16:uniqueId val="{00000005-589E-411F-9EB5-B0857B220D37}"/>
              </c:ext>
            </c:extLst>
          </c:dPt>
          <c:dPt>
            <c:idx val="7"/>
            <c:marker>
              <c:symbol val="none"/>
            </c:marker>
            <c:bubble3D val="0"/>
            <c:extLst>
              <c:ext xmlns:c16="http://schemas.microsoft.com/office/drawing/2014/chart" uri="{C3380CC4-5D6E-409C-BE32-E72D297353CC}">
                <c16:uniqueId val="{00000006-589E-411F-9EB5-B0857B220D37}"/>
              </c:ext>
            </c:extLst>
          </c:dPt>
          <c:dPt>
            <c:idx val="8"/>
            <c:marker>
              <c:symbol val="none"/>
            </c:marker>
            <c:bubble3D val="0"/>
            <c:extLst>
              <c:ext xmlns:c16="http://schemas.microsoft.com/office/drawing/2014/chart" uri="{C3380CC4-5D6E-409C-BE32-E72D297353CC}">
                <c16:uniqueId val="{00000007-589E-411F-9EB5-B0857B220D37}"/>
              </c:ext>
            </c:extLst>
          </c:dPt>
          <c:dPt>
            <c:idx val="9"/>
            <c:marker>
              <c:symbol val="none"/>
            </c:marker>
            <c:bubble3D val="0"/>
            <c:extLst>
              <c:ext xmlns:c16="http://schemas.microsoft.com/office/drawing/2014/chart" uri="{C3380CC4-5D6E-409C-BE32-E72D297353CC}">
                <c16:uniqueId val="{00000008-589E-411F-9EB5-B0857B220D37}"/>
              </c:ext>
            </c:extLst>
          </c:dPt>
          <c:dPt>
            <c:idx val="10"/>
            <c:marker>
              <c:symbol val="none"/>
            </c:marker>
            <c:bubble3D val="0"/>
            <c:extLst>
              <c:ext xmlns:c16="http://schemas.microsoft.com/office/drawing/2014/chart" uri="{C3380CC4-5D6E-409C-BE32-E72D297353CC}">
                <c16:uniqueId val="{00000009-589E-411F-9EB5-B0857B220D37}"/>
              </c:ext>
            </c:extLst>
          </c:dPt>
          <c:dPt>
            <c:idx val="12"/>
            <c:marker>
              <c:symbol val="none"/>
            </c:marker>
            <c:bubble3D val="0"/>
            <c:extLst>
              <c:ext xmlns:c16="http://schemas.microsoft.com/office/drawing/2014/chart" uri="{C3380CC4-5D6E-409C-BE32-E72D297353CC}">
                <c16:uniqueId val="{0000000A-589E-411F-9EB5-B0857B220D37}"/>
              </c:ext>
            </c:extLst>
          </c:dPt>
          <c:dPt>
            <c:idx val="14"/>
            <c:marker>
              <c:symbol val="none"/>
            </c:marker>
            <c:bubble3D val="0"/>
            <c:extLst>
              <c:ext xmlns:c16="http://schemas.microsoft.com/office/drawing/2014/chart" uri="{C3380CC4-5D6E-409C-BE32-E72D297353CC}">
                <c16:uniqueId val="{0000000B-589E-411F-9EB5-B0857B220D37}"/>
              </c:ext>
            </c:extLst>
          </c:dPt>
          <c:dPt>
            <c:idx val="16"/>
            <c:marker>
              <c:symbol val="none"/>
            </c:marker>
            <c:bubble3D val="0"/>
            <c:extLst>
              <c:ext xmlns:c16="http://schemas.microsoft.com/office/drawing/2014/chart" uri="{C3380CC4-5D6E-409C-BE32-E72D297353CC}">
                <c16:uniqueId val="{0000000C-589E-411F-9EB5-B0857B220D37}"/>
              </c:ext>
            </c:extLst>
          </c:dPt>
          <c:dPt>
            <c:idx val="17"/>
            <c:marker>
              <c:symbol val="none"/>
            </c:marker>
            <c:bubble3D val="0"/>
            <c:extLst>
              <c:ext xmlns:c16="http://schemas.microsoft.com/office/drawing/2014/chart" uri="{C3380CC4-5D6E-409C-BE32-E72D297353CC}">
                <c16:uniqueId val="{0000000D-589E-411F-9EB5-B0857B220D37}"/>
              </c:ext>
            </c:extLst>
          </c:dPt>
          <c:dPt>
            <c:idx val="18"/>
            <c:marker>
              <c:symbol val="none"/>
            </c:marker>
            <c:bubble3D val="0"/>
            <c:extLst>
              <c:ext xmlns:c16="http://schemas.microsoft.com/office/drawing/2014/chart" uri="{C3380CC4-5D6E-409C-BE32-E72D297353CC}">
                <c16:uniqueId val="{0000000E-589E-411F-9EB5-B0857B220D37}"/>
              </c:ext>
            </c:extLst>
          </c:dPt>
          <c:dPt>
            <c:idx val="20"/>
            <c:marker>
              <c:symbol val="none"/>
            </c:marker>
            <c:bubble3D val="0"/>
            <c:extLst>
              <c:ext xmlns:c16="http://schemas.microsoft.com/office/drawing/2014/chart" uri="{C3380CC4-5D6E-409C-BE32-E72D297353CC}">
                <c16:uniqueId val="{0000000F-589E-411F-9EB5-B0857B220D37}"/>
              </c:ext>
            </c:extLst>
          </c:dPt>
          <c:dPt>
            <c:idx val="22"/>
            <c:marker>
              <c:symbol val="none"/>
            </c:marker>
            <c:bubble3D val="0"/>
            <c:extLst>
              <c:ext xmlns:c16="http://schemas.microsoft.com/office/drawing/2014/chart" uri="{C3380CC4-5D6E-409C-BE32-E72D297353CC}">
                <c16:uniqueId val="{00000010-589E-411F-9EB5-B0857B220D37}"/>
              </c:ext>
            </c:extLst>
          </c:dPt>
          <c:dPt>
            <c:idx val="24"/>
            <c:marker>
              <c:symbol val="none"/>
            </c:marker>
            <c:bubble3D val="0"/>
            <c:extLst>
              <c:ext xmlns:c16="http://schemas.microsoft.com/office/drawing/2014/chart" uri="{C3380CC4-5D6E-409C-BE32-E72D297353CC}">
                <c16:uniqueId val="{00000011-589E-411F-9EB5-B0857B220D37}"/>
              </c:ext>
            </c:extLst>
          </c:dPt>
          <c:dPt>
            <c:idx val="25"/>
            <c:marker>
              <c:symbol val="none"/>
            </c:marker>
            <c:bubble3D val="0"/>
            <c:extLst>
              <c:ext xmlns:c16="http://schemas.microsoft.com/office/drawing/2014/chart" uri="{C3380CC4-5D6E-409C-BE32-E72D297353CC}">
                <c16:uniqueId val="{00000012-589E-411F-9EB5-B0857B220D37}"/>
              </c:ext>
            </c:extLst>
          </c:dPt>
          <c:dPt>
            <c:idx val="26"/>
            <c:marker>
              <c:symbol val="none"/>
            </c:marker>
            <c:bubble3D val="0"/>
            <c:extLst>
              <c:ext xmlns:c16="http://schemas.microsoft.com/office/drawing/2014/chart" uri="{C3380CC4-5D6E-409C-BE32-E72D297353CC}">
                <c16:uniqueId val="{00000013-589E-411F-9EB5-B0857B220D37}"/>
              </c:ext>
            </c:extLst>
          </c:dPt>
          <c:dPt>
            <c:idx val="28"/>
            <c:marker>
              <c:symbol val="none"/>
            </c:marker>
            <c:bubble3D val="0"/>
            <c:extLst>
              <c:ext xmlns:c16="http://schemas.microsoft.com/office/drawing/2014/chart" uri="{C3380CC4-5D6E-409C-BE32-E72D297353CC}">
                <c16:uniqueId val="{00000014-589E-411F-9EB5-B0857B220D37}"/>
              </c:ext>
            </c:extLst>
          </c:dPt>
          <c:dPt>
            <c:idx val="29"/>
            <c:marker>
              <c:symbol val="none"/>
            </c:marker>
            <c:bubble3D val="0"/>
            <c:extLst>
              <c:ext xmlns:c16="http://schemas.microsoft.com/office/drawing/2014/chart" uri="{C3380CC4-5D6E-409C-BE32-E72D297353CC}">
                <c16:uniqueId val="{00000015-589E-411F-9EB5-B0857B220D37}"/>
              </c:ext>
            </c:extLst>
          </c:dPt>
          <c:dPt>
            <c:idx val="30"/>
            <c:marker>
              <c:symbol val="none"/>
            </c:marker>
            <c:bubble3D val="0"/>
            <c:extLst>
              <c:ext xmlns:c16="http://schemas.microsoft.com/office/drawing/2014/chart" uri="{C3380CC4-5D6E-409C-BE32-E72D297353CC}">
                <c16:uniqueId val="{00000016-589E-411F-9EB5-B0857B220D37}"/>
              </c:ext>
            </c:extLst>
          </c:dPt>
          <c:dPt>
            <c:idx val="31"/>
            <c:marker>
              <c:symbol val="none"/>
            </c:marker>
            <c:bubble3D val="0"/>
            <c:extLst>
              <c:ext xmlns:c16="http://schemas.microsoft.com/office/drawing/2014/chart" uri="{C3380CC4-5D6E-409C-BE32-E72D297353CC}">
                <c16:uniqueId val="{00000017-589E-411F-9EB5-B0857B220D37}"/>
              </c:ext>
            </c:extLst>
          </c:dPt>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89E-411F-9EB5-B0857B220D37}"/>
                </c:ext>
              </c:extLst>
            </c:dLbl>
            <c:dLbl>
              <c:idx val="1"/>
              <c:delete val="1"/>
              <c:extLst>
                <c:ext xmlns:c15="http://schemas.microsoft.com/office/drawing/2012/chart" uri="{CE6537A1-D6FC-4f65-9D91-7224C49458BB}"/>
                <c:ext xmlns:c16="http://schemas.microsoft.com/office/drawing/2014/chart" uri="{C3380CC4-5D6E-409C-BE32-E72D297353CC}">
                  <c16:uniqueId val="{00000001-589E-411F-9EB5-B0857B220D37}"/>
                </c:ext>
              </c:extLst>
            </c:dLbl>
            <c:dLbl>
              <c:idx val="2"/>
              <c:delete val="1"/>
              <c:extLst>
                <c:ext xmlns:c15="http://schemas.microsoft.com/office/drawing/2012/chart" uri="{CE6537A1-D6FC-4f65-9D91-7224C49458BB}"/>
                <c:ext xmlns:c16="http://schemas.microsoft.com/office/drawing/2014/chart" uri="{C3380CC4-5D6E-409C-BE32-E72D297353CC}">
                  <c16:uniqueId val="{00000002-589E-411F-9EB5-B0857B220D37}"/>
                </c:ext>
              </c:extLst>
            </c:dLbl>
            <c:dLbl>
              <c:idx val="3"/>
              <c:delete val="1"/>
              <c:extLst>
                <c:ext xmlns:c15="http://schemas.microsoft.com/office/drawing/2012/chart" uri="{CE6537A1-D6FC-4f65-9D91-7224C49458BB}"/>
                <c:ext xmlns:c16="http://schemas.microsoft.com/office/drawing/2014/chart" uri="{C3380CC4-5D6E-409C-BE32-E72D297353CC}">
                  <c16:uniqueId val="{00000003-589E-411F-9EB5-B0857B220D37}"/>
                </c:ext>
              </c:extLst>
            </c:dLbl>
            <c:dLbl>
              <c:idx val="4"/>
              <c:delete val="1"/>
              <c:extLst>
                <c:ext xmlns:c15="http://schemas.microsoft.com/office/drawing/2012/chart" uri="{CE6537A1-D6FC-4f65-9D91-7224C49458BB}"/>
                <c:ext xmlns:c16="http://schemas.microsoft.com/office/drawing/2014/chart" uri="{C3380CC4-5D6E-409C-BE32-E72D297353CC}">
                  <c16:uniqueId val="{00000004-589E-411F-9EB5-B0857B220D37}"/>
                </c:ext>
              </c:extLst>
            </c:dLbl>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89E-411F-9EB5-B0857B220D37}"/>
                </c:ext>
              </c:extLst>
            </c:dLbl>
            <c:dLbl>
              <c:idx val="6"/>
              <c:delete val="1"/>
              <c:extLst>
                <c:ext xmlns:c15="http://schemas.microsoft.com/office/drawing/2012/chart" uri="{CE6537A1-D6FC-4f65-9D91-7224C49458BB}"/>
                <c:ext xmlns:c16="http://schemas.microsoft.com/office/drawing/2014/chart" uri="{C3380CC4-5D6E-409C-BE32-E72D297353CC}">
                  <c16:uniqueId val="{00000005-589E-411F-9EB5-B0857B220D37}"/>
                </c:ext>
              </c:extLst>
            </c:dLbl>
            <c:dLbl>
              <c:idx val="7"/>
              <c:delete val="1"/>
              <c:extLst>
                <c:ext xmlns:c15="http://schemas.microsoft.com/office/drawing/2012/chart" uri="{CE6537A1-D6FC-4f65-9D91-7224C49458BB}"/>
                <c:ext xmlns:c16="http://schemas.microsoft.com/office/drawing/2014/chart" uri="{C3380CC4-5D6E-409C-BE32-E72D297353CC}">
                  <c16:uniqueId val="{00000006-589E-411F-9EB5-B0857B220D37}"/>
                </c:ext>
              </c:extLst>
            </c:dLbl>
            <c:dLbl>
              <c:idx val="8"/>
              <c:delete val="1"/>
              <c:extLst>
                <c:ext xmlns:c15="http://schemas.microsoft.com/office/drawing/2012/chart" uri="{CE6537A1-D6FC-4f65-9D91-7224C49458BB}"/>
                <c:ext xmlns:c16="http://schemas.microsoft.com/office/drawing/2014/chart" uri="{C3380CC4-5D6E-409C-BE32-E72D297353CC}">
                  <c16:uniqueId val="{00000007-589E-411F-9EB5-B0857B220D37}"/>
                </c:ext>
              </c:extLst>
            </c:dLbl>
            <c:dLbl>
              <c:idx val="9"/>
              <c:delete val="1"/>
              <c:extLst>
                <c:ext xmlns:c15="http://schemas.microsoft.com/office/drawing/2012/chart" uri="{CE6537A1-D6FC-4f65-9D91-7224C49458BB}"/>
                <c:ext xmlns:c16="http://schemas.microsoft.com/office/drawing/2014/chart" uri="{C3380CC4-5D6E-409C-BE32-E72D297353CC}">
                  <c16:uniqueId val="{00000008-589E-411F-9EB5-B0857B220D37}"/>
                </c:ext>
              </c:extLst>
            </c:dLbl>
            <c:dLbl>
              <c:idx val="10"/>
              <c:delete val="1"/>
              <c:extLst>
                <c:ext xmlns:c15="http://schemas.microsoft.com/office/drawing/2012/chart" uri="{CE6537A1-D6FC-4f65-9D91-7224C49458BB}"/>
                <c:ext xmlns:c16="http://schemas.microsoft.com/office/drawing/2014/chart" uri="{C3380CC4-5D6E-409C-BE32-E72D297353CC}">
                  <c16:uniqueId val="{00000009-589E-411F-9EB5-B0857B220D37}"/>
                </c:ext>
              </c:extLst>
            </c:dLbl>
            <c:dLbl>
              <c:idx val="12"/>
              <c:delete val="1"/>
              <c:extLst>
                <c:ext xmlns:c15="http://schemas.microsoft.com/office/drawing/2012/chart" uri="{CE6537A1-D6FC-4f65-9D91-7224C49458BB}"/>
                <c:ext xmlns:c16="http://schemas.microsoft.com/office/drawing/2014/chart" uri="{C3380CC4-5D6E-409C-BE32-E72D297353CC}">
                  <c16:uniqueId val="{0000000A-589E-411F-9EB5-B0857B220D37}"/>
                </c:ext>
              </c:extLst>
            </c:dLbl>
            <c:dLbl>
              <c:idx val="1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89E-411F-9EB5-B0857B220D37}"/>
                </c:ext>
              </c:extLst>
            </c:dLbl>
            <c:dLbl>
              <c:idx val="14"/>
              <c:delete val="1"/>
              <c:extLst>
                <c:ext xmlns:c15="http://schemas.microsoft.com/office/drawing/2012/chart" uri="{CE6537A1-D6FC-4f65-9D91-7224C49458BB}"/>
                <c:ext xmlns:c16="http://schemas.microsoft.com/office/drawing/2014/chart" uri="{C3380CC4-5D6E-409C-BE32-E72D297353CC}">
                  <c16:uniqueId val="{0000000B-589E-411F-9EB5-B0857B220D37}"/>
                </c:ext>
              </c:extLst>
            </c:dLbl>
            <c:dLbl>
              <c:idx val="16"/>
              <c:delete val="1"/>
              <c:extLst>
                <c:ext xmlns:c15="http://schemas.microsoft.com/office/drawing/2012/chart" uri="{CE6537A1-D6FC-4f65-9D91-7224C49458BB}"/>
                <c:ext xmlns:c16="http://schemas.microsoft.com/office/drawing/2014/chart" uri="{C3380CC4-5D6E-409C-BE32-E72D297353CC}">
                  <c16:uniqueId val="{0000000C-589E-411F-9EB5-B0857B220D37}"/>
                </c:ext>
              </c:extLst>
            </c:dLbl>
            <c:dLbl>
              <c:idx val="18"/>
              <c:delete val="1"/>
              <c:extLst>
                <c:ext xmlns:c15="http://schemas.microsoft.com/office/drawing/2012/chart" uri="{CE6537A1-D6FC-4f65-9D91-7224C49458BB}"/>
                <c:ext xmlns:c16="http://schemas.microsoft.com/office/drawing/2014/chart" uri="{C3380CC4-5D6E-409C-BE32-E72D297353CC}">
                  <c16:uniqueId val="{0000000E-589E-411F-9EB5-B0857B220D37}"/>
                </c:ext>
              </c:extLst>
            </c:dLbl>
            <c:dLbl>
              <c:idx val="20"/>
              <c:delete val="1"/>
              <c:extLst>
                <c:ext xmlns:c15="http://schemas.microsoft.com/office/drawing/2012/chart" uri="{CE6537A1-D6FC-4f65-9D91-7224C49458BB}"/>
                <c:ext xmlns:c16="http://schemas.microsoft.com/office/drawing/2014/chart" uri="{C3380CC4-5D6E-409C-BE32-E72D297353CC}">
                  <c16:uniqueId val="{0000000F-589E-411F-9EB5-B0857B220D37}"/>
                </c:ext>
              </c:extLst>
            </c:dLbl>
            <c:dLbl>
              <c:idx val="22"/>
              <c:delete val="1"/>
              <c:extLst>
                <c:ext xmlns:c15="http://schemas.microsoft.com/office/drawing/2012/chart" uri="{CE6537A1-D6FC-4f65-9D91-7224C49458BB}"/>
                <c:ext xmlns:c16="http://schemas.microsoft.com/office/drawing/2014/chart" uri="{C3380CC4-5D6E-409C-BE32-E72D297353CC}">
                  <c16:uniqueId val="{00000010-589E-411F-9EB5-B0857B220D37}"/>
                </c:ext>
              </c:extLst>
            </c:dLbl>
            <c:dLbl>
              <c:idx val="24"/>
              <c:delete val="1"/>
              <c:extLst>
                <c:ext xmlns:c15="http://schemas.microsoft.com/office/drawing/2012/chart" uri="{CE6537A1-D6FC-4f65-9D91-7224C49458BB}"/>
                <c:ext xmlns:c16="http://schemas.microsoft.com/office/drawing/2014/chart" uri="{C3380CC4-5D6E-409C-BE32-E72D297353CC}">
                  <c16:uniqueId val="{00000011-589E-411F-9EB5-B0857B220D37}"/>
                </c:ext>
              </c:extLst>
            </c:dLbl>
            <c:dLbl>
              <c:idx val="25"/>
              <c:delete val="1"/>
              <c:extLst>
                <c:ext xmlns:c15="http://schemas.microsoft.com/office/drawing/2012/chart" uri="{CE6537A1-D6FC-4f65-9D91-7224C49458BB}"/>
                <c:ext xmlns:c16="http://schemas.microsoft.com/office/drawing/2014/chart" uri="{C3380CC4-5D6E-409C-BE32-E72D297353CC}">
                  <c16:uniqueId val="{00000012-589E-411F-9EB5-B0857B220D37}"/>
                </c:ext>
              </c:extLst>
            </c:dLbl>
            <c:dLbl>
              <c:idx val="26"/>
              <c:delete val="1"/>
              <c:extLst>
                <c:ext xmlns:c15="http://schemas.microsoft.com/office/drawing/2012/chart" uri="{CE6537A1-D6FC-4f65-9D91-7224C49458BB}"/>
                <c:ext xmlns:c16="http://schemas.microsoft.com/office/drawing/2014/chart" uri="{C3380CC4-5D6E-409C-BE32-E72D297353CC}">
                  <c16:uniqueId val="{00000013-589E-411F-9EB5-B0857B220D37}"/>
                </c:ext>
              </c:extLst>
            </c:dLbl>
            <c:dLbl>
              <c:idx val="28"/>
              <c:delete val="1"/>
              <c:extLst>
                <c:ext xmlns:c15="http://schemas.microsoft.com/office/drawing/2012/chart" uri="{CE6537A1-D6FC-4f65-9D91-7224C49458BB}"/>
                <c:ext xmlns:c16="http://schemas.microsoft.com/office/drawing/2014/chart" uri="{C3380CC4-5D6E-409C-BE32-E72D297353CC}">
                  <c16:uniqueId val="{00000014-589E-411F-9EB5-B0857B220D37}"/>
                </c:ext>
              </c:extLst>
            </c:dLbl>
            <c:dLbl>
              <c:idx val="29"/>
              <c:delete val="1"/>
              <c:extLst>
                <c:ext xmlns:c15="http://schemas.microsoft.com/office/drawing/2012/chart" uri="{CE6537A1-D6FC-4f65-9D91-7224C49458BB}"/>
                <c:ext xmlns:c16="http://schemas.microsoft.com/office/drawing/2014/chart" uri="{C3380CC4-5D6E-409C-BE32-E72D297353CC}">
                  <c16:uniqueId val="{00000015-589E-411F-9EB5-B0857B220D37}"/>
                </c:ext>
              </c:extLst>
            </c:dLbl>
            <c:dLbl>
              <c:idx val="30"/>
              <c:delete val="1"/>
              <c:extLst>
                <c:ext xmlns:c15="http://schemas.microsoft.com/office/drawing/2012/chart" uri="{CE6537A1-D6FC-4f65-9D91-7224C49458BB}"/>
                <c:ext xmlns:c16="http://schemas.microsoft.com/office/drawing/2014/chart" uri="{C3380CC4-5D6E-409C-BE32-E72D297353CC}">
                  <c16:uniqueId val="{00000016-589E-411F-9EB5-B0857B220D37}"/>
                </c:ext>
              </c:extLst>
            </c:dLbl>
            <c:dLbl>
              <c:idx val="31"/>
              <c:delete val="1"/>
              <c:extLst>
                <c:ext xmlns:c15="http://schemas.microsoft.com/office/drawing/2012/chart" uri="{CE6537A1-D6FC-4f65-9D91-7224C49458BB}"/>
                <c:ext xmlns:c16="http://schemas.microsoft.com/office/drawing/2014/chart" uri="{C3380CC4-5D6E-409C-BE32-E72D297353CC}">
                  <c16:uniqueId val="{00000017-589E-411F-9EB5-B0857B220D37}"/>
                </c:ext>
              </c:extLst>
            </c:dLbl>
            <c:spPr>
              <a:solidFill>
                <a:sysClr val="window" lastClr="FFFFFF"/>
              </a:solidFill>
              <a:ln w="3175">
                <a:solidFill>
                  <a:sysClr val="windowText" lastClr="000000"/>
                </a:solid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solidFill>
                    <a:latin typeface="Arial Narrow" panose="020B0606020202030204" pitchFamily="34" charset="0"/>
                    <a:ea typeface="+mn-ea"/>
                    <a:cs typeface="+mn-cs"/>
                  </a:defRPr>
                </a:pPr>
                <a:endParaRPr lang="sk-SK"/>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Graf!$C$147:$AI$147</c:f>
              <c:numCache>
                <c:formatCode>General</c:formatCode>
                <c:ptCount val="3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pt idx="18">
                  <c:v>2026</c:v>
                </c:pt>
                <c:pt idx="19">
                  <c:v>2027</c:v>
                </c:pt>
                <c:pt idx="20">
                  <c:v>2028</c:v>
                </c:pt>
                <c:pt idx="21">
                  <c:v>2029</c:v>
                </c:pt>
                <c:pt idx="22">
                  <c:v>2030</c:v>
                </c:pt>
                <c:pt idx="23">
                  <c:v>2031</c:v>
                </c:pt>
                <c:pt idx="24">
                  <c:v>2032</c:v>
                </c:pt>
                <c:pt idx="25">
                  <c:v>2033</c:v>
                </c:pt>
                <c:pt idx="26">
                  <c:v>2034</c:v>
                </c:pt>
                <c:pt idx="27">
                  <c:v>2035</c:v>
                </c:pt>
                <c:pt idx="28">
                  <c:v>2036</c:v>
                </c:pt>
                <c:pt idx="29">
                  <c:v>2037</c:v>
                </c:pt>
                <c:pt idx="30">
                  <c:v>2038</c:v>
                </c:pt>
                <c:pt idx="31">
                  <c:v>2039</c:v>
                </c:pt>
                <c:pt idx="32">
                  <c:v>2040</c:v>
                </c:pt>
              </c:numCache>
            </c:numRef>
          </c:cat>
          <c:val>
            <c:numRef>
              <c:f>Graf!$C$148:$AI$148</c:f>
              <c:numCache>
                <c:formatCode>0.0</c:formatCode>
                <c:ptCount val="33"/>
                <c:pt idx="0">
                  <c:v>28.598844266178187</c:v>
                </c:pt>
                <c:pt idx="1">
                  <c:v>36.360888192511553</c:v>
                </c:pt>
                <c:pt idx="2">
                  <c:v>40.614937142320493</c:v>
                </c:pt>
                <c:pt idx="3">
                  <c:v>43.155992060050387</c:v>
                </c:pt>
                <c:pt idx="4">
                  <c:v>51.729081258755947</c:v>
                </c:pt>
                <c:pt idx="5">
                  <c:v>54.692556634304204</c:v>
                </c:pt>
                <c:pt idx="6">
                  <c:v>53.492576287948566</c:v>
                </c:pt>
                <c:pt idx="7">
                  <c:v>51.685254712674713</c:v>
                </c:pt>
                <c:pt idx="8">
                  <c:v>52.274890812114805</c:v>
                </c:pt>
                <c:pt idx="9">
                  <c:v>51.46157115593779</c:v>
                </c:pt>
                <c:pt idx="10">
                  <c:v>49.408050829169454</c:v>
                </c:pt>
                <c:pt idx="11">
                  <c:v>47.978118841253959</c:v>
                </c:pt>
                <c:pt idx="12">
                  <c:v>58.851100662368225</c:v>
                </c:pt>
                <c:pt idx="13">
                  <c:v>61.081558627462272</c:v>
                </c:pt>
                <c:pt idx="14">
                  <c:v>57.802788675150573</c:v>
                </c:pt>
                <c:pt idx="15">
                  <c:v>56.044684106407651</c:v>
                </c:pt>
                <c:pt idx="16">
                  <c:v>58.463582980082137</c:v>
                </c:pt>
                <c:pt idx="17">
                  <c:v>59.498276219852556</c:v>
                </c:pt>
                <c:pt idx="18">
                  <c:v>61.101303832536345</c:v>
                </c:pt>
                <c:pt idx="19">
                  <c:v>62.265517227563684</c:v>
                </c:pt>
                <c:pt idx="20">
                  <c:v>62.166757353444481</c:v>
                </c:pt>
                <c:pt idx="21">
                  <c:v>61.407913695762474</c:v>
                </c:pt>
                <c:pt idx="22">
                  <c:v>59.42194073842807</c:v>
                </c:pt>
                <c:pt idx="23">
                  <c:v>56.968436693079525</c:v>
                </c:pt>
                <c:pt idx="24">
                  <c:v>54.576269621845441</c:v>
                </c:pt>
                <c:pt idx="25">
                  <c:v>52.287174186182064</c:v>
                </c:pt>
                <c:pt idx="26">
                  <c:v>50.558273956502653</c:v>
                </c:pt>
                <c:pt idx="27">
                  <c:v>48.887957244587227</c:v>
                </c:pt>
                <c:pt idx="28">
                  <c:v>47.274554701304012</c:v>
                </c:pt>
                <c:pt idx="29">
                  <c:v>45.716367512905244</c:v>
                </c:pt>
                <c:pt idx="30">
                  <c:v>44.236629958519522</c:v>
                </c:pt>
                <c:pt idx="31">
                  <c:v>42.828368156907558</c:v>
                </c:pt>
                <c:pt idx="32">
                  <c:v>41.489655172922937</c:v>
                </c:pt>
              </c:numCache>
            </c:numRef>
          </c:val>
          <c:smooth val="0"/>
          <c:extLst>
            <c:ext xmlns:c16="http://schemas.microsoft.com/office/drawing/2014/chart" uri="{C3380CC4-5D6E-409C-BE32-E72D297353CC}">
              <c16:uniqueId val="{0000001B-589E-411F-9EB5-B0857B220D37}"/>
            </c:ext>
          </c:extLst>
        </c:ser>
        <c:ser>
          <c:idx val="7"/>
          <c:order val="2"/>
          <c:tx>
            <c:strRef>
              <c:f>Graf!$A$34</c:f>
              <c:strCache>
                <c:ptCount val="1"/>
                <c:pt idx="0">
                  <c:v>1. pásmo</c:v>
                </c:pt>
              </c:strCache>
            </c:strRef>
          </c:tx>
          <c:spPr>
            <a:ln w="12700" cap="rnd">
              <a:solidFill>
                <a:srgbClr val="FF7C80"/>
              </a:solidFill>
              <a:prstDash val="sysDash"/>
              <a:round/>
            </a:ln>
            <a:effectLst/>
          </c:spPr>
          <c:marker>
            <c:symbol val="none"/>
          </c:marker>
          <c:cat>
            <c:numRef>
              <c:f>Graf!$C$147:$AI$147</c:f>
              <c:numCache>
                <c:formatCode>General</c:formatCode>
                <c:ptCount val="3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pt idx="18">
                  <c:v>2026</c:v>
                </c:pt>
                <c:pt idx="19">
                  <c:v>2027</c:v>
                </c:pt>
                <c:pt idx="20">
                  <c:v>2028</c:v>
                </c:pt>
                <c:pt idx="21">
                  <c:v>2029</c:v>
                </c:pt>
                <c:pt idx="22">
                  <c:v>2030</c:v>
                </c:pt>
                <c:pt idx="23">
                  <c:v>2031</c:v>
                </c:pt>
                <c:pt idx="24">
                  <c:v>2032</c:v>
                </c:pt>
                <c:pt idx="25">
                  <c:v>2033</c:v>
                </c:pt>
                <c:pt idx="26">
                  <c:v>2034</c:v>
                </c:pt>
                <c:pt idx="27">
                  <c:v>2035</c:v>
                </c:pt>
                <c:pt idx="28">
                  <c:v>2036</c:v>
                </c:pt>
                <c:pt idx="29">
                  <c:v>2037</c:v>
                </c:pt>
                <c:pt idx="30">
                  <c:v>2038</c:v>
                </c:pt>
                <c:pt idx="31">
                  <c:v>2039</c:v>
                </c:pt>
                <c:pt idx="32">
                  <c:v>2040</c:v>
                </c:pt>
              </c:numCache>
            </c:numRef>
          </c:cat>
          <c:val>
            <c:numRef>
              <c:f>Graf!$C$151:$AI$151</c:f>
              <c:numCache>
                <c:formatCode>General</c:formatCode>
                <c:ptCount val="33"/>
                <c:pt idx="0">
                  <c:v>50</c:v>
                </c:pt>
                <c:pt idx="1">
                  <c:v>50</c:v>
                </c:pt>
                <c:pt idx="2">
                  <c:v>50</c:v>
                </c:pt>
                <c:pt idx="3">
                  <c:v>50</c:v>
                </c:pt>
                <c:pt idx="4">
                  <c:v>50</c:v>
                </c:pt>
                <c:pt idx="5">
                  <c:v>50</c:v>
                </c:pt>
                <c:pt idx="6">
                  <c:v>49</c:v>
                </c:pt>
                <c:pt idx="7">
                  <c:v>48</c:v>
                </c:pt>
                <c:pt idx="8">
                  <c:v>47</c:v>
                </c:pt>
                <c:pt idx="9">
                  <c:v>46</c:v>
                </c:pt>
                <c:pt idx="10">
                  <c:v>45</c:v>
                </c:pt>
                <c:pt idx="11">
                  <c:v>44</c:v>
                </c:pt>
                <c:pt idx="12">
                  <c:v>43</c:v>
                </c:pt>
                <c:pt idx="13">
                  <c:v>42</c:v>
                </c:pt>
                <c:pt idx="14">
                  <c:v>41</c:v>
                </c:pt>
                <c:pt idx="15">
                  <c:v>40</c:v>
                </c:pt>
                <c:pt idx="16">
                  <c:v>40</c:v>
                </c:pt>
                <c:pt idx="17">
                  <c:v>40</c:v>
                </c:pt>
                <c:pt idx="18">
                  <c:v>40</c:v>
                </c:pt>
                <c:pt idx="19">
                  <c:v>40</c:v>
                </c:pt>
                <c:pt idx="20">
                  <c:v>40</c:v>
                </c:pt>
                <c:pt idx="21">
                  <c:v>40</c:v>
                </c:pt>
                <c:pt idx="22">
                  <c:v>40</c:v>
                </c:pt>
                <c:pt idx="23">
                  <c:v>40</c:v>
                </c:pt>
                <c:pt idx="24">
                  <c:v>40</c:v>
                </c:pt>
                <c:pt idx="25">
                  <c:v>40</c:v>
                </c:pt>
                <c:pt idx="26">
                  <c:v>40</c:v>
                </c:pt>
                <c:pt idx="27">
                  <c:v>40</c:v>
                </c:pt>
                <c:pt idx="28">
                  <c:v>40</c:v>
                </c:pt>
                <c:pt idx="29">
                  <c:v>40</c:v>
                </c:pt>
                <c:pt idx="30">
                  <c:v>40</c:v>
                </c:pt>
                <c:pt idx="31">
                  <c:v>40</c:v>
                </c:pt>
                <c:pt idx="32">
                  <c:v>40</c:v>
                </c:pt>
              </c:numCache>
            </c:numRef>
          </c:val>
          <c:smooth val="0"/>
          <c:extLst>
            <c:ext xmlns:c16="http://schemas.microsoft.com/office/drawing/2014/chart" uri="{C3380CC4-5D6E-409C-BE32-E72D297353CC}">
              <c16:uniqueId val="{0000001C-589E-411F-9EB5-B0857B220D37}"/>
            </c:ext>
          </c:extLst>
        </c:ser>
        <c:ser>
          <c:idx val="1"/>
          <c:order val="3"/>
          <c:tx>
            <c:strRef>
              <c:f>Graf!$B$149</c:f>
              <c:strCache>
                <c:ptCount val="1"/>
                <c:pt idx="0">
                  <c:v>Hrubý dlh (pri aktuálnom nastavení rozpočtu)</c:v>
                </c:pt>
              </c:strCache>
            </c:strRef>
          </c:tx>
          <c:spPr>
            <a:ln w="19050" cap="rnd">
              <a:solidFill>
                <a:sysClr val="windowText" lastClr="000000"/>
              </a:solidFill>
              <a:round/>
            </a:ln>
            <a:effectLst/>
          </c:spPr>
          <c:marker>
            <c:symbol val="circle"/>
            <c:size val="5"/>
            <c:spPr>
              <a:solidFill>
                <a:srgbClr val="FF0000"/>
              </a:solidFill>
              <a:ln w="3175">
                <a:solidFill>
                  <a:sysClr val="windowText" lastClr="000000"/>
                </a:solidFill>
              </a:ln>
              <a:effectLst/>
            </c:spPr>
          </c:marker>
          <c:dPt>
            <c:idx val="20"/>
            <c:marker>
              <c:symbol val="none"/>
            </c:marker>
            <c:bubble3D val="0"/>
            <c:extLst>
              <c:ext xmlns:c16="http://schemas.microsoft.com/office/drawing/2014/chart" uri="{C3380CC4-5D6E-409C-BE32-E72D297353CC}">
                <c16:uniqueId val="{0000001D-589E-411F-9EB5-B0857B220D37}"/>
              </c:ext>
            </c:extLst>
          </c:dPt>
          <c:dPt>
            <c:idx val="21"/>
            <c:marker>
              <c:symbol val="none"/>
            </c:marker>
            <c:bubble3D val="0"/>
            <c:extLst>
              <c:ext xmlns:c16="http://schemas.microsoft.com/office/drawing/2014/chart" uri="{C3380CC4-5D6E-409C-BE32-E72D297353CC}">
                <c16:uniqueId val="{0000001E-589E-411F-9EB5-B0857B220D37}"/>
              </c:ext>
            </c:extLst>
          </c:dPt>
          <c:dPt>
            <c:idx val="22"/>
            <c:marker>
              <c:symbol val="none"/>
            </c:marker>
            <c:bubble3D val="0"/>
            <c:extLst>
              <c:ext xmlns:c16="http://schemas.microsoft.com/office/drawing/2014/chart" uri="{C3380CC4-5D6E-409C-BE32-E72D297353CC}">
                <c16:uniqueId val="{0000001F-589E-411F-9EB5-B0857B220D37}"/>
              </c:ext>
            </c:extLst>
          </c:dPt>
          <c:dPt>
            <c:idx val="23"/>
            <c:marker>
              <c:symbol val="none"/>
            </c:marker>
            <c:bubble3D val="0"/>
            <c:extLst>
              <c:ext xmlns:c16="http://schemas.microsoft.com/office/drawing/2014/chart" uri="{C3380CC4-5D6E-409C-BE32-E72D297353CC}">
                <c16:uniqueId val="{00000020-589E-411F-9EB5-B0857B220D37}"/>
              </c:ext>
            </c:extLst>
          </c:dPt>
          <c:dPt>
            <c:idx val="24"/>
            <c:marker>
              <c:symbol val="none"/>
            </c:marker>
            <c:bubble3D val="0"/>
            <c:extLst>
              <c:ext xmlns:c16="http://schemas.microsoft.com/office/drawing/2014/chart" uri="{C3380CC4-5D6E-409C-BE32-E72D297353CC}">
                <c16:uniqueId val="{00000021-589E-411F-9EB5-B0857B220D37}"/>
              </c:ext>
            </c:extLst>
          </c:dPt>
          <c:dPt>
            <c:idx val="25"/>
            <c:marker>
              <c:symbol val="none"/>
            </c:marker>
            <c:bubble3D val="0"/>
            <c:extLst>
              <c:ext xmlns:c16="http://schemas.microsoft.com/office/drawing/2014/chart" uri="{C3380CC4-5D6E-409C-BE32-E72D297353CC}">
                <c16:uniqueId val="{00000022-589E-411F-9EB5-B0857B220D37}"/>
              </c:ext>
            </c:extLst>
          </c:dPt>
          <c:dPt>
            <c:idx val="26"/>
            <c:marker>
              <c:symbol val="none"/>
            </c:marker>
            <c:bubble3D val="0"/>
            <c:extLst>
              <c:ext xmlns:c16="http://schemas.microsoft.com/office/drawing/2014/chart" uri="{C3380CC4-5D6E-409C-BE32-E72D297353CC}">
                <c16:uniqueId val="{00000023-589E-411F-9EB5-B0857B220D37}"/>
              </c:ext>
            </c:extLst>
          </c:dPt>
          <c:dPt>
            <c:idx val="27"/>
            <c:marker>
              <c:symbol val="none"/>
            </c:marker>
            <c:bubble3D val="0"/>
            <c:extLst>
              <c:ext xmlns:c16="http://schemas.microsoft.com/office/drawing/2014/chart" uri="{C3380CC4-5D6E-409C-BE32-E72D297353CC}">
                <c16:uniqueId val="{00000024-589E-411F-9EB5-B0857B220D37}"/>
              </c:ext>
            </c:extLst>
          </c:dPt>
          <c:dPt>
            <c:idx val="28"/>
            <c:marker>
              <c:symbol val="none"/>
            </c:marker>
            <c:bubble3D val="0"/>
            <c:extLst>
              <c:ext xmlns:c16="http://schemas.microsoft.com/office/drawing/2014/chart" uri="{C3380CC4-5D6E-409C-BE32-E72D297353CC}">
                <c16:uniqueId val="{00000025-589E-411F-9EB5-B0857B220D37}"/>
              </c:ext>
            </c:extLst>
          </c:dPt>
          <c:dLbls>
            <c:dLbl>
              <c:idx val="20"/>
              <c:delete val="1"/>
              <c:extLst>
                <c:ext xmlns:c15="http://schemas.microsoft.com/office/drawing/2012/chart" uri="{CE6537A1-D6FC-4f65-9D91-7224C49458BB}"/>
                <c:ext xmlns:c16="http://schemas.microsoft.com/office/drawing/2014/chart" uri="{C3380CC4-5D6E-409C-BE32-E72D297353CC}">
                  <c16:uniqueId val="{0000001D-589E-411F-9EB5-B0857B220D37}"/>
                </c:ext>
              </c:extLst>
            </c:dLbl>
            <c:dLbl>
              <c:idx val="21"/>
              <c:delete val="1"/>
              <c:extLst>
                <c:ext xmlns:c15="http://schemas.microsoft.com/office/drawing/2012/chart" uri="{CE6537A1-D6FC-4f65-9D91-7224C49458BB}"/>
                <c:ext xmlns:c16="http://schemas.microsoft.com/office/drawing/2014/chart" uri="{C3380CC4-5D6E-409C-BE32-E72D297353CC}">
                  <c16:uniqueId val="{0000001E-589E-411F-9EB5-B0857B220D37}"/>
                </c:ext>
              </c:extLst>
            </c:dLbl>
            <c:dLbl>
              <c:idx val="22"/>
              <c:delete val="1"/>
              <c:extLst>
                <c:ext xmlns:c15="http://schemas.microsoft.com/office/drawing/2012/chart" uri="{CE6537A1-D6FC-4f65-9D91-7224C49458BB}"/>
                <c:ext xmlns:c16="http://schemas.microsoft.com/office/drawing/2014/chart" uri="{C3380CC4-5D6E-409C-BE32-E72D297353CC}">
                  <c16:uniqueId val="{0000001F-589E-411F-9EB5-B0857B220D37}"/>
                </c:ext>
              </c:extLst>
            </c:dLbl>
            <c:dLbl>
              <c:idx val="23"/>
              <c:delete val="1"/>
              <c:extLst>
                <c:ext xmlns:c15="http://schemas.microsoft.com/office/drawing/2012/chart" uri="{CE6537A1-D6FC-4f65-9D91-7224C49458BB}"/>
                <c:ext xmlns:c16="http://schemas.microsoft.com/office/drawing/2014/chart" uri="{C3380CC4-5D6E-409C-BE32-E72D297353CC}">
                  <c16:uniqueId val="{00000020-589E-411F-9EB5-B0857B220D37}"/>
                </c:ext>
              </c:extLst>
            </c:dLbl>
            <c:dLbl>
              <c:idx val="24"/>
              <c:delete val="1"/>
              <c:extLst>
                <c:ext xmlns:c15="http://schemas.microsoft.com/office/drawing/2012/chart" uri="{CE6537A1-D6FC-4f65-9D91-7224C49458BB}"/>
                <c:ext xmlns:c16="http://schemas.microsoft.com/office/drawing/2014/chart" uri="{C3380CC4-5D6E-409C-BE32-E72D297353CC}">
                  <c16:uniqueId val="{00000021-589E-411F-9EB5-B0857B220D37}"/>
                </c:ext>
              </c:extLst>
            </c:dLbl>
            <c:dLbl>
              <c:idx val="25"/>
              <c:delete val="1"/>
              <c:extLst>
                <c:ext xmlns:c15="http://schemas.microsoft.com/office/drawing/2012/chart" uri="{CE6537A1-D6FC-4f65-9D91-7224C49458BB}"/>
                <c:ext xmlns:c16="http://schemas.microsoft.com/office/drawing/2014/chart" uri="{C3380CC4-5D6E-409C-BE32-E72D297353CC}">
                  <c16:uniqueId val="{00000022-589E-411F-9EB5-B0857B220D37}"/>
                </c:ext>
              </c:extLst>
            </c:dLbl>
            <c:dLbl>
              <c:idx val="26"/>
              <c:delete val="1"/>
              <c:extLst>
                <c:ext xmlns:c15="http://schemas.microsoft.com/office/drawing/2012/chart" uri="{CE6537A1-D6FC-4f65-9D91-7224C49458BB}"/>
                <c:ext xmlns:c16="http://schemas.microsoft.com/office/drawing/2014/chart" uri="{C3380CC4-5D6E-409C-BE32-E72D297353CC}">
                  <c16:uniqueId val="{00000023-589E-411F-9EB5-B0857B220D37}"/>
                </c:ext>
              </c:extLst>
            </c:dLbl>
            <c:dLbl>
              <c:idx val="27"/>
              <c:delete val="1"/>
              <c:extLst>
                <c:ext xmlns:c15="http://schemas.microsoft.com/office/drawing/2012/chart" uri="{CE6537A1-D6FC-4f65-9D91-7224C49458BB}"/>
                <c:ext xmlns:c16="http://schemas.microsoft.com/office/drawing/2014/chart" uri="{C3380CC4-5D6E-409C-BE32-E72D297353CC}">
                  <c16:uniqueId val="{00000024-589E-411F-9EB5-B0857B220D37}"/>
                </c:ext>
              </c:extLst>
            </c:dLbl>
            <c:dLbl>
              <c:idx val="29"/>
              <c:delete val="1"/>
              <c:extLst>
                <c:ext xmlns:c15="http://schemas.microsoft.com/office/drawing/2012/chart" uri="{CE6537A1-D6FC-4f65-9D91-7224C49458BB}"/>
                <c:ext xmlns:c16="http://schemas.microsoft.com/office/drawing/2014/chart" uri="{C3380CC4-5D6E-409C-BE32-E72D297353CC}">
                  <c16:uniqueId val="{00000026-589E-411F-9EB5-B0857B220D37}"/>
                </c:ext>
              </c:extLst>
            </c:dLbl>
            <c:dLbl>
              <c:idx val="30"/>
              <c:delete val="1"/>
              <c:extLst>
                <c:ext xmlns:c15="http://schemas.microsoft.com/office/drawing/2012/chart" uri="{CE6537A1-D6FC-4f65-9D91-7224C49458BB}"/>
                <c:ext xmlns:c16="http://schemas.microsoft.com/office/drawing/2014/chart" uri="{C3380CC4-5D6E-409C-BE32-E72D297353CC}">
                  <c16:uniqueId val="{00000027-589E-411F-9EB5-B0857B220D37}"/>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rgbClr val="FF0000"/>
                    </a:solidFill>
                    <a:latin typeface="Arial Narrow" panose="020B0606020202030204" pitchFamily="34" charset="0"/>
                    <a:ea typeface="+mn-ea"/>
                    <a:cs typeface="+mn-cs"/>
                  </a:defRPr>
                </a:pPr>
                <a:endParaRPr lang="sk-S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Graf!$C$147:$AI$147</c:f>
              <c:numCache>
                <c:formatCode>General</c:formatCode>
                <c:ptCount val="3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pt idx="18">
                  <c:v>2026</c:v>
                </c:pt>
                <c:pt idx="19">
                  <c:v>2027</c:v>
                </c:pt>
                <c:pt idx="20">
                  <c:v>2028</c:v>
                </c:pt>
                <c:pt idx="21">
                  <c:v>2029</c:v>
                </c:pt>
                <c:pt idx="22">
                  <c:v>2030</c:v>
                </c:pt>
                <c:pt idx="23">
                  <c:v>2031</c:v>
                </c:pt>
                <c:pt idx="24">
                  <c:v>2032</c:v>
                </c:pt>
                <c:pt idx="25">
                  <c:v>2033</c:v>
                </c:pt>
                <c:pt idx="26">
                  <c:v>2034</c:v>
                </c:pt>
                <c:pt idx="27">
                  <c:v>2035</c:v>
                </c:pt>
                <c:pt idx="28">
                  <c:v>2036</c:v>
                </c:pt>
                <c:pt idx="29">
                  <c:v>2037</c:v>
                </c:pt>
                <c:pt idx="30">
                  <c:v>2038</c:v>
                </c:pt>
                <c:pt idx="31">
                  <c:v>2039</c:v>
                </c:pt>
                <c:pt idx="32">
                  <c:v>2040</c:v>
                </c:pt>
              </c:numCache>
            </c:numRef>
          </c:cat>
          <c:val>
            <c:numRef>
              <c:f>Graf!$C$149:$AI$149</c:f>
              <c:numCache>
                <c:formatCode>0.0</c:formatCode>
                <c:ptCount val="33"/>
                <c:pt idx="0">
                  <c:v>#N/A</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58.62345712963095</c:v>
                </c:pt>
                <c:pt idx="17">
                  <c:v>59.826082434399538</c:v>
                </c:pt>
                <c:pt idx="18">
                  <c:v>63.591907584712345</c:v>
                </c:pt>
                <c:pt idx="19">
                  <c:v>67.826648508936699</c:v>
                </c:pt>
                <c:pt idx="20">
                  <c:v>70.940475129953171</c:v>
                </c:pt>
                <c:pt idx="21">
                  <c:v>74.351836656808416</c:v>
                </c:pt>
                <c:pt idx="22">
                  <c:v>78.276242081779785</c:v>
                </c:pt>
                <c:pt idx="23">
                  <c:v>81.662612956924292</c:v>
                </c:pt>
                <c:pt idx="24">
                  <c:v>85.042081152928901</c:v>
                </c:pt>
                <c:pt idx="25">
                  <c:v>88.486828407418272</c:v>
                </c:pt>
                <c:pt idx="26">
                  <c:v>92.411707385638465</c:v>
                </c:pt>
                <c:pt idx="27">
                  <c:v>96.308480332778018</c:v>
                </c:pt>
                <c:pt idx="28">
                  <c:v>100.16465704190412</c:v>
                </c:pt>
                <c:pt idx="29">
                  <c:v>103.98708206073518</c:v>
                </c:pt>
                <c:pt idx="30">
                  <c:v>107.84172974301869</c:v>
                </c:pt>
                <c:pt idx="31">
                  <c:v>111.70899229362341</c:v>
                </c:pt>
                <c:pt idx="32">
                  <c:v>115.65002974546363</c:v>
                </c:pt>
              </c:numCache>
            </c:numRef>
          </c:val>
          <c:smooth val="1"/>
          <c:extLst>
            <c:ext xmlns:c16="http://schemas.microsoft.com/office/drawing/2014/chart" uri="{C3380CC4-5D6E-409C-BE32-E72D297353CC}">
              <c16:uniqueId val="{00000028-589E-411F-9EB5-B0857B220D37}"/>
            </c:ext>
          </c:extLst>
        </c:ser>
        <c:ser>
          <c:idx val="3"/>
          <c:order val="4"/>
          <c:tx>
            <c:strRef>
              <c:f>Graf!$B$150</c:f>
              <c:strCache>
                <c:ptCount val="1"/>
                <c:pt idx="0">
                  <c:v>Horné a dolné sankčné pásma dlhovej brzdy</c:v>
                </c:pt>
              </c:strCache>
            </c:strRef>
          </c:tx>
          <c:spPr>
            <a:ln w="12700" cap="rnd">
              <a:solidFill>
                <a:srgbClr val="FF7C80"/>
              </a:solidFill>
              <a:prstDash val="sysDash"/>
              <a:round/>
            </a:ln>
            <a:effectLst/>
          </c:spPr>
          <c:marker>
            <c:symbol val="none"/>
          </c:marker>
          <c:cat>
            <c:numRef>
              <c:f>Graf!$C$147:$AI$147</c:f>
              <c:numCache>
                <c:formatCode>General</c:formatCode>
                <c:ptCount val="3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pt idx="18">
                  <c:v>2026</c:v>
                </c:pt>
                <c:pt idx="19">
                  <c:v>2027</c:v>
                </c:pt>
                <c:pt idx="20">
                  <c:v>2028</c:v>
                </c:pt>
                <c:pt idx="21">
                  <c:v>2029</c:v>
                </c:pt>
                <c:pt idx="22">
                  <c:v>2030</c:v>
                </c:pt>
                <c:pt idx="23">
                  <c:v>2031</c:v>
                </c:pt>
                <c:pt idx="24">
                  <c:v>2032</c:v>
                </c:pt>
                <c:pt idx="25">
                  <c:v>2033</c:v>
                </c:pt>
                <c:pt idx="26">
                  <c:v>2034</c:v>
                </c:pt>
                <c:pt idx="27">
                  <c:v>2035</c:v>
                </c:pt>
                <c:pt idx="28">
                  <c:v>2036</c:v>
                </c:pt>
                <c:pt idx="29">
                  <c:v>2037</c:v>
                </c:pt>
                <c:pt idx="30">
                  <c:v>2038</c:v>
                </c:pt>
                <c:pt idx="31">
                  <c:v>2039</c:v>
                </c:pt>
                <c:pt idx="32">
                  <c:v>2040</c:v>
                </c:pt>
              </c:numCache>
            </c:numRef>
          </c:cat>
          <c:val>
            <c:numRef>
              <c:f>Graf!$C$150:$AI$150</c:f>
              <c:numCache>
                <c:formatCode>General</c:formatCode>
                <c:ptCount val="33"/>
                <c:pt idx="0">
                  <c:v>60</c:v>
                </c:pt>
                <c:pt idx="1">
                  <c:v>60</c:v>
                </c:pt>
                <c:pt idx="2">
                  <c:v>60</c:v>
                </c:pt>
                <c:pt idx="3">
                  <c:v>60</c:v>
                </c:pt>
                <c:pt idx="4">
                  <c:v>60</c:v>
                </c:pt>
                <c:pt idx="5">
                  <c:v>60</c:v>
                </c:pt>
                <c:pt idx="6">
                  <c:v>59</c:v>
                </c:pt>
                <c:pt idx="7">
                  <c:v>58</c:v>
                </c:pt>
                <c:pt idx="8">
                  <c:v>57</c:v>
                </c:pt>
                <c:pt idx="9">
                  <c:v>56</c:v>
                </c:pt>
                <c:pt idx="10">
                  <c:v>55</c:v>
                </c:pt>
                <c:pt idx="11">
                  <c:v>54</c:v>
                </c:pt>
                <c:pt idx="12">
                  <c:v>53</c:v>
                </c:pt>
                <c:pt idx="13">
                  <c:v>52</c:v>
                </c:pt>
                <c:pt idx="14">
                  <c:v>51</c:v>
                </c:pt>
                <c:pt idx="15">
                  <c:v>50</c:v>
                </c:pt>
                <c:pt idx="16">
                  <c:v>50</c:v>
                </c:pt>
                <c:pt idx="17">
                  <c:v>50</c:v>
                </c:pt>
                <c:pt idx="18">
                  <c:v>50</c:v>
                </c:pt>
                <c:pt idx="19">
                  <c:v>50</c:v>
                </c:pt>
                <c:pt idx="20">
                  <c:v>50</c:v>
                </c:pt>
                <c:pt idx="21">
                  <c:v>50</c:v>
                </c:pt>
                <c:pt idx="22">
                  <c:v>50</c:v>
                </c:pt>
                <c:pt idx="23">
                  <c:v>50</c:v>
                </c:pt>
                <c:pt idx="24">
                  <c:v>50</c:v>
                </c:pt>
                <c:pt idx="25">
                  <c:v>50</c:v>
                </c:pt>
                <c:pt idx="26">
                  <c:v>50</c:v>
                </c:pt>
                <c:pt idx="27">
                  <c:v>50</c:v>
                </c:pt>
                <c:pt idx="28">
                  <c:v>50</c:v>
                </c:pt>
                <c:pt idx="29">
                  <c:v>50</c:v>
                </c:pt>
                <c:pt idx="30">
                  <c:v>50</c:v>
                </c:pt>
                <c:pt idx="31">
                  <c:v>50</c:v>
                </c:pt>
                <c:pt idx="32">
                  <c:v>50</c:v>
                </c:pt>
              </c:numCache>
            </c:numRef>
          </c:val>
          <c:smooth val="0"/>
          <c:extLst>
            <c:ext xmlns:c16="http://schemas.microsoft.com/office/drawing/2014/chart" uri="{C3380CC4-5D6E-409C-BE32-E72D297353CC}">
              <c16:uniqueId val="{00000029-589E-411F-9EB5-B0857B220D37}"/>
            </c:ext>
          </c:extLst>
        </c:ser>
        <c:dLbls>
          <c:showLegendKey val="0"/>
          <c:showVal val="0"/>
          <c:showCatName val="0"/>
          <c:showSerName val="0"/>
          <c:showPercent val="0"/>
          <c:showBubbleSize val="0"/>
        </c:dLbls>
        <c:marker val="1"/>
        <c:smooth val="0"/>
        <c:axId val="319272512"/>
        <c:axId val="319271336"/>
        <c:extLst/>
      </c:lineChart>
      <c:dateAx>
        <c:axId val="319272512"/>
        <c:scaling>
          <c:orientation val="minMax"/>
        </c:scaling>
        <c:delete val="0"/>
        <c:axPos val="b"/>
        <c:numFmt formatCode="General" sourceLinked="1"/>
        <c:majorTickMark val="none"/>
        <c:minorTickMark val="none"/>
        <c:tickLblPos val="nextTo"/>
        <c:spPr>
          <a:noFill/>
          <a:ln w="12700" cap="flat" cmpd="sng" algn="ctr">
            <a:solidFill>
              <a:sysClr val="window" lastClr="FFFFFF">
                <a:lumMod val="50000"/>
              </a:sysClr>
            </a:solidFill>
            <a:round/>
          </a:ln>
          <a:effectLst/>
        </c:spPr>
        <c:txPr>
          <a:bodyPr rot="0" spcFirstLastPara="1" vertOverflow="ellipsis"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sk-SK"/>
          </a:p>
        </c:txPr>
        <c:crossAx val="319271336"/>
        <c:crosses val="autoZero"/>
        <c:auto val="0"/>
        <c:lblOffset val="100"/>
        <c:baseTimeUnit val="days"/>
        <c:majorUnit val="2"/>
        <c:majorTimeUnit val="days"/>
      </c:dateAx>
      <c:valAx>
        <c:axId val="319271336"/>
        <c:scaling>
          <c:orientation val="minMax"/>
          <c:max val="105"/>
          <c:min val="20"/>
        </c:scaling>
        <c:delete val="0"/>
        <c:axPos val="l"/>
        <c:majorGridlines>
          <c:spPr>
            <a:ln w="3175" cap="flat" cmpd="sng" algn="ctr">
              <a:solidFill>
                <a:schemeClr val="bg1">
                  <a:lumMod val="50000"/>
                  <a:alpha val="25000"/>
                </a:schemeClr>
              </a:solidFill>
              <a:prstDash val="sys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sk-SK"/>
          </a:p>
        </c:txPr>
        <c:crossAx val="319272512"/>
        <c:crosses val="autoZero"/>
        <c:crossBetween val="between"/>
      </c:valAx>
      <c:spPr>
        <a:noFill/>
        <a:ln>
          <a:noFill/>
        </a:ln>
        <a:effectLst/>
      </c:spPr>
    </c:plotArea>
    <c:legend>
      <c:legendPos val="t"/>
      <c:legendEntry>
        <c:idx val="1"/>
        <c:delete val="1"/>
      </c:legendEntry>
      <c:legendEntry>
        <c:idx val="2"/>
        <c:delete val="1"/>
      </c:legendEntry>
      <c:layout>
        <c:manualLayout>
          <c:xMode val="edge"/>
          <c:yMode val="edge"/>
          <c:x val="5.1487424071991E-2"/>
          <c:y val="7.7156259308187106E-2"/>
          <c:w val="0.43343568053993253"/>
          <c:h val="0.2273778367943683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sk-SK"/>
        </a:p>
      </c:txPr>
    </c:legend>
    <c:plotVisOnly val="1"/>
    <c:dispBlanksAs val="zero"/>
    <c:showDLblsOverMax val="0"/>
  </c:chart>
  <c:spPr>
    <a:noFill/>
    <a:ln w="9525" cap="flat" cmpd="sng" algn="ctr">
      <a:noFill/>
      <a:round/>
    </a:ln>
    <a:effectLst/>
  </c:spPr>
  <c:txPr>
    <a:bodyPr/>
    <a:lstStyle/>
    <a:p>
      <a:pPr>
        <a:defRPr>
          <a:solidFill>
            <a:schemeClr val="tx1"/>
          </a:solidFill>
          <a:latin typeface="Arial Narrow" panose="020B0606020202030204" pitchFamily="34" charset="0"/>
        </a:defRPr>
      </a:pPr>
      <a:endParaRPr lang="sk-SK"/>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3192709210695847E-2"/>
          <c:y val="4.2553191489361701E-2"/>
          <c:w val="0.90847981747355289"/>
          <c:h val="0.73997122187137765"/>
        </c:manualLayout>
      </c:layout>
      <c:areaChart>
        <c:grouping val="stacked"/>
        <c:varyColors val="0"/>
        <c:ser>
          <c:idx val="0"/>
          <c:order val="0"/>
          <c:tx>
            <c:v>Čistý dlh VS</c:v>
          </c:tx>
          <c:spPr>
            <a:solidFill>
              <a:schemeClr val="accent1">
                <a:lumMod val="75000"/>
              </a:schemeClr>
            </a:solidFill>
            <a:ln w="19050" cap="rnd">
              <a:noFill/>
              <a:round/>
            </a:ln>
            <a:effectLst/>
          </c:spPr>
          <c:cat>
            <c:numRef>
              <c:f>'Cisty dlh'!$K$2:$Z$2</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extLst/>
            </c:numRef>
          </c:cat>
          <c:val>
            <c:numRef>
              <c:f>Dashboard!$AA$56:$AP$56</c:f>
              <c:numCache>
                <c:formatCode>0.0</c:formatCode>
                <c:ptCount val="16"/>
                <c:pt idx="0">
                  <c:v>22.598307807313471</c:v>
                </c:pt>
                <c:pt idx="1">
                  <c:v>31.683494130065476</c:v>
                </c:pt>
                <c:pt idx="2">
                  <c:v>36.706550504576121</c:v>
                </c:pt>
                <c:pt idx="3">
                  <c:v>40.601867393190574</c:v>
                </c:pt>
                <c:pt idx="4">
                  <c:v>45.035327376079302</c:v>
                </c:pt>
                <c:pt idx="5">
                  <c:v>47.792694522811082</c:v>
                </c:pt>
                <c:pt idx="6">
                  <c:v>49.479847454749368</c:v>
                </c:pt>
                <c:pt idx="7">
                  <c:v>47.265967741226923</c:v>
                </c:pt>
                <c:pt idx="8">
                  <c:v>46.928444657557399</c:v>
                </c:pt>
                <c:pt idx="9">
                  <c:v>45.741709297628958</c:v>
                </c:pt>
                <c:pt idx="10">
                  <c:v>43.330589179314366</c:v>
                </c:pt>
                <c:pt idx="11">
                  <c:v>43.083368211118753</c:v>
                </c:pt>
                <c:pt idx="12">
                  <c:v>48.876438719372061</c:v>
                </c:pt>
                <c:pt idx="13">
                  <c:v>49.642058834382276</c:v>
                </c:pt>
                <c:pt idx="14">
                  <c:v>47.59613111340574</c:v>
                </c:pt>
                <c:pt idx="15">
                  <c:v>48.287756173939371</c:v>
                </c:pt>
              </c:numCache>
              <c:extLst/>
            </c:numRef>
          </c:val>
          <c:extLst>
            <c:ext xmlns:c16="http://schemas.microsoft.com/office/drawing/2014/chart" uri="{C3380CC4-5D6E-409C-BE32-E72D297353CC}">
              <c16:uniqueId val="{00000000-F04E-4643-9DA6-B3BD20835977}"/>
            </c:ext>
          </c:extLst>
        </c:ser>
        <c:ser>
          <c:idx val="1"/>
          <c:order val="1"/>
          <c:tx>
            <c:v>Likvidné finančné aktíva</c:v>
          </c:tx>
          <c:spPr>
            <a:ln w="25400">
              <a:noFill/>
            </a:ln>
          </c:spPr>
          <c:cat>
            <c:numRef>
              <c:f>'Cisty dlh'!$K$2:$Z$2</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extLst/>
            </c:numRef>
          </c:cat>
          <c:val>
            <c:numRef>
              <c:f>Dashboard!$AA$57:$AP$57</c:f>
              <c:numCache>
                <c:formatCode>0.0</c:formatCode>
                <c:ptCount val="16"/>
                <c:pt idx="0">
                  <c:v>6.0005364588647154</c:v>
                </c:pt>
                <c:pt idx="1">
                  <c:v>4.6773940624460764</c:v>
                </c:pt>
                <c:pt idx="2">
                  <c:v>3.9083866377443712</c:v>
                </c:pt>
                <c:pt idx="3">
                  <c:v>2.5541246668598134</c:v>
                </c:pt>
                <c:pt idx="4">
                  <c:v>6.6937538826766456</c:v>
                </c:pt>
                <c:pt idx="5">
                  <c:v>6.8998621114931211</c:v>
                </c:pt>
                <c:pt idx="6">
                  <c:v>4.0127288331991977</c:v>
                </c:pt>
                <c:pt idx="7">
                  <c:v>4.4192869714477894</c:v>
                </c:pt>
                <c:pt idx="8">
                  <c:v>5.3464461545574054</c:v>
                </c:pt>
                <c:pt idx="9">
                  <c:v>5.7198618583088319</c:v>
                </c:pt>
                <c:pt idx="10">
                  <c:v>6.0774616498550884</c:v>
                </c:pt>
                <c:pt idx="11">
                  <c:v>4.8947506301352064</c:v>
                </c:pt>
                <c:pt idx="12">
                  <c:v>9.9711409413281373</c:v>
                </c:pt>
                <c:pt idx="13">
                  <c:v>11.446308396206327</c:v>
                </c:pt>
                <c:pt idx="14">
                  <c:v>10.145130531401122</c:v>
                </c:pt>
                <c:pt idx="15">
                  <c:v>7.7569279324682796</c:v>
                </c:pt>
              </c:numCache>
              <c:extLst/>
            </c:numRef>
          </c:val>
          <c:extLst>
            <c:ext xmlns:c16="http://schemas.microsoft.com/office/drawing/2014/chart" uri="{C3380CC4-5D6E-409C-BE32-E72D297353CC}">
              <c16:uniqueId val="{00000001-F04E-4643-9DA6-B3BD20835977}"/>
            </c:ext>
          </c:extLst>
        </c:ser>
        <c:dLbls>
          <c:showLegendKey val="0"/>
          <c:showVal val="0"/>
          <c:showCatName val="0"/>
          <c:showSerName val="0"/>
          <c:showPercent val="0"/>
          <c:showBubbleSize val="0"/>
        </c:dLbls>
        <c:axId val="560515240"/>
        <c:axId val="560515632"/>
      </c:areaChart>
      <c:lineChart>
        <c:grouping val="standard"/>
        <c:varyColors val="0"/>
        <c:ser>
          <c:idx val="2"/>
          <c:order val="2"/>
          <c:tx>
            <c:v>Hrubý dlh VS</c:v>
          </c:tx>
          <c:spPr>
            <a:ln>
              <a:noFill/>
            </a:ln>
          </c:spPr>
          <c:marker>
            <c:symbol val="circle"/>
            <c:size val="4"/>
            <c:spPr>
              <a:solidFill>
                <a:schemeClr val="tx1"/>
              </a:solidFill>
              <a:ln>
                <a:noFill/>
              </a:ln>
            </c:spPr>
          </c:marker>
          <c:dLbls>
            <c:dLbl>
              <c:idx val="1"/>
              <c:delete val="1"/>
              <c:extLst>
                <c:ext xmlns:c15="http://schemas.microsoft.com/office/drawing/2012/chart" uri="{CE6537A1-D6FC-4f65-9D91-7224C49458BB}"/>
                <c:ext xmlns:c16="http://schemas.microsoft.com/office/drawing/2014/chart" uri="{C3380CC4-5D6E-409C-BE32-E72D297353CC}">
                  <c16:uniqueId val="{0000000C-F04E-4643-9DA6-B3BD20835977}"/>
                </c:ext>
              </c:extLst>
            </c:dLbl>
            <c:dLbl>
              <c:idx val="2"/>
              <c:delete val="1"/>
              <c:extLst>
                <c:ext xmlns:c15="http://schemas.microsoft.com/office/drawing/2012/chart" uri="{CE6537A1-D6FC-4f65-9D91-7224C49458BB}"/>
                <c:ext xmlns:c16="http://schemas.microsoft.com/office/drawing/2014/chart" uri="{C3380CC4-5D6E-409C-BE32-E72D297353CC}">
                  <c16:uniqueId val="{0000000B-F04E-4643-9DA6-B3BD20835977}"/>
                </c:ext>
              </c:extLst>
            </c:dLbl>
            <c:dLbl>
              <c:idx val="3"/>
              <c:delete val="1"/>
              <c:extLst>
                <c:ext xmlns:c15="http://schemas.microsoft.com/office/drawing/2012/chart" uri="{CE6537A1-D6FC-4f65-9D91-7224C49458BB}"/>
                <c:ext xmlns:c16="http://schemas.microsoft.com/office/drawing/2014/chart" uri="{C3380CC4-5D6E-409C-BE32-E72D297353CC}">
                  <c16:uniqueId val="{0000000A-F04E-4643-9DA6-B3BD20835977}"/>
                </c:ext>
              </c:extLst>
            </c:dLbl>
            <c:dLbl>
              <c:idx val="4"/>
              <c:delete val="1"/>
              <c:extLst>
                <c:ext xmlns:c15="http://schemas.microsoft.com/office/drawing/2012/chart" uri="{CE6537A1-D6FC-4f65-9D91-7224C49458BB}"/>
                <c:ext xmlns:c16="http://schemas.microsoft.com/office/drawing/2014/chart" uri="{C3380CC4-5D6E-409C-BE32-E72D297353CC}">
                  <c16:uniqueId val="{00000009-F04E-4643-9DA6-B3BD20835977}"/>
                </c:ext>
              </c:extLst>
            </c:dLbl>
            <c:dLbl>
              <c:idx val="6"/>
              <c:delete val="1"/>
              <c:extLst>
                <c:ext xmlns:c15="http://schemas.microsoft.com/office/drawing/2012/chart" uri="{CE6537A1-D6FC-4f65-9D91-7224C49458BB}"/>
                <c:ext xmlns:c16="http://schemas.microsoft.com/office/drawing/2014/chart" uri="{C3380CC4-5D6E-409C-BE32-E72D297353CC}">
                  <c16:uniqueId val="{0000000D-F04E-4643-9DA6-B3BD20835977}"/>
                </c:ext>
              </c:extLst>
            </c:dLbl>
            <c:dLbl>
              <c:idx val="7"/>
              <c:delete val="1"/>
              <c:extLst>
                <c:ext xmlns:c15="http://schemas.microsoft.com/office/drawing/2012/chart" uri="{CE6537A1-D6FC-4f65-9D91-7224C49458BB}"/>
                <c:ext xmlns:c16="http://schemas.microsoft.com/office/drawing/2014/chart" uri="{C3380CC4-5D6E-409C-BE32-E72D297353CC}">
                  <c16:uniqueId val="{0000000E-F04E-4643-9DA6-B3BD20835977}"/>
                </c:ext>
              </c:extLst>
            </c:dLbl>
            <c:dLbl>
              <c:idx val="8"/>
              <c:delete val="1"/>
              <c:extLst>
                <c:ext xmlns:c15="http://schemas.microsoft.com/office/drawing/2012/chart" uri="{CE6537A1-D6FC-4f65-9D91-7224C49458BB}"/>
                <c:ext xmlns:c16="http://schemas.microsoft.com/office/drawing/2014/chart" uri="{C3380CC4-5D6E-409C-BE32-E72D297353CC}">
                  <c16:uniqueId val="{0000000F-F04E-4643-9DA6-B3BD20835977}"/>
                </c:ext>
              </c:extLst>
            </c:dLbl>
            <c:dLbl>
              <c:idx val="9"/>
              <c:delete val="1"/>
              <c:extLst>
                <c:ext xmlns:c15="http://schemas.microsoft.com/office/drawing/2012/chart" uri="{CE6537A1-D6FC-4f65-9D91-7224C49458BB}"/>
                <c:ext xmlns:c16="http://schemas.microsoft.com/office/drawing/2014/chart" uri="{C3380CC4-5D6E-409C-BE32-E72D297353CC}">
                  <c16:uniqueId val="{00000010-F04E-4643-9DA6-B3BD20835977}"/>
                </c:ext>
              </c:extLst>
            </c:dLbl>
            <c:dLbl>
              <c:idx val="10"/>
              <c:delete val="1"/>
              <c:extLst>
                <c:ext xmlns:c15="http://schemas.microsoft.com/office/drawing/2012/chart" uri="{CE6537A1-D6FC-4f65-9D91-7224C49458BB}"/>
                <c:ext xmlns:c16="http://schemas.microsoft.com/office/drawing/2014/chart" uri="{C3380CC4-5D6E-409C-BE32-E72D297353CC}">
                  <c16:uniqueId val="{00000011-F04E-4643-9DA6-B3BD20835977}"/>
                </c:ext>
              </c:extLst>
            </c:dLbl>
            <c:dLbl>
              <c:idx val="12"/>
              <c:delete val="1"/>
              <c:extLst>
                <c:ext xmlns:c15="http://schemas.microsoft.com/office/drawing/2012/chart" uri="{CE6537A1-D6FC-4f65-9D91-7224C49458BB}"/>
                <c:ext xmlns:c16="http://schemas.microsoft.com/office/drawing/2014/chart" uri="{C3380CC4-5D6E-409C-BE32-E72D297353CC}">
                  <c16:uniqueId val="{00000012-F04E-4643-9DA6-B3BD20835977}"/>
                </c:ext>
              </c:extLst>
            </c:dLbl>
            <c:dLbl>
              <c:idx val="14"/>
              <c:delete val="1"/>
              <c:extLst>
                <c:ext xmlns:c15="http://schemas.microsoft.com/office/drawing/2012/chart" uri="{CE6537A1-D6FC-4f65-9D91-7224C49458BB}"/>
                <c:ext xmlns:c16="http://schemas.microsoft.com/office/drawing/2014/chart" uri="{C3380CC4-5D6E-409C-BE32-E72D297353CC}">
                  <c16:uniqueId val="{00000000-2231-4FC6-92D5-463E93549547}"/>
                </c:ext>
              </c:extLst>
            </c:dLbl>
            <c:numFmt formatCode="#,##0.0" sourceLinked="0"/>
            <c:spPr>
              <a:noFill/>
              <a:ln>
                <a:noFill/>
              </a:ln>
              <a:effectLst/>
            </c:spPr>
            <c:txPr>
              <a:bodyPr wrap="square" lIns="38100" tIns="19050" rIns="38100" bIns="19050" anchor="ctr">
                <a:spAutoFit/>
              </a:bodyPr>
              <a:lstStyle/>
              <a:p>
                <a:pPr>
                  <a:defRPr sz="800" b="1"/>
                </a:pPr>
                <a:endParaRPr lang="sk-S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extLst>
                <c:ext xmlns:c15="http://schemas.microsoft.com/office/drawing/2012/chart" uri="{02D57815-91ED-43cb-92C2-25804820EDAC}">
                  <c15:autoCat val="1"/>
                </c:ext>
              </c:extLst>
            </c:strLit>
          </c:cat>
          <c:val>
            <c:numRef>
              <c:f>Dashboard!$AA$55:$AP$55</c:f>
              <c:numCache>
                <c:formatCode>0.0</c:formatCode>
                <c:ptCount val="16"/>
                <c:pt idx="0">
                  <c:v>28.598844266178187</c:v>
                </c:pt>
                <c:pt idx="1">
                  <c:v>36.360888192511553</c:v>
                </c:pt>
                <c:pt idx="2">
                  <c:v>40.614937142320493</c:v>
                </c:pt>
                <c:pt idx="3">
                  <c:v>43.155992060050387</c:v>
                </c:pt>
                <c:pt idx="4">
                  <c:v>51.729081258755947</c:v>
                </c:pt>
                <c:pt idx="5">
                  <c:v>54.692556634304204</c:v>
                </c:pt>
                <c:pt idx="6">
                  <c:v>53.492576287948566</c:v>
                </c:pt>
                <c:pt idx="7">
                  <c:v>51.685254712674713</c:v>
                </c:pt>
                <c:pt idx="8">
                  <c:v>52.274890812114805</c:v>
                </c:pt>
                <c:pt idx="9">
                  <c:v>51.46157115593779</c:v>
                </c:pt>
                <c:pt idx="10">
                  <c:v>49.408050829169454</c:v>
                </c:pt>
                <c:pt idx="11">
                  <c:v>47.978118841253959</c:v>
                </c:pt>
                <c:pt idx="12">
                  <c:v>58.847579660700198</c:v>
                </c:pt>
                <c:pt idx="13">
                  <c:v>61.088367230588602</c:v>
                </c:pt>
                <c:pt idx="14">
                  <c:v>57.741261644806862</c:v>
                </c:pt>
                <c:pt idx="15">
                  <c:v>56.044684106407651</c:v>
                </c:pt>
              </c:numCache>
              <c:extLst/>
            </c:numRef>
          </c:val>
          <c:smooth val="0"/>
          <c:extLst>
            <c:ext xmlns:c16="http://schemas.microsoft.com/office/drawing/2014/chart" uri="{C3380CC4-5D6E-409C-BE32-E72D297353CC}">
              <c16:uniqueId val="{00000002-F04E-4643-9DA6-B3BD20835977}"/>
            </c:ext>
          </c:extLst>
        </c:ser>
        <c:ser>
          <c:idx val="3"/>
          <c:order val="3"/>
          <c:spPr>
            <a:ln w="28575">
              <a:noFill/>
            </a:ln>
          </c:spPr>
          <c:marker>
            <c:symbol val="diamond"/>
            <c:size val="4"/>
            <c:spPr>
              <a:noFill/>
              <a:ln>
                <a:noFill/>
              </a:ln>
            </c:spPr>
          </c:marker>
          <c:cat>
            <c:strLit>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extLst>
                <c:ext xmlns:c15="http://schemas.microsoft.com/office/drawing/2012/chart" uri="{02D57815-91ED-43cb-92C2-25804820EDAC}">
                  <c15:autoCat val="1"/>
                </c:ext>
              </c:extLst>
            </c:strLit>
          </c:cat>
          <c:val>
            <c:numRef>
              <c:f>Dashboard!$AA$56:$AP$56</c:f>
              <c:numCache>
                <c:formatCode>0.0</c:formatCode>
                <c:ptCount val="16"/>
                <c:pt idx="0">
                  <c:v>22.598307807313471</c:v>
                </c:pt>
                <c:pt idx="1">
                  <c:v>31.683494130065476</c:v>
                </c:pt>
                <c:pt idx="2">
                  <c:v>36.706550504576121</c:v>
                </c:pt>
                <c:pt idx="3">
                  <c:v>40.601867393190574</c:v>
                </c:pt>
                <c:pt idx="4">
                  <c:v>45.035327376079302</c:v>
                </c:pt>
                <c:pt idx="5">
                  <c:v>47.792694522811082</c:v>
                </c:pt>
                <c:pt idx="6">
                  <c:v>49.479847454749368</c:v>
                </c:pt>
                <c:pt idx="7">
                  <c:v>47.265967741226923</c:v>
                </c:pt>
                <c:pt idx="8">
                  <c:v>46.928444657557399</c:v>
                </c:pt>
                <c:pt idx="9">
                  <c:v>45.741709297628958</c:v>
                </c:pt>
                <c:pt idx="10">
                  <c:v>43.330589179314366</c:v>
                </c:pt>
                <c:pt idx="11">
                  <c:v>43.083368211118753</c:v>
                </c:pt>
                <c:pt idx="12">
                  <c:v>48.876438719372061</c:v>
                </c:pt>
                <c:pt idx="13">
                  <c:v>49.642058834382276</c:v>
                </c:pt>
                <c:pt idx="14">
                  <c:v>47.59613111340574</c:v>
                </c:pt>
                <c:pt idx="15">
                  <c:v>48.287756173939371</c:v>
                </c:pt>
              </c:numCache>
              <c:extLst/>
            </c:numRef>
          </c:val>
          <c:smooth val="0"/>
          <c:extLst>
            <c:ext xmlns:c16="http://schemas.microsoft.com/office/drawing/2014/chart" uri="{C3380CC4-5D6E-409C-BE32-E72D297353CC}">
              <c16:uniqueId val="{00000003-F04E-4643-9DA6-B3BD20835977}"/>
            </c:ext>
          </c:extLst>
        </c:ser>
        <c:ser>
          <c:idx val="6"/>
          <c:order val="8"/>
          <c:spPr>
            <a:ln w="28575">
              <a:noFill/>
            </a:ln>
          </c:spPr>
          <c:marker>
            <c:symbol val="circle"/>
            <c:size val="3"/>
            <c:spPr>
              <a:ln w="3175">
                <a:solidFill>
                  <a:schemeClr val="tx1"/>
                </a:solidFill>
              </a:ln>
            </c:spPr>
          </c:marker>
          <c:cat>
            <c:strLit>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extLst>
                <c:ext xmlns:c15="http://schemas.microsoft.com/office/drawing/2012/chart" uri="{02D57815-91ED-43cb-92C2-25804820EDAC}">
                  <c15:autoCat val="1"/>
                </c:ext>
              </c:extLst>
            </c:strLit>
          </c:cat>
          <c:val>
            <c:numRef>
              <c:f>Dashboard!$AA$56:$AP$56</c:f>
              <c:numCache>
                <c:formatCode>0.0</c:formatCode>
                <c:ptCount val="16"/>
                <c:pt idx="0">
                  <c:v>22.598307807313471</c:v>
                </c:pt>
                <c:pt idx="1">
                  <c:v>31.683494130065476</c:v>
                </c:pt>
                <c:pt idx="2">
                  <c:v>36.706550504576121</c:v>
                </c:pt>
                <c:pt idx="3">
                  <c:v>40.601867393190574</c:v>
                </c:pt>
                <c:pt idx="4">
                  <c:v>45.035327376079302</c:v>
                </c:pt>
                <c:pt idx="5">
                  <c:v>47.792694522811082</c:v>
                </c:pt>
                <c:pt idx="6">
                  <c:v>49.479847454749368</c:v>
                </c:pt>
                <c:pt idx="7">
                  <c:v>47.265967741226923</c:v>
                </c:pt>
                <c:pt idx="8">
                  <c:v>46.928444657557399</c:v>
                </c:pt>
                <c:pt idx="9">
                  <c:v>45.741709297628958</c:v>
                </c:pt>
                <c:pt idx="10">
                  <c:v>43.330589179314366</c:v>
                </c:pt>
                <c:pt idx="11">
                  <c:v>43.083368211118753</c:v>
                </c:pt>
                <c:pt idx="12">
                  <c:v>48.876438719372061</c:v>
                </c:pt>
                <c:pt idx="13">
                  <c:v>49.642058834382276</c:v>
                </c:pt>
                <c:pt idx="14">
                  <c:v>47.59613111340574</c:v>
                </c:pt>
                <c:pt idx="15">
                  <c:v>48.287756173939371</c:v>
                </c:pt>
              </c:numCache>
              <c:extLst/>
            </c:numRef>
          </c:val>
          <c:smooth val="0"/>
          <c:extLst>
            <c:ext xmlns:c16="http://schemas.microsoft.com/office/drawing/2014/chart" uri="{C3380CC4-5D6E-409C-BE32-E72D297353CC}">
              <c16:uniqueId val="{00000004-F04E-4643-9DA6-B3BD20835977}"/>
            </c:ext>
          </c:extLst>
        </c:ser>
        <c:dLbls>
          <c:showLegendKey val="0"/>
          <c:showVal val="0"/>
          <c:showCatName val="0"/>
          <c:showSerName val="0"/>
          <c:showPercent val="0"/>
          <c:showBubbleSize val="0"/>
        </c:dLbls>
        <c:marker val="1"/>
        <c:smooth val="0"/>
        <c:axId val="560515240"/>
        <c:axId val="560515632"/>
        <c:extLst>
          <c:ext xmlns:c15="http://schemas.microsoft.com/office/drawing/2012/chart" uri="{02D57815-91ED-43cb-92C2-25804820EDAC}">
            <c15:filteredLineSeries>
              <c15:ser>
                <c:idx val="4"/>
                <c:order val="4"/>
                <c:tx>
                  <c:v>Horné a spodné sankčné pásmo hrubého dlhu</c:v>
                </c:tx>
                <c:spPr>
                  <a:ln w="19050">
                    <a:solidFill>
                      <a:srgbClr val="FF0000"/>
                    </a:solidFill>
                    <a:prstDash val="sysDot"/>
                  </a:ln>
                </c:spPr>
                <c:marker>
                  <c:symbol val="none"/>
                </c:marker>
                <c:val>
                  <c:numRef>
                    <c:extLst>
                      <c:ext uri="{02D57815-91ED-43cb-92C2-25804820EDAC}">
                        <c15:formulaRef>
                          <c15:sqref>'Cisty dlh'!$K$29:$Z$29</c15:sqref>
                        </c15:formulaRef>
                      </c:ext>
                    </c:extLst>
                    <c:numCache>
                      <c:formatCode>General</c:formatCode>
                      <c:ptCount val="16"/>
                      <c:pt idx="0">
                        <c:v>#N/A</c:v>
                      </c:pt>
                      <c:pt idx="1">
                        <c:v>#N/A</c:v>
                      </c:pt>
                      <c:pt idx="2">
                        <c:v>#N/A</c:v>
                      </c:pt>
                      <c:pt idx="3">
                        <c:v>#N/A</c:v>
                      </c:pt>
                      <c:pt idx="4">
                        <c:v>60</c:v>
                      </c:pt>
                      <c:pt idx="5">
                        <c:v>60</c:v>
                      </c:pt>
                      <c:pt idx="6">
                        <c:v>60</c:v>
                      </c:pt>
                      <c:pt idx="7">
                        <c:v>60</c:v>
                      </c:pt>
                      <c:pt idx="8">
                        <c:v>60</c:v>
                      </c:pt>
                      <c:pt idx="9">
                        <c:v>60</c:v>
                      </c:pt>
                      <c:pt idx="10">
                        <c:v>59</c:v>
                      </c:pt>
                      <c:pt idx="11">
                        <c:v>58</c:v>
                      </c:pt>
                      <c:pt idx="12">
                        <c:v>57</c:v>
                      </c:pt>
                      <c:pt idx="13">
                        <c:v>56</c:v>
                      </c:pt>
                      <c:pt idx="14">
                        <c:v>55</c:v>
                      </c:pt>
                      <c:pt idx="15">
                        <c:v>54</c:v>
                      </c:pt>
                    </c:numCache>
                  </c:numRef>
                </c:val>
                <c:smooth val="0"/>
                <c:extLst>
                  <c:ext xmlns:c16="http://schemas.microsoft.com/office/drawing/2014/chart" uri="{C3380CC4-5D6E-409C-BE32-E72D297353CC}">
                    <c16:uniqueId val="{00000005-F04E-4643-9DA6-B3BD20835977}"/>
                  </c:ext>
                </c:extLst>
              </c15:ser>
            </c15:filteredLineSeries>
            <c15:filteredLineSeries>
              <c15:ser>
                <c:idx val="5"/>
                <c:order val="5"/>
                <c:tx>
                  <c:v>Spodné sankčné pásmo</c:v>
                </c:tx>
                <c:spPr>
                  <a:ln w="19050">
                    <a:solidFill>
                      <a:srgbClr val="FF0000"/>
                    </a:solidFill>
                    <a:prstDash val="sysDot"/>
                  </a:ln>
                </c:spPr>
                <c:marker>
                  <c:symbol val="none"/>
                </c:marker>
                <c:val>
                  <c:numRef>
                    <c:extLst xmlns:c15="http://schemas.microsoft.com/office/drawing/2012/chart">
                      <c:ext xmlns:c15="http://schemas.microsoft.com/office/drawing/2012/chart" uri="{02D57815-91ED-43cb-92C2-25804820EDAC}">
                        <c15:formulaRef>
                          <c15:sqref>'Cisty dlh'!$K$30:$Z$30</c15:sqref>
                        </c15:formulaRef>
                      </c:ext>
                    </c:extLst>
                    <c:numCache>
                      <c:formatCode>General</c:formatCode>
                      <c:ptCount val="16"/>
                      <c:pt idx="0">
                        <c:v>#N/A</c:v>
                      </c:pt>
                      <c:pt idx="1">
                        <c:v>#N/A</c:v>
                      </c:pt>
                      <c:pt idx="2">
                        <c:v>#N/A</c:v>
                      </c:pt>
                      <c:pt idx="3">
                        <c:v>#N/A</c:v>
                      </c:pt>
                      <c:pt idx="4">
                        <c:v>50</c:v>
                      </c:pt>
                      <c:pt idx="5">
                        <c:v>50</c:v>
                      </c:pt>
                      <c:pt idx="6">
                        <c:v>50</c:v>
                      </c:pt>
                      <c:pt idx="7">
                        <c:v>50</c:v>
                      </c:pt>
                      <c:pt idx="8">
                        <c:v>50</c:v>
                      </c:pt>
                      <c:pt idx="9">
                        <c:v>50</c:v>
                      </c:pt>
                      <c:pt idx="10">
                        <c:v>49</c:v>
                      </c:pt>
                      <c:pt idx="11">
                        <c:v>48</c:v>
                      </c:pt>
                      <c:pt idx="12">
                        <c:v>47</c:v>
                      </c:pt>
                      <c:pt idx="13">
                        <c:v>46</c:v>
                      </c:pt>
                      <c:pt idx="14">
                        <c:v>45</c:v>
                      </c:pt>
                      <c:pt idx="15">
                        <c:v>44</c:v>
                      </c:pt>
                    </c:numCache>
                  </c:numRef>
                </c:val>
                <c:smooth val="0"/>
                <c:extLst xmlns:c15="http://schemas.microsoft.com/office/drawing/2012/chart">
                  <c:ext xmlns:c16="http://schemas.microsoft.com/office/drawing/2014/chart" uri="{C3380CC4-5D6E-409C-BE32-E72D297353CC}">
                    <c16:uniqueId val="{00000006-F04E-4643-9DA6-B3BD20835977}"/>
                  </c:ext>
                </c:extLst>
              </c15:ser>
            </c15:filteredLineSeries>
            <c15:filteredLineSeries>
              <c15:ser>
                <c:idx val="7"/>
                <c:order val="6"/>
                <c:tx>
                  <c:v>Gross debt (reaching budgetary targets)</c:v>
                </c:tx>
                <c:spPr>
                  <a:ln w="19050">
                    <a:solidFill>
                      <a:schemeClr val="tx1"/>
                    </a:solidFill>
                    <a:prstDash val="sysDash"/>
                  </a:ln>
                </c:spPr>
                <c:marker>
                  <c:symbol val="none"/>
                </c:marker>
                <c:val>
                  <c:numRef>
                    <c:extLst xmlns:c15="http://schemas.microsoft.com/office/drawing/2012/chart">
                      <c:ext xmlns:c15="http://schemas.microsoft.com/office/drawing/2012/chart" uri="{02D57815-91ED-43cb-92C2-25804820EDAC}">
                        <c15:formulaRef>
                          <c15:sqref>'Súhrnná tabuľka'!$AI$127:$AT$127</c15:sqref>
                        </c15:formulaRef>
                      </c:ext>
                    </c:extLst>
                    <c:numCache>
                      <c:formatCode>General</c:formatCode>
                      <c:ptCount val="12"/>
                      <c:pt idx="8" formatCode="0.0">
                        <c:v>57.741261644806862</c:v>
                      </c:pt>
                      <c:pt idx="9" formatCode="0.0">
                        <c:v>56.044683925644719</c:v>
                      </c:pt>
                      <c:pt idx="10" formatCode="0.0">
                        <c:v>57.59607104368186</c:v>
                      </c:pt>
                      <c:pt idx="11" formatCode="0.0">
                        <c:v>57.341701644703299</c:v>
                      </c:pt>
                    </c:numCache>
                  </c:numRef>
                </c:val>
                <c:smooth val="0"/>
                <c:extLst xmlns:c15="http://schemas.microsoft.com/office/drawing/2012/chart">
                  <c:ext xmlns:c16="http://schemas.microsoft.com/office/drawing/2014/chart" uri="{C3380CC4-5D6E-409C-BE32-E72D297353CC}">
                    <c16:uniqueId val="{00000007-F04E-4643-9DA6-B3BD20835977}"/>
                  </c:ext>
                </c:extLst>
              </c15:ser>
            </c15:filteredLineSeries>
            <c15:filteredLineSeries>
              <c15:ser>
                <c:idx val="8"/>
                <c:order val="7"/>
                <c:tx>
                  <c:v>Net debt (reaching budgetary targets)</c:v>
                </c:tx>
                <c:spPr>
                  <a:ln w="19050">
                    <a:solidFill>
                      <a:schemeClr val="bg1">
                        <a:lumMod val="85000"/>
                      </a:schemeClr>
                    </a:solidFill>
                    <a:prstDash val="sysDash"/>
                  </a:ln>
                </c:spPr>
                <c:marker>
                  <c:symbol val="none"/>
                </c:marker>
                <c:val>
                  <c:numRef>
                    <c:extLst xmlns:c15="http://schemas.microsoft.com/office/drawing/2012/chart">
                      <c:ext xmlns:c15="http://schemas.microsoft.com/office/drawing/2012/chart" uri="{02D57815-91ED-43cb-92C2-25804820EDAC}">
                        <c15:formulaRef>
                          <c15:sqref>'Súhrnná tabuľka'!$AI$128:$AT$128</c15:sqref>
                        </c15:formulaRef>
                      </c:ext>
                    </c:extLst>
                    <c:numCache>
                      <c:formatCode>General</c:formatCode>
                      <c:ptCount val="12"/>
                      <c:pt idx="8" formatCode="0.0">
                        <c:v>47.59613111340574</c:v>
                      </c:pt>
                      <c:pt idx="9" formatCode="0.0">
                        <c:v>48.287755993176447</c:v>
                      </c:pt>
                      <c:pt idx="10" formatCode="0.0">
                        <c:v>49.554543483285549</c:v>
                      </c:pt>
                      <c:pt idx="11" formatCode="0.0">
                        <c:v>51.277633676219317</c:v>
                      </c:pt>
                    </c:numCache>
                  </c:numRef>
                </c:val>
                <c:smooth val="0"/>
                <c:extLst xmlns:c15="http://schemas.microsoft.com/office/drawing/2012/chart">
                  <c:ext xmlns:c16="http://schemas.microsoft.com/office/drawing/2014/chart" uri="{C3380CC4-5D6E-409C-BE32-E72D297353CC}">
                    <c16:uniqueId val="{00000008-F04E-4643-9DA6-B3BD20835977}"/>
                  </c:ext>
                </c:extLst>
              </c15:ser>
            </c15:filteredLineSeries>
          </c:ext>
        </c:extLst>
      </c:lineChart>
      <c:catAx>
        <c:axId val="560515240"/>
        <c:scaling>
          <c:orientation val="minMax"/>
        </c:scaling>
        <c:delete val="0"/>
        <c:axPos val="b"/>
        <c:numFmt formatCode="General" sourceLinked="1"/>
        <c:majorTickMark val="none"/>
        <c:minorTickMark val="none"/>
        <c:tickLblPos val="low"/>
        <c:spPr>
          <a:noFill/>
          <a:ln w="12700" cap="flat" cmpd="sng" algn="ctr">
            <a:solidFill>
              <a:sysClr val="window" lastClr="FFFFFF">
                <a:lumMod val="50000"/>
              </a:sysClr>
            </a:solidFill>
            <a:prstDash val="solid"/>
            <a:round/>
          </a:ln>
          <a:effectLst/>
        </c:spPr>
        <c:txPr>
          <a:bodyPr rot="-5400000" vert="horz"/>
          <a:lstStyle/>
          <a:p>
            <a:pPr>
              <a:defRPr sz="800"/>
            </a:pPr>
            <a:endParaRPr lang="sk-SK"/>
          </a:p>
        </c:txPr>
        <c:crossAx val="560515632"/>
        <c:crosses val="autoZero"/>
        <c:auto val="0"/>
        <c:lblAlgn val="ctr"/>
        <c:lblOffset val="100"/>
        <c:noMultiLvlLbl val="0"/>
      </c:catAx>
      <c:valAx>
        <c:axId val="560515632"/>
        <c:scaling>
          <c:orientation val="minMax"/>
          <c:min val="10"/>
        </c:scaling>
        <c:delete val="0"/>
        <c:axPos val="l"/>
        <c:majorGridlines>
          <c:spPr>
            <a:ln w="3175" cap="flat" cmpd="sng" algn="ctr">
              <a:solidFill>
                <a:sysClr val="window" lastClr="FFFFFF">
                  <a:lumMod val="50000"/>
                  <a:alpha val="25000"/>
                </a:sysClr>
              </a:solidFill>
              <a:prstDash val="sysDot"/>
              <a:round/>
            </a:ln>
            <a:effectLst/>
          </c:spPr>
        </c:majorGridlines>
        <c:numFmt formatCode="0" sourceLinked="0"/>
        <c:majorTickMark val="none"/>
        <c:minorTickMark val="none"/>
        <c:tickLblPos val="nextTo"/>
        <c:spPr>
          <a:noFill/>
          <a:ln w="3175">
            <a:noFill/>
          </a:ln>
          <a:effectLst/>
        </c:spPr>
        <c:txPr>
          <a:bodyPr rot="-60000000" vert="horz"/>
          <a:lstStyle/>
          <a:p>
            <a:pPr>
              <a:defRPr sz="800"/>
            </a:pPr>
            <a:endParaRPr lang="sk-SK"/>
          </a:p>
        </c:txPr>
        <c:crossAx val="560515240"/>
        <c:crosses val="autoZero"/>
        <c:crossBetween val="between"/>
      </c:valAx>
      <c:spPr>
        <a:noFill/>
        <a:ln w="3175">
          <a:noFill/>
          <a:prstDash val="sysDot"/>
        </a:ln>
        <a:effectLst/>
      </c:spPr>
    </c:plotArea>
    <c:legend>
      <c:legendPos val="t"/>
      <c:legendEntry>
        <c:idx val="3"/>
        <c:delete val="1"/>
      </c:legendEntry>
      <c:legendEntry>
        <c:idx val="4"/>
        <c:delete val="1"/>
      </c:legendEntry>
      <c:layout>
        <c:manualLayout>
          <c:xMode val="edge"/>
          <c:yMode val="edge"/>
          <c:x val="4.3383947939262474E-3"/>
          <c:y val="0.90253207562252691"/>
          <c:w val="0.97976578544606652"/>
          <c:h val="9.2391782245493423E-2"/>
        </c:manualLayout>
      </c:layout>
      <c:overlay val="0"/>
      <c:txPr>
        <a:bodyPr/>
        <a:lstStyle/>
        <a:p>
          <a:pPr>
            <a:defRPr sz="800"/>
          </a:pPr>
          <a:endParaRPr lang="sk-SK"/>
        </a:p>
      </c:txPr>
    </c:legend>
    <c:plotVisOnly val="1"/>
    <c:dispBlanksAs val="gap"/>
    <c:showDLblsOverMax val="0"/>
  </c:chart>
  <c:spPr>
    <a:noFill/>
    <a:ln w="9525" cap="flat" cmpd="sng" algn="ctr">
      <a:noFill/>
      <a:round/>
    </a:ln>
    <a:effectLst/>
  </c:spPr>
  <c:txPr>
    <a:bodyPr/>
    <a:lstStyle/>
    <a:p>
      <a:pPr>
        <a:defRPr>
          <a:latin typeface="Arial Narrow" panose="020B0606020202030204" pitchFamily="34" charset="0"/>
        </a:defRPr>
      </a:pPr>
      <a:endParaRPr lang="sk-SK"/>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670945878600617"/>
          <c:y val="5.5696202531645568E-2"/>
          <c:w val="0.81759433868234821"/>
          <c:h val="0.6627975680255157"/>
        </c:manualLayout>
      </c:layout>
      <c:barChart>
        <c:barDir val="col"/>
        <c:grouping val="stacked"/>
        <c:varyColors val="0"/>
        <c:ser>
          <c:idx val="1"/>
          <c:order val="0"/>
          <c:tx>
            <c:strRef>
              <c:f>Dashboard!$P$93</c:f>
              <c:strCache>
                <c:ptCount val="1"/>
                <c:pt idx="0">
                  <c:v>Primárne saldo</c:v>
                </c:pt>
              </c:strCache>
            </c:strRef>
          </c:tx>
          <c:spPr>
            <a:solidFill>
              <a:srgbClr val="002060"/>
            </a:solidFill>
            <a:ln>
              <a:noFill/>
            </a:ln>
            <a:effectLst/>
          </c:spPr>
          <c:invertIfNegative val="0"/>
          <c:cat>
            <c:strRef>
              <c:f>Dashboard!$Q$90:$S$90</c:f>
              <c:strCache>
                <c:ptCount val="3"/>
                <c:pt idx="0">
                  <c:v>2009-2013</c:v>
                </c:pt>
                <c:pt idx="1">
                  <c:v>2014-2019</c:v>
                </c:pt>
                <c:pt idx="2">
                  <c:v>2020-2023</c:v>
                </c:pt>
              </c:strCache>
            </c:strRef>
          </c:cat>
          <c:val>
            <c:numRef>
              <c:f>Dashboard!$Q$93:$S$93</c:f>
              <c:numCache>
                <c:formatCode>0.0</c:formatCode>
                <c:ptCount val="3"/>
                <c:pt idx="0">
                  <c:v>19.186685886604351</c:v>
                </c:pt>
                <c:pt idx="1">
                  <c:v>2.1304152757256531</c:v>
                </c:pt>
                <c:pt idx="2">
                  <c:v>12.624770965166485</c:v>
                </c:pt>
              </c:numCache>
            </c:numRef>
          </c:val>
          <c:extLst>
            <c:ext xmlns:c16="http://schemas.microsoft.com/office/drawing/2014/chart" uri="{C3380CC4-5D6E-409C-BE32-E72D297353CC}">
              <c16:uniqueId val="{00000000-FBC3-46B9-9E58-91BA08CD66F9}"/>
            </c:ext>
          </c:extLst>
        </c:ser>
        <c:ser>
          <c:idx val="2"/>
          <c:order val="1"/>
          <c:tx>
            <c:strRef>
              <c:f>Dashboard!$P$95</c:f>
              <c:strCache>
                <c:ptCount val="1"/>
                <c:pt idx="0">
                  <c:v>Úrokové náklady</c:v>
                </c:pt>
              </c:strCache>
            </c:strRef>
          </c:tx>
          <c:spPr>
            <a:solidFill>
              <a:schemeClr val="accent1">
                <a:lumMod val="75000"/>
              </a:schemeClr>
            </a:solidFill>
            <a:ln>
              <a:noFill/>
            </a:ln>
            <a:effectLst/>
          </c:spPr>
          <c:invertIfNegative val="0"/>
          <c:cat>
            <c:strRef>
              <c:f>Dashboard!$Q$90:$S$90</c:f>
              <c:strCache>
                <c:ptCount val="3"/>
                <c:pt idx="0">
                  <c:v>2009-2013</c:v>
                </c:pt>
                <c:pt idx="1">
                  <c:v>2014-2019</c:v>
                </c:pt>
                <c:pt idx="2">
                  <c:v>2020-2023</c:v>
                </c:pt>
              </c:strCache>
            </c:strRef>
          </c:cat>
          <c:val>
            <c:numRef>
              <c:f>Dashboard!$Q$95:$S$95</c:f>
              <c:numCache>
                <c:formatCode>0.0</c:formatCode>
                <c:ptCount val="3"/>
                <c:pt idx="0">
                  <c:v>7.968752632690693</c:v>
                </c:pt>
                <c:pt idx="1">
                  <c:v>9.4109762487903108</c:v>
                </c:pt>
                <c:pt idx="2">
                  <c:v>4.4728509218012489</c:v>
                </c:pt>
              </c:numCache>
            </c:numRef>
          </c:val>
          <c:extLst>
            <c:ext xmlns:c16="http://schemas.microsoft.com/office/drawing/2014/chart" uri="{C3380CC4-5D6E-409C-BE32-E72D297353CC}">
              <c16:uniqueId val="{00000001-FBC3-46B9-9E58-91BA08CD66F9}"/>
            </c:ext>
          </c:extLst>
        </c:ser>
        <c:ser>
          <c:idx val="4"/>
          <c:order val="3"/>
          <c:tx>
            <c:strRef>
              <c:f>Dashboard!$P$98</c:f>
              <c:strCache>
                <c:ptCount val="1"/>
                <c:pt idx="0">
                  <c:v>Hotovosť VS</c:v>
                </c:pt>
              </c:strCache>
            </c:strRef>
          </c:tx>
          <c:spPr>
            <a:pattFill prst="ltUpDiag">
              <a:fgClr>
                <a:schemeClr val="bg1">
                  <a:lumMod val="50000"/>
                </a:schemeClr>
              </a:fgClr>
              <a:bgClr>
                <a:schemeClr val="bg1"/>
              </a:bgClr>
            </a:pattFill>
            <a:ln>
              <a:noFill/>
            </a:ln>
            <a:effectLst/>
          </c:spPr>
          <c:invertIfNegative val="0"/>
          <c:cat>
            <c:strRef>
              <c:f>Dashboard!$Q$90:$S$90</c:f>
              <c:strCache>
                <c:ptCount val="3"/>
                <c:pt idx="0">
                  <c:v>2009-2013</c:v>
                </c:pt>
                <c:pt idx="1">
                  <c:v>2014-2019</c:v>
                </c:pt>
                <c:pt idx="2">
                  <c:v>2020-2023</c:v>
                </c:pt>
              </c:strCache>
            </c:strRef>
          </c:cat>
          <c:val>
            <c:numRef>
              <c:f>Dashboard!$Q$98:$S$98</c:f>
              <c:numCache>
                <c:formatCode>0.0</c:formatCode>
                <c:ptCount val="3"/>
                <c:pt idx="0">
                  <c:v>0.89851361879463876</c:v>
                </c:pt>
                <c:pt idx="1">
                  <c:v>-1.0659998725514659</c:v>
                </c:pt>
                <c:pt idx="2">
                  <c:v>5.5724140747532225</c:v>
                </c:pt>
              </c:numCache>
            </c:numRef>
          </c:val>
          <c:extLst>
            <c:ext xmlns:c16="http://schemas.microsoft.com/office/drawing/2014/chart" uri="{C3380CC4-5D6E-409C-BE32-E72D297353CC}">
              <c16:uniqueId val="{00000002-FBC3-46B9-9E58-91BA08CD66F9}"/>
            </c:ext>
          </c:extLst>
        </c:ser>
        <c:ser>
          <c:idx val="3"/>
          <c:order val="4"/>
          <c:tx>
            <c:strRef>
              <c:f>Dashboard!$P$100</c:f>
              <c:strCache>
                <c:ptCount val="1"/>
                <c:pt idx="0">
                  <c:v>Rast reálneho HDP</c:v>
                </c:pt>
              </c:strCache>
            </c:strRef>
          </c:tx>
          <c:spPr>
            <a:solidFill>
              <a:schemeClr val="accent6">
                <a:lumMod val="50000"/>
              </a:schemeClr>
            </a:solidFill>
            <a:ln>
              <a:noFill/>
            </a:ln>
            <a:effectLst/>
          </c:spPr>
          <c:invertIfNegative val="0"/>
          <c:cat>
            <c:strRef>
              <c:f>Dashboard!$Q$90:$S$90</c:f>
              <c:strCache>
                <c:ptCount val="3"/>
                <c:pt idx="0">
                  <c:v>2009-2013</c:v>
                </c:pt>
                <c:pt idx="1">
                  <c:v>2014-2019</c:v>
                </c:pt>
                <c:pt idx="2">
                  <c:v>2020-2023</c:v>
                </c:pt>
              </c:strCache>
            </c:strRef>
          </c:cat>
          <c:val>
            <c:numRef>
              <c:f>Dashboard!$Q$100:$S$100</c:f>
              <c:numCache>
                <c:formatCode>0.0</c:formatCode>
                <c:ptCount val="3"/>
                <c:pt idx="0">
                  <c:v>-2.5244537650200836</c:v>
                </c:pt>
                <c:pt idx="1">
                  <c:v>-9.6728112834870412</c:v>
                </c:pt>
                <c:pt idx="2">
                  <c:v>-2.5832226253255834</c:v>
                </c:pt>
              </c:numCache>
            </c:numRef>
          </c:val>
          <c:extLst>
            <c:ext xmlns:c16="http://schemas.microsoft.com/office/drawing/2014/chart" uri="{C3380CC4-5D6E-409C-BE32-E72D297353CC}">
              <c16:uniqueId val="{00000003-FBC3-46B9-9E58-91BA08CD66F9}"/>
            </c:ext>
          </c:extLst>
        </c:ser>
        <c:ser>
          <c:idx val="6"/>
          <c:order val="5"/>
          <c:tx>
            <c:strRef>
              <c:f>Dashboard!$P$101</c:f>
              <c:strCache>
                <c:ptCount val="1"/>
                <c:pt idx="0">
                  <c:v>Deflátor HDP</c:v>
                </c:pt>
              </c:strCache>
            </c:strRef>
          </c:tx>
          <c:spPr>
            <a:solidFill>
              <a:schemeClr val="accent6">
                <a:lumMod val="75000"/>
              </a:schemeClr>
            </a:solidFill>
            <a:ln w="25400">
              <a:noFill/>
            </a:ln>
            <a:effectLst/>
          </c:spPr>
          <c:invertIfNegative val="0"/>
          <c:val>
            <c:numRef>
              <c:f>Dashboard!$Q$101:$S$101</c:f>
              <c:numCache>
                <c:formatCode>0.0</c:formatCode>
                <c:ptCount val="3"/>
                <c:pt idx="0">
                  <c:v>-1.3257916128576426</c:v>
                </c:pt>
                <c:pt idx="1">
                  <c:v>-2.3687285473585469</c:v>
                </c:pt>
                <c:pt idx="2">
                  <c:v>-12.335352746713934</c:v>
                </c:pt>
              </c:numCache>
            </c:numRef>
          </c:val>
          <c:extLst>
            <c:ext xmlns:c16="http://schemas.microsoft.com/office/drawing/2014/chart" uri="{C3380CC4-5D6E-409C-BE32-E72D297353CC}">
              <c16:uniqueId val="{00000004-FBC3-46B9-9E58-91BA08CD66F9}"/>
            </c:ext>
          </c:extLst>
        </c:ser>
        <c:ser>
          <c:idx val="5"/>
          <c:order val="6"/>
          <c:tx>
            <c:strRef>
              <c:f>Dashboard!$P$102</c:f>
              <c:strCache>
                <c:ptCount val="1"/>
                <c:pt idx="0">
                  <c:v>SFA bez hotovosti VS</c:v>
                </c:pt>
              </c:strCache>
            </c:strRef>
          </c:tx>
          <c:spPr>
            <a:solidFill>
              <a:schemeClr val="bg1">
                <a:lumMod val="75000"/>
              </a:schemeClr>
            </a:solidFill>
            <a:ln>
              <a:noFill/>
            </a:ln>
            <a:effectLst/>
          </c:spPr>
          <c:invertIfNegative val="0"/>
          <c:cat>
            <c:strRef>
              <c:f>Dashboard!$Q$90:$S$90</c:f>
              <c:strCache>
                <c:ptCount val="3"/>
                <c:pt idx="0">
                  <c:v>2009-2013</c:v>
                </c:pt>
                <c:pt idx="1">
                  <c:v>2014-2019</c:v>
                </c:pt>
                <c:pt idx="2">
                  <c:v>2020-2023</c:v>
                </c:pt>
              </c:strCache>
            </c:strRef>
          </c:cat>
          <c:val>
            <c:numRef>
              <c:f>Dashboard!$Q$102:$S$102</c:f>
              <c:numCache>
                <c:formatCode>0.0</c:formatCode>
                <c:ptCount val="3"/>
                <c:pt idx="0">
                  <c:v>1.8900056079140595</c:v>
                </c:pt>
                <c:pt idx="1">
                  <c:v>-5.1482896141691548</c:v>
                </c:pt>
                <c:pt idx="2">
                  <c:v>0.31510467547225451</c:v>
                </c:pt>
              </c:numCache>
            </c:numRef>
          </c:val>
          <c:extLst>
            <c:ext xmlns:c16="http://schemas.microsoft.com/office/drawing/2014/chart" uri="{C3380CC4-5D6E-409C-BE32-E72D297353CC}">
              <c16:uniqueId val="{00000005-FBC3-46B9-9E58-91BA08CD66F9}"/>
            </c:ext>
          </c:extLst>
        </c:ser>
        <c:dLbls>
          <c:showLegendKey val="0"/>
          <c:showVal val="0"/>
          <c:showCatName val="0"/>
          <c:showSerName val="0"/>
          <c:showPercent val="0"/>
          <c:showBubbleSize val="0"/>
        </c:dLbls>
        <c:gapWidth val="100"/>
        <c:overlap val="100"/>
        <c:axId val="783371976"/>
        <c:axId val="783374272"/>
      </c:barChart>
      <c:lineChart>
        <c:grouping val="standard"/>
        <c:varyColors val="0"/>
        <c:ser>
          <c:idx val="0"/>
          <c:order val="2"/>
          <c:tx>
            <c:strRef>
              <c:f>Dashboard!$P$91</c:f>
              <c:strCache>
                <c:ptCount val="1"/>
                <c:pt idx="0">
                  <c:v>Zmena dlhu</c:v>
                </c:pt>
              </c:strCache>
            </c:strRef>
          </c:tx>
          <c:spPr>
            <a:ln w="28575" cap="rnd">
              <a:noFill/>
              <a:round/>
            </a:ln>
            <a:effectLst/>
          </c:spPr>
          <c:marker>
            <c:symbol val="circle"/>
            <c:size val="4"/>
            <c:spPr>
              <a:solidFill>
                <a:schemeClr val="tx1"/>
              </a:solidFill>
              <a:ln w="3175">
                <a:solidFill>
                  <a:schemeClr val="bg1"/>
                </a:solidFill>
              </a:ln>
              <a:effectLst/>
            </c:spPr>
          </c:marker>
          <c:dLbls>
            <c:spPr>
              <a:solidFill>
                <a:schemeClr val="bg1"/>
              </a:solidFill>
              <a:ln w="3175">
                <a:solidFill>
                  <a:sysClr val="windowText" lastClr="000000"/>
                </a:solid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Dashboard!$Q$90:$S$90</c:f>
              <c:strCache>
                <c:ptCount val="3"/>
                <c:pt idx="0">
                  <c:v>2009-2013</c:v>
                </c:pt>
                <c:pt idx="1">
                  <c:v>2014-2019</c:v>
                </c:pt>
                <c:pt idx="2">
                  <c:v>2020-2023</c:v>
                </c:pt>
              </c:strCache>
            </c:strRef>
          </c:cat>
          <c:val>
            <c:numRef>
              <c:f>Dashboard!$Q$91:$S$91</c:f>
              <c:numCache>
                <c:formatCode>0.0</c:formatCode>
                <c:ptCount val="3"/>
                <c:pt idx="0">
                  <c:v>26.093712368126017</c:v>
                </c:pt>
                <c:pt idx="1">
                  <c:v>-6.7144377930502444</c:v>
                </c:pt>
                <c:pt idx="2">
                  <c:v>8.0665652651536917</c:v>
                </c:pt>
              </c:numCache>
            </c:numRef>
          </c:val>
          <c:smooth val="0"/>
          <c:extLst>
            <c:ext xmlns:c16="http://schemas.microsoft.com/office/drawing/2014/chart" uri="{C3380CC4-5D6E-409C-BE32-E72D297353CC}">
              <c16:uniqueId val="{00000006-FBC3-46B9-9E58-91BA08CD66F9}"/>
            </c:ext>
          </c:extLst>
        </c:ser>
        <c:dLbls>
          <c:showLegendKey val="0"/>
          <c:showVal val="0"/>
          <c:showCatName val="0"/>
          <c:showSerName val="0"/>
          <c:showPercent val="0"/>
          <c:showBubbleSize val="0"/>
        </c:dLbls>
        <c:marker val="1"/>
        <c:smooth val="0"/>
        <c:axId val="783371976"/>
        <c:axId val="783374272"/>
      </c:lineChart>
      <c:catAx>
        <c:axId val="783371976"/>
        <c:scaling>
          <c:orientation val="minMax"/>
        </c:scaling>
        <c:delete val="0"/>
        <c:axPos val="b"/>
        <c:numFmt formatCode="General" sourceLinked="1"/>
        <c:majorTickMark val="none"/>
        <c:minorTickMark val="none"/>
        <c:tickLblPos val="low"/>
        <c:spPr>
          <a:noFill/>
          <a:ln w="12700" cap="flat" cmpd="sng" algn="ctr">
            <a:solidFill>
              <a:schemeClr val="bg1">
                <a:lumMod val="50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sk-SK"/>
          </a:p>
        </c:txPr>
        <c:crossAx val="783374272"/>
        <c:crosses val="autoZero"/>
        <c:auto val="1"/>
        <c:lblAlgn val="ctr"/>
        <c:lblOffset val="100"/>
        <c:noMultiLvlLbl val="0"/>
      </c:catAx>
      <c:valAx>
        <c:axId val="783374272"/>
        <c:scaling>
          <c:orientation val="minMax"/>
          <c:max val="30"/>
          <c:min val="-20"/>
        </c:scaling>
        <c:delete val="0"/>
        <c:axPos val="l"/>
        <c:majorGridlines>
          <c:spPr>
            <a:ln w="3175" cap="flat" cmpd="sng" algn="ctr">
              <a:solidFill>
                <a:schemeClr val="bg1">
                  <a:lumMod val="50000"/>
                  <a:alpha val="25000"/>
                </a:schemeClr>
              </a:solidFill>
              <a:prstDash val="sys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sk-SK"/>
          </a:p>
        </c:txPr>
        <c:crossAx val="783371976"/>
        <c:crosses val="autoZero"/>
        <c:crossBetween val="between"/>
      </c:valAx>
      <c:spPr>
        <a:noFill/>
        <a:ln>
          <a:noFill/>
        </a:ln>
        <a:effectLst/>
      </c:spPr>
    </c:plotArea>
    <c:legend>
      <c:legendPos val="b"/>
      <c:layout>
        <c:manualLayout>
          <c:xMode val="edge"/>
          <c:yMode val="edge"/>
          <c:x val="8.9396989933220351E-3"/>
          <c:y val="0.82593680853184503"/>
          <c:w val="0.98718389315259647"/>
          <c:h val="0.1740631914681550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Narrow" panose="020B0606020202030204" pitchFamily="34" charset="0"/>
        </a:defRPr>
      </a:pPr>
      <a:endParaRPr lang="sk-SK"/>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787773402629306E-2"/>
          <c:y val="3.7486892271914186E-2"/>
          <c:w val="0.58952230971128605"/>
          <c:h val="0.88676552491572358"/>
        </c:manualLayout>
      </c:layout>
      <c:barChart>
        <c:barDir val="col"/>
        <c:grouping val="stacked"/>
        <c:varyColors val="0"/>
        <c:ser>
          <c:idx val="1"/>
          <c:order val="1"/>
          <c:tx>
            <c:strRef>
              <c:f>'Súhrnná tabuľka'!$AN$87</c:f>
              <c:strCache>
                <c:ptCount val="1"/>
                <c:pt idx="0">
                  <c:v>Rast reálneho HDP</c:v>
                </c:pt>
              </c:strCache>
            </c:strRef>
          </c:tx>
          <c:spPr>
            <a:solidFill>
              <a:srgbClr val="F9C9BA">
                <a:lumMod val="50000"/>
              </a:srgbClr>
            </a:solidFill>
          </c:spPr>
          <c:invertIfNegative val="0"/>
          <c:cat>
            <c:numRef>
              <c:f>'Súhrnná tabuľka'!$AR$81:$AU$81</c:f>
              <c:numCache>
                <c:formatCode>General</c:formatCode>
                <c:ptCount val="4"/>
                <c:pt idx="0">
                  <c:v>2023</c:v>
                </c:pt>
                <c:pt idx="1">
                  <c:v>2024</c:v>
                </c:pt>
                <c:pt idx="2">
                  <c:v>2025</c:v>
                </c:pt>
                <c:pt idx="3">
                  <c:v>2026</c:v>
                </c:pt>
              </c:numCache>
            </c:numRef>
          </c:cat>
          <c:val>
            <c:numRef>
              <c:f>'Súhrnná tabuľka'!$AR$87:$AV$87</c:f>
              <c:numCache>
                <c:formatCode>#\ ##0.0</c:formatCode>
                <c:ptCount val="5"/>
                <c:pt idx="0">
                  <c:v>-0.59584852818761902</c:v>
                </c:pt>
                <c:pt idx="1">
                  <c:v>-1.0260624028024925</c:v>
                </c:pt>
                <c:pt idx="2">
                  <c:v>-1.6792608628032686</c:v>
                </c:pt>
                <c:pt idx="3">
                  <c:v>-1.2669030674131854</c:v>
                </c:pt>
                <c:pt idx="4">
                  <c:v>-0.9678303139581399</c:v>
                </c:pt>
              </c:numCache>
              <c:extLst/>
            </c:numRef>
          </c:val>
          <c:extLst>
            <c:ext xmlns:c16="http://schemas.microsoft.com/office/drawing/2014/chart" uri="{C3380CC4-5D6E-409C-BE32-E72D297353CC}">
              <c16:uniqueId val="{00000000-D472-48A2-A776-82047E174306}"/>
            </c:ext>
          </c:extLst>
        </c:ser>
        <c:ser>
          <c:idx val="3"/>
          <c:order val="2"/>
          <c:tx>
            <c:v>Deflátor HDP (inflácia)</c:v>
          </c:tx>
          <c:spPr>
            <a:solidFill>
              <a:srgbClr val="F9C9BA">
                <a:lumMod val="75000"/>
              </a:srgbClr>
            </a:solidFill>
            <a:ln>
              <a:noFill/>
            </a:ln>
          </c:spPr>
          <c:invertIfNegative val="0"/>
          <c:cat>
            <c:numRef>
              <c:f>'Súhrnná tabuľka'!$AR$81:$AU$81</c:f>
              <c:numCache>
                <c:formatCode>General</c:formatCode>
                <c:ptCount val="4"/>
                <c:pt idx="0">
                  <c:v>2023</c:v>
                </c:pt>
                <c:pt idx="1">
                  <c:v>2024</c:v>
                </c:pt>
                <c:pt idx="2">
                  <c:v>2025</c:v>
                </c:pt>
                <c:pt idx="3">
                  <c:v>2026</c:v>
                </c:pt>
              </c:numCache>
            </c:numRef>
          </c:cat>
          <c:val>
            <c:numRef>
              <c:f>'Súhrnná tabuľka'!$AR$88:$AV$88</c:f>
              <c:numCache>
                <c:formatCode>#\ ##0.0</c:formatCode>
                <c:ptCount val="5"/>
                <c:pt idx="0">
                  <c:v>-5.5400620617881886</c:v>
                </c:pt>
                <c:pt idx="1">
                  <c:v>-2.6480749326651498</c:v>
                </c:pt>
                <c:pt idx="2">
                  <c:v>-2.0422016952070337</c:v>
                </c:pt>
                <c:pt idx="3">
                  <c:v>-1.4025922584856945</c:v>
                </c:pt>
                <c:pt idx="4">
                  <c:v>-1.3217983137206326</c:v>
                </c:pt>
              </c:numCache>
              <c:extLst/>
            </c:numRef>
          </c:val>
          <c:extLst>
            <c:ext xmlns:c16="http://schemas.microsoft.com/office/drawing/2014/chart" uri="{C3380CC4-5D6E-409C-BE32-E72D297353CC}">
              <c16:uniqueId val="{00000001-D472-48A2-A776-82047E174306}"/>
            </c:ext>
          </c:extLst>
        </c:ser>
        <c:ser>
          <c:idx val="2"/>
          <c:order val="3"/>
          <c:tx>
            <c:strRef>
              <c:f>'Súhrnná tabuľka'!$AN$82</c:f>
              <c:strCache>
                <c:ptCount val="1"/>
                <c:pt idx="0">
                  <c:v>Primárne saldo</c:v>
                </c:pt>
              </c:strCache>
            </c:strRef>
          </c:tx>
          <c:spPr>
            <a:solidFill>
              <a:srgbClr val="002060"/>
            </a:solidFill>
            <a:ln w="12700">
              <a:noFill/>
              <a:prstDash val="solid"/>
            </a:ln>
          </c:spPr>
          <c:invertIfNegative val="0"/>
          <c:cat>
            <c:numRef>
              <c:f>'Súhrnná tabuľka'!$AR$81:$AU$81</c:f>
              <c:numCache>
                <c:formatCode>General</c:formatCode>
                <c:ptCount val="4"/>
                <c:pt idx="0">
                  <c:v>2023</c:v>
                </c:pt>
                <c:pt idx="1">
                  <c:v>2024</c:v>
                </c:pt>
                <c:pt idx="2">
                  <c:v>2025</c:v>
                </c:pt>
                <c:pt idx="3">
                  <c:v>2026</c:v>
                </c:pt>
              </c:numCache>
            </c:numRef>
          </c:cat>
          <c:val>
            <c:numRef>
              <c:f>'Súhrnná tabuľka'!$AR$82:$AV$82</c:f>
              <c:numCache>
                <c:formatCode>#\ ##0.0</c:formatCode>
                <c:ptCount val="5"/>
                <c:pt idx="0">
                  <c:v>3.7366489379221401</c:v>
                </c:pt>
                <c:pt idx="1">
                  <c:v>4.500188457437349</c:v>
                </c:pt>
                <c:pt idx="2">
                  <c:v>3.417510788044873</c:v>
                </c:pt>
                <c:pt idx="3">
                  <c:v>2.3221022139839906</c:v>
                </c:pt>
                <c:pt idx="4">
                  <c:v>1.0644513319567115</c:v>
                </c:pt>
              </c:numCache>
              <c:extLst/>
            </c:numRef>
          </c:val>
          <c:extLst>
            <c:ext xmlns:c16="http://schemas.microsoft.com/office/drawing/2014/chart" uri="{C3380CC4-5D6E-409C-BE32-E72D297353CC}">
              <c16:uniqueId val="{00000002-D472-48A2-A776-82047E174306}"/>
            </c:ext>
          </c:extLst>
        </c:ser>
        <c:ser>
          <c:idx val="4"/>
          <c:order val="4"/>
          <c:tx>
            <c:strRef>
              <c:f>'Súhrnná tabuľka'!$AN$84</c:f>
              <c:strCache>
                <c:ptCount val="1"/>
                <c:pt idx="0">
                  <c:v>Úroky</c:v>
                </c:pt>
              </c:strCache>
            </c:strRef>
          </c:tx>
          <c:spPr>
            <a:solidFill>
              <a:srgbClr val="2C9ADC">
                <a:lumMod val="75000"/>
              </a:srgbClr>
            </a:solidFill>
            <a:ln w="12700">
              <a:noFill/>
              <a:prstDash val="solid"/>
            </a:ln>
          </c:spPr>
          <c:invertIfNegative val="0"/>
          <c:cat>
            <c:numRef>
              <c:f>'Súhrnná tabuľka'!$AR$81:$AU$81</c:f>
              <c:numCache>
                <c:formatCode>General</c:formatCode>
                <c:ptCount val="4"/>
                <c:pt idx="0">
                  <c:v>2023</c:v>
                </c:pt>
                <c:pt idx="1">
                  <c:v>2024</c:v>
                </c:pt>
                <c:pt idx="2">
                  <c:v>2025</c:v>
                </c:pt>
                <c:pt idx="3">
                  <c:v>2026</c:v>
                </c:pt>
              </c:numCache>
            </c:numRef>
          </c:cat>
          <c:val>
            <c:numRef>
              <c:f>'Súhrnná tabuľka'!$AR$84:$AV$84</c:f>
              <c:numCache>
                <c:formatCode>#\ ##0.0</c:formatCode>
                <c:ptCount val="5"/>
                <c:pt idx="0">
                  <c:v>1.1568257199911458</c:v>
                </c:pt>
                <c:pt idx="1">
                  <c:v>1.4316301373090556</c:v>
                </c:pt>
                <c:pt idx="2">
                  <c:v>1.5524892228305966</c:v>
                </c:pt>
                <c:pt idx="3">
                  <c:v>1.6478977857633161</c:v>
                </c:pt>
                <c:pt idx="4">
                  <c:v>1.9055486697661692</c:v>
                </c:pt>
              </c:numCache>
              <c:extLst/>
            </c:numRef>
          </c:val>
          <c:extLst>
            <c:ext xmlns:c16="http://schemas.microsoft.com/office/drawing/2014/chart" uri="{C3380CC4-5D6E-409C-BE32-E72D297353CC}">
              <c16:uniqueId val="{00000003-D472-48A2-A776-82047E174306}"/>
            </c:ext>
          </c:extLst>
        </c:ser>
        <c:ser>
          <c:idx val="5"/>
          <c:order val="7"/>
          <c:tx>
            <c:strRef>
              <c:f>'Súhrnná tabuľka'!$AN$92</c:f>
              <c:strCache>
                <c:ptCount val="1"/>
                <c:pt idx="0">
                  <c:v>Zosúladenie deficitu a dlhu</c:v>
                </c:pt>
              </c:strCache>
            </c:strRef>
          </c:tx>
          <c:spPr>
            <a:solidFill>
              <a:sysClr val="window" lastClr="FFFFFF">
                <a:lumMod val="75000"/>
              </a:sysClr>
            </a:solidFill>
            <a:ln w="28575">
              <a:noFill/>
            </a:ln>
          </c:spPr>
          <c:invertIfNegative val="0"/>
          <c:cat>
            <c:strLit>
              <c:ptCount val="5"/>
              <c:pt idx="0">
                <c:v>2023</c:v>
              </c:pt>
              <c:pt idx="1">
                <c:v>2024</c:v>
              </c:pt>
              <c:pt idx="2">
                <c:v>2025</c:v>
              </c:pt>
              <c:pt idx="3">
                <c:v>2026</c:v>
              </c:pt>
              <c:pt idx="4">
                <c:v>2027</c:v>
              </c:pt>
              <c:extLst>
                <c:ext xmlns:c15="http://schemas.microsoft.com/office/drawing/2012/chart" uri="{02D57815-91ED-43cb-92C2-25804820EDAC}">
                  <c15:autoCat val="1"/>
                </c:ext>
              </c:extLst>
            </c:strLit>
          </c:cat>
          <c:val>
            <c:numRef>
              <c:f>'Súhrnná tabuľka'!$AR$92:$AV$92</c:f>
              <c:numCache>
                <c:formatCode>#\ ##0.0</c:formatCode>
                <c:ptCount val="5"/>
                <c:pt idx="0">
                  <c:v>-0.45414160633668921</c:v>
                </c:pt>
                <c:pt idx="1">
                  <c:v>0.16121761439572424</c:v>
                </c:pt>
                <c:pt idx="2">
                  <c:v>-0.21384421309474799</c:v>
                </c:pt>
                <c:pt idx="3">
                  <c:v>0.30252293883536208</c:v>
                </c:pt>
                <c:pt idx="4">
                  <c:v>0.48384202098323081</c:v>
                </c:pt>
              </c:numCache>
              <c:extLst/>
            </c:numRef>
          </c:val>
          <c:extLst>
            <c:ext xmlns:c16="http://schemas.microsoft.com/office/drawing/2014/chart" uri="{C3380CC4-5D6E-409C-BE32-E72D297353CC}">
              <c16:uniqueId val="{00000004-D472-48A2-A776-82047E174306}"/>
            </c:ext>
          </c:extLst>
        </c:ser>
        <c:dLbls>
          <c:showLegendKey val="0"/>
          <c:showVal val="0"/>
          <c:showCatName val="0"/>
          <c:showSerName val="0"/>
          <c:showPercent val="0"/>
          <c:showBubbleSize val="0"/>
        </c:dLbls>
        <c:gapWidth val="75"/>
        <c:overlap val="100"/>
        <c:axId val="547679416"/>
        <c:axId val="547679808"/>
        <c:extLst>
          <c:ext xmlns:c15="http://schemas.microsoft.com/office/drawing/2012/chart" uri="{02D57815-91ED-43cb-92C2-25804820EDAC}">
            <c15:filteredBarSeries>
              <c15:ser>
                <c:idx val="7"/>
                <c:order val="5"/>
                <c:tx>
                  <c:strRef>
                    <c:extLst>
                      <c:ext uri="{02D57815-91ED-43cb-92C2-25804820EDAC}">
                        <c15:formulaRef>
                          <c15:sqref>'Súhrnná tabuľka'!$AN$90</c15:sqref>
                        </c15:formulaRef>
                      </c:ext>
                    </c:extLst>
                    <c:strCache>
                      <c:ptCount val="1"/>
                      <c:pt idx="0">
                        <c:v>Zmena hotovosti VS</c:v>
                      </c:pt>
                    </c:strCache>
                  </c:strRef>
                </c:tx>
                <c:spPr>
                  <a:solidFill>
                    <a:sysClr val="window" lastClr="FFFFFF">
                      <a:lumMod val="75000"/>
                    </a:sysClr>
                  </a:solidFill>
                  <a:ln w="28575">
                    <a:noFill/>
                  </a:ln>
                </c:spPr>
                <c:invertIfNegative val="0"/>
                <c:cat>
                  <c:numRef>
                    <c:extLst>
                      <c:ext uri="{02D57815-91ED-43cb-92C2-25804820EDAC}">
                        <c15:formulaRef>
                          <c15:sqref>'Súhrnná tabuľka'!$AR$81:$AU$81</c15:sqref>
                        </c15:formulaRef>
                      </c:ext>
                    </c:extLst>
                    <c:numCache>
                      <c:formatCode>General</c:formatCode>
                      <c:ptCount val="4"/>
                      <c:pt idx="0">
                        <c:v>2023</c:v>
                      </c:pt>
                      <c:pt idx="1">
                        <c:v>2024</c:v>
                      </c:pt>
                      <c:pt idx="2">
                        <c:v>2025</c:v>
                      </c:pt>
                      <c:pt idx="3">
                        <c:v>2026</c:v>
                      </c:pt>
                    </c:numCache>
                  </c:numRef>
                </c:cat>
                <c:val>
                  <c:numRef>
                    <c:extLst>
                      <c:ext uri="{02D57815-91ED-43cb-92C2-25804820EDAC}">
                        <c15:formulaRef>
                          <c15:sqref>'Súhrnná tabuľka'!$AR$90:$AV$90</c15:sqref>
                        </c15:formulaRef>
                      </c:ext>
                    </c:extLst>
                    <c:numCache>
                      <c:formatCode>#\ ##0.0</c:formatCode>
                      <c:ptCount val="5"/>
                      <c:pt idx="0">
                        <c:v>-1.321579726281777</c:v>
                      </c:pt>
                      <c:pt idx="1">
                        <c:v>0.79236189649965572</c:v>
                      </c:pt>
                      <c:pt idx="2">
                        <c:v>-1.4655812190897444</c:v>
                      </c:pt>
                      <c:pt idx="3">
                        <c:v>-0.36926409460634124</c:v>
                      </c:pt>
                      <c:pt idx="4">
                        <c:v>0.46736833980868298</c:v>
                      </c:pt>
                    </c:numCache>
                  </c:numRef>
                </c:val>
                <c:extLst>
                  <c:ext xmlns:c16="http://schemas.microsoft.com/office/drawing/2014/chart" uri="{C3380CC4-5D6E-409C-BE32-E72D297353CC}">
                    <c16:uniqueId val="{00000007-D472-48A2-A776-82047E174306}"/>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'Súhrnná tabuľka'!$AN$89</c15:sqref>
                        </c15:formulaRef>
                      </c:ext>
                    </c:extLst>
                    <c:strCache>
                      <c:ptCount val="1"/>
                      <c:pt idx="0">
                        <c:v>Zosúladenie deficitu a dlhu (bez hotovosti VS)</c:v>
                      </c:pt>
                    </c:strCache>
                  </c:strRef>
                </c:tx>
                <c:spPr>
                  <a:solidFill>
                    <a:sysClr val="window" lastClr="FFFFFF">
                      <a:lumMod val="85000"/>
                    </a:sysClr>
                  </a:solidFill>
                  <a:ln w="12700">
                    <a:noFill/>
                    <a:prstDash val="solid"/>
                  </a:ln>
                </c:spPr>
                <c:invertIfNegative val="0"/>
                <c:cat>
                  <c:numRef>
                    <c:extLst xmlns:c15="http://schemas.microsoft.com/office/drawing/2012/chart">
                      <c:ext xmlns:c15="http://schemas.microsoft.com/office/drawing/2012/chart" uri="{02D57815-91ED-43cb-92C2-25804820EDAC}">
                        <c15:formulaRef>
                          <c15:sqref>'Súhrnná tabuľka'!$AR$81:$AU$81</c15:sqref>
                        </c15:formulaRef>
                      </c:ext>
                    </c:extLst>
                    <c:numCache>
                      <c:formatCode>General</c:formatCode>
                      <c:ptCount val="4"/>
                      <c:pt idx="0">
                        <c:v>2023</c:v>
                      </c:pt>
                      <c:pt idx="1">
                        <c:v>2024</c:v>
                      </c:pt>
                      <c:pt idx="2">
                        <c:v>2025</c:v>
                      </c:pt>
                      <c:pt idx="3">
                        <c:v>2026</c:v>
                      </c:pt>
                    </c:numCache>
                  </c:numRef>
                </c:cat>
                <c:val>
                  <c:numRef>
                    <c:extLst xmlns:c15="http://schemas.microsoft.com/office/drawing/2012/chart">
                      <c:ext xmlns:c15="http://schemas.microsoft.com/office/drawing/2012/chart" uri="{02D57815-91ED-43cb-92C2-25804820EDAC}">
                        <c15:formulaRef>
                          <c15:sqref>'Súhrnná tabuľka'!$AR$89:$AV$89</c15:sqref>
                        </c15:formulaRef>
                      </c:ext>
                    </c:extLst>
                    <c:numCache>
                      <c:formatCode>#\ ##0.0</c:formatCode>
                      <c:ptCount val="5"/>
                      <c:pt idx="0">
                        <c:v>0.86743811994508779</c:v>
                      </c:pt>
                      <c:pt idx="1">
                        <c:v>-0.63114428210393148</c:v>
                      </c:pt>
                      <c:pt idx="2">
                        <c:v>1.2517370059949964</c:v>
                      </c:pt>
                      <c:pt idx="3">
                        <c:v>0.67178703344170332</c:v>
                      </c:pt>
                      <c:pt idx="4">
                        <c:v>1.6473681174547838E-2</c:v>
                      </c:pt>
                    </c:numCache>
                  </c:numRef>
                </c:val>
                <c:extLst xmlns:c15="http://schemas.microsoft.com/office/drawing/2012/chart">
                  <c:ext xmlns:c16="http://schemas.microsoft.com/office/drawing/2014/chart" uri="{C3380CC4-5D6E-409C-BE32-E72D297353CC}">
                    <c16:uniqueId val="{00000008-D472-48A2-A776-82047E174306}"/>
                  </c:ext>
                </c:extLst>
              </c15:ser>
            </c15:filteredBarSeries>
          </c:ext>
        </c:extLst>
      </c:barChart>
      <c:lineChart>
        <c:grouping val="standard"/>
        <c:varyColors val="0"/>
        <c:ser>
          <c:idx val="0"/>
          <c:order val="0"/>
          <c:tx>
            <c:strRef>
              <c:f>'Súhrnná tabuľka'!$AN$91</c:f>
              <c:strCache>
                <c:ptCount val="1"/>
                <c:pt idx="0">
                  <c:v>Zmena hrubého dlhu VS</c:v>
                </c:pt>
              </c:strCache>
            </c:strRef>
          </c:tx>
          <c:spPr>
            <a:ln w="25400" cmpd="sng">
              <a:noFill/>
              <a:prstDash val="solid"/>
            </a:ln>
          </c:spPr>
          <c:marker>
            <c:symbol val="circle"/>
            <c:size val="5"/>
            <c:spPr>
              <a:solidFill>
                <a:srgbClr val="0070C0"/>
              </a:solidFill>
              <a:ln w="3175">
                <a:solidFill>
                  <a:sysClr val="window" lastClr="FFFFFF"/>
                </a:solidFill>
              </a:ln>
            </c:spPr>
          </c:marker>
          <c:dPt>
            <c:idx val="9"/>
            <c:bubble3D val="0"/>
            <c:extLst>
              <c:ext xmlns:c16="http://schemas.microsoft.com/office/drawing/2014/chart" uri="{C3380CC4-5D6E-409C-BE32-E72D297353CC}">
                <c16:uniqueId val="{00000005-D472-48A2-A776-82047E174306}"/>
              </c:ext>
            </c:extLst>
          </c:dPt>
          <c:dLbls>
            <c:numFmt formatCode="#,##0.0" sourceLinked="0"/>
            <c:spPr>
              <a:solidFill>
                <a:sysClr val="window" lastClr="FFFFFF"/>
              </a:solidFill>
              <a:ln w="3175">
                <a:solidFill>
                  <a:sysClr val="windowText" lastClr="000000"/>
                </a:solidFill>
              </a:ln>
              <a:effectLst/>
            </c:spPr>
            <c:txPr>
              <a:bodyPr wrap="square" lIns="38100" tIns="19050" rIns="38100" bIns="19050" anchor="ctr">
                <a:spAutoFit/>
              </a:bodyPr>
              <a:lstStyle/>
              <a:p>
                <a:pPr>
                  <a:defRPr sz="700" b="1"/>
                </a:pPr>
                <a:endParaRPr lang="sk-SK"/>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'Súhrnná tabuľka'!$AR$81:$AV$81</c:f>
              <c:numCache>
                <c:formatCode>General</c:formatCode>
                <c:ptCount val="5"/>
                <c:pt idx="0">
                  <c:v>2023</c:v>
                </c:pt>
                <c:pt idx="1">
                  <c:v>2024</c:v>
                </c:pt>
                <c:pt idx="2">
                  <c:v>2025</c:v>
                </c:pt>
                <c:pt idx="3">
                  <c:v>2026</c:v>
                </c:pt>
                <c:pt idx="4">
                  <c:v>2027</c:v>
                </c:pt>
              </c:numCache>
            </c:numRef>
          </c:cat>
          <c:val>
            <c:numRef>
              <c:f>'Súhrnná tabuľka'!$AR$91:$AV$91</c:f>
              <c:numCache>
                <c:formatCode>#\ ##0.0</c:formatCode>
                <c:ptCount val="5"/>
                <c:pt idx="0">
                  <c:v>-1.696577538399211</c:v>
                </c:pt>
                <c:pt idx="1">
                  <c:v>2.4188988736744861</c:v>
                </c:pt>
                <c:pt idx="2">
                  <c:v>1.0346932397704194</c:v>
                </c:pt>
                <c:pt idx="3">
                  <c:v>1.603027612683789</c:v>
                </c:pt>
                <c:pt idx="4">
                  <c:v>1.164213395027339</c:v>
                </c:pt>
              </c:numCache>
              <c:extLst/>
            </c:numRef>
          </c:val>
          <c:smooth val="0"/>
          <c:extLst>
            <c:ext xmlns:c16="http://schemas.microsoft.com/office/drawing/2014/chart" uri="{C3380CC4-5D6E-409C-BE32-E72D297353CC}">
              <c16:uniqueId val="{00000006-D472-48A2-A776-82047E174306}"/>
            </c:ext>
          </c:extLst>
        </c:ser>
        <c:dLbls>
          <c:showLegendKey val="0"/>
          <c:showVal val="0"/>
          <c:showCatName val="0"/>
          <c:showSerName val="0"/>
          <c:showPercent val="0"/>
          <c:showBubbleSize val="0"/>
        </c:dLbls>
        <c:marker val="1"/>
        <c:smooth val="0"/>
        <c:axId val="547679416"/>
        <c:axId val="547679808"/>
      </c:lineChart>
      <c:catAx>
        <c:axId val="547679416"/>
        <c:scaling>
          <c:orientation val="minMax"/>
        </c:scaling>
        <c:delete val="0"/>
        <c:axPos val="b"/>
        <c:numFmt formatCode="General" sourceLinked="1"/>
        <c:majorTickMark val="none"/>
        <c:minorTickMark val="none"/>
        <c:tickLblPos val="low"/>
        <c:spPr>
          <a:ln w="12700">
            <a:solidFill>
              <a:sysClr val="window" lastClr="FFFFFF">
                <a:lumMod val="50000"/>
              </a:sysClr>
            </a:solidFill>
            <a:prstDash val="solid"/>
          </a:ln>
        </c:spPr>
        <c:txPr>
          <a:bodyPr rot="0" vert="horz"/>
          <a:lstStyle/>
          <a:p>
            <a:pPr>
              <a:defRPr sz="800"/>
            </a:pPr>
            <a:endParaRPr lang="sk-SK"/>
          </a:p>
        </c:txPr>
        <c:crossAx val="547679808"/>
        <c:crosses val="autoZero"/>
        <c:auto val="1"/>
        <c:lblAlgn val="ctr"/>
        <c:lblOffset val="100"/>
        <c:tickLblSkip val="1"/>
        <c:tickMarkSkip val="1"/>
        <c:noMultiLvlLbl val="0"/>
      </c:catAx>
      <c:valAx>
        <c:axId val="547679808"/>
        <c:scaling>
          <c:orientation val="minMax"/>
          <c:min val="-10"/>
        </c:scaling>
        <c:delete val="0"/>
        <c:axPos val="l"/>
        <c:majorGridlines>
          <c:spPr>
            <a:ln w="3175">
              <a:solidFill>
                <a:sysClr val="window" lastClr="FFFFFF">
                  <a:lumMod val="50000"/>
                  <a:alpha val="25000"/>
                </a:sysClr>
              </a:solidFill>
              <a:prstDash val="sysDot"/>
            </a:ln>
          </c:spPr>
        </c:majorGridlines>
        <c:numFmt formatCode="#,##0" sourceLinked="0"/>
        <c:majorTickMark val="none"/>
        <c:minorTickMark val="none"/>
        <c:tickLblPos val="nextTo"/>
        <c:spPr>
          <a:ln w="3175">
            <a:noFill/>
            <a:prstDash val="sysDot"/>
          </a:ln>
        </c:spPr>
        <c:txPr>
          <a:bodyPr rot="0" vert="horz"/>
          <a:lstStyle/>
          <a:p>
            <a:pPr>
              <a:defRPr sz="800"/>
            </a:pPr>
            <a:endParaRPr lang="sk-SK"/>
          </a:p>
        </c:txPr>
        <c:crossAx val="547679416"/>
        <c:crosses val="autoZero"/>
        <c:crossBetween val="between"/>
      </c:valAx>
      <c:spPr>
        <a:noFill/>
        <a:ln w="25400">
          <a:noFill/>
        </a:ln>
      </c:spPr>
    </c:plotArea>
    <c:legend>
      <c:legendPos val="r"/>
      <c:layout>
        <c:manualLayout>
          <c:xMode val="edge"/>
          <c:yMode val="edge"/>
          <c:x val="0.6973076992378241"/>
          <c:y val="6.4941230172315392E-3"/>
          <c:w val="0.30119745527566083"/>
          <c:h val="0.99350587698276849"/>
        </c:manualLayout>
      </c:layout>
      <c:overlay val="0"/>
      <c:spPr>
        <a:noFill/>
        <a:ln w="25400">
          <a:noFill/>
        </a:ln>
      </c:spPr>
      <c:txPr>
        <a:bodyPr/>
        <a:lstStyle/>
        <a:p>
          <a:pPr>
            <a:defRPr sz="800"/>
          </a:pPr>
          <a:endParaRPr lang="sk-SK"/>
        </a:p>
      </c:txPr>
    </c:legend>
    <c:plotVisOnly val="1"/>
    <c:dispBlanksAs val="gap"/>
    <c:showDLblsOverMax val="0"/>
  </c:chart>
  <c:spPr>
    <a:noFill/>
    <a:ln w="9525">
      <a:noFill/>
    </a:ln>
  </c:spPr>
  <c:txPr>
    <a:bodyPr/>
    <a:lstStyle/>
    <a:p>
      <a:pPr>
        <a:defRPr sz="1000" b="0" i="0" u="none" strike="noStrike" baseline="0">
          <a:solidFill>
            <a:srgbClr val="000000"/>
          </a:solidFill>
          <a:latin typeface="Arial Narrow" panose="020B0606020202030204" pitchFamily="34" charset="0"/>
          <a:ea typeface="Arial"/>
          <a:cs typeface="Arial"/>
        </a:defRPr>
      </a:pPr>
      <a:endParaRPr lang="sk-SK"/>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Dashboard!$P$120:$Q$120</c:f>
              <c:strCache>
                <c:ptCount val="2"/>
                <c:pt idx="0">
                  <c:v>Deficit (skutočnosť a ciele od 2025)</c:v>
                </c:pt>
              </c:strCache>
            </c:strRef>
          </c:tx>
          <c:spPr>
            <a:solidFill>
              <a:schemeClr val="accent1">
                <a:lumMod val="40000"/>
                <a:lumOff val="60000"/>
              </a:schemeClr>
            </a:solidFill>
            <a:ln>
              <a:noFill/>
            </a:ln>
            <a:effectLst/>
          </c:spPr>
          <c:invertIfNegative val="0"/>
          <c:dLbls>
            <c:spPr>
              <a:solidFill>
                <a:sysClr val="window" lastClr="FFFFFF"/>
              </a:solidFill>
              <a:ln w="3175">
                <a:solidFill>
                  <a:srgbClr val="2C9ADC"/>
                </a:solid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accent1">
                        <a:lumMod val="75000"/>
                      </a:schemeClr>
                    </a:solidFill>
                    <a:latin typeface="Arial Narrow" panose="020B0606020202030204" pitchFamily="34" charset="0"/>
                    <a:ea typeface="+mn-ea"/>
                    <a:cs typeface="+mn-cs"/>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Dashboard!$S$118:$X$118</c:f>
              <c:numCache>
                <c:formatCode>General</c:formatCode>
                <c:ptCount val="6"/>
                <c:pt idx="0">
                  <c:v>2022</c:v>
                </c:pt>
                <c:pt idx="1">
                  <c:v>2023</c:v>
                </c:pt>
                <c:pt idx="2">
                  <c:v>2024</c:v>
                </c:pt>
                <c:pt idx="3">
                  <c:v>2025</c:v>
                </c:pt>
                <c:pt idx="4">
                  <c:v>2026</c:v>
                </c:pt>
                <c:pt idx="5">
                  <c:v>2027</c:v>
                </c:pt>
              </c:numCache>
              <c:extLst/>
            </c:numRef>
          </c:cat>
          <c:val>
            <c:numRef>
              <c:f>Dashboard!$S$120:$X$120</c:f>
              <c:numCache>
                <c:formatCode>0.0</c:formatCode>
                <c:ptCount val="6"/>
                <c:pt idx="0">
                  <c:v>1.6726605737150249</c:v>
                </c:pt>
                <c:pt idx="1">
                  <c:v>4.8934746579132851</c:v>
                </c:pt>
                <c:pt idx="2">
                  <c:v>5.9318185947464057</c:v>
                </c:pt>
                <c:pt idx="3">
                  <c:v>4.9700000108754701</c:v>
                </c:pt>
                <c:pt idx="4">
                  <c:v>3.9699999997473068</c:v>
                </c:pt>
                <c:pt idx="5">
                  <c:v>2.9700000017228811</c:v>
                </c:pt>
              </c:numCache>
              <c:extLst/>
            </c:numRef>
          </c:val>
          <c:extLst>
            <c:ext xmlns:c16="http://schemas.microsoft.com/office/drawing/2014/chart" uri="{C3380CC4-5D6E-409C-BE32-E72D297353CC}">
              <c16:uniqueId val="{00000000-AF2C-492B-AD99-FF01DA46E3CE}"/>
            </c:ext>
          </c:extLst>
        </c:ser>
        <c:dLbls>
          <c:showLegendKey val="0"/>
          <c:showVal val="0"/>
          <c:showCatName val="0"/>
          <c:showSerName val="0"/>
          <c:showPercent val="0"/>
          <c:showBubbleSize val="0"/>
        </c:dLbls>
        <c:gapWidth val="50"/>
        <c:overlap val="-27"/>
        <c:axId val="669334768"/>
        <c:axId val="669341000"/>
      </c:barChart>
      <c:lineChart>
        <c:grouping val="standard"/>
        <c:varyColors val="0"/>
        <c:ser>
          <c:idx val="0"/>
          <c:order val="0"/>
          <c:tx>
            <c:strRef>
              <c:f>Dashboard!$P$119:$Q$119</c:f>
              <c:strCache>
                <c:ptCount val="2"/>
                <c:pt idx="0">
                  <c:v>Deficit stabilizujúci dlh</c:v>
                </c:pt>
              </c:strCache>
            </c:strRef>
          </c:tx>
          <c:spPr>
            <a:ln w="28575" cap="rnd">
              <a:noFill/>
              <a:round/>
            </a:ln>
            <a:effectLst/>
          </c:spPr>
          <c:marker>
            <c:symbol val="dash"/>
            <c:size val="10"/>
            <c:spPr>
              <a:solidFill>
                <a:sysClr val="window" lastClr="FFFFFF">
                  <a:lumMod val="65000"/>
                </a:sysClr>
              </a:solidFill>
              <a:ln w="9525">
                <a:noFill/>
              </a:ln>
              <a:effectLst/>
            </c:spPr>
          </c:marker>
          <c:dLbls>
            <c:spPr>
              <a:noFill/>
              <a:ln>
                <a:noFill/>
              </a:ln>
              <a:effectLst/>
            </c:spPr>
            <c:txPr>
              <a:bodyPr rot="0" spcFirstLastPara="1" vertOverflow="ellipsis" vert="horz" wrap="square" anchor="ctr" anchorCtr="1"/>
              <a:lstStyle/>
              <a:p>
                <a:pPr>
                  <a:defRPr sz="700" b="1" i="0" u="none" strike="noStrike" kern="1200" baseline="0">
                    <a:solidFill>
                      <a:schemeClr val="bg1">
                        <a:lumMod val="65000"/>
                      </a:schemeClr>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Dashboard!$S$118:$X$118</c:f>
              <c:numCache>
                <c:formatCode>General</c:formatCode>
                <c:ptCount val="6"/>
                <c:pt idx="0">
                  <c:v>2022</c:v>
                </c:pt>
                <c:pt idx="1">
                  <c:v>2023</c:v>
                </c:pt>
                <c:pt idx="2">
                  <c:v>2024</c:v>
                </c:pt>
                <c:pt idx="3">
                  <c:v>2025</c:v>
                </c:pt>
                <c:pt idx="4">
                  <c:v>2026</c:v>
                </c:pt>
                <c:pt idx="5">
                  <c:v>2027</c:v>
                </c:pt>
              </c:numCache>
              <c:extLst/>
            </c:numRef>
          </c:cat>
          <c:val>
            <c:numRef>
              <c:f>Dashboard!$S$119:$X$119</c:f>
              <c:numCache>
                <c:formatCode>0.0</c:formatCode>
                <c:ptCount val="6"/>
                <c:pt idx="0">
                  <c:v>5.296975895199715</c:v>
                </c:pt>
                <c:pt idx="1">
                  <c:v>6.1359105899758077</c:v>
                </c:pt>
                <c:pt idx="2">
                  <c:v>3.674137335467643</c:v>
                </c:pt>
                <c:pt idx="3">
                  <c:v>3.7214625580103022</c:v>
                </c:pt>
                <c:pt idx="4">
                  <c:v>2.6694953258988798</c:v>
                </c:pt>
                <c:pt idx="5">
                  <c:v>2.2896286276787721</c:v>
                </c:pt>
              </c:numCache>
              <c:extLst/>
            </c:numRef>
          </c:val>
          <c:smooth val="0"/>
          <c:extLst>
            <c:ext xmlns:c16="http://schemas.microsoft.com/office/drawing/2014/chart" uri="{C3380CC4-5D6E-409C-BE32-E72D297353CC}">
              <c16:uniqueId val="{00000001-AF2C-492B-AD99-FF01DA46E3CE}"/>
            </c:ext>
          </c:extLst>
        </c:ser>
        <c:dLbls>
          <c:showLegendKey val="0"/>
          <c:showVal val="0"/>
          <c:showCatName val="0"/>
          <c:showSerName val="0"/>
          <c:showPercent val="0"/>
          <c:showBubbleSize val="0"/>
        </c:dLbls>
        <c:marker val="1"/>
        <c:smooth val="0"/>
        <c:axId val="669334768"/>
        <c:axId val="669341000"/>
      </c:lineChart>
      <c:catAx>
        <c:axId val="669334768"/>
        <c:scaling>
          <c:orientation val="minMax"/>
        </c:scaling>
        <c:delete val="0"/>
        <c:axPos val="b"/>
        <c:numFmt formatCode="General" sourceLinked="1"/>
        <c:majorTickMark val="none"/>
        <c:minorTickMark val="none"/>
        <c:tickLblPos val="nextTo"/>
        <c:spPr>
          <a:noFill/>
          <a:ln w="12700" cap="flat" cmpd="sng" algn="ctr">
            <a:solidFill>
              <a:schemeClr val="bg1">
                <a:lumMod val="50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sk-SK"/>
          </a:p>
        </c:txPr>
        <c:crossAx val="669341000"/>
        <c:crosses val="autoZero"/>
        <c:auto val="1"/>
        <c:lblAlgn val="ctr"/>
        <c:lblOffset val="100"/>
        <c:noMultiLvlLbl val="0"/>
      </c:catAx>
      <c:valAx>
        <c:axId val="669341000"/>
        <c:scaling>
          <c:orientation val="minMax"/>
        </c:scaling>
        <c:delete val="0"/>
        <c:axPos val="l"/>
        <c:majorGridlines>
          <c:spPr>
            <a:ln w="3175" cap="flat" cmpd="sng" algn="ctr">
              <a:solidFill>
                <a:schemeClr val="bg1">
                  <a:lumMod val="50000"/>
                  <a:alpha val="25000"/>
                </a:schemeClr>
              </a:solidFill>
              <a:prstDash val="sys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sk-SK"/>
          </a:p>
        </c:txPr>
        <c:crossAx val="669334768"/>
        <c:crosses val="autoZero"/>
        <c:crossBetween val="between"/>
      </c:valAx>
      <c:spPr>
        <a:noFill/>
        <a:ln>
          <a:noFill/>
        </a:ln>
        <a:effectLst/>
      </c:spPr>
    </c:plotArea>
    <c:legend>
      <c:legendPos val="b"/>
      <c:layout>
        <c:manualLayout>
          <c:xMode val="edge"/>
          <c:yMode val="edge"/>
          <c:x val="0.05"/>
          <c:y val="0.91948489868161298"/>
          <c:w val="0.9"/>
          <c:h val="6.322403503596632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Narrow" panose="020B0606020202030204" pitchFamily="34" charset="0"/>
              <a:ea typeface="+mn-ea"/>
              <a:cs typeface="+mn-cs"/>
            </a:defRPr>
          </a:pPr>
          <a:endParaRPr lang="sk-SK"/>
        </a:p>
      </c:txPr>
    </c:legend>
    <c:plotVisOnly val="1"/>
    <c:dispBlanksAs val="gap"/>
    <c:showDLblsOverMax val="0"/>
  </c:chart>
  <c:spPr>
    <a:noFill/>
    <a:ln w="9525" cap="flat" cmpd="sng" algn="ctr">
      <a:noFill/>
      <a:round/>
    </a:ln>
    <a:effectLst/>
  </c:spPr>
  <c:txPr>
    <a:bodyPr/>
    <a:lstStyle/>
    <a:p>
      <a:pPr>
        <a:defRPr>
          <a:solidFill>
            <a:schemeClr val="tx1"/>
          </a:solidFill>
          <a:latin typeface="Arial Narrow" panose="020B0606020202030204" pitchFamily="34" charset="0"/>
        </a:defRPr>
      </a:pPr>
      <a:endParaRPr lang="sk-SK"/>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Office">
  <a:themeElements>
    <a:clrScheme name="IFP">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IFP">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Vlastné 2">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Vlastné 2">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Vlastné 2">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Vlastné 2">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46198-1FEA-4869-B837-3AFE6976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2553</Words>
  <Characters>14554</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Grizli777</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Ujlakyova Andrea</cp:lastModifiedBy>
  <cp:revision>2</cp:revision>
  <cp:lastPrinted>2024-06-27T09:05:00Z</cp:lastPrinted>
  <dcterms:created xsi:type="dcterms:W3CDTF">2024-07-15T08:44:00Z</dcterms:created>
  <dcterms:modified xsi:type="dcterms:W3CDTF">2024-07-15T08:44:00Z</dcterms:modified>
</cp:coreProperties>
</file>