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530AD4">
        <w:rPr>
          <w:rFonts w:cs="Arial"/>
          <w:color w:val="000000"/>
        </w:rPr>
        <w:t>1102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749E6" w:rsidP="007375F5">
      <w:pPr>
        <w:pStyle w:val="uznesenia"/>
      </w:pPr>
      <w:r>
        <w:t>348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749E6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30AD4" w:rsidP="00BF4C48">
      <w:pPr>
        <w:jc w:val="both"/>
      </w:pPr>
      <w:r>
        <w:t>k n</w:t>
      </w:r>
      <w:r w:rsidRPr="00530AD4">
        <w:t>ávrh</w:t>
      </w:r>
      <w:r>
        <w:t>u</w:t>
      </w:r>
      <w:r w:rsidRPr="00530AD4">
        <w:t xml:space="preserve"> poslancov Národnej rady Slovenskej republiky Michala </w:t>
      </w:r>
      <w:proofErr w:type="spellStart"/>
      <w:r w:rsidRPr="00530AD4">
        <w:t>Trubana</w:t>
      </w:r>
      <w:proofErr w:type="spellEnd"/>
      <w:r w:rsidRPr="00530AD4">
        <w:t xml:space="preserve">, Ivana Štefunka, Štefana Kišša, Jána Hargaša a Dariny </w:t>
      </w:r>
      <w:proofErr w:type="spellStart"/>
      <w:r w:rsidRPr="00530AD4">
        <w:t>Luščíkovej</w:t>
      </w:r>
      <w:proofErr w:type="spellEnd"/>
      <w:r w:rsidRPr="00530AD4">
        <w:t xml:space="preserve"> na vydanie zákona, ktorým sa mení a dopĺňa zákon č. 595/2003 Z. z. o dani z príjmov v znení neskorších predpisov (tlač 333)</w:t>
      </w:r>
      <w:r w:rsidR="00BF4C48" w:rsidRPr="00BF4C48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49E6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0AD4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3B06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4C48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5A8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125</cp:revision>
  <cp:lastPrinted>2024-02-14T08:38:00Z</cp:lastPrinted>
  <dcterms:created xsi:type="dcterms:W3CDTF">2022-11-24T09:04:00Z</dcterms:created>
  <dcterms:modified xsi:type="dcterms:W3CDTF">2024-06-26T08:21:00Z</dcterms:modified>
</cp:coreProperties>
</file>