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BB4968" w:rsidRPr="00BB4968">
        <w:t>1116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604DA" w:rsidP="007375F5">
      <w:pPr>
        <w:pStyle w:val="uznesenia"/>
      </w:pPr>
      <w:r>
        <w:t>321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604DA">
        <w:rPr>
          <w:spacing w:val="0"/>
        </w:rPr>
        <w:t>12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BB4968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BB4968">
        <w:rPr>
          <w:rFonts w:cs="Arial"/>
        </w:rPr>
        <w:t xml:space="preserve"> návrh</w:t>
      </w:r>
      <w:r>
        <w:rPr>
          <w:rFonts w:cs="Arial"/>
        </w:rPr>
        <w:t>u</w:t>
      </w:r>
      <w:r w:rsidRPr="00BB4968">
        <w:rPr>
          <w:rFonts w:cs="Arial"/>
        </w:rPr>
        <w:t xml:space="preserve"> zákona, ktorým sa mení a dopĺňa zákon č. 139/1998 Z. z. o omamných látkach, psychotropných látkach a prípravkoch v znení neskorších predpisov a ktorým sa mení zákon Národnej rady Slovenskej republiky č. 145/1995 Z. z. o správnych poplatkoch v znení neskorších predpisov (tlač 311)</w:t>
      </w:r>
      <w:r>
        <w:rPr>
          <w:rFonts w:cs="Arial"/>
        </w:rPr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31651C">
        <w:rPr>
          <w:rFonts w:cs="Arial"/>
        </w:rPr>
        <w:t>a</w:t>
      </w:r>
    </w:p>
    <w:p w:rsidR="007375F5" w:rsidRDefault="00B841C3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1651C">
        <w:rPr>
          <w:rFonts w:cs="Arial"/>
        </w:rPr>
        <w:t>ubliky pre 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31651C">
        <w:t>zdravotníctvo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1651C">
        <w:t>vo výbore</w:t>
      </w:r>
      <w:r w:rsidR="00BB4968">
        <w:t xml:space="preserve"> do 6. septembra</w:t>
      </w:r>
      <w:r w:rsidR="008E2D3C">
        <w:t xml:space="preserve"> </w:t>
      </w:r>
      <w:r w:rsidR="00BB4968">
        <w:t>2024 a 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8B4248" w:rsidRPr="008B4248" w:rsidRDefault="00C730A7" w:rsidP="00C730A7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04DA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464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102</cp:revision>
  <cp:lastPrinted>2024-04-15T08:23:00Z</cp:lastPrinted>
  <dcterms:created xsi:type="dcterms:W3CDTF">2022-11-24T09:04:00Z</dcterms:created>
  <dcterms:modified xsi:type="dcterms:W3CDTF">2024-06-25T13:54:00Z</dcterms:modified>
</cp:coreProperties>
</file>