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hAnsi="Times New Roman"/>
          <w:b/>
          <w:sz w:val="28"/>
          <w:szCs w:val="28"/>
          <w:lang w:eastAsia="sk-SK"/>
        </w:rPr>
      </w:pPr>
      <w:r>
        <w:rPr>
          <w:rFonts w:ascii="Times New Roman" w:hAnsi="Times New Roman"/>
          <w:b/>
          <w:sz w:val="28"/>
          <w:szCs w:val="28"/>
          <w:lang w:eastAsia="sk-SK"/>
        </w:rPr>
        <w:t>D</w:t>
      </w:r>
      <w:r w:rsidR="001B23B7" w:rsidRPr="006045CB">
        <w:rPr>
          <w:rFonts w:ascii="Times New Roman" w:hAnsi="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Názov materiálu</w:t>
            </w:r>
          </w:p>
        </w:tc>
      </w:tr>
      <w:tr w:rsidR="001B23B7" w:rsidRPr="00B043B4" w:rsidTr="000800FC">
        <w:tc>
          <w:tcPr>
            <w:tcW w:w="9180" w:type="dxa"/>
            <w:gridSpan w:val="11"/>
            <w:tcBorders>
              <w:top w:val="single" w:sz="4" w:space="0" w:color="FFFFFF"/>
            </w:tcBorders>
          </w:tcPr>
          <w:p w:rsidR="00165944" w:rsidRPr="000257B8" w:rsidRDefault="00704091" w:rsidP="00F76CBD">
            <w:pPr>
              <w:jc w:val="both"/>
              <w:rPr>
                <w:rFonts w:ascii="Times New Roman" w:hAnsi="Times New Roman"/>
                <w:i/>
              </w:rPr>
            </w:pPr>
            <w:r w:rsidRPr="000257B8">
              <w:rPr>
                <w:rFonts w:ascii="Times New Roman" w:hAnsi="Times New Roman"/>
                <w:bCs/>
                <w:i/>
                <w:color w:val="000000"/>
                <w:szCs w:val="20"/>
              </w:rPr>
              <w:t>Návrh na vyslovenie súhlasu Národnej rady Slovenskej republiky</w:t>
            </w:r>
            <w:r w:rsidRPr="000257B8">
              <w:rPr>
                <w:rFonts w:ascii="Times New Roman" w:hAnsi="Times New Roman"/>
              </w:rPr>
              <w:t xml:space="preserve"> </w:t>
            </w:r>
            <w:r w:rsidRPr="000257B8">
              <w:rPr>
                <w:rFonts w:ascii="Times New Roman" w:hAnsi="Times New Roman"/>
                <w:i/>
              </w:rPr>
              <w:t>so Zmluvou</w:t>
            </w:r>
            <w:r w:rsidR="00165944" w:rsidRPr="000257B8">
              <w:rPr>
                <w:rFonts w:ascii="Times New Roman" w:hAnsi="Times New Roman"/>
                <w:i/>
              </w:rPr>
              <w:t xml:space="preserve"> medzi Slovenskou republikou a Mongolskom o medzinárodnej ces</w:t>
            </w:r>
            <w:r w:rsidR="00F76CBD">
              <w:rPr>
                <w:rFonts w:ascii="Times New Roman" w:hAnsi="Times New Roman"/>
                <w:i/>
              </w:rPr>
              <w:t>tnej doprave (ďalej len „Zmluva</w:t>
            </w:r>
            <w:r w:rsidR="00165944" w:rsidRPr="000257B8">
              <w:rPr>
                <w:rFonts w:ascii="Times New Roman" w:hAnsi="Times New Roman"/>
                <w:i/>
              </w:rPr>
              <w:t>“)</w:t>
            </w:r>
          </w:p>
          <w:p w:rsidR="001B23B7" w:rsidRPr="000257B8" w:rsidRDefault="001B23B7" w:rsidP="00F76CBD">
            <w:pPr>
              <w:jc w:val="both"/>
              <w:rPr>
                <w:rFonts w:ascii="Times New Roman" w:hAnsi="Times New Roman"/>
                <w:szCs w:val="20"/>
                <w:lang w:eastAsia="sk-SK"/>
              </w:rPr>
            </w:pPr>
          </w:p>
          <w:p w:rsidR="001B23B7" w:rsidRPr="000257B8" w:rsidRDefault="001B23B7" w:rsidP="00F76CBD">
            <w:pPr>
              <w:jc w:val="both"/>
              <w:rPr>
                <w:rFonts w:ascii="Times New Roman" w:hAnsi="Times New Roman"/>
                <w:szCs w:val="20"/>
                <w:lang w:eastAsia="sk-SK"/>
              </w:rPr>
            </w:pP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Predkladateľ (a spolupredkladateľ)</w:t>
            </w:r>
          </w:p>
        </w:tc>
      </w:tr>
      <w:tr w:rsidR="001B23B7" w:rsidRPr="00B043B4" w:rsidTr="000800FC">
        <w:tc>
          <w:tcPr>
            <w:tcW w:w="9180" w:type="dxa"/>
            <w:gridSpan w:val="11"/>
            <w:tcBorders>
              <w:top w:val="single" w:sz="4" w:space="0" w:color="FFFFFF"/>
            </w:tcBorders>
            <w:shd w:val="clear" w:color="auto" w:fill="FFFFFF"/>
          </w:tcPr>
          <w:p w:rsidR="001B23B7" w:rsidRPr="000257B8" w:rsidRDefault="001B23B7" w:rsidP="000800FC">
            <w:pPr>
              <w:rPr>
                <w:rFonts w:ascii="Times New Roman" w:hAnsi="Times New Roman"/>
                <w:szCs w:val="20"/>
                <w:lang w:eastAsia="sk-SK"/>
              </w:rPr>
            </w:pPr>
          </w:p>
          <w:p w:rsidR="001B23B7" w:rsidRPr="000257B8" w:rsidRDefault="00704091" w:rsidP="000800FC">
            <w:pPr>
              <w:rPr>
                <w:rFonts w:ascii="Times New Roman" w:hAnsi="Times New Roman"/>
                <w:i/>
                <w:szCs w:val="20"/>
                <w:lang w:eastAsia="sk-SK"/>
              </w:rPr>
            </w:pPr>
            <w:r w:rsidRPr="000257B8">
              <w:rPr>
                <w:rFonts w:ascii="Times New Roman" w:hAnsi="Times New Roman"/>
                <w:i/>
                <w:szCs w:val="20"/>
                <w:lang w:eastAsia="sk-SK"/>
              </w:rPr>
              <w:t xml:space="preserve">Predkladateľ: </w:t>
            </w:r>
            <w:r w:rsidR="00165944" w:rsidRPr="000257B8">
              <w:rPr>
                <w:rFonts w:ascii="Times New Roman" w:hAnsi="Times New Roman"/>
                <w:i/>
                <w:szCs w:val="20"/>
                <w:lang w:eastAsia="sk-SK"/>
              </w:rPr>
              <w:t>Ministerstvo dopravy SR</w:t>
            </w:r>
          </w:p>
          <w:p w:rsidR="00165944" w:rsidRPr="00B043B4" w:rsidRDefault="00165944" w:rsidP="000800FC">
            <w:pPr>
              <w:rPr>
                <w:rFonts w:ascii="Times New Roman" w:hAnsi="Times New Roman"/>
                <w:sz w:val="20"/>
                <w:szCs w:val="20"/>
                <w:lang w:eastAsia="sk-SK"/>
              </w:rPr>
            </w:pPr>
          </w:p>
        </w:tc>
      </w:tr>
      <w:tr w:rsidR="001B23B7" w:rsidRPr="00B043B4" w:rsidTr="000800FC">
        <w:tc>
          <w:tcPr>
            <w:tcW w:w="4212" w:type="dxa"/>
            <w:gridSpan w:val="2"/>
            <w:vMerge w:val="restart"/>
            <w:tcBorders>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Charakter predkladaného materiálu</w:t>
            </w:r>
          </w:p>
        </w:tc>
        <w:tc>
          <w:tcPr>
            <w:tcW w:w="705" w:type="dxa"/>
            <w:gridSpan w:val="2"/>
            <w:tcBorders>
              <w:right w:val="nil"/>
            </w:tcBorders>
            <w:shd w:val="clear" w:color="auto" w:fill="FFFFFF"/>
          </w:tcPr>
          <w:p w:rsidR="001B23B7" w:rsidRPr="00B043B4" w:rsidRDefault="000013C3" w:rsidP="000800FC">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1B23B7" w:rsidRPr="00B043B4" w:rsidRDefault="001B23B7" w:rsidP="000800FC">
            <w:pPr>
              <w:rPr>
                <w:rFonts w:ascii="Times New Roman" w:hAnsi="Times New Roman"/>
                <w:sz w:val="20"/>
                <w:szCs w:val="20"/>
                <w:lang w:eastAsia="sk-SK"/>
              </w:rPr>
            </w:pPr>
            <w:r w:rsidRPr="00B043B4">
              <w:rPr>
                <w:rFonts w:ascii="Times New Roman" w:hAnsi="Times New Roman"/>
                <w:sz w:val="20"/>
                <w:szCs w:val="20"/>
                <w:lang w:eastAsia="sk-SK"/>
              </w:rPr>
              <w:t>Materiál nelegislatívnej povahy</w:t>
            </w:r>
          </w:p>
        </w:tc>
      </w:tr>
      <w:tr w:rsidR="001B23B7" w:rsidRPr="00B043B4" w:rsidTr="000800FC">
        <w:tc>
          <w:tcPr>
            <w:tcW w:w="4212" w:type="dxa"/>
            <w:gridSpan w:val="2"/>
            <w:vMerge/>
            <w:tcBorders>
              <w:top w:val="nil"/>
              <w:bottom w:val="single" w:sz="4" w:space="0" w:color="FFFFFF"/>
            </w:tcBorders>
            <w:shd w:val="clear" w:color="auto" w:fill="E2E2E2"/>
          </w:tcPr>
          <w:p w:rsidR="001B23B7" w:rsidRPr="00B043B4" w:rsidRDefault="001B23B7" w:rsidP="000800FC">
            <w:pPr>
              <w:rPr>
                <w:rFonts w:ascii="Times New Roman" w:hAnsi="Times New Roman"/>
                <w:sz w:val="20"/>
                <w:szCs w:val="20"/>
                <w:lang w:eastAsia="sk-SK"/>
              </w:rPr>
            </w:pPr>
          </w:p>
        </w:tc>
        <w:tc>
          <w:tcPr>
            <w:tcW w:w="705" w:type="dxa"/>
            <w:gridSpan w:val="2"/>
            <w:tcBorders>
              <w:right w:val="nil"/>
            </w:tcBorders>
            <w:shd w:val="clear" w:color="auto" w:fill="FFFFFF"/>
          </w:tcPr>
          <w:p w:rsidR="001B23B7" w:rsidRPr="00B043B4" w:rsidRDefault="00165944" w:rsidP="00203EE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1B23B7" w:rsidRPr="00B043B4" w:rsidRDefault="001B23B7" w:rsidP="000800FC">
            <w:pPr>
              <w:ind w:left="175" w:hanging="175"/>
              <w:rPr>
                <w:rFonts w:ascii="Times New Roman" w:hAnsi="Times New Roman"/>
                <w:sz w:val="20"/>
                <w:szCs w:val="20"/>
                <w:lang w:eastAsia="sk-SK"/>
              </w:rPr>
            </w:pPr>
            <w:r w:rsidRPr="00B043B4">
              <w:rPr>
                <w:rFonts w:ascii="Times New Roman" w:hAnsi="Times New Roman"/>
                <w:sz w:val="20"/>
                <w:szCs w:val="20"/>
                <w:lang w:eastAsia="sk-SK"/>
              </w:rPr>
              <w:t>Materiál legislatívnej povahy</w:t>
            </w:r>
          </w:p>
        </w:tc>
      </w:tr>
      <w:tr w:rsidR="001B23B7" w:rsidRPr="00B043B4" w:rsidTr="000800FC">
        <w:tc>
          <w:tcPr>
            <w:tcW w:w="4212" w:type="dxa"/>
            <w:gridSpan w:val="2"/>
            <w:vMerge/>
            <w:tcBorders>
              <w:top w:val="nil"/>
            </w:tcBorders>
            <w:shd w:val="clear" w:color="auto" w:fill="E2E2E2"/>
          </w:tcPr>
          <w:p w:rsidR="001B23B7" w:rsidRPr="00B043B4" w:rsidRDefault="001B23B7" w:rsidP="000800FC">
            <w:pPr>
              <w:rPr>
                <w:rFonts w:ascii="Times New Roman" w:hAnsi="Times New Roman"/>
                <w:sz w:val="20"/>
                <w:szCs w:val="20"/>
                <w:lang w:eastAsia="sk-SK"/>
              </w:rPr>
            </w:pPr>
          </w:p>
        </w:tc>
        <w:tc>
          <w:tcPr>
            <w:tcW w:w="705" w:type="dxa"/>
            <w:gridSpan w:val="2"/>
            <w:tcBorders>
              <w:right w:val="nil"/>
            </w:tcBorders>
            <w:shd w:val="clear" w:color="auto" w:fill="FFFFFF"/>
          </w:tcPr>
          <w:p w:rsidR="001B23B7" w:rsidRPr="00B043B4" w:rsidRDefault="000013C3" w:rsidP="000800FC">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1B23B7" w:rsidRPr="00B043B4" w:rsidRDefault="001B23B7" w:rsidP="000800FC">
            <w:pPr>
              <w:rPr>
                <w:rFonts w:ascii="Times New Roman" w:hAnsi="Times New Roman"/>
                <w:sz w:val="20"/>
                <w:szCs w:val="20"/>
                <w:lang w:eastAsia="sk-SK"/>
              </w:rPr>
            </w:pPr>
            <w:r w:rsidRPr="00B043B4">
              <w:rPr>
                <w:rFonts w:ascii="Times New Roman" w:hAnsi="Times New Roman"/>
                <w:sz w:val="20"/>
                <w:szCs w:val="20"/>
                <w:lang w:eastAsia="sk-SK"/>
              </w:rPr>
              <w:t>Transpozícia práva EÚ</w:t>
            </w:r>
          </w:p>
        </w:tc>
      </w:tr>
      <w:tr w:rsidR="001B23B7" w:rsidRPr="00B043B4" w:rsidTr="000800FC">
        <w:tc>
          <w:tcPr>
            <w:tcW w:w="9180" w:type="dxa"/>
            <w:gridSpan w:val="11"/>
            <w:tcBorders>
              <w:bottom w:val="single" w:sz="4" w:space="0" w:color="FFFFFF"/>
            </w:tcBorders>
            <w:shd w:val="clear" w:color="auto" w:fill="FFFFFF"/>
          </w:tcPr>
          <w:p w:rsidR="001B23B7" w:rsidRPr="000257B8" w:rsidRDefault="001B23B7" w:rsidP="000800FC">
            <w:pPr>
              <w:rPr>
                <w:rFonts w:ascii="Times New Roman" w:hAnsi="Times New Roman"/>
                <w:i/>
                <w:szCs w:val="20"/>
                <w:lang w:eastAsia="sk-SK"/>
              </w:rPr>
            </w:pPr>
            <w:r w:rsidRPr="000257B8">
              <w:rPr>
                <w:rFonts w:ascii="Times New Roman" w:hAnsi="Times New Roman"/>
                <w:i/>
                <w:szCs w:val="20"/>
                <w:lang w:eastAsia="sk-SK"/>
              </w:rPr>
              <w:t>V prípade transpozície uveďte zoznam transponovaných predpisov:</w:t>
            </w:r>
          </w:p>
          <w:p w:rsidR="001B23B7" w:rsidRPr="00B043B4" w:rsidRDefault="001B23B7" w:rsidP="000800FC">
            <w:pPr>
              <w:rPr>
                <w:rFonts w:ascii="Times New Roman" w:hAnsi="Times New Roman"/>
                <w:sz w:val="20"/>
                <w:szCs w:val="20"/>
                <w:lang w:eastAsia="sk-SK"/>
              </w:rPr>
            </w:pPr>
          </w:p>
        </w:tc>
      </w:tr>
      <w:tr w:rsidR="001B23B7" w:rsidRPr="00B043B4" w:rsidTr="000257B8">
        <w:tc>
          <w:tcPr>
            <w:tcW w:w="5949" w:type="dxa"/>
            <w:gridSpan w:val="6"/>
            <w:tcBorders>
              <w:top w:val="single" w:sz="4" w:space="0" w:color="000000"/>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5"/>
            <w:tcBorders>
              <w:top w:val="single" w:sz="4" w:space="0" w:color="000000"/>
            </w:tcBorders>
            <w:shd w:val="clear" w:color="auto" w:fill="auto"/>
          </w:tcPr>
          <w:p w:rsidR="001B23B7" w:rsidRPr="00B043B4" w:rsidRDefault="00165944" w:rsidP="00165944">
            <w:pPr>
              <w:rPr>
                <w:rFonts w:ascii="Times New Roman" w:hAnsi="Times New Roman"/>
                <w:i/>
                <w:sz w:val="20"/>
                <w:szCs w:val="20"/>
                <w:lang w:eastAsia="sk-SK"/>
              </w:rPr>
            </w:pPr>
            <w:r w:rsidRPr="000257B8">
              <w:rPr>
                <w:rFonts w:ascii="Times New Roman" w:hAnsi="Times New Roman"/>
                <w:i/>
                <w:sz w:val="20"/>
                <w:szCs w:val="20"/>
                <w:lang w:eastAsia="sk-SK"/>
              </w:rPr>
              <w:t>PPK nebolo potrebné</w:t>
            </w:r>
          </w:p>
        </w:tc>
      </w:tr>
      <w:tr w:rsidR="001B23B7" w:rsidRPr="00B043B4" w:rsidTr="000800FC">
        <w:tc>
          <w:tcPr>
            <w:tcW w:w="5949" w:type="dxa"/>
            <w:gridSpan w:val="6"/>
            <w:tcBorders>
              <w:bottom w:val="single" w:sz="4" w:space="0" w:color="FFFFFF"/>
            </w:tcBorders>
            <w:shd w:val="clear" w:color="auto" w:fill="E2E2E2"/>
          </w:tcPr>
          <w:p w:rsidR="001B23B7" w:rsidRPr="00B043B4" w:rsidRDefault="001B23B7" w:rsidP="00A340BB">
            <w:pPr>
              <w:spacing w:after="200" w:line="276" w:lineRule="auto"/>
              <w:ind w:left="142"/>
              <w:contextualSpacing/>
              <w:rPr>
                <w:rFonts w:ascii="Times New Roman" w:hAnsi="Times New Roman"/>
                <w:b/>
              </w:rPr>
            </w:pPr>
            <w:r w:rsidRPr="00B043B4">
              <w:rPr>
                <w:rFonts w:ascii="Times New Roman" w:hAnsi="Times New Roman"/>
                <w:b/>
              </w:rPr>
              <w:t>Predpokl</w:t>
            </w:r>
            <w:r>
              <w:rPr>
                <w:rFonts w:ascii="Times New Roman" w:hAnsi="Times New Roman"/>
                <w:b/>
              </w:rPr>
              <w:t xml:space="preserve">adaný termín predloženia na </w:t>
            </w:r>
            <w:r w:rsidR="00A340BB">
              <w:rPr>
                <w:rFonts w:ascii="Times New Roman" w:hAnsi="Times New Roman"/>
                <w:b/>
              </w:rPr>
              <w:t>pripomienkové konanie</w:t>
            </w:r>
          </w:p>
        </w:tc>
        <w:tc>
          <w:tcPr>
            <w:tcW w:w="3231" w:type="dxa"/>
            <w:gridSpan w:val="5"/>
          </w:tcPr>
          <w:p w:rsidR="001B23B7" w:rsidRPr="00B043B4" w:rsidRDefault="00165944" w:rsidP="000800FC">
            <w:pPr>
              <w:rPr>
                <w:rFonts w:ascii="Times New Roman" w:hAnsi="Times New Roman"/>
                <w:i/>
                <w:sz w:val="20"/>
                <w:szCs w:val="20"/>
                <w:lang w:eastAsia="sk-SK"/>
              </w:rPr>
            </w:pPr>
            <w:r>
              <w:rPr>
                <w:rFonts w:ascii="Times New Roman" w:hAnsi="Times New Roman"/>
                <w:i/>
                <w:sz w:val="20"/>
                <w:szCs w:val="20"/>
                <w:lang w:eastAsia="sk-SK"/>
              </w:rPr>
              <w:t>24.6- 8.7.2022</w:t>
            </w:r>
          </w:p>
        </w:tc>
      </w:tr>
      <w:tr w:rsidR="001B23B7" w:rsidRPr="00B043B4" w:rsidTr="00D2313B">
        <w:trPr>
          <w:trHeight w:val="320"/>
        </w:trPr>
        <w:tc>
          <w:tcPr>
            <w:tcW w:w="5949" w:type="dxa"/>
            <w:gridSpan w:val="6"/>
            <w:tcBorders>
              <w:bottom w:val="single" w:sz="4" w:space="0" w:color="FFFFFF"/>
            </w:tcBorders>
            <w:shd w:val="clear" w:color="auto" w:fill="E2E2E2"/>
          </w:tcPr>
          <w:p w:rsidR="001B23B7" w:rsidRPr="00B043B4" w:rsidRDefault="001B23B7" w:rsidP="00D2313B">
            <w:pPr>
              <w:spacing w:line="276" w:lineRule="auto"/>
              <w:ind w:left="142"/>
              <w:contextualSpacing/>
              <w:rPr>
                <w:rFonts w:ascii="Calibri" w:hAnsi="Calibri"/>
                <w:b/>
              </w:rPr>
            </w:pPr>
            <w:r w:rsidRPr="00B043B4">
              <w:rPr>
                <w:rFonts w:ascii="Times New Roman" w:hAnsi="Times New Roman"/>
                <w:b/>
              </w:rPr>
              <w:t>Predpokladaný termín začiatku a ukončenia ZP**</w:t>
            </w:r>
            <w:r w:rsidRPr="00B043B4">
              <w:rPr>
                <w:rFonts w:ascii="Calibri" w:hAnsi="Calibri"/>
                <w:b/>
              </w:rPr>
              <w:t xml:space="preserve"> </w:t>
            </w:r>
          </w:p>
        </w:tc>
        <w:tc>
          <w:tcPr>
            <w:tcW w:w="3231" w:type="dxa"/>
            <w:gridSpan w:val="5"/>
          </w:tcPr>
          <w:p w:rsidR="001B23B7" w:rsidRPr="00B043B4" w:rsidRDefault="001B23B7">
            <w:pPr>
              <w:rPr>
                <w:rFonts w:ascii="Times New Roman" w:hAnsi="Times New Roman"/>
                <w:i/>
                <w:sz w:val="20"/>
                <w:szCs w:val="20"/>
                <w:lang w:eastAsia="sk-SK"/>
              </w:rPr>
            </w:pPr>
          </w:p>
        </w:tc>
      </w:tr>
      <w:tr w:rsidR="001B23B7" w:rsidRPr="00B043B4" w:rsidTr="000800FC">
        <w:tc>
          <w:tcPr>
            <w:tcW w:w="5949" w:type="dxa"/>
            <w:gridSpan w:val="6"/>
            <w:tcBorders>
              <w:bottom w:val="single" w:sz="4" w:space="0" w:color="FFFFFF"/>
            </w:tcBorders>
            <w:shd w:val="clear" w:color="auto" w:fill="E2E2E2"/>
          </w:tcPr>
          <w:p w:rsidR="001B23B7" w:rsidRPr="00B043B4" w:rsidRDefault="001B23B7" w:rsidP="000800FC">
            <w:pPr>
              <w:spacing w:after="200" w:line="276" w:lineRule="auto"/>
              <w:ind w:left="142"/>
              <w:contextualSpacing/>
              <w:jc w:val="both"/>
              <w:rPr>
                <w:rFonts w:ascii="Times New Roman" w:hAnsi="Times New Roman"/>
                <w:b/>
              </w:rPr>
            </w:pPr>
            <w:r w:rsidRPr="00B043B4">
              <w:rPr>
                <w:rFonts w:ascii="Times New Roman" w:hAnsi="Times New Roman"/>
                <w:b/>
              </w:rPr>
              <w:t>Predpokladaný termín predloženia na rokovanie vlády SR*</w:t>
            </w:r>
          </w:p>
        </w:tc>
        <w:tc>
          <w:tcPr>
            <w:tcW w:w="3231" w:type="dxa"/>
            <w:gridSpan w:val="5"/>
          </w:tcPr>
          <w:p w:rsidR="001B23B7" w:rsidRPr="00B043B4" w:rsidRDefault="00AD6246" w:rsidP="00165944">
            <w:pPr>
              <w:rPr>
                <w:rFonts w:ascii="Times New Roman" w:hAnsi="Times New Roman"/>
                <w:i/>
                <w:sz w:val="20"/>
                <w:szCs w:val="20"/>
                <w:lang w:eastAsia="sk-SK"/>
              </w:rPr>
            </w:pPr>
            <w:r>
              <w:rPr>
                <w:rFonts w:ascii="Times New Roman" w:hAnsi="Times New Roman"/>
                <w:i/>
                <w:sz w:val="20"/>
                <w:szCs w:val="20"/>
                <w:lang w:eastAsia="sk-SK"/>
              </w:rPr>
              <w:t>december</w:t>
            </w:r>
            <w:r w:rsidR="00165944">
              <w:rPr>
                <w:rFonts w:ascii="Times New Roman" w:hAnsi="Times New Roman"/>
                <w:i/>
                <w:sz w:val="20"/>
                <w:szCs w:val="20"/>
                <w:lang w:eastAsia="sk-SK"/>
              </w:rPr>
              <w:t xml:space="preserve"> 2022</w:t>
            </w:r>
          </w:p>
        </w:tc>
      </w:tr>
      <w:tr w:rsidR="001B23B7" w:rsidRPr="00B043B4" w:rsidTr="000800FC">
        <w:tc>
          <w:tcPr>
            <w:tcW w:w="9180" w:type="dxa"/>
            <w:gridSpan w:val="11"/>
            <w:tcBorders>
              <w:left w:val="nil"/>
              <w:right w:val="nil"/>
            </w:tcBorders>
            <w:shd w:val="clear" w:color="auto" w:fill="FFFFFF"/>
          </w:tcPr>
          <w:p w:rsidR="001B23B7" w:rsidRPr="00B043B4" w:rsidRDefault="001B23B7" w:rsidP="000800FC">
            <w:pPr>
              <w:rPr>
                <w:rFonts w:ascii="Times New Roman" w:hAnsi="Times New Roman"/>
                <w:sz w:val="20"/>
                <w:szCs w:val="20"/>
                <w:lang w:eastAsia="sk-SK"/>
              </w:rPr>
            </w:pP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Definovanie problému</w:t>
            </w:r>
          </w:p>
        </w:tc>
      </w:tr>
      <w:tr w:rsidR="001B23B7" w:rsidRPr="00B043B4" w:rsidTr="000800FC">
        <w:trPr>
          <w:trHeight w:val="718"/>
        </w:trPr>
        <w:tc>
          <w:tcPr>
            <w:tcW w:w="9180" w:type="dxa"/>
            <w:gridSpan w:val="11"/>
            <w:tcBorders>
              <w:top w:val="single" w:sz="4" w:space="0" w:color="FFFFFF"/>
            </w:tcBorders>
            <w:shd w:val="clear" w:color="auto" w:fill="FFFFFF"/>
          </w:tcPr>
          <w:p w:rsidR="00165944" w:rsidRPr="00305187" w:rsidRDefault="00165944" w:rsidP="00165944">
            <w:pPr>
              <w:jc w:val="both"/>
              <w:rPr>
                <w:rFonts w:ascii="Times New Roman" w:hAnsi="Times New Roman"/>
                <w:i/>
                <w:lang w:eastAsia="sk-SK"/>
              </w:rPr>
            </w:pPr>
            <w:r w:rsidRPr="00305187">
              <w:rPr>
                <w:rFonts w:ascii="Times New Roman" w:hAnsi="Times New Roman"/>
                <w:i/>
                <w:lang w:eastAsia="sk-SK"/>
              </w:rPr>
              <w:t xml:space="preserve">Uznesením vlády SR č. 144 z 11. apríla 2018 k Správe o vykonávaní medzinárodných zmlúv bola ministrom uložená úloha B.1. zohľadniť teritoriálne a vecné priority na uzatváranie medzinárodných zmlúv na obdobie 2018 - 2019 pri iniciovaní, rokovaní a dojednávaní medzinárodných zmlúv. Jednou z priorít Správy o vykonávaní medzinárodných zmlúv vo vzťahu k Mongolsku bolo otvorenie expertných rokovaní  na uzavretie dohody o medzinárodnej cestnej osobnej a nákladnej doprave. Na základe tejto úlohy bol pripravený návrh zmluvy. </w:t>
            </w:r>
            <w:r w:rsidR="00DF7D9B" w:rsidRPr="00305187">
              <w:rPr>
                <w:rFonts w:ascii="Times New Roman" w:hAnsi="Times New Roman"/>
                <w:i/>
                <w:lang w:eastAsia="sk-SK"/>
              </w:rPr>
              <w:t>Ministerstvo dopravy Slovenskej republiky následne predložilo návrh zmluvy do legislatívneho procesu v súlade s uznesením vlády SR č. 255 zo 6. apríla 2022 k Správe o vykonávaní medzinárodných zmlúv. Uznesením bola ministrom uložená úloha B.1. zohľadniť teritoriálne a vecné priority na uzatváranie medzinárodných zmlúv na obdobie 2022 - 2023 pri iniciovaní, rokovaní a dojednávaní medzinárodných zmlúv.</w:t>
            </w:r>
          </w:p>
          <w:p w:rsidR="001B23B7" w:rsidRPr="00305187" w:rsidRDefault="001B23B7" w:rsidP="000800FC">
            <w:pPr>
              <w:rPr>
                <w:rFonts w:ascii="Times New Roman" w:hAnsi="Times New Roman"/>
                <w:b/>
                <w:sz w:val="20"/>
                <w:szCs w:val="20"/>
                <w:lang w:eastAsia="sk-SK"/>
              </w:rPr>
            </w:pPr>
          </w:p>
        </w:tc>
      </w:tr>
      <w:tr w:rsidR="001B23B7" w:rsidRPr="00B043B4" w:rsidTr="000800FC">
        <w:tc>
          <w:tcPr>
            <w:tcW w:w="9180" w:type="dxa"/>
            <w:gridSpan w:val="11"/>
            <w:tcBorders>
              <w:bottom w:val="nil"/>
            </w:tcBorders>
            <w:shd w:val="clear" w:color="auto" w:fill="E2E2E2"/>
          </w:tcPr>
          <w:p w:rsidR="001B23B7" w:rsidRPr="00305187" w:rsidRDefault="001B23B7" w:rsidP="000800FC">
            <w:pPr>
              <w:numPr>
                <w:ilvl w:val="0"/>
                <w:numId w:val="1"/>
              </w:numPr>
              <w:ind w:left="426"/>
              <w:contextualSpacing/>
              <w:rPr>
                <w:rFonts w:ascii="Times New Roman" w:hAnsi="Times New Roman"/>
                <w:b/>
              </w:rPr>
            </w:pPr>
            <w:r w:rsidRPr="00305187">
              <w:rPr>
                <w:rFonts w:ascii="Times New Roman" w:hAnsi="Times New Roman"/>
                <w:b/>
              </w:rPr>
              <w:t>Ciele a výsledný stav</w:t>
            </w:r>
          </w:p>
        </w:tc>
      </w:tr>
      <w:tr w:rsidR="001B23B7" w:rsidRPr="00B043B4" w:rsidTr="000800FC">
        <w:trPr>
          <w:trHeight w:val="741"/>
        </w:trPr>
        <w:tc>
          <w:tcPr>
            <w:tcW w:w="9180" w:type="dxa"/>
            <w:gridSpan w:val="11"/>
            <w:tcBorders>
              <w:top w:val="nil"/>
            </w:tcBorders>
            <w:shd w:val="clear" w:color="auto" w:fill="FFFFFF"/>
          </w:tcPr>
          <w:p w:rsidR="00165944" w:rsidRPr="00305187" w:rsidRDefault="00165944" w:rsidP="00165944">
            <w:pPr>
              <w:jc w:val="both"/>
              <w:rPr>
                <w:rFonts w:ascii="Times New Roman" w:hAnsi="Times New Roman"/>
                <w:i/>
              </w:rPr>
            </w:pPr>
            <w:r w:rsidRPr="00305187">
              <w:rPr>
                <w:rFonts w:ascii="Times New Roman" w:hAnsi="Times New Roman"/>
                <w:i/>
              </w:rPr>
              <w:t>Cieľom je uzatvorenie zmluvy medzi Slovenskou republikou a Mongolskom o medzinárodnej cestnej doprave. Doprava medzi Slovenskou republikou a Mongolskom sa v súčasnosti vykonáva na základe prepravných povolení, ktoré sú určené na bilaterálne prepravy tovaru medzi Slovenskou republikou</w:t>
            </w:r>
            <w:r w:rsidR="00B4291C" w:rsidRPr="00305187">
              <w:rPr>
                <w:rFonts w:ascii="Times New Roman" w:hAnsi="Times New Roman"/>
                <w:i/>
              </w:rPr>
              <w:t xml:space="preserve"> a</w:t>
            </w:r>
            <w:r w:rsidRPr="00305187">
              <w:rPr>
                <w:rFonts w:ascii="Times New Roman" w:hAnsi="Times New Roman"/>
                <w:i/>
              </w:rPr>
              <w:t xml:space="preserve"> Mongolskom ako aj na tranzit cez územie. Využiteľnosť prepravných povolení slovenskými dopravcami ako aj mongolskými je nízka, avšak vzhľadom na vecné priority má Slovenská republika záujem o rozvoj ekonomických vzťahov s Mongolskom. </w:t>
            </w:r>
          </w:p>
          <w:p w:rsidR="001B23B7" w:rsidRPr="00305187" w:rsidRDefault="001B23B7" w:rsidP="00165944">
            <w:pPr>
              <w:rPr>
                <w:rFonts w:ascii="Times New Roman" w:hAnsi="Times New Roman"/>
                <w:sz w:val="20"/>
                <w:szCs w:val="20"/>
                <w:lang w:eastAsia="sk-SK"/>
              </w:rPr>
            </w:pPr>
          </w:p>
        </w:tc>
      </w:tr>
      <w:tr w:rsidR="001B23B7" w:rsidRPr="00B043B4" w:rsidTr="000800FC">
        <w:tc>
          <w:tcPr>
            <w:tcW w:w="9180" w:type="dxa"/>
            <w:gridSpan w:val="11"/>
            <w:tcBorders>
              <w:bottom w:val="nil"/>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Dotknuté subjekty</w:t>
            </w:r>
          </w:p>
        </w:tc>
      </w:tr>
      <w:tr w:rsidR="001B23B7" w:rsidRPr="00B043B4" w:rsidTr="000800FC">
        <w:tc>
          <w:tcPr>
            <w:tcW w:w="9180" w:type="dxa"/>
            <w:gridSpan w:val="11"/>
            <w:tcBorders>
              <w:top w:val="nil"/>
            </w:tcBorders>
            <w:shd w:val="clear" w:color="auto" w:fill="FFFFFF"/>
          </w:tcPr>
          <w:p w:rsidR="00165944" w:rsidRPr="00704091" w:rsidRDefault="00165944" w:rsidP="00165944">
            <w:pPr>
              <w:rPr>
                <w:rFonts w:ascii="Times New Roman" w:hAnsi="Times New Roman"/>
                <w:i/>
              </w:rPr>
            </w:pPr>
            <w:r w:rsidRPr="00704091">
              <w:rPr>
                <w:rFonts w:ascii="Times New Roman" w:hAnsi="Times New Roman"/>
                <w:i/>
              </w:rPr>
              <w:t xml:space="preserve">Slovenskí dopravcovia vykonávajúci prepravu medzi Slovenskou republikou a Mongolskom. </w:t>
            </w:r>
          </w:p>
          <w:p w:rsidR="001B23B7" w:rsidRPr="00704091" w:rsidRDefault="001B23B7" w:rsidP="000800FC">
            <w:pPr>
              <w:rPr>
                <w:rFonts w:ascii="Times New Roman" w:hAnsi="Times New Roman"/>
                <w:i/>
                <w:sz w:val="20"/>
                <w:szCs w:val="20"/>
                <w:lang w:eastAsia="sk-SK"/>
              </w:rPr>
            </w:pPr>
          </w:p>
        </w:tc>
      </w:tr>
      <w:tr w:rsidR="001B23B7" w:rsidRPr="00B043B4" w:rsidTr="000800FC">
        <w:tc>
          <w:tcPr>
            <w:tcW w:w="9180" w:type="dxa"/>
            <w:gridSpan w:val="11"/>
            <w:tcBorders>
              <w:bottom w:val="nil"/>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Alternatívne riešenia</w:t>
            </w:r>
          </w:p>
        </w:tc>
      </w:tr>
      <w:tr w:rsidR="001B23B7" w:rsidRPr="00B043B4" w:rsidTr="000800FC">
        <w:trPr>
          <w:trHeight w:val="1524"/>
        </w:trPr>
        <w:tc>
          <w:tcPr>
            <w:tcW w:w="9180" w:type="dxa"/>
            <w:gridSpan w:val="11"/>
            <w:tcBorders>
              <w:top w:val="nil"/>
            </w:tcBorders>
            <w:shd w:val="clear" w:color="auto" w:fill="FFFFFF"/>
          </w:tcPr>
          <w:p w:rsidR="001B23B7" w:rsidRPr="00B043B4" w:rsidRDefault="00165944" w:rsidP="000800FC">
            <w:pPr>
              <w:jc w:val="both"/>
              <w:rPr>
                <w:rFonts w:ascii="Times New Roman" w:hAnsi="Times New Roman"/>
                <w:i/>
                <w:sz w:val="20"/>
                <w:szCs w:val="20"/>
                <w:lang w:eastAsia="sk-SK"/>
              </w:rPr>
            </w:pPr>
            <w:r w:rsidRPr="00704091">
              <w:rPr>
                <w:rFonts w:ascii="Times New Roman" w:hAnsi="Times New Roman"/>
                <w:i/>
              </w:rPr>
              <w:t>Alternatívne riešenie sa uplatňuje už v súčasnosti a je zároveň nulovým variantom. Na základe rokovaní k príprave zmluvy bola dohodnutá výmena 50 ks prepravných povolení určených na bilaterálnu prepravu medzi Slo</w:t>
            </w:r>
            <w:r w:rsidR="00B4291C" w:rsidRPr="00704091">
              <w:rPr>
                <w:rFonts w:ascii="Times New Roman" w:hAnsi="Times New Roman"/>
                <w:i/>
              </w:rPr>
              <w:t>venskou republikou a Mongolskom</w:t>
            </w:r>
            <w:r w:rsidRPr="00704091">
              <w:rPr>
                <w:rFonts w:ascii="Times New Roman" w:hAnsi="Times New Roman"/>
                <w:i/>
              </w:rPr>
              <w:t xml:space="preserve"> a na tranzit. Využiteľnosť mongolských prepravných povolení aj vzhľadom na geografickú vzdialenosť slovenskými dopravcami je nízka. V roku 2019 -  3 ks, v</w:t>
            </w:r>
            <w:r w:rsidR="00A37E79">
              <w:rPr>
                <w:rFonts w:ascii="Times New Roman" w:hAnsi="Times New Roman"/>
                <w:i/>
              </w:rPr>
              <w:t> roku 2020 – 19 ks a v roku 2021</w:t>
            </w:r>
            <w:r w:rsidRPr="00704091">
              <w:rPr>
                <w:rFonts w:ascii="Times New Roman" w:hAnsi="Times New Roman"/>
                <w:i/>
              </w:rPr>
              <w:t xml:space="preserve">  - 0 ks.  Vzhľadom na vecné priority má Slovenská republika záujem o rozvoj ekonomických vzťahov s Mongolskom a uzatvorenie zmluvy</w:t>
            </w:r>
            <w:r>
              <w:rPr>
                <w:rFonts w:ascii="Times New Roman" w:hAnsi="Times New Roman"/>
              </w:rPr>
              <w:t>.</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lastRenderedPageBreak/>
              <w:t>Vykonávacie predpisy</w:t>
            </w:r>
          </w:p>
        </w:tc>
      </w:tr>
      <w:tr w:rsidR="001B23B7" w:rsidRPr="00B043B4" w:rsidTr="000800FC">
        <w:tc>
          <w:tcPr>
            <w:tcW w:w="6203" w:type="dxa"/>
            <w:gridSpan w:val="7"/>
            <w:tcBorders>
              <w:top w:val="single" w:sz="4" w:space="0" w:color="FFFFFF"/>
              <w:bottom w:val="nil"/>
              <w:right w:val="nil"/>
            </w:tcBorders>
            <w:shd w:val="clear" w:color="auto" w:fill="FFFFFF"/>
          </w:tcPr>
          <w:p w:rsidR="001B23B7" w:rsidRPr="00B043B4" w:rsidRDefault="001B23B7" w:rsidP="000800FC">
            <w:pPr>
              <w:rPr>
                <w:rFonts w:ascii="Times New Roman" w:hAnsi="Times New Roman"/>
                <w:i/>
                <w:sz w:val="20"/>
                <w:szCs w:val="20"/>
                <w:lang w:eastAsia="sk-SK"/>
              </w:rPr>
            </w:pPr>
            <w:r w:rsidRPr="00F76CBD">
              <w:rPr>
                <w:rFonts w:ascii="Times New Roman" w:hAnsi="Times New Roman"/>
                <w:i/>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203EE3" w:rsidP="000800FC">
            <w:pPr>
              <w:jc w:val="center"/>
              <w:rPr>
                <w:rFonts w:ascii="Times New Roman" w:hAnsi="Times New Roman"/>
                <w:b/>
                <w:sz w:val="20"/>
                <w:szCs w:val="20"/>
                <w:lang w:eastAsia="sk-SK"/>
              </w:rPr>
            </w:pPr>
            <w:r>
              <w:rPr>
                <w:rFonts w:ascii="MS Gothic" w:eastAsia="MS Gothic" w:hAnsi="MS Gothic" w:hint="eastAsia"/>
                <w:b/>
                <w:sz w:val="20"/>
                <w:szCs w:val="20"/>
                <w:lang w:eastAsia="sk-SK"/>
              </w:rPr>
              <w:t>☐</w:t>
            </w:r>
            <w:r w:rsidR="001B23B7" w:rsidRPr="00B043B4">
              <w:rPr>
                <w:rFonts w:ascii="Times New Roman" w:hAnsi="Times New Roman"/>
                <w:b/>
                <w:sz w:val="20"/>
                <w:szCs w:val="20"/>
                <w:lang w:eastAsia="sk-SK"/>
              </w:rPr>
              <w:t xml:space="preserve">  Áno</w:t>
            </w:r>
          </w:p>
        </w:tc>
        <w:tc>
          <w:tcPr>
            <w:tcW w:w="1560" w:type="dxa"/>
            <w:gridSpan w:val="2"/>
            <w:tcBorders>
              <w:top w:val="single" w:sz="4" w:space="0" w:color="FFFFFF"/>
              <w:left w:val="nil"/>
              <w:bottom w:val="nil"/>
            </w:tcBorders>
            <w:shd w:val="clear" w:color="auto" w:fill="FFFFFF"/>
          </w:tcPr>
          <w:p w:rsidR="001B23B7" w:rsidRPr="00B043B4" w:rsidRDefault="00165944" w:rsidP="00203EE3">
            <w:pPr>
              <w:jc w:val="center"/>
              <w:rPr>
                <w:rFonts w:ascii="Times New Roman" w:hAnsi="Times New Roman"/>
                <w:b/>
                <w:sz w:val="20"/>
                <w:szCs w:val="20"/>
                <w:lang w:eastAsia="sk-SK"/>
              </w:rPr>
            </w:pPr>
            <w:r>
              <w:rPr>
                <w:rFonts w:ascii="MS Gothic" w:eastAsia="MS Gothic" w:hAnsi="MS Gothic" w:hint="eastAsia"/>
                <w:b/>
                <w:sz w:val="20"/>
                <w:szCs w:val="20"/>
                <w:lang w:eastAsia="sk-SK"/>
              </w:rPr>
              <w:t>☒</w:t>
            </w:r>
            <w:r w:rsidR="001B23B7" w:rsidRPr="00B043B4">
              <w:rPr>
                <w:rFonts w:ascii="Times New Roman" w:hAnsi="Times New Roman"/>
                <w:b/>
                <w:sz w:val="20"/>
                <w:szCs w:val="20"/>
                <w:lang w:eastAsia="sk-SK"/>
              </w:rPr>
              <w:t xml:space="preserve">  Nie</w:t>
            </w:r>
          </w:p>
        </w:tc>
      </w:tr>
      <w:tr w:rsidR="001B23B7" w:rsidRPr="00B043B4" w:rsidTr="000800FC">
        <w:tc>
          <w:tcPr>
            <w:tcW w:w="9180" w:type="dxa"/>
            <w:gridSpan w:val="11"/>
            <w:tcBorders>
              <w:top w:val="nil"/>
            </w:tcBorders>
            <w:shd w:val="clear" w:color="auto" w:fill="FFFFFF"/>
          </w:tcPr>
          <w:p w:rsidR="001B23B7" w:rsidRPr="00F76CBD" w:rsidRDefault="001B23B7" w:rsidP="000800FC">
            <w:pPr>
              <w:rPr>
                <w:rFonts w:ascii="Times New Roman" w:hAnsi="Times New Roman"/>
                <w:i/>
                <w:szCs w:val="20"/>
                <w:lang w:eastAsia="sk-SK"/>
              </w:rPr>
            </w:pPr>
            <w:r w:rsidRPr="00F76CBD">
              <w:rPr>
                <w:rFonts w:ascii="Times New Roman" w:hAnsi="Times New Roman"/>
                <w:i/>
                <w:szCs w:val="20"/>
                <w:lang w:eastAsia="sk-SK"/>
              </w:rPr>
              <w:t>Ak áno, uveďte ktoré oblasti budú nimi upravené, resp. ktorých vykonávacích predpisov sa zmena dotkne:</w:t>
            </w:r>
          </w:p>
          <w:p w:rsidR="001B23B7" w:rsidRPr="00B043B4" w:rsidRDefault="001B23B7" w:rsidP="000800FC">
            <w:pPr>
              <w:rPr>
                <w:rFonts w:ascii="Times New Roman" w:hAnsi="Times New Roman"/>
                <w:sz w:val="20"/>
                <w:szCs w:val="20"/>
                <w:lang w:eastAsia="sk-SK"/>
              </w:rPr>
            </w:pP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tcBorders>
            <w:shd w:val="clear" w:color="auto" w:fill="FFFFFF"/>
          </w:tcPr>
          <w:p w:rsidR="001B23B7" w:rsidRPr="00704091" w:rsidRDefault="00165944" w:rsidP="000800FC">
            <w:pPr>
              <w:jc w:val="both"/>
              <w:rPr>
                <w:rFonts w:ascii="Times New Roman" w:hAnsi="Times New Roman"/>
                <w:i/>
                <w:sz w:val="20"/>
                <w:szCs w:val="20"/>
                <w:lang w:eastAsia="sk-SK"/>
              </w:rPr>
            </w:pPr>
            <w:r w:rsidRPr="00704091">
              <w:rPr>
                <w:rFonts w:ascii="Times New Roman" w:hAnsi="Times New Roman"/>
                <w:i/>
              </w:rPr>
              <w:t xml:space="preserve">Návrhom zmluvy nedochádza k transpozícii práva EÚ, z tohto dôvodu národná právna úprava nepresahuje rámec minimálnych požiadaviek EÚ (tzv. </w:t>
            </w:r>
            <w:proofErr w:type="spellStart"/>
            <w:r w:rsidRPr="00704091">
              <w:rPr>
                <w:rFonts w:ascii="Times New Roman" w:hAnsi="Times New Roman"/>
                <w:i/>
              </w:rPr>
              <w:t>goldplating</w:t>
            </w:r>
            <w:proofErr w:type="spellEnd"/>
            <w:r w:rsidRPr="00704091">
              <w:rPr>
                <w:rFonts w:ascii="Times New Roman" w:hAnsi="Times New Roman"/>
                <w:i/>
              </w:rPr>
              <w:t>).</w:t>
            </w:r>
            <w:r w:rsidRPr="00704091">
              <w:rPr>
                <w:rFonts w:ascii="Times New Roman" w:hAnsi="Times New Roman"/>
                <w:i/>
                <w:sz w:val="20"/>
                <w:szCs w:val="20"/>
                <w:lang w:eastAsia="sk-SK"/>
              </w:rPr>
              <w:t xml:space="preserve">  </w:t>
            </w: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hAnsi="Times New Roman"/>
                <w:sz w:val="20"/>
                <w:szCs w:val="20"/>
                <w:lang w:eastAsia="sk-SK"/>
              </w:rPr>
            </w:pP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Preskúmanie účelnosti</w:t>
            </w:r>
          </w:p>
        </w:tc>
      </w:tr>
      <w:tr w:rsidR="001B23B7" w:rsidRPr="00B043B4" w:rsidTr="000800FC">
        <w:tc>
          <w:tcPr>
            <w:tcW w:w="9180" w:type="dxa"/>
            <w:gridSpan w:val="11"/>
            <w:tcBorders>
              <w:top w:val="single" w:sz="4" w:space="0" w:color="FFFFFF"/>
            </w:tcBorders>
            <w:shd w:val="clear" w:color="auto" w:fill="FFFFFF"/>
          </w:tcPr>
          <w:p w:rsidR="00BE05DB" w:rsidRPr="00BE05DB" w:rsidRDefault="00165944" w:rsidP="00F76CBD">
            <w:pPr>
              <w:jc w:val="both"/>
              <w:rPr>
                <w:rFonts w:ascii="Times New Roman" w:hAnsi="Times New Roman"/>
              </w:rPr>
            </w:pPr>
            <w:r w:rsidRPr="00704091">
              <w:rPr>
                <w:rFonts w:ascii="Times New Roman" w:hAnsi="Times New Roman"/>
                <w:i/>
              </w:rPr>
              <w:t>Preskúmanie účinnosti a účelnosti nie je</w:t>
            </w:r>
            <w:r w:rsidR="00BE05DB" w:rsidRPr="00704091">
              <w:rPr>
                <w:rFonts w:ascii="Times New Roman" w:hAnsi="Times New Roman"/>
                <w:i/>
              </w:rPr>
              <w:t xml:space="preserve"> potrebné </w:t>
            </w:r>
            <w:r w:rsidRPr="00704091">
              <w:rPr>
                <w:rFonts w:ascii="Times New Roman" w:hAnsi="Times New Roman"/>
                <w:i/>
              </w:rPr>
              <w:t>v súčasnosti definova</w:t>
            </w:r>
            <w:r w:rsidR="00BE05DB" w:rsidRPr="00704091">
              <w:rPr>
                <w:rFonts w:ascii="Times New Roman" w:hAnsi="Times New Roman"/>
                <w:i/>
              </w:rPr>
              <w:t>ť. Zmluva sa uzatvára na neurčitú dobu, pokiaľ ju jedna zo zmluvných strán písomne nevypovie diplomatickou cestou so šesť mesačnou výpovednou lehotou. Zmluva obsahuje klauzulu, že ktorákoľvek zo zmluvných strán môže navrhnúť zmenu tejto zmluvy. Zmeny budú vykonané písomne a nadobudnú platnosť podľa jej článku 2</w:t>
            </w:r>
            <w:r w:rsidR="00BE05DB" w:rsidRPr="00BE05DB">
              <w:rPr>
                <w:rFonts w:ascii="Times New Roman" w:hAnsi="Times New Roman"/>
              </w:rPr>
              <w:t xml:space="preserve">. </w:t>
            </w:r>
          </w:p>
          <w:p w:rsidR="001B23B7" w:rsidRPr="00B043B4" w:rsidRDefault="001B23B7" w:rsidP="00BE05DB">
            <w:pPr>
              <w:rPr>
                <w:rFonts w:ascii="Times New Roman" w:hAnsi="Times New Roman"/>
                <w:i/>
                <w:sz w:val="20"/>
                <w:szCs w:val="20"/>
                <w:lang w:eastAsia="sk-SK"/>
              </w:rPr>
            </w:pPr>
          </w:p>
        </w:tc>
      </w:tr>
      <w:tr w:rsidR="001B23B7" w:rsidRPr="00B043B4" w:rsidTr="000800FC">
        <w:tc>
          <w:tcPr>
            <w:tcW w:w="9180" w:type="dxa"/>
            <w:gridSpan w:val="11"/>
            <w:tcBorders>
              <w:top w:val="nil"/>
              <w:left w:val="nil"/>
              <w:right w:val="nil"/>
            </w:tcBorders>
            <w:shd w:val="clear" w:color="auto" w:fill="FFFFFF"/>
          </w:tcPr>
          <w:p w:rsidR="001B23B7" w:rsidRPr="00B043B4" w:rsidRDefault="001B23B7" w:rsidP="000800FC">
            <w:pPr>
              <w:rPr>
                <w:rFonts w:ascii="Times New Roman" w:hAnsi="Times New Roman"/>
                <w:b/>
                <w:sz w:val="20"/>
                <w:szCs w:val="20"/>
                <w:lang w:eastAsia="sk-SK"/>
              </w:rPr>
            </w:pPr>
          </w:p>
          <w:p w:rsidR="001B23B7" w:rsidRPr="00B043B4" w:rsidRDefault="001B23B7" w:rsidP="000800FC">
            <w:pPr>
              <w:rPr>
                <w:rFonts w:ascii="Times New Roman" w:hAnsi="Times New Roman"/>
                <w:b/>
                <w:sz w:val="20"/>
                <w:szCs w:val="20"/>
                <w:lang w:eastAsia="sk-SK"/>
              </w:rPr>
            </w:pPr>
          </w:p>
          <w:p w:rsidR="001B23B7" w:rsidRPr="00B043B4" w:rsidRDefault="001B23B7" w:rsidP="000800FC">
            <w:pPr>
              <w:ind w:left="142" w:hanging="142"/>
              <w:rPr>
                <w:rFonts w:ascii="Times New Roman" w:hAnsi="Times New Roman"/>
                <w:sz w:val="20"/>
                <w:szCs w:val="20"/>
                <w:lang w:eastAsia="sk-SK"/>
              </w:rPr>
            </w:pPr>
            <w:r w:rsidRPr="00B043B4">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Default="001B23B7">
            <w:pPr>
              <w:rPr>
                <w:rFonts w:ascii="Times New Roman" w:hAnsi="Times New Roman"/>
                <w:sz w:val="20"/>
                <w:szCs w:val="20"/>
                <w:lang w:eastAsia="sk-SK"/>
              </w:rPr>
            </w:pPr>
            <w:r w:rsidRPr="00B043B4">
              <w:rPr>
                <w:rFonts w:ascii="Times New Roman" w:hAnsi="Times New Roman"/>
                <w:sz w:val="20"/>
                <w:szCs w:val="20"/>
                <w:lang w:eastAsia="sk-SK"/>
              </w:rPr>
              <w:t>** vyplniť iba v prípade, ak sa záverečné posúdenie</w:t>
            </w:r>
            <w:r w:rsidR="00A340BB">
              <w:rPr>
                <w:rFonts w:ascii="Times New Roman" w:hAnsi="Times New Roman"/>
                <w:sz w:val="20"/>
                <w:szCs w:val="20"/>
                <w:lang w:eastAsia="sk-SK"/>
              </w:rPr>
              <w:t xml:space="preserve"> vybraných vplyvov</w:t>
            </w:r>
            <w:r w:rsidRPr="00B043B4">
              <w:rPr>
                <w:rFonts w:ascii="Times New Roman" w:hAnsi="Times New Roman"/>
                <w:sz w:val="20"/>
                <w:szCs w:val="20"/>
                <w:lang w:eastAsia="sk-SK"/>
              </w:rPr>
              <w:t xml:space="preserve"> uskutočnilo v zmysle bodu 9.1. </w:t>
            </w:r>
            <w:r w:rsidR="00A340BB">
              <w:rPr>
                <w:rFonts w:ascii="Times New Roman" w:hAnsi="Times New Roman"/>
                <w:sz w:val="20"/>
                <w:szCs w:val="20"/>
                <w:lang w:eastAsia="sk-SK"/>
              </w:rPr>
              <w:t>j</w:t>
            </w:r>
            <w:r w:rsidRPr="00B043B4">
              <w:rPr>
                <w:rFonts w:ascii="Times New Roman" w:hAnsi="Times New Roman"/>
                <w:sz w:val="20"/>
                <w:szCs w:val="20"/>
                <w:lang w:eastAsia="sk-SK"/>
              </w:rPr>
              <w:t>ednotnej metodiky</w:t>
            </w:r>
            <w:r w:rsidR="00A340BB">
              <w:rPr>
                <w:rFonts w:ascii="Times New Roman" w:hAnsi="Times New Roman"/>
                <w:sz w:val="20"/>
                <w:szCs w:val="20"/>
                <w:lang w:eastAsia="sk-SK"/>
              </w:rPr>
              <w:t>.</w:t>
            </w:r>
          </w:p>
          <w:p w:rsidR="004C6831" w:rsidRDefault="004C6831">
            <w:pPr>
              <w:rPr>
                <w:rFonts w:ascii="Times New Roman" w:hAnsi="Times New Roman"/>
                <w:sz w:val="20"/>
                <w:szCs w:val="20"/>
                <w:lang w:eastAsia="sk-SK"/>
              </w:rPr>
            </w:pPr>
          </w:p>
          <w:p w:rsidR="001B23B7" w:rsidRPr="00B043B4" w:rsidRDefault="001B23B7">
            <w:pPr>
              <w:rPr>
                <w:rFonts w:ascii="Times New Roman" w:hAnsi="Times New Roman"/>
                <w:b/>
                <w:sz w:val="20"/>
                <w:szCs w:val="20"/>
                <w:lang w:eastAsia="sk-SK"/>
              </w:rPr>
            </w:pPr>
          </w:p>
        </w:tc>
      </w:tr>
      <w:tr w:rsidR="001B23B7" w:rsidRPr="00B043B4" w:rsidTr="00BA2BF4">
        <w:trPr>
          <w:trHeight w:val="283"/>
        </w:trPr>
        <w:tc>
          <w:tcPr>
            <w:tcW w:w="9180" w:type="dxa"/>
            <w:gridSpan w:val="11"/>
            <w:tcBorders>
              <w:bottom w:val="single" w:sz="4" w:space="0" w:color="FFFFFF"/>
            </w:tcBorders>
            <w:shd w:val="clear" w:color="auto" w:fill="E2E2E2"/>
            <w:vAlign w:val="center"/>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Vybrané vplyvy  materiálu</w:t>
            </w:r>
          </w:p>
        </w:tc>
      </w:tr>
      <w:tr w:rsidR="001B23B7" w:rsidRPr="00B043B4" w:rsidTr="009431E3">
        <w:tc>
          <w:tcPr>
            <w:tcW w:w="3812" w:type="dxa"/>
            <w:tcBorders>
              <w:bottom w:val="nil"/>
            </w:tcBorders>
            <w:shd w:val="clear" w:color="auto" w:fill="E2E2E2"/>
          </w:tcPr>
          <w:p w:rsidR="001B23B7" w:rsidRPr="00B043B4" w:rsidRDefault="001B23B7" w:rsidP="000800FC">
            <w:pPr>
              <w:rPr>
                <w:rFonts w:ascii="Times New Roman" w:hAnsi="Times New Roman"/>
                <w:b/>
                <w:sz w:val="20"/>
                <w:szCs w:val="20"/>
                <w:lang w:eastAsia="sk-SK"/>
              </w:rPr>
            </w:pPr>
            <w:r w:rsidRPr="00B043B4">
              <w:rPr>
                <w:rFonts w:ascii="Times New Roman" w:hAnsi="Times New Roman"/>
                <w:b/>
                <w:sz w:val="20"/>
                <w:szCs w:val="20"/>
                <w:lang w:eastAsia="sk-SK"/>
              </w:rPr>
              <w:t>Vplyvy na rozpočet verejnej správy</w:t>
            </w:r>
          </w:p>
        </w:tc>
        <w:tc>
          <w:tcPr>
            <w:tcW w:w="541" w:type="dxa"/>
            <w:gridSpan w:val="2"/>
            <w:tcBorders>
              <w:bottom w:val="dotted" w:sz="4" w:space="0" w:color="auto"/>
              <w:right w:val="nil"/>
            </w:tcBorders>
          </w:tcPr>
          <w:p w:rsidR="001B23B7" w:rsidRPr="00B043B4" w:rsidRDefault="003145AE" w:rsidP="000800F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tcPr>
          <w:p w:rsidR="001B23B7" w:rsidRPr="00B043B4" w:rsidRDefault="001B23B7" w:rsidP="000800FC">
            <w:pPr>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bottom w:val="dotted" w:sz="4" w:space="0" w:color="auto"/>
              <w:right w:val="nil"/>
            </w:tcBorders>
          </w:tcPr>
          <w:p w:rsidR="001B23B7" w:rsidRPr="00B043B4" w:rsidRDefault="00165944" w:rsidP="000800F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tcPr>
          <w:p w:rsidR="001B23B7" w:rsidRPr="00B043B4" w:rsidRDefault="001B23B7" w:rsidP="000800FC">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bottom w:val="dotted" w:sz="4" w:space="0" w:color="auto"/>
              <w:right w:val="nil"/>
            </w:tcBorders>
          </w:tcPr>
          <w:p w:rsidR="001B23B7" w:rsidRPr="00B043B4" w:rsidRDefault="00203EE3" w:rsidP="000800FC">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bottom w:val="dotted" w:sz="4" w:space="0" w:color="auto"/>
            </w:tcBorders>
          </w:tcPr>
          <w:p w:rsidR="001B23B7" w:rsidRPr="00B043B4" w:rsidRDefault="001B23B7" w:rsidP="000800FC">
            <w:pPr>
              <w:ind w:left="3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1B23B7" w:rsidRPr="00B043B4" w:rsidTr="004C6831">
        <w:tc>
          <w:tcPr>
            <w:tcW w:w="3812" w:type="dxa"/>
            <w:tcBorders>
              <w:top w:val="nil"/>
              <w:bottom w:val="nil"/>
            </w:tcBorders>
            <w:shd w:val="clear" w:color="auto" w:fill="E2E2E2"/>
          </w:tcPr>
          <w:p w:rsidR="00B84F87" w:rsidRDefault="00B84F87">
            <w:pPr>
              <w:rPr>
                <w:rFonts w:ascii="Times New Roman" w:hAnsi="Times New Roman"/>
                <w:sz w:val="20"/>
                <w:szCs w:val="20"/>
                <w:lang w:eastAsia="sk-SK"/>
              </w:rPr>
            </w:pPr>
            <w:r>
              <w:rPr>
                <w:rFonts w:ascii="Times New Roman" w:hAnsi="Times New Roman"/>
                <w:sz w:val="20"/>
                <w:szCs w:val="20"/>
                <w:lang w:eastAsia="sk-SK"/>
              </w:rPr>
              <w:t xml:space="preserve">    </w:t>
            </w:r>
            <w:r w:rsidR="001B23B7" w:rsidRPr="00A340BB">
              <w:rPr>
                <w:rFonts w:ascii="Times New Roman" w:hAnsi="Times New Roman"/>
                <w:sz w:val="20"/>
                <w:szCs w:val="20"/>
                <w:lang w:eastAsia="sk-SK"/>
              </w:rPr>
              <w:t xml:space="preserve">z toho rozpočtovo zabezpečené vplyvy, </w:t>
            </w:r>
            <w:r w:rsidR="00A340BB" w:rsidRPr="00A340BB">
              <w:rPr>
                <w:rFonts w:ascii="Times New Roman" w:hAnsi="Times New Roman"/>
                <w:sz w:val="20"/>
                <w:szCs w:val="20"/>
                <w:lang w:eastAsia="sk-SK"/>
              </w:rPr>
              <w:t xml:space="preserve">    </w:t>
            </w:r>
            <w:r>
              <w:rPr>
                <w:rFonts w:ascii="Times New Roman" w:hAnsi="Times New Roman"/>
                <w:sz w:val="20"/>
                <w:szCs w:val="20"/>
                <w:lang w:eastAsia="sk-SK"/>
              </w:rPr>
              <w:t xml:space="preserve">    </w:t>
            </w:r>
          </w:p>
          <w:p w:rsidR="00B84F87" w:rsidRDefault="00B84F87">
            <w:pPr>
              <w:rPr>
                <w:rFonts w:ascii="Times New Roman" w:hAnsi="Times New Roman"/>
                <w:sz w:val="20"/>
                <w:szCs w:val="20"/>
                <w:lang w:eastAsia="sk-SK"/>
              </w:rPr>
            </w:pPr>
            <w:r>
              <w:rPr>
                <w:rFonts w:ascii="Times New Roman" w:hAnsi="Times New Roman"/>
                <w:sz w:val="20"/>
                <w:szCs w:val="20"/>
                <w:lang w:eastAsia="sk-SK"/>
              </w:rPr>
              <w:t xml:space="preserve">    </w:t>
            </w:r>
            <w:r w:rsidR="001B23B7" w:rsidRPr="00A340BB">
              <w:rPr>
                <w:rFonts w:ascii="Times New Roman" w:hAnsi="Times New Roman"/>
                <w:sz w:val="20"/>
                <w:szCs w:val="20"/>
                <w:lang w:eastAsia="sk-SK"/>
              </w:rPr>
              <w:t xml:space="preserve">v prípade identifikovaného negatívneho </w:t>
            </w:r>
          </w:p>
          <w:p w:rsidR="003145AE" w:rsidRPr="00A340BB" w:rsidRDefault="00B84F87">
            <w:pPr>
              <w:rPr>
                <w:rFonts w:ascii="Times New Roman" w:hAnsi="Times New Roman"/>
                <w:sz w:val="20"/>
                <w:szCs w:val="20"/>
                <w:lang w:eastAsia="sk-SK"/>
              </w:rPr>
            </w:pPr>
            <w:r>
              <w:rPr>
                <w:rFonts w:ascii="Times New Roman" w:hAnsi="Times New Roman"/>
                <w:sz w:val="20"/>
                <w:szCs w:val="20"/>
                <w:lang w:eastAsia="sk-SK"/>
              </w:rPr>
              <w:t xml:space="preserve">    </w:t>
            </w:r>
            <w:r w:rsidR="001B23B7" w:rsidRPr="00A340BB">
              <w:rPr>
                <w:rFonts w:ascii="Times New Roman" w:hAnsi="Times New Roman"/>
                <w:sz w:val="20"/>
                <w:szCs w:val="20"/>
                <w:lang w:eastAsia="sk-SK"/>
              </w:rPr>
              <w:t>vplyvu</w:t>
            </w:r>
          </w:p>
        </w:tc>
        <w:tc>
          <w:tcPr>
            <w:tcW w:w="541" w:type="dxa"/>
            <w:gridSpan w:val="2"/>
            <w:tcBorders>
              <w:top w:val="dotted" w:sz="4" w:space="0" w:color="auto"/>
              <w:bottom w:val="dotted" w:sz="4" w:space="0" w:color="auto"/>
              <w:right w:val="nil"/>
            </w:tcBorders>
            <w:vAlign w:val="center"/>
          </w:tcPr>
          <w:p w:rsidR="001B23B7" w:rsidRPr="00B043B4" w:rsidRDefault="003145AE" w:rsidP="00203EE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hAnsi="Times New Roman"/>
                <w:sz w:val="20"/>
                <w:szCs w:val="20"/>
                <w:lang w:eastAsia="sk-SK"/>
              </w:rPr>
            </w:pPr>
            <w:r w:rsidRPr="00B043B4">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1B23B7" w:rsidRPr="00B043B4" w:rsidRDefault="00203EE3" w:rsidP="00203EE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hAnsi="Times New Roman"/>
                <w:sz w:val="20"/>
                <w:szCs w:val="20"/>
                <w:lang w:eastAsia="sk-SK"/>
              </w:rPr>
            </w:pPr>
            <w:r w:rsidRPr="00B043B4">
              <w:rPr>
                <w:rFonts w:ascii="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1B23B7" w:rsidRPr="00B043B4" w:rsidRDefault="00203EE3" w:rsidP="00203EE3">
            <w:pPr>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1B23B7" w:rsidRPr="00B043B4" w:rsidRDefault="001B23B7" w:rsidP="00203EE3">
            <w:pPr>
              <w:ind w:left="34"/>
              <w:rPr>
                <w:rFonts w:ascii="Times New Roman" w:hAnsi="Times New Roman"/>
                <w:sz w:val="20"/>
                <w:szCs w:val="20"/>
                <w:lang w:eastAsia="sk-SK"/>
              </w:rPr>
            </w:pPr>
            <w:r w:rsidRPr="00B043B4">
              <w:rPr>
                <w:rFonts w:ascii="Times New Roman" w:hAnsi="Times New Roman"/>
                <w:sz w:val="20"/>
                <w:szCs w:val="20"/>
                <w:lang w:eastAsia="sk-SK"/>
              </w:rPr>
              <w:t>Čiastočne</w:t>
            </w:r>
          </w:p>
        </w:tc>
      </w:tr>
      <w:tr w:rsidR="003145AE" w:rsidRPr="00B043B4" w:rsidTr="004C6831">
        <w:tc>
          <w:tcPr>
            <w:tcW w:w="3812" w:type="dxa"/>
            <w:tcBorders>
              <w:top w:val="nil"/>
              <w:bottom w:val="nil"/>
            </w:tcBorders>
            <w:shd w:val="clear" w:color="auto" w:fill="E2E2E2"/>
          </w:tcPr>
          <w:p w:rsidR="003145AE" w:rsidRPr="003145AE" w:rsidRDefault="003145AE" w:rsidP="003145AE">
            <w:pPr>
              <w:rPr>
                <w:rFonts w:ascii="Times New Roman" w:hAnsi="Times New Roman"/>
                <w:b/>
                <w:sz w:val="20"/>
                <w:szCs w:val="20"/>
                <w:lang w:eastAsia="sk-SK"/>
              </w:rPr>
            </w:pPr>
            <w:r>
              <w:rPr>
                <w:rFonts w:ascii="Times New Roman" w:hAnsi="Times New Roman"/>
                <w:b/>
                <w:sz w:val="20"/>
                <w:szCs w:val="20"/>
                <w:lang w:eastAsia="sk-SK"/>
              </w:rPr>
              <w:t>v tom vplyvy na rozpočty obcí a vyšších územných celkov</w:t>
            </w:r>
          </w:p>
        </w:tc>
        <w:tc>
          <w:tcPr>
            <w:tcW w:w="541" w:type="dxa"/>
            <w:gridSpan w:val="2"/>
            <w:tcBorders>
              <w:top w:val="dotted" w:sz="4" w:space="0" w:color="auto"/>
              <w:bottom w:val="dotted" w:sz="4" w:space="0" w:color="auto"/>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tcBorders>
          </w:tcPr>
          <w:p w:rsidR="003145AE" w:rsidRPr="00B043B4" w:rsidRDefault="003145AE" w:rsidP="003145AE">
            <w:pPr>
              <w:ind w:left="3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3145AE" w:rsidRPr="00B043B4" w:rsidTr="004C6831">
        <w:tc>
          <w:tcPr>
            <w:tcW w:w="3812" w:type="dxa"/>
            <w:tcBorders>
              <w:top w:val="nil"/>
              <w:bottom w:val="single" w:sz="4" w:space="0" w:color="000000"/>
            </w:tcBorders>
            <w:shd w:val="clear" w:color="auto" w:fill="E2E2E2"/>
          </w:tcPr>
          <w:p w:rsidR="003145AE" w:rsidRDefault="003145AE" w:rsidP="003145AE">
            <w:pPr>
              <w:ind w:left="171"/>
              <w:rPr>
                <w:rFonts w:ascii="Times New Roman" w:hAnsi="Times New Roman"/>
                <w:sz w:val="20"/>
                <w:szCs w:val="20"/>
                <w:lang w:eastAsia="sk-SK"/>
              </w:rPr>
            </w:pPr>
            <w:r>
              <w:rPr>
                <w:rFonts w:ascii="Times New Roman" w:hAnsi="Times New Roman"/>
                <w:sz w:val="20"/>
                <w:szCs w:val="20"/>
                <w:lang w:eastAsia="sk-SK"/>
              </w:rPr>
              <w:t>z toho rozpočtovo zabezpečené vplyvy,</w:t>
            </w:r>
          </w:p>
          <w:p w:rsidR="003145AE" w:rsidRPr="003145AE" w:rsidRDefault="003145AE" w:rsidP="003145AE">
            <w:pPr>
              <w:ind w:left="171"/>
              <w:rPr>
                <w:rFonts w:ascii="Times New Roman" w:hAnsi="Times New Roman"/>
                <w:sz w:val="20"/>
                <w:szCs w:val="20"/>
                <w:lang w:eastAsia="sk-SK"/>
              </w:rPr>
            </w:pPr>
            <w:r>
              <w:rPr>
                <w:rFonts w:ascii="Times New Roman" w:hAnsi="Times New Roman"/>
                <w:sz w:val="20"/>
                <w:szCs w:val="20"/>
                <w:lang w:eastAsia="sk-SK"/>
              </w:rPr>
              <w:t>v prípade identifikovaného negatívneho vplyvu</w:t>
            </w:r>
          </w:p>
        </w:tc>
        <w:tc>
          <w:tcPr>
            <w:tcW w:w="541" w:type="dxa"/>
            <w:gridSpan w:val="2"/>
            <w:tcBorders>
              <w:top w:val="dotted" w:sz="4" w:space="0" w:color="auto"/>
              <w:bottom w:val="dotted" w:sz="4" w:space="0" w:color="auto"/>
              <w:right w:val="nil"/>
            </w:tcBorders>
            <w:vAlign w:val="center"/>
          </w:tcPr>
          <w:p w:rsidR="003145AE" w:rsidRPr="00B043B4" w:rsidRDefault="003145AE" w:rsidP="003145A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rPr>
                <w:rFonts w:ascii="Times New Roman" w:hAnsi="Times New Roman"/>
                <w:sz w:val="20"/>
                <w:szCs w:val="20"/>
                <w:lang w:eastAsia="sk-SK"/>
              </w:rPr>
            </w:pPr>
            <w:r w:rsidRPr="00B043B4">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hAnsi="Times New Roman"/>
                <w:sz w:val="20"/>
                <w:szCs w:val="20"/>
                <w:lang w:eastAsia="sk-SK"/>
              </w:rPr>
            </w:pPr>
            <w:r w:rsidRPr="00B043B4">
              <w:rPr>
                <w:rFonts w:ascii="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3145AE" w:rsidRPr="00B043B4" w:rsidRDefault="003145AE" w:rsidP="003145AE">
            <w:pPr>
              <w:ind w:left="34"/>
              <w:rPr>
                <w:rFonts w:ascii="Times New Roman" w:hAnsi="Times New Roman"/>
                <w:sz w:val="20"/>
                <w:szCs w:val="20"/>
                <w:lang w:eastAsia="sk-SK"/>
              </w:rPr>
            </w:pPr>
            <w:r w:rsidRPr="00B043B4">
              <w:rPr>
                <w:rFonts w:ascii="Times New Roman" w:hAnsi="Times New Roman"/>
                <w:sz w:val="20"/>
                <w:szCs w:val="20"/>
                <w:lang w:eastAsia="sk-SK"/>
              </w:rPr>
              <w:t>Čiastočne</w:t>
            </w:r>
          </w:p>
        </w:tc>
      </w:tr>
      <w:tr w:rsidR="003145AE" w:rsidRPr="00B043B4" w:rsidTr="00203EE3">
        <w:tc>
          <w:tcPr>
            <w:tcW w:w="3812" w:type="dxa"/>
            <w:tcBorders>
              <w:top w:val="single" w:sz="4" w:space="0" w:color="000000"/>
              <w:bottom w:val="nil"/>
            </w:tcBorders>
            <w:shd w:val="clear" w:color="auto" w:fill="E2E2E2"/>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Vplyvy na podnikateľské prostredie</w:t>
            </w:r>
          </w:p>
        </w:tc>
        <w:tc>
          <w:tcPr>
            <w:tcW w:w="541" w:type="dxa"/>
            <w:gridSpan w:val="2"/>
            <w:tcBorders>
              <w:bottom w:val="dotted" w:sz="4" w:space="0" w:color="auto"/>
              <w:right w:val="nil"/>
            </w:tcBorders>
            <w:vAlign w:val="center"/>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vAlign w:val="center"/>
          </w:tcPr>
          <w:p w:rsidR="003145AE" w:rsidRPr="00B043B4" w:rsidRDefault="003145AE" w:rsidP="003145AE">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bottom w:val="dotted" w:sz="4" w:space="0" w:color="auto"/>
              <w:right w:val="nil"/>
            </w:tcBorders>
            <w:vAlign w:val="center"/>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vAlign w:val="center"/>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bottom w:val="dotted" w:sz="4" w:space="0" w:color="auto"/>
              <w:right w:val="nil"/>
            </w:tcBorders>
            <w:vAlign w:val="center"/>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bottom w:val="dotted" w:sz="4" w:space="0" w:color="auto"/>
            </w:tcBorders>
            <w:vAlign w:val="center"/>
          </w:tcPr>
          <w:p w:rsidR="003145AE" w:rsidRPr="00B043B4" w:rsidRDefault="003145AE" w:rsidP="003145AE">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hAnsi="Times New Roman"/>
                <w:sz w:val="20"/>
                <w:szCs w:val="20"/>
                <w:lang w:eastAsia="sk-SK"/>
              </w:rPr>
            </w:pPr>
            <w:r w:rsidRPr="00B043B4">
              <w:rPr>
                <w:rFonts w:ascii="Times New Roman" w:hAnsi="Times New Roman"/>
                <w:sz w:val="20"/>
                <w:szCs w:val="20"/>
                <w:lang w:eastAsia="sk-SK"/>
              </w:rPr>
              <w:t xml:space="preserve"> </w:t>
            </w:r>
            <w:r>
              <w:rPr>
                <w:rFonts w:ascii="Times New Roman" w:hAnsi="Times New Roman"/>
                <w:sz w:val="20"/>
                <w:szCs w:val="20"/>
                <w:lang w:eastAsia="sk-SK"/>
              </w:rPr>
              <w:t xml:space="preserve">   </w:t>
            </w:r>
            <w:r w:rsidRPr="00B043B4">
              <w:rPr>
                <w:rFonts w:ascii="Times New Roman" w:hAnsi="Times New Roman"/>
                <w:sz w:val="20"/>
                <w:szCs w:val="20"/>
                <w:lang w:eastAsia="sk-SK"/>
              </w:rPr>
              <w:t>z toho vplyvy na MSP</w:t>
            </w:r>
          </w:p>
          <w:p w:rsidR="003145AE" w:rsidRPr="00B043B4" w:rsidRDefault="003145AE" w:rsidP="003145AE">
            <w:pPr>
              <w:rPr>
                <w:rFonts w:ascii="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hAnsi="Times New Roman"/>
                <w:sz w:val="20"/>
                <w:szCs w:val="20"/>
                <w:lang w:eastAsia="sk-SK"/>
              </w:rPr>
            </w:pPr>
            <w:r w:rsidRPr="00B043B4">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3145AE" w:rsidRPr="00B043B4" w:rsidRDefault="00165944" w:rsidP="003145A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hAnsi="Times New Roman"/>
                <w:sz w:val="20"/>
                <w:szCs w:val="20"/>
                <w:lang w:eastAsia="sk-SK"/>
              </w:rPr>
            </w:pPr>
            <w:r w:rsidRPr="00B043B4">
              <w:rPr>
                <w:rFonts w:ascii="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3145AE" w:rsidRPr="00B043B4" w:rsidRDefault="003145AE" w:rsidP="003145AE">
            <w:pPr>
              <w:ind w:left="54"/>
              <w:rPr>
                <w:rFonts w:ascii="Times New Roman" w:hAnsi="Times New Roman"/>
                <w:sz w:val="20"/>
                <w:szCs w:val="20"/>
                <w:lang w:eastAsia="sk-SK"/>
              </w:rPr>
            </w:pPr>
            <w:r w:rsidRPr="00B043B4">
              <w:rPr>
                <w:rFonts w:ascii="Times New Roman" w:hAnsi="Times New Roman"/>
                <w:sz w:val="20"/>
                <w:szCs w:val="20"/>
                <w:lang w:eastAsia="sk-SK"/>
              </w:rPr>
              <w:t>Negatívne</w:t>
            </w:r>
          </w:p>
        </w:tc>
      </w:tr>
      <w:tr w:rsidR="003145AE" w:rsidRPr="00B043B4" w:rsidTr="00203EE3">
        <w:tc>
          <w:tcPr>
            <w:tcW w:w="3812" w:type="dxa"/>
            <w:tcBorders>
              <w:top w:val="nil"/>
            </w:tcBorders>
            <w:shd w:val="clear" w:color="auto" w:fill="E2E2E2"/>
          </w:tcPr>
          <w:p w:rsidR="003145AE" w:rsidRDefault="003145AE" w:rsidP="003145AE">
            <w:pPr>
              <w:rPr>
                <w:rFonts w:ascii="Times New Roman" w:hAnsi="Times New Roman"/>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 xml:space="preserve">Mechanizmus znižovania byrokracie </w:t>
            </w:r>
            <w:r>
              <w:rPr>
                <w:rFonts w:ascii="Times New Roman" w:hAnsi="Times New Roman"/>
                <w:sz w:val="20"/>
                <w:szCs w:val="20"/>
                <w:lang w:eastAsia="sk-SK"/>
              </w:rPr>
              <w:t xml:space="preserve">   </w:t>
            </w:r>
          </w:p>
          <w:p w:rsidR="003145AE" w:rsidRPr="00B043B4" w:rsidRDefault="003145AE" w:rsidP="003145AE">
            <w:pPr>
              <w:rPr>
                <w:rFonts w:ascii="Times New Roman" w:hAnsi="Times New Roman"/>
                <w:b/>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a nákladov sa uplatňuje:</w:t>
            </w:r>
          </w:p>
        </w:tc>
        <w:tc>
          <w:tcPr>
            <w:tcW w:w="541" w:type="dxa"/>
            <w:gridSpan w:val="2"/>
            <w:tcBorders>
              <w:top w:val="dotted" w:sz="4" w:space="0" w:color="auto"/>
              <w:right w:val="nil"/>
            </w:tcBorders>
            <w:vAlign w:val="center"/>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596" w:type="dxa"/>
            <w:gridSpan w:val="3"/>
            <w:tcBorders>
              <w:top w:val="dotted" w:sz="4" w:space="0" w:color="auto"/>
              <w:left w:val="nil"/>
              <w:right w:val="nil"/>
            </w:tcBorders>
            <w:vAlign w:val="center"/>
          </w:tcPr>
          <w:p w:rsidR="003145AE" w:rsidRPr="00B043B4" w:rsidRDefault="003145AE" w:rsidP="003145AE">
            <w:pPr>
              <w:ind w:right="-108"/>
              <w:rPr>
                <w:rFonts w:ascii="Times New Roman" w:hAnsi="Times New Roman"/>
                <w:b/>
                <w:sz w:val="20"/>
                <w:szCs w:val="20"/>
                <w:lang w:eastAsia="sk-SK"/>
              </w:rPr>
            </w:pPr>
            <w:r w:rsidRPr="00B043B4">
              <w:rPr>
                <w:rFonts w:ascii="Times New Roman" w:hAnsi="Times New Roman"/>
                <w:sz w:val="20"/>
                <w:szCs w:val="20"/>
                <w:lang w:eastAsia="sk-SK"/>
              </w:rPr>
              <w:t>Áno</w:t>
            </w:r>
          </w:p>
        </w:tc>
        <w:tc>
          <w:tcPr>
            <w:tcW w:w="254" w:type="dxa"/>
            <w:tcBorders>
              <w:top w:val="dotted" w:sz="4" w:space="0" w:color="auto"/>
              <w:left w:val="nil"/>
              <w:right w:val="nil"/>
            </w:tcBorders>
            <w:vAlign w:val="center"/>
          </w:tcPr>
          <w:p w:rsidR="003145AE" w:rsidRPr="00B043B4" w:rsidRDefault="003145AE" w:rsidP="003145AE">
            <w:pPr>
              <w:jc w:val="center"/>
              <w:rPr>
                <w:rFonts w:ascii="Times New Roman" w:hAnsi="Times New Roman"/>
                <w:b/>
                <w:sz w:val="20"/>
                <w:szCs w:val="20"/>
                <w:lang w:eastAsia="sk-SK"/>
              </w:rPr>
            </w:pPr>
          </w:p>
        </w:tc>
        <w:tc>
          <w:tcPr>
            <w:tcW w:w="1133" w:type="dxa"/>
            <w:tcBorders>
              <w:top w:val="dotted" w:sz="4" w:space="0" w:color="auto"/>
              <w:left w:val="nil"/>
              <w:right w:val="nil"/>
            </w:tcBorders>
            <w:vAlign w:val="center"/>
          </w:tcPr>
          <w:p w:rsidR="003145AE" w:rsidRPr="00B043B4" w:rsidRDefault="003145AE" w:rsidP="003145AE">
            <w:pPr>
              <w:jc w:val="center"/>
              <w:rPr>
                <w:rFonts w:ascii="Times New Roman" w:hAnsi="Times New Roman"/>
                <w:b/>
                <w:sz w:val="20"/>
                <w:szCs w:val="20"/>
                <w:lang w:eastAsia="sk-SK"/>
              </w:rPr>
            </w:pPr>
          </w:p>
        </w:tc>
        <w:tc>
          <w:tcPr>
            <w:tcW w:w="547" w:type="dxa"/>
            <w:gridSpan w:val="2"/>
            <w:tcBorders>
              <w:top w:val="dotted" w:sz="4" w:space="0" w:color="auto"/>
              <w:left w:val="nil"/>
              <w:right w:val="nil"/>
            </w:tcBorders>
            <w:vAlign w:val="center"/>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tcBorders>
            <w:vAlign w:val="center"/>
          </w:tcPr>
          <w:p w:rsidR="003145AE" w:rsidRPr="00B043B4" w:rsidRDefault="003145AE" w:rsidP="003145AE">
            <w:pPr>
              <w:ind w:left="54"/>
              <w:rPr>
                <w:rFonts w:ascii="Times New Roman" w:hAnsi="Times New Roman"/>
                <w:b/>
                <w:sz w:val="20"/>
                <w:szCs w:val="20"/>
                <w:lang w:eastAsia="sk-SK"/>
              </w:rPr>
            </w:pPr>
            <w:r w:rsidRPr="00B043B4">
              <w:rPr>
                <w:rFonts w:ascii="Times New Roman" w:hAnsi="Times New Roman"/>
                <w:sz w:val="20"/>
                <w:szCs w:val="20"/>
                <w:lang w:eastAsia="sk-SK"/>
              </w:rPr>
              <w:t>Nie</w:t>
            </w:r>
          </w:p>
        </w:tc>
      </w:tr>
      <w:tr w:rsidR="003145AE" w:rsidRPr="00B043B4" w:rsidTr="009431E3">
        <w:tc>
          <w:tcPr>
            <w:tcW w:w="3812" w:type="dxa"/>
            <w:tcBorders>
              <w:top w:val="single" w:sz="4" w:space="0" w:color="000000"/>
            </w:tcBorders>
            <w:shd w:val="clear" w:color="auto" w:fill="E2E2E2"/>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Sociálne vplyvy</w:t>
            </w:r>
          </w:p>
        </w:tc>
        <w:tc>
          <w:tcPr>
            <w:tcW w:w="541" w:type="dxa"/>
            <w:gridSpan w:val="2"/>
            <w:tcBorders>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3145AE" w:rsidRPr="00B043B4" w:rsidRDefault="003145AE" w:rsidP="003145AE">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3145AE" w:rsidRPr="00B043B4" w:rsidRDefault="003145AE" w:rsidP="003145AE">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3145AE" w:rsidRPr="00B043B4" w:rsidTr="009431E3">
        <w:tc>
          <w:tcPr>
            <w:tcW w:w="3812" w:type="dxa"/>
            <w:shd w:val="clear" w:color="auto" w:fill="E2E2E2"/>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Vplyvy na životné prostredie</w:t>
            </w:r>
          </w:p>
        </w:tc>
        <w:tc>
          <w:tcPr>
            <w:tcW w:w="541" w:type="dxa"/>
            <w:gridSpan w:val="2"/>
            <w:tcBorders>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3145AE" w:rsidRPr="00B043B4" w:rsidRDefault="003145AE" w:rsidP="003145AE">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3145AE" w:rsidRPr="00B043B4" w:rsidRDefault="003145AE" w:rsidP="003145AE">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3145AE" w:rsidRPr="00B043B4" w:rsidTr="009431E3">
        <w:tc>
          <w:tcPr>
            <w:tcW w:w="3812" w:type="dxa"/>
            <w:shd w:val="clear" w:color="auto" w:fill="E2E2E2"/>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Vplyvy na informatizáciu</w:t>
            </w:r>
            <w:r>
              <w:rPr>
                <w:rFonts w:ascii="Times New Roman" w:hAnsi="Times New Roman"/>
                <w:b/>
                <w:sz w:val="20"/>
                <w:szCs w:val="20"/>
                <w:lang w:eastAsia="sk-SK"/>
              </w:rPr>
              <w:t xml:space="preserve"> spoločnosti</w:t>
            </w:r>
          </w:p>
        </w:tc>
        <w:tc>
          <w:tcPr>
            <w:tcW w:w="541" w:type="dxa"/>
            <w:gridSpan w:val="2"/>
            <w:tcBorders>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3145AE" w:rsidRPr="00B043B4" w:rsidRDefault="003145AE" w:rsidP="003145AE">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3145AE" w:rsidRPr="00B043B4" w:rsidRDefault="00165944"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3145AE" w:rsidRPr="00B043B4" w:rsidRDefault="003145AE" w:rsidP="003145AE">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3145AE" w:rsidRPr="00B043B4" w:rsidRDefault="003145AE" w:rsidP="003145A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3145AE" w:rsidRPr="00B043B4" w:rsidRDefault="003145AE" w:rsidP="003145AE">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bottom w:val="nil"/>
            </w:tcBorders>
            <w:shd w:val="clear" w:color="auto" w:fill="E2E2E2"/>
          </w:tcPr>
          <w:p w:rsidR="000F2BE9" w:rsidRPr="00B043B4" w:rsidRDefault="000F2BE9" w:rsidP="000800FC">
            <w:pPr>
              <w:spacing w:after="0" w:line="240" w:lineRule="auto"/>
              <w:rPr>
                <w:rFonts w:ascii="Times New Roman" w:hAnsi="Times New Roman"/>
                <w:b/>
                <w:sz w:val="20"/>
                <w:szCs w:val="20"/>
                <w:lang w:eastAsia="sk-SK"/>
              </w:rPr>
            </w:pPr>
            <w:r w:rsidRPr="00B043B4">
              <w:rPr>
                <w:rFonts w:ascii="Times New Roman" w:hAnsi="Times New Roman"/>
                <w:b/>
                <w:sz w:val="20"/>
                <w:szCs w:val="20"/>
              </w:rPr>
              <w:t>Vplyvy na služby verejnej správy pre občana, z</w:t>
            </w:r>
            <w:r w:rsidR="00CE6AAE">
              <w:rPr>
                <w:rFonts w:ascii="Times New Roman" w:hAnsi="Times New Roman"/>
                <w:b/>
                <w:sz w:val="20"/>
                <w:szCs w:val="20"/>
              </w:rPr>
              <w:t> </w:t>
            </w:r>
            <w:r w:rsidRPr="00B043B4">
              <w:rPr>
                <w:rFonts w:ascii="Times New Roman" w:hAnsi="Times New Roman"/>
                <w:b/>
                <w:sz w:val="20"/>
                <w:szCs w:val="20"/>
              </w:rPr>
              <w:t>toho</w:t>
            </w:r>
          </w:p>
        </w:tc>
        <w:tc>
          <w:tcPr>
            <w:tcW w:w="541" w:type="dxa"/>
            <w:tcBorders>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281" w:type="dxa"/>
            <w:tcBorders>
              <w:left w:val="nil"/>
              <w:bottom w:val="nil"/>
              <w:right w:val="nil"/>
            </w:tcBorders>
          </w:tcPr>
          <w:p w:rsidR="000F2BE9" w:rsidRPr="00B043B4" w:rsidRDefault="000F2BE9" w:rsidP="000800FC">
            <w:pPr>
              <w:spacing w:after="0" w:line="240" w:lineRule="auto"/>
              <w:ind w:right="-108"/>
              <w:rPr>
                <w:rFonts w:ascii="Times New Roman" w:hAnsi="Times New Roman"/>
                <w:b/>
                <w:sz w:val="20"/>
                <w:szCs w:val="20"/>
                <w:lang w:eastAsia="sk-SK"/>
              </w:rPr>
            </w:pPr>
          </w:p>
        </w:tc>
        <w:tc>
          <w:tcPr>
            <w:tcW w:w="569" w:type="dxa"/>
            <w:gridSpan w:val="2"/>
            <w:tcBorders>
              <w:left w:val="nil"/>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133" w:type="dxa"/>
            <w:tcBorders>
              <w:left w:val="nil"/>
              <w:bottom w:val="nil"/>
              <w:right w:val="nil"/>
            </w:tcBorders>
          </w:tcPr>
          <w:p w:rsidR="000F2BE9" w:rsidRPr="00B043B4" w:rsidRDefault="000F2BE9" w:rsidP="000800FC">
            <w:pPr>
              <w:spacing w:after="0" w:line="240" w:lineRule="auto"/>
              <w:rPr>
                <w:rFonts w:ascii="Times New Roman" w:hAnsi="Times New Roman"/>
                <w:b/>
                <w:sz w:val="20"/>
                <w:szCs w:val="20"/>
                <w:lang w:eastAsia="sk-SK"/>
              </w:rPr>
            </w:pPr>
          </w:p>
        </w:tc>
        <w:tc>
          <w:tcPr>
            <w:tcW w:w="547" w:type="dxa"/>
            <w:tcBorders>
              <w:left w:val="nil"/>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297" w:type="dxa"/>
            <w:tcBorders>
              <w:left w:val="nil"/>
              <w:bottom w:val="nil"/>
            </w:tcBorders>
          </w:tcPr>
          <w:p w:rsidR="000F2BE9" w:rsidRPr="00B043B4" w:rsidRDefault="000F2BE9" w:rsidP="000800FC">
            <w:pPr>
              <w:spacing w:after="0" w:line="240" w:lineRule="auto"/>
              <w:ind w:left="54"/>
              <w:rPr>
                <w:rFonts w:ascii="Times New Roman" w:hAnsi="Times New Roman"/>
                <w:b/>
                <w:sz w:val="20"/>
                <w:szCs w:val="20"/>
                <w:lang w:eastAsia="sk-SK"/>
              </w:rPr>
            </w:pPr>
          </w:p>
        </w:tc>
      </w:tr>
      <w:tr w:rsidR="000F2BE9" w:rsidRPr="00B043B4" w:rsidTr="00B547F5">
        <w:tc>
          <w:tcPr>
            <w:tcW w:w="3812" w:type="dxa"/>
            <w:tcBorders>
              <w:top w:val="nil"/>
              <w:bottom w:val="nil"/>
            </w:tcBorders>
            <w:shd w:val="clear" w:color="auto" w:fill="E2E2E2"/>
          </w:tcPr>
          <w:p w:rsidR="000F2BE9" w:rsidRPr="00B043B4" w:rsidRDefault="000F2BE9" w:rsidP="000800FC">
            <w:pPr>
              <w:spacing w:after="0" w:line="240" w:lineRule="auto"/>
              <w:ind w:left="196" w:hanging="196"/>
              <w:rPr>
                <w:rFonts w:ascii="Times New Roman" w:hAnsi="Times New Roman"/>
                <w:b/>
                <w:sz w:val="20"/>
                <w:szCs w:val="20"/>
              </w:rPr>
            </w:pPr>
            <w:r w:rsidRPr="00B043B4">
              <w:rPr>
                <w:rFonts w:ascii="Times New Roman" w:hAnsi="Times New Roman"/>
                <w:b/>
                <w:sz w:val="20"/>
                <w:szCs w:val="20"/>
              </w:rPr>
              <w:t xml:space="preserve">    vplyvy služieb verejnej správy na občana</w:t>
            </w:r>
          </w:p>
        </w:tc>
        <w:tc>
          <w:tcPr>
            <w:tcW w:w="541" w:type="dxa"/>
            <w:tcBorders>
              <w:top w:val="nil"/>
              <w:bottom w:val="dotted" w:sz="4" w:space="0" w:color="auto"/>
              <w:right w:val="nil"/>
            </w:tcBorders>
          </w:tcPr>
          <w:p w:rsidR="000F2BE9" w:rsidRPr="00B043B4" w:rsidRDefault="0023360B"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nil"/>
              <w:left w:val="nil"/>
              <w:bottom w:val="dotted" w:sz="4" w:space="0" w:color="auto"/>
              <w:right w:val="nil"/>
            </w:tcBorders>
          </w:tcPr>
          <w:p w:rsidR="000F2BE9" w:rsidRPr="00B043B4" w:rsidRDefault="000F2BE9" w:rsidP="00B547F5">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nil"/>
              <w:left w:val="nil"/>
              <w:bottom w:val="dotted" w:sz="4" w:space="0" w:color="auto"/>
              <w:right w:val="nil"/>
            </w:tcBorders>
          </w:tcPr>
          <w:p w:rsidR="000F2BE9" w:rsidRPr="00B043B4" w:rsidRDefault="00165944"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nil"/>
              <w:left w:val="nil"/>
              <w:bottom w:val="dotted" w:sz="4" w:space="0" w:color="auto"/>
              <w:right w:val="nil"/>
            </w:tcBorders>
          </w:tcPr>
          <w:p w:rsidR="000F2BE9" w:rsidRPr="00B043B4" w:rsidRDefault="000F2BE9" w:rsidP="00B547F5">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nil"/>
              <w:left w:val="nil"/>
              <w:bottom w:val="dotted" w:sz="4" w:space="0" w:color="auto"/>
              <w:right w:val="nil"/>
            </w:tcBorders>
          </w:tcPr>
          <w:p w:rsidR="000F2BE9" w:rsidRPr="00B043B4" w:rsidRDefault="0023360B"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nil"/>
              <w:left w:val="nil"/>
              <w:bottom w:val="dotted" w:sz="4" w:space="0" w:color="auto"/>
            </w:tcBorders>
          </w:tcPr>
          <w:p w:rsidR="000F2BE9" w:rsidRPr="00B043B4" w:rsidRDefault="000F2BE9" w:rsidP="00B547F5">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F2BE9" w:rsidRPr="00B043B4" w:rsidTr="00B547F5">
        <w:tc>
          <w:tcPr>
            <w:tcW w:w="3812" w:type="dxa"/>
            <w:tcBorders>
              <w:top w:val="nil"/>
              <w:bottom w:val="nil"/>
            </w:tcBorders>
            <w:shd w:val="clear" w:color="auto" w:fill="E2E2E2"/>
          </w:tcPr>
          <w:p w:rsidR="000F2BE9" w:rsidRPr="00B043B4" w:rsidRDefault="000F2BE9" w:rsidP="000800FC">
            <w:pPr>
              <w:spacing w:after="0" w:line="240" w:lineRule="auto"/>
              <w:ind w:left="168" w:hanging="168"/>
              <w:rPr>
                <w:rFonts w:ascii="Times New Roman" w:hAnsi="Times New Roman"/>
                <w:b/>
                <w:sz w:val="20"/>
                <w:szCs w:val="20"/>
              </w:rPr>
            </w:pPr>
            <w:r w:rsidRPr="00B043B4">
              <w:rPr>
                <w:rFonts w:ascii="Times New Roman" w:hAnsi="Times New Roman"/>
                <w:b/>
                <w:sz w:val="20"/>
                <w:szCs w:val="20"/>
              </w:rPr>
              <w:t xml:space="preserve">    vplyvy na procesy služieb vo verejnej správe</w:t>
            </w:r>
          </w:p>
        </w:tc>
        <w:tc>
          <w:tcPr>
            <w:tcW w:w="541" w:type="dxa"/>
            <w:tcBorders>
              <w:top w:val="dotted" w:sz="4" w:space="0" w:color="auto"/>
              <w:bottom w:val="dotted" w:sz="4" w:space="0" w:color="auto"/>
              <w:right w:val="nil"/>
            </w:tcBorders>
            <w:vAlign w:val="center"/>
          </w:tcPr>
          <w:p w:rsidR="000F2BE9" w:rsidRPr="00B043B4" w:rsidRDefault="0023360B"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F2BE9" w:rsidRPr="00B043B4" w:rsidRDefault="000F2BE9" w:rsidP="00B547F5">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vAlign w:val="center"/>
          </w:tcPr>
          <w:p w:rsidR="000F2BE9" w:rsidRPr="00B043B4" w:rsidRDefault="00165944"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vAlign w:val="center"/>
          </w:tcPr>
          <w:p w:rsidR="000F2BE9" w:rsidRPr="00B043B4" w:rsidRDefault="000F2BE9" w:rsidP="00B547F5">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vAlign w:val="center"/>
          </w:tcPr>
          <w:p w:rsidR="000F2BE9" w:rsidRPr="00B043B4" w:rsidRDefault="0023360B"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tcBorders>
            <w:vAlign w:val="center"/>
          </w:tcPr>
          <w:p w:rsidR="000F2BE9" w:rsidRPr="00B043B4" w:rsidRDefault="000F2BE9" w:rsidP="00B547F5">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tcBorders>
            <w:shd w:val="clear" w:color="auto" w:fill="E2E2E2"/>
          </w:tcPr>
          <w:p w:rsidR="00A340BB" w:rsidRPr="00B043B4" w:rsidRDefault="00A340BB" w:rsidP="00AA592B">
            <w:pPr>
              <w:rPr>
                <w:rFonts w:ascii="Times New Roman" w:hAnsi="Times New Roman"/>
                <w:b/>
                <w:sz w:val="20"/>
                <w:szCs w:val="20"/>
                <w:lang w:eastAsia="sk-SK"/>
              </w:rPr>
            </w:pPr>
            <w:r w:rsidRPr="00F87681">
              <w:rPr>
                <w:rFonts w:ascii="Times New Roman" w:hAnsi="Times New Roman"/>
                <w:b/>
                <w:sz w:val="20"/>
                <w:szCs w:val="20"/>
              </w:rPr>
              <w:t>Vplyvy na manželstvo</w:t>
            </w:r>
            <w:r w:rsidR="00DF357C">
              <w:rPr>
                <w:rFonts w:ascii="Times New Roman" w:hAnsi="Times New Roman"/>
                <w:b/>
                <w:sz w:val="20"/>
                <w:szCs w:val="20"/>
              </w:rPr>
              <w:t>,</w:t>
            </w:r>
            <w:r w:rsidRPr="00F87681">
              <w:rPr>
                <w:rFonts w:ascii="Times New Roman" w:hAnsi="Times New Roman"/>
                <w:b/>
                <w:sz w:val="20"/>
                <w:szCs w:val="20"/>
              </w:rPr>
              <w:t xml:space="preserve"> rodičovstvo a</w:t>
            </w:r>
            <w:r w:rsidR="00CE6AAE">
              <w:rPr>
                <w:rFonts w:ascii="Times New Roman" w:hAnsi="Times New Roman"/>
                <w:b/>
                <w:sz w:val="20"/>
                <w:szCs w:val="20"/>
              </w:rPr>
              <w:t> </w:t>
            </w:r>
            <w:r w:rsidRPr="00F87681">
              <w:rPr>
                <w:rFonts w:ascii="Times New Roman" w:hAnsi="Times New Roman"/>
                <w:b/>
                <w:sz w:val="20"/>
                <w:szCs w:val="20"/>
              </w:rPr>
              <w:t>rodinu</w:t>
            </w:r>
          </w:p>
        </w:tc>
        <w:tc>
          <w:tcPr>
            <w:tcW w:w="541" w:type="dxa"/>
            <w:tcBorders>
              <w:right w:val="nil"/>
            </w:tcBorders>
            <w:vAlign w:val="center"/>
          </w:tcPr>
          <w:p w:rsidR="00A340BB" w:rsidRPr="00B043B4" w:rsidRDefault="0023360B" w:rsidP="0023360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tcBorders>
              <w:left w:val="nil"/>
              <w:right w:val="nil"/>
            </w:tcBorders>
            <w:vAlign w:val="center"/>
          </w:tcPr>
          <w:p w:rsidR="00A340BB" w:rsidRPr="00B043B4" w:rsidRDefault="00A340BB" w:rsidP="0023360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left w:val="nil"/>
              <w:right w:val="nil"/>
            </w:tcBorders>
            <w:vAlign w:val="center"/>
          </w:tcPr>
          <w:p w:rsidR="00A340BB" w:rsidRPr="00B043B4" w:rsidRDefault="00165944" w:rsidP="0023360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vAlign w:val="center"/>
          </w:tcPr>
          <w:p w:rsidR="00A340BB" w:rsidRPr="00B043B4" w:rsidRDefault="00A340BB" w:rsidP="0023360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left w:val="nil"/>
              <w:right w:val="nil"/>
            </w:tcBorders>
            <w:vAlign w:val="center"/>
          </w:tcPr>
          <w:p w:rsidR="00A340BB" w:rsidRPr="00B043B4" w:rsidRDefault="0023360B" w:rsidP="0023360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vAlign w:val="center"/>
          </w:tcPr>
          <w:p w:rsidR="00A340BB" w:rsidRPr="00B043B4" w:rsidRDefault="00A340BB" w:rsidP="0023360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p w:rsidR="001B23B7" w:rsidRPr="00B043B4" w:rsidRDefault="001B23B7" w:rsidP="001B23B7">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bottom w:val="nil"/>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Poznámky</w:t>
            </w:r>
          </w:p>
        </w:tc>
      </w:tr>
      <w:tr w:rsidR="001B23B7" w:rsidRPr="00B043B4" w:rsidTr="000800FC">
        <w:trPr>
          <w:trHeight w:val="713"/>
        </w:trPr>
        <w:tc>
          <w:tcPr>
            <w:tcW w:w="9176" w:type="dxa"/>
            <w:tcBorders>
              <w:top w:val="nil"/>
              <w:bottom w:val="single" w:sz="4" w:space="0" w:color="FFFFFF"/>
            </w:tcBorders>
          </w:tcPr>
          <w:p w:rsidR="00165944" w:rsidRPr="00704091" w:rsidRDefault="00165944" w:rsidP="00165944">
            <w:pPr>
              <w:jc w:val="both"/>
              <w:rPr>
                <w:rFonts w:ascii="Times New Roman" w:hAnsi="Times New Roman"/>
                <w:i/>
              </w:rPr>
            </w:pPr>
            <w:r w:rsidRPr="00704091">
              <w:rPr>
                <w:rFonts w:ascii="Times New Roman" w:hAnsi="Times New Roman"/>
                <w:i/>
              </w:rPr>
              <w:t>Vzhľadom na to, že v súčasnosti zabezpečujeme výmenu 50 ks prepravných povolení pre Mongolsko, nepredpokladáme žiadne dopady na rozpočet verejnej správy. Cena prepravného povolenia na základe zmluvy č. 919/C200/2018, týkajúca sa tlače čistopisov dokladov s ochrannými znakmi, j</w:t>
            </w:r>
            <w:r w:rsidR="00A37E79">
              <w:rPr>
                <w:rFonts w:ascii="Times New Roman" w:hAnsi="Times New Roman"/>
                <w:i/>
              </w:rPr>
              <w:t>e 0,091 Eur. Celkové náklady MD</w:t>
            </w:r>
            <w:r w:rsidRPr="00704091">
              <w:rPr>
                <w:rFonts w:ascii="Times New Roman" w:hAnsi="Times New Roman"/>
                <w:i/>
              </w:rPr>
              <w:t xml:space="preserve"> SR týkajúce sa tlače prepravných povolení pre Mongolsko (v počte 50 ks) tvorí </w:t>
            </w:r>
            <w:r w:rsidRPr="00704091">
              <w:rPr>
                <w:rFonts w:ascii="Times New Roman" w:hAnsi="Times New Roman"/>
                <w:i/>
              </w:rPr>
              <w:lastRenderedPageBreak/>
              <w:t xml:space="preserve">sumu 4,55 eur ročne. Zároveň vzhľadom na geografickú vzdialenosť Mongolska a v súčasnosti nízku využiteľnosť prepravných povolení </w:t>
            </w:r>
            <w:r w:rsidRPr="00305187">
              <w:rPr>
                <w:rFonts w:ascii="Times New Roman" w:hAnsi="Times New Roman"/>
                <w:i/>
              </w:rPr>
              <w:t xml:space="preserve">konštatujeme, </w:t>
            </w:r>
            <w:r w:rsidR="00305187" w:rsidRPr="00305187">
              <w:rPr>
                <w:rFonts w:ascii="Times New Roman" w:hAnsi="Times New Roman"/>
                <w:i/>
              </w:rPr>
              <w:t>že zmluva</w:t>
            </w:r>
            <w:r w:rsidRPr="00305187">
              <w:rPr>
                <w:rFonts w:ascii="Times New Roman" w:hAnsi="Times New Roman"/>
                <w:i/>
              </w:rPr>
              <w:t xml:space="preserve"> nemá vplyv na podnikateľské prostredie.</w:t>
            </w:r>
            <w:r w:rsidRPr="00704091">
              <w:rPr>
                <w:rFonts w:ascii="Times New Roman" w:hAnsi="Times New Roman"/>
                <w:i/>
              </w:rPr>
              <w:t xml:space="preserve"> </w:t>
            </w:r>
          </w:p>
          <w:p w:rsidR="00704091" w:rsidRPr="00B043B4" w:rsidRDefault="00704091" w:rsidP="00704091">
            <w:pPr>
              <w:contextualSpacing/>
              <w:rPr>
                <w:rFonts w:ascii="Times New Roman" w:hAnsi="Times New Roman"/>
                <w:b/>
              </w:rPr>
            </w:pPr>
          </w:p>
        </w:tc>
      </w:tr>
      <w:tr w:rsidR="001B23B7" w:rsidRPr="00B043B4" w:rsidTr="000800FC">
        <w:tc>
          <w:tcPr>
            <w:tcW w:w="9176" w:type="dxa"/>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lastRenderedPageBreak/>
              <w:t>Kontakt na spracovateľa</w:t>
            </w:r>
          </w:p>
        </w:tc>
      </w:tr>
      <w:tr w:rsidR="001B23B7" w:rsidRPr="00B043B4" w:rsidTr="000800FC">
        <w:trPr>
          <w:trHeight w:val="586"/>
        </w:trPr>
        <w:tc>
          <w:tcPr>
            <w:tcW w:w="9176" w:type="dxa"/>
            <w:tcBorders>
              <w:top w:val="single" w:sz="4" w:space="0" w:color="FFFFFF"/>
            </w:tcBorders>
            <w:shd w:val="clear" w:color="auto" w:fill="FFFFFF"/>
          </w:tcPr>
          <w:p w:rsidR="00165944" w:rsidRPr="00704091" w:rsidRDefault="00165944" w:rsidP="00165944">
            <w:pPr>
              <w:rPr>
                <w:rFonts w:ascii="Times New Roman" w:hAnsi="Times New Roman"/>
                <w:i/>
              </w:rPr>
            </w:pPr>
            <w:r w:rsidRPr="00704091">
              <w:rPr>
                <w:rFonts w:ascii="Times New Roman" w:hAnsi="Times New Roman"/>
                <w:i/>
              </w:rPr>
              <w:t>Ministerstvo dopravy SR</w:t>
            </w:r>
          </w:p>
          <w:p w:rsidR="00165944" w:rsidRPr="00704091" w:rsidRDefault="00165944" w:rsidP="00165944">
            <w:pPr>
              <w:rPr>
                <w:rFonts w:ascii="Times New Roman" w:hAnsi="Times New Roman"/>
                <w:i/>
              </w:rPr>
            </w:pPr>
            <w:r w:rsidRPr="00704091">
              <w:rPr>
                <w:rFonts w:ascii="Times New Roman" w:hAnsi="Times New Roman"/>
                <w:i/>
              </w:rPr>
              <w:t>Sekcia cestnej dopravy a pozemných komunikácií</w:t>
            </w:r>
          </w:p>
          <w:p w:rsidR="00165944" w:rsidRPr="00704091" w:rsidRDefault="00165944" w:rsidP="00165944">
            <w:pPr>
              <w:rPr>
                <w:rFonts w:ascii="Times New Roman" w:hAnsi="Times New Roman"/>
                <w:i/>
              </w:rPr>
            </w:pPr>
            <w:r w:rsidRPr="00704091">
              <w:rPr>
                <w:rFonts w:ascii="Times New Roman" w:hAnsi="Times New Roman"/>
                <w:i/>
              </w:rPr>
              <w:t>Odbor cestnej dopravy</w:t>
            </w:r>
          </w:p>
          <w:p w:rsidR="001B23B7" w:rsidRPr="00B043B4" w:rsidRDefault="00165944" w:rsidP="00165944">
            <w:pPr>
              <w:rPr>
                <w:rFonts w:ascii="Times New Roman" w:hAnsi="Times New Roman"/>
                <w:i/>
                <w:sz w:val="20"/>
                <w:szCs w:val="20"/>
                <w:lang w:eastAsia="sk-SK"/>
              </w:rPr>
            </w:pPr>
            <w:r w:rsidRPr="00704091">
              <w:rPr>
                <w:rFonts w:ascii="Times New Roman" w:hAnsi="Times New Roman"/>
                <w:i/>
              </w:rPr>
              <w:t>Ing. Marek Hudec – marek.hudec@mindop.sk</w:t>
            </w:r>
          </w:p>
        </w:tc>
      </w:tr>
      <w:tr w:rsidR="001B23B7" w:rsidRPr="00B043B4" w:rsidTr="000800FC">
        <w:tc>
          <w:tcPr>
            <w:tcW w:w="9176" w:type="dxa"/>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Zdroje</w:t>
            </w:r>
          </w:p>
        </w:tc>
      </w:tr>
      <w:tr w:rsidR="001B23B7" w:rsidRPr="00B043B4" w:rsidTr="000800FC">
        <w:trPr>
          <w:trHeight w:val="401"/>
        </w:trPr>
        <w:tc>
          <w:tcPr>
            <w:tcW w:w="9176" w:type="dxa"/>
            <w:tcBorders>
              <w:top w:val="single" w:sz="4" w:space="0" w:color="FFFFFF"/>
            </w:tcBorders>
            <w:shd w:val="clear" w:color="auto" w:fill="FFFFFF"/>
          </w:tcPr>
          <w:p w:rsidR="00165944" w:rsidRPr="00704091" w:rsidRDefault="00165944" w:rsidP="00165944">
            <w:pPr>
              <w:jc w:val="both"/>
              <w:rPr>
                <w:rFonts w:ascii="Times New Roman" w:hAnsi="Times New Roman"/>
                <w:i/>
              </w:rPr>
            </w:pPr>
            <w:bookmarkStart w:id="0" w:name="_GoBack"/>
            <w:bookmarkEnd w:id="0"/>
            <w:r w:rsidRPr="00305187">
              <w:rPr>
                <w:rFonts w:ascii="Times New Roman" w:hAnsi="Times New Roman"/>
                <w:i/>
              </w:rPr>
              <w:t>Text návrhu zmluvy</w:t>
            </w:r>
            <w:r w:rsidRPr="00704091">
              <w:rPr>
                <w:rFonts w:ascii="Times New Roman" w:hAnsi="Times New Roman"/>
                <w:i/>
              </w:rPr>
              <w:t xml:space="preserve"> bol dohodnutý a konzultovaný s Ministerstvom dopravy a rozvoja infraštruktúry Mongolska.</w:t>
            </w:r>
          </w:p>
          <w:p w:rsidR="00165944" w:rsidRPr="00704091" w:rsidRDefault="00165944" w:rsidP="00165944">
            <w:pPr>
              <w:jc w:val="both"/>
              <w:rPr>
                <w:rFonts w:ascii="Times New Roman" w:hAnsi="Times New Roman"/>
                <w:i/>
              </w:rPr>
            </w:pPr>
            <w:r w:rsidRPr="00704091">
              <w:rPr>
                <w:rFonts w:ascii="Times New Roman" w:hAnsi="Times New Roman"/>
                <w:i/>
              </w:rPr>
              <w:t xml:space="preserve">Pri príprave boli využité informácie, týkajúce sa štatistiky využiteľnosti mongolských prepravných povolení slovenskými dopravcami poskytnuté okresnými úradmi v sídle kraja. Podľa § 42 písm.  f) zákona č. 56/2012 Z. z. o cestnej doprave okresný úrad v sídle kraja odovzdáva dopravcom na základe poverenia ministerstva prepravné povolenia pridelené príslušným orgánom iného štátu dopravcom so sídlom alebo s miestom podnikania v Slovenskej republike. </w:t>
            </w:r>
          </w:p>
          <w:p w:rsidR="00165944" w:rsidRPr="00704091" w:rsidRDefault="00165944" w:rsidP="00165944">
            <w:pPr>
              <w:jc w:val="both"/>
              <w:rPr>
                <w:rFonts w:ascii="Times New Roman" w:hAnsi="Times New Roman"/>
                <w:i/>
              </w:rPr>
            </w:pPr>
            <w:r w:rsidRPr="00704091">
              <w:rPr>
                <w:rFonts w:ascii="Times New Roman" w:hAnsi="Times New Roman"/>
                <w:i/>
              </w:rPr>
              <w:t xml:space="preserve">Tlač prepravného povolenia bola určená na základe zmluvy č. 919/C200/2018, týkajúcej sa tlače čistopisov dokladov s ochrannými znakmi. </w:t>
            </w:r>
          </w:p>
          <w:p w:rsidR="001B23B7" w:rsidRPr="00B043B4" w:rsidRDefault="001B23B7" w:rsidP="000800FC">
            <w:pPr>
              <w:rPr>
                <w:rFonts w:ascii="Times New Roman" w:hAnsi="Times New Roman"/>
                <w:i/>
                <w:sz w:val="20"/>
                <w:szCs w:val="20"/>
                <w:lang w:eastAsia="sk-SK"/>
              </w:rPr>
            </w:pPr>
          </w:p>
          <w:p w:rsidR="001B23B7" w:rsidRPr="00B043B4" w:rsidRDefault="001B23B7" w:rsidP="000800FC">
            <w:pPr>
              <w:rPr>
                <w:rFonts w:ascii="Times New Roman" w:hAnsi="Times New Roman"/>
                <w:b/>
                <w:sz w:val="20"/>
                <w:szCs w:val="20"/>
                <w:lang w:eastAsia="sk-SK"/>
              </w:rPr>
            </w:pPr>
          </w:p>
        </w:tc>
      </w:tr>
      <w:tr w:rsidR="001B23B7" w:rsidRPr="00B043B4" w:rsidTr="000800FC">
        <w:tc>
          <w:tcPr>
            <w:tcW w:w="9176" w:type="dxa"/>
            <w:tcBorders>
              <w:bottom w:val="single" w:sz="4" w:space="0" w:color="FFFFFF"/>
            </w:tcBorders>
            <w:shd w:val="clear" w:color="auto" w:fill="E2E2E2"/>
          </w:tcPr>
          <w:p w:rsidR="001B23B7" w:rsidRPr="00B043B4" w:rsidRDefault="001B23B7" w:rsidP="000800FC">
            <w:pPr>
              <w:numPr>
                <w:ilvl w:val="0"/>
                <w:numId w:val="1"/>
              </w:numPr>
              <w:ind w:left="447" w:hanging="425"/>
              <w:contextualSpacing/>
              <w:rPr>
                <w:rFonts w:ascii="Times New Roman" w:hAnsi="Times New Roman"/>
                <w:b/>
              </w:rPr>
            </w:pPr>
            <w:r w:rsidRPr="00B043B4">
              <w:rPr>
                <w:rFonts w:ascii="Times New Roman" w:hAnsi="Times New Roman"/>
                <w:b/>
              </w:rPr>
              <w:t>Stanovisko Komisie na posudzovanie vybraných vplyvov z PPK č. ..........</w:t>
            </w:r>
            <w:r w:rsidRPr="00B043B4">
              <w:rPr>
                <w:rFonts w:ascii="Calibri" w:hAnsi="Calibri"/>
              </w:rPr>
              <w:t xml:space="preserve"> </w:t>
            </w:r>
          </w:p>
          <w:p w:rsidR="001B23B7" w:rsidRPr="00B043B4" w:rsidRDefault="001B23B7" w:rsidP="000800FC">
            <w:pPr>
              <w:ind w:left="502"/>
              <w:rPr>
                <w:rFonts w:ascii="Times New Roman" w:hAnsi="Times New Roman"/>
                <w:b/>
                <w:sz w:val="20"/>
                <w:szCs w:val="20"/>
                <w:lang w:eastAsia="sk-SK"/>
              </w:rPr>
            </w:pPr>
            <w:r w:rsidRPr="00B043B4">
              <w:rPr>
                <w:rFonts w:ascii="Times New Roman" w:hAnsi="Times New Roman"/>
              </w:rPr>
              <w:t>(v prípade, ak sa uskutočnilo v zmysle bodu 8.1 Jednotnej metodiky)</w:t>
            </w:r>
          </w:p>
        </w:tc>
      </w:tr>
      <w:tr w:rsidR="001B23B7" w:rsidRPr="00B043B4" w:rsidTr="006F6B62">
        <w:trPr>
          <w:trHeight w:val="70"/>
        </w:trPr>
        <w:tc>
          <w:tcPr>
            <w:tcW w:w="9176" w:type="dxa"/>
            <w:tcBorders>
              <w:top w:val="single" w:sz="4" w:space="0" w:color="FFFFFF"/>
            </w:tcBorders>
            <w:shd w:val="clear" w:color="auto" w:fill="FFFFFF"/>
          </w:tcPr>
          <w:p w:rsidR="001B23B7" w:rsidRPr="00B043B4" w:rsidRDefault="001B23B7" w:rsidP="000800FC">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Borders>
                    <w:top w:val="nil"/>
                    <w:left w:val="nil"/>
                    <w:bottom w:val="nil"/>
                    <w:right w:val="nil"/>
                  </w:tcBorders>
                </w:tcPr>
                <w:p w:rsidR="001B23B7" w:rsidRPr="00B043B4" w:rsidRDefault="0023360B" w:rsidP="000800FC">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 xml:space="preserve">Súhlasné </w:t>
                  </w:r>
                </w:p>
              </w:tc>
              <w:tc>
                <w:tcPr>
                  <w:tcW w:w="3827" w:type="dxa"/>
                  <w:tcBorders>
                    <w:top w:val="nil"/>
                    <w:left w:val="nil"/>
                    <w:bottom w:val="nil"/>
                    <w:right w:val="nil"/>
                  </w:tcBorders>
                </w:tcPr>
                <w:p w:rsidR="001B23B7" w:rsidRPr="00B043B4" w:rsidRDefault="0023360B" w:rsidP="000800FC">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Súhlasné s návrhom na dopracovanie</w:t>
                  </w:r>
                </w:p>
              </w:tc>
              <w:tc>
                <w:tcPr>
                  <w:tcW w:w="2534" w:type="dxa"/>
                  <w:tcBorders>
                    <w:top w:val="nil"/>
                    <w:left w:val="nil"/>
                    <w:bottom w:val="nil"/>
                    <w:right w:val="nil"/>
                  </w:tcBorders>
                </w:tcPr>
                <w:p w:rsidR="001B23B7" w:rsidRPr="00B043B4" w:rsidRDefault="0023360B" w:rsidP="000800FC">
                  <w:pPr>
                    <w:ind w:right="459"/>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Nesúhlasné</w:t>
                  </w:r>
                </w:p>
              </w:tc>
            </w:tr>
          </w:tbl>
          <w:p w:rsidR="001B23B7" w:rsidRPr="00B043B4" w:rsidRDefault="001B23B7" w:rsidP="000800FC">
            <w:pPr>
              <w:jc w:val="both"/>
              <w:rPr>
                <w:rFonts w:ascii="Times New Roman" w:hAnsi="Times New Roman"/>
                <w:b/>
                <w:sz w:val="20"/>
                <w:szCs w:val="20"/>
                <w:lang w:eastAsia="sk-SK"/>
              </w:rPr>
            </w:pPr>
            <w:r w:rsidRPr="00B043B4">
              <w:rPr>
                <w:rFonts w:ascii="Times New Roman" w:hAnsi="Times New Roman"/>
                <w:b/>
                <w:sz w:val="20"/>
                <w:szCs w:val="20"/>
                <w:lang w:eastAsia="sk-SK"/>
              </w:rPr>
              <w:t>Uveďte pripomienky zo stanoviska Komisie z časti II. spolu s Vaším vyhodnotením:</w:t>
            </w:r>
          </w:p>
          <w:p w:rsidR="001B23B7" w:rsidRDefault="001B23B7" w:rsidP="000800FC">
            <w:pPr>
              <w:rPr>
                <w:rFonts w:ascii="Times New Roman" w:hAnsi="Times New Roman"/>
                <w:b/>
                <w:sz w:val="20"/>
                <w:szCs w:val="20"/>
                <w:lang w:eastAsia="sk-SK"/>
              </w:rPr>
            </w:pPr>
          </w:p>
          <w:p w:rsidR="001B23B7" w:rsidRPr="00B043B4" w:rsidRDefault="001B23B7" w:rsidP="000800FC">
            <w:pPr>
              <w:rPr>
                <w:rFonts w:ascii="Times New Roman" w:hAnsi="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hAnsi="Times New Roman"/>
                <w:b/>
              </w:rPr>
            </w:pPr>
            <w:r w:rsidRPr="00B043B4">
              <w:rPr>
                <w:rFonts w:ascii="Times New Roman" w:hAnsi="Times New Roman"/>
                <w:b/>
              </w:rPr>
              <w:t>Stanovisko Komisie na posudzovanie vybraných vplyvov zo záverečného posúdenia č. ..........</w:t>
            </w:r>
            <w:r w:rsidRPr="00B043B4">
              <w:rPr>
                <w:rFonts w:ascii="Times New Roman" w:hAnsi="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tcBorders>
              <w:bottom w:val="single" w:sz="4" w:space="0" w:color="auto"/>
            </w:tcBorders>
            <w:shd w:val="clear" w:color="auto" w:fill="FFFFFF"/>
          </w:tcPr>
          <w:p w:rsidR="001B23B7" w:rsidRPr="00B043B4" w:rsidRDefault="001B23B7" w:rsidP="000800FC">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Borders>
                    <w:top w:val="nil"/>
                    <w:left w:val="nil"/>
                    <w:bottom w:val="nil"/>
                    <w:right w:val="nil"/>
                  </w:tcBorders>
                </w:tcPr>
                <w:p w:rsidR="001B23B7" w:rsidRPr="00B043B4" w:rsidRDefault="0075197E" w:rsidP="000800FC">
                  <w:pPr>
                    <w:rPr>
                      <w:rFonts w:ascii="Times New Roman" w:hAnsi="Times New Roman"/>
                      <w:b/>
                      <w:sz w:val="20"/>
                      <w:szCs w:val="20"/>
                      <w:lang w:eastAsia="sk-SK"/>
                    </w:rPr>
                  </w:pPr>
                  <w:r>
                    <w:rPr>
                      <w:rFonts w:ascii="MS Gothic" w:eastAsia="MS Gothic" w:hAnsi="MS Gothic" w:hint="eastAsia"/>
                      <w:b/>
                      <w:sz w:val="20"/>
                      <w:szCs w:val="20"/>
                      <w:lang w:eastAsia="sk-SK"/>
                    </w:rPr>
                    <w:t>☐</w:t>
                  </w:r>
                  <w:r w:rsidR="0023360B">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 xml:space="preserve">Súhlasné </w:t>
                  </w:r>
                </w:p>
              </w:tc>
              <w:tc>
                <w:tcPr>
                  <w:tcW w:w="3827" w:type="dxa"/>
                  <w:tcBorders>
                    <w:top w:val="nil"/>
                    <w:left w:val="nil"/>
                    <w:bottom w:val="nil"/>
                    <w:right w:val="nil"/>
                  </w:tcBorders>
                </w:tcPr>
                <w:p w:rsidR="001B23B7" w:rsidRPr="00B043B4" w:rsidRDefault="0075197E" w:rsidP="000800FC">
                  <w:pPr>
                    <w:rPr>
                      <w:rFonts w:ascii="Times New Roman" w:hAnsi="Times New Roman"/>
                      <w:b/>
                      <w:sz w:val="20"/>
                      <w:szCs w:val="20"/>
                      <w:lang w:eastAsia="sk-SK"/>
                    </w:rPr>
                  </w:pPr>
                  <w:r>
                    <w:rPr>
                      <w:rFonts w:ascii="MS Gothic" w:eastAsia="MS Gothic" w:hAnsi="MS Gothic" w:hint="eastAsia"/>
                      <w:b/>
                      <w:sz w:val="20"/>
                      <w:szCs w:val="20"/>
                      <w:lang w:eastAsia="sk-SK"/>
                    </w:rPr>
                    <w:t>☐</w:t>
                  </w:r>
                  <w:r w:rsidR="0023360B">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Súhlasné s  návrhom na dopracovanie</w:t>
                  </w:r>
                </w:p>
              </w:tc>
              <w:tc>
                <w:tcPr>
                  <w:tcW w:w="2534" w:type="dxa"/>
                  <w:tcBorders>
                    <w:top w:val="nil"/>
                    <w:left w:val="nil"/>
                    <w:bottom w:val="nil"/>
                    <w:right w:val="nil"/>
                  </w:tcBorders>
                </w:tcPr>
                <w:p w:rsidR="001B23B7" w:rsidRPr="00B043B4" w:rsidRDefault="0075197E" w:rsidP="000800FC">
                  <w:pPr>
                    <w:ind w:right="459"/>
                    <w:rPr>
                      <w:rFonts w:ascii="Times New Roman" w:hAnsi="Times New Roman"/>
                      <w:b/>
                      <w:sz w:val="20"/>
                      <w:szCs w:val="20"/>
                      <w:lang w:eastAsia="sk-SK"/>
                    </w:rPr>
                  </w:pPr>
                  <w:r>
                    <w:rPr>
                      <w:rFonts w:ascii="MS Gothic" w:eastAsia="MS Gothic" w:hAnsi="MS Gothic" w:hint="eastAsia"/>
                      <w:b/>
                      <w:sz w:val="20"/>
                      <w:szCs w:val="20"/>
                      <w:lang w:eastAsia="sk-SK"/>
                    </w:rPr>
                    <w:t>☐</w:t>
                  </w:r>
                  <w:r w:rsidR="0023360B">
                    <w:rPr>
                      <w:rFonts w:ascii="Times New Roman" w:hAnsi="Times New Roman"/>
                      <w:b/>
                      <w:sz w:val="20"/>
                      <w:szCs w:val="20"/>
                      <w:lang w:eastAsia="sk-SK"/>
                    </w:rPr>
                    <w:t xml:space="preserve">  </w:t>
                  </w:r>
                  <w:r w:rsidR="001B23B7" w:rsidRPr="00B043B4">
                    <w:rPr>
                      <w:rFonts w:ascii="Times New Roman" w:hAnsi="Times New Roman"/>
                      <w:b/>
                      <w:sz w:val="20"/>
                      <w:szCs w:val="20"/>
                      <w:lang w:eastAsia="sk-SK"/>
                    </w:rPr>
                    <w:t>Nesúhlasné</w:t>
                  </w:r>
                </w:p>
              </w:tc>
            </w:tr>
          </w:tbl>
          <w:p w:rsidR="001B23B7" w:rsidRPr="00B043B4" w:rsidRDefault="001B23B7" w:rsidP="000800FC">
            <w:pPr>
              <w:jc w:val="both"/>
              <w:rPr>
                <w:rFonts w:ascii="Times New Roman" w:hAnsi="Times New Roman"/>
                <w:b/>
                <w:sz w:val="20"/>
                <w:szCs w:val="20"/>
                <w:lang w:eastAsia="sk-SK"/>
              </w:rPr>
            </w:pPr>
            <w:r w:rsidRPr="00B043B4">
              <w:rPr>
                <w:rFonts w:ascii="Times New Roman" w:hAnsi="Times New Roman"/>
                <w:b/>
                <w:sz w:val="20"/>
                <w:szCs w:val="20"/>
                <w:lang w:eastAsia="sk-SK"/>
              </w:rPr>
              <w:t>Uveďte pripomienky zo stanoviska Komisie z časti II. spolu s Vaším vyhodnotením:</w:t>
            </w:r>
          </w:p>
          <w:p w:rsidR="001B23B7" w:rsidRPr="00B043B4" w:rsidRDefault="001B23B7" w:rsidP="000800FC">
            <w:pPr>
              <w:rPr>
                <w:rFonts w:ascii="Times New Roman" w:hAnsi="Times New Roman"/>
                <w:b/>
                <w:sz w:val="20"/>
                <w:szCs w:val="20"/>
                <w:lang w:eastAsia="sk-SK"/>
              </w:rPr>
            </w:pPr>
          </w:p>
          <w:p w:rsidR="001B23B7" w:rsidRPr="00B043B4" w:rsidRDefault="001B23B7" w:rsidP="000800FC">
            <w:pPr>
              <w:rPr>
                <w:rFonts w:ascii="Times New Roman" w:hAnsi="Times New Roman"/>
                <w:b/>
                <w:sz w:val="20"/>
                <w:szCs w:val="20"/>
                <w:lang w:eastAsia="sk-SK"/>
              </w:rPr>
            </w:pPr>
          </w:p>
        </w:tc>
      </w:tr>
    </w:tbl>
    <w:p w:rsidR="00274130" w:rsidRDefault="00274130"/>
    <w:sectPr w:rsidR="00274130" w:rsidSect="001E35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47F" w:rsidRDefault="008A547F" w:rsidP="001B23B7">
      <w:pPr>
        <w:spacing w:after="0" w:line="240" w:lineRule="auto"/>
      </w:pPr>
      <w:r>
        <w:separator/>
      </w:r>
    </w:p>
  </w:endnote>
  <w:endnote w:type="continuationSeparator" w:id="0">
    <w:p w:rsidR="008A547F" w:rsidRDefault="008A547F"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305187">
      <w:rPr>
        <w:rFonts w:ascii="Times New Roman" w:hAnsi="Times New Roman"/>
        <w:noProof/>
        <w:sz w:val="24"/>
        <w:szCs w:val="24"/>
      </w:rPr>
      <w:t>2</w:t>
    </w:r>
    <w:r w:rsidRPr="006045CB">
      <w:rPr>
        <w:rFonts w:ascii="Times New Roman" w:hAnsi="Times New Roman"/>
        <w:sz w:val="24"/>
        <w:szCs w:val="24"/>
      </w:rPr>
      <w:fldChar w:fldCharType="end"/>
    </w:r>
  </w:p>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47F" w:rsidRDefault="008A547F" w:rsidP="001B23B7">
      <w:pPr>
        <w:spacing w:after="0" w:line="240" w:lineRule="auto"/>
      </w:pPr>
      <w:r>
        <w:separator/>
      </w:r>
    </w:p>
  </w:footnote>
  <w:footnote w:type="continuationSeparator" w:id="0">
    <w:p w:rsidR="008A547F" w:rsidRDefault="008A547F"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257B8"/>
    <w:rsid w:val="00043706"/>
    <w:rsid w:val="0007051E"/>
    <w:rsid w:val="000800FC"/>
    <w:rsid w:val="00097069"/>
    <w:rsid w:val="000D348F"/>
    <w:rsid w:val="000F2BE9"/>
    <w:rsid w:val="00165944"/>
    <w:rsid w:val="001B23B7"/>
    <w:rsid w:val="001E3562"/>
    <w:rsid w:val="00200096"/>
    <w:rsid w:val="00203EE3"/>
    <w:rsid w:val="0023360B"/>
    <w:rsid w:val="00235D3F"/>
    <w:rsid w:val="00243652"/>
    <w:rsid w:val="00274130"/>
    <w:rsid w:val="00305187"/>
    <w:rsid w:val="003145AE"/>
    <w:rsid w:val="00332AD0"/>
    <w:rsid w:val="003A057B"/>
    <w:rsid w:val="003C1DCD"/>
    <w:rsid w:val="0049476D"/>
    <w:rsid w:val="004A4383"/>
    <w:rsid w:val="004C6831"/>
    <w:rsid w:val="00524C20"/>
    <w:rsid w:val="00591EC6"/>
    <w:rsid w:val="005E3FD4"/>
    <w:rsid w:val="006045CB"/>
    <w:rsid w:val="006C3B9A"/>
    <w:rsid w:val="006F678E"/>
    <w:rsid w:val="006F6B62"/>
    <w:rsid w:val="00704091"/>
    <w:rsid w:val="00720322"/>
    <w:rsid w:val="0075197E"/>
    <w:rsid w:val="00761208"/>
    <w:rsid w:val="007B40C1"/>
    <w:rsid w:val="00865E81"/>
    <w:rsid w:val="008801B5"/>
    <w:rsid w:val="008A547F"/>
    <w:rsid w:val="008B222D"/>
    <w:rsid w:val="008C79B7"/>
    <w:rsid w:val="008F08E1"/>
    <w:rsid w:val="009431E3"/>
    <w:rsid w:val="009475F5"/>
    <w:rsid w:val="009717F5"/>
    <w:rsid w:val="009C424C"/>
    <w:rsid w:val="009E09F7"/>
    <w:rsid w:val="009F1A84"/>
    <w:rsid w:val="009F4832"/>
    <w:rsid w:val="00A26E4F"/>
    <w:rsid w:val="00A340BB"/>
    <w:rsid w:val="00A37E79"/>
    <w:rsid w:val="00A962C2"/>
    <w:rsid w:val="00AA592B"/>
    <w:rsid w:val="00AC30D6"/>
    <w:rsid w:val="00AD6246"/>
    <w:rsid w:val="00B043B4"/>
    <w:rsid w:val="00B4291C"/>
    <w:rsid w:val="00B455F8"/>
    <w:rsid w:val="00B547F5"/>
    <w:rsid w:val="00B84F87"/>
    <w:rsid w:val="00BA2BF4"/>
    <w:rsid w:val="00BE05DB"/>
    <w:rsid w:val="00C4352A"/>
    <w:rsid w:val="00C63520"/>
    <w:rsid w:val="00CE6AAE"/>
    <w:rsid w:val="00CF1A25"/>
    <w:rsid w:val="00D2313B"/>
    <w:rsid w:val="00D40EC0"/>
    <w:rsid w:val="00D50F1E"/>
    <w:rsid w:val="00D63163"/>
    <w:rsid w:val="00DF357C"/>
    <w:rsid w:val="00DF7D9B"/>
    <w:rsid w:val="00E31D4F"/>
    <w:rsid w:val="00ED1AC0"/>
    <w:rsid w:val="00F76CBD"/>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C4054"/>
  <w14:defaultImageDpi w14:val="0"/>
  <w15:docId w15:val="{40178D76-7BA9-4B6A-9072-78B0436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B23B7"/>
    <w:rPr>
      <w:rFonts w:cs="Times New Roman"/>
    </w:rPr>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locked/>
    <w:rsid w:val="001B23B7"/>
    <w:rPr>
      <w:rFonts w:cs="Times New Roman"/>
    </w:rPr>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B40C1"/>
    <w:rPr>
      <w:rFonts w:ascii="Tahoma" w:hAnsi="Tahoma" w:cs="Tahoma"/>
      <w:sz w:val="16"/>
      <w:szCs w:val="16"/>
    </w:rPr>
  </w:style>
  <w:style w:type="character" w:customStyle="1" w:styleId="BodyText1">
    <w:name w:val="Body Text1"/>
    <w:rsid w:val="00BE05DB"/>
    <w:rPr>
      <w:rFonts w:ascii="Times New Roman" w:hAnsi="Times New Roman"/>
      <w:color w:val="000000"/>
      <w:spacing w:val="0"/>
      <w:w w:val="100"/>
      <w:position w:val="0"/>
      <w:sz w:val="21"/>
      <w:u w:val="non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F293ACC-BF8B-40B7-9DE0-5CCEBEE0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1005</Words>
  <Characters>6214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Jakubovič, Roman</cp:lastModifiedBy>
  <cp:revision>8</cp:revision>
  <cp:lastPrinted>2022-12-14T12:31:00Z</cp:lastPrinted>
  <dcterms:created xsi:type="dcterms:W3CDTF">2023-01-05T08:34:00Z</dcterms:created>
  <dcterms:modified xsi:type="dcterms:W3CDTF">2024-05-28T11:41:00Z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32/2018_x000d__x000d_Programové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_x000d__x000d_členovia vlády_x000d__x000d_predsedovia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Sulík_x000d__x000d_minister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