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3F12FE">
        <w:t>1272</w:t>
      </w:r>
      <w:r w:rsidR="00690ED4" w:rsidRPr="00690ED4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2723D" w:rsidP="007375F5">
      <w:pPr>
        <w:pStyle w:val="uznesenia"/>
      </w:pPr>
      <w:r>
        <w:t>313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2723D">
        <w:rPr>
          <w:spacing w:val="0"/>
        </w:rPr>
        <w:t>12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3F12FE" w:rsidP="00135E11">
      <w:pPr>
        <w:jc w:val="both"/>
      </w:pPr>
      <w:r>
        <w:rPr>
          <w:rFonts w:cs="Arial"/>
        </w:rPr>
        <w:t xml:space="preserve">k vládnemu návrhu zákona, </w:t>
      </w:r>
      <w:r w:rsidRPr="003F12FE">
        <w:rPr>
          <w:rFonts w:cs="Arial"/>
        </w:rPr>
        <w:t>ktorým sa mení a dopĺňa zákon č. 480/2002 Z. z. o azyle a o zmene a doplnení niektorých zákono</w:t>
      </w:r>
      <w:r>
        <w:rPr>
          <w:rFonts w:cs="Arial"/>
        </w:rPr>
        <w:t xml:space="preserve">v v znení neskorších predpisov </w:t>
      </w:r>
      <w:r w:rsidRPr="003F12FE">
        <w:rPr>
          <w:rFonts w:cs="Arial"/>
        </w:rPr>
        <w:t>a ktorým sa menia a dopĺňajú niektoré zákony</w:t>
      </w:r>
      <w:r>
        <w:rPr>
          <w:rFonts w:cs="Arial"/>
        </w:rPr>
        <w:t xml:space="preserve"> (tlač 354)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22429A">
        <w:rPr>
          <w:rFonts w:cs="Arial"/>
        </w:rPr>
        <w:t>a</w:t>
      </w:r>
    </w:p>
    <w:p w:rsidR="00A45BFB" w:rsidRPr="00A40338" w:rsidRDefault="00690ED4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22429A">
        <w:rPr>
          <w:rFonts w:cs="Arial"/>
        </w:rPr>
        <w:t>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22429A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F4A68">
        <w:t>vo výbore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429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12FE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2723D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14B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105</cp:revision>
  <cp:lastPrinted>2024-06-25T13:39:00Z</cp:lastPrinted>
  <dcterms:created xsi:type="dcterms:W3CDTF">2022-11-24T09:04:00Z</dcterms:created>
  <dcterms:modified xsi:type="dcterms:W3CDTF">2024-06-25T13:39:00Z</dcterms:modified>
</cp:coreProperties>
</file>