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D11A56">
      <w:pPr>
        <w:ind w:left="708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4314C2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8C4E4A">
        <w:t>13</w:t>
      </w:r>
      <w:r w:rsidR="00CA24FE" w:rsidRPr="00713EAD">
        <w:t>. schôdza výboru</w:t>
      </w:r>
    </w:p>
    <w:p w:rsidR="00C13206" w:rsidRDefault="00CA24FE" w:rsidP="004314C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6D3EB4">
        <w:t xml:space="preserve"> </w:t>
      </w:r>
      <w:r w:rsidR="00B655E3">
        <w:t xml:space="preserve"> </w:t>
      </w:r>
      <w:r w:rsidR="00F82AD6">
        <w:t>Č.</w:t>
      </w:r>
      <w:r w:rsidR="006D3EB4">
        <w:t>:</w:t>
      </w:r>
      <w:r w:rsidR="00B655E3">
        <w:t xml:space="preserve"> </w:t>
      </w:r>
      <w:r w:rsidR="008C4E4A">
        <w:t>KNR-VKM-0777</w:t>
      </w:r>
      <w:r w:rsidR="006D3EB4" w:rsidRPr="00306EFE">
        <w:t>/2024</w:t>
      </w:r>
    </w:p>
    <w:p w:rsidR="00F642A8" w:rsidRDefault="00602191" w:rsidP="004D0DC2">
      <w:pPr>
        <w:ind w:left="3540"/>
        <w:rPr>
          <w:b/>
          <w:sz w:val="28"/>
          <w:szCs w:val="28"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CA24FE" w:rsidRPr="004D0DC2" w:rsidRDefault="006D3EB4" w:rsidP="00CA24FE">
      <w:pPr>
        <w:jc w:val="center"/>
        <w:rPr>
          <w:b/>
          <w:sz w:val="28"/>
          <w:szCs w:val="28"/>
        </w:rPr>
      </w:pPr>
      <w:r w:rsidRPr="004D0DC2">
        <w:rPr>
          <w:b/>
          <w:sz w:val="28"/>
          <w:szCs w:val="28"/>
        </w:rPr>
        <w:t>31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237DE6" w:rsidRDefault="004314C2" w:rsidP="00237DE6">
      <w:pPr>
        <w:jc w:val="center"/>
        <w:rPr>
          <w:b/>
        </w:rPr>
      </w:pPr>
      <w:r>
        <w:rPr>
          <w:b/>
        </w:rPr>
        <w:t>z</w:t>
      </w:r>
      <w:r w:rsidR="003E1A18">
        <w:rPr>
          <w:b/>
        </w:rPr>
        <w:t> 27</w:t>
      </w:r>
      <w:r w:rsidR="0051146C">
        <w:rPr>
          <w:b/>
        </w:rPr>
        <w:t>. júna</w:t>
      </w:r>
      <w:r w:rsidR="00237DE6">
        <w:rPr>
          <w:b/>
        </w:rPr>
        <w:t xml:space="preserve"> 2024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6D3EB4" w:rsidRPr="0069517B" w:rsidRDefault="00AD27F6" w:rsidP="006D3EB4">
      <w:pPr>
        <w:pStyle w:val="Zkladntext"/>
        <w:widowControl/>
        <w:tabs>
          <w:tab w:val="left" w:pos="360"/>
        </w:tabs>
        <w:suppressAutoHyphens w:val="0"/>
        <w:spacing w:after="0"/>
        <w:jc w:val="both"/>
        <w:rPr>
          <w:bCs/>
        </w:rPr>
      </w:pPr>
      <w:r>
        <w:rPr>
          <w:bCs/>
        </w:rPr>
        <w:t>k</w:t>
      </w:r>
      <w:r w:rsidR="006D3EB4">
        <w:rPr>
          <w:bCs/>
        </w:rPr>
        <w:t> vládnemu návrhu zákona</w:t>
      </w:r>
      <w:r w:rsidR="006D3EB4" w:rsidRPr="0069517B">
        <w:rPr>
          <w:rFonts w:cs="Arial"/>
        </w:rPr>
        <w:t xml:space="preserve">, ktorým sa mení a dopĺňa zákon č. 264/2022 Z. z. o mediálnych službách a o zmene a doplnení niektorých zákonov (zákon o mediálnych službách) v znení neskorších predpisov a o zmene a doplnení niektorých zákonov </w:t>
      </w:r>
      <w:r w:rsidR="006D3EB4">
        <w:rPr>
          <w:rFonts w:cs="Arial"/>
          <w:b/>
        </w:rPr>
        <w:t>(tlač 324</w:t>
      </w:r>
      <w:r w:rsidR="006D3EB4" w:rsidRPr="00912E9B">
        <w:rPr>
          <w:rFonts w:cs="Arial"/>
          <w:b/>
        </w:rPr>
        <w:t>)</w:t>
      </w:r>
      <w:r w:rsidR="006D3EB4">
        <w:rPr>
          <w:rFonts w:cs="Arial"/>
          <w:b/>
        </w:rPr>
        <w:t>.</w:t>
      </w:r>
    </w:p>
    <w:p w:rsidR="006D3EB4" w:rsidRPr="005D1904" w:rsidRDefault="006D3EB4" w:rsidP="006D3EB4">
      <w:pPr>
        <w:pStyle w:val="Zkladntext"/>
        <w:tabs>
          <w:tab w:val="left" w:pos="360"/>
        </w:tabs>
        <w:ind w:left="720"/>
        <w:rPr>
          <w:rFonts w:cs="Arial"/>
        </w:rPr>
      </w:pPr>
    </w:p>
    <w:p w:rsidR="00AD27F6" w:rsidRDefault="00AD27F6" w:rsidP="00AD27F6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AD27F6" w:rsidRDefault="00AD27F6" w:rsidP="00AD27F6">
      <w:pPr>
        <w:tabs>
          <w:tab w:val="left" w:pos="284"/>
        </w:tabs>
        <w:jc w:val="both"/>
        <w:rPr>
          <w:b/>
        </w:rPr>
      </w:pP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6D3EB4" w:rsidRDefault="006D3EB4" w:rsidP="004A207B">
      <w:pPr>
        <w:pStyle w:val="Zkladntext"/>
        <w:widowControl/>
        <w:suppressAutoHyphens w:val="0"/>
        <w:spacing w:after="0"/>
        <w:ind w:left="360"/>
        <w:jc w:val="both"/>
        <w:rPr>
          <w:bCs/>
        </w:rPr>
      </w:pPr>
      <w:r>
        <w:rPr>
          <w:bCs/>
        </w:rPr>
        <w:t>vládnym návrhom zákona</w:t>
      </w:r>
      <w:r w:rsidRPr="0069517B">
        <w:rPr>
          <w:rFonts w:cs="Arial"/>
        </w:rPr>
        <w:t xml:space="preserve">, ktorým sa mení a dopĺňa zákon č. 264/2022 Z. z. o mediálnych službách a o zmene a doplnení niektorých zákonov (zákon o mediálnych službách) v znení neskorších predpisov a o zmene a doplnení niektorých zákonov </w:t>
      </w:r>
      <w:r>
        <w:rPr>
          <w:rFonts w:cs="Arial"/>
          <w:b/>
        </w:rPr>
        <w:t>(tlač 324</w:t>
      </w:r>
      <w:r w:rsidRPr="00912E9B">
        <w:rPr>
          <w:rFonts w:cs="Arial"/>
          <w:b/>
        </w:rPr>
        <w:t>)</w:t>
      </w:r>
    </w:p>
    <w:p w:rsidR="00AD27F6" w:rsidRDefault="00AD27F6" w:rsidP="00AD27F6">
      <w:pPr>
        <w:ind w:left="360"/>
        <w:jc w:val="both"/>
      </w:pPr>
    </w:p>
    <w:p w:rsidR="00AD27F6" w:rsidRDefault="00AD27F6" w:rsidP="00AD27F6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5D379C" w:rsidRDefault="006D3EB4" w:rsidP="00AD27F6">
      <w:pPr>
        <w:pStyle w:val="Zkladntext"/>
        <w:widowControl/>
        <w:suppressAutoHyphens w:val="0"/>
        <w:spacing w:after="0"/>
        <w:ind w:left="360"/>
        <w:jc w:val="both"/>
      </w:pPr>
      <w:r>
        <w:rPr>
          <w:bCs/>
        </w:rPr>
        <w:t>vládny návrh zákona</w:t>
      </w:r>
      <w:r w:rsidRPr="0069517B">
        <w:rPr>
          <w:rFonts w:cs="Arial"/>
        </w:rPr>
        <w:t xml:space="preserve">, ktorým sa mení a dopĺňa zákon č. 264/2022 Z. z. o mediálnych službách a o zmene a doplnení niektorých zákonov (zákon o mediálnych službách) v znení neskorších predpisov a o zmene a doplnení niektorých zákonov </w:t>
      </w:r>
      <w:r>
        <w:rPr>
          <w:rFonts w:cs="Arial"/>
          <w:b/>
        </w:rPr>
        <w:t>(tlač 324</w:t>
      </w:r>
      <w:r w:rsidRPr="00912E9B">
        <w:rPr>
          <w:rFonts w:cs="Arial"/>
          <w:b/>
        </w:rPr>
        <w:t>)</w:t>
      </w:r>
      <w:r w:rsidR="004A207B" w:rsidRPr="00CC596D">
        <w:rPr>
          <w:b/>
        </w:rPr>
        <w:t xml:space="preserve"> </w:t>
      </w:r>
      <w:r w:rsidR="00AD27F6" w:rsidRPr="004A207B">
        <w:rPr>
          <w:b/>
          <w:spacing w:val="20"/>
        </w:rPr>
        <w:t xml:space="preserve">schváliť </w:t>
      </w:r>
      <w:r w:rsidR="005F3B5A" w:rsidRPr="005F3B5A">
        <w:t>s </w:t>
      </w:r>
      <w:r w:rsidR="005F3B5A">
        <w:t>pozme</w:t>
      </w:r>
      <w:r w:rsidR="005F3B5A" w:rsidRPr="005F3B5A">
        <w:t>ňujúcimi a doplňujúcimi návrhmi uvedenými v prílohe uznesenia</w:t>
      </w:r>
      <w:r w:rsidR="005F3B5A">
        <w:t>;</w:t>
      </w:r>
    </w:p>
    <w:p w:rsidR="00AD27F6" w:rsidRDefault="00AD27F6" w:rsidP="00AD27F6">
      <w:pPr>
        <w:pStyle w:val="Zkladntext"/>
        <w:widowControl/>
        <w:suppressAutoHyphens w:val="0"/>
        <w:spacing w:after="0"/>
        <w:ind w:left="360"/>
        <w:jc w:val="both"/>
      </w:pPr>
    </w:p>
    <w:p w:rsidR="00AD27F6" w:rsidRDefault="00AD27F6" w:rsidP="00AD27F6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AD27F6" w:rsidRDefault="00AD27F6" w:rsidP="00AD27F6">
      <w:pPr>
        <w:tabs>
          <w:tab w:val="left" w:pos="360"/>
        </w:tabs>
        <w:jc w:val="both"/>
        <w:rPr>
          <w:b/>
        </w:rPr>
      </w:pPr>
    </w:p>
    <w:p w:rsidR="00AD27F6" w:rsidRDefault="00AD27F6" w:rsidP="00AD27F6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AD27F6" w:rsidRDefault="00AD27F6" w:rsidP="00AD27F6">
      <w:pPr>
        <w:ind w:left="284"/>
        <w:jc w:val="both"/>
      </w:pPr>
    </w:p>
    <w:p w:rsidR="00914D2F" w:rsidRDefault="00914D2F" w:rsidP="00AD27F6">
      <w:pPr>
        <w:ind w:left="284"/>
        <w:jc w:val="both"/>
      </w:pPr>
    </w:p>
    <w:p w:rsidR="00914D2F" w:rsidRDefault="00914D2F" w:rsidP="00AD27F6">
      <w:pPr>
        <w:ind w:left="284"/>
        <w:jc w:val="both"/>
      </w:pPr>
    </w:p>
    <w:p w:rsidR="00F642A8" w:rsidRDefault="00F642A8" w:rsidP="00F147C9"/>
    <w:p w:rsidR="004A207B" w:rsidRPr="004314C2" w:rsidRDefault="004A207B" w:rsidP="004A20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14C2">
        <w:rPr>
          <w:b/>
        </w:rPr>
        <w:t>Roman Michelko</w:t>
      </w:r>
      <w:r w:rsidR="001339E8">
        <w:rPr>
          <w:b/>
        </w:rPr>
        <w:t>, v. r.</w:t>
      </w:r>
      <w:bookmarkStart w:id="0" w:name="_GoBack"/>
      <w:bookmarkEnd w:id="0"/>
    </w:p>
    <w:p w:rsidR="004A207B" w:rsidRDefault="004A207B" w:rsidP="004A207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F642A8" w:rsidRDefault="00F642A8" w:rsidP="00F147C9"/>
    <w:p w:rsidR="00A2529D" w:rsidRDefault="0063215A" w:rsidP="00A2529D">
      <w:pPr>
        <w:rPr>
          <w:b/>
        </w:rPr>
      </w:pPr>
      <w:r>
        <w:rPr>
          <w:b/>
        </w:rPr>
        <w:t xml:space="preserve">Lukáš </w:t>
      </w:r>
      <w:proofErr w:type="spellStart"/>
      <w:r>
        <w:rPr>
          <w:b/>
        </w:rPr>
        <w:t>Bužo</w:t>
      </w:r>
      <w:proofErr w:type="spellEnd"/>
      <w:r w:rsidR="001339E8">
        <w:rPr>
          <w:b/>
        </w:rPr>
        <w:t>, v. r.</w:t>
      </w:r>
      <w:r w:rsidR="00A2529D">
        <w:rPr>
          <w:b/>
        </w:rPr>
        <w:tab/>
      </w:r>
      <w:r w:rsidR="00A2529D">
        <w:rPr>
          <w:b/>
        </w:rPr>
        <w:tab/>
      </w:r>
      <w:r w:rsidR="00A2529D">
        <w:rPr>
          <w:b/>
        </w:rPr>
        <w:tab/>
      </w:r>
      <w:r w:rsidR="00A2529D">
        <w:rPr>
          <w:b/>
        </w:rPr>
        <w:tab/>
      </w:r>
      <w:r w:rsidR="00A2529D">
        <w:rPr>
          <w:b/>
        </w:rPr>
        <w:tab/>
      </w:r>
      <w:r w:rsidR="00A2529D">
        <w:rPr>
          <w:b/>
        </w:rPr>
        <w:tab/>
      </w:r>
    </w:p>
    <w:p w:rsidR="00A2529D" w:rsidRDefault="00A2529D" w:rsidP="00A2529D">
      <w:pPr>
        <w:jc w:val="both"/>
      </w:pPr>
      <w:r>
        <w:t>overovateľ  výboru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914D2F" w:rsidRDefault="00914D2F" w:rsidP="00632F26">
      <w:pPr>
        <w:jc w:val="both"/>
      </w:pPr>
    </w:p>
    <w:p w:rsidR="00A2529D" w:rsidRDefault="00A2529D" w:rsidP="00632F26">
      <w:pPr>
        <w:jc w:val="both"/>
      </w:pPr>
    </w:p>
    <w:p w:rsidR="006D3EB4" w:rsidRDefault="006D3EB4" w:rsidP="00632F26">
      <w:pPr>
        <w:jc w:val="both"/>
      </w:pPr>
    </w:p>
    <w:p w:rsidR="006D3EB4" w:rsidRDefault="006D3EB4" w:rsidP="00632F26">
      <w:pPr>
        <w:jc w:val="both"/>
      </w:pPr>
    </w:p>
    <w:p w:rsidR="006D3EB4" w:rsidRDefault="006D3EB4" w:rsidP="00632F26">
      <w:pPr>
        <w:jc w:val="both"/>
      </w:pPr>
    </w:p>
    <w:p w:rsidR="00914D2F" w:rsidRDefault="00914D2F" w:rsidP="00632F26">
      <w:pPr>
        <w:jc w:val="both"/>
      </w:pPr>
    </w:p>
    <w:p w:rsidR="002D7D4F" w:rsidRPr="00A542DB" w:rsidRDefault="0088505B" w:rsidP="004A207B">
      <w:pPr>
        <w:jc w:val="both"/>
        <w:rPr>
          <w:b/>
        </w:rPr>
      </w:pPr>
      <w:r w:rsidRPr="006D3EB4">
        <w:rPr>
          <w:color w:val="FF0000"/>
        </w:rPr>
        <w:tab/>
      </w:r>
      <w:r w:rsidRPr="006D3EB4">
        <w:rPr>
          <w:color w:val="FF0000"/>
        </w:rPr>
        <w:tab/>
      </w:r>
      <w:r w:rsidRPr="006D3EB4">
        <w:rPr>
          <w:color w:val="FF0000"/>
        </w:rPr>
        <w:tab/>
      </w:r>
      <w:r w:rsidRPr="006D3EB4">
        <w:rPr>
          <w:color w:val="FF0000"/>
        </w:rPr>
        <w:tab/>
      </w:r>
      <w:r w:rsidRPr="006D3EB4">
        <w:rPr>
          <w:color w:val="FF0000"/>
        </w:rPr>
        <w:tab/>
      </w:r>
      <w:r w:rsidRPr="006D3EB4">
        <w:rPr>
          <w:color w:val="FF0000"/>
        </w:rPr>
        <w:tab/>
      </w:r>
      <w:r w:rsidRPr="006D3EB4">
        <w:rPr>
          <w:color w:val="FF0000"/>
        </w:rPr>
        <w:tab/>
      </w:r>
      <w:r w:rsidR="004A207B" w:rsidRPr="006D3EB4">
        <w:rPr>
          <w:color w:val="FF0000"/>
        </w:rPr>
        <w:tab/>
      </w:r>
      <w:r w:rsidR="004A207B" w:rsidRPr="006D3EB4">
        <w:rPr>
          <w:color w:val="FF0000"/>
        </w:rPr>
        <w:tab/>
      </w:r>
      <w:r w:rsidR="004A207B" w:rsidRPr="00A542DB">
        <w:t xml:space="preserve">  </w:t>
      </w:r>
      <w:r w:rsidR="00A542DB" w:rsidRPr="00A542DB">
        <w:rPr>
          <w:b/>
        </w:rPr>
        <w:t>Príloha k uzneseniu č. 31</w:t>
      </w:r>
    </w:p>
    <w:p w:rsidR="002D7D4F" w:rsidRPr="00A542DB" w:rsidRDefault="002D7D4F" w:rsidP="002D7D4F">
      <w:pPr>
        <w:jc w:val="right"/>
        <w:rPr>
          <w:b/>
        </w:rPr>
      </w:pPr>
      <w:r w:rsidRPr="00A542DB">
        <w:rPr>
          <w:b/>
        </w:rPr>
        <w:t xml:space="preserve"> z</w:t>
      </w:r>
      <w:r w:rsidR="00A542DB" w:rsidRPr="00A542DB">
        <w:rPr>
          <w:b/>
        </w:rPr>
        <w:t> 27</w:t>
      </w:r>
      <w:r w:rsidR="0051146C" w:rsidRPr="00A542DB">
        <w:rPr>
          <w:b/>
        </w:rPr>
        <w:t>. júna</w:t>
      </w:r>
      <w:r w:rsidR="004A207B" w:rsidRPr="00A542DB">
        <w:rPr>
          <w:b/>
        </w:rPr>
        <w:t xml:space="preserve"> </w:t>
      </w:r>
      <w:r w:rsidRPr="00A542DB">
        <w:rPr>
          <w:b/>
        </w:rPr>
        <w:t xml:space="preserve"> 202</w:t>
      </w:r>
      <w:r w:rsidR="004A207B" w:rsidRPr="00A542DB">
        <w:rPr>
          <w:b/>
        </w:rPr>
        <w:t>4</w:t>
      </w:r>
    </w:p>
    <w:p w:rsidR="002D7D4F" w:rsidRPr="00A542DB" w:rsidRDefault="002D7D4F" w:rsidP="002D7D4F">
      <w:pPr>
        <w:jc w:val="right"/>
      </w:pPr>
    </w:p>
    <w:p w:rsidR="002D7D4F" w:rsidRPr="00A542DB" w:rsidRDefault="002D7D4F" w:rsidP="002D7D4F">
      <w:pPr>
        <w:jc w:val="both"/>
      </w:pPr>
    </w:p>
    <w:p w:rsidR="002D7D4F" w:rsidRPr="00A542DB" w:rsidRDefault="002D7D4F" w:rsidP="002D7D4F">
      <w:pPr>
        <w:keepNext/>
        <w:suppressAutoHyphens/>
        <w:jc w:val="center"/>
        <w:rPr>
          <w:b/>
        </w:rPr>
      </w:pPr>
      <w:r w:rsidRPr="00A542DB">
        <w:rPr>
          <w:b/>
        </w:rPr>
        <w:t>Pozmeňujúce a doplňujúce návrhy</w:t>
      </w:r>
    </w:p>
    <w:p w:rsidR="002D7D4F" w:rsidRPr="006D3EB4" w:rsidRDefault="002D7D4F" w:rsidP="002D7D4F">
      <w:pPr>
        <w:keepNext/>
        <w:suppressAutoHyphens/>
        <w:jc w:val="center"/>
        <w:rPr>
          <w:b/>
          <w:color w:val="FF0000"/>
        </w:rPr>
      </w:pPr>
    </w:p>
    <w:p w:rsidR="002D7D4F" w:rsidRPr="006D3EB4" w:rsidRDefault="00A542DB" w:rsidP="001206B2">
      <w:pPr>
        <w:jc w:val="both"/>
        <w:rPr>
          <w:color w:val="FF0000"/>
        </w:rPr>
      </w:pPr>
      <w:r>
        <w:rPr>
          <w:bCs/>
        </w:rPr>
        <w:t>k vládnemu návrhu zákona</w:t>
      </w:r>
      <w:r w:rsidRPr="0069517B">
        <w:rPr>
          <w:rFonts w:cs="Arial"/>
        </w:rPr>
        <w:t xml:space="preserve">, ktorým sa mení a dopĺňa zákon č. 264/2022 Z. z. o mediálnych službách a o zmene a doplnení niektorých zákonov (zákon o mediálnych službách) v znení neskorších predpisov a o zmene a doplnení niektorých zákonov </w:t>
      </w:r>
      <w:r>
        <w:rPr>
          <w:rFonts w:cs="Arial"/>
          <w:b/>
        </w:rPr>
        <w:t>(tlač 324</w:t>
      </w:r>
      <w:r w:rsidRPr="00912E9B">
        <w:rPr>
          <w:rFonts w:cs="Arial"/>
          <w:b/>
        </w:rPr>
        <w:t>)</w:t>
      </w:r>
    </w:p>
    <w:p w:rsidR="0042496C" w:rsidRPr="006D3EB4" w:rsidRDefault="0042496C" w:rsidP="001206B2">
      <w:pPr>
        <w:jc w:val="both"/>
        <w:rPr>
          <w:color w:val="FF0000"/>
        </w:rPr>
      </w:pPr>
    </w:p>
    <w:p w:rsidR="00A542DB" w:rsidRDefault="00A542DB" w:rsidP="00A542DB">
      <w:pPr>
        <w:jc w:val="both"/>
      </w:pPr>
    </w:p>
    <w:p w:rsid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bod 33 vkladá nový bod 34, ktorý znie:</w:t>
      </w:r>
    </w:p>
    <w:p w:rsid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„34. V § 125 ods. 2 písm. d) sa slová „ods. 3“ nahrádzajú slovami „ods. 4“.“.</w:t>
      </w:r>
    </w:p>
    <w:p w:rsid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Ďalšie body návrhu zákona sa primerane prečíslujú.</w:t>
      </w:r>
    </w:p>
    <w:p w:rsid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Nový bod 34 nadobúda účinnosť dňom vyhlásenia zákona, čo sa premietne do článku upravujúceho účinnosť.</w:t>
      </w:r>
    </w:p>
    <w:p w:rsid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 vnútorného odkazu v nadväznosti na doplnenie nového ustanovenia v § 226.</w:t>
      </w:r>
    </w:p>
    <w:p w:rsidR="00A542DB" w:rsidRPr="00A542DB" w:rsidRDefault="00A542DB" w:rsidP="00A542DB">
      <w:pPr>
        <w:rPr>
          <w:rFonts w:eastAsiaTheme="minorEastAsia"/>
        </w:rPr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A542DB">
        <w:rPr>
          <w:rFonts w:ascii="Times New Roman" w:hAnsi="Times New Roman"/>
          <w:bCs/>
          <w:color w:val="000000"/>
          <w:sz w:val="24"/>
          <w:szCs w:val="24"/>
        </w:rPr>
        <w:t xml:space="preserve">V </w:t>
      </w:r>
      <w:r w:rsidRPr="00A542DB">
        <w:rPr>
          <w:rFonts w:ascii="Times New Roman" w:hAnsi="Times New Roman"/>
          <w:sz w:val="24"/>
          <w:szCs w:val="24"/>
        </w:rPr>
        <w:t>Čl. I</w:t>
      </w:r>
      <w:r w:rsidRPr="00A542DB">
        <w:rPr>
          <w:rFonts w:ascii="Times New Roman" w:hAnsi="Times New Roman"/>
          <w:color w:val="000000"/>
          <w:sz w:val="24"/>
          <w:szCs w:val="24"/>
        </w:rPr>
        <w:t xml:space="preserve"> bod</w:t>
      </w:r>
      <w:r w:rsidRPr="00A542DB">
        <w:rPr>
          <w:rFonts w:ascii="Times New Roman" w:hAnsi="Times New Roman"/>
          <w:sz w:val="24"/>
          <w:szCs w:val="24"/>
        </w:rPr>
        <w:t xml:space="preserve">e 36 sa </w:t>
      </w:r>
      <w:r w:rsidRPr="00A542DB">
        <w:rPr>
          <w:rFonts w:ascii="Times New Roman" w:hAnsi="Times New Roman"/>
          <w:b/>
          <w:sz w:val="24"/>
          <w:szCs w:val="24"/>
        </w:rPr>
        <w:t xml:space="preserve"> </w:t>
      </w:r>
      <w:r w:rsidRPr="00A542DB">
        <w:rPr>
          <w:rFonts w:ascii="Times New Roman" w:hAnsi="Times New Roman"/>
          <w:bCs/>
          <w:color w:val="000000"/>
          <w:sz w:val="24"/>
          <w:szCs w:val="24"/>
        </w:rPr>
        <w:t>slová „ods. 15 a ods. 16“ nahrádzajú slovami „ods. 12 a 13“.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</w:pPr>
    </w:p>
    <w:p w:rsidR="00A542DB" w:rsidRPr="00A542DB" w:rsidRDefault="00A542DB" w:rsidP="00A542DB">
      <w:pPr>
        <w:pStyle w:val="Odsekzoznamu"/>
        <w:spacing w:after="0" w:line="240" w:lineRule="auto"/>
        <w:ind w:left="2127"/>
      </w:pPr>
      <w:r w:rsidRPr="00A542DB">
        <w:rPr>
          <w:rFonts w:ascii="Times New Roman" w:hAnsi="Times New Roman"/>
          <w:sz w:val="24"/>
          <w:szCs w:val="24"/>
        </w:rPr>
        <w:t xml:space="preserve">Legislatívno-technická úprava. 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133a ods. 3 sa slová „odseku 4“ nahrádzajú slovami „odseku 5“.</w:t>
      </w:r>
    </w:p>
    <w:p w:rsidR="00A542DB" w:rsidRPr="00A542DB" w:rsidRDefault="00A542DB" w:rsidP="00A542DB">
      <w:pPr>
        <w:pStyle w:val="Odsekzoznamu"/>
        <w:spacing w:after="0" w:line="240" w:lineRule="auto"/>
        <w:ind w:left="1776" w:firstLine="348"/>
        <w:rPr>
          <w:rFonts w:ascii="Times New Roman" w:hAnsi="Times New Roman"/>
          <w:sz w:val="24"/>
          <w:szCs w:val="24"/>
          <w:u w:val="single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1776" w:firstLine="348"/>
      </w:pPr>
      <w:r w:rsidRPr="00A542DB">
        <w:rPr>
          <w:rFonts w:ascii="Times New Roman" w:hAnsi="Times New Roman"/>
          <w:sz w:val="24"/>
          <w:szCs w:val="24"/>
        </w:rPr>
        <w:t>Legislatívno-technická úprava vnútorného odkazu.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133b ods. 1 sa slová „primerane predpokladať“ nahrádzajú slovami „odôvodnene predpokladať“.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 v súlade so zaužívanou terminológiou v slovenskom právnom poriadku.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133c ods. 2 sa slová „pokutu podľa § 145a ods. 2 a penále podľa § 145a</w:t>
      </w:r>
      <w:r w:rsidRPr="00A542DB">
        <w:t xml:space="preserve"> </w:t>
      </w:r>
      <w:r w:rsidRPr="00A542DB">
        <w:rPr>
          <w:rFonts w:ascii="Times New Roman" w:hAnsi="Times New Roman"/>
          <w:sz w:val="24"/>
          <w:szCs w:val="24"/>
        </w:rPr>
        <w:t>ods. 4“ nahrádzajú slovami „pokutu podľa § 145b ods. 2 a penále podľa § 145b</w:t>
      </w:r>
      <w:r w:rsidRPr="00A542DB">
        <w:t xml:space="preserve"> </w:t>
      </w:r>
      <w:r w:rsidRPr="00A542DB">
        <w:rPr>
          <w:rFonts w:ascii="Times New Roman" w:hAnsi="Times New Roman"/>
          <w:sz w:val="24"/>
          <w:szCs w:val="24"/>
        </w:rPr>
        <w:t>ods. 4“.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1428" w:firstLine="696"/>
      </w:pPr>
      <w:r w:rsidRPr="00A542DB">
        <w:rPr>
          <w:rFonts w:ascii="Times New Roman" w:hAnsi="Times New Roman"/>
          <w:sz w:val="24"/>
          <w:szCs w:val="24"/>
        </w:rPr>
        <w:t>Legislatívno-technická úprava vnútorného odkazu.</w:t>
      </w:r>
    </w:p>
    <w:p w:rsidR="00A542DB" w:rsidRPr="00A542DB" w:rsidRDefault="00A542DB" w:rsidP="00A542DB">
      <w:pPr>
        <w:jc w:val="both"/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133d ods. 4 sa slovo „oznámením“ nahrádza slovom „právoplatnosťou“.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Vzhľadom na skutočnosť, že voči rozhodnutiu regulátora je možné odvolanie, navrhujeme, aby predbežné opatrenie zaniklo až právoplatnosťou rozhodnutia vo veci samej.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133f ods. 2 sa slová „ide o trestný čin ohrozujúci“ nahrádzajú slovami „napĺňa znaky trestného činu ohrozujúceho“.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lastRenderedPageBreak/>
        <w:t xml:space="preserve">Legislatívno-technická úprava v súlade so zaužívanou terminológiou v predmetnom zákone (napr. § 151 ods. 2). </w:t>
      </w:r>
    </w:p>
    <w:p w:rsidR="00A542DB" w:rsidRPr="00A542DB" w:rsidRDefault="00A542DB" w:rsidP="00A542DB"/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37 v § 133g ods. 4 sa za slová „§ 133e“ vkladá čiarka a slová „§ 135 ods. 5“.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Z dôvodu jednoznačnosti sa navrhuje doplniť, že počas plynutia lehoty na splnenie záväzku na zabezpečenie súladu, ktorý bol vyhlásený za záväzný podľa § 133e ods. 1, lehoty na rozhodnutie o uložení sankcie neplynú ani v konaniach vedených voči poskytovateľom online sprostredkovateľských služieb a poskytovateľom internetového vyhľadávača.</w:t>
      </w:r>
    </w:p>
    <w:p w:rsidR="00A542DB" w:rsidRPr="00A542DB" w:rsidRDefault="00A542DB" w:rsidP="00A542DB"/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 V čl. I sa vypúšťajú body 38, 40, 45, 47, 52 a 53.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Ďalšie body návrhu zákona sa primerane prečíslujú.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widowControl w:val="0"/>
        <w:autoSpaceDE w:val="0"/>
        <w:autoSpaceDN w:val="0"/>
        <w:adjustRightInd w:val="0"/>
        <w:ind w:left="284"/>
        <w:jc w:val="both"/>
        <w:rPr>
          <w:szCs w:val="22"/>
        </w:rPr>
      </w:pPr>
      <w:r>
        <w:t xml:space="preserve"> </w:t>
      </w:r>
      <w:r w:rsidRPr="00A542DB">
        <w:t>Vypustenie bodov sa premietne do článku upravujúceho účinnosť.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eastAsiaTheme="minorEastAsia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2127"/>
      </w:pPr>
      <w:r w:rsidRPr="00A542DB">
        <w:rPr>
          <w:rFonts w:ascii="Times New Roman" w:hAnsi="Times New Roman"/>
          <w:sz w:val="24"/>
          <w:szCs w:val="24"/>
        </w:rPr>
        <w:t xml:space="preserve">Legislatívno-technická úprava. </w:t>
      </w:r>
    </w:p>
    <w:p w:rsidR="00A542DB" w:rsidRPr="00A542DB" w:rsidRDefault="00A542DB" w:rsidP="00A542DB"/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sa za bod 38 vkladá nový bod 39, ktorý znie: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„39. V § 134 úvodnej vete sa za slovo „zákonom“ vkladajú slová „alebo osobitnými predpismi</w:t>
      </w:r>
      <w:r w:rsidRPr="00A542DB">
        <w:rPr>
          <w:rFonts w:ascii="Times New Roman" w:hAnsi="Times New Roman"/>
          <w:sz w:val="24"/>
          <w:szCs w:val="24"/>
          <w:vertAlign w:val="superscript"/>
        </w:rPr>
        <w:t>65e</w:t>
      </w:r>
      <w:r w:rsidRPr="00A542DB">
        <w:rPr>
          <w:rFonts w:ascii="Times New Roman" w:hAnsi="Times New Roman"/>
          <w:sz w:val="24"/>
          <w:szCs w:val="24"/>
        </w:rPr>
        <w:t>)“.“.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Ďalšie body návrhu zákona sa primerane prečíslujú. 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Nový bod 39 nadobúda účinnosť dňom vyhlásenia zákona, čo sa premietne do článku upravujúceho účinnosť.</w:t>
      </w:r>
    </w:p>
    <w:p w:rsidR="00A542DB" w:rsidRPr="00A542DB" w:rsidRDefault="00A542DB" w:rsidP="00A542DB">
      <w:pPr>
        <w:pStyle w:val="Odsekzoznamu"/>
        <w:spacing w:after="0" w:line="240" w:lineRule="auto"/>
        <w:ind w:left="2127"/>
        <w:rPr>
          <w:rFonts w:ascii="Times New Roman" w:hAnsi="Times New Roman"/>
          <w:sz w:val="24"/>
          <w:szCs w:val="24"/>
          <w:u w:val="single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1776" w:firstLine="348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</w:rPr>
      </w:pPr>
      <w:r w:rsidRPr="00A542DB">
        <w:rPr>
          <w:rFonts w:ascii="Times New Roman" w:hAnsi="Times New Roman"/>
          <w:sz w:val="24"/>
          <w:szCs w:val="24"/>
        </w:rPr>
        <w:t>Ustanovenie čl. I bod 41 nadobúda účinnosť dňom vyhlásenia zákona</w:t>
      </w:r>
      <w:r w:rsidRPr="00A542DB">
        <w:rPr>
          <w:rFonts w:ascii="Times New Roman" w:eastAsia="Times New Roman" w:hAnsi="Times New Roman"/>
          <w:sz w:val="24"/>
        </w:rPr>
        <w:t>, čo sa premietne do článku upravujúceho účinnosť.</w:t>
      </w:r>
    </w:p>
    <w:p w:rsidR="00A542DB" w:rsidRPr="00A542DB" w:rsidRDefault="00A542DB" w:rsidP="00A542DB">
      <w:pPr>
        <w:jc w:val="both"/>
        <w:rPr>
          <w:rFonts w:eastAsiaTheme="minorHAnsi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2127"/>
      </w:pPr>
      <w:r w:rsidRPr="00A542DB">
        <w:rPr>
          <w:rFonts w:ascii="Times New Roman" w:hAnsi="Times New Roman"/>
          <w:sz w:val="24"/>
          <w:szCs w:val="24"/>
        </w:rPr>
        <w:t xml:space="preserve">Legislatívno-technická úprava. </w:t>
      </w:r>
    </w:p>
    <w:p w:rsidR="00A542DB" w:rsidRPr="00A542DB" w:rsidRDefault="00A542DB" w:rsidP="00A542DB">
      <w:pPr>
        <w:jc w:val="both"/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44 v § 135 ods. 8 sa slová „§ 145a a 145b“ nahrádzajú slovami „§145b ods. 1 písm. a)  a §145c“ a slová „osobitných predpisov.</w:t>
      </w:r>
      <w:r w:rsidRPr="00A542DB">
        <w:rPr>
          <w:rFonts w:ascii="Times New Roman" w:hAnsi="Times New Roman"/>
          <w:sz w:val="24"/>
          <w:szCs w:val="24"/>
          <w:vertAlign w:val="superscript"/>
        </w:rPr>
        <w:t>91a</w:t>
      </w:r>
      <w:r w:rsidRPr="00A542DB">
        <w:rPr>
          <w:rFonts w:ascii="Times New Roman" w:hAnsi="Times New Roman"/>
          <w:sz w:val="24"/>
          <w:szCs w:val="24"/>
        </w:rPr>
        <w:t>)“ sa nahrádzajú slovami „osobitného predpisu.</w:t>
      </w:r>
      <w:r w:rsidRPr="00A542DB">
        <w:rPr>
          <w:rFonts w:ascii="Times New Roman" w:hAnsi="Times New Roman"/>
          <w:sz w:val="24"/>
          <w:szCs w:val="24"/>
          <w:vertAlign w:val="superscript"/>
        </w:rPr>
        <w:t>91a</w:t>
      </w:r>
      <w:r w:rsidRPr="00A542DB">
        <w:rPr>
          <w:rFonts w:ascii="Times New Roman" w:hAnsi="Times New Roman"/>
          <w:sz w:val="24"/>
          <w:szCs w:val="24"/>
        </w:rPr>
        <w:t>)“.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Poznámka pod čiarou k odkazu 91a znie: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„91a) Čl. 51 ods. 5 nariadenia (EÚ) 2022/2065.“.</w:t>
      </w:r>
    </w:p>
    <w:p w:rsidR="00A542DB" w:rsidRPr="00A542DB" w:rsidRDefault="00A542DB" w:rsidP="00A542DB">
      <w:pPr>
        <w:rPr>
          <w:rFonts w:asciiTheme="minorHAnsi" w:hAnsiTheme="minorHAnsi"/>
          <w:sz w:val="22"/>
          <w:szCs w:val="22"/>
          <w:u w:val="single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Z dôvodu jednoznačnosti sa navrhuje precizovať, aké kritéria je regulátor povinný zohľadniť pri ukladaní pokút podľa Nariadenia (EÚ) 2022/2065. 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</w:rPr>
      </w:pPr>
      <w:r w:rsidRPr="00A542DB">
        <w:rPr>
          <w:rFonts w:ascii="Times New Roman" w:hAnsi="Times New Roman"/>
          <w:sz w:val="24"/>
          <w:szCs w:val="24"/>
        </w:rPr>
        <w:t>Ustanovenie čl. I bod 48 nadobúda účinnosť dňom vyhlásenia zákona</w:t>
      </w:r>
      <w:r w:rsidRPr="00A542DB">
        <w:rPr>
          <w:rFonts w:ascii="Times New Roman" w:eastAsia="Times New Roman" w:hAnsi="Times New Roman"/>
          <w:sz w:val="24"/>
        </w:rPr>
        <w:t>, čo sa premietne do článku upravujúceho účinnosť.</w:t>
      </w:r>
    </w:p>
    <w:p w:rsidR="004D0DC2" w:rsidRDefault="004D0DC2" w:rsidP="004D0DC2">
      <w:pPr>
        <w:pStyle w:val="Odsekzoznamu"/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</w:p>
    <w:p w:rsidR="004D0DC2" w:rsidRPr="00A542DB" w:rsidRDefault="004D0DC2" w:rsidP="004D0DC2">
      <w:pPr>
        <w:pStyle w:val="Odsekzoznamu"/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V čl. I bode 51 sa v úvodnej vete slová „§ 145 sa vkladajú § 145a a 145b“ nahrádzajú slovami „§ 145a sa vkladajú § 145b a 145c“, § 145a sa označuje ako § 145b a § 145b sa označuje ako § 145c vrátane odkazov v týchto paragrafoch. </w:t>
      </w:r>
    </w:p>
    <w:p w:rsid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1776" w:firstLine="348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úprava.</w:t>
      </w:r>
    </w:p>
    <w:p w:rsidR="00A542DB" w:rsidRPr="00A542DB" w:rsidRDefault="00A542DB" w:rsidP="00A542DB">
      <w:pPr>
        <w:pStyle w:val="Odsekzoznamu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51 v § 145a ods. 1 sa v písm. a) vypúšťajú slová „(Ú. v. EÚ L 277, 27. 10. 2022)“ a v písm. b)  sa vypúšťajú slová „(Ú. v. EÚ L 186, 11. 7. 2019)“.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1776" w:firstLine="348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Legislatívno-technická úprava.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 64 znie: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„64. V § 153 ods. 4 sa za slovo „môže“ vkladajú slová „ do desiatich dní odo dňa doručenia rozhodnutia“.“.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Navrhuje sa jednoznačne špecifikovať okamih, od ktorého začína plynúť lehota na podanie námietky.</w:t>
      </w:r>
    </w:p>
    <w:p w:rsidR="00A542DB" w:rsidRPr="00A542DB" w:rsidRDefault="00A542DB" w:rsidP="00A542DB"/>
    <w:p w:rsidR="00A542DB" w:rsidRPr="00A542DB" w:rsidRDefault="00A542DB" w:rsidP="00A542DB">
      <w:pPr>
        <w:pStyle w:val="Odsekzoznamu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 bode 74 v § 226 ods. 3 sa za slová „poskytovateľom sprostredkovateľských služieb“ vkladá čiarka a slová „poskytovateľom online sprostredkovateľských služieb a poskytovateľom internetového vyhľadávača“ a odkaz 66a nad slovom „predpisu“ sa nahrádza odkazom 65e 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Navrhuje sa jednoznačne špecifikovať, že režim ochrany osobných údajov upravený v § 226 ods. 3 sa vzťahuje aj na osobné údaje spracúvané na účely výkonu dohľadu podľa Nariadenia (EÚ) 2019/1150 nad poskytovateľmi online sprostredkovateľských služieb a poskytovateľmi internetového vyhľadávača.</w:t>
      </w:r>
    </w:p>
    <w:p w:rsidR="00A542DB" w:rsidRPr="00A542DB" w:rsidRDefault="00A542DB" w:rsidP="00A542DB">
      <w:pPr>
        <w:jc w:val="both"/>
        <w:rPr>
          <w:rFonts w:asciiTheme="minorHAnsi" w:hAnsiTheme="minorHAnsi"/>
          <w:b/>
          <w:sz w:val="22"/>
          <w:szCs w:val="22"/>
        </w:rPr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III bode 5 v § 41 ods. 7 sa slovo „a“ nahrádza čiarkou a za slová „§ 49“ sa vkladajú slová „a § 53 až 68“.</w:t>
      </w:r>
    </w:p>
    <w:p w:rsidR="00A542DB" w:rsidRPr="00A542DB" w:rsidRDefault="00A542DB" w:rsidP="00A542DB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p w:rsidR="00A542DB" w:rsidRPr="00A542DB" w:rsidRDefault="00A542DB" w:rsidP="00A542DB">
      <w:pPr>
        <w:pStyle w:val="Odsekzoznamu"/>
        <w:suppressAutoHyphens w:val="0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Keďže sa podľa navrhovaného § 41 ods. 8 proti rozhodnutiu komisie nemožno odvolať, ani podať mimoriadny opravný prostriedok, navrhuje sa explicitne vyňať ustanovenia správneho poriadku upravujúce možnosť podať riadne a mimoriadne opravné prostriedky.</w:t>
      </w:r>
    </w:p>
    <w:p w:rsidR="00A542DB" w:rsidRPr="00A542DB" w:rsidRDefault="00A542DB" w:rsidP="00A542DB">
      <w:pPr>
        <w:pStyle w:val="Odsekzoznamu"/>
        <w:suppressAutoHyphens w:val="0"/>
        <w:ind w:left="2124"/>
        <w:jc w:val="both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numPr>
          <w:ilvl w:val="0"/>
          <w:numId w:val="32"/>
        </w:numPr>
        <w:suppressAutoHyphens w:val="0"/>
        <w:jc w:val="both"/>
        <w:rPr>
          <w:rFonts w:ascii="Times New Roman" w:eastAsia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V čl. III sa za bod 5 vkladá nový bod 6, ktorý znie:</w:t>
      </w:r>
    </w:p>
    <w:p w:rsidR="00A542DB" w:rsidRPr="00A542DB" w:rsidRDefault="00A542DB" w:rsidP="00A542DB">
      <w:pPr>
        <w:pStyle w:val="Odsekzoznamu"/>
        <w:suppressAutoHyphens w:val="0"/>
        <w:ind w:left="360"/>
        <w:jc w:val="both"/>
        <w:rPr>
          <w:rFonts w:ascii="Times New Roman" w:eastAsiaTheme="minorEastAsia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„6. Za § 43d sa vkladá § 43e, ktorý vrátane nadpisu znie:</w:t>
      </w:r>
    </w:p>
    <w:p w:rsidR="00A542DB" w:rsidRPr="00A542DB" w:rsidRDefault="00A542DB" w:rsidP="00A542DB">
      <w:pPr>
        <w:pStyle w:val="Odsekzoznamu"/>
        <w:suppressAutoHyphens w:val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uppressAutoHyphens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>„</w:t>
      </w:r>
      <w:r w:rsidRPr="00A542DB">
        <w:rPr>
          <w:rFonts w:ascii="Times New Roman" w:hAnsi="Times New Roman"/>
          <w:b/>
          <w:sz w:val="24"/>
          <w:szCs w:val="24"/>
        </w:rPr>
        <w:t>§ 43e</w:t>
      </w:r>
    </w:p>
    <w:p w:rsidR="00A542DB" w:rsidRPr="00A542DB" w:rsidRDefault="00A542DB" w:rsidP="00A542DB">
      <w:pPr>
        <w:pStyle w:val="Odsekzoznamu"/>
        <w:suppressAutoHyphens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542DB">
        <w:rPr>
          <w:rFonts w:ascii="Times New Roman" w:hAnsi="Times New Roman"/>
          <w:b/>
          <w:sz w:val="24"/>
          <w:szCs w:val="24"/>
        </w:rPr>
        <w:t>Prechodné ustanovenie k úpravám účinným dňom vyhlásenia</w:t>
      </w:r>
    </w:p>
    <w:p w:rsidR="00A542DB" w:rsidRPr="00A542DB" w:rsidRDefault="00A542DB" w:rsidP="00A542DB">
      <w:pPr>
        <w:pStyle w:val="Odsekzoznamu"/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Konanie o uložení pokuty podľa § 41 ods. 1 začaté pred dňom účinnosti tohto zákona, ktoré nebolo právoplatne skončené, sa dokončí podľa právnych predpisov účinných do dňa účinnosti tohto zákona.“.“. </w:t>
      </w:r>
    </w:p>
    <w:p w:rsidR="00A542DB" w:rsidRPr="00A542DB" w:rsidRDefault="00A542DB" w:rsidP="00A542DB">
      <w:pPr>
        <w:pStyle w:val="Odsekzoznamu"/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lastRenderedPageBreak/>
        <w:t>Nový bod 6 nadobúda účinnosť dňom vyhlásenia zákona, čo sa premietne do článku upravujúceho účinnosť.</w:t>
      </w:r>
    </w:p>
    <w:p w:rsidR="00A542DB" w:rsidRPr="00A542DB" w:rsidRDefault="00A542DB" w:rsidP="00A542DB">
      <w:pPr>
        <w:pStyle w:val="Odsekzoznamu"/>
        <w:suppressAutoHyphens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542DB" w:rsidRPr="00A542DB" w:rsidRDefault="00A542DB" w:rsidP="00A542DB">
      <w:pPr>
        <w:pStyle w:val="Odsekzoznamu"/>
        <w:suppressAutoHyphens w:val="0"/>
        <w:ind w:left="2124"/>
        <w:jc w:val="both"/>
        <w:rPr>
          <w:rFonts w:ascii="Times New Roman" w:hAnsi="Times New Roman"/>
          <w:sz w:val="24"/>
          <w:szCs w:val="24"/>
        </w:rPr>
      </w:pPr>
      <w:r w:rsidRPr="00A542DB">
        <w:rPr>
          <w:rFonts w:ascii="Times New Roman" w:hAnsi="Times New Roman"/>
          <w:sz w:val="24"/>
          <w:szCs w:val="24"/>
        </w:rPr>
        <w:t xml:space="preserve">V nadväznosti na novú úpravu lehôt § 41 ods. 5 sa navrhuje doplniť prechodné ustanovenie vo vzťahu k prebiehajúcim konaniam pred Komisiu na ochranu maloletých. </w:t>
      </w:r>
    </w:p>
    <w:p w:rsidR="00B4626A" w:rsidRPr="00D239E5" w:rsidRDefault="00B4626A" w:rsidP="00B4626A">
      <w:pPr>
        <w:jc w:val="both"/>
      </w:pPr>
    </w:p>
    <w:sectPr w:rsidR="00B4626A" w:rsidRPr="00D239E5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legreya">
    <w:panose1 w:val="00000000000000000000"/>
    <w:charset w:val="00"/>
    <w:family w:val="modern"/>
    <w:notTrueType/>
    <w:pitch w:val="variable"/>
    <w:sig w:usb0="6000028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339E8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82C6072"/>
    <w:multiLevelType w:val="hybridMultilevel"/>
    <w:tmpl w:val="CBDC3C2E"/>
    <w:lvl w:ilvl="0" w:tplc="D7C434B0">
      <w:start w:val="1"/>
      <w:numFmt w:val="lowerLetter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6" w15:restartNumberingAfterBreak="0">
    <w:nsid w:val="6EDB0F9D"/>
    <w:multiLevelType w:val="hybridMultilevel"/>
    <w:tmpl w:val="67965A36"/>
    <w:lvl w:ilvl="0" w:tplc="55A65D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8"/>
  </w:num>
  <w:num w:numId="6">
    <w:abstractNumId w:val="20"/>
  </w:num>
  <w:num w:numId="7">
    <w:abstractNumId w:val="19"/>
  </w:num>
  <w:num w:numId="8">
    <w:abstractNumId w:val="15"/>
  </w:num>
  <w:num w:numId="9">
    <w:abstractNumId w:val="27"/>
  </w:num>
  <w:num w:numId="10">
    <w:abstractNumId w:val="11"/>
  </w:num>
  <w:num w:numId="11">
    <w:abstractNumId w:val="25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14"/>
  </w:num>
  <w:num w:numId="29">
    <w:abstractNumId w:val="22"/>
  </w:num>
  <w:num w:numId="30">
    <w:abstractNumId w:val="28"/>
  </w:num>
  <w:num w:numId="31">
    <w:abstractNumId w:val="2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6B2"/>
    <w:rsid w:val="001339E8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62D"/>
    <w:rsid w:val="00206D90"/>
    <w:rsid w:val="00217717"/>
    <w:rsid w:val="002178AE"/>
    <w:rsid w:val="00221611"/>
    <w:rsid w:val="00223A39"/>
    <w:rsid w:val="00223CD2"/>
    <w:rsid w:val="00232981"/>
    <w:rsid w:val="00235EC8"/>
    <w:rsid w:val="00237DE6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1CCB"/>
    <w:rsid w:val="002820ED"/>
    <w:rsid w:val="00293EAB"/>
    <w:rsid w:val="00293FA0"/>
    <w:rsid w:val="00296270"/>
    <w:rsid w:val="002A448D"/>
    <w:rsid w:val="002C1850"/>
    <w:rsid w:val="002D7D4F"/>
    <w:rsid w:val="002E230F"/>
    <w:rsid w:val="002E6ED3"/>
    <w:rsid w:val="002F13DF"/>
    <w:rsid w:val="00304055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90ADA"/>
    <w:rsid w:val="003A78C8"/>
    <w:rsid w:val="003B11A4"/>
    <w:rsid w:val="003B4CF4"/>
    <w:rsid w:val="003B76ED"/>
    <w:rsid w:val="003C32C8"/>
    <w:rsid w:val="003E1A18"/>
    <w:rsid w:val="003F2850"/>
    <w:rsid w:val="003F5816"/>
    <w:rsid w:val="00402F88"/>
    <w:rsid w:val="00407BB8"/>
    <w:rsid w:val="00415A33"/>
    <w:rsid w:val="00416305"/>
    <w:rsid w:val="0042496C"/>
    <w:rsid w:val="00424DE5"/>
    <w:rsid w:val="00430143"/>
    <w:rsid w:val="00430CBC"/>
    <w:rsid w:val="004314C2"/>
    <w:rsid w:val="00437B20"/>
    <w:rsid w:val="00451647"/>
    <w:rsid w:val="00462DDD"/>
    <w:rsid w:val="004759EB"/>
    <w:rsid w:val="00477760"/>
    <w:rsid w:val="00483B72"/>
    <w:rsid w:val="00483F8F"/>
    <w:rsid w:val="00490748"/>
    <w:rsid w:val="004A207B"/>
    <w:rsid w:val="004A5D5B"/>
    <w:rsid w:val="004B10DD"/>
    <w:rsid w:val="004C48D4"/>
    <w:rsid w:val="004C4D07"/>
    <w:rsid w:val="004C5B46"/>
    <w:rsid w:val="004C5C3B"/>
    <w:rsid w:val="004D0DC2"/>
    <w:rsid w:val="004D6651"/>
    <w:rsid w:val="004E09DE"/>
    <w:rsid w:val="004E4E40"/>
    <w:rsid w:val="004F7B17"/>
    <w:rsid w:val="0050097C"/>
    <w:rsid w:val="00503DD4"/>
    <w:rsid w:val="0051146C"/>
    <w:rsid w:val="005200A9"/>
    <w:rsid w:val="005460D5"/>
    <w:rsid w:val="00552BA7"/>
    <w:rsid w:val="0055305A"/>
    <w:rsid w:val="00553B2D"/>
    <w:rsid w:val="00560FB2"/>
    <w:rsid w:val="00562573"/>
    <w:rsid w:val="00566121"/>
    <w:rsid w:val="00566BEE"/>
    <w:rsid w:val="00567648"/>
    <w:rsid w:val="005739EE"/>
    <w:rsid w:val="005849B1"/>
    <w:rsid w:val="0058555A"/>
    <w:rsid w:val="00591E6E"/>
    <w:rsid w:val="00592D3D"/>
    <w:rsid w:val="00593442"/>
    <w:rsid w:val="00594DA0"/>
    <w:rsid w:val="00595AC6"/>
    <w:rsid w:val="00597CFC"/>
    <w:rsid w:val="005B1999"/>
    <w:rsid w:val="005D0284"/>
    <w:rsid w:val="005D379C"/>
    <w:rsid w:val="005F3B5A"/>
    <w:rsid w:val="005F5626"/>
    <w:rsid w:val="005F60F5"/>
    <w:rsid w:val="005F6784"/>
    <w:rsid w:val="00602191"/>
    <w:rsid w:val="00603AF9"/>
    <w:rsid w:val="00603B1D"/>
    <w:rsid w:val="006059BA"/>
    <w:rsid w:val="00611E75"/>
    <w:rsid w:val="006137FA"/>
    <w:rsid w:val="0063215A"/>
    <w:rsid w:val="006327E9"/>
    <w:rsid w:val="00632F26"/>
    <w:rsid w:val="0063693C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6D3EB4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6109"/>
    <w:rsid w:val="0085029D"/>
    <w:rsid w:val="00870E4E"/>
    <w:rsid w:val="00871C26"/>
    <w:rsid w:val="00877237"/>
    <w:rsid w:val="0088505B"/>
    <w:rsid w:val="008A086B"/>
    <w:rsid w:val="008B1309"/>
    <w:rsid w:val="008B632F"/>
    <w:rsid w:val="008C0180"/>
    <w:rsid w:val="008C396C"/>
    <w:rsid w:val="008C4AF5"/>
    <w:rsid w:val="008C4E4A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14D2F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2529D"/>
    <w:rsid w:val="00A30C5B"/>
    <w:rsid w:val="00A42200"/>
    <w:rsid w:val="00A42BAA"/>
    <w:rsid w:val="00A46036"/>
    <w:rsid w:val="00A47461"/>
    <w:rsid w:val="00A542DB"/>
    <w:rsid w:val="00A54D77"/>
    <w:rsid w:val="00A55A98"/>
    <w:rsid w:val="00A565D5"/>
    <w:rsid w:val="00A62F8E"/>
    <w:rsid w:val="00A71DE7"/>
    <w:rsid w:val="00A8194A"/>
    <w:rsid w:val="00A838D5"/>
    <w:rsid w:val="00A9579A"/>
    <w:rsid w:val="00AC22A2"/>
    <w:rsid w:val="00AD27F6"/>
    <w:rsid w:val="00B028FC"/>
    <w:rsid w:val="00B0588A"/>
    <w:rsid w:val="00B11176"/>
    <w:rsid w:val="00B12890"/>
    <w:rsid w:val="00B15D55"/>
    <w:rsid w:val="00B16181"/>
    <w:rsid w:val="00B2564E"/>
    <w:rsid w:val="00B304F5"/>
    <w:rsid w:val="00B34C27"/>
    <w:rsid w:val="00B44204"/>
    <w:rsid w:val="00B4626A"/>
    <w:rsid w:val="00B61ECD"/>
    <w:rsid w:val="00B655E3"/>
    <w:rsid w:val="00B71708"/>
    <w:rsid w:val="00B759D3"/>
    <w:rsid w:val="00B924DC"/>
    <w:rsid w:val="00BB3885"/>
    <w:rsid w:val="00BB49AE"/>
    <w:rsid w:val="00BC35CA"/>
    <w:rsid w:val="00BC5F2E"/>
    <w:rsid w:val="00BD09AF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596D"/>
    <w:rsid w:val="00CC64F1"/>
    <w:rsid w:val="00CC7FC3"/>
    <w:rsid w:val="00CD372D"/>
    <w:rsid w:val="00CD7957"/>
    <w:rsid w:val="00CE2896"/>
    <w:rsid w:val="00CF05C9"/>
    <w:rsid w:val="00CF62A6"/>
    <w:rsid w:val="00D11A56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B621D"/>
    <w:rsid w:val="00EF10E9"/>
    <w:rsid w:val="00EF2D94"/>
    <w:rsid w:val="00F13A02"/>
    <w:rsid w:val="00F147C9"/>
    <w:rsid w:val="00F210BB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2AD6"/>
    <w:rsid w:val="00F831F1"/>
    <w:rsid w:val="00F84782"/>
    <w:rsid w:val="00F86428"/>
    <w:rsid w:val="00F87264"/>
    <w:rsid w:val="00FA67DE"/>
    <w:rsid w:val="00FB54F0"/>
    <w:rsid w:val="00FC15EF"/>
    <w:rsid w:val="00FC5CF3"/>
    <w:rsid w:val="00FD0A12"/>
    <w:rsid w:val="00FD72F3"/>
    <w:rsid w:val="00FE1A3D"/>
    <w:rsid w:val="00FE2A55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E814D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qFormat/>
    <w:locked/>
    <w:rsid w:val="00B4626A"/>
    <w:rPr>
      <w:rFonts w:ascii="Calibri" w:eastAsia="SimSun" w:hAnsi="Calibri" w:cs="Calibri"/>
      <w:sz w:val="22"/>
      <w:szCs w:val="22"/>
      <w:lang w:eastAsia="ar-SA"/>
    </w:rPr>
  </w:style>
  <w:style w:type="paragraph" w:customStyle="1" w:styleId="western">
    <w:name w:val="western"/>
    <w:basedOn w:val="Normlny"/>
    <w:rsid w:val="00B4626A"/>
    <w:pPr>
      <w:spacing w:before="100" w:beforeAutospacing="1" w:after="255" w:line="264" w:lineRule="auto"/>
    </w:pPr>
    <w:rPr>
      <w:rFonts w:ascii="Alegreya" w:hAnsi="Alegrey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A9B8-12CD-49D2-9497-58696E91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15</cp:revision>
  <cp:lastPrinted>2024-06-27T11:50:00Z</cp:lastPrinted>
  <dcterms:created xsi:type="dcterms:W3CDTF">2024-06-11T10:31:00Z</dcterms:created>
  <dcterms:modified xsi:type="dcterms:W3CDTF">2024-06-27T11:54:00Z</dcterms:modified>
</cp:coreProperties>
</file>