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C23D38">
        <w:t>I</w:t>
      </w:r>
      <w:r w:rsidR="00140EBD">
        <w:t>X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</w:t>
      </w:r>
      <w:r w:rsidRPr="00C52F70" w:rsidR="008E794A">
        <w:t>číslu</w:t>
      </w:r>
      <w:r w:rsidRPr="00C52F70">
        <w:t>:</w:t>
      </w:r>
      <w:r w:rsidRPr="00C52F70" w:rsidR="00BF3C60">
        <w:t xml:space="preserve"> </w:t>
      </w:r>
      <w:r w:rsidRPr="00C52F70" w:rsidR="00C52F70">
        <w:t>KNR – VOB - 0876</w:t>
      </w:r>
      <w:r w:rsidRPr="00C52F70" w:rsidR="003D6EDC">
        <w:t>/</w:t>
      </w:r>
      <w:r w:rsidRPr="00C52F70" w:rsidR="009F1034">
        <w:t>20</w:t>
      </w:r>
      <w:r w:rsidRPr="00C52F70" w:rsidR="00140EBD">
        <w:t>24</w:t>
      </w:r>
      <w:r w:rsidRPr="00C52F70" w:rsidR="00C52F70">
        <w:t>-4</w:t>
      </w:r>
      <w:r>
        <w:tab/>
        <w:tab/>
        <w:tab/>
        <w:tab/>
      </w:r>
    </w:p>
    <w:p w:rsidR="00AB15C9"/>
    <w:p w:rsidR="00233A93" w:rsidP="0085353E">
      <w:pPr>
        <w:jc w:val="center"/>
        <w:rPr>
          <w:b/>
          <w:bCs/>
          <w:sz w:val="28"/>
        </w:rPr>
      </w:pPr>
      <w:r w:rsidR="00603D5F">
        <w:rPr>
          <w:b/>
          <w:bCs/>
          <w:sz w:val="28"/>
        </w:rPr>
        <w:t>36</w:t>
      </w:r>
      <w:r w:rsidR="00A06FDB">
        <w:rPr>
          <w:b/>
          <w:bCs/>
          <w:sz w:val="28"/>
        </w:rPr>
        <w:t>4</w:t>
      </w:r>
      <w:r>
        <w:rPr>
          <w:b/>
          <w:bCs/>
          <w:sz w:val="28"/>
        </w:rPr>
        <w:t>a</w:t>
      </w:r>
    </w:p>
    <w:p w:rsidR="00233A93">
      <w:pPr>
        <w:pStyle w:val="Heading1"/>
      </w:pPr>
      <w:r>
        <w:t xml:space="preserve">S p o l o č n á    s p r á v a </w:t>
      </w:r>
    </w:p>
    <w:p w:rsidR="00233A93" w:rsidRPr="00FE1C8D" w:rsidP="00A86B11">
      <w:pPr>
        <w:tabs>
          <w:tab w:val="left" w:pos="426"/>
        </w:tabs>
        <w:jc w:val="both"/>
        <w:rPr>
          <w:b/>
        </w:rPr>
      </w:pPr>
      <w:r w:rsidRPr="00A86B11" w:rsidR="001856F2">
        <w:rPr>
          <w:b/>
        </w:rPr>
        <w:t>výborov</w:t>
      </w:r>
      <w:r w:rsidRPr="00A86B11">
        <w:rPr>
          <w:b/>
        </w:rPr>
        <w:t xml:space="preserve"> Národnej rady Sl</w:t>
      </w:r>
      <w:r w:rsidRPr="00A86B11" w:rsidR="00401761">
        <w:rPr>
          <w:b/>
        </w:rPr>
        <w:t xml:space="preserve">ovenskej republiky </w:t>
      </w:r>
      <w:r w:rsidRPr="00A06FDB" w:rsidR="00A06FDB">
        <w:rPr>
          <w:b/>
        </w:rPr>
        <w:t>o prerok</w:t>
      </w:r>
      <w:r w:rsidRPr="00A06FDB" w:rsidR="00A06FDB">
        <w:rPr>
          <w:b/>
        </w:rPr>
        <w:t>ovaní vládneho návrhu zákona o niektorých opatreniach na zlepšenie bezpečnostnej situácie v</w:t>
      </w:r>
      <w:r w:rsidR="00A06FDB">
        <w:rPr>
          <w:b/>
        </w:rPr>
        <w:t xml:space="preserve"> Slovenskej republike (tlač 364</w:t>
      </w:r>
      <w:r w:rsidRPr="00A06FDB" w:rsidR="00A06FDB">
        <w:rPr>
          <w:b/>
        </w:rPr>
        <w:t>)</w:t>
      </w:r>
      <w:r w:rsidR="00A06FDB">
        <w:rPr>
          <w:b/>
        </w:rPr>
        <w:t xml:space="preserve"> </w:t>
      </w:r>
      <w:r w:rsidRPr="00FE1C8D">
        <w:rPr>
          <w:b/>
        </w:rPr>
        <w:t>v</w:t>
      </w:r>
      <w:r w:rsidRPr="00FE1C8D" w:rsidR="00D57D3E">
        <w:rPr>
          <w:b/>
        </w:rPr>
        <w:t xml:space="preserve">o výboroch Národnej rady Slovenskej republiky v </w:t>
      </w:r>
      <w:r w:rsidRPr="00FE1C8D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</w:t>
      </w:r>
      <w:r w:rsidRPr="00846B8E">
        <w:rPr>
          <w:b/>
        </w:rPr>
        <w:t>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</w:t>
      </w:r>
      <w:r w:rsidR="00220E85">
        <w:t>lovenskej republiky pre obranu a bezpečnosť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FE1C8D">
        <w:t xml:space="preserve">vládneho </w:t>
      </w:r>
      <w:r>
        <w:t>návrhu zákona.</w:t>
      </w:r>
    </w:p>
    <w:p w:rsidR="001E1A8F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 w:rsidRPr="00A86B11" w:rsidP="00A86B11">
      <w:pPr>
        <w:tabs>
          <w:tab w:val="left" w:pos="426"/>
        </w:tabs>
        <w:jc w:val="both"/>
      </w:pPr>
      <w:r w:rsidRPr="00A86B11">
        <w:t>Národná rada Sl</w:t>
      </w:r>
      <w:r w:rsidRPr="00A86B11" w:rsidR="00680EDA">
        <w:t xml:space="preserve">ovenskej </w:t>
      </w:r>
      <w:r w:rsidRPr="00120203" w:rsidR="00680EDA">
        <w:t xml:space="preserve">republiky </w:t>
      </w:r>
      <w:r w:rsidRPr="00120203" w:rsidR="0018539F">
        <w:t>uznesením</w:t>
      </w:r>
      <w:r w:rsidRPr="00120203" w:rsidR="00CE5AB9">
        <w:t xml:space="preserve"> </w:t>
      </w:r>
      <w:r w:rsidRPr="00120203" w:rsidR="000965A1">
        <w:t>č.</w:t>
      </w:r>
      <w:r w:rsidRPr="00120203" w:rsidR="00F10EB2">
        <w:t xml:space="preserve"> </w:t>
      </w:r>
      <w:r w:rsidRPr="00120203" w:rsidR="00120203">
        <w:t>379</w:t>
      </w:r>
      <w:r w:rsidRPr="00120203" w:rsidR="00F13E1B">
        <w:t xml:space="preserve"> </w:t>
      </w:r>
      <w:r w:rsidRPr="00120203">
        <w:t>z</w:t>
      </w:r>
      <w:r w:rsidRPr="00120203" w:rsidR="00521598">
        <w:t xml:space="preserve">o </w:t>
      </w:r>
      <w:r w:rsidRPr="00120203" w:rsidR="008370F5">
        <w:t xml:space="preserve">dňa </w:t>
      </w:r>
      <w:r w:rsidRPr="00120203" w:rsidR="00120203">
        <w:t>20.</w:t>
      </w:r>
      <w:r w:rsidRPr="00120203">
        <w:t xml:space="preserve"> </w:t>
      </w:r>
      <w:r w:rsidRPr="00120203" w:rsidR="00603D5F">
        <w:t>júna</w:t>
      </w:r>
      <w:r w:rsidRPr="00120203" w:rsidR="00CD2A22">
        <w:t xml:space="preserve"> </w:t>
      </w:r>
      <w:r w:rsidRPr="00120203">
        <w:t>20</w:t>
      </w:r>
      <w:r w:rsidRPr="00120203" w:rsidR="0003627F">
        <w:t>2</w:t>
      </w:r>
      <w:r w:rsidRPr="00120203" w:rsidR="00140EBD">
        <w:t>4</w:t>
      </w:r>
      <w:r w:rsidRPr="00120203" w:rsidR="009F77AE">
        <w:t xml:space="preserve"> </w:t>
      </w:r>
      <w:r w:rsidRPr="00120203">
        <w:t>pri</w:t>
      </w:r>
      <w:r w:rsidRPr="00120203">
        <w:t>delila</w:t>
      </w:r>
      <w:r w:rsidRPr="00A86B11" w:rsidR="00353558">
        <w:t xml:space="preserve"> </w:t>
      </w:r>
      <w:r w:rsidR="00A06FDB">
        <w:t>v</w:t>
      </w:r>
      <w:r w:rsidRPr="00A06FDB" w:rsidR="00A06FDB">
        <w:t xml:space="preserve">ládny návrh zákona o niektorých opatreniach na zlepšenie bezpečnostnej situácie v Slovenskej republike </w:t>
      </w:r>
      <w:r w:rsidRPr="00A06FDB" w:rsidR="00A06FDB">
        <w:rPr>
          <w:b/>
        </w:rPr>
        <w:t>(tlač 364)</w:t>
      </w:r>
      <w:r w:rsidR="00A06FDB">
        <w:rPr>
          <w:b/>
        </w:rPr>
        <w:t xml:space="preserve"> </w:t>
      </w:r>
      <w:r w:rsidRPr="00A86B11" w:rsidR="008E794A">
        <w:rPr>
          <w:rStyle w:val="Strong"/>
        </w:rPr>
        <w:t>(prostredníctvom skráteného legislatívneho konania)</w:t>
      </w:r>
      <w:r w:rsidRPr="00A86B11" w:rsidR="009D4C8E">
        <w:t xml:space="preserve"> </w:t>
      </w:r>
      <w:r w:rsidRPr="00A86B11">
        <w:t>týmto výborom Národnej rady Slovenskej republiky</w:t>
      </w:r>
      <w:r w:rsidRPr="00A86B11" w:rsidR="00184003">
        <w:t xml:space="preserve"> </w:t>
      </w:r>
      <w:r w:rsidRPr="00A86B11">
        <w:t>:</w:t>
      </w:r>
    </w:p>
    <w:p w:rsidR="001B11BA" w:rsidRPr="004D053D">
      <w:pPr>
        <w:pStyle w:val="BodyText2"/>
        <w:jc w:val="left"/>
      </w:pPr>
    </w:p>
    <w:p w:rsidR="00233A93" w:rsidRPr="00F22E55" w:rsidP="00227BF3">
      <w:pPr>
        <w:pStyle w:val="BodyText2"/>
        <w:numPr>
          <w:ilvl w:val="0"/>
          <w:numId w:val="1"/>
        </w:numPr>
      </w:pPr>
      <w:r w:rsidRPr="00F22E55">
        <w:t>Výboru Národnej rady Slovenske</w:t>
      </w:r>
      <w:r w:rsidRPr="00F22E55">
        <w:t>j republiky pre financie</w:t>
      </w:r>
      <w:r w:rsidRPr="00F22E55" w:rsidR="00452CA8">
        <w:t xml:space="preserve"> a</w:t>
      </w:r>
      <w:r w:rsidRPr="00F22E55" w:rsidR="002C3917">
        <w:t> </w:t>
      </w:r>
      <w:r w:rsidRPr="00F22E55">
        <w:t>rozpočet</w:t>
      </w:r>
      <w:r w:rsidRPr="00F22E55" w:rsidR="002C3917">
        <w:t>,</w:t>
      </w:r>
      <w:r w:rsidRPr="00F22E55">
        <w:t xml:space="preserve"> </w:t>
      </w:r>
    </w:p>
    <w:p w:rsidR="00A86B11" w:rsidP="00F10EB2">
      <w:pPr>
        <w:pStyle w:val="BodyText2"/>
        <w:numPr>
          <w:ilvl w:val="0"/>
          <w:numId w:val="1"/>
        </w:numPr>
      </w:pPr>
      <w:r w:rsidRPr="00F22E55" w:rsidR="00233A93">
        <w:t>Ústavnoprávnemu výboru Národnej rady Slovenskej republiky</w:t>
      </w:r>
      <w:r w:rsidR="00603D5F">
        <w:t>,</w:t>
      </w:r>
    </w:p>
    <w:p w:rsidR="00603D5F" w:rsidRPr="00F22E55" w:rsidP="00F10EB2">
      <w:pPr>
        <w:pStyle w:val="BodyText2"/>
        <w:numPr>
          <w:ilvl w:val="0"/>
          <w:numId w:val="1"/>
        </w:numPr>
      </w:pPr>
      <w:r w:rsidRPr="00F22E55">
        <w:t>Výboru Národnej rady Slovenskej republiky pre</w:t>
      </w:r>
      <w:r>
        <w:t xml:space="preserve"> </w:t>
      </w:r>
      <w:r w:rsidR="00A06FDB">
        <w:t>obranu a bezpečnosť</w:t>
      </w:r>
      <w:r>
        <w:t>.</w:t>
      </w:r>
    </w:p>
    <w:p w:rsidR="00FE1C8D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 xml:space="preserve">Určila zároveň Výbor Národnej rady Slovenskej republiky pre </w:t>
      </w:r>
      <w:r w:rsidR="00A06FDB">
        <w:rPr>
          <w:bCs/>
        </w:rPr>
        <w:t xml:space="preserve">obranu a bezpečnosť </w:t>
      </w:r>
      <w:r w:rsidR="00AB15C9">
        <w:rPr>
          <w:bCs/>
        </w:rPr>
        <w:t>ako gestors</w:t>
      </w:r>
      <w:r w:rsidR="00AB15C9">
        <w:rPr>
          <w:bCs/>
        </w:rPr>
        <w:t>ký výbor a lehotu</w:t>
      </w:r>
      <w:r w:rsidRPr="00AB15C9">
        <w:rPr>
          <w:bCs/>
        </w:rPr>
        <w:t xml:space="preserve"> na prerokovanie predmetného </w:t>
      </w:r>
      <w:r w:rsidR="00FE1C8D">
        <w:rPr>
          <w:bCs/>
        </w:rPr>
        <w:t xml:space="preserve">vládneho </w:t>
      </w:r>
      <w:r w:rsidRPr="00AB15C9">
        <w:rPr>
          <w:bCs/>
        </w:rPr>
        <w:t>návrhu zákona v druhom čítaní vo výboroch</w:t>
      </w:r>
      <w:r w:rsidR="009F7833">
        <w:rPr>
          <w:bCs/>
        </w:rPr>
        <w:t xml:space="preserve"> </w:t>
      </w:r>
      <w:r w:rsidRPr="00BF14AE" w:rsidR="009F7833">
        <w:rPr>
          <w:b/>
          <w:bCs/>
        </w:rPr>
        <w:t>i</w:t>
      </w:r>
      <w:r w:rsidR="009F7833">
        <w:rPr>
          <w:b/>
          <w:bCs/>
        </w:rPr>
        <w:t> </w:t>
      </w:r>
      <w:r w:rsidRPr="00BF14AE" w:rsidR="009F7833">
        <w:rPr>
          <w:b/>
          <w:bCs/>
        </w:rPr>
        <w:t>h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n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e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ď.</w:t>
      </w: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</w:t>
      </w:r>
      <w:r w:rsidRPr="00A46744">
        <w:t xml:space="preserve">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1E1A8F">
      <w:pPr>
        <w:pStyle w:val="BodyText2"/>
        <w:ind w:firstLine="3"/>
        <w:jc w:val="center"/>
        <w:rPr>
          <w:b/>
        </w:rPr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603D5F">
      <w:pPr>
        <w:pStyle w:val="BodyText2"/>
        <w:ind w:firstLine="720"/>
      </w:pPr>
      <w:r w:rsidR="00233A93">
        <w:t xml:space="preserve">K predmetnému </w:t>
      </w:r>
      <w:r w:rsidR="00FE1C8D">
        <w:t xml:space="preserve">vládnemu </w:t>
      </w:r>
      <w:r w:rsidR="00233A93">
        <w:t xml:space="preserve">návrhu zákona zaujali výbory Národnej rady Slovenskej republiky </w:t>
      </w:r>
      <w:r w:rsidR="008370F5">
        <w:t>tieto stanoviská</w:t>
      </w:r>
      <w:r w:rsidR="00233A93">
        <w:t>:</w:t>
      </w:r>
    </w:p>
    <w:p w:rsidR="00603D5F">
      <w:pPr>
        <w:pStyle w:val="BodyText2"/>
        <w:ind w:firstLine="720"/>
      </w:pPr>
    </w:p>
    <w:p w:rsidR="00140EBD" w:rsidRPr="00541201" w:rsidP="00220E85">
      <w:pPr>
        <w:pStyle w:val="BodyText2"/>
        <w:numPr>
          <w:ilvl w:val="0"/>
          <w:numId w:val="1"/>
        </w:numPr>
      </w:pPr>
      <w:r w:rsidRPr="00541201">
        <w:rPr>
          <w:b/>
        </w:rPr>
        <w:t>Výbor</w:t>
      </w:r>
      <w:r w:rsidRPr="00541201">
        <w:t xml:space="preserve"> N</w:t>
      </w:r>
      <w:r w:rsidRPr="00541201">
        <w:t xml:space="preserve">árodnej rady Slovenskej republiky </w:t>
      </w:r>
      <w:r w:rsidRPr="00541201">
        <w:rPr>
          <w:b/>
        </w:rPr>
        <w:t>pre financie a rozpočet</w:t>
      </w:r>
      <w:r w:rsidRPr="00541201">
        <w:t xml:space="preserve"> (uzn. </w:t>
      </w:r>
      <w:r w:rsidRPr="00024D3D">
        <w:t xml:space="preserve">č. </w:t>
      </w:r>
      <w:r w:rsidR="00EC5F92">
        <w:t>99</w:t>
      </w:r>
      <w:r w:rsidRPr="00024D3D" w:rsidR="00E45390">
        <w:t xml:space="preserve"> </w:t>
      </w:r>
      <w:r w:rsidRPr="00024D3D">
        <w:t xml:space="preserve">zo dňa </w:t>
      </w:r>
      <w:r w:rsidR="00120203">
        <w:t>20</w:t>
      </w:r>
      <w:r w:rsidRPr="00024D3D" w:rsidR="00F10EB2">
        <w:t>.</w:t>
      </w:r>
      <w:r w:rsidR="00603D5F">
        <w:t xml:space="preserve"> júna</w:t>
      </w:r>
      <w:r w:rsidRPr="00541201">
        <w:t xml:space="preserve"> 2024)</w:t>
      </w:r>
      <w:r w:rsidR="00220E85">
        <w:t xml:space="preserve"> odporúča</w:t>
      </w:r>
      <w:r w:rsidRPr="00974771" w:rsidR="00220E85">
        <w:t xml:space="preserve"> Náro</w:t>
      </w:r>
      <w:r w:rsidR="00220E85">
        <w:t>dnej rade</w:t>
      </w:r>
      <w:r w:rsidRPr="00974771" w:rsidR="00220E85">
        <w:t xml:space="preserve"> Slovenskej republiky návrh </w:t>
      </w:r>
      <w:r w:rsidRPr="00974771" w:rsidR="00220E85">
        <w:rPr>
          <w:b/>
          <w:bCs/>
        </w:rPr>
        <w:t>schváliť</w:t>
      </w:r>
    </w:p>
    <w:p w:rsidR="00140EBD" w:rsidRPr="00024D3D" w:rsidP="00140EBD">
      <w:pPr>
        <w:pStyle w:val="BodyText2"/>
        <w:ind w:left="993"/>
      </w:pPr>
    </w:p>
    <w:p w:rsidR="00220E85" w:rsidRPr="00974771" w:rsidP="00220E85">
      <w:pPr>
        <w:pStyle w:val="BodyText2"/>
        <w:numPr>
          <w:ilvl w:val="0"/>
          <w:numId w:val="1"/>
        </w:numPr>
        <w:rPr>
          <w:b/>
          <w:bCs/>
        </w:rPr>
      </w:pPr>
      <w:r w:rsidRPr="00603D5F" w:rsidR="00603D5F">
        <w:rPr>
          <w:b/>
        </w:rPr>
        <w:t>Výbor</w:t>
      </w:r>
      <w:r w:rsidRPr="00F22E55" w:rsidR="00603D5F">
        <w:t xml:space="preserve"> Národnej rady Slovenskej republiky </w:t>
      </w:r>
      <w:r w:rsidRPr="00603D5F" w:rsidR="00603D5F">
        <w:rPr>
          <w:b/>
        </w:rPr>
        <w:t xml:space="preserve">pre </w:t>
      </w:r>
      <w:r w:rsidR="00A06FDB">
        <w:rPr>
          <w:b/>
        </w:rPr>
        <w:t>obranu a bezpečnosť</w:t>
      </w:r>
      <w:r w:rsidR="00603D5F">
        <w:rPr>
          <w:b/>
        </w:rPr>
        <w:t xml:space="preserve"> </w:t>
      </w:r>
      <w:r w:rsidRPr="00541201" w:rsidR="00603D5F">
        <w:t xml:space="preserve">(uzn. </w:t>
      </w:r>
      <w:r w:rsidRPr="00024D3D" w:rsidR="00603D5F">
        <w:t xml:space="preserve">č. </w:t>
      </w:r>
      <w:r w:rsidR="00120203">
        <w:t>39</w:t>
      </w:r>
      <w:r w:rsidRPr="00024D3D" w:rsidR="00603D5F">
        <w:t xml:space="preserve"> zo dňa </w:t>
      </w:r>
      <w:r w:rsidR="00120203">
        <w:t>20</w:t>
      </w:r>
      <w:r w:rsidRPr="00024D3D" w:rsidR="00603D5F">
        <w:t>.</w:t>
      </w:r>
      <w:r w:rsidR="00603D5F">
        <w:t xml:space="preserve"> júna</w:t>
      </w:r>
      <w:r w:rsidRPr="00541201" w:rsidR="00603D5F">
        <w:t xml:space="preserve"> 2024)</w:t>
      </w:r>
      <w:r>
        <w:t xml:space="preserve"> odporúča</w:t>
      </w:r>
      <w:r w:rsidRPr="00974771">
        <w:t xml:space="preserve"> Náro</w:t>
      </w:r>
      <w:r>
        <w:t>dnej rade</w:t>
      </w:r>
      <w:r w:rsidRPr="00974771">
        <w:t xml:space="preserve"> Slovenskej republiky návrh </w:t>
      </w:r>
      <w:r w:rsidRPr="00974771">
        <w:rPr>
          <w:b/>
          <w:bCs/>
        </w:rPr>
        <w:t>schváliť</w:t>
      </w:r>
      <w:r>
        <w:rPr>
          <w:b/>
          <w:bCs/>
        </w:rPr>
        <w:t xml:space="preserve"> s pozmeňujúcimi a doplňujúcimi návrhmi.</w:t>
      </w:r>
    </w:p>
    <w:p w:rsidR="00603D5F" w:rsidRPr="00603D5F" w:rsidP="00603D5F">
      <w:pPr>
        <w:pStyle w:val="BodyText2"/>
        <w:ind w:left="993"/>
      </w:pPr>
    </w:p>
    <w:p w:rsidR="00220E85" w:rsidRPr="00220E85" w:rsidP="00220E85">
      <w:pPr>
        <w:pStyle w:val="BodyText2"/>
        <w:numPr>
          <w:ilvl w:val="0"/>
          <w:numId w:val="1"/>
        </w:numPr>
        <w:rPr>
          <w:b/>
        </w:rPr>
      </w:pPr>
      <w:r w:rsidRPr="00024D3D">
        <w:rPr>
          <w:b/>
        </w:rPr>
        <w:t>Ústavnoprávny výbor</w:t>
      </w:r>
      <w:r w:rsidRPr="00024D3D">
        <w:t xml:space="preserve"> Národnej rady Slovenskej republiky </w:t>
      </w:r>
      <w:r w:rsidRPr="00220E85">
        <w:t xml:space="preserve">o vládnom návrhu </w:t>
      </w:r>
      <w:r w:rsidRPr="00220E85">
        <w:rPr>
          <w:b/>
        </w:rPr>
        <w:t>zákona nerokoval.</w:t>
      </w:r>
    </w:p>
    <w:p w:rsidR="00603D5F" w:rsidRPr="00220E85" w:rsidP="00603D5F">
      <w:pPr>
        <w:pStyle w:val="BodyText2"/>
        <w:ind w:left="851"/>
        <w:rPr>
          <w:b/>
        </w:rPr>
      </w:pPr>
    </w:p>
    <w:p w:rsidR="007F071A" w:rsidP="007F071A">
      <w:pPr>
        <w:pStyle w:val="BodyText2"/>
        <w:jc w:val="center"/>
        <w:rPr>
          <w:b/>
        </w:rPr>
      </w:pPr>
      <w:r>
        <w:rPr>
          <w:b/>
          <w:bCs/>
        </w:rPr>
        <w:tab/>
      </w:r>
      <w:r>
        <w:rPr>
          <w:b/>
        </w:rPr>
        <w:t>IV.</w:t>
      </w:r>
    </w:p>
    <w:p w:rsidR="007F071A" w:rsidP="007F071A">
      <w:pPr>
        <w:pStyle w:val="BodyText2"/>
        <w:ind w:firstLine="708"/>
      </w:pPr>
      <w:r w:rsidRPr="00AC16EF">
        <w:t>Z uzn</w:t>
      </w:r>
      <w:r>
        <w:t>esenia</w:t>
      </w:r>
      <w:r w:rsidRPr="00AC16EF">
        <w:t xml:space="preserve"> výbor</w:t>
      </w:r>
      <w:r>
        <w:t>u Národnej rady Slovenskej republiky uvedeného</w:t>
      </w:r>
      <w:r w:rsidRPr="00AC16EF">
        <w:t xml:space="preserve"> p</w:t>
      </w:r>
      <w:r w:rsidRPr="00AC16EF">
        <w:t>od bodom</w:t>
      </w:r>
      <w:r>
        <w:t xml:space="preserve"> III. </w:t>
      </w:r>
      <w:r w:rsidR="000B7FE0">
        <w:t xml:space="preserve">tejto správy </w:t>
      </w:r>
      <w:r w:rsidRPr="00EC5F92" w:rsidR="000B7FE0">
        <w:t>vyplýva</w:t>
      </w:r>
      <w:r w:rsidR="00EC5F92">
        <w:t>jú tieto</w:t>
      </w:r>
      <w:r w:rsidRPr="00EC5F92">
        <w:t xml:space="preserve"> </w:t>
      </w:r>
      <w:r w:rsidR="00EC5F92">
        <w:t>pozmeňujúce</w:t>
      </w:r>
      <w:r w:rsidRPr="00EC5F92">
        <w:t xml:space="preserve"> a d</w:t>
      </w:r>
      <w:r w:rsidR="00EC5F92">
        <w:t>oplňujúce</w:t>
      </w:r>
      <w:r w:rsidRPr="00EC5F92">
        <w:t xml:space="preserve"> návrh</w:t>
      </w:r>
      <w:r w:rsidR="00EC5F92">
        <w:t>y</w:t>
      </w:r>
      <w:r w:rsidRPr="00EC5F92">
        <w:t>:</w:t>
      </w:r>
      <w:r w:rsidRPr="00650AF6">
        <w:t xml:space="preserve"> </w:t>
      </w:r>
    </w:p>
    <w:p w:rsidR="00C52F70" w:rsidP="007F071A">
      <w:pPr>
        <w:pStyle w:val="BodyText2"/>
        <w:ind w:firstLine="708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>V čl. I v bode 2 v § 1 ods. 6 písm. c) sa vypúšťajú slová „alebo všeobecný súd“.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</w:p>
    <w:p w:rsidR="00C52F70" w:rsidP="00C52F70">
      <w:pPr>
        <w:widowControl w:val="0"/>
        <w:spacing w:after="4"/>
        <w:ind w:left="3540"/>
        <w:contextualSpacing/>
        <w:jc w:val="both"/>
      </w:pPr>
      <w:r w:rsidRPr="00C52F70">
        <w:t xml:space="preserve">Navrhuje sa vo vzťahu k všeobecnému súdu ustanoviť zákaz zhromaždenie v okruhu 50 metrov len, ak účel zhromaždenia súvisí s činnosťou súdu. Keďže pôjde o podmienku, ktorú bude nutné posúdiť, navrhuje sa ustanoviť takto upravený zákaz v § 10 ods. 2. 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>V čl. I v bode 5</w:t>
      </w:r>
      <w:r w:rsidRPr="00C52F70">
        <w:t xml:space="preserve"> v § 8 ods. 3 sa slová „nasvedčujúce tomu, že existujú dôvody“ nahrádzajú slovami „o konkrétnych dôvodoch“.</w:t>
      </w:r>
    </w:p>
    <w:p w:rsidR="00C52F70" w:rsidRPr="00C52F70" w:rsidP="00C52F70">
      <w:pPr>
        <w:widowControl w:val="0"/>
        <w:spacing w:after="4"/>
        <w:ind w:left="284"/>
        <w:contextualSpacing/>
        <w:jc w:val="both"/>
      </w:pPr>
    </w:p>
    <w:p w:rsidR="00C52F70" w:rsidP="00C52F70">
      <w:pPr>
        <w:spacing w:after="4"/>
        <w:ind w:left="3540"/>
        <w:contextualSpacing/>
        <w:jc w:val="both"/>
      </w:pPr>
      <w:r w:rsidRPr="00C52F70">
        <w:t xml:space="preserve">Navrhuje sa sprísniť nároky na kvalitu informácie, ktorá je obci poskytnutá Policajným zborom, a to tak, aby boli obci poskytované informácie o dôvodoch na zákaz zhromaždenia len v prípade, ak z týchto informácií sú zrejmé konkrétne dôvody odôvodňujúce zákaz. 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6445E7" w:rsidRPr="00C52F70" w:rsidP="00C52F70">
      <w:pPr>
        <w:spacing w:after="4"/>
        <w:ind w:left="3540"/>
        <w:contextualSpacing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 xml:space="preserve">V čl. I bod 6 znie: 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  <w:r w:rsidRPr="00C52F70">
        <w:t>„6. V § 10 sa odsek 2 dopĺňa písmenami d) až g), ktoré znejú:</w:t>
      </w:r>
    </w:p>
    <w:p w:rsidR="00C52F70" w:rsidRPr="00C52F70" w:rsidP="00C52F70">
      <w:pPr>
        <w:ind w:left="1134" w:hanging="567"/>
        <w:jc w:val="both"/>
      </w:pPr>
      <w:r w:rsidRPr="00C52F70">
        <w:t xml:space="preserve">„d) </w:t>
        <w:tab/>
        <w:t xml:space="preserve">sa má konať v blízkosti obydlia osoby, s výkonom zamestnania, povolania alebo funkcie ktorej účel zhromaždenia priamo súvisí a zvolávateľ nesúhlasil so zmenou miesta konania zhromaždenia, </w:t>
      </w:r>
    </w:p>
    <w:p w:rsidR="00C52F70" w:rsidRPr="00C52F70" w:rsidP="00C52F70">
      <w:pPr>
        <w:ind w:left="1134" w:hanging="567"/>
        <w:jc w:val="both"/>
      </w:pPr>
      <w:r w:rsidRPr="00C52F70">
        <w:t>e)</w:t>
        <w:tab/>
        <w:t>existuje dôvodná obava, že dôjde k stretu s účastníkmi skôr oznámeného zhromaždenia, v dôsledku čoho nebude možné zabezpečiť riadny a pokojný priebeh týchto zhromaždení ani s nasadením dostupných síl a prostriedkov, medzi zvolávateľmi nedošlo k dohode o úprave času alebo miesta konania zhromaždení a verejný poriadok nebude možné zabezpečiť žiadnymi menej rušivými opatreniami; ak nemožno určiť, ktoré oznámenie bolo doručené skôr, rozhodne sa za účasti zástupcov zvolávateľov žrebovaním,</w:t>
      </w:r>
    </w:p>
    <w:p w:rsidR="00C52F70" w:rsidRPr="00C52F70" w:rsidP="00C52F70">
      <w:pPr>
        <w:ind w:left="1134" w:hanging="567"/>
        <w:jc w:val="both"/>
      </w:pPr>
      <w:r w:rsidRPr="00C52F70">
        <w:t xml:space="preserve">f) </w:t>
        <w:tab/>
        <w:t>sa má konať na mieste, ktoré sa nachádza v oblasti určenej prevažne na bývanie a nejde o námestie, park, trhovisko alebo iné obdobné miesto, z oznámených skutočností alebo iných informácií plynie dôvodná obava, že konaním zhromaždenia dôjde k zásahu do základného práva na súkromie väčšieho počtu osôb alebo k zásahu do pokojného užívania obydlia väčšieho počtu osôb nad mieru bežne spojenú s pokojným zhromaždením, a ochranu ich práv nemožno zabezpečiť žiadnymi menej rušivými opatreniami,</w:t>
      </w:r>
    </w:p>
    <w:p w:rsidR="00C52F70" w:rsidRPr="00C52F70" w:rsidP="00C52F70">
      <w:pPr>
        <w:ind w:left="1134" w:hanging="567"/>
        <w:jc w:val="both"/>
      </w:pPr>
      <w:r w:rsidRPr="00C52F70">
        <w:t>g)</w:t>
        <w:tab/>
        <w:t>sa má konať v okruhu 50 metrov od objektu, v ktorom má sídlo alebo v ktorom vykonáva svoju pôsobnosť všeobecný súd, ak účel zhromaždenia priamo súvisí s rozhodovacou činnosťou všeobecného súdu.“.</w:t>
      </w:r>
    </w:p>
    <w:p w:rsidR="00C52F70" w:rsidRPr="00C52F70" w:rsidP="00C52F70">
      <w:pPr>
        <w:widowControl w:val="0"/>
        <w:spacing w:after="4"/>
        <w:ind w:left="284"/>
        <w:contextualSpacing/>
        <w:jc w:val="both"/>
      </w:pPr>
    </w:p>
    <w:p w:rsidR="00C52F70" w:rsidRPr="00C52F70" w:rsidP="00C52F70">
      <w:pPr>
        <w:spacing w:after="4"/>
        <w:ind w:left="3540"/>
        <w:contextualSpacing/>
        <w:jc w:val="both"/>
      </w:pPr>
      <w:r w:rsidRPr="00C52F70">
        <w:t xml:space="preserve">V dôvode zákazu podľa písmena e) sa navrhuje explicitne uviesť, že prednosť v takomto prípade má skôr oznámené zhromaždenie. </w:t>
      </w:r>
    </w:p>
    <w:p w:rsidR="00C52F70" w:rsidRPr="00C52F70" w:rsidP="00C52F70">
      <w:pPr>
        <w:spacing w:after="4"/>
        <w:ind w:left="1276"/>
        <w:contextualSpacing/>
        <w:jc w:val="both"/>
      </w:pPr>
    </w:p>
    <w:p w:rsidR="00C52F70" w:rsidRPr="00C52F70" w:rsidP="00C52F70">
      <w:pPr>
        <w:spacing w:after="4"/>
        <w:ind w:left="3540"/>
        <w:contextualSpacing/>
        <w:jc w:val="both"/>
      </w:pPr>
      <w:r w:rsidRPr="00C52F70">
        <w:t>Navrhuje sa spresniť aj dôvod na zákaz zhromaždenia konaného v tzv. obytných zónach doplnením dôvodov, ktoré sa v pôvodnom návrhu dali nájsť len implicitne.</w:t>
      </w:r>
    </w:p>
    <w:p w:rsidR="00C52F70" w:rsidRPr="00C52F70" w:rsidP="00C52F70">
      <w:pPr>
        <w:spacing w:after="4"/>
        <w:ind w:left="3540"/>
        <w:contextualSpacing/>
        <w:jc w:val="both"/>
      </w:pPr>
      <w:r w:rsidRPr="00C52F70">
        <w:t>Navrhuje sa, aby zákaz zhromaždenia v obytnej zóne bol podmienený aj samotným faktom, že miesto, kde sa má konať, sa v takej oblasti nachádza. Keďže aj v obytnej zóne môže byť námestie či park, ustanovuje sa výslovne, že zároveň nejde o takéto miesto určené prirodzene na prítomnosť väčšieho množstva ľudí a na organizáciu podujatí. Inak povedané, prvou podmienkou je, že miesto konania je v obytnej zóne a zároveň nie je na námestí či v parku.</w:t>
      </w:r>
    </w:p>
    <w:p w:rsidR="00C52F70" w:rsidRPr="00C52F70" w:rsidP="00C52F70">
      <w:pPr>
        <w:spacing w:after="4"/>
        <w:ind w:left="3540"/>
        <w:contextualSpacing/>
        <w:jc w:val="both"/>
      </w:pPr>
      <w:r w:rsidRPr="00C52F70">
        <w:t>Podmienka počtu potenciálne zasiahnutých osôb sa navrhuje vyjadriť ako „väčší počet“, keďže spojenie „viaceré osoby“ mohlo evokovať aj počet v ráde jednotiek osôb.</w:t>
      </w:r>
    </w:p>
    <w:p w:rsidR="00C52F70" w:rsidRPr="00C52F70" w:rsidP="00C52F70">
      <w:pPr>
        <w:spacing w:after="4"/>
        <w:ind w:left="3540"/>
        <w:contextualSpacing/>
        <w:jc w:val="both"/>
      </w:pPr>
      <w:r w:rsidRPr="00C52F70">
        <w:t>Dopĺňa sa tiež podmienka intenzity obmedzenia práv dotknutých osôb, ktorá musí presahovať bežnú úroveň rušenia spojenú s pokojnou prítomnosťou viacerých osôb na verejnom priestranstve.</w:t>
      </w:r>
    </w:p>
    <w:p w:rsidR="00C52F70" w:rsidRPr="00C52F70" w:rsidP="00C52F70">
      <w:pPr>
        <w:spacing w:after="4"/>
        <w:ind w:left="3540"/>
        <w:contextualSpacing/>
        <w:jc w:val="both"/>
      </w:pPr>
      <w:r w:rsidRPr="00C52F70">
        <w:t>Cieľom je, aby možnosť zákazu bola ustanovená čo možno najjasnejšie a najpresnejšie.</w:t>
      </w:r>
    </w:p>
    <w:p w:rsidR="00C52F70" w:rsidRPr="00C52F70" w:rsidP="00C52F70">
      <w:pPr>
        <w:spacing w:after="4"/>
        <w:ind w:left="1276"/>
        <w:contextualSpacing/>
        <w:jc w:val="both"/>
      </w:pPr>
    </w:p>
    <w:p w:rsidR="00C52F70" w:rsidP="00C52F70">
      <w:pPr>
        <w:spacing w:after="4"/>
        <w:ind w:left="3540"/>
        <w:contextualSpacing/>
        <w:jc w:val="both"/>
      </w:pPr>
      <w:r w:rsidRPr="00C52F70">
        <w:t>Nové písmeno g) sa navrhuje „presunúť“ z § 1 ods. 6 do § 10 ods. 2 z dôvodu doplnenia podmienky viazanej na účel zhromaždenia, ktorú je nevyhnutné posudzovať v konaní.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6445E7" w:rsidRPr="00C52F70" w:rsidP="00C52F70">
      <w:pPr>
        <w:spacing w:after="4"/>
        <w:ind w:left="3540"/>
        <w:contextualSpacing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>V čl. I v bode 9 v § 14 ods. 1 písmeno i) znie: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  <w:r w:rsidRPr="00C52F70">
        <w:t>„i) ako účastník zhromaždenia má pri sebe strelnú zbraň alebo výbušninu alebo iné predmety, ktorými možno ublížiť na zdraví, a ak možno z okolností alebo z jeho správania usudzovať, že sa majú použiť na násilie alebo na hrozbu násilím,“.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</w:p>
    <w:p w:rsidR="00C52F70" w:rsidP="00C52F70">
      <w:pPr>
        <w:widowControl w:val="0"/>
        <w:spacing w:after="4"/>
        <w:ind w:left="3540"/>
        <w:contextualSpacing/>
        <w:jc w:val="both"/>
      </w:pPr>
      <w:r w:rsidRPr="00C52F70">
        <w:t xml:space="preserve">Navrhuje sa upraviť skutkovú podstatu priestupku vo väzbe na existujúce zákazové ustanovenie § 7 ods. 3. </w:t>
      </w:r>
    </w:p>
    <w:p w:rsidR="006445E7" w:rsidP="006445E7">
      <w:pPr>
        <w:spacing w:before="240" w:after="160" w:line="259" w:lineRule="auto"/>
        <w:ind w:left="2844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844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C52F70" w:rsidP="00C52F70">
      <w:pPr>
        <w:widowControl w:val="0"/>
        <w:spacing w:after="4"/>
        <w:ind w:left="1135" w:firstLine="141"/>
        <w:contextualSpacing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>V čl. I v bode 9 v § 1</w:t>
      </w:r>
      <w:r w:rsidRPr="00C52F70">
        <w:t>4 ods. 1 písm. m) sa slovo „svojim“ nahrádza slovami „úmyselne a aktívnym“.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</w:p>
    <w:p w:rsidR="00C52F70" w:rsidP="00C52F70">
      <w:pPr>
        <w:widowControl w:val="0"/>
        <w:spacing w:after="4"/>
        <w:ind w:left="3540"/>
        <w:contextualSpacing/>
        <w:jc w:val="both"/>
      </w:pPr>
      <w:r w:rsidRPr="00C52F70">
        <w:t>Navrhuje sa zvýšiť intenzitu konania, ktorá sa požaduje na naplnenie skutkovej podstaty tohto priestupku tak, aby bolo zrejmé, že len konanie, ktorým osoba aktívne a úmyselne narušuje priebeh zhromaždenia, je možné takto trestať a pod skutkovú podstatu nespadajú nedbanlivostné konania a ani konania, ktoré nespočívajú v aktivite vyvíjanej smerom k účastníkom zhromaždenia.</w:t>
      </w:r>
    </w:p>
    <w:p w:rsidR="006445E7" w:rsidP="006445E7">
      <w:pPr>
        <w:spacing w:before="240" w:after="160" w:line="259" w:lineRule="auto"/>
        <w:ind w:left="2844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844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C52F70" w:rsidP="00C52F70">
      <w:pPr>
        <w:widowControl w:val="0"/>
        <w:spacing w:after="4"/>
        <w:ind w:left="1135" w:firstLine="141"/>
        <w:contextualSpacing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>V čl. I sa vypúšťajú body 10 až 12.</w:t>
      </w:r>
    </w:p>
    <w:p w:rsidR="00C52F70" w:rsidRPr="00C52F70" w:rsidP="00C52F70">
      <w:pPr>
        <w:widowControl w:val="0"/>
        <w:spacing w:after="4"/>
        <w:ind w:left="284"/>
        <w:contextualSpacing/>
        <w:jc w:val="both"/>
      </w:pPr>
    </w:p>
    <w:p w:rsidR="00C52F70" w:rsidP="00C52F70">
      <w:pPr>
        <w:spacing w:after="4"/>
        <w:ind w:left="3540"/>
        <w:contextualSpacing/>
        <w:jc w:val="both"/>
      </w:pPr>
      <w:r w:rsidRPr="00C52F70">
        <w:t>Navrhuje sa nezavádzať možnosť uloženia pokuty obci za kvázi nedbanlivosť pri zákaze zhromaždení. Dôvodom je, aby v kombinácii zmien v úprave zhromažďovacieho práva a zavedením sankcií pre obce nebol vytvorený priestor pre príliš opatrné a teda k zhromažďovaciemu právu reštriktívne plnenie úloh obcí. Je dôležité, aby obce zareagovali na zmenu právnej ú</w:t>
      </w:r>
      <w:r w:rsidRPr="00C52F70">
        <w:t>pravy a aplikačná prax vymedzila mantinely novým pravidlám. Ak sa tento proces udeje bez systémových zlyhaní, nemusí byť zavádzanie pokút v konečnom dôsledku nevyhnutným.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C52F70" w:rsidP="00C52F70">
      <w:pPr>
        <w:widowControl w:val="0"/>
        <w:spacing w:after="4"/>
        <w:ind w:left="284"/>
        <w:contextualSpacing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>V čl. II bod 3 znie:</w:t>
      </w:r>
    </w:p>
    <w:p w:rsidR="00C52F70" w:rsidRPr="00C52F70" w:rsidP="00C52F70">
      <w:pPr>
        <w:ind w:left="567"/>
        <w:contextualSpacing/>
        <w:jc w:val="both"/>
      </w:pPr>
      <w:r w:rsidRPr="00C52F70">
        <w:t>„3. V § 47 sa odsek 1 dopĺňa písmenami l) a m), ktoré znejú: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  <w:r w:rsidRPr="00C52F70">
        <w:t>„l) úmyselne a aktívnym konaním zmarí účel verejne prístupného podujatia, naruší jeho priebeh a tento prestane byť riadny a pokojný, alebo k takému konaniu podnecuje,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  <w:r w:rsidRPr="00C52F70">
        <w:t>m) neoprávnene vstúpi do objektu alebo bydliska, ktorému Policajný zbor zaisťuje ochranu podľa osobitného predpisu.</w:t>
      </w:r>
      <w:r w:rsidRPr="00C52F70">
        <w:rPr>
          <w:vertAlign w:val="superscript"/>
        </w:rPr>
        <w:t>3fa</w:t>
      </w:r>
      <w:r w:rsidRPr="00C52F70">
        <w:t>)“.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</w:p>
    <w:p w:rsidR="00C52F70" w:rsidRPr="00C52F70" w:rsidP="00C52F70">
      <w:pPr>
        <w:widowControl w:val="0"/>
        <w:spacing w:after="4"/>
        <w:ind w:left="567"/>
        <w:contextualSpacing/>
        <w:jc w:val="both"/>
      </w:pPr>
      <w:r w:rsidRPr="00C52F70">
        <w:t>Poznámka pod čiarou k odkazu 3fa znie: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  <w:r w:rsidRPr="00C52F70">
        <w:t>„</w:t>
      </w:r>
      <w:r w:rsidRPr="00C52F70">
        <w:rPr>
          <w:vertAlign w:val="superscript"/>
        </w:rPr>
        <w:t>3fa</w:t>
      </w:r>
      <w:r w:rsidRPr="00C52F70">
        <w:t>) § 2 ods. 1 písm. g) zákona Národnej rady Slovenskej republiky č. 171/1993 Z. z. o Policajnom zbore v znení neskorších predpisov.“.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</w:p>
    <w:p w:rsidR="00C52F70" w:rsidRPr="00C52F70" w:rsidP="004D5D97">
      <w:pPr>
        <w:widowControl w:val="0"/>
        <w:spacing w:after="4"/>
        <w:ind w:left="3540"/>
        <w:contextualSpacing/>
        <w:jc w:val="both"/>
      </w:pPr>
      <w:r w:rsidRPr="00C52F70">
        <w:t>Navrhuje sa zvýšiť intenzitu konania ktorá sa požaduje na naplnenie skutkovej podstaty priestupku podľa navrhovaného písmena l).</w:t>
      </w:r>
    </w:p>
    <w:p w:rsidR="00C52F70" w:rsidP="004D5D97">
      <w:pPr>
        <w:widowControl w:val="0"/>
        <w:spacing w:after="4"/>
        <w:ind w:left="3540"/>
        <w:contextualSpacing/>
        <w:jc w:val="both"/>
      </w:pPr>
      <w:r w:rsidRPr="00C52F70">
        <w:t>Navrhuje sa ustanoviť novú skutkovú podstatu priestupku, keďže v doterajšej praxi sa uskutočnilo viacero neoprávnených vniknutí do objektov chránených Policajným zborom, pričom pre chýbajúcu osobitnú skutkovú podstatu priestupku existovala prekážka postihu takéhoto neoprávneného konania.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6445E7" w:rsidRPr="00C52F70" w:rsidP="00C52F70">
      <w:pPr>
        <w:widowControl w:val="0"/>
        <w:spacing w:after="4"/>
        <w:ind w:left="2832"/>
        <w:contextualSpacing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>V čl. II sa za bod 3 vkladá nový bod 4, ktorý znie: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  <w:r w:rsidRPr="00C52F70">
        <w:t>„4. V § 47 ods. 2 sa slová „odseku 1 písm. h) až l)“ nahrádzajú slovami „odseku 1 písm. h) až m)“.“.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</w:p>
    <w:p w:rsidR="00C52F70" w:rsidRPr="00C52F70" w:rsidP="00C52F70">
      <w:pPr>
        <w:widowControl w:val="0"/>
        <w:spacing w:after="4"/>
        <w:ind w:left="567"/>
        <w:contextualSpacing/>
        <w:jc w:val="both"/>
      </w:pPr>
      <w:r w:rsidRPr="00C52F70">
        <w:t>Nasledujúce body sa primerane prečíslujú.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</w:p>
    <w:p w:rsidR="00C52F70" w:rsidRPr="00C52F70" w:rsidP="004D5D97">
      <w:pPr>
        <w:widowControl w:val="0"/>
        <w:spacing w:after="4"/>
        <w:ind w:left="3540"/>
        <w:contextualSpacing/>
        <w:jc w:val="both"/>
      </w:pPr>
      <w:r w:rsidRPr="00C52F70">
        <w:t>Legislatívno-technická úprava vo vzťahu k doplneniu § 47 ods. 1 písmenom m).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>V čl. II bod 5 znie: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  <w:r w:rsidRPr="00C52F70">
        <w:t>„5. V § 52 ods. 2 písm. b) sa na konci pripájajú slová „až m)“.“.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</w:p>
    <w:p w:rsidR="00C52F70" w:rsidP="004D5D97">
      <w:pPr>
        <w:widowControl w:val="0"/>
        <w:spacing w:after="4"/>
        <w:ind w:left="3540"/>
        <w:contextualSpacing/>
        <w:jc w:val="both"/>
      </w:pPr>
      <w:r w:rsidRPr="00C52F70">
        <w:t>Legislatívno-technická úprava vo vzťahu k doplneniu § 47 ods. 1 písmenom m).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6445E7" w:rsidRPr="00C52F70" w:rsidP="00C52F70">
      <w:pPr>
        <w:widowControl w:val="0"/>
        <w:spacing w:after="4"/>
        <w:ind w:left="2832"/>
        <w:contextualSpacing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>V</w:t>
      </w:r>
      <w:r w:rsidRPr="00C52F70">
        <w:rPr>
          <w:color w:val="000000"/>
        </w:rPr>
        <w:t> čl. IV v bode 2 v § 6 ods. 2 sa slová „Národnej rady Slovenskej republiky“ nahrádzajú slovami „národnej rady“.</w:t>
      </w:r>
    </w:p>
    <w:p w:rsidR="00C52F70" w:rsidRPr="00C52F70" w:rsidP="00C52F70">
      <w:pPr>
        <w:widowControl w:val="0"/>
        <w:spacing w:after="4"/>
        <w:ind w:left="284"/>
        <w:contextualSpacing/>
        <w:jc w:val="both"/>
      </w:pPr>
    </w:p>
    <w:p w:rsidR="00C52F70" w:rsidP="004D5D97">
      <w:pPr>
        <w:spacing w:after="4"/>
        <w:ind w:left="3400" w:firstLine="140"/>
        <w:contextualSpacing/>
        <w:jc w:val="both"/>
        <w:rPr>
          <w:kern w:val="1"/>
        </w:rPr>
      </w:pPr>
      <w:r w:rsidRPr="00C52F70">
        <w:rPr>
          <w:kern w:val="1"/>
        </w:rPr>
        <w:t>Legislatívno-technická úprava.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C52F70" w:rsidP="00C52F70">
      <w:pPr>
        <w:widowControl w:val="0"/>
        <w:spacing w:after="4"/>
        <w:ind w:left="284"/>
        <w:contextualSpacing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 xml:space="preserve">V čl. IV v bode 5 v § 24a ods. 1 písm. b) sa slová „dve úplné, neskrátené volebné obdobia Národnej rady Slovenskej republiky“ nahrádzajú slovami „po dobu dvakrát dlhšiu, ako  je funkčné obdobie prezidenta“. </w:t>
      </w:r>
    </w:p>
    <w:p w:rsidR="00C52F70" w:rsidRPr="00C52F70" w:rsidP="00C52F70">
      <w:pPr>
        <w:spacing w:after="4"/>
        <w:rPr>
          <w:color w:val="000000"/>
        </w:rPr>
      </w:pPr>
    </w:p>
    <w:p w:rsidR="00C52F70" w:rsidRPr="00C52F70" w:rsidP="004D5D97">
      <w:pPr>
        <w:spacing w:after="4"/>
        <w:ind w:left="3540"/>
        <w:contextualSpacing/>
        <w:jc w:val="both"/>
        <w:rPr>
          <w:color w:val="000000"/>
          <w:kern w:val="1"/>
        </w:rPr>
      </w:pPr>
      <w:r w:rsidRPr="00C52F70">
        <w:rPr>
          <w:color w:val="000000"/>
          <w:kern w:val="1"/>
        </w:rPr>
        <w:t xml:space="preserve">Podmienka vzniku práva na tzv. doživotnú rentu sa navrhuje naviazať na trvanie funkčného obdobia prezidenta, čím sa vyjadrí aj cieľ, ktorý bol implicitne obsiahnutý vo vládnom návrhu – aby po jednom funkčnom období vzniklo právo na tzv. doživotnú rentu prezidentovi a po dvoch „funkčných obdobiach“ predsedovi vlády a predsedovi parlamentu. </w:t>
      </w:r>
    </w:p>
    <w:p w:rsidR="00C52F70" w:rsidP="00C52F70">
      <w:pPr>
        <w:spacing w:after="4"/>
        <w:rPr>
          <w:color w:val="000000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6445E7" w:rsidRPr="00C52F70" w:rsidP="00C52F70">
      <w:pPr>
        <w:spacing w:after="4"/>
        <w:rPr>
          <w:color w:val="000000"/>
        </w:rPr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rPr>
          <w:color w:val="000000"/>
        </w:rPr>
        <w:t>V čl. IV v bode 7 v poznámke pod čiarou k odkazu 9a sa slová „§ 2 písm. f)“ nahrádzajú slovami „§ 2 ods. 1 písm. f)“.</w:t>
      </w:r>
    </w:p>
    <w:p w:rsidR="00C52F70" w:rsidRPr="00C52F70" w:rsidP="00C52F70">
      <w:pPr>
        <w:spacing w:after="4"/>
      </w:pPr>
    </w:p>
    <w:p w:rsidR="00C52F70" w:rsidP="004D5D97">
      <w:pPr>
        <w:spacing w:after="4"/>
        <w:ind w:left="3400" w:firstLine="140"/>
        <w:contextualSpacing/>
        <w:jc w:val="both"/>
        <w:rPr>
          <w:kern w:val="1"/>
        </w:rPr>
      </w:pPr>
      <w:r w:rsidRPr="00C52F70">
        <w:rPr>
          <w:kern w:val="1"/>
        </w:rPr>
        <w:t>Legislatívno-technická úprava.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C52F70" w:rsidP="00C52F70">
      <w:pPr>
        <w:spacing w:after="4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>V čl. IV v bode 8 v § 29r ods. 1 sa slová „odo dňa účinnosti tohto zákona“ nahrádzajú slovami „od 15. júla 2024“ a v odseku 2 sa slová „do dňa účinnosti tohto zákona“ nahrádzajú slovami „do 14. júla 2024“.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</w:p>
    <w:p w:rsidR="00C52F70" w:rsidP="004D5D97">
      <w:pPr>
        <w:widowControl w:val="0"/>
        <w:spacing w:after="4"/>
        <w:ind w:left="3259" w:firstLine="281"/>
        <w:contextualSpacing/>
        <w:jc w:val="both"/>
        <w:rPr>
          <w:kern w:val="1"/>
        </w:rPr>
      </w:pPr>
      <w:r w:rsidRPr="00C52F70">
        <w:rPr>
          <w:kern w:val="1"/>
        </w:rPr>
        <w:t>Legislatívno-technická úprava nadväzujúca na zmenu účinnosti.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rPr>
          <w:color w:val="000000"/>
        </w:rPr>
        <w:t>V</w:t>
      </w:r>
      <w:r w:rsidRPr="00C52F70">
        <w:t> čl. V sa vypúšťa bod 4.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  <w:rPr>
          <w:color w:val="000000"/>
        </w:rPr>
      </w:pPr>
    </w:p>
    <w:p w:rsidR="00C52F70" w:rsidRPr="00C52F70" w:rsidP="00C52F70">
      <w:pPr>
        <w:widowControl w:val="0"/>
        <w:spacing w:after="4"/>
        <w:ind w:left="567"/>
        <w:contextualSpacing/>
        <w:jc w:val="both"/>
      </w:pPr>
      <w:r w:rsidRPr="00C52F70">
        <w:rPr>
          <w:color w:val="000000"/>
        </w:rPr>
        <w:t>Nasledujúce body sa primerane prečíslujú.</w:t>
      </w:r>
    </w:p>
    <w:p w:rsidR="00C52F70" w:rsidRPr="00C52F70" w:rsidP="00C52F70">
      <w:pPr>
        <w:widowControl w:val="0"/>
        <w:spacing w:after="4"/>
        <w:jc w:val="both"/>
      </w:pPr>
    </w:p>
    <w:p w:rsidR="00C52F70" w:rsidP="004D5D97">
      <w:pPr>
        <w:spacing w:after="4"/>
        <w:ind w:left="3540"/>
        <w:contextualSpacing/>
        <w:jc w:val="both"/>
        <w:rPr>
          <w:kern w:val="1"/>
        </w:rPr>
      </w:pPr>
      <w:r w:rsidRPr="00C52F70">
        <w:rPr>
          <w:kern w:val="1"/>
        </w:rPr>
        <w:t xml:space="preserve">Navrhuje sa vypustiť nové oprávnenie policajta pri identifikácii osoby podozrivej zo spáchania priestupku prostredníctvom elektronickej komunikačnej služby. Dôvodom je vytvorenie priestoru na komplexnú zmenu v otázkach poskytovania údajov týkajúcich sa zdroja elektronickej komunikácie a komunikujúcej osoby pri činnostiach porušujúcich zákon. 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C52F70" w:rsidP="00C52F70">
      <w:pPr>
        <w:widowControl w:val="0"/>
        <w:spacing w:after="4"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 xml:space="preserve">V čl. V v bode 5 v § 72a ods. 2 písm. b) sa slová „dve úplné, neskrátené volebné obdobia Národnej rady Slovenskej republiky“ nahrádzajú slovami „po dobu dvakrát dlhšiu, ako je funkčné obdobie prezidenta Slovenskej republiky“. </w:t>
      </w:r>
    </w:p>
    <w:p w:rsidR="00C52F70" w:rsidRPr="00C52F70" w:rsidP="00C52F70">
      <w:pPr>
        <w:spacing w:after="4"/>
        <w:rPr>
          <w:color w:val="000000"/>
        </w:rPr>
      </w:pPr>
    </w:p>
    <w:p w:rsidR="00C52F70" w:rsidP="004D5D97">
      <w:pPr>
        <w:spacing w:after="4"/>
        <w:ind w:left="3540"/>
        <w:contextualSpacing/>
        <w:jc w:val="both"/>
      </w:pPr>
      <w:r w:rsidRPr="00C52F70">
        <w:t>Podmienka vzniku práva na doživotnú ochranu sa navrhuje upraviť vo väzbe na úpravu podmienky na vznik práva na tzv. doživotnú rentu.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6445E7" w:rsidRPr="00C52F70" w:rsidP="00C52F70">
      <w:pPr>
        <w:spacing w:after="4"/>
        <w:ind w:left="2832"/>
        <w:contextualSpacing/>
        <w:jc w:val="both"/>
      </w:pPr>
    </w:p>
    <w:p w:rsidR="00C52F70" w:rsidRPr="00C52F70" w:rsidP="00C52F70">
      <w:pPr>
        <w:widowControl w:val="0"/>
        <w:spacing w:after="4"/>
        <w:ind w:left="284"/>
        <w:contextualSpacing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>V čl. V v bode 5 v § 72a ods. 4 písm. e) sa slová „generálneho prokurátora“ nahrádzajú slovami „generálnemu prokurátorovi“.</w:t>
      </w:r>
    </w:p>
    <w:p w:rsidR="00C52F70" w:rsidRPr="00C52F70" w:rsidP="00C52F70">
      <w:pPr>
        <w:spacing w:after="4"/>
      </w:pPr>
    </w:p>
    <w:p w:rsidR="00C52F70" w:rsidP="004D5D97">
      <w:pPr>
        <w:spacing w:after="4"/>
        <w:ind w:left="2832" w:firstLine="708"/>
        <w:contextualSpacing/>
        <w:jc w:val="both"/>
        <w:rPr>
          <w:kern w:val="1"/>
        </w:rPr>
      </w:pPr>
      <w:r w:rsidRPr="00C52F70">
        <w:rPr>
          <w:kern w:val="1"/>
        </w:rPr>
        <w:t>Legislatívno-technická úprava.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C52F70" w:rsidP="00C52F70">
      <w:pPr>
        <w:spacing w:after="4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</w:pPr>
      <w:r w:rsidRPr="00C52F70">
        <w:t>V čl. V v bode 6 v § 72b ods. 2 sa za slovo „minister“ vkladá slovo „vnútra“.</w:t>
      </w:r>
    </w:p>
    <w:p w:rsidR="00C52F70" w:rsidRPr="00C52F70" w:rsidP="00C52F70">
      <w:pPr>
        <w:widowControl w:val="0"/>
        <w:spacing w:after="4"/>
        <w:jc w:val="both"/>
      </w:pPr>
    </w:p>
    <w:p w:rsidR="00C52F70" w:rsidP="004D5D97">
      <w:pPr>
        <w:spacing w:after="4"/>
        <w:ind w:left="2832" w:firstLine="708"/>
        <w:contextualSpacing/>
        <w:jc w:val="both"/>
        <w:rPr>
          <w:kern w:val="1"/>
        </w:rPr>
      </w:pPr>
      <w:r w:rsidRPr="00C52F70">
        <w:rPr>
          <w:kern w:val="1"/>
        </w:rPr>
        <w:t>Legislatívno-technická úprava.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6445E7" w:rsidRPr="00C52F70" w:rsidP="00C52F70">
      <w:pPr>
        <w:spacing w:after="4"/>
        <w:ind w:left="2124" w:firstLine="708"/>
        <w:contextualSpacing/>
        <w:jc w:val="both"/>
        <w:rPr>
          <w:color w:val="000000"/>
          <w:kern w:val="1"/>
        </w:rPr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  <w:rPr>
          <w:kern w:val="1"/>
        </w:rPr>
      </w:pPr>
      <w:r w:rsidRPr="00C52F70">
        <w:rPr>
          <w:kern w:val="1"/>
        </w:rPr>
        <w:t>V čl. V v bode 7 v nadpise pod § 82ac sa slová „dňom vyhlásenia“ nahrádzajú slovami „od 15. júla 2024“ a v § 82ac sa slová „do dňa účinnosti tohto zákona“ nahrádzajú slovami „do 14. júla 2024“.</w:t>
      </w:r>
    </w:p>
    <w:p w:rsidR="00C52F70" w:rsidP="004D5D97">
      <w:pPr>
        <w:widowControl w:val="0"/>
        <w:spacing w:after="4"/>
        <w:ind w:left="3259" w:firstLine="281"/>
        <w:contextualSpacing/>
        <w:jc w:val="both"/>
        <w:rPr>
          <w:kern w:val="1"/>
        </w:rPr>
      </w:pPr>
      <w:r w:rsidRPr="00C52F70">
        <w:rPr>
          <w:kern w:val="1"/>
        </w:rPr>
        <w:t>Legislatívno-technická úprava nadväzujúca na zmenu účinnosti.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C52F70" w:rsidP="00C52F70">
      <w:pPr>
        <w:widowControl w:val="0"/>
        <w:spacing w:after="4"/>
        <w:ind w:left="1135" w:firstLine="141"/>
        <w:contextualSpacing/>
        <w:jc w:val="both"/>
        <w:rPr>
          <w:kern w:val="1"/>
        </w:rPr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  <w:rPr>
          <w:kern w:val="1"/>
        </w:rPr>
      </w:pPr>
      <w:r w:rsidRPr="00C52F70">
        <w:rPr>
          <w:kern w:val="1"/>
        </w:rPr>
        <w:t>Článok VII sa vypúšťa.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  <w:rPr>
          <w:kern w:val="1"/>
        </w:rPr>
      </w:pPr>
    </w:p>
    <w:p w:rsidR="00C52F70" w:rsidRPr="00C52F70" w:rsidP="00C52F70">
      <w:pPr>
        <w:suppressAutoHyphens/>
        <w:spacing w:after="4"/>
        <w:ind w:firstLine="567"/>
        <w:jc w:val="both"/>
        <w:rPr>
          <w:kern w:val="1"/>
        </w:rPr>
      </w:pPr>
      <w:r w:rsidRPr="00C52F70">
        <w:rPr>
          <w:kern w:val="1"/>
        </w:rPr>
        <w:t xml:space="preserve">Nasledujúce články sa primerane prečíslujú. </w:t>
      </w:r>
    </w:p>
    <w:p w:rsidR="00C52F70" w:rsidRPr="00C52F70" w:rsidP="00C52F70">
      <w:pPr>
        <w:suppressAutoHyphens/>
        <w:spacing w:after="4"/>
        <w:jc w:val="both"/>
        <w:rPr>
          <w:kern w:val="1"/>
        </w:rPr>
      </w:pPr>
    </w:p>
    <w:p w:rsidR="00C52F70" w:rsidP="004D5D97">
      <w:pPr>
        <w:spacing w:after="4"/>
        <w:ind w:left="3540"/>
        <w:contextualSpacing/>
        <w:jc w:val="both"/>
        <w:rPr>
          <w:kern w:val="1"/>
        </w:rPr>
      </w:pPr>
      <w:r w:rsidRPr="00C52F70">
        <w:rPr>
          <w:kern w:val="1"/>
        </w:rPr>
        <w:t>Dôvodom návrhu na vypustenie novely Trestného zákona je snaha vytvoriť priestor na zlepšenie vymáhateľnosti pokút najmä zmenou pravidiel správnej exekúcie, prípadne inou efektívnou formou výkonu rozhodnutí o uložení pokuty. Vzhľadom na potenciálny rozsah osôb, ktorých by sa postih v navrhovanom znení týkal, sa využitie iných nástrojov na zabezpečenie výkonu právoplatných rozhodnutí javí ako efektívnejšie.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C52F70" w:rsidP="00C52F70">
      <w:pPr>
        <w:suppressAutoHyphens/>
        <w:spacing w:after="4"/>
        <w:jc w:val="both"/>
        <w:rPr>
          <w:kern w:val="1"/>
        </w:rPr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  <w:rPr>
          <w:kern w:val="1"/>
        </w:rPr>
      </w:pPr>
      <w:r w:rsidRPr="00C52F70">
        <w:rPr>
          <w:kern w:val="1"/>
        </w:rPr>
        <w:t>Článok VIII sa vypúšťa.</w:t>
      </w:r>
    </w:p>
    <w:p w:rsidR="00C52F70" w:rsidRPr="00C52F70" w:rsidP="00C52F70">
      <w:pPr>
        <w:suppressAutoHyphens/>
        <w:spacing w:after="4"/>
        <w:jc w:val="both"/>
        <w:rPr>
          <w:kern w:val="1"/>
        </w:rPr>
      </w:pPr>
    </w:p>
    <w:p w:rsidR="00C52F70" w:rsidRPr="00C52F70" w:rsidP="00C52F70">
      <w:pPr>
        <w:suppressAutoHyphens/>
        <w:spacing w:after="4"/>
        <w:ind w:firstLine="567"/>
        <w:jc w:val="both"/>
        <w:rPr>
          <w:kern w:val="1"/>
        </w:rPr>
      </w:pPr>
      <w:r w:rsidRPr="00C52F70">
        <w:rPr>
          <w:kern w:val="1"/>
        </w:rPr>
        <w:t xml:space="preserve">Nasledujúce články sa primerane prečíslujú. </w:t>
      </w:r>
    </w:p>
    <w:p w:rsidR="00C52F70" w:rsidRPr="00C52F70" w:rsidP="00C52F70">
      <w:pPr>
        <w:suppressAutoHyphens/>
        <w:spacing w:after="4"/>
        <w:jc w:val="both"/>
        <w:rPr>
          <w:kern w:val="1"/>
        </w:rPr>
      </w:pPr>
    </w:p>
    <w:p w:rsidR="00C52F70" w:rsidP="004D5D97">
      <w:pPr>
        <w:suppressAutoHyphens/>
        <w:spacing w:after="4"/>
        <w:ind w:left="3540"/>
        <w:jc w:val="both"/>
        <w:rPr>
          <w:kern w:val="1"/>
        </w:rPr>
      </w:pPr>
      <w:r w:rsidRPr="00C52F70">
        <w:rPr>
          <w:kern w:val="1"/>
        </w:rPr>
        <w:t>Legislatívno-technická úprava nadväzujúca na zrušenie nového oprávnenia policajta pri identifikácii osoby podozrivej zo spáchania priestupku prostredníctvom elektronickej komunikačnej služby.</w:t>
      </w:r>
    </w:p>
    <w:p w:rsidR="006445E7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6445E7" w:rsidRPr="00C52F70" w:rsidP="006445E7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>
        <w:rPr>
          <w:rFonts w:eastAsia="Calibri"/>
          <w:lang w:eastAsia="en-US"/>
        </w:rPr>
        <w:t>nej rady pre obranu a bezpečnosť</w:t>
      </w:r>
    </w:p>
    <w:p w:rsidR="006445E7" w:rsidRPr="00C52F70" w:rsidP="006445E7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C52F70" w:rsidP="00C52F70">
      <w:pPr>
        <w:widowControl w:val="0"/>
        <w:spacing w:after="4"/>
        <w:ind w:left="4245"/>
        <w:contextualSpacing/>
        <w:jc w:val="both"/>
      </w:pPr>
    </w:p>
    <w:p w:rsidR="00C52F70" w:rsidRPr="00C52F70" w:rsidP="00B25ED0">
      <w:pPr>
        <w:widowControl w:val="0"/>
        <w:numPr>
          <w:ilvl w:val="0"/>
          <w:numId w:val="3"/>
        </w:numPr>
        <w:spacing w:after="4"/>
        <w:ind w:left="567" w:hanging="567"/>
        <w:contextualSpacing/>
        <w:jc w:val="both"/>
        <w:rPr>
          <w:kern w:val="1"/>
        </w:rPr>
      </w:pPr>
      <w:r w:rsidRPr="00C52F70">
        <w:rPr>
          <w:kern w:val="1"/>
        </w:rPr>
        <w:t>V čl. IX sa slová „dňom vyhlásenia“ nahrádzajú slovami „15. júla 2024“.</w:t>
      </w:r>
    </w:p>
    <w:p w:rsidR="00C52F70" w:rsidRPr="00C52F70" w:rsidP="00C52F70">
      <w:pPr>
        <w:widowControl w:val="0"/>
        <w:spacing w:after="4"/>
        <w:ind w:left="567"/>
        <w:contextualSpacing/>
        <w:jc w:val="both"/>
        <w:rPr>
          <w:kern w:val="1"/>
        </w:rPr>
      </w:pPr>
    </w:p>
    <w:p w:rsidR="00C52F70" w:rsidRPr="00C52F70" w:rsidP="004D5D97">
      <w:pPr>
        <w:widowControl w:val="0"/>
        <w:spacing w:after="4"/>
        <w:ind w:left="2832" w:firstLine="708"/>
        <w:contextualSpacing/>
        <w:jc w:val="both"/>
        <w:rPr>
          <w:kern w:val="1"/>
        </w:rPr>
      </w:pPr>
      <w:r w:rsidRPr="00C52F70">
        <w:rPr>
          <w:kern w:val="1"/>
        </w:rPr>
        <w:t xml:space="preserve">Z dôvodu zabezpečenia minimálnej legisvakancie sa navrhuje ustanoviť účinnosť konkrétnym dátumom. </w:t>
      </w:r>
    </w:p>
    <w:p w:rsidR="005536EE" w:rsidP="00EC5F92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</w:p>
    <w:p w:rsidR="00EC5F92" w:rsidRPr="00C52F70" w:rsidP="00EC5F92">
      <w:pPr>
        <w:spacing w:before="240" w:after="160" w:line="259" w:lineRule="auto"/>
        <w:ind w:left="2136" w:firstLine="696"/>
        <w:contextualSpacing/>
        <w:jc w:val="both"/>
        <w:rPr>
          <w:rFonts w:eastAsia="Calibri"/>
          <w:lang w:eastAsia="en-US"/>
        </w:rPr>
      </w:pPr>
      <w:r w:rsidRPr="00C52F70">
        <w:rPr>
          <w:rFonts w:eastAsia="Calibri"/>
          <w:lang w:eastAsia="en-US"/>
        </w:rPr>
        <w:t>Výbor Národ</w:t>
      </w:r>
      <w:r w:rsidR="006445E7">
        <w:rPr>
          <w:rFonts w:eastAsia="Calibri"/>
          <w:lang w:eastAsia="en-US"/>
        </w:rPr>
        <w:t>nej rady pre obranu a bezpečnosť</w:t>
      </w:r>
    </w:p>
    <w:p w:rsidR="00EC5F92" w:rsidRPr="00C52F70" w:rsidP="00EC5F92">
      <w:pPr>
        <w:spacing w:before="240" w:after="160" w:line="259" w:lineRule="auto"/>
        <w:ind w:left="720"/>
        <w:contextualSpacing/>
        <w:jc w:val="both"/>
        <w:rPr>
          <w:rFonts w:eastAsia="Calibri"/>
          <w:b/>
          <w:lang w:eastAsia="en-US"/>
        </w:rPr>
      </w:pPr>
      <w:r w:rsidRPr="00C52F70">
        <w:rPr>
          <w:rFonts w:eastAsia="Calibri"/>
          <w:lang w:eastAsia="en-US"/>
        </w:rPr>
        <w:tab/>
        <w:tab/>
        <w:tab/>
        <w:tab/>
        <w:tab/>
      </w:r>
      <w:r w:rsidRPr="00C52F70">
        <w:rPr>
          <w:rFonts w:eastAsia="Calibri"/>
          <w:b/>
          <w:lang w:eastAsia="en-US"/>
        </w:rPr>
        <w:t>Gestorský výbor odporúča schváliť.</w:t>
      </w:r>
    </w:p>
    <w:p w:rsidR="00C52F70" w:rsidRPr="00D45722" w:rsidP="00C52F70">
      <w:pPr>
        <w:pStyle w:val="BodyText2"/>
        <w:ind w:firstLine="708"/>
      </w:pPr>
      <w:r w:rsidRPr="00D45722">
        <w:t>Ges</w:t>
      </w:r>
      <w:r>
        <w:t>torský výbor odporúča o návrhu</w:t>
      </w:r>
      <w:r w:rsidRPr="00D45722">
        <w:t xml:space="preserve"> výboru Národnej rady Slovenskej republiky, ktor</w:t>
      </w:r>
      <w:r>
        <w:t>ý</w:t>
      </w:r>
      <w:r w:rsidRPr="00D45722">
        <w:t xml:space="preserve"> </w:t>
      </w:r>
      <w:r>
        <w:t>je  uvedený</w:t>
      </w:r>
      <w:r w:rsidRPr="00D45722">
        <w:t xml:space="preserve"> v spoločnej správe hlasovať takto :</w:t>
      </w:r>
    </w:p>
    <w:p w:rsidR="00C52F70" w:rsidRPr="006D412C" w:rsidP="00C52F70">
      <w:pPr>
        <w:pStyle w:val="BodyText2"/>
        <w:rPr>
          <w:color w:val="FF0000"/>
        </w:rPr>
      </w:pPr>
    </w:p>
    <w:p w:rsidR="00C52F70" w:rsidRPr="00E0355F" w:rsidP="00C52F70">
      <w:pPr>
        <w:pStyle w:val="BodyText2"/>
        <w:ind w:firstLine="708"/>
        <w:rPr>
          <w:b/>
        </w:rPr>
      </w:pPr>
      <w:r>
        <w:t>O bodoch zo</w:t>
      </w:r>
      <w:r w:rsidRPr="00E0355F">
        <w:t xml:space="preserve"> spoločnej </w:t>
      </w:r>
      <w:r w:rsidRPr="00C52F70">
        <w:t xml:space="preserve">správy č. </w:t>
      </w:r>
      <w:r w:rsidRPr="00C52F70">
        <w:rPr>
          <w:b/>
        </w:rPr>
        <w:t xml:space="preserve">1 až 21  </w:t>
      </w:r>
      <w:r w:rsidRPr="00C52F70">
        <w:t>hlasovať spoločne</w:t>
      </w:r>
      <w:r w:rsidRPr="00E0355F">
        <w:t xml:space="preserve"> s návrhom gestorského výboru </w:t>
      </w:r>
      <w:r w:rsidRPr="00E0355F">
        <w:rPr>
          <w:b/>
        </w:rPr>
        <w:t>schváliť.</w:t>
      </w:r>
    </w:p>
    <w:p w:rsidR="00C52F70" w:rsidRPr="00603D5F" w:rsidP="00C52F70">
      <w:pPr>
        <w:jc w:val="center"/>
        <w:rPr>
          <w:b/>
        </w:rPr>
      </w:pPr>
      <w:r w:rsidRPr="00603D5F">
        <w:rPr>
          <w:b/>
        </w:rPr>
        <w:t>V.</w:t>
      </w:r>
    </w:p>
    <w:p w:rsidR="00C52F70" w:rsidRPr="00603D5F" w:rsidP="00C52F70"/>
    <w:p w:rsidR="00C52F70" w:rsidRPr="00603D5F" w:rsidP="00C52F70">
      <w:pPr>
        <w:jc w:val="both"/>
        <w:rPr>
          <w:b/>
        </w:rPr>
      </w:pPr>
      <w:r w:rsidRPr="00603D5F">
        <w:t xml:space="preserve">Gestorský výbor na základe stanovísk výborov k </w:t>
      </w:r>
      <w:r>
        <w:t>v</w:t>
      </w:r>
      <w:r w:rsidRPr="00A06FDB">
        <w:t>ládn</w:t>
      </w:r>
      <w:r>
        <w:t>emu</w:t>
      </w:r>
      <w:r w:rsidRPr="00A06FDB">
        <w:t xml:space="preserve"> návrh</w:t>
      </w:r>
      <w:r>
        <w:t>u</w:t>
      </w:r>
      <w:r w:rsidRPr="00A06FDB">
        <w:t xml:space="preserve"> zákona o niektorých opatreniach na zlepšenie bezpečnostnej situácie v Slovenskej republike </w:t>
      </w:r>
      <w:r w:rsidRPr="00A06FDB">
        <w:rPr>
          <w:b/>
        </w:rPr>
        <w:t>(tlač 364)</w:t>
      </w:r>
      <w:r>
        <w:rPr>
          <w:b/>
        </w:rPr>
        <w:t xml:space="preserve"> </w:t>
      </w:r>
      <w:r w:rsidRPr="00603D5F">
        <w:t xml:space="preserve">odporúča Národnej rade Slovenskej republiky predmetný vládny návrh zákona </w:t>
      </w:r>
      <w:r w:rsidRPr="00481A29">
        <w:rPr>
          <w:b/>
        </w:rPr>
        <w:t>schváliť s pozmeňujúcimi a doplňujúcimi návrhmi.</w:t>
      </w:r>
      <w:r w:rsidRPr="00603D5F">
        <w:rPr>
          <w:b/>
        </w:rPr>
        <w:t xml:space="preserve"> </w:t>
      </w:r>
    </w:p>
    <w:p w:rsidR="00C52F70" w:rsidRPr="00603D5F" w:rsidP="00C52F70"/>
    <w:p w:rsidR="00C52F70" w:rsidRPr="00A46744" w:rsidP="00C52F70">
      <w:pPr>
        <w:keepNext/>
        <w:shd w:val="clear" w:color="auto" w:fill="FFFFFF"/>
        <w:ind w:firstLine="708"/>
        <w:jc w:val="both"/>
        <w:outlineLvl w:val="1"/>
      </w:pPr>
      <w:r w:rsidRPr="000A36C1">
        <w:rPr>
          <w:bCs/>
        </w:rPr>
        <w:t>Spoločná správa</w:t>
      </w:r>
      <w:r w:rsidRPr="000A36C1">
        <w:t xml:space="preserve"> výborov Národnej rady Slovenskej republiky o prerokovaní </w:t>
      </w:r>
      <w:r w:rsidRPr="00362A97">
        <w:t>vládn</w:t>
      </w:r>
      <w:r>
        <w:t>eho</w:t>
      </w:r>
      <w:r w:rsidRPr="00362A97">
        <w:t xml:space="preserve"> návrh</w:t>
      </w:r>
      <w:r>
        <w:t>u</w:t>
      </w:r>
      <w:r w:rsidRPr="00362A97">
        <w:t xml:space="preserve"> zákona o niektorých opatreniach na zlepšenie bezpečnostnej situácie v Slovenskej republike </w:t>
      </w:r>
      <w:r w:rsidRPr="00362A97">
        <w:rPr>
          <w:b/>
        </w:rPr>
        <w:t>(tlač 364</w:t>
      </w:r>
      <w:r>
        <w:rPr>
          <w:b/>
        </w:rPr>
        <w:t>a</w:t>
      </w:r>
      <w:r w:rsidRPr="00362A97">
        <w:rPr>
          <w:b/>
        </w:rPr>
        <w:t xml:space="preserve">) </w:t>
      </w:r>
      <w:r w:rsidRPr="008A77EA">
        <w:rPr>
          <w:bCs/>
        </w:rPr>
        <w:t>bola schvál</w:t>
      </w:r>
      <w:r w:rsidRPr="00A46744">
        <w:rPr>
          <w:bCs/>
        </w:rPr>
        <w:t xml:space="preserve">ená uznesením gestorského </w:t>
      </w:r>
      <w:r w:rsidRPr="00024D3D">
        <w:rPr>
          <w:bCs/>
        </w:rPr>
        <w:t>výboru</w:t>
      </w:r>
      <w:r w:rsidRPr="00024D3D">
        <w:rPr>
          <w:b/>
          <w:bCs/>
        </w:rPr>
        <w:t xml:space="preserve"> č. </w:t>
      </w:r>
      <w:r>
        <w:rPr>
          <w:b/>
          <w:bCs/>
        </w:rPr>
        <w:t>40</w:t>
      </w:r>
      <w:r w:rsidRPr="00024D3D">
        <w:rPr>
          <w:b/>
          <w:bCs/>
          <w:color w:val="FF0000"/>
        </w:rPr>
        <w:t xml:space="preserve"> </w:t>
      </w:r>
      <w:r w:rsidRPr="00024D3D">
        <w:rPr>
          <w:b/>
          <w:bCs/>
        </w:rPr>
        <w:t xml:space="preserve">z </w:t>
      </w:r>
      <w:r>
        <w:rPr>
          <w:b/>
          <w:bCs/>
        </w:rPr>
        <w:t>20</w:t>
      </w:r>
      <w:r w:rsidRPr="00024D3D">
        <w:rPr>
          <w:b/>
          <w:bCs/>
        </w:rPr>
        <w:t xml:space="preserve">. </w:t>
      </w:r>
      <w:r>
        <w:rPr>
          <w:b/>
          <w:bCs/>
        </w:rPr>
        <w:t>júna</w:t>
      </w:r>
      <w:r w:rsidRPr="00024D3D">
        <w:rPr>
          <w:b/>
          <w:bCs/>
        </w:rPr>
        <w:t xml:space="preserve"> 2024</w:t>
      </w:r>
      <w:r w:rsidRPr="00024D3D">
        <w:rPr>
          <w:bCs/>
        </w:rPr>
        <w:t>.</w:t>
      </w:r>
      <w:r w:rsidRPr="00A46744">
        <w:rPr>
          <w:bCs/>
        </w:rPr>
        <w:t xml:space="preserve"> </w:t>
      </w:r>
    </w:p>
    <w:p w:rsidR="00C52F70" w:rsidP="00C52F70">
      <w:pPr>
        <w:ind w:firstLine="708"/>
        <w:jc w:val="both"/>
        <w:rPr>
          <w:bCs/>
        </w:rPr>
      </w:pPr>
    </w:p>
    <w:p w:rsidR="00C52F70" w:rsidRPr="00362A97" w:rsidP="00C52F70">
      <w:pPr>
        <w:ind w:firstLine="708"/>
        <w:jc w:val="both"/>
        <w:rPr>
          <w:bCs/>
        </w:rPr>
      </w:pPr>
      <w:r>
        <w:rPr>
          <w:bCs/>
        </w:rPr>
        <w:t>T</w:t>
      </w:r>
      <w:r w:rsidRPr="00A46744">
        <w:rPr>
          <w:bCs/>
        </w:rPr>
        <w:t xml:space="preserve">ýmto uznesením </w:t>
      </w:r>
      <w:r>
        <w:rPr>
          <w:bCs/>
        </w:rPr>
        <w:t>výbor zároveň poveril spoločného spravodajcu</w:t>
      </w:r>
      <w:r w:rsidRPr="00A46744">
        <w:rPr>
          <w:bCs/>
        </w:rPr>
        <w:t xml:space="preserve"> </w:t>
      </w:r>
      <w:r>
        <w:rPr>
          <w:b/>
          <w:bCs/>
        </w:rPr>
        <w:t>Tibora Gašpara</w:t>
      </w:r>
      <w:r w:rsidRPr="00A46744">
        <w:rPr>
          <w:b/>
          <w:bCs/>
        </w:rPr>
        <w:t>,</w:t>
      </w:r>
      <w:r w:rsidRPr="00A46744">
        <w:rPr>
          <w:bCs/>
        </w:rPr>
        <w:t xml:space="preserve"> aby na schôdzi Národnej rady Slovenskej republiky pri rokovaní o predmetnom </w:t>
      </w:r>
      <w:r>
        <w:rPr>
          <w:bCs/>
        </w:rPr>
        <w:t xml:space="preserve">vládnom </w:t>
      </w:r>
      <w:r w:rsidRPr="00A46744">
        <w:rPr>
          <w:bCs/>
        </w:rPr>
        <w:t>návrhu zákona predkladal</w:t>
      </w:r>
      <w:r>
        <w:rPr>
          <w:bCs/>
        </w:rPr>
        <w:t xml:space="preserve"> </w:t>
      </w:r>
      <w:r w:rsidRPr="00A46744">
        <w:rPr>
          <w:bCs/>
        </w:rPr>
        <w:t>návrhy v zmysle príslušných ustanovení zákona č. 350/1996 Z. z. o rokovacom poriadku Národnej rady Slovenskej republiky v znení neskorších predpisov.</w:t>
      </w:r>
      <w:r>
        <w:rPr>
          <w:bCs/>
        </w:rPr>
        <w:t xml:space="preserve"> Zároveň určila</w:t>
      </w:r>
      <w:r w:rsidRPr="00362A97">
        <w:rPr>
          <w:bCs/>
        </w:rPr>
        <w:t xml:space="preserve"> poslancov </w:t>
      </w:r>
      <w:r w:rsidRPr="00362A97">
        <w:rPr>
          <w:b/>
          <w:bCs/>
        </w:rPr>
        <w:t>Samuela Migaľa, Mariána Saloňa, Petra Šucu, Ivana Ševčíka, Michala Barteka a Dávida Demečka</w:t>
      </w:r>
      <w:r w:rsidRPr="00362A97">
        <w:rPr>
          <w:bCs/>
        </w:rPr>
        <w:t xml:space="preserve">, </w:t>
      </w:r>
      <w:r w:rsidRPr="00362A97">
        <w:rPr>
          <w:bCs/>
          <w:iCs/>
        </w:rPr>
        <w:t>aby tiež pri  rokovaní Národnej rady Slovenskej republiky o tomto návrhu plnili úlohy spravodajcov.</w:t>
      </w:r>
      <w:r w:rsidRPr="00362A97">
        <w:rPr>
          <w:bCs/>
        </w:rPr>
        <w:t xml:space="preserve"> </w:t>
      </w:r>
    </w:p>
    <w:p w:rsidR="00C52F70" w:rsidP="00C52F70">
      <w:pPr>
        <w:ind w:firstLine="708"/>
        <w:jc w:val="both"/>
      </w:pPr>
      <w:r w:rsidRPr="00A46744">
        <w:tab/>
        <w:tab/>
        <w:tab/>
        <w:tab/>
        <w:tab/>
      </w:r>
    </w:p>
    <w:p w:rsidR="00C52F70" w:rsidP="00C52F70">
      <w:pPr>
        <w:ind w:firstLine="708"/>
        <w:jc w:val="both"/>
      </w:pPr>
    </w:p>
    <w:p w:rsidR="00C52F70" w:rsidP="00C52F70">
      <w:pPr>
        <w:pStyle w:val="BodyText2"/>
        <w:jc w:val="center"/>
      </w:pPr>
      <w:r>
        <w:t>Bratislava 20. júna 2024</w:t>
      </w:r>
    </w:p>
    <w:p w:rsidR="00C52F70" w:rsidP="00C52F70">
      <w:pPr>
        <w:pStyle w:val="BodyText2"/>
      </w:pPr>
    </w:p>
    <w:p w:rsidR="00C52F70" w:rsidP="00C52F70">
      <w:pPr>
        <w:pStyle w:val="BodyText2"/>
      </w:pPr>
    </w:p>
    <w:p w:rsidR="00C52F70" w:rsidP="00C52F70">
      <w:pPr>
        <w:pStyle w:val="BodyText2"/>
      </w:pPr>
    </w:p>
    <w:p w:rsidR="00C52F70" w:rsidP="00C52F70">
      <w:pPr>
        <w:pStyle w:val="BodyText2"/>
      </w:pPr>
    </w:p>
    <w:p w:rsidR="00C52F70" w:rsidP="00C52F70">
      <w:pPr>
        <w:pStyle w:val="BodyText2"/>
        <w:jc w:val="center"/>
        <w:rPr>
          <w:b/>
          <w:bCs/>
        </w:rPr>
      </w:pPr>
      <w:r>
        <w:rPr>
          <w:b/>
          <w:bCs/>
        </w:rPr>
        <w:t>Tibor Gašpar, v.r.</w:t>
      </w:r>
    </w:p>
    <w:p w:rsidR="00C52F70" w:rsidP="00C52F70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C52F70" w:rsidP="00C52F70">
      <w:pPr>
        <w:ind w:left="1416" w:firstLine="708"/>
      </w:pPr>
      <w:r>
        <w:rPr>
          <w:b/>
          <w:bCs/>
        </w:rPr>
        <w:t xml:space="preserve">            Výbor NR SR pre obranu a bezpečnosť </w:t>
      </w:r>
    </w:p>
    <w:p w:rsidR="00C52F70" w:rsidP="007F071A">
      <w:pPr>
        <w:pStyle w:val="BodyText2"/>
        <w:ind w:firstLine="708"/>
        <w:rPr>
          <w:color w:val="FF0000"/>
        </w:rPr>
      </w:pPr>
    </w:p>
    <w:sectPr w:rsidSect="00EA16B7">
      <w:footerReference w:type="even" r:id="rId4"/>
      <w:footerReference w:type="default" r:id="rId5"/>
      <w:pgSz w:w="11906" w:h="16838"/>
      <w:pgMar w:top="284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0E85">
      <w:rPr>
        <w:rStyle w:val="PageNumber"/>
        <w:noProof/>
      </w:rPr>
      <w:t>7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23A23D15"/>
    <w:multiLevelType w:val="hybridMultilevel"/>
    <w:tmpl w:val="401CC2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num w:numId="1">
    <w:abstractNumId w:val="0"/>
    <w:lvlOverride w:ilv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awspan1">
    <w:name w:val="awspan1"/>
    <w:rsid w:val="003420D3"/>
    <w:rPr>
      <w:color w:val="000000"/>
      <w:sz w:val="24"/>
      <w:szCs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0504BA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rsid w:val="007F07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Číková, Andrea, PhDr., PhD.</cp:lastModifiedBy>
  <cp:revision>4</cp:revision>
  <cp:lastPrinted>2024-04-16T16:24:00Z</cp:lastPrinted>
  <dcterms:created xsi:type="dcterms:W3CDTF">2024-06-20T13:08:00Z</dcterms:created>
  <dcterms:modified xsi:type="dcterms:W3CDTF">2024-06-20T13:20:00Z</dcterms:modified>
</cp:coreProperties>
</file>