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E3" w:rsidRPr="00900B50" w:rsidRDefault="00FD27E3" w:rsidP="00FD27E3">
      <w:pPr>
        <w:jc w:val="center"/>
        <w:rPr>
          <w:b/>
          <w:sz w:val="32"/>
          <w:szCs w:val="32"/>
        </w:rPr>
      </w:pPr>
    </w:p>
    <w:p w:rsidR="00E235AC" w:rsidRPr="00900B50" w:rsidRDefault="00E235AC" w:rsidP="00FD27E3">
      <w:pPr>
        <w:jc w:val="center"/>
        <w:rPr>
          <w:b/>
          <w:sz w:val="32"/>
          <w:szCs w:val="32"/>
        </w:rPr>
      </w:pPr>
    </w:p>
    <w:p w:rsidR="00E235AC" w:rsidRPr="00900B50" w:rsidRDefault="00E235AC" w:rsidP="00FD27E3">
      <w:pPr>
        <w:jc w:val="center"/>
        <w:rPr>
          <w:b/>
          <w:sz w:val="32"/>
          <w:szCs w:val="32"/>
        </w:rPr>
      </w:pPr>
    </w:p>
    <w:p w:rsidR="00E235AC" w:rsidRPr="00900B50" w:rsidRDefault="00E235AC" w:rsidP="00FD27E3">
      <w:pPr>
        <w:jc w:val="center"/>
        <w:rPr>
          <w:b/>
          <w:sz w:val="32"/>
          <w:szCs w:val="32"/>
        </w:rPr>
      </w:pPr>
    </w:p>
    <w:p w:rsidR="00E235AC" w:rsidRPr="00900B50" w:rsidRDefault="00E235AC" w:rsidP="00FD27E3">
      <w:pPr>
        <w:jc w:val="center"/>
        <w:rPr>
          <w:b/>
          <w:sz w:val="32"/>
          <w:szCs w:val="32"/>
        </w:rPr>
      </w:pPr>
    </w:p>
    <w:p w:rsidR="00E235AC" w:rsidRPr="00900B50" w:rsidRDefault="00E235AC" w:rsidP="00FD27E3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E235AC" w:rsidRPr="00900B50" w:rsidRDefault="00E235AC" w:rsidP="00FD27E3">
      <w:pPr>
        <w:jc w:val="center"/>
        <w:rPr>
          <w:b/>
          <w:sz w:val="32"/>
          <w:szCs w:val="32"/>
        </w:rPr>
      </w:pPr>
    </w:p>
    <w:p w:rsidR="00E235AC" w:rsidRPr="00900B50" w:rsidRDefault="00E235AC" w:rsidP="00FD27E3">
      <w:pPr>
        <w:jc w:val="center"/>
        <w:rPr>
          <w:b/>
          <w:sz w:val="32"/>
          <w:szCs w:val="32"/>
        </w:rPr>
      </w:pPr>
    </w:p>
    <w:p w:rsidR="00E235AC" w:rsidRPr="00900B50" w:rsidRDefault="00E235AC" w:rsidP="00FD27E3">
      <w:pPr>
        <w:jc w:val="center"/>
        <w:rPr>
          <w:b/>
          <w:sz w:val="32"/>
          <w:szCs w:val="32"/>
        </w:rPr>
      </w:pPr>
    </w:p>
    <w:p w:rsidR="00E235AC" w:rsidRPr="00900B50" w:rsidRDefault="00E235AC" w:rsidP="00FD27E3">
      <w:pPr>
        <w:jc w:val="center"/>
        <w:rPr>
          <w:b/>
          <w:sz w:val="32"/>
          <w:szCs w:val="32"/>
        </w:rPr>
      </w:pPr>
    </w:p>
    <w:p w:rsidR="00E235AC" w:rsidRPr="00900B50" w:rsidRDefault="00E235AC" w:rsidP="00FD27E3">
      <w:pPr>
        <w:jc w:val="center"/>
        <w:rPr>
          <w:b/>
          <w:sz w:val="32"/>
          <w:szCs w:val="32"/>
        </w:rPr>
      </w:pPr>
    </w:p>
    <w:p w:rsidR="00E235AC" w:rsidRPr="00900B50" w:rsidRDefault="00E235AC" w:rsidP="00FD27E3">
      <w:pPr>
        <w:jc w:val="center"/>
        <w:rPr>
          <w:b/>
          <w:sz w:val="32"/>
          <w:szCs w:val="32"/>
        </w:rPr>
      </w:pPr>
    </w:p>
    <w:p w:rsidR="00E235AC" w:rsidRPr="00900B50" w:rsidRDefault="00E235AC" w:rsidP="00FD27E3">
      <w:pPr>
        <w:jc w:val="center"/>
        <w:rPr>
          <w:lang w:val="sk-SK"/>
        </w:rPr>
      </w:pPr>
    </w:p>
    <w:p w:rsidR="00FD27E3" w:rsidRPr="00900B50" w:rsidRDefault="00FD27E3" w:rsidP="00FD27E3">
      <w:pPr>
        <w:jc w:val="center"/>
        <w:rPr>
          <w:b/>
          <w:lang w:val="sk-SK"/>
        </w:rPr>
      </w:pPr>
      <w:r w:rsidRPr="00900B50">
        <w:rPr>
          <w:b/>
          <w:lang w:val="sk-SK"/>
        </w:rPr>
        <w:t>z</w:t>
      </w:r>
      <w:r w:rsidR="00900B50" w:rsidRPr="00900B50">
        <w:rPr>
          <w:b/>
          <w:lang w:val="sk-SK"/>
        </w:rPr>
        <w:t> 18. júna</w:t>
      </w:r>
      <w:r w:rsidRPr="00900B50">
        <w:rPr>
          <w:b/>
          <w:lang w:val="sk-SK"/>
        </w:rPr>
        <w:t xml:space="preserve"> 202</w:t>
      </w:r>
      <w:r w:rsidR="00696D09" w:rsidRPr="00900B50">
        <w:rPr>
          <w:b/>
          <w:lang w:val="sk-SK"/>
        </w:rPr>
        <w:t>4</w:t>
      </w:r>
      <w:r w:rsidRPr="00900B50">
        <w:rPr>
          <w:b/>
          <w:lang w:val="sk-SK"/>
        </w:rPr>
        <w:t>,</w:t>
      </w:r>
    </w:p>
    <w:p w:rsidR="00FD27E3" w:rsidRPr="00900B50" w:rsidRDefault="00FD27E3" w:rsidP="00FD27E3">
      <w:pPr>
        <w:jc w:val="center"/>
        <w:rPr>
          <w:lang w:val="sk-SK"/>
        </w:rPr>
      </w:pPr>
    </w:p>
    <w:p w:rsidR="00FD27E3" w:rsidRPr="00900B50" w:rsidRDefault="00FD27E3" w:rsidP="00FD27E3">
      <w:pPr>
        <w:jc w:val="center"/>
        <w:rPr>
          <w:b/>
          <w:lang w:val="sk-SK"/>
        </w:rPr>
      </w:pPr>
      <w:bookmarkStart w:id="1" w:name="_Hlk131004887"/>
      <w:r w:rsidRPr="00900B50">
        <w:rPr>
          <w:b/>
          <w:lang w:val="sk-SK"/>
        </w:rPr>
        <w:t>ktorým sa mení zákon č. 305/2005 Z. z. o sociálnoprávnej ochrane detí a o sociálnej kuratele a o zmene a doplnení niektorých zákonov v znení neskorších predpisov</w:t>
      </w:r>
    </w:p>
    <w:bookmarkEnd w:id="1"/>
    <w:p w:rsidR="00044A63" w:rsidRPr="00900B50" w:rsidRDefault="00044A63" w:rsidP="00044A63">
      <w:pPr>
        <w:ind w:firstLine="720"/>
        <w:rPr>
          <w:kern w:val="2"/>
          <w:lang w:val="sk-SK" w:eastAsia="zh-CN" w:bidi="hi-IN"/>
        </w:rPr>
      </w:pPr>
    </w:p>
    <w:p w:rsidR="00044A63" w:rsidRPr="00900B50" w:rsidRDefault="00044A63" w:rsidP="00E83339">
      <w:pPr>
        <w:ind w:firstLine="720"/>
        <w:rPr>
          <w:kern w:val="2"/>
          <w:lang w:val="sk-SK" w:eastAsia="zh-CN" w:bidi="hi-IN"/>
        </w:rPr>
      </w:pPr>
      <w:r w:rsidRPr="00900B50">
        <w:rPr>
          <w:kern w:val="2"/>
          <w:lang w:val="sk-SK" w:eastAsia="zh-CN" w:bidi="hi-IN"/>
        </w:rPr>
        <w:t>Národná rada Slovenskej republiky sa uzniesla na tomto zákone:</w:t>
      </w:r>
    </w:p>
    <w:p w:rsidR="00044A63" w:rsidRPr="00900B50" w:rsidRDefault="00044A63" w:rsidP="00FD27E3">
      <w:pPr>
        <w:jc w:val="center"/>
        <w:rPr>
          <w:b/>
          <w:lang w:val="sk-SK"/>
        </w:rPr>
      </w:pPr>
    </w:p>
    <w:p w:rsidR="00FD27E3" w:rsidRPr="00900B50" w:rsidRDefault="00FD27E3" w:rsidP="00FD27E3">
      <w:pPr>
        <w:jc w:val="center"/>
        <w:rPr>
          <w:b/>
          <w:lang w:val="sk-SK"/>
        </w:rPr>
      </w:pPr>
      <w:r w:rsidRPr="00900B50">
        <w:rPr>
          <w:b/>
          <w:lang w:val="sk-SK"/>
        </w:rPr>
        <w:t>Čl. I</w:t>
      </w:r>
    </w:p>
    <w:p w:rsidR="00FD27E3" w:rsidRPr="00900B50" w:rsidRDefault="00FD27E3" w:rsidP="00022077">
      <w:pPr>
        <w:jc w:val="center"/>
        <w:rPr>
          <w:b/>
          <w:lang w:val="sk-SK"/>
        </w:rPr>
      </w:pPr>
    </w:p>
    <w:p w:rsidR="00FD27E3" w:rsidRPr="00900B50" w:rsidRDefault="00FD27E3" w:rsidP="00022077">
      <w:pPr>
        <w:ind w:firstLine="720"/>
        <w:rPr>
          <w:kern w:val="2"/>
          <w:lang w:val="sk-SK" w:eastAsia="zh-CN" w:bidi="hi-IN"/>
        </w:rPr>
      </w:pPr>
      <w:r w:rsidRPr="00900B50">
        <w:rPr>
          <w:kern w:val="2"/>
          <w:lang w:val="sk-SK" w:eastAsia="zh-CN" w:bidi="hi-IN"/>
        </w:rPr>
        <w:t xml:space="preserve">Zákon </w:t>
      </w:r>
      <w:bookmarkStart w:id="2" w:name="_Hlk129815133"/>
      <w:r w:rsidRPr="00900B50">
        <w:rPr>
          <w:kern w:val="2"/>
          <w:lang w:val="sk-SK" w:eastAsia="zh-CN" w:bidi="hi-IN"/>
        </w:rPr>
        <w:t>č. 305/2005 Z. z. o sociálnoprávnej ochrane detí a o sociálnej kuratele a o zmene a doplnení niektorých zákonov</w:t>
      </w:r>
      <w:bookmarkEnd w:id="2"/>
      <w:r w:rsidRPr="00900B50">
        <w:rPr>
          <w:kern w:val="2"/>
          <w:lang w:val="sk-SK" w:eastAsia="zh-CN" w:bidi="hi-IN"/>
        </w:rPr>
        <w:t xml:space="preserve"> v znení zákona č. 330/2007 Z. z., zákona č. 643/2007 Z. z., zákona č. 215/2008 Z. z., zákona č. 466/2008 Z. z., zákona č.</w:t>
      </w:r>
      <w:r w:rsidR="00022077" w:rsidRPr="00900B50">
        <w:rPr>
          <w:kern w:val="2"/>
          <w:lang w:val="sk-SK" w:eastAsia="zh-CN" w:bidi="hi-IN"/>
        </w:rPr>
        <w:t> </w:t>
      </w:r>
      <w:r w:rsidRPr="00900B50">
        <w:rPr>
          <w:kern w:val="2"/>
          <w:lang w:val="sk-SK" w:eastAsia="zh-CN" w:bidi="hi-IN"/>
        </w:rPr>
        <w:t>317/2009 Z. z., zákona č.</w:t>
      </w:r>
      <w:r w:rsidR="00681E10" w:rsidRPr="00900B50">
        <w:rPr>
          <w:kern w:val="2"/>
          <w:lang w:val="sk-SK" w:eastAsia="zh-CN" w:bidi="hi-IN"/>
        </w:rPr>
        <w:t> </w:t>
      </w:r>
      <w:r w:rsidRPr="00900B50">
        <w:rPr>
          <w:kern w:val="2"/>
          <w:lang w:val="sk-SK" w:eastAsia="zh-CN" w:bidi="hi-IN"/>
        </w:rPr>
        <w:t>180/2011 Z. z., zákona č. 185/2014 Z. z., zákona č. 219/2014 Z. z., zákona č. 310/2014 Z. z., zákona č. 131/2015 Z. z., zákona č.</w:t>
      </w:r>
      <w:r w:rsidR="00022077" w:rsidRPr="00900B50">
        <w:rPr>
          <w:kern w:val="2"/>
          <w:lang w:val="sk-SK" w:eastAsia="zh-CN" w:bidi="hi-IN"/>
        </w:rPr>
        <w:t> </w:t>
      </w:r>
      <w:r w:rsidRPr="00900B50">
        <w:rPr>
          <w:kern w:val="2"/>
          <w:lang w:val="sk-SK" w:eastAsia="zh-CN" w:bidi="hi-IN"/>
        </w:rPr>
        <w:t>175/2015 Z. z., zákona č. 378/2015 Z. z., zákona č. 91/2016 Z. z., zákona č. 125/2016 Z. z., zákona č. 351/2017 Z. z., zákona č. 61/2018 Z. z., zákona č.</w:t>
      </w:r>
      <w:r w:rsidR="00681E10" w:rsidRPr="00900B50">
        <w:rPr>
          <w:kern w:val="2"/>
          <w:lang w:val="sk-SK" w:eastAsia="zh-CN" w:bidi="hi-IN"/>
        </w:rPr>
        <w:t> </w:t>
      </w:r>
      <w:r w:rsidRPr="00900B50">
        <w:rPr>
          <w:kern w:val="2"/>
          <w:lang w:val="sk-SK" w:eastAsia="zh-CN" w:bidi="hi-IN"/>
        </w:rPr>
        <w:t>177/2018 Z. z., zákona č. 231/2019 Z. z., zákona č. 89/2020 Z. z., zákona č. 331/2020 Z. z., zákona č. 310/2021 Z. z., zákona č.</w:t>
      </w:r>
      <w:r w:rsidR="00022077" w:rsidRPr="00900B50">
        <w:rPr>
          <w:kern w:val="2"/>
          <w:lang w:val="sk-SK" w:eastAsia="zh-CN" w:bidi="hi-IN"/>
        </w:rPr>
        <w:t> </w:t>
      </w:r>
      <w:r w:rsidRPr="00900B50">
        <w:rPr>
          <w:kern w:val="2"/>
          <w:lang w:val="sk-SK" w:eastAsia="zh-CN" w:bidi="hi-IN"/>
        </w:rPr>
        <w:t>418/2021 Z. z., zákona č. 199/2022 Z. z., zákona č.</w:t>
      </w:r>
      <w:r w:rsidR="00681E10" w:rsidRPr="00900B50">
        <w:rPr>
          <w:kern w:val="2"/>
          <w:lang w:val="sk-SK" w:eastAsia="zh-CN" w:bidi="hi-IN"/>
        </w:rPr>
        <w:t> </w:t>
      </w:r>
      <w:r w:rsidRPr="00900B50">
        <w:rPr>
          <w:kern w:val="2"/>
          <w:lang w:val="sk-SK" w:eastAsia="zh-CN" w:bidi="hi-IN"/>
        </w:rPr>
        <w:t>345/2022 Z. z., zákona č. 376/2022 Z.</w:t>
      </w:r>
      <w:r w:rsidR="00022077" w:rsidRPr="00900B50">
        <w:rPr>
          <w:kern w:val="2"/>
          <w:lang w:val="sk-SK" w:eastAsia="zh-CN" w:bidi="hi-IN"/>
        </w:rPr>
        <w:t> </w:t>
      </w:r>
      <w:r w:rsidRPr="00900B50">
        <w:rPr>
          <w:kern w:val="2"/>
          <w:lang w:val="sk-SK" w:eastAsia="zh-CN" w:bidi="hi-IN"/>
        </w:rPr>
        <w:t>z.</w:t>
      </w:r>
      <w:r w:rsidR="001D1860" w:rsidRPr="00900B50">
        <w:rPr>
          <w:kern w:val="2"/>
          <w:lang w:val="sk-SK" w:eastAsia="zh-CN" w:bidi="hi-IN"/>
        </w:rPr>
        <w:t>,</w:t>
      </w:r>
      <w:r w:rsidRPr="00900B50">
        <w:rPr>
          <w:kern w:val="2"/>
          <w:lang w:val="sk-SK" w:eastAsia="zh-CN" w:bidi="hi-IN"/>
        </w:rPr>
        <w:t xml:space="preserve"> zákona č. 50/2023 Z. z.</w:t>
      </w:r>
      <w:r w:rsidR="00353D16" w:rsidRPr="00900B50">
        <w:rPr>
          <w:kern w:val="2"/>
          <w:lang w:val="sk-SK" w:eastAsia="zh-CN" w:bidi="hi-IN"/>
        </w:rPr>
        <w:t>,</w:t>
      </w:r>
      <w:r w:rsidR="001D1860" w:rsidRPr="00900B50">
        <w:rPr>
          <w:kern w:val="2"/>
          <w:lang w:val="sk-SK" w:eastAsia="zh-CN" w:bidi="hi-IN"/>
        </w:rPr>
        <w:t xml:space="preserve"> zákona č. 192/2023 Z. z. </w:t>
      </w:r>
      <w:r w:rsidR="00353D16" w:rsidRPr="00900B50">
        <w:rPr>
          <w:kern w:val="2"/>
          <w:lang w:val="sk-SK" w:eastAsia="zh-CN" w:bidi="hi-IN"/>
        </w:rPr>
        <w:t xml:space="preserve">a zákona č. 40/2024 Z. z. </w:t>
      </w:r>
      <w:r w:rsidRPr="00900B50">
        <w:rPr>
          <w:kern w:val="2"/>
          <w:lang w:val="sk-SK" w:eastAsia="zh-CN" w:bidi="hi-IN"/>
        </w:rPr>
        <w:t>sa mení takto:</w:t>
      </w:r>
    </w:p>
    <w:p w:rsidR="00FD27E3" w:rsidRPr="00900B50" w:rsidRDefault="00FD27E3" w:rsidP="00FD27E3">
      <w:pPr>
        <w:rPr>
          <w:lang w:val="sk-SK"/>
        </w:rPr>
      </w:pPr>
    </w:p>
    <w:p w:rsidR="00FD27E3" w:rsidRPr="00900B50" w:rsidRDefault="00FD27E3" w:rsidP="00FD27E3">
      <w:pPr>
        <w:rPr>
          <w:lang w:val="sk-SK"/>
        </w:rPr>
      </w:pPr>
      <w:r w:rsidRPr="00900B50">
        <w:rPr>
          <w:lang w:val="sk-SK"/>
        </w:rPr>
        <w:t>§ 89c znie:</w:t>
      </w:r>
    </w:p>
    <w:p w:rsidR="00FD27E3" w:rsidRPr="00900B50" w:rsidRDefault="00FD27E3" w:rsidP="00022077">
      <w:pPr>
        <w:jc w:val="center"/>
        <w:rPr>
          <w:b/>
          <w:lang w:val="sk-SK"/>
        </w:rPr>
      </w:pPr>
      <w:r w:rsidRPr="00900B50">
        <w:rPr>
          <w:b/>
          <w:lang w:val="sk-SK"/>
        </w:rPr>
        <w:t>„§ 89c</w:t>
      </w:r>
    </w:p>
    <w:p w:rsidR="00FD27E3" w:rsidRPr="00900B50" w:rsidRDefault="00FD27E3" w:rsidP="00FD27E3">
      <w:pPr>
        <w:jc w:val="center"/>
        <w:rPr>
          <w:lang w:val="sk-SK"/>
        </w:rPr>
      </w:pPr>
    </w:p>
    <w:p w:rsidR="00FD27E3" w:rsidRPr="00900B50" w:rsidRDefault="00FD27E3" w:rsidP="00FD27E3">
      <w:pPr>
        <w:rPr>
          <w:lang w:val="sk-SK"/>
        </w:rPr>
      </w:pPr>
      <w:r w:rsidRPr="00900B50">
        <w:rPr>
          <w:lang w:val="sk-SK"/>
        </w:rPr>
        <w:lastRenderedPageBreak/>
        <w:t xml:space="preserve">Maximálna suma </w:t>
      </w:r>
      <w:r w:rsidR="00353D16" w:rsidRPr="00900B50">
        <w:rPr>
          <w:lang w:val="sk-SK"/>
        </w:rPr>
        <w:t xml:space="preserve">finančného príspevku </w:t>
      </w:r>
      <w:r w:rsidRPr="00900B50">
        <w:rPr>
          <w:lang w:val="sk-SK"/>
        </w:rPr>
        <w:t>určená podľa § 89a ods. 2 a § 89b ods. 2 sa zvýši o</w:t>
      </w:r>
      <w:r w:rsidR="00CE0A08" w:rsidRPr="00900B50">
        <w:rPr>
          <w:lang w:val="sk-SK"/>
        </w:rPr>
        <w:t> </w:t>
      </w:r>
      <w:r w:rsidRPr="00900B50">
        <w:rPr>
          <w:lang w:val="sk-SK"/>
        </w:rPr>
        <w:t>40</w:t>
      </w:r>
      <w:r w:rsidR="00CE0A08" w:rsidRPr="00900B50">
        <w:rPr>
          <w:lang w:val="sk-SK"/>
        </w:rPr>
        <w:t> </w:t>
      </w:r>
      <w:r w:rsidRPr="00900B50">
        <w:rPr>
          <w:lang w:val="sk-SK"/>
        </w:rPr>
        <w:t>%, ak orgán sociálnoprávnej ochrany detí a sociálnej kurately podľa § 73 ods. 1 v súlade s</w:t>
      </w:r>
      <w:r w:rsidR="006D240B" w:rsidRPr="00900B50">
        <w:rPr>
          <w:lang w:val="sk-SK"/>
        </w:rPr>
        <w:t> </w:t>
      </w:r>
      <w:r w:rsidRPr="00900B50">
        <w:rPr>
          <w:lang w:val="sk-SK"/>
        </w:rPr>
        <w:t xml:space="preserve">prioritami podľa § 89 ods. 1 písm. a) zabezpečuje potrebný počet miest </w:t>
      </w:r>
      <w:r w:rsidR="00192831" w:rsidRPr="00900B50">
        <w:rPr>
          <w:lang w:val="sk-SK"/>
        </w:rPr>
        <w:t>na vykonávanie</w:t>
      </w:r>
    </w:p>
    <w:p w:rsidR="009367CC" w:rsidRPr="00900B50" w:rsidRDefault="00681E10" w:rsidP="00022077">
      <w:pPr>
        <w:pStyle w:val="Odsekzoznamu"/>
        <w:numPr>
          <w:ilvl w:val="0"/>
          <w:numId w:val="4"/>
        </w:numPr>
        <w:contextualSpacing w:val="0"/>
        <w:rPr>
          <w:shd w:val="clear" w:color="auto" w:fill="FFFFFF"/>
          <w:lang w:val="sk-SK"/>
        </w:rPr>
      </w:pPr>
      <w:r w:rsidRPr="00900B50">
        <w:rPr>
          <w:lang w:val="sk-SK"/>
        </w:rPr>
        <w:t xml:space="preserve">pobytového opatrenia súdu v centre, ktoré vykonáva opatrenia na základe udelenej </w:t>
      </w:r>
      <w:r w:rsidRPr="00900B50">
        <w:rPr>
          <w:shd w:val="clear" w:color="auto" w:fill="FFFFFF"/>
          <w:lang w:val="sk-SK"/>
        </w:rPr>
        <w:t xml:space="preserve">akreditácie, </w:t>
      </w:r>
      <w:r w:rsidR="00FD27E3" w:rsidRPr="00900B50">
        <w:rPr>
          <w:shd w:val="clear" w:color="auto" w:fill="FFFFFF"/>
          <w:lang w:val="sk-SK"/>
        </w:rPr>
        <w:t>v</w:t>
      </w:r>
      <w:r w:rsidR="00982DE2" w:rsidRPr="00900B50">
        <w:rPr>
          <w:shd w:val="clear" w:color="auto" w:fill="FFFFFF"/>
          <w:lang w:val="sk-SK"/>
        </w:rPr>
        <w:t xml:space="preserve"> ustanovenom druhu </w:t>
      </w:r>
      <w:r w:rsidR="00FD27E3" w:rsidRPr="00900B50">
        <w:rPr>
          <w:shd w:val="clear" w:color="auto" w:fill="FFFFFF"/>
          <w:lang w:val="sk-SK"/>
        </w:rPr>
        <w:t xml:space="preserve">špecializovanej samostatnej </w:t>
      </w:r>
      <w:r w:rsidR="00982DE2" w:rsidRPr="00900B50">
        <w:rPr>
          <w:shd w:val="clear" w:color="auto" w:fill="FFFFFF"/>
          <w:lang w:val="sk-SK"/>
        </w:rPr>
        <w:t>skupiny</w:t>
      </w:r>
      <w:r w:rsidR="00CC09F6" w:rsidRPr="00900B50">
        <w:rPr>
          <w:shd w:val="clear" w:color="auto" w:fill="FFFFFF"/>
          <w:lang w:val="sk-SK"/>
        </w:rPr>
        <w:t xml:space="preserve"> zriade</w:t>
      </w:r>
      <w:r w:rsidR="009C5A77" w:rsidRPr="00900B50">
        <w:rPr>
          <w:shd w:val="clear" w:color="auto" w:fill="FFFFFF"/>
          <w:lang w:val="sk-SK"/>
        </w:rPr>
        <w:t>ne</w:t>
      </w:r>
      <w:r w:rsidR="00CE3B83" w:rsidRPr="00900B50">
        <w:rPr>
          <w:shd w:val="clear" w:color="auto" w:fill="FFFFFF"/>
          <w:lang w:val="sk-SK"/>
        </w:rPr>
        <w:t>j</w:t>
      </w:r>
      <w:r w:rsidR="00982DE2" w:rsidRPr="00900B50">
        <w:rPr>
          <w:shd w:val="clear" w:color="auto" w:fill="FFFFFF"/>
          <w:lang w:val="sk-SK"/>
        </w:rPr>
        <w:t xml:space="preserve"> </w:t>
      </w:r>
      <w:r w:rsidR="006F088B" w:rsidRPr="00900B50">
        <w:rPr>
          <w:shd w:val="clear" w:color="auto" w:fill="FFFFFF"/>
          <w:lang w:val="sk-SK"/>
        </w:rPr>
        <w:t>pre</w:t>
      </w:r>
    </w:p>
    <w:p w:rsidR="00CC09F6" w:rsidRPr="00900B50" w:rsidRDefault="00CC09F6" w:rsidP="00CC09F6">
      <w:pPr>
        <w:pStyle w:val="Odsekzoznamu"/>
        <w:numPr>
          <w:ilvl w:val="0"/>
          <w:numId w:val="2"/>
        </w:numPr>
        <w:contextualSpacing w:val="0"/>
        <w:rPr>
          <w:shd w:val="clear" w:color="auto" w:fill="FFFFFF"/>
          <w:lang w:val="sk-SK"/>
        </w:rPr>
      </w:pPr>
      <w:r w:rsidRPr="00900B50">
        <w:rPr>
          <w:shd w:val="clear" w:color="auto" w:fill="FFFFFF"/>
          <w:lang w:val="sk-SK"/>
        </w:rPr>
        <w:t xml:space="preserve">deti </w:t>
      </w:r>
      <w:r w:rsidR="00FD27E3" w:rsidRPr="00900B50">
        <w:rPr>
          <w:shd w:val="clear" w:color="auto" w:fill="FFFFFF"/>
          <w:lang w:val="sk-SK"/>
        </w:rPr>
        <w:t>s duševnou poruchou</w:t>
      </w:r>
      <w:r w:rsidRPr="00900B50">
        <w:rPr>
          <w:shd w:val="clear" w:color="auto" w:fill="FFFFFF"/>
          <w:lang w:val="sk-SK"/>
        </w:rPr>
        <w:t xml:space="preserve"> na základe </w:t>
      </w:r>
      <w:r w:rsidR="004B5EDF" w:rsidRPr="00900B50">
        <w:rPr>
          <w:shd w:val="clear" w:color="auto" w:fill="FFFFFF"/>
          <w:lang w:val="sk-SK"/>
        </w:rPr>
        <w:t>vyjadrenia</w:t>
      </w:r>
      <w:r w:rsidRPr="00900B50">
        <w:rPr>
          <w:shd w:val="clear" w:color="auto" w:fill="FFFFFF"/>
          <w:lang w:val="sk-SK"/>
        </w:rPr>
        <w:t xml:space="preserve"> podľa osobitného predpisu</w:t>
      </w:r>
      <w:r w:rsidRPr="00900B50">
        <w:rPr>
          <w:vertAlign w:val="superscript"/>
          <w:lang w:val="sk-SK"/>
        </w:rPr>
        <w:t>22a</w:t>
      </w:r>
      <w:r w:rsidRPr="00900B50">
        <w:rPr>
          <w:lang w:val="sk-SK"/>
        </w:rPr>
        <w:t>)</w:t>
      </w:r>
      <w:r w:rsidRPr="00900B50">
        <w:rPr>
          <w:shd w:val="clear" w:color="auto" w:fill="FFFFFF"/>
          <w:vertAlign w:val="superscript"/>
          <w:lang w:val="sk-SK"/>
        </w:rPr>
        <w:t> </w:t>
      </w:r>
      <w:r w:rsidRPr="00900B50">
        <w:rPr>
          <w:shd w:val="clear" w:color="auto" w:fill="FFFFFF"/>
          <w:lang w:val="sk-SK"/>
        </w:rPr>
        <w:t>a</w:t>
      </w:r>
      <w:r w:rsidR="00DD562C" w:rsidRPr="00900B50">
        <w:rPr>
          <w:shd w:val="clear" w:color="auto" w:fill="FFFFFF"/>
          <w:lang w:val="sk-SK"/>
        </w:rPr>
        <w:t xml:space="preserve"> pre </w:t>
      </w:r>
      <w:r w:rsidRPr="00900B50">
        <w:rPr>
          <w:shd w:val="clear" w:color="auto" w:fill="FFFFFF"/>
          <w:lang w:val="sk-SK"/>
        </w:rPr>
        <w:t>deti s</w:t>
      </w:r>
      <w:r w:rsidR="00681E10" w:rsidRPr="00900B50">
        <w:rPr>
          <w:shd w:val="clear" w:color="auto" w:fill="FFFFFF"/>
          <w:lang w:val="sk-SK"/>
        </w:rPr>
        <w:t> </w:t>
      </w:r>
      <w:r w:rsidRPr="00900B50">
        <w:rPr>
          <w:shd w:val="clear" w:color="auto" w:fill="FFFFFF"/>
          <w:lang w:val="sk-SK"/>
        </w:rPr>
        <w:t xml:space="preserve">duševnou poruchou na základe </w:t>
      </w:r>
      <w:r w:rsidR="004B5EDF" w:rsidRPr="00900B50">
        <w:rPr>
          <w:shd w:val="clear" w:color="auto" w:fill="FFFFFF"/>
          <w:lang w:val="sk-SK"/>
        </w:rPr>
        <w:t>vyjadrenia</w:t>
      </w:r>
      <w:r w:rsidRPr="00900B50">
        <w:rPr>
          <w:shd w:val="clear" w:color="auto" w:fill="FFFFFF"/>
          <w:lang w:val="sk-SK"/>
        </w:rPr>
        <w:t xml:space="preserve"> podľa osobitného predpisu</w:t>
      </w:r>
      <w:r w:rsidRPr="00900B50">
        <w:rPr>
          <w:vertAlign w:val="superscript"/>
          <w:lang w:val="sk-SK"/>
        </w:rPr>
        <w:t>22a</w:t>
      </w:r>
      <w:r w:rsidRPr="00900B50">
        <w:rPr>
          <w:lang w:val="sk-SK"/>
        </w:rPr>
        <w:t>)</w:t>
      </w:r>
      <w:r w:rsidRPr="00900B50">
        <w:rPr>
          <w:shd w:val="clear" w:color="auto" w:fill="FFFFFF"/>
          <w:vertAlign w:val="superscript"/>
          <w:lang w:val="sk-SK"/>
        </w:rPr>
        <w:t xml:space="preserve"> </w:t>
      </w:r>
      <w:r w:rsidRPr="00900B50">
        <w:rPr>
          <w:shd w:val="clear" w:color="auto" w:fill="FFFFFF"/>
          <w:lang w:val="sk-SK"/>
        </w:rPr>
        <w:t>v kombinácii s</w:t>
      </w:r>
      <w:r w:rsidR="00DD562C" w:rsidRPr="00900B50">
        <w:rPr>
          <w:shd w:val="clear" w:color="auto" w:fill="FFFFFF"/>
          <w:lang w:val="sk-SK"/>
        </w:rPr>
        <w:t xml:space="preserve">o zdravotným stavom </w:t>
      </w:r>
      <w:r w:rsidRPr="00900B50">
        <w:rPr>
          <w:shd w:val="clear" w:color="auto" w:fill="FFFFFF"/>
          <w:lang w:val="sk-SK"/>
        </w:rPr>
        <w:t>podľa druhého bodu,</w:t>
      </w:r>
    </w:p>
    <w:p w:rsidR="00CC09F6" w:rsidRPr="00900B50" w:rsidRDefault="00CC09F6" w:rsidP="00CC09F6">
      <w:pPr>
        <w:pStyle w:val="Odsekzoznamu"/>
        <w:numPr>
          <w:ilvl w:val="0"/>
          <w:numId w:val="2"/>
        </w:numPr>
        <w:contextualSpacing w:val="0"/>
        <w:rPr>
          <w:shd w:val="clear" w:color="auto" w:fill="FFFFFF"/>
          <w:lang w:val="sk-SK"/>
        </w:rPr>
      </w:pPr>
      <w:r w:rsidRPr="00900B50">
        <w:rPr>
          <w:shd w:val="clear" w:color="auto" w:fill="FFFFFF"/>
          <w:lang w:val="sk-SK"/>
        </w:rPr>
        <w:t xml:space="preserve">deti, ktorých zdravotný stav vyžaduje osobitnú starostlivosť výlučne pobytovou formou na základe </w:t>
      </w:r>
      <w:r w:rsidR="004B5EDF" w:rsidRPr="00900B50">
        <w:rPr>
          <w:shd w:val="clear" w:color="auto" w:fill="FFFFFF"/>
          <w:lang w:val="sk-SK"/>
        </w:rPr>
        <w:t>vyjadrenia</w:t>
      </w:r>
      <w:r w:rsidRPr="00900B50">
        <w:rPr>
          <w:shd w:val="clear" w:color="auto" w:fill="FFFFFF"/>
          <w:lang w:val="sk-SK"/>
        </w:rPr>
        <w:t xml:space="preserve"> podľa osobitného predpisu,</w:t>
      </w:r>
      <w:r w:rsidRPr="00900B50">
        <w:rPr>
          <w:vertAlign w:val="superscript"/>
          <w:lang w:val="sk-SK"/>
        </w:rPr>
        <w:t>22a</w:t>
      </w:r>
      <w:r w:rsidRPr="00900B50">
        <w:rPr>
          <w:lang w:val="sk-SK"/>
        </w:rPr>
        <w:t>)</w:t>
      </w:r>
    </w:p>
    <w:p w:rsidR="00FD27E3" w:rsidRPr="00900B50" w:rsidRDefault="00FD27E3" w:rsidP="00022077">
      <w:pPr>
        <w:pStyle w:val="Odsekzoznamu"/>
        <w:numPr>
          <w:ilvl w:val="0"/>
          <w:numId w:val="4"/>
        </w:numPr>
        <w:contextualSpacing w:val="0"/>
        <w:rPr>
          <w:lang w:val="sk-SK"/>
        </w:rPr>
      </w:pPr>
      <w:r w:rsidRPr="00900B50">
        <w:rPr>
          <w:lang w:val="sk-SK"/>
        </w:rPr>
        <w:t xml:space="preserve">špecializovaného programu v centre, ktoré vykonáva opatrenia na základe udelenej </w:t>
      </w:r>
      <w:r w:rsidRPr="00900B50">
        <w:rPr>
          <w:shd w:val="clear" w:color="auto" w:fill="FFFFFF"/>
          <w:lang w:val="sk-SK"/>
        </w:rPr>
        <w:t>akreditácie</w:t>
      </w:r>
      <w:r w:rsidRPr="00900B50">
        <w:rPr>
          <w:lang w:val="sk-SK"/>
        </w:rPr>
        <w:t>, ktorého účelom je výlučne vykonávanie špecializovaného programu a ktorého celkový počet miest podľa špecializovaného programu centra nie je vyšší ako 20</w:t>
      </w:r>
      <w:r w:rsidR="00910175" w:rsidRPr="00900B50">
        <w:rPr>
          <w:lang w:val="sk-SK"/>
        </w:rPr>
        <w:t> </w:t>
      </w:r>
      <w:r w:rsidRPr="00900B50">
        <w:rPr>
          <w:lang w:val="sk-SK"/>
        </w:rPr>
        <w:t>miest.“.</w:t>
      </w:r>
    </w:p>
    <w:p w:rsidR="00FD27E3" w:rsidRPr="00900B50" w:rsidRDefault="00FD27E3" w:rsidP="00FD27E3">
      <w:pPr>
        <w:jc w:val="center"/>
        <w:rPr>
          <w:b/>
          <w:lang w:val="sk-SK"/>
        </w:rPr>
      </w:pPr>
    </w:p>
    <w:p w:rsidR="00FD27E3" w:rsidRPr="00900B50" w:rsidRDefault="00FD27E3" w:rsidP="00FD27E3">
      <w:pPr>
        <w:jc w:val="center"/>
        <w:rPr>
          <w:b/>
          <w:lang w:val="sk-SK"/>
        </w:rPr>
      </w:pPr>
      <w:r w:rsidRPr="00900B50">
        <w:rPr>
          <w:b/>
          <w:lang w:val="sk-SK"/>
        </w:rPr>
        <w:t>Čl. II</w:t>
      </w:r>
    </w:p>
    <w:p w:rsidR="001D1860" w:rsidRPr="00900B50" w:rsidRDefault="001D1860" w:rsidP="00022077">
      <w:pPr>
        <w:jc w:val="center"/>
        <w:rPr>
          <w:b/>
          <w:lang w:val="sk-SK"/>
        </w:rPr>
      </w:pPr>
    </w:p>
    <w:p w:rsidR="008765BE" w:rsidRDefault="001D1860" w:rsidP="00022077">
      <w:pPr>
        <w:ind w:firstLine="720"/>
        <w:rPr>
          <w:lang w:val="sk-SK"/>
        </w:rPr>
      </w:pPr>
      <w:r w:rsidRPr="00900B50">
        <w:rPr>
          <w:lang w:val="sk-SK"/>
        </w:rPr>
        <w:t xml:space="preserve">Tento </w:t>
      </w:r>
      <w:r w:rsidRPr="00900B50">
        <w:rPr>
          <w:kern w:val="2"/>
          <w:lang w:val="sk-SK" w:eastAsia="zh-CN" w:bidi="hi-IN"/>
        </w:rPr>
        <w:t>zákon</w:t>
      </w:r>
      <w:r w:rsidRPr="00900B50">
        <w:rPr>
          <w:lang w:val="sk-SK"/>
        </w:rPr>
        <w:t xml:space="preserve"> nadobúda účinnosť </w:t>
      </w:r>
      <w:r w:rsidR="00001C07" w:rsidRPr="00900B50">
        <w:rPr>
          <w:lang w:val="sk-SK"/>
        </w:rPr>
        <w:t>1</w:t>
      </w:r>
      <w:r w:rsidRPr="00900B50">
        <w:rPr>
          <w:lang w:val="sk-SK"/>
        </w:rPr>
        <w:t xml:space="preserve">. </w:t>
      </w:r>
      <w:r w:rsidR="00353D16" w:rsidRPr="00900B50">
        <w:rPr>
          <w:lang w:val="sk-SK"/>
        </w:rPr>
        <w:t xml:space="preserve">augusta </w:t>
      </w:r>
      <w:r w:rsidRPr="00900B50">
        <w:rPr>
          <w:lang w:val="sk-SK"/>
        </w:rPr>
        <w:t>2024.</w:t>
      </w:r>
    </w:p>
    <w:p w:rsidR="00900B50" w:rsidRDefault="00900B50" w:rsidP="00022077">
      <w:pPr>
        <w:ind w:firstLine="720"/>
        <w:rPr>
          <w:lang w:val="sk-SK"/>
        </w:rPr>
      </w:pPr>
    </w:p>
    <w:p w:rsidR="00900B50" w:rsidRDefault="00900B50" w:rsidP="00022077">
      <w:pPr>
        <w:ind w:firstLine="720"/>
        <w:rPr>
          <w:lang w:val="sk-SK"/>
        </w:rPr>
      </w:pPr>
    </w:p>
    <w:p w:rsidR="00900B50" w:rsidRDefault="00900B50" w:rsidP="00022077">
      <w:pPr>
        <w:ind w:firstLine="720"/>
        <w:rPr>
          <w:lang w:val="sk-SK"/>
        </w:rPr>
      </w:pPr>
    </w:p>
    <w:p w:rsidR="00900B50" w:rsidRDefault="00900B50" w:rsidP="00022077">
      <w:pPr>
        <w:ind w:firstLine="720"/>
        <w:rPr>
          <w:lang w:val="sk-SK"/>
        </w:rPr>
      </w:pPr>
    </w:p>
    <w:p w:rsidR="00900B50" w:rsidRDefault="00900B50" w:rsidP="00022077">
      <w:pPr>
        <w:ind w:firstLine="720"/>
        <w:rPr>
          <w:lang w:val="sk-SK"/>
        </w:rPr>
      </w:pPr>
    </w:p>
    <w:p w:rsidR="00900B50" w:rsidRDefault="00900B50" w:rsidP="00022077">
      <w:pPr>
        <w:ind w:firstLine="720"/>
        <w:rPr>
          <w:lang w:val="sk-SK"/>
        </w:rPr>
      </w:pPr>
    </w:p>
    <w:p w:rsidR="00900B50" w:rsidRPr="006405AF" w:rsidRDefault="00900B50" w:rsidP="00900B50"/>
    <w:p w:rsidR="00900B50" w:rsidRPr="006405AF" w:rsidRDefault="00900B50" w:rsidP="00900B50">
      <w:pPr>
        <w:ind w:firstLine="426"/>
        <w:jc w:val="center"/>
      </w:pPr>
      <w:r w:rsidRPr="006405AF">
        <w:tab/>
      </w:r>
      <w:r>
        <w:t>prezident</w:t>
      </w:r>
      <w:r w:rsidRPr="006405AF">
        <w:t xml:space="preserve"> Slovenskej republiky</w:t>
      </w:r>
    </w:p>
    <w:p w:rsidR="00900B50" w:rsidRPr="006405AF" w:rsidRDefault="00900B50" w:rsidP="00900B50">
      <w:pPr>
        <w:ind w:firstLine="426"/>
        <w:jc w:val="center"/>
      </w:pPr>
    </w:p>
    <w:p w:rsidR="00900B50" w:rsidRPr="006405AF" w:rsidRDefault="00900B50" w:rsidP="00900B50">
      <w:pPr>
        <w:ind w:firstLine="426"/>
        <w:jc w:val="center"/>
      </w:pPr>
    </w:p>
    <w:p w:rsidR="00900B50" w:rsidRPr="006405AF" w:rsidRDefault="00900B50" w:rsidP="00900B50">
      <w:pPr>
        <w:ind w:firstLine="426"/>
        <w:jc w:val="center"/>
      </w:pPr>
    </w:p>
    <w:p w:rsidR="00900B50" w:rsidRPr="006405AF" w:rsidRDefault="00900B50" w:rsidP="00900B50">
      <w:pPr>
        <w:ind w:firstLine="426"/>
        <w:jc w:val="center"/>
      </w:pPr>
    </w:p>
    <w:p w:rsidR="00900B50" w:rsidRPr="006405AF" w:rsidRDefault="00900B50" w:rsidP="00900B50">
      <w:pPr>
        <w:ind w:firstLine="426"/>
        <w:jc w:val="center"/>
      </w:pPr>
    </w:p>
    <w:p w:rsidR="00900B50" w:rsidRPr="006405AF" w:rsidRDefault="00900B50" w:rsidP="00900B50">
      <w:pPr>
        <w:ind w:firstLine="426"/>
        <w:jc w:val="center"/>
      </w:pPr>
    </w:p>
    <w:p w:rsidR="00900B50" w:rsidRPr="006405AF" w:rsidRDefault="00900B50" w:rsidP="00900B50">
      <w:pPr>
        <w:ind w:firstLine="426"/>
        <w:jc w:val="center"/>
      </w:pPr>
    </w:p>
    <w:p w:rsidR="00900B50" w:rsidRPr="006405AF" w:rsidRDefault="00900B50" w:rsidP="00900B50">
      <w:pPr>
        <w:ind w:firstLine="426"/>
        <w:jc w:val="center"/>
      </w:pPr>
      <w:r w:rsidRPr="006405AF">
        <w:t>predseda Národnej rady Slovenskej republiky</w:t>
      </w:r>
    </w:p>
    <w:p w:rsidR="00900B50" w:rsidRPr="006405AF" w:rsidRDefault="00900B50" w:rsidP="00900B50">
      <w:pPr>
        <w:ind w:firstLine="426"/>
        <w:jc w:val="center"/>
      </w:pPr>
    </w:p>
    <w:p w:rsidR="00900B50" w:rsidRPr="006405AF" w:rsidRDefault="00900B50" w:rsidP="00900B50">
      <w:pPr>
        <w:ind w:firstLine="426"/>
        <w:jc w:val="center"/>
      </w:pPr>
    </w:p>
    <w:p w:rsidR="00900B50" w:rsidRPr="006405AF" w:rsidRDefault="00900B50" w:rsidP="00900B50">
      <w:pPr>
        <w:ind w:firstLine="426"/>
        <w:jc w:val="center"/>
      </w:pPr>
    </w:p>
    <w:p w:rsidR="00900B50" w:rsidRPr="006405AF" w:rsidRDefault="00900B50" w:rsidP="00900B50">
      <w:pPr>
        <w:ind w:firstLine="426"/>
        <w:jc w:val="center"/>
      </w:pPr>
    </w:p>
    <w:p w:rsidR="00900B50" w:rsidRPr="006405AF" w:rsidRDefault="00900B50" w:rsidP="00900B50">
      <w:pPr>
        <w:ind w:firstLine="426"/>
        <w:jc w:val="center"/>
      </w:pPr>
    </w:p>
    <w:p w:rsidR="00900B50" w:rsidRPr="006405AF" w:rsidRDefault="00900B50" w:rsidP="00900B50">
      <w:pPr>
        <w:ind w:firstLine="426"/>
        <w:jc w:val="center"/>
      </w:pPr>
    </w:p>
    <w:p w:rsidR="00900B50" w:rsidRPr="006405AF" w:rsidRDefault="00900B50" w:rsidP="00900B50">
      <w:pPr>
        <w:ind w:firstLine="426"/>
        <w:jc w:val="center"/>
      </w:pPr>
    </w:p>
    <w:p w:rsidR="00900B50" w:rsidRPr="006405AF" w:rsidRDefault="00900B50" w:rsidP="00900B50">
      <w:pPr>
        <w:ind w:firstLine="426"/>
        <w:jc w:val="center"/>
      </w:pPr>
    </w:p>
    <w:p w:rsidR="00900B50" w:rsidRPr="006405AF" w:rsidRDefault="00900B50" w:rsidP="00900B50">
      <w:pPr>
        <w:ind w:firstLine="426"/>
        <w:jc w:val="center"/>
      </w:pPr>
      <w:r w:rsidRPr="006405AF">
        <w:t>predseda vlády Slovenskej republiky</w:t>
      </w:r>
    </w:p>
    <w:p w:rsidR="00900B50" w:rsidRPr="006405AF" w:rsidRDefault="00900B50" w:rsidP="00900B50">
      <w:pPr>
        <w:tabs>
          <w:tab w:val="left" w:pos="3450"/>
        </w:tabs>
      </w:pPr>
    </w:p>
    <w:p w:rsidR="00900B50" w:rsidRPr="00900B50" w:rsidRDefault="00900B50" w:rsidP="00022077">
      <w:pPr>
        <w:ind w:firstLine="720"/>
        <w:rPr>
          <w:lang w:val="sk-SK"/>
        </w:rPr>
      </w:pPr>
    </w:p>
    <w:sectPr w:rsidR="00900B50" w:rsidRPr="00900B50" w:rsidSect="00900B5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AA8" w:rsidRDefault="009E4AA8" w:rsidP="00151BE6">
      <w:r>
        <w:separator/>
      </w:r>
    </w:p>
  </w:endnote>
  <w:endnote w:type="continuationSeparator" w:id="0">
    <w:p w:rsidR="009E4AA8" w:rsidRDefault="009E4AA8" w:rsidP="0015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369991"/>
      <w:docPartObj>
        <w:docPartGallery w:val="Page Numbers (Bottom of Page)"/>
        <w:docPartUnique/>
      </w:docPartObj>
    </w:sdtPr>
    <w:sdtContent>
      <w:p w:rsidR="00900B50" w:rsidRDefault="00900B5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65F" w:rsidRPr="0038565F">
          <w:rPr>
            <w:noProof/>
            <w:lang w:val="sk-SK"/>
          </w:rPr>
          <w:t>2</w:t>
        </w:r>
        <w:r>
          <w:fldChar w:fldCharType="end"/>
        </w:r>
      </w:p>
    </w:sdtContent>
  </w:sdt>
  <w:p w:rsidR="00900B50" w:rsidRDefault="00900B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AA8" w:rsidRDefault="009E4AA8" w:rsidP="00151BE6">
      <w:r>
        <w:separator/>
      </w:r>
    </w:p>
  </w:footnote>
  <w:footnote w:type="continuationSeparator" w:id="0">
    <w:p w:rsidR="009E4AA8" w:rsidRDefault="009E4AA8" w:rsidP="00151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1BCF"/>
    <w:multiLevelType w:val="hybridMultilevel"/>
    <w:tmpl w:val="1478C2CA"/>
    <w:lvl w:ilvl="0" w:tplc="137A9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022447"/>
    <w:multiLevelType w:val="hybridMultilevel"/>
    <w:tmpl w:val="02C45BF2"/>
    <w:lvl w:ilvl="0" w:tplc="D1E841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27279"/>
    <w:multiLevelType w:val="hybridMultilevel"/>
    <w:tmpl w:val="BFCA3416"/>
    <w:lvl w:ilvl="0" w:tplc="8514C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089BE2">
      <w:start w:val="1"/>
      <w:numFmt w:val="lowerLetter"/>
      <w:lvlText w:val="2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23DAD"/>
    <w:multiLevelType w:val="hybridMultilevel"/>
    <w:tmpl w:val="02B662D4"/>
    <w:lvl w:ilvl="0" w:tplc="041B0017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C8"/>
    <w:rsid w:val="00001C07"/>
    <w:rsid w:val="00022077"/>
    <w:rsid w:val="00027DD0"/>
    <w:rsid w:val="00044A63"/>
    <w:rsid w:val="000524F2"/>
    <w:rsid w:val="00084530"/>
    <w:rsid w:val="000A755D"/>
    <w:rsid w:val="000B2400"/>
    <w:rsid w:val="000E3B3B"/>
    <w:rsid w:val="00131E42"/>
    <w:rsid w:val="00151BE6"/>
    <w:rsid w:val="00174137"/>
    <w:rsid w:val="00192831"/>
    <w:rsid w:val="001B4D46"/>
    <w:rsid w:val="001B7544"/>
    <w:rsid w:val="001C3A37"/>
    <w:rsid w:val="001D1860"/>
    <w:rsid w:val="002E345F"/>
    <w:rsid w:val="002F77F6"/>
    <w:rsid w:val="0031151B"/>
    <w:rsid w:val="00336DF7"/>
    <w:rsid w:val="00343CCF"/>
    <w:rsid w:val="00353D16"/>
    <w:rsid w:val="00367225"/>
    <w:rsid w:val="0038565F"/>
    <w:rsid w:val="003E7B0E"/>
    <w:rsid w:val="0040618D"/>
    <w:rsid w:val="0045653C"/>
    <w:rsid w:val="00492F65"/>
    <w:rsid w:val="004B5EDF"/>
    <w:rsid w:val="00505539"/>
    <w:rsid w:val="005762E3"/>
    <w:rsid w:val="005B1BE7"/>
    <w:rsid w:val="005B3DAC"/>
    <w:rsid w:val="005C6F30"/>
    <w:rsid w:val="005F4BE6"/>
    <w:rsid w:val="006325CA"/>
    <w:rsid w:val="00681E10"/>
    <w:rsid w:val="00696D09"/>
    <w:rsid w:val="006B27D4"/>
    <w:rsid w:val="006C1E37"/>
    <w:rsid w:val="006D240B"/>
    <w:rsid w:val="006F088B"/>
    <w:rsid w:val="00720403"/>
    <w:rsid w:val="007555D7"/>
    <w:rsid w:val="007832B9"/>
    <w:rsid w:val="007840D3"/>
    <w:rsid w:val="007D6FD2"/>
    <w:rsid w:val="008765BE"/>
    <w:rsid w:val="0088685A"/>
    <w:rsid w:val="00900B50"/>
    <w:rsid w:val="00910175"/>
    <w:rsid w:val="009367CC"/>
    <w:rsid w:val="009464DA"/>
    <w:rsid w:val="00954AAD"/>
    <w:rsid w:val="00982DE2"/>
    <w:rsid w:val="009A2EAF"/>
    <w:rsid w:val="009C5A77"/>
    <w:rsid w:val="009C7E09"/>
    <w:rsid w:val="009E4AA8"/>
    <w:rsid w:val="00A009C8"/>
    <w:rsid w:val="00A23C28"/>
    <w:rsid w:val="00A7743A"/>
    <w:rsid w:val="00AA42D7"/>
    <w:rsid w:val="00AE443A"/>
    <w:rsid w:val="00B87A17"/>
    <w:rsid w:val="00BC3C4B"/>
    <w:rsid w:val="00C11EE6"/>
    <w:rsid w:val="00C244E7"/>
    <w:rsid w:val="00C50C96"/>
    <w:rsid w:val="00C944B9"/>
    <w:rsid w:val="00CC09F6"/>
    <w:rsid w:val="00CE0A08"/>
    <w:rsid w:val="00CE3B83"/>
    <w:rsid w:val="00D0209A"/>
    <w:rsid w:val="00D277AF"/>
    <w:rsid w:val="00D725C8"/>
    <w:rsid w:val="00DC3061"/>
    <w:rsid w:val="00DD562C"/>
    <w:rsid w:val="00E235AC"/>
    <w:rsid w:val="00E23BB2"/>
    <w:rsid w:val="00E83339"/>
    <w:rsid w:val="00F0530D"/>
    <w:rsid w:val="00FD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8B8C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762E3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762E3"/>
    <w:rPr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762E3"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762E3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762E3"/>
    <w:rPr>
      <w:rFonts w:asciiTheme="majorHAnsi" w:eastAsiaTheme="majorEastAsia" w:hAnsiTheme="majorHAnsi"/>
    </w:rPr>
  </w:style>
  <w:style w:type="paragraph" w:styleId="Nzov">
    <w:name w:val="Title"/>
    <w:basedOn w:val="Normlny"/>
    <w:next w:val="Normlny"/>
    <w:link w:val="Nzov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PodtitulChar">
    <w:name w:val="Podtitul Char"/>
    <w:basedOn w:val="Predvolenpsmoodseku"/>
    <w:link w:val="Podtitul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iln">
    <w:name w:val="Strong"/>
    <w:basedOn w:val="Predvolenpsmoodseku"/>
    <w:uiPriority w:val="22"/>
    <w:qFormat/>
    <w:rsid w:val="005762E3"/>
    <w:rPr>
      <w:b/>
      <w:bCs/>
    </w:rPr>
  </w:style>
  <w:style w:type="character" w:styleId="Zvraznenie">
    <w:name w:val="Emphasis"/>
    <w:basedOn w:val="Predvolenpsmoodseku"/>
    <w:uiPriority w:val="20"/>
    <w:qFormat/>
    <w:rsid w:val="005762E3"/>
    <w:rPr>
      <w:rFonts w:asciiTheme="minorHAnsi" w:hAnsiTheme="minorHAnsi"/>
      <w:b/>
      <w:i/>
      <w:iCs/>
    </w:rPr>
  </w:style>
  <w:style w:type="paragraph" w:styleId="Bezriadkovania">
    <w:name w:val="No Spacing"/>
    <w:basedOn w:val="Normlny"/>
    <w:uiPriority w:val="1"/>
    <w:qFormat/>
    <w:rsid w:val="005762E3"/>
    <w:rPr>
      <w:szCs w:val="32"/>
    </w:rPr>
  </w:style>
  <w:style w:type="paragraph" w:styleId="Odsekzoznamu">
    <w:name w:val="List Paragraph"/>
    <w:basedOn w:val="Normlny"/>
    <w:uiPriority w:val="34"/>
    <w:qFormat/>
    <w:rsid w:val="005762E3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762E3"/>
    <w:rPr>
      <w:i/>
    </w:rPr>
  </w:style>
  <w:style w:type="character" w:customStyle="1" w:styleId="CitciaChar">
    <w:name w:val="Citácia Char"/>
    <w:basedOn w:val="Predvolenpsmoodseku"/>
    <w:link w:val="Citcia"/>
    <w:uiPriority w:val="29"/>
    <w:rsid w:val="005762E3"/>
    <w:rPr>
      <w:i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762E3"/>
    <w:rPr>
      <w:b/>
      <w:i/>
      <w:sz w:val="24"/>
    </w:rPr>
  </w:style>
  <w:style w:type="character" w:styleId="Jemnzvraznenie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zvnezvraznenie">
    <w:name w:val="Intense Emphasis"/>
    <w:basedOn w:val="Predvolenpsmoodseku"/>
    <w:uiPriority w:val="21"/>
    <w:qFormat/>
    <w:rsid w:val="005762E3"/>
    <w:rPr>
      <w:b/>
      <w:i/>
      <w:sz w:val="24"/>
      <w:szCs w:val="24"/>
      <w:u w:val="single"/>
    </w:rPr>
  </w:style>
  <w:style w:type="character" w:styleId="Jemnodkaz">
    <w:name w:val="Subtle Reference"/>
    <w:basedOn w:val="Predvolenpsmoodseku"/>
    <w:uiPriority w:val="31"/>
    <w:qFormat/>
    <w:rsid w:val="005762E3"/>
    <w:rPr>
      <w:sz w:val="24"/>
      <w:szCs w:val="24"/>
      <w:u w:val="single"/>
    </w:rPr>
  </w:style>
  <w:style w:type="character" w:styleId="Intenzvnyodkaz">
    <w:name w:val="Intense Reference"/>
    <w:basedOn w:val="Predvolenpsmoodseku"/>
    <w:uiPriority w:val="32"/>
    <w:qFormat/>
    <w:rsid w:val="005762E3"/>
    <w:rPr>
      <w:b/>
      <w:sz w:val="24"/>
      <w:u w:val="single"/>
    </w:rPr>
  </w:style>
  <w:style w:type="character" w:styleId="Nzovknihy">
    <w:name w:val="Book Title"/>
    <w:basedOn w:val="Predvolenpsmoodseku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762E3"/>
    <w:pPr>
      <w:outlineLvl w:val="9"/>
    </w:pPr>
  </w:style>
  <w:style w:type="paragraph" w:styleId="Hlavika">
    <w:name w:val="header"/>
    <w:basedOn w:val="Normlny"/>
    <w:link w:val="HlavikaChar"/>
    <w:uiPriority w:val="99"/>
    <w:unhideWhenUsed/>
    <w:rsid w:val="00151B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1BE6"/>
    <w:rPr>
      <w:rFonts w:ascii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151BE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1BE6"/>
    <w:rPr>
      <w:rFonts w:ascii="Times New Roman" w:hAnsi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CC09F6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9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9F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B27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B27D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27D4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27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27D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21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4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10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107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2318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1036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27348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204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584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237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52761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957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7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35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188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287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0979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12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4886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799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10523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731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13767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041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40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5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40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432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7461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354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03822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460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8768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3367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32093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566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20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1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98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926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74934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168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144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384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1778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481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802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36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36016-8FFE-4BA1-8A33-D613640D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2024-06-17T10:20:00Z</dcterms:created>
  <dcterms:modified xsi:type="dcterms:W3CDTF">2024-06-17T10:20:00Z</dcterms:modified>
</cp:coreProperties>
</file>