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DD5C55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8C0CAA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CRD</w:t>
      </w:r>
      <w:r w:rsidRPr="008C0CAA" w:rsidR="00CD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8C0CAA" w:rsidR="006A6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–</w:t>
      </w:r>
      <w:r w:rsidRPr="008C0C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8C0CAA" w:rsidR="008C0C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1112</w:t>
      </w:r>
      <w:r w:rsidRPr="008C0CAA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/2024</w:t>
      </w: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5C49A0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4B30DF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289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Dohodou o spoločnom leteckom priestore medzi Európskou úniou a jej členskými štátmi na jednej strane a Ukrajinou na strane druhej</w:t>
      </w:r>
      <w:r w:rsidRPr="001F4FAF" w:rsidR="001F4F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B30D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289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5C49A0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DD5C5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355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6C2330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E23BD7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5C49A0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EC016E" w:rsidR="00EC01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EC016E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C016E"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EC016E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EC016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EC016E" w:rsidR="00EC01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92</w:t>
      </w:r>
      <w:r w:rsidRPr="00EC016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hospodárske záležitosti o návrhu rokoval 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</w:t>
      </w:r>
      <w:r w:rsidRPr="00833ECC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č. </w:t>
      </w:r>
      <w:r w:rsidRPr="00833ECC" w:rsidR="00833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64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Dohodou o spoločnom leteckom priestore medzi Európskou úniou a jej členskými štátmi na jednej strane a Ukrajinou na strane druhej</w:t>
      </w:r>
      <w:r w:rsidRPr="008B10D1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6065C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4B30DF" w:rsidR="004B30D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s Dohodou o spoločnom leteckom priestore medzi Európskou úniou a jej členskými štátmi na jednej strane a Ukrajinou na strane druhej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jc w:val="both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4B30DF" w:rsidR="004B30D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 Dohodou o spoločnom leteckom priestore medzi Európskou úniou a jej členskými štátmi na jednej strane a Ukrajinou na strane druhej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B30DF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289</w:t>
      </w:r>
      <w:r w:rsidRPr="00075D4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0667CC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0667CC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</w:t>
      </w:r>
      <w:r w:rsidRPr="00833ECC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výboru </w:t>
      </w:r>
      <w:r w:rsidRPr="00833ECC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833ECC" w:rsidR="00833E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83</w:t>
      </w:r>
      <w:r w:rsidRPr="00833ECC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3E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833ECC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11</w:t>
      </w:r>
      <w:r w:rsidRPr="00833ECC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833E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3ECC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júna</w:t>
      </w:r>
      <w:r w:rsidRPr="000C7568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568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Justína Sedláka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C646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</w:t>
      </w:r>
      <w:r w:rsidRPr="00DD5C55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DD5C55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C646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júna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4B30D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289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9975D7" w:rsidP="00702954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i/>
          <w:szCs w:val="24"/>
        </w:rPr>
      </w:pPr>
      <w:r w:rsidRPr="00DD5C55" w:rsidR="00865BA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4B30DF" w:rsidR="004B30D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Dohodou o spoločnom leteckom priestore medzi Európskou úniou a jej členskými štátmi na jednej strane a Ukrajinou na strane druhej</w:t>
      </w:r>
    </w:p>
    <w:p w:rsidR="00865BAF" w:rsidRPr="00DD5C55" w:rsidP="009975D7">
      <w:pPr>
        <w:pStyle w:val="BodyTextIndent"/>
        <w:bidi w:val="0"/>
        <w:ind w:firstLine="0"/>
        <w:jc w:val="both"/>
        <w:rPr>
          <w:rFonts w:eastAsia="Times New Roman"/>
        </w:rPr>
      </w:pP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4B30DF" w:rsidR="004B30D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Dohodou o spoločnom leteckom priestore medzi Európskou úniou a jej členskými štátmi na jednej strane a Ukrajinou na strane druhej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EC016E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3</Pages>
  <Words>526</Words>
  <Characters>3001</Characters>
  <Application>Microsoft Office Word</Application>
  <DocSecurity>0</DocSecurity>
  <Lines>0</Lines>
  <Paragraphs>0</Paragraphs>
  <ScaleCrop>false</ScaleCrop>
  <Company>K NRSR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25</cp:revision>
  <cp:lastPrinted>2024-04-16T09:10:00Z</cp:lastPrinted>
  <dcterms:created xsi:type="dcterms:W3CDTF">2018-01-23T10:30:00Z</dcterms:created>
  <dcterms:modified xsi:type="dcterms:W3CDTF">2024-06-06T14:06:00Z</dcterms:modified>
</cp:coreProperties>
</file>