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C93A7D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C93A7D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C93A7D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93A7D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C93A7D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C93A7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C93A7D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C93A7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C93A7D" w:rsidR="00797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606</w:t>
      </w:r>
      <w:r w:rsidRPr="00C93A7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C93A7D" w:rsidR="007B1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93A7D" w:rsidR="00C948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F025DE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C93A7D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C93A7D" w:rsidR="0079762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216</w:t>
      </w:r>
      <w:r w:rsidRPr="00C93A7D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C93A7D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C93A7D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C93A7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C93A7D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C93A7D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C93A7D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C93A7D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C93A7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93A7D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C93A7D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93A7D" w:rsidR="00797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C93A7D" w:rsidR="007976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216</w:t>
      </w:r>
      <w:r w:rsidRPr="00C93A7D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93A7D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C93A7D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C93A7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C93A7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C93A7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C93A7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C93A7D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C93A7D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93A7D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C93A7D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93A7D" w:rsidR="00797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Pr="00C93A7D" w:rsidR="007976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216</w:t>
      </w:r>
      <w:r w:rsidRPr="00C93A7D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93A7D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C93A7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C93A7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C93A7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C93A7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93A7D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C93A7D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C93A7D" w:rsidR="00797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196</w:t>
      </w:r>
      <w:r w:rsidRPr="00C93A7D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93A7D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16</w:t>
      </w:r>
      <w:r w:rsidRPr="00C93A7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93A7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C93A7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C93A7D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93A7D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C93A7D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C93A7D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C93A7D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C93A7D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C93A7D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C93A7D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C93A7D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C93A7D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93A7D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C93A7D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C93A7D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C93A7D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C93A7D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RPr="00C93A7D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C93A7D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C93A7D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C93A7D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C93A7D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C93A7D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C93A7D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C93A7D" w:rsidR="00EB5C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88</w:t>
      </w:r>
      <w:r w:rsidRPr="00C93A7D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C93A7D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C93A7D" w:rsidR="00EB5C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C93A7D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93A7D" w:rsidR="00EB5CA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C93A7D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C93A7D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C93A7D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C93A7D" w:rsidR="00E25B8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E25B86" w:rsidRPr="00C93A7D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C93A7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C93A7D" w:rsidR="00C8392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59</w:t>
      </w:r>
      <w:r w:rsidRPr="00C93A7D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C93A7D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C93A7D" w:rsidR="00FF3E4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93A7D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BB1361" w:rsidRPr="00C93A7D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B36E7" w:rsidRPr="00C93A7D" w:rsidP="00D85CB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C93A7D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C93A7D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C93A7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C93A7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C93A7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C93A7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C93A7D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C93A7D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RPr="00C93A7D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928A8" w:rsidRPr="00C93A7D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3 sa vypúšťajú slová „jazdný list,“.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2836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Precizovanie textu vypustením slov „jazdného listu“ z dôvodu nadbytočnosti. 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4. bode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písm.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f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)] sa slovo „vypúšťajú“ nahrádza slovami „za slovom „spôsobilosti“ bodkočiarka nahrádza čiarkou a spojkou „a“ a vypúšťajú sa““.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úprava; precizovanie textu  v súvislosti s vypustením časti textu.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6.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písm.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r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sa slovo „nájme“ 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nahrádza slovom „prenájme“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úprava; precizovanie textu  v súvislosti s používaním jednotnej terminológie podľa § 32 ods. 1 písm. a) zákona č. 56/2012 Z. z.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7 poznámka pod čiarou k odkazu 30f znie: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30f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) Čl. 5 ods. 1 písm. g) a čl. 16 ods. 2 písm. g) nariadenia (ES) č. 1071/2009 v platnom znení.“.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119" w:right="0" w:firstLine="481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en-US" w:bidi="ar-SA"/>
        </w:rPr>
      </w:pPr>
      <w:r w:rsidRPr="00C93A7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Legislatívno technická úprava.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119" w:right="0" w:firstLine="481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en-US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9. bode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2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ods. 18,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prvej pripojenej vete sa slovo „prevode“ nahrádza slovom „zmene“, za slovo „vozidla“ 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(4x)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vkladá slovo „taxislužby“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slová „nastal prevod“ sa nahrádzajú slovami „nastala zmena“ a v druhej pripojenej vete sa vypúšťa slovo „evidencie“.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 podľa § 116 ods. 1 písm. a) zákona č.  8/2009 Z. z. o cestnej premávke a o zmene a doplnení niektorých zákonov v znení zákona č. 128/2021 Z. z. a precizovaním textu z dôvodu používania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13.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29 ods. 1 písm. l)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slovo „prevod“ nahrádza slovom „zmenu“ a za slovo „vozidla“ 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(2x)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 vkladá slovo „taxislužby“.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 podľa § 116 ods. 1 písm. a) zákona č.  8/2009 Z. z. o cestnej premávke a o zmene a doplnení niektorých zákonov v znení zákona č. 128/2021 Z. z.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14.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30 ods. 5 písm. i)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„vozidlo“ vkladá slovo „taxislužby“.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precizovaním textu z dôvodu používania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36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15. bod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32 ods. 1)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znie: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spacing w:after="120" w:line="360" w:lineRule="auto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„15.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§ 32 ods. 1 úvodná veta znie: „Ak odsek 4 neustanovuje inak, na prepravu v nákladnej doprave môže prevádzkovateľ cestnej dopravy usadený v Slovenskej republike použiť aj prenajaté motorové vozidlo, ktoré je evidované v Slovenskej republike, a sú v ňom v listinnej podobe alebo v elektronickej podobe tieto doklady:“.“.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v súvislosti s precizovaním textu.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21.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45 ods. 9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„účely“ vkladá slovo „výkonu“.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21. bode, § 45 ods. 10 sa slovo „činnosťou“ nahrádza slovom „výkonom“.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144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21 § 45 ods. 10 sa slová „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 xml:space="preserve">v sídle kraja, 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vyšším územným celkom a obciam na ich vyžiadanie“ nahrádzajú slovami „v sídle kraja a obciam“. 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3545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Precizovanie textu a zosúladenie odseku 10 s odsekom 9. 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22.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46 ods. 1 písm. j)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slová „s kontrolou“ nahrádzajú slovami „s výkonom kontroly“.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24.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46 ods. 6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za slovo „zmareniu“ vkladá slovo „výkonu“.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27. bod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[§ 48 ods. 1. písm. s)] znie: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line="360" w:lineRule="auto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„27. V § 48 ods. 1 písm. s)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sa za slovo „náklade,“ vkladajú slová „osvedčenie vodiča, pracovná zmluva vodiča a doklady o vozidle,“.“.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cs-CZ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Legislatívno-technická úprava; precizovanie iného správneho deliktu, tak aby bolo jednoznačné, že v každom prevádzkovanom vozidle je potrebné mať uvedené doklady.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I, 29. bode, 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</w:t>
      </w:r>
      <w:r w:rsidRPr="00C93A7D">
        <w:rPr>
          <w:rStyle w:val="DefaultParagraphFont"/>
          <w:rFonts w:ascii="Times New Roman" w:eastAsia="Times New Roman" w:hAnsi="Times New Roman" w:cs="Times New Roman" w:hint="cs"/>
          <w:spacing w:val="3"/>
          <w:sz w:val="24"/>
          <w:szCs w:val="24"/>
          <w:rtl w:val="0"/>
          <w:cs w:val="0"/>
          <w:lang w:val="sk-SK" w:eastAsia="sk-SK" w:bidi="ar-SA"/>
        </w:rPr>
        <w:t xml:space="preserve"> 48 ods. 1 písm. ap)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slovo „prevod“ nahrádza slovom „zmenu“ a za slovo „vozidla“ </w:t>
      </w:r>
      <w:r w:rsidRPr="00C93A7D">
        <w:rPr>
          <w:rStyle w:val="DefaultParagraphFont"/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vkladá slovo „taxislužby“.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  <w:r w:rsidRPr="00C93A7D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 w:val="0"/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39. bode, §</w:t>
      </w: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56l sa za slovo „Vozidlo“ vkladá slovo „taxislužby“ a slová „evidencie vozidiel“ sa nahrádzajú slovom „registra“.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ind w:left="3545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Legislatívno-technická úprava v súvislosti s používaním jednotnej terminológie.</w:t>
      </w:r>
      <w:r w:rsidRPr="00C93A7D">
        <w:rPr>
          <w:rStyle w:val="DefaultParagraphFont"/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tabs>
          <w:tab w:val="left" w:pos="426"/>
        </w:tabs>
        <w:autoSpaceDE/>
        <w:autoSpaceDN/>
        <w:bidi w:val="0"/>
        <w:adjustRightInd/>
        <w:spacing w:line="360" w:lineRule="auto"/>
        <w:ind w:left="284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 41 znie: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„41. Príloha sa dopĺňa desiatym bodom a jedenástym bodom, ktoré znejú: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„10. Smernica Európskeho parlamentu a Rady (EÚ) 2022/738 zo 6. apríla 2022, ktorou sa mení smernica 2006/1/ES o používaní vozidiel prenajatých bez vodičov na cestnú prepravu tovaru (Ú. v. EÚ L 137, 16.5.2022).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11. Smernica Európskeho parlamentu a Rady (EÚ) 2022/1999 z 19. októbra 2022 o jednotných postupoch kontroly cestnej prepravy nebezpečného tovaru (kodifikované znenie) (Ú. v. EÚ L 274, 24.10.2022).“.“.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545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Doplnenie transpozičnej prílohy zákona o smernicu Európskeho parlamentu a Rady (EÚ) 2022/1999 z 19. októbra 2022 o jednotných postupoch kontroly cestnej prepravy nebezpečného tovaru (kodifikované znenie) (Ú. v. EÚ L 274, 24.10.2022).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567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93A7D" w:rsidRPr="00C93A7D" w:rsidP="00C93A7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Style w:val="DefaultParagraphFont"/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III sa slová „1. júla“ nahrádzajú slovami „1. augusta“. 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súvislosti s touto úpravou sa v čl. I, 39. bode (§ 56l) slová „1. júla“ </w:t>
      </w:r>
      <w:r w:rsidRPr="00C93A7D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(2x)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nahradia slovami „1. augusta“</w:t>
      </w:r>
      <w:r w:rsidRPr="00C93A7D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.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354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Zmena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účinnosti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sa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navrhuje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dôvodu</w:t>
      </w:r>
      <w:r w:rsidRPr="00C93A7D">
        <w:rPr>
          <w:rFonts w:ascii="Times New Roman" w:eastAsia="Times New Roman" w:hAnsi="Times New Roman" w:cs="Times New Roman" w:hint="cs"/>
          <w:spacing w:val="182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trvania legislatívneho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procesu.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tohto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dôvodu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je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potrebné</w:t>
      </w:r>
      <w:r w:rsidRPr="00C93A7D">
        <w:rPr>
          <w:rFonts w:ascii="Times New Roman" w:eastAsia="Times New Roman" w:hAnsi="Times New Roman" w:cs="Times New Roman" w:hint="cs"/>
          <w:spacing w:val="-1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zmeniť účinnosť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tak,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boli dodržané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požiadavky</w:t>
      </w:r>
      <w:r w:rsidRPr="00C93A7D">
        <w:rPr>
          <w:rFonts w:ascii="Times New Roman" w:eastAsia="Times New Roman" w:hAnsi="Times New Roman" w:cs="Times New Roman" w:hint="cs"/>
          <w:spacing w:val="4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lehoty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stanovené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Ústavou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republiky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[čl.</w:t>
      </w:r>
      <w:r w:rsidRPr="00C93A7D">
        <w:rPr>
          <w:rFonts w:ascii="Times New Roman" w:eastAsia="Times New Roman" w:hAnsi="Times New Roman" w:cs="Times New Roman" w:hint="cs"/>
          <w:spacing w:val="4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87 ods. 2 až 4 a čl. 102 ods. 1 písm. o)].</w:t>
      </w:r>
    </w:p>
    <w:p w:rsidR="00C93A7D" w:rsidRPr="00C93A7D" w:rsidP="00C93A7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C93A7D" w:rsidRPr="00C93A7D" w:rsidP="00C93A7D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93A7D" w:rsidRPr="00C93A7D" w:rsidP="00C93A7D">
      <w:pPr>
        <w:framePr w:wrap="auto"/>
        <w:widowControl/>
        <w:autoSpaceDE/>
        <w:autoSpaceDN/>
        <w:bidi w:val="0"/>
        <w:adjustRightInd/>
        <w:spacing w:after="120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93A7D" w:rsidRPr="00C93A7D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C93A7D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93A7D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C93A7D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Pr="00C93A7D" w:rsid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18</w:t>
      </w:r>
      <w:r w:rsidRPr="00C93A7D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C93A7D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C93A7D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C93A7D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C93A7D" w:rsidRPr="00C93A7D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C93A7D" w:rsidRPr="00C93A7D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B5CA5" w:rsidRPr="00C93A7D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C93A7D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93A7D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C93A7D" w:rsidR="00DE1360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>zákona</w:t>
      </w:r>
      <w:r w:rsidRPr="00C93A7D" w:rsidR="00187A5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C93A7D" w:rsidR="0079762D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ktorým sa mení a dopĺňa zákon č. 56/2012 Z. z. o cestnej doprave v znení neskorších predpisov a ktorým sa mení zákon Národnej rady Slovenskej republiky č. 145/1995 Z. z. o správnych poplatkoch v znení neskorších predpisov </w:t>
      </w:r>
      <w:r w:rsidRPr="00C93A7D" w:rsidR="0079762D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(tlač 216</w:t>
      </w:r>
      <w:r w:rsidRPr="00C93A7D" w:rsidR="00DE1360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sk-SK" w:eastAsia="sk-SK" w:bidi="ar-SA"/>
        </w:rPr>
        <w:t>)</w:t>
      </w:r>
      <w:r w:rsidRPr="00C93A7D" w:rsidR="00DE1360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93A7D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93A7D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C93A7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C93A7D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93A7D" w:rsidR="002E7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79</w:t>
      </w:r>
      <w:r w:rsidRPr="00C93A7D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C93A7D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C93A7D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93A7D" w:rsidR="00316EE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C93A7D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C93A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C93A7D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C93A7D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C93A7D" w:rsidR="00AA0B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</w:t>
      </w:r>
      <w:r w:rsidRPr="00C93A7D" w:rsidR="000011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 w:rsidR="00AA0B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Sedláka</w:t>
      </w:r>
      <w:r w:rsidRPr="00C93A7D" w:rsidR="008743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C93A7D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C93A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C93A7D" w:rsidR="002E7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</w:t>
      </w: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93A7D" w:rsidR="008743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C93A7D" w:rsidR="00CF4E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93A7D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C93A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C93A7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C93A7D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C93A7D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C93A7D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C93A7D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C93A7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C93A7D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7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13A2A42"/>
    <w:multiLevelType w:val="hybridMultilevel"/>
    <w:tmpl w:val="D0BC4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EA785C"/>
    <w:multiLevelType w:val="hybridMultilevel"/>
    <w:tmpl w:val="6D1ADE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eastAsia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30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1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2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5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6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9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7"/>
  </w:num>
  <w:num w:numId="2">
    <w:abstractNumId w:val="24"/>
  </w:num>
  <w:num w:numId="3">
    <w:abstractNumId w:val="39"/>
  </w:num>
  <w:num w:numId="4">
    <w:abstractNumId w:val="14"/>
  </w:num>
  <w:num w:numId="5">
    <w:abstractNumId w:val="26"/>
  </w:num>
  <w:num w:numId="6">
    <w:abstractNumId w:val="3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9"/>
  </w:num>
  <w:num w:numId="12">
    <w:abstractNumId w:val="17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21"/>
  </w:num>
  <w:num w:numId="20">
    <w:abstractNumId w:val="45"/>
  </w:num>
  <w:num w:numId="21">
    <w:abstractNumId w:val="6"/>
  </w:num>
  <w:num w:numId="22">
    <w:abstractNumId w:val="32"/>
  </w:num>
  <w:num w:numId="23">
    <w:abstractNumId w:val="5"/>
  </w:num>
  <w:num w:numId="24">
    <w:abstractNumId w:val="41"/>
  </w:num>
  <w:num w:numId="25">
    <w:abstractNumId w:val="3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8"/>
  </w:num>
  <w:num w:numId="31">
    <w:abstractNumId w:val="30"/>
  </w:num>
  <w:num w:numId="32">
    <w:abstractNumId w:val="22"/>
  </w:num>
  <w:num w:numId="33">
    <w:abstractNumId w:val="40"/>
  </w:num>
  <w:num w:numId="34">
    <w:abstractNumId w:val="23"/>
  </w:num>
  <w:num w:numId="35">
    <w:abstractNumId w:val="10"/>
  </w:num>
  <w:num w:numId="36">
    <w:abstractNumId w:val="44"/>
  </w:num>
  <w:num w:numId="37">
    <w:abstractNumId w:val="43"/>
  </w:num>
  <w:num w:numId="38">
    <w:abstractNumId w:val="9"/>
  </w:num>
  <w:num w:numId="39">
    <w:abstractNumId w:val="15"/>
  </w:num>
  <w:num w:numId="40">
    <w:abstractNumId w:val="20"/>
  </w:num>
  <w:num w:numId="41">
    <w:abstractNumId w:val="36"/>
  </w:num>
  <w:num w:numId="42">
    <w:abstractNumId w:val="4"/>
  </w:num>
  <w:num w:numId="43">
    <w:abstractNumId w:val="35"/>
  </w:num>
  <w:num w:numId="44">
    <w:abstractNumId w:val="11"/>
  </w:num>
  <w:num w:numId="45">
    <w:abstractNumId w:val="28"/>
  </w:num>
  <w:num w:numId="46">
    <w:abstractNumId w:val="27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195</TotalTime>
  <Pages>7</Pages>
  <Words>1548</Words>
  <Characters>8829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65</cp:revision>
  <cp:lastPrinted>2020-05-20T15:53:00Z</cp:lastPrinted>
  <dcterms:created xsi:type="dcterms:W3CDTF">2021-10-19T14:12:00Z</dcterms:created>
  <dcterms:modified xsi:type="dcterms:W3CDTF">2024-06-10T16:47:00Z</dcterms:modified>
</cp:coreProperties>
</file>