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BF7C54" w:rsidRPr="003C0DDF" w:rsidRDefault="00BF7C54" w:rsidP="00BF7C54">
      <w:pPr>
        <w:jc w:val="both"/>
        <w:rPr>
          <w:b/>
          <w:bCs/>
          <w:sz w:val="20"/>
          <w:szCs w:val="20"/>
        </w:rPr>
      </w:pPr>
    </w:p>
    <w:p w:rsidR="00BF7C54" w:rsidRPr="002D4949" w:rsidRDefault="00BF7C54" w:rsidP="00BF7C54">
      <w:pPr>
        <w:rPr>
          <w:sz w:val="22"/>
          <w:szCs w:val="22"/>
        </w:rPr>
      </w:pPr>
      <w:r w:rsidRPr="002D4949">
        <w:rPr>
          <w:sz w:val="22"/>
          <w:szCs w:val="22"/>
        </w:rPr>
        <w:t>Číslo: CRD</w:t>
      </w:r>
      <w:r w:rsidRPr="006B5438">
        <w:rPr>
          <w:sz w:val="22"/>
          <w:szCs w:val="22"/>
        </w:rPr>
        <w:t>-</w:t>
      </w:r>
      <w:r w:rsidR="00AD7BE7">
        <w:rPr>
          <w:sz w:val="22"/>
          <w:szCs w:val="22"/>
        </w:rPr>
        <w:t>634</w:t>
      </w:r>
      <w:r w:rsidRPr="006B5438">
        <w:rPr>
          <w:sz w:val="22"/>
          <w:szCs w:val="22"/>
        </w:rPr>
        <w:t>/202</w:t>
      </w:r>
      <w:r w:rsidR="00AD7BE7">
        <w:rPr>
          <w:sz w:val="22"/>
          <w:szCs w:val="22"/>
        </w:rPr>
        <w:t>4</w:t>
      </w:r>
      <w:r w:rsidRPr="00C1772A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6188" w:rsidRPr="00C559BC">
        <w:rPr>
          <w:b/>
          <w:sz w:val="22"/>
          <w:szCs w:val="22"/>
        </w:rPr>
        <w:t>16</w:t>
      </w:r>
      <w:r w:rsidRPr="00C559BC">
        <w:rPr>
          <w:b/>
          <w:sz w:val="22"/>
          <w:szCs w:val="22"/>
        </w:rPr>
        <w:t>.</w:t>
      </w:r>
      <w:r w:rsidRPr="002D4949">
        <w:rPr>
          <w:sz w:val="22"/>
          <w:szCs w:val="22"/>
        </w:rPr>
        <w:t xml:space="preserve"> schôdza výboru</w:t>
      </w:r>
    </w:p>
    <w:p w:rsidR="00BF7C54" w:rsidRDefault="00D472C3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</w:p>
    <w:p w:rsidR="00BF7C54" w:rsidRPr="002D4949" w:rsidRDefault="00BF7C54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BF7C54" w:rsidRPr="002D4949" w:rsidRDefault="00BF7C54" w:rsidP="00BF7C5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BF7C54" w:rsidRPr="002D4949" w:rsidRDefault="00BF7C54" w:rsidP="00BF7C54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BF7C54" w:rsidRPr="002D4949" w:rsidRDefault="00BF7C54" w:rsidP="00BF7C54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806188">
        <w:rPr>
          <w:b/>
          <w:bCs/>
        </w:rPr>
        <w:t>10</w:t>
      </w:r>
      <w:r w:rsidRPr="002D4949">
        <w:rPr>
          <w:b/>
          <w:bCs/>
        </w:rPr>
        <w:t xml:space="preserve">. </w:t>
      </w:r>
      <w:r w:rsidR="00AD7BE7">
        <w:rPr>
          <w:b/>
          <w:bCs/>
        </w:rPr>
        <w:t>júna</w:t>
      </w:r>
      <w:r>
        <w:rPr>
          <w:b/>
          <w:bCs/>
        </w:rPr>
        <w:t xml:space="preserve"> </w:t>
      </w:r>
      <w:r w:rsidRPr="002D4949">
        <w:rPr>
          <w:b/>
          <w:bCs/>
        </w:rPr>
        <w:t>20</w:t>
      </w:r>
      <w:r>
        <w:rPr>
          <w:b/>
          <w:bCs/>
        </w:rPr>
        <w:t>24</w:t>
      </w:r>
    </w:p>
    <w:p w:rsidR="00BF7C54" w:rsidRDefault="00BF7C54" w:rsidP="00BF7C54">
      <w:pPr>
        <w:tabs>
          <w:tab w:val="left" w:pos="709"/>
          <w:tab w:val="left" w:pos="964"/>
        </w:tabs>
        <w:jc w:val="both"/>
      </w:pPr>
    </w:p>
    <w:p w:rsidR="00BF7C54" w:rsidRPr="00AD7BE7" w:rsidRDefault="003F6CFB" w:rsidP="00BF7C54">
      <w:pPr>
        <w:tabs>
          <w:tab w:val="left" w:pos="709"/>
          <w:tab w:val="left" w:pos="964"/>
        </w:tabs>
        <w:spacing w:line="276" w:lineRule="auto"/>
        <w:jc w:val="both"/>
        <w:rPr>
          <w:b/>
        </w:rPr>
      </w:pPr>
      <w:r>
        <w:rPr>
          <w:rFonts w:cs="Arial"/>
          <w:noProof/>
        </w:rPr>
        <w:t xml:space="preserve">k </w:t>
      </w:r>
      <w:r w:rsidR="00BF7C54" w:rsidRPr="00BF7C54">
        <w:rPr>
          <w:rFonts w:cs="Arial"/>
          <w:noProof/>
        </w:rPr>
        <w:t>vládnemu návrhu zákona,</w:t>
      </w:r>
      <w:r w:rsidR="00AD7BE7" w:rsidRPr="00AD7BE7">
        <w:rPr>
          <w:rFonts w:cs="Arial"/>
          <w:noProof/>
        </w:rPr>
        <w:t xml:space="preserve"> ktorým sa mení a dopĺňa zákon č. 404/2011 Z. z. o pobyte cudzincov a o zmene a doplnení niektorých zákonov v znení neskorších predpisov a ktorým sa menia a dopĺňajú niektoré zákony </w:t>
      </w:r>
      <w:r w:rsidR="00AD7BE7" w:rsidRPr="00AD7BE7">
        <w:rPr>
          <w:rFonts w:cs="Arial"/>
          <w:b/>
        </w:rPr>
        <w:t>(tlač 225)</w:t>
      </w:r>
      <w:r w:rsidR="00AD7BE7" w:rsidRPr="00AD7BE7">
        <w:rPr>
          <w:b/>
        </w:rPr>
        <w:t xml:space="preserve"> </w:t>
      </w:r>
    </w:p>
    <w:p w:rsidR="00AD7BE7" w:rsidRPr="00AD7BE7" w:rsidRDefault="00AD7BE7" w:rsidP="00BF7C54">
      <w:pPr>
        <w:tabs>
          <w:tab w:val="left" w:pos="709"/>
          <w:tab w:val="left" w:pos="964"/>
        </w:tabs>
        <w:spacing w:line="276" w:lineRule="auto"/>
        <w:jc w:val="both"/>
      </w:pP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BF7C54" w:rsidRPr="00E4639D" w:rsidRDefault="00BF7C54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BF7C54" w:rsidRPr="00BF7C54" w:rsidRDefault="00BF7C54" w:rsidP="00AD7BE7">
      <w:pPr>
        <w:tabs>
          <w:tab w:val="left" w:pos="709"/>
          <w:tab w:val="left" w:pos="964"/>
        </w:tabs>
        <w:spacing w:line="276" w:lineRule="auto"/>
        <w:jc w:val="both"/>
      </w:pPr>
      <w:r w:rsidRPr="00BF7C54">
        <w:t xml:space="preserve">      </w:t>
      </w:r>
      <w:r w:rsidR="00B0199B">
        <w:tab/>
        <w:t xml:space="preserve">      </w:t>
      </w:r>
      <w:r w:rsidRPr="00BF7C54">
        <w:t xml:space="preserve">s vládnym návrhom </w:t>
      </w:r>
      <w:r w:rsidRPr="00BF7C54">
        <w:rPr>
          <w:color w:val="000000"/>
        </w:rPr>
        <w:t xml:space="preserve">zákona, </w:t>
      </w:r>
      <w:r w:rsidR="00AD7BE7" w:rsidRPr="00AD7BE7">
        <w:rPr>
          <w:rFonts w:cs="Arial"/>
          <w:noProof/>
        </w:rPr>
        <w:t xml:space="preserve">ktorým sa mení a dopĺňa zákon č. 404/2011 Z. z. o pobyte cudzincov a o zmene a doplnení niektorých zákonov v znení neskorších predpisov a ktorým sa menia a dopĺňajú niektoré zákony </w:t>
      </w:r>
      <w:r w:rsidR="00AD7BE7" w:rsidRPr="00AD7BE7">
        <w:rPr>
          <w:rFonts w:cs="Arial"/>
          <w:b/>
        </w:rPr>
        <w:t>(tlač 225)</w:t>
      </w:r>
      <w:r w:rsidRPr="00BF7C54">
        <w:t>;</w:t>
      </w:r>
    </w:p>
    <w:p w:rsidR="00BF7C54" w:rsidRPr="00035B38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BF7C54" w:rsidRPr="00E4639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BF7C54" w:rsidRPr="00E4639D" w:rsidRDefault="00BF7C54" w:rsidP="00AD7BE7">
      <w:pPr>
        <w:tabs>
          <w:tab w:val="left" w:pos="709"/>
          <w:tab w:val="left" w:pos="964"/>
        </w:tabs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="00AD7BE7" w:rsidRPr="00AD7BE7">
        <w:rPr>
          <w:rFonts w:cs="Arial"/>
          <w:noProof/>
        </w:rPr>
        <w:t xml:space="preserve">ktorým sa mení a dopĺňa zákon č. 404/2011 Z. z. o pobyte cudzincov a o zmene a doplnení niektorých zákonov v znení neskorších predpisov a ktorým sa menia a dopĺňajú niektoré zákony </w:t>
      </w:r>
      <w:r w:rsidR="00AD7BE7" w:rsidRPr="00AD7BE7">
        <w:rPr>
          <w:rFonts w:cs="Arial"/>
          <w:b/>
        </w:rPr>
        <w:t>(tlač 225)</w:t>
      </w:r>
      <w:r w:rsidR="00AD7BE7" w:rsidRPr="00AD7BE7">
        <w:rPr>
          <w:b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Pr="00E4639D">
        <w:t>s</w:t>
      </w:r>
      <w:r w:rsidRPr="00E4639D">
        <w:rPr>
          <w:bCs/>
        </w:rPr>
        <w:t> pozmeňujúcimi a doplňujúcimi návrhmi, ktoré tvoria prílohu tohto uznesenia</w:t>
      </w:r>
      <w:r w:rsidRPr="00E4639D">
        <w:t>;</w:t>
      </w:r>
    </w:p>
    <w:p w:rsidR="00BF7C54" w:rsidRPr="000E7A4E" w:rsidRDefault="00BF7C54" w:rsidP="00BF7C54"/>
    <w:p w:rsidR="00BF7C54" w:rsidRPr="002D4949" w:rsidRDefault="00BF7C54" w:rsidP="00BF7C54">
      <w:pPr>
        <w:pStyle w:val="Nadpis7"/>
        <w:numPr>
          <w:ilvl w:val="0"/>
          <w:numId w:val="5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BF7C54" w:rsidRPr="002D4949" w:rsidRDefault="00BF7C54" w:rsidP="00BF7C54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BF7C54" w:rsidRPr="002D4949" w:rsidRDefault="00BF7C54" w:rsidP="00BF7C54">
      <w:pPr>
        <w:ind w:left="1080"/>
        <w:rPr>
          <w:b/>
          <w:bCs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predsedu gestorského </w:t>
      </w:r>
      <w:r w:rsidR="00AD7BE7">
        <w:t>Výboru</w:t>
      </w:r>
      <w:r>
        <w:t xml:space="preserve"> Národnej rady Slovenskej republiky</w:t>
      </w:r>
      <w:r w:rsidR="00AD7BE7">
        <w:t xml:space="preserve"> pre obranu a bezpečnosť</w:t>
      </w:r>
      <w:r>
        <w:t xml:space="preserve">. </w:t>
      </w:r>
    </w:p>
    <w:p w:rsidR="00BF7C54" w:rsidRDefault="00BF7C54" w:rsidP="00BF7C54"/>
    <w:p w:rsidR="00AD7BE7" w:rsidRDefault="00AD7BE7" w:rsidP="00BF7C54"/>
    <w:p w:rsidR="00B0199B" w:rsidRPr="00BF35E2" w:rsidRDefault="00B0199B" w:rsidP="00BF7C54"/>
    <w:p w:rsidR="00BF7C54" w:rsidRPr="00FE5B01" w:rsidRDefault="00BF7C54" w:rsidP="00BF7C54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BF7C54" w:rsidRPr="00FE5B01" w:rsidRDefault="00BF7C54" w:rsidP="00BF7C54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7C54" w:rsidRPr="00BF35E2" w:rsidRDefault="00BF7C54" w:rsidP="00BF7C54">
      <w:pPr>
        <w:ind w:left="5664" w:firstLine="708"/>
        <w:rPr>
          <w:rStyle w:val="Siln"/>
          <w:sz w:val="16"/>
          <w:szCs w:val="16"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7C54" w:rsidRDefault="00BF7C54" w:rsidP="00BF7C54">
      <w:pPr>
        <w:rPr>
          <w:b/>
          <w:bCs/>
        </w:rPr>
      </w:pPr>
      <w:r>
        <w:rPr>
          <w:b/>
          <w:bCs/>
        </w:rPr>
        <w:t>Michal Stuška</w:t>
      </w:r>
    </w:p>
    <w:p w:rsidR="00BF7C54" w:rsidRDefault="00BF7C54" w:rsidP="00BF7C54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  <w:r>
        <w:rPr>
          <w:color w:val="FF0000"/>
        </w:rPr>
        <w:br w:type="page"/>
      </w:r>
    </w:p>
    <w:p w:rsidR="00BF7C54" w:rsidRDefault="00BF7C54" w:rsidP="00BF7C54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BF7C54" w:rsidRDefault="00BF7C54" w:rsidP="00BF7C54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BF7C54" w:rsidRPr="00E4639D" w:rsidRDefault="00BF7C54" w:rsidP="00BF7C54">
      <w:pPr>
        <w:jc w:val="both"/>
        <w:rPr>
          <w:b/>
          <w:bCs/>
        </w:rPr>
      </w:pPr>
    </w:p>
    <w:p w:rsidR="00BF7C54" w:rsidRPr="00D13B0C" w:rsidRDefault="00BF7C54" w:rsidP="00BE36C3">
      <w:pPr>
        <w:jc w:val="both"/>
        <w:rPr>
          <w:b/>
          <w:sz w:val="22"/>
          <w:szCs w:val="22"/>
        </w:rPr>
      </w:pPr>
      <w:r w:rsidRPr="00E4639D">
        <w:t> </w:t>
      </w:r>
      <w:r w:rsidR="00BE36C3">
        <w:rPr>
          <w:sz w:val="22"/>
          <w:szCs w:val="22"/>
        </w:rPr>
        <w:tab/>
      </w:r>
      <w:r w:rsidR="00BE36C3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="004D6583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A60635">
        <w:rPr>
          <w:b/>
          <w:sz w:val="22"/>
          <w:szCs w:val="22"/>
        </w:rPr>
        <w:t>37</w:t>
      </w:r>
    </w:p>
    <w:p w:rsidR="00BF7C54" w:rsidRPr="00E4639D" w:rsidRDefault="00BF7C54" w:rsidP="00BF7C54">
      <w:pPr>
        <w:jc w:val="center"/>
      </w:pPr>
    </w:p>
    <w:p w:rsidR="00BF7C54" w:rsidRPr="00E4639D" w:rsidRDefault="00BF7C54" w:rsidP="00BF7C54">
      <w:pPr>
        <w:jc w:val="both"/>
        <w:rPr>
          <w:lang w:val="cs-CZ"/>
        </w:rPr>
      </w:pPr>
    </w:p>
    <w:p w:rsidR="00BF7C54" w:rsidRPr="00E4639D" w:rsidRDefault="00BF7C54" w:rsidP="00BF7C54">
      <w:pPr>
        <w:jc w:val="center"/>
        <w:rPr>
          <w:b/>
        </w:rPr>
      </w:pPr>
      <w:r w:rsidRPr="00E4639D">
        <w:rPr>
          <w:b/>
        </w:rPr>
        <w:t>Pozmeňujúce a doplňujúce návrhy</w:t>
      </w:r>
    </w:p>
    <w:p w:rsidR="00BF7C54" w:rsidRDefault="00BF7C54" w:rsidP="00BF7C54">
      <w:pPr>
        <w:rPr>
          <w:b/>
          <w:bCs/>
          <w:iCs/>
        </w:rPr>
      </w:pPr>
    </w:p>
    <w:p w:rsidR="00BF7C54" w:rsidRDefault="00BF7C54" w:rsidP="00BF7C54">
      <w:pPr>
        <w:spacing w:line="276" w:lineRule="auto"/>
        <w:jc w:val="both"/>
      </w:pPr>
    </w:p>
    <w:p w:rsidR="00AD7BE7" w:rsidRPr="00AD7BE7" w:rsidRDefault="003F6CFB" w:rsidP="00AD7BE7">
      <w:pPr>
        <w:tabs>
          <w:tab w:val="left" w:pos="709"/>
          <w:tab w:val="left" w:pos="964"/>
        </w:tabs>
        <w:spacing w:line="276" w:lineRule="auto"/>
        <w:jc w:val="both"/>
        <w:rPr>
          <w:b/>
        </w:rPr>
      </w:pPr>
      <w:r>
        <w:rPr>
          <w:rFonts w:cs="Arial"/>
          <w:noProof/>
        </w:rPr>
        <w:t>k</w:t>
      </w:r>
      <w:bookmarkStart w:id="0" w:name="_GoBack"/>
      <w:bookmarkEnd w:id="0"/>
      <w:r>
        <w:rPr>
          <w:rFonts w:cs="Arial"/>
          <w:noProof/>
        </w:rPr>
        <w:t xml:space="preserve"> </w:t>
      </w:r>
      <w:r w:rsidR="00BF7C54" w:rsidRPr="00BF7C54">
        <w:rPr>
          <w:rFonts w:cs="Arial"/>
          <w:noProof/>
        </w:rPr>
        <w:t>vládnemu návrhu zákona,</w:t>
      </w:r>
      <w:r w:rsidR="00BF7C54" w:rsidRPr="00BF7C54">
        <w:rPr>
          <w:rFonts w:cs="Arial"/>
        </w:rPr>
        <w:t xml:space="preserve"> </w:t>
      </w:r>
      <w:r w:rsidR="00AD7BE7" w:rsidRPr="00AD7BE7">
        <w:rPr>
          <w:rFonts w:cs="Arial"/>
          <w:noProof/>
        </w:rPr>
        <w:t xml:space="preserve">ktorým sa mení a dopĺňa zákon č. 404/2011 Z. z. o pobyte cudzincov a o zmene a doplnení niektorých zákonov v znení neskorších predpisov a ktorým sa menia a dopĺňajú niektoré zákony </w:t>
      </w:r>
      <w:r w:rsidR="00AD7BE7" w:rsidRPr="00AD7BE7">
        <w:rPr>
          <w:rFonts w:cs="Arial"/>
          <w:b/>
        </w:rPr>
        <w:t>(tlač 225)</w:t>
      </w:r>
      <w:r w:rsidR="00AD7BE7" w:rsidRPr="00AD7BE7">
        <w:rPr>
          <w:b/>
        </w:rPr>
        <w:t xml:space="preserve"> </w:t>
      </w:r>
    </w:p>
    <w:p w:rsidR="00BF7C54" w:rsidRDefault="00BF7C54" w:rsidP="00BF7C54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BF7C54" w:rsidRDefault="00BF7C54" w:rsidP="00BF7C54">
      <w:pPr>
        <w:rPr>
          <w:b/>
          <w:bCs/>
          <w:iCs/>
        </w:rPr>
      </w:pPr>
    </w:p>
    <w:p w:rsidR="00BE36C3" w:rsidRDefault="00BE36C3" w:rsidP="00946ECF">
      <w:pPr>
        <w:pStyle w:val="Odsekzoznamu"/>
        <w:numPr>
          <w:ilvl w:val="0"/>
          <w:numId w:val="10"/>
        </w:numPr>
        <w:spacing w:before="120" w:line="360" w:lineRule="auto"/>
        <w:jc w:val="both"/>
      </w:pPr>
      <w:r>
        <w:t>V čl. I 27. bode § 32 ods. 5 písm. a)  sa pred slová „osobitného predpisu“ vkladajú slová „vo forme podľa“.</w:t>
      </w:r>
    </w:p>
    <w:p w:rsidR="00BE36C3" w:rsidRDefault="00BE36C3" w:rsidP="00893CB5">
      <w:pPr>
        <w:spacing w:before="100" w:beforeAutospacing="1"/>
        <w:ind w:left="3540"/>
        <w:contextualSpacing/>
        <w:jc w:val="both"/>
      </w:pPr>
      <w:r>
        <w:t xml:space="preserve">Ide o legislatívno-technickú úpravu, ktorou sa upravuje znenie novelizačného bodu tak, aby zapracovaná úprava bola formulačne správna. </w:t>
      </w:r>
    </w:p>
    <w:p w:rsidR="00BE36C3" w:rsidRDefault="00BE36C3" w:rsidP="00946ECF">
      <w:pPr>
        <w:pStyle w:val="Odsekzoznamu"/>
        <w:numPr>
          <w:ilvl w:val="0"/>
          <w:numId w:val="10"/>
        </w:numPr>
        <w:spacing w:before="120" w:line="360" w:lineRule="auto"/>
        <w:jc w:val="both"/>
      </w:pPr>
      <w:r>
        <w:t>V čl. I 28. bode sa slová „a) až t)“ nahrádzajú slovami „c), d), f) až t)“ a slová „a) až r)“ sa nahrádzajú slovami „b) až r)“.</w:t>
      </w:r>
    </w:p>
    <w:p w:rsidR="00BE36C3" w:rsidRDefault="00BE36C3" w:rsidP="00893CB5">
      <w:pPr>
        <w:spacing w:before="100" w:beforeAutospacing="1"/>
        <w:ind w:left="3540"/>
        <w:contextualSpacing/>
        <w:jc w:val="both"/>
      </w:pPr>
      <w:r>
        <w:t>Ide o legislatívno-technickú úpravu, ktorou sa spresňuje označenie písmen v § 32 ods. 5, po navrhovanej zmene v novelizačnom bode 28 (čl. I).</w:t>
      </w:r>
    </w:p>
    <w:p w:rsidR="00BE36C3" w:rsidRDefault="00BE36C3" w:rsidP="00BE36C3">
      <w:pPr>
        <w:spacing w:before="100" w:beforeAutospacing="1"/>
        <w:ind w:left="4247"/>
        <w:contextualSpacing/>
        <w:jc w:val="both"/>
      </w:pPr>
    </w:p>
    <w:p w:rsidR="00BE36C3" w:rsidRPr="00946ECF" w:rsidRDefault="00BE36C3" w:rsidP="00946ECF">
      <w:pPr>
        <w:pStyle w:val="Odsekzoznamu"/>
        <w:numPr>
          <w:ilvl w:val="0"/>
          <w:numId w:val="10"/>
        </w:numPr>
        <w:jc w:val="both"/>
        <w:rPr>
          <w:rFonts w:eastAsiaTheme="minorHAnsi"/>
        </w:rPr>
      </w:pPr>
      <w:r>
        <w:t>V čl. I sa za bod 107 vkladá nový bod 108, ktorý znie:</w:t>
      </w:r>
    </w:p>
    <w:p w:rsidR="00BE36C3" w:rsidRDefault="00BE36C3" w:rsidP="00946ECF">
      <w:pPr>
        <w:ind w:left="360"/>
        <w:jc w:val="both"/>
      </w:pPr>
      <w:r>
        <w:t>„108. V § 118 ods. 1 písm. b) sa slová „§ 38 ods. 8 alebo ods. 9“ nahrádzajú slovami „§ 38 ods. 6“.“.</w:t>
      </w:r>
    </w:p>
    <w:p w:rsidR="00BE36C3" w:rsidRDefault="00BE36C3" w:rsidP="00946ECF">
      <w:pPr>
        <w:ind w:left="284"/>
        <w:jc w:val="both"/>
      </w:pPr>
      <w:r>
        <w:t xml:space="preserve">Nasledujúce body sa primerane prečíslujú, čo sa premietne do ustanovenia o účinnosti </w:t>
      </w:r>
      <w:r w:rsidR="00946ECF">
        <w:br/>
      </w:r>
      <w:r>
        <w:t>(čl. V).</w:t>
      </w:r>
    </w:p>
    <w:p w:rsidR="00BE36C3" w:rsidRDefault="00BE36C3" w:rsidP="00893CB5">
      <w:pPr>
        <w:ind w:left="3540"/>
        <w:contextualSpacing/>
        <w:jc w:val="both"/>
      </w:pPr>
      <w:r>
        <w:t>Ide o legislatívno-technickú úpravu v súvislosti so zmenou navrhovanou v čl. I 59. bode, ktorou sa navrhuje nové znenie § 38, a preto je potrebné primerane upraviť vnútorný odkaz na § 38 v súčasnom znení § 118 ods. 1 písm. b).</w:t>
      </w:r>
    </w:p>
    <w:p w:rsidR="00BE36C3" w:rsidRDefault="00BE36C3" w:rsidP="00893CB5">
      <w:pPr>
        <w:spacing w:before="100" w:beforeAutospacing="1"/>
        <w:ind w:left="3540"/>
        <w:contextualSpacing/>
        <w:jc w:val="both"/>
        <w:rPr>
          <w:strike/>
        </w:rPr>
      </w:pPr>
    </w:p>
    <w:p w:rsidR="00BE36C3" w:rsidRDefault="00BE36C3" w:rsidP="00946ECF">
      <w:pPr>
        <w:pStyle w:val="Odsekzoznamu"/>
        <w:numPr>
          <w:ilvl w:val="0"/>
          <w:numId w:val="10"/>
        </w:numPr>
        <w:spacing w:before="120" w:line="360" w:lineRule="auto"/>
        <w:jc w:val="both"/>
      </w:pPr>
      <w:r>
        <w:t>V čl. I 111. bode § 121 ods. 1 sa slová „iného členského štátu“ nahrádzajú slovami „členského štátu“.</w:t>
      </w:r>
    </w:p>
    <w:p w:rsidR="00BE36C3" w:rsidRDefault="00BE36C3" w:rsidP="00893CB5">
      <w:pPr>
        <w:ind w:left="3540"/>
        <w:contextualSpacing/>
        <w:jc w:val="both"/>
      </w:pPr>
      <w:r>
        <w:t xml:space="preserve">Ide o legislatívno-technickú úpravu, ktorou sa navrhovaná terminológia zosúlaďuje s terminológiou v súčasnom znení § 2 ods. 1 písm. c) kde je zavedený pojem „členský štát“ a rozumejú sa pod ním, okrem iných, aj všetky </w:t>
      </w:r>
      <w:r>
        <w:lastRenderedPageBreak/>
        <w:t>členské štáty okrem Slovenskej republiky. Pojem „iný členský štát“ súčasné znenie zákona nepozná.</w:t>
      </w:r>
    </w:p>
    <w:p w:rsidR="00BE36C3" w:rsidRDefault="00BE36C3" w:rsidP="00BE36C3">
      <w:pPr>
        <w:ind w:left="4247"/>
        <w:contextualSpacing/>
        <w:jc w:val="both"/>
        <w:rPr>
          <w:highlight w:val="yellow"/>
        </w:rPr>
      </w:pPr>
    </w:p>
    <w:p w:rsidR="00BE36C3" w:rsidRDefault="00BE36C3" w:rsidP="00946ECF">
      <w:pPr>
        <w:pStyle w:val="Zarkazkladnhotextu"/>
        <w:numPr>
          <w:ilvl w:val="0"/>
          <w:numId w:val="10"/>
        </w:numPr>
        <w:spacing w:line="360" w:lineRule="auto"/>
        <w:jc w:val="both"/>
      </w:pPr>
      <w:r>
        <w:t xml:space="preserve">V čl. I 112. bode § 121 ods. 3 sa slová „iného členského štátu Európskej únie“ nahrádzajú slovami „členského štátu“. </w:t>
      </w:r>
    </w:p>
    <w:p w:rsidR="00BE36C3" w:rsidRDefault="00BE36C3" w:rsidP="00BE36C3">
      <w:pPr>
        <w:spacing w:after="120"/>
        <w:ind w:left="283"/>
      </w:pPr>
    </w:p>
    <w:p w:rsidR="00BE36C3" w:rsidRDefault="00BE36C3" w:rsidP="00893CB5">
      <w:pPr>
        <w:spacing w:after="120"/>
        <w:ind w:left="3540"/>
      </w:pPr>
      <w:r>
        <w:t xml:space="preserve">Legislatívno-technická pripomienka, keďže v zákone sa používa pojem „členský štát“. </w:t>
      </w:r>
    </w:p>
    <w:p w:rsidR="00BE36C3" w:rsidRDefault="00BE36C3" w:rsidP="00BE36C3">
      <w:pPr>
        <w:jc w:val="both"/>
        <w:rPr>
          <w:rFonts w:eastAsiaTheme="minorHAnsi"/>
        </w:rPr>
      </w:pPr>
    </w:p>
    <w:p w:rsidR="00BE36C3" w:rsidRDefault="00BE36C3" w:rsidP="00946ECF">
      <w:pPr>
        <w:pStyle w:val="Odsekzoznamu"/>
        <w:numPr>
          <w:ilvl w:val="0"/>
          <w:numId w:val="10"/>
        </w:numPr>
        <w:spacing w:line="360" w:lineRule="auto"/>
        <w:jc w:val="both"/>
      </w:pPr>
      <w:r>
        <w:t>V čl. I bod 123 znie:</w:t>
      </w:r>
    </w:p>
    <w:p w:rsidR="00BE36C3" w:rsidRDefault="00BE36C3" w:rsidP="00946ECF">
      <w:pPr>
        <w:spacing w:line="360" w:lineRule="auto"/>
        <w:ind w:left="360"/>
        <w:jc w:val="both"/>
      </w:pPr>
      <w:r>
        <w:t>„123. V § 125 ods. 14 sa slová „§ 38 ods. 11“ nahrádzajú slovami „§ 38 ods. 7“ a slová „§ 40 ods. 7“ sa nahrádzajú slovami „§ 40 ods. 6“.“.</w:t>
      </w:r>
    </w:p>
    <w:p w:rsidR="00BE36C3" w:rsidRDefault="00BE36C3" w:rsidP="00893CB5">
      <w:pPr>
        <w:ind w:left="3540"/>
        <w:contextualSpacing/>
        <w:jc w:val="both"/>
      </w:pPr>
      <w:r>
        <w:t>Ide o legislatívno-technickú úpravu. Upravuje sa súčasné znenie § 125 ods. 12 zákona o pobyte cudzincov, ktoré obsahuje vnútorný odkaz na súčasné znenie § 40 ods. 7, ktorý je po navrhovanej zmene v čl. I 59. bode vecne a obsahovo nesprávny.</w:t>
      </w:r>
    </w:p>
    <w:p w:rsidR="00BE36C3" w:rsidRDefault="00BE36C3" w:rsidP="00754C33">
      <w:pPr>
        <w:spacing w:line="276" w:lineRule="auto"/>
        <w:ind w:left="4247"/>
        <w:contextualSpacing/>
        <w:jc w:val="both"/>
      </w:pPr>
    </w:p>
    <w:p w:rsidR="00BE36C3" w:rsidRPr="00946ECF" w:rsidRDefault="00BE36C3" w:rsidP="00754C33">
      <w:pPr>
        <w:pStyle w:val="Odsekzoznamu"/>
        <w:numPr>
          <w:ilvl w:val="0"/>
          <w:numId w:val="10"/>
        </w:numPr>
        <w:spacing w:line="276" w:lineRule="auto"/>
        <w:jc w:val="both"/>
        <w:rPr>
          <w:rFonts w:eastAsiaTheme="minorHAnsi"/>
        </w:rPr>
      </w:pPr>
      <w:r>
        <w:t xml:space="preserve">V čl. I sa za bod 128 vkladá nový bod 129, ktorý znie: </w:t>
      </w:r>
    </w:p>
    <w:p w:rsidR="00BE36C3" w:rsidRDefault="00BE36C3" w:rsidP="00754C33">
      <w:pPr>
        <w:spacing w:line="276" w:lineRule="auto"/>
        <w:ind w:left="360"/>
        <w:jc w:val="both"/>
      </w:pPr>
      <w:r>
        <w:t>„129. V § 131k ods. 4 sa slová „§ 38 ods. 11“ nahrádzajú slovami „§ 38 ods. 7“.“.</w:t>
      </w:r>
    </w:p>
    <w:p w:rsidR="00BE36C3" w:rsidRDefault="00BE36C3" w:rsidP="00754C33">
      <w:pPr>
        <w:spacing w:before="240"/>
        <w:ind w:firstLine="708"/>
        <w:jc w:val="both"/>
      </w:pPr>
      <w:r>
        <w:t>Nasledujúce body sa primerane prečíslujú.</w:t>
      </w:r>
    </w:p>
    <w:p w:rsidR="00893CB5" w:rsidRDefault="00893CB5" w:rsidP="00946ECF">
      <w:pPr>
        <w:ind w:left="3900"/>
        <w:contextualSpacing/>
        <w:jc w:val="both"/>
      </w:pPr>
    </w:p>
    <w:p w:rsidR="00BE36C3" w:rsidRDefault="00BE36C3" w:rsidP="00893CB5">
      <w:pPr>
        <w:ind w:left="3540"/>
        <w:contextualSpacing/>
        <w:jc w:val="both"/>
      </w:pPr>
      <w:r>
        <w:t>Ide o legislatívno-technickú úpravu, ktorou sa reaguje na návrh nového znenia čl. I 123 bodu.</w:t>
      </w:r>
    </w:p>
    <w:p w:rsidR="00BE36C3" w:rsidRDefault="00BE36C3" w:rsidP="00332305">
      <w:pPr>
        <w:spacing w:line="360" w:lineRule="auto"/>
        <w:jc w:val="both"/>
      </w:pPr>
    </w:p>
    <w:p w:rsidR="00BE36C3" w:rsidRDefault="00BE36C3" w:rsidP="00946ECF">
      <w:pPr>
        <w:pStyle w:val="Odsekzoznamu"/>
        <w:numPr>
          <w:ilvl w:val="0"/>
          <w:numId w:val="10"/>
        </w:numPr>
        <w:tabs>
          <w:tab w:val="left" w:pos="284"/>
        </w:tabs>
        <w:spacing w:before="100" w:beforeAutospacing="1" w:line="276" w:lineRule="auto"/>
        <w:jc w:val="both"/>
      </w:pPr>
      <w:r>
        <w:t>V čl. II 8. bode  sa v texte šiesteho bodu odkaz na poznámku pod čiarou „16ba“ nahrádza odkazom „47ak“ a v úvodnej vete k poznámke pod čiarou a v poznámke pod čiarou sa označenie odkazu „16ba“ nahrádza označením „47ak“.</w:t>
      </w:r>
    </w:p>
    <w:p w:rsidR="00BE36C3" w:rsidRDefault="00BE36C3" w:rsidP="00BE36C3">
      <w:pPr>
        <w:spacing w:before="100" w:beforeAutospacing="1" w:line="360" w:lineRule="auto"/>
        <w:ind w:left="720"/>
        <w:contextualSpacing/>
        <w:jc w:val="both"/>
      </w:pPr>
    </w:p>
    <w:p w:rsidR="00BE36C3" w:rsidRDefault="00BE36C3" w:rsidP="00893CB5">
      <w:pPr>
        <w:spacing w:before="100" w:beforeAutospacing="1"/>
        <w:ind w:left="3540"/>
        <w:contextualSpacing/>
        <w:jc w:val="both"/>
      </w:pPr>
      <w:r>
        <w:t xml:space="preserve">Ide o legislatívno-technickú úpravu, ktorou sa navrhuje zmena označenia odkazu na poznámku pod čiarou tak, aby odkaz na poznámku pod čiarou bol zaradený v správnom poradí. </w:t>
      </w:r>
    </w:p>
    <w:p w:rsidR="00BE36C3" w:rsidRDefault="00BE36C3" w:rsidP="00BE36C3">
      <w:pPr>
        <w:jc w:val="both"/>
        <w:rPr>
          <w:rFonts w:eastAsiaTheme="minorHAnsi"/>
          <w:lang w:eastAsia="en-US"/>
        </w:rPr>
      </w:pPr>
    </w:p>
    <w:p w:rsidR="00BE36C3" w:rsidRDefault="00BE36C3" w:rsidP="00946ECF">
      <w:pPr>
        <w:pStyle w:val="Odsekzoznamu"/>
        <w:numPr>
          <w:ilvl w:val="0"/>
          <w:numId w:val="10"/>
        </w:numPr>
        <w:jc w:val="both"/>
      </w:pPr>
      <w:r>
        <w:t>V čl. IV sa za bod 12 vkladá nový bod 13, ktorý znie:</w:t>
      </w:r>
    </w:p>
    <w:p w:rsidR="00BE36C3" w:rsidRDefault="00BE36C3" w:rsidP="00946ECF">
      <w:pPr>
        <w:spacing w:line="276" w:lineRule="auto"/>
        <w:ind w:left="360"/>
        <w:jc w:val="both"/>
      </w:pPr>
      <w:r>
        <w:t xml:space="preserve">„13. V § 21 ods. 1 písm. f) sa vypúšťa slovo „alebo“.“. </w:t>
      </w:r>
    </w:p>
    <w:p w:rsidR="00BE36C3" w:rsidRDefault="00BE36C3" w:rsidP="00946ECF">
      <w:pPr>
        <w:spacing w:line="276" w:lineRule="auto"/>
        <w:ind w:left="360"/>
        <w:jc w:val="both"/>
      </w:pPr>
      <w:r>
        <w:t>Nasledujúce body sa primerane prečíslujú.</w:t>
      </w:r>
    </w:p>
    <w:p w:rsidR="00893CB5" w:rsidRDefault="00893CB5" w:rsidP="00893CB5">
      <w:pPr>
        <w:ind w:left="3540"/>
        <w:jc w:val="both"/>
      </w:pPr>
    </w:p>
    <w:p w:rsidR="00BE36C3" w:rsidRDefault="00BE36C3" w:rsidP="00893CB5">
      <w:pPr>
        <w:ind w:left="3540"/>
        <w:jc w:val="both"/>
      </w:pPr>
      <w:r>
        <w:t xml:space="preserve">Ide o legislatívno-technickú úpravu, ktorou sa z dôvodu vloženia nových písmen g) a h) v čl. IV 13. bode, stala </w:t>
      </w:r>
      <w:r>
        <w:lastRenderedPageBreak/>
        <w:t>spojka v § 21 ods. 1 písm. f) „alebo“ nadbytočná, a bola presunutá do navrhovaného písm. h).</w:t>
      </w:r>
    </w:p>
    <w:p w:rsidR="00BE36C3" w:rsidRDefault="00BE36C3" w:rsidP="00BE36C3">
      <w:pPr>
        <w:spacing w:before="100" w:beforeAutospacing="1"/>
        <w:ind w:left="4247"/>
        <w:contextualSpacing/>
        <w:jc w:val="both"/>
      </w:pPr>
    </w:p>
    <w:p w:rsidR="00BE36C3" w:rsidRDefault="00BE36C3" w:rsidP="00946ECF">
      <w:pPr>
        <w:pStyle w:val="Odsekzoznamu"/>
        <w:numPr>
          <w:ilvl w:val="0"/>
          <w:numId w:val="10"/>
        </w:numPr>
        <w:spacing w:before="120" w:line="360" w:lineRule="auto"/>
        <w:jc w:val="both"/>
      </w:pPr>
      <w:r>
        <w:t>V čl. IV 13. bode § 21 ods. 1 písm. h) sa na konci pripája slovo „alebo“.</w:t>
      </w:r>
    </w:p>
    <w:p w:rsidR="00BE36C3" w:rsidRDefault="00BE36C3" w:rsidP="00BE36C3">
      <w:pPr>
        <w:ind w:left="4247"/>
        <w:contextualSpacing/>
        <w:jc w:val="both"/>
      </w:pPr>
    </w:p>
    <w:p w:rsidR="00BE36C3" w:rsidRDefault="00BE36C3" w:rsidP="00893CB5">
      <w:pPr>
        <w:ind w:left="3540"/>
        <w:contextualSpacing/>
        <w:jc w:val="both"/>
      </w:pPr>
      <w:r>
        <w:t>Ide o legislatívno-technickú úpravu, ktorou sa vkladá spojka „alebo“ medzi posledné dve alternatívy.</w:t>
      </w:r>
    </w:p>
    <w:p w:rsidR="00BE36C3" w:rsidRDefault="00BE36C3" w:rsidP="00BE36C3">
      <w:pPr>
        <w:ind w:left="4247"/>
        <w:contextualSpacing/>
        <w:jc w:val="both"/>
      </w:pPr>
    </w:p>
    <w:p w:rsidR="0092048F" w:rsidRDefault="0092048F" w:rsidP="0092048F">
      <w:pPr>
        <w:jc w:val="both"/>
      </w:pPr>
    </w:p>
    <w:p w:rsidR="0092048F" w:rsidRPr="006D1C8B" w:rsidRDefault="0092048F" w:rsidP="00754C33">
      <w:pPr>
        <w:pStyle w:val="Odsekzoznamu"/>
        <w:numPr>
          <w:ilvl w:val="0"/>
          <w:numId w:val="10"/>
        </w:numPr>
        <w:spacing w:line="276" w:lineRule="auto"/>
        <w:jc w:val="both"/>
      </w:pPr>
      <w:r w:rsidRPr="006D1C8B">
        <w:t>V čl. IV bode 13 v § 21 ods. 1 písm. g) sa slová „odo dňa prijatia žiadosti“ nahrádzajú slovami „a má prijatú žiadosť“ a za slovo „predpisu</w:t>
      </w:r>
      <w:r w:rsidRPr="000C040A">
        <w:rPr>
          <w:vertAlign w:val="superscript"/>
        </w:rPr>
        <w:t>22db</w:t>
      </w:r>
      <w:r w:rsidRPr="006D1C8B">
        <w:t>)“ sa vkladá čiarka a slová „odo dňa platnosti potvrdenia o možnosti obsadenia voľného pracovného miesta, ktoré zodpovedá vysokokvalifikovanému zamestnaniu,“.</w:t>
      </w:r>
    </w:p>
    <w:p w:rsidR="0092048F" w:rsidRDefault="0092048F" w:rsidP="0092048F">
      <w:pPr>
        <w:ind w:left="357"/>
        <w:jc w:val="both"/>
      </w:pPr>
    </w:p>
    <w:p w:rsidR="0092048F" w:rsidRPr="00893CB5" w:rsidRDefault="0092048F" w:rsidP="00893CB5">
      <w:pPr>
        <w:ind w:left="3540"/>
        <w:jc w:val="both"/>
      </w:pPr>
      <w:r w:rsidRPr="00893CB5">
        <w:t>Návrhom sa precizuje moment, od ktorého môže byť štátny príslušník tretej krajiny legálne zamestnaný pred vydaním prechodného pobytu Modrá karta EÚ.</w:t>
      </w:r>
    </w:p>
    <w:p w:rsidR="0092048F" w:rsidRDefault="0092048F" w:rsidP="0092048F">
      <w:pPr>
        <w:ind w:left="3119"/>
        <w:jc w:val="both"/>
        <w:rPr>
          <w:i/>
        </w:rPr>
      </w:pPr>
    </w:p>
    <w:p w:rsidR="0092048F" w:rsidRPr="00BD3826" w:rsidRDefault="0092048F" w:rsidP="0092048F">
      <w:pPr>
        <w:ind w:left="3119"/>
        <w:jc w:val="both"/>
        <w:rPr>
          <w:i/>
        </w:rPr>
      </w:pPr>
    </w:p>
    <w:p w:rsidR="0092048F" w:rsidRDefault="0092048F" w:rsidP="00754C33">
      <w:pPr>
        <w:pStyle w:val="Odsekzoznamu"/>
        <w:numPr>
          <w:ilvl w:val="0"/>
          <w:numId w:val="10"/>
        </w:numPr>
        <w:spacing w:line="276" w:lineRule="auto"/>
        <w:jc w:val="both"/>
      </w:pPr>
      <w:r>
        <w:t>V čl. IV bode 13 v § 21 ods. 1 písm. h) sa slová „</w:t>
      </w:r>
      <w:r w:rsidRPr="006D1C8B">
        <w:t>odo dňa prijatia žiadosti</w:t>
      </w:r>
      <w:r>
        <w:t>“ nahrádzajú slovami „a má prijatú žiadosť“ a za slovo „</w:t>
      </w:r>
      <w:r w:rsidRPr="0014067D">
        <w:t>predpisu</w:t>
      </w:r>
      <w:r w:rsidRPr="000C040A">
        <w:rPr>
          <w:vertAlign w:val="superscript"/>
        </w:rPr>
        <w:t>22dc</w:t>
      </w:r>
      <w:r w:rsidRPr="0014067D">
        <w:t>)</w:t>
      </w:r>
      <w:r>
        <w:t xml:space="preserve">“ sa vkladá čiarka a slová „odo dňa platnosti potvrdenia o </w:t>
      </w:r>
      <w:r w:rsidRPr="0014067D">
        <w:t>možnosti obsa</w:t>
      </w:r>
      <w:r>
        <w:t>denia voľného pracovného miesta“.</w:t>
      </w:r>
    </w:p>
    <w:p w:rsidR="0092048F" w:rsidRDefault="0092048F" w:rsidP="0092048F">
      <w:pPr>
        <w:ind w:left="357"/>
        <w:jc w:val="both"/>
      </w:pPr>
    </w:p>
    <w:p w:rsidR="0092048F" w:rsidRPr="00893CB5" w:rsidRDefault="0092048F" w:rsidP="00893CB5">
      <w:pPr>
        <w:ind w:left="3540"/>
        <w:jc w:val="both"/>
      </w:pPr>
      <w:r w:rsidRPr="00893CB5">
        <w:t>Návrhom sa precizuje moment, od ktorého môže byť štátny príslušník tretej krajiny legálne zamestnaný pred udelením prechodného pobytu na účel zamestnania.</w:t>
      </w:r>
    </w:p>
    <w:p w:rsidR="0092048F" w:rsidRDefault="0092048F" w:rsidP="0092048F">
      <w:pPr>
        <w:ind w:left="357"/>
        <w:jc w:val="both"/>
      </w:pPr>
    </w:p>
    <w:p w:rsidR="0092048F" w:rsidRDefault="0092048F" w:rsidP="0092048F">
      <w:pPr>
        <w:ind w:left="357"/>
        <w:jc w:val="both"/>
      </w:pPr>
    </w:p>
    <w:p w:rsidR="0092048F" w:rsidRDefault="0092048F" w:rsidP="000C040A">
      <w:pPr>
        <w:pStyle w:val="Odsekzoznamu"/>
        <w:numPr>
          <w:ilvl w:val="0"/>
          <w:numId w:val="10"/>
        </w:numPr>
        <w:jc w:val="both"/>
      </w:pPr>
      <w:r>
        <w:t>V čl. IV bode 19 v § 21a ods. 11 sa za slovo „bodu“ vkladajú slovo „alebo štvrtého bodu“.</w:t>
      </w:r>
    </w:p>
    <w:p w:rsidR="0092048F" w:rsidRDefault="0092048F" w:rsidP="0092048F">
      <w:pPr>
        <w:ind w:left="357"/>
        <w:jc w:val="both"/>
      </w:pPr>
    </w:p>
    <w:p w:rsidR="0092048F" w:rsidRPr="00250EBA" w:rsidRDefault="0092048F" w:rsidP="00250EBA">
      <w:pPr>
        <w:ind w:left="3540"/>
        <w:jc w:val="both"/>
      </w:pPr>
      <w:r w:rsidRPr="00250EBA">
        <w:t>Návrhom  sa  dopĺňa  povinnosť  úradu  práce,  sociálnych  vecí  a rodiny  preveriť splnenie  podmienok  na  vydanie  potvrdenia,  ktoré  obsahuje  súhlas  s jeho  obsadením,  aj u zamestnávateľa,  ktorý  zamestnáva  štátneho  príslušníka  tretej  krajiny,  ktorý  má  vydanú  modrú  kartu, na  základe  žiadosti  o  obnovenie  modrej  karty  podanú  po  12 mesiacoch výkonu vysokokvalifikovaného zamestnania na základe modrej karty a štátny príslušník tretej krajiny uviedol tohto zamestnávateľa v žiadosti o obnovenie modrej karty – ide o situáciu, kedy sa u štátneho príslušníka tretej krajiny na obnovenie modrej karty nevyžaduje vydanie potvrdenia o možnosti obsadenia voľného pracovného miesta, ktoré zodpovedá  vysokokvalifikovanému  zamestnaniu,  ale  postačuje  uvedenie  tohto zamestnávateľa  v žiadosti  o obnovenie  modrej  karty, pričom je potrebné preveriť kritéria prijímania vyplývajúce zo smernice  2021/1883 EÚ (čl. 15 ods. 3 smernice).</w:t>
      </w:r>
    </w:p>
    <w:p w:rsidR="0092048F" w:rsidRDefault="0092048F" w:rsidP="00754C33">
      <w:pPr>
        <w:pStyle w:val="Odsekzoznamu"/>
        <w:numPr>
          <w:ilvl w:val="0"/>
          <w:numId w:val="10"/>
        </w:numPr>
        <w:spacing w:line="276" w:lineRule="auto"/>
        <w:jc w:val="both"/>
      </w:pPr>
      <w:r>
        <w:lastRenderedPageBreak/>
        <w:t>V čl. IV bode 19 sa § 21a dopĺňa odsekom 12, ktorý znie:</w:t>
      </w:r>
    </w:p>
    <w:p w:rsidR="0092048F" w:rsidRDefault="0092048F" w:rsidP="00754C33">
      <w:pPr>
        <w:spacing w:line="276" w:lineRule="auto"/>
        <w:ind w:left="357" w:hanging="73"/>
        <w:jc w:val="both"/>
      </w:pPr>
      <w:r>
        <w:t>„(12) Úrad na základe oznámenia zmeny údajov podľa § 23b ods. 1 písm. d), ktoré nemajú vplyv na splnenie podmienok podľa odseku 4, vydá nové potvrdenie o možnosti obsadenia voľného pracovného miesta, ktoré zodpovedá vysokokvalifikovanému zamestnaniu, s aktualizovanými údajmi; ustanovenie odseku 8 sa vzťahuje rovnako.“.</w:t>
      </w:r>
    </w:p>
    <w:p w:rsidR="0092048F" w:rsidRDefault="0092048F" w:rsidP="0092048F">
      <w:pPr>
        <w:ind w:left="357"/>
        <w:jc w:val="both"/>
      </w:pPr>
    </w:p>
    <w:p w:rsidR="0092048F" w:rsidRPr="005810EE" w:rsidRDefault="0092048F" w:rsidP="0092048F">
      <w:pPr>
        <w:ind w:left="3119"/>
        <w:jc w:val="both"/>
        <w:rPr>
          <w:i/>
          <w:iCs/>
          <w:color w:val="000000" w:themeColor="text1"/>
        </w:rPr>
      </w:pPr>
    </w:p>
    <w:p w:rsidR="0092048F" w:rsidRPr="00250EBA" w:rsidRDefault="0092048F" w:rsidP="00250EBA">
      <w:pPr>
        <w:ind w:left="3540"/>
        <w:jc w:val="both"/>
      </w:pPr>
      <w:r w:rsidRPr="00250EBA">
        <w:t xml:space="preserve">Návrhom  sa  dopĺňa  povinnosť  úradu  práce,  sociálnych  vecí  a rodiny  vydať nové potvrdenie o možnosti obsadenia voľného pracovného miesta, ktoré zodpovedá vysokokvalifikovanému zamestnaniu, na základe oznámenia zamestnávateľom podľa navrhovaného § 23b ods. 1 písm. d). </w:t>
      </w:r>
      <w:r w:rsidRPr="00250EBA">
        <w:rPr>
          <w:iCs/>
        </w:rPr>
        <w:t>Oznámené zmeny údajov v potvrdení, ktoré majú vplyv na splnenie podmienok na vydanie potvrdenia (napr. zmena zamestnávateľa, zmena druhu vykonávanej práce),</w:t>
      </w:r>
      <w:r w:rsidRPr="00250EBA">
        <w:t xml:space="preserve"> </w:t>
      </w:r>
      <w:r w:rsidRPr="00250EBA">
        <w:rPr>
          <w:iCs/>
        </w:rPr>
        <w:t>podľa § 23b ods. 1 písm. d) sú považované za zmenu zamestnania a je potrebné zo strany zamestnávateľa požiadať úrad práce, sociálnych vecí a rodiny o vydanie nového potvrdenia, v rámci ktorého sa bude skúmať splnenie podmienok na vydanie súhlasného potvrdenia.</w:t>
      </w:r>
    </w:p>
    <w:p w:rsidR="0092048F" w:rsidRDefault="0092048F" w:rsidP="0092048F">
      <w:pPr>
        <w:ind w:left="3119"/>
        <w:jc w:val="both"/>
        <w:rPr>
          <w:i/>
        </w:rPr>
      </w:pPr>
    </w:p>
    <w:p w:rsidR="0092048F" w:rsidRDefault="0092048F" w:rsidP="0092048F">
      <w:pPr>
        <w:ind w:left="357"/>
        <w:jc w:val="both"/>
      </w:pPr>
    </w:p>
    <w:p w:rsidR="0092048F" w:rsidRDefault="0092048F" w:rsidP="00754C33">
      <w:pPr>
        <w:pStyle w:val="Odsekzoznamu"/>
        <w:numPr>
          <w:ilvl w:val="0"/>
          <w:numId w:val="10"/>
        </w:numPr>
        <w:spacing w:line="276" w:lineRule="auto"/>
        <w:jc w:val="both"/>
      </w:pPr>
      <w:r>
        <w:t>V čl. IV bode 19 sa § 21b dopĺňa odsekom 15, ktorý znie:</w:t>
      </w:r>
    </w:p>
    <w:p w:rsidR="0092048F" w:rsidRDefault="0092048F" w:rsidP="00754C33">
      <w:pPr>
        <w:spacing w:line="276" w:lineRule="auto"/>
        <w:ind w:left="357" w:firstLine="69"/>
        <w:jc w:val="both"/>
      </w:pPr>
      <w:r>
        <w:t>„(15) Úrad na základe oznámenia zmeny údajov podľa § 23b ods. 1 písm. d), ktoré nemajú vplyv na splnenie podmienok podľa odsekov 4 a 5, vydá nové potvrdenie o možnosti obsadenia voľného pracovného miesta s aktualizovanými údajmi; ustanovenie odseku 12 sa vzťahuje rovnako.“.</w:t>
      </w:r>
    </w:p>
    <w:p w:rsidR="0092048F" w:rsidRDefault="0092048F" w:rsidP="0092048F">
      <w:pPr>
        <w:ind w:left="357"/>
        <w:jc w:val="both"/>
      </w:pPr>
    </w:p>
    <w:p w:rsidR="0092048F" w:rsidRPr="00250EBA" w:rsidRDefault="0092048F" w:rsidP="00250EBA">
      <w:pPr>
        <w:ind w:left="3540"/>
        <w:jc w:val="both"/>
      </w:pPr>
      <w:r w:rsidRPr="00250EBA">
        <w:t xml:space="preserve">Návrhom  sa  dopĺňa  povinnosť  úradu  práce,  sociálnych  vecí  a rodiny  vydať nové potvrdenie o možnosti obsadenia voľného pracovného miesta na základe oznámenia zamestnávateľom podľa navrhovaného § 23b ods. 1 písm. d). </w:t>
      </w:r>
      <w:r w:rsidRPr="00250EBA">
        <w:rPr>
          <w:iCs/>
        </w:rPr>
        <w:t>Oznámené zmeny údajov v potvrdení, ktoré majú vplyv na splnenie podmienok na vydanie potvrdenia (napr. zmena zamestnávateľa, zmena druhu vykonávanej práce, zmena miesta výkonu práce do iného okresu),</w:t>
      </w:r>
      <w:r w:rsidRPr="00250EBA">
        <w:t xml:space="preserve"> </w:t>
      </w:r>
      <w:r w:rsidRPr="00250EBA">
        <w:rPr>
          <w:iCs/>
        </w:rPr>
        <w:t>podľa § 23b ods. 1 písm. d) sú považované za zmenu zamestnania a je potrebné zo strany zamestnávateľa požiadať úrad práce, sociálnych vecí a rodiny o vydanie nového potvrdenia, v rámci ktorého sa bude skúmať splnenie podmienok na vydanie súhlasného potvrdenia.</w:t>
      </w:r>
    </w:p>
    <w:p w:rsidR="0092048F" w:rsidRPr="00250EBA" w:rsidRDefault="0092048F" w:rsidP="0092048F">
      <w:pPr>
        <w:jc w:val="both"/>
      </w:pPr>
    </w:p>
    <w:p w:rsidR="0092048F" w:rsidRDefault="0092048F" w:rsidP="0092048F">
      <w:pPr>
        <w:ind w:left="3119"/>
        <w:jc w:val="both"/>
      </w:pPr>
    </w:p>
    <w:p w:rsidR="0092048F" w:rsidRDefault="0092048F" w:rsidP="000C040A">
      <w:pPr>
        <w:pStyle w:val="Odsekzoznamu"/>
        <w:numPr>
          <w:ilvl w:val="0"/>
          <w:numId w:val="10"/>
        </w:numPr>
        <w:jc w:val="both"/>
      </w:pPr>
      <w:r>
        <w:t>V čl. IV bode 30 v § 23b sa odsek 1 dopĺňa písmenom d), ktoré znie:</w:t>
      </w:r>
    </w:p>
    <w:p w:rsidR="0092048F" w:rsidRDefault="0092048F" w:rsidP="0092048F">
      <w:pPr>
        <w:ind w:left="357"/>
        <w:jc w:val="both"/>
      </w:pPr>
      <w:r>
        <w:t xml:space="preserve">„d) oznámiť úradu každú zmenu údajov uvedených v </w:t>
      </w:r>
      <w:r w:rsidRPr="0014067D">
        <w:rPr>
          <w:shd w:val="clear" w:color="auto" w:fill="FFFFFF"/>
        </w:rPr>
        <w:t>potvrden</w:t>
      </w:r>
      <w:r>
        <w:rPr>
          <w:shd w:val="clear" w:color="auto" w:fill="FFFFFF"/>
        </w:rPr>
        <w:t>í</w:t>
      </w:r>
      <w:r w:rsidRPr="0014067D">
        <w:t xml:space="preserve"> o možnosti obsadenia voľného pracovného miesta a potvrden</w:t>
      </w:r>
      <w:r>
        <w:t>í</w:t>
      </w:r>
      <w:r w:rsidRPr="0014067D">
        <w:t xml:space="preserve"> o možnosti obsadenia voľného pracovného miesta, ktoré zodpovedá vysokokvalifikovanému zamestnaniu</w:t>
      </w:r>
      <w:r>
        <w:t>.“.</w:t>
      </w:r>
    </w:p>
    <w:p w:rsidR="0092048F" w:rsidRDefault="0092048F" w:rsidP="0092048F">
      <w:pPr>
        <w:ind w:left="357"/>
        <w:jc w:val="both"/>
      </w:pPr>
    </w:p>
    <w:p w:rsidR="0092048F" w:rsidRPr="00250EBA" w:rsidRDefault="0092048F" w:rsidP="00250EBA">
      <w:pPr>
        <w:ind w:left="3540"/>
        <w:jc w:val="both"/>
      </w:pPr>
      <w:r w:rsidRPr="00250EBA">
        <w:t xml:space="preserve">V nadväznosti na vypustenie povinnosti  policajného  útvaru  vydať štátnemu príslušníkovi tretej krajiny s udeleným prechodným pobytom na účel zamestnania doklad </w:t>
      </w:r>
      <w:r w:rsidRPr="00250EBA">
        <w:rPr>
          <w:iCs/>
        </w:rPr>
        <w:t>„Dodatočné  údaje  o zamestnaní“(čl. I,  bod 75 vládneho návrhu zákona) sa návrhom zavádza</w:t>
      </w:r>
      <w:r w:rsidRPr="00250EBA">
        <w:t xml:space="preserve"> informačná povinnosť zamestnávateľa voči úradu práce, sociálnych vecí a rodiny oznámiť každú zmenu údajov uvedených v potvrdení vydanom podľa § 21a a § 21b.</w:t>
      </w:r>
    </w:p>
    <w:p w:rsidR="0092048F" w:rsidRPr="00BD3826" w:rsidRDefault="0092048F" w:rsidP="00250EBA">
      <w:pPr>
        <w:ind w:left="3540"/>
        <w:jc w:val="both"/>
        <w:rPr>
          <w:i/>
        </w:rPr>
      </w:pPr>
    </w:p>
    <w:p w:rsidR="0092048F" w:rsidRDefault="0092048F" w:rsidP="0092048F">
      <w:pPr>
        <w:ind w:left="357"/>
        <w:jc w:val="both"/>
      </w:pPr>
    </w:p>
    <w:p w:rsidR="0092048F" w:rsidRDefault="0092048F" w:rsidP="000C040A">
      <w:pPr>
        <w:pStyle w:val="Odsekzoznamu"/>
        <w:numPr>
          <w:ilvl w:val="0"/>
          <w:numId w:val="10"/>
        </w:numPr>
        <w:jc w:val="both"/>
      </w:pPr>
      <w:r>
        <w:t>V čl. IV bode 50 § 72ay znie:</w:t>
      </w:r>
    </w:p>
    <w:p w:rsidR="0092048F" w:rsidRPr="000F3C12" w:rsidRDefault="0092048F" w:rsidP="0092048F">
      <w:pPr>
        <w:ind w:left="357"/>
        <w:jc w:val="center"/>
      </w:pPr>
      <w:r w:rsidRPr="000F3C12">
        <w:t>„§ 72ay</w:t>
      </w:r>
    </w:p>
    <w:p w:rsidR="0092048F" w:rsidRPr="000F3C12" w:rsidRDefault="0092048F" w:rsidP="0092048F">
      <w:pPr>
        <w:ind w:left="357"/>
        <w:jc w:val="center"/>
      </w:pPr>
      <w:r w:rsidRPr="000F3C12">
        <w:t>Prechodné ustanovenia k úpravám účinným od 15. júla 2024</w:t>
      </w:r>
    </w:p>
    <w:p w:rsidR="0092048F" w:rsidRPr="000F3C12" w:rsidRDefault="0092048F" w:rsidP="0092048F">
      <w:pPr>
        <w:ind w:left="357"/>
        <w:jc w:val="both"/>
      </w:pPr>
    </w:p>
    <w:p w:rsidR="0092048F" w:rsidRPr="000F3C12" w:rsidRDefault="0092048F" w:rsidP="0092048F">
      <w:pPr>
        <w:ind w:left="357" w:firstLine="357"/>
        <w:jc w:val="both"/>
      </w:pPr>
      <w:r w:rsidRPr="000F3C12">
        <w:t>(1) Ú</w:t>
      </w:r>
      <w:r>
        <w:t>rad</w:t>
      </w:r>
      <w:r w:rsidRPr="000F3C12">
        <w:t xml:space="preserve"> posúdi žiadosť o vydanie potvrdenia o možnosti obsadenia voľného pracovného miesta </w:t>
      </w:r>
      <w:r>
        <w:t xml:space="preserve">týkajúcu sa žiadosti o </w:t>
      </w:r>
      <w:r w:rsidRPr="0014067D">
        <w:t xml:space="preserve">udelenie prechodného pobytu na účel zamestnania alebo </w:t>
      </w:r>
      <w:r>
        <w:t>žiadosti</w:t>
      </w:r>
      <w:r w:rsidRPr="0014067D">
        <w:t xml:space="preserve"> o obnovenie prechodného pobytu na účel zamestnania</w:t>
      </w:r>
      <w:r w:rsidRPr="000F3C12">
        <w:t xml:space="preserve"> podan</w:t>
      </w:r>
      <w:r>
        <w:t>ej</w:t>
      </w:r>
      <w:r w:rsidRPr="000F3C12">
        <w:t xml:space="preserve"> pred 15. júlom 2024 podľa predpisov účinných do 14. júla 2024. Potvrdenie o možnosti obsadenia voľného pracovného miesta vydané podľa prvej vety sa považuje za potvrdenie o možnosti obsadenia voľného pracovného miesta vydané podľa tohto zákona.</w:t>
      </w:r>
    </w:p>
    <w:p w:rsidR="0092048F" w:rsidRDefault="0092048F" w:rsidP="0092048F">
      <w:pPr>
        <w:ind w:left="357"/>
        <w:jc w:val="both"/>
      </w:pPr>
    </w:p>
    <w:p w:rsidR="0092048F" w:rsidRDefault="0092048F" w:rsidP="0092048F">
      <w:pPr>
        <w:ind w:left="357" w:firstLine="357"/>
        <w:jc w:val="both"/>
      </w:pPr>
      <w:r>
        <w:t xml:space="preserve">(2) </w:t>
      </w:r>
      <w:r w:rsidRPr="000F3C12">
        <w:t>Ústredie posúdi žiadosť o vydanie potvrdenia o možnosti obsa</w:t>
      </w:r>
      <w:r>
        <w:t>denia voľného pracovného miesta</w:t>
      </w:r>
      <w:r w:rsidRPr="000F3C12">
        <w:t xml:space="preserve">, ktoré zodpovedá vysokokvalifikovanému zamestnaniu, </w:t>
      </w:r>
      <w:r>
        <w:t>týkajúcu sa žiadosti o vydanie modrej karty</w:t>
      </w:r>
      <w:r w:rsidRPr="0014067D">
        <w:t xml:space="preserve"> alebo </w:t>
      </w:r>
      <w:r>
        <w:t>žiadosti</w:t>
      </w:r>
      <w:r w:rsidRPr="0014067D">
        <w:t xml:space="preserve"> o obnovenie </w:t>
      </w:r>
      <w:r>
        <w:t>modrej karty podanej</w:t>
      </w:r>
      <w:r w:rsidRPr="000F3C12">
        <w:t xml:space="preserve"> pred  15. júlom 2024 podľa predpisov účinných do 14. júla 2024. Potvrdenie o možnosti obsadenia voľného pracovného miesta, ktoré zodpovedá vysokokvalifikovanému zamestnaniu, vydané podľa prvej vety sa považuje za potvrdenie o možnosti obsadenia voľného pracovného miesta, ktoré zodpovedá vysokokvalifikovanému zamestnaniu, vydané podľa tohto zákona.</w:t>
      </w:r>
    </w:p>
    <w:p w:rsidR="0092048F" w:rsidRPr="000F3C12" w:rsidRDefault="0092048F" w:rsidP="0092048F">
      <w:pPr>
        <w:ind w:left="357"/>
        <w:jc w:val="both"/>
      </w:pPr>
    </w:p>
    <w:p w:rsidR="0092048F" w:rsidRDefault="0092048F" w:rsidP="0092048F">
      <w:pPr>
        <w:ind w:left="357" w:firstLine="357"/>
        <w:jc w:val="both"/>
      </w:pPr>
      <w:r w:rsidRPr="000F3C12">
        <w:t>(</w:t>
      </w:r>
      <w:r>
        <w:t>3</w:t>
      </w:r>
      <w:r w:rsidRPr="000F3C12">
        <w:t>) Ustanovenia § 72au ods. 2 a 3 sa od 15. júla 2024 neuplatňujú</w:t>
      </w:r>
      <w:r>
        <w:t>.“.</w:t>
      </w:r>
    </w:p>
    <w:p w:rsidR="0092048F" w:rsidRDefault="0092048F" w:rsidP="0092048F">
      <w:pPr>
        <w:ind w:left="357"/>
        <w:jc w:val="both"/>
      </w:pPr>
    </w:p>
    <w:p w:rsidR="0092048F" w:rsidRPr="00250EBA" w:rsidRDefault="0092048F" w:rsidP="00250EBA">
      <w:pPr>
        <w:ind w:left="3540"/>
        <w:jc w:val="both"/>
      </w:pPr>
      <w:r w:rsidRPr="00250EBA">
        <w:t>Návrhom sa precizujú pravidlá pre neskončené procesy udelenia potvrdenia o možnosti obsadenia voľného pracovného miesta, a to naviazaním tohto potvrdenia na žiadosť o udelenie/obnovenie prechodného pobytu na účel zamestnania, a pravidlá pre neskončené procesy udelenia potvrdenia o možnosti obsadenia voľného pracovného miesta, ktoré zodpovedá vykvalifikovanému zamestnaniu, a to naviazaním tohto potvrdenia na žiadosť o vydanie/obnovenie  Modrej karty EÚ.</w:t>
      </w:r>
    </w:p>
    <w:p w:rsidR="0092048F" w:rsidRDefault="0092048F" w:rsidP="0092048F">
      <w:pPr>
        <w:ind w:left="3119"/>
        <w:jc w:val="both"/>
        <w:rPr>
          <w:i/>
        </w:rPr>
      </w:pPr>
    </w:p>
    <w:p w:rsidR="0092048F" w:rsidRPr="00600AC7" w:rsidRDefault="0092048F" w:rsidP="0092048F">
      <w:pPr>
        <w:ind w:left="3119"/>
        <w:jc w:val="both"/>
        <w:rPr>
          <w:i/>
        </w:rPr>
      </w:pPr>
    </w:p>
    <w:p w:rsidR="0092048F" w:rsidRPr="00174B65" w:rsidRDefault="0092048F" w:rsidP="000C040A">
      <w:pPr>
        <w:pStyle w:val="Odsekzoznamu"/>
        <w:numPr>
          <w:ilvl w:val="0"/>
          <w:numId w:val="10"/>
        </w:numPr>
        <w:jc w:val="both"/>
      </w:pPr>
      <w:r w:rsidRPr="00174B65">
        <w:t>V čl. IV bod 55 znie:</w:t>
      </w:r>
    </w:p>
    <w:p w:rsidR="0092048F" w:rsidRDefault="0092048F" w:rsidP="0092048F">
      <w:pPr>
        <w:ind w:left="357"/>
        <w:jc w:val="both"/>
      </w:pPr>
      <w:r>
        <w:t xml:space="preserve">„55. </w:t>
      </w:r>
      <w:r w:rsidRPr="0014067D">
        <w:t>V prílohe č. 1 písm</w:t>
      </w:r>
      <w:r>
        <w:t>eno</w:t>
      </w:r>
      <w:r w:rsidRPr="0014067D">
        <w:t xml:space="preserve"> E</w:t>
      </w:r>
      <w:r>
        <w:t xml:space="preserve"> znie:</w:t>
      </w:r>
    </w:p>
    <w:p w:rsidR="0092048F" w:rsidRPr="000228DB" w:rsidRDefault="0092048F" w:rsidP="0092048F">
      <w:pPr>
        <w:ind w:left="714"/>
        <w:jc w:val="both"/>
      </w:pPr>
      <w:r w:rsidRPr="008C1B76">
        <w:t>„</w:t>
      </w:r>
      <w:r>
        <w:t xml:space="preserve">E. </w:t>
      </w:r>
      <w:r w:rsidRPr="008C1B76">
        <w:t xml:space="preserve">Sociálna poisťovňa poskytuje podľa </w:t>
      </w:r>
      <w:r w:rsidRPr="008C1B76">
        <w:rPr>
          <w:iCs/>
        </w:rPr>
        <w:t>§ 67 ods. 6</w:t>
      </w:r>
      <w:r w:rsidRPr="008C1B76">
        <w:t xml:space="preserve"> ústrediu </w:t>
      </w:r>
      <w:r>
        <w:t>tieto údaje o fyzických osobách a právnických osobách</w:t>
      </w:r>
      <w:r w:rsidRPr="00C500A6">
        <w:t xml:space="preserve"> </w:t>
      </w:r>
      <w:r>
        <w:t>zo svojho informačného systému:</w:t>
      </w:r>
    </w:p>
    <w:p w:rsidR="0092048F" w:rsidRPr="00174B65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 w:rsidRPr="00174B65">
        <w:t>meno a</w:t>
      </w:r>
      <w:r>
        <w:t> </w:t>
      </w:r>
      <w:r w:rsidRPr="00174B65">
        <w:t>priezvisko,</w:t>
      </w:r>
    </w:p>
    <w:p w:rsidR="0092048F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 w:rsidRPr="00174B65">
        <w:t>identifikačné číslo sociálneho zabezpečenia,</w:t>
      </w:r>
    </w:p>
    <w:p w:rsidR="0092048F" w:rsidRPr="008300FC" w:rsidRDefault="0092048F" w:rsidP="0092048F">
      <w:pPr>
        <w:pStyle w:val="Odsekzoznamu"/>
        <w:numPr>
          <w:ilvl w:val="0"/>
          <w:numId w:val="7"/>
        </w:numPr>
        <w:ind w:left="1074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  <w:r w:rsidRPr="00174B65">
        <w:lastRenderedPageBreak/>
        <w:t xml:space="preserve">dátum začatia a skončenia evidencie v registri poistencov a sporiteľov starobného dôchodkového </w:t>
      </w:r>
      <w:r w:rsidRPr="008300FC">
        <w:t>sporenia a druh právneho vzťahu sociáln</w:t>
      </w:r>
      <w:r>
        <w:t>eho</w:t>
      </w:r>
      <w:r w:rsidRPr="008300FC">
        <w:t xml:space="preserve"> poisten</w:t>
      </w:r>
      <w:r>
        <w:t>ia</w:t>
      </w:r>
      <w:r w:rsidRPr="008300FC">
        <w:t>,</w:t>
      </w:r>
    </w:p>
    <w:p w:rsidR="0092048F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>
        <w:t>rozsah sociálneho</w:t>
      </w:r>
      <w:r w:rsidRPr="00174B65">
        <w:t xml:space="preserve"> poistenia</w:t>
      </w:r>
      <w:r>
        <w:t>,</w:t>
      </w:r>
    </w:p>
    <w:p w:rsidR="0092048F" w:rsidRPr="00B60C71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 w:rsidRPr="00B60C71">
        <w:t>názov a kód zamestnania podľa štatistickej klasifikácie zamestnaní,</w:t>
      </w:r>
    </w:p>
    <w:p w:rsidR="0092048F" w:rsidRPr="00174B65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>
        <w:t>údaje o</w:t>
      </w:r>
      <w:r w:rsidRPr="00174B65">
        <w:t xml:space="preserve"> vymeriavac</w:t>
      </w:r>
      <w:r>
        <w:t>om</w:t>
      </w:r>
      <w:r w:rsidRPr="00174B65">
        <w:t xml:space="preserve"> základ</w:t>
      </w:r>
      <w:r>
        <w:t>e</w:t>
      </w:r>
      <w:r w:rsidRPr="00174B65">
        <w:t>,</w:t>
      </w:r>
    </w:p>
    <w:p w:rsidR="0092048F" w:rsidRPr="004F058E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 w:rsidRPr="004F058E">
        <w:t>údaje súvisiace s poskytovaním dávok sociálneho poistenia,</w:t>
      </w:r>
    </w:p>
    <w:p w:rsidR="0092048F" w:rsidRPr="00174B65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 w:rsidRPr="00174B65">
        <w:t>percentuálna miera poklesu schopnosti vykonáva</w:t>
      </w:r>
      <w:r>
        <w:t>ť</w:t>
      </w:r>
      <w:r w:rsidRPr="00174B65">
        <w:t xml:space="preserve"> zárobkov</w:t>
      </w:r>
      <w:r>
        <w:t>ú</w:t>
      </w:r>
      <w:r w:rsidRPr="00174B65">
        <w:t xml:space="preserve"> činnos</w:t>
      </w:r>
      <w:r>
        <w:t>ť</w:t>
      </w:r>
      <w:r w:rsidRPr="00174B65">
        <w:t>,</w:t>
      </w:r>
    </w:p>
    <w:p w:rsidR="0092048F" w:rsidRDefault="0092048F" w:rsidP="0092048F">
      <w:pPr>
        <w:pStyle w:val="Odsekzoznamu"/>
        <w:numPr>
          <w:ilvl w:val="0"/>
          <w:numId w:val="7"/>
        </w:numPr>
        <w:ind w:left="1074"/>
        <w:jc w:val="both"/>
      </w:pPr>
      <w:r w:rsidRPr="00174B65">
        <w:t>názov a identifikačné číslo zamestnávateľa.</w:t>
      </w:r>
      <w:r>
        <w:t>“.</w:t>
      </w:r>
    </w:p>
    <w:p w:rsidR="0092048F" w:rsidRDefault="0092048F" w:rsidP="0092048F">
      <w:pPr>
        <w:ind w:left="357"/>
        <w:jc w:val="both"/>
      </w:pPr>
    </w:p>
    <w:p w:rsidR="0092048F" w:rsidRPr="00250EBA" w:rsidRDefault="0092048F" w:rsidP="00250EBA">
      <w:pPr>
        <w:ind w:left="3540"/>
        <w:jc w:val="both"/>
        <w:rPr>
          <w:iCs/>
          <w:color w:val="000000" w:themeColor="text1"/>
        </w:rPr>
      </w:pPr>
      <w:r w:rsidRPr="00250EBA">
        <w:rPr>
          <w:iCs/>
          <w:color w:val="000000" w:themeColor="text1"/>
        </w:rPr>
        <w:t>Aplikačná prax preukázala, že rozšírením elektronizácie procesov úrady práce, sociálnych vecí a rodiny na účely zákona o zamestnanosti (napr. evidencie uchádzačov o zamestnanie, poskytovania príspevkov) potrebujú nové údaje (o poistencoch, zamestnávateľoch a dávkach poskytovaných zo systému sociálneho poistenia), ktoré sú vedené v informačnom systéme Sociálnej poisťovne. Navrhovaná zmena má zabezpečiť efektívnu výmenu informácií medzi Sociálnou poisťovňou a Ústredím práce, sociálnych vecí a rodiny (ďalej len „ústredie“) tak, aby každá potreba nového údaja nevyžadovala zároveň aj novelu zákona o zamestnanosti. Navrhovaná zmena  zároveň zabezpečí, že Sociálna poisťovňa bude poskytovať ústrediu údaje len v  rozsahu nevyhnutnom na účely zákona o zamestnanosti.</w:t>
      </w:r>
    </w:p>
    <w:p w:rsidR="0092048F" w:rsidRPr="004F058E" w:rsidRDefault="0092048F" w:rsidP="0092048F">
      <w:pPr>
        <w:ind w:left="357"/>
        <w:jc w:val="both"/>
      </w:pPr>
    </w:p>
    <w:p w:rsidR="0092048F" w:rsidRDefault="0092048F" w:rsidP="000C040A">
      <w:pPr>
        <w:pStyle w:val="Odsekzoznamu"/>
        <w:numPr>
          <w:ilvl w:val="0"/>
          <w:numId w:val="10"/>
        </w:numPr>
        <w:jc w:val="both"/>
      </w:pPr>
      <w:r>
        <w:t>V čl. IV sa vypúšťajú body 56 až 59.</w:t>
      </w:r>
    </w:p>
    <w:p w:rsidR="0092048F" w:rsidRPr="00214D3F" w:rsidRDefault="0092048F" w:rsidP="0092048F">
      <w:pPr>
        <w:ind w:left="357"/>
        <w:jc w:val="both"/>
        <w:rPr>
          <w:sz w:val="20"/>
          <w:szCs w:val="20"/>
        </w:rPr>
      </w:pPr>
    </w:p>
    <w:p w:rsidR="0092048F" w:rsidRPr="00174B65" w:rsidRDefault="0092048F" w:rsidP="0092048F">
      <w:pPr>
        <w:ind w:left="357"/>
        <w:jc w:val="both"/>
      </w:pPr>
      <w:r w:rsidRPr="00174B65">
        <w:t>Nasledujúce body sa primerane prečíslujú</w:t>
      </w:r>
      <w:r>
        <w:t>.</w:t>
      </w:r>
    </w:p>
    <w:p w:rsidR="0092048F" w:rsidRPr="004F058E" w:rsidRDefault="0092048F" w:rsidP="0092048F">
      <w:pPr>
        <w:ind w:left="357"/>
        <w:jc w:val="both"/>
      </w:pPr>
    </w:p>
    <w:p w:rsidR="00250EBA" w:rsidRDefault="0092048F" w:rsidP="00250EBA">
      <w:pPr>
        <w:ind w:left="3540"/>
        <w:jc w:val="both"/>
      </w:pPr>
      <w:r w:rsidRPr="00250EBA">
        <w:t>Legislatívno-technická úprava súvisiaca</w:t>
      </w:r>
    </w:p>
    <w:p w:rsidR="0092048F" w:rsidRPr="00250EBA" w:rsidRDefault="0092048F" w:rsidP="00250EBA">
      <w:pPr>
        <w:ind w:left="3540"/>
        <w:jc w:val="both"/>
      </w:pPr>
      <w:r w:rsidRPr="00250EBA">
        <w:t>s predchádzajúcim pozmeňujúcim návrhom.</w:t>
      </w:r>
    </w:p>
    <w:p w:rsidR="00BF7C54" w:rsidRPr="00BF35E2" w:rsidRDefault="00BF7C54" w:rsidP="00250EBA">
      <w:pPr>
        <w:ind w:left="421"/>
      </w:pPr>
    </w:p>
    <w:sectPr w:rsidR="00BF7C54" w:rsidRPr="00BF35E2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26" w:rsidRDefault="008D6226">
      <w:r>
        <w:separator/>
      </w:r>
    </w:p>
  </w:endnote>
  <w:endnote w:type="continuationSeparator" w:id="0">
    <w:p w:rsidR="008D6226" w:rsidRDefault="008D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Pr="00EB687D" w:rsidRDefault="00BF7C54">
    <w:pPr>
      <w:pStyle w:val="Pta"/>
      <w:jc w:val="center"/>
      <w:rPr>
        <w:sz w:val="20"/>
        <w:szCs w:val="20"/>
      </w:rPr>
    </w:pPr>
    <w:r w:rsidRPr="00EB687D">
      <w:rPr>
        <w:sz w:val="20"/>
        <w:szCs w:val="20"/>
      </w:rPr>
      <w:fldChar w:fldCharType="begin"/>
    </w:r>
    <w:r w:rsidRPr="00EB687D">
      <w:rPr>
        <w:sz w:val="20"/>
        <w:szCs w:val="20"/>
      </w:rPr>
      <w:instrText>PAGE   \* MERGEFORMAT</w:instrText>
    </w:r>
    <w:r w:rsidRPr="00EB687D">
      <w:rPr>
        <w:sz w:val="20"/>
        <w:szCs w:val="20"/>
      </w:rPr>
      <w:fldChar w:fldCharType="separate"/>
    </w:r>
    <w:r w:rsidR="003F6CFB">
      <w:rPr>
        <w:noProof/>
        <w:sz w:val="20"/>
        <w:szCs w:val="20"/>
      </w:rPr>
      <w:t>7</w:t>
    </w:r>
    <w:r w:rsidRPr="00EB687D">
      <w:rPr>
        <w:sz w:val="20"/>
        <w:szCs w:val="20"/>
      </w:rPr>
      <w:fldChar w:fldCharType="end"/>
    </w:r>
  </w:p>
  <w:p w:rsidR="00816C43" w:rsidRDefault="008D62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26" w:rsidRDefault="008D6226">
      <w:r>
        <w:separator/>
      </w:r>
    </w:p>
  </w:footnote>
  <w:footnote w:type="continuationSeparator" w:id="0">
    <w:p w:rsidR="008D6226" w:rsidRDefault="008D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5D9"/>
    <w:multiLevelType w:val="hybridMultilevel"/>
    <w:tmpl w:val="ADCAC8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E26D2"/>
    <w:multiLevelType w:val="hybridMultilevel"/>
    <w:tmpl w:val="4FB0A430"/>
    <w:lvl w:ilvl="0" w:tplc="688C43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6" w15:restartNumberingAfterBreak="0">
    <w:nsid w:val="42422F19"/>
    <w:multiLevelType w:val="hybridMultilevel"/>
    <w:tmpl w:val="29F4D9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1923"/>
    <w:multiLevelType w:val="hybridMultilevel"/>
    <w:tmpl w:val="1EFAB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65909"/>
    <w:multiLevelType w:val="hybridMultilevel"/>
    <w:tmpl w:val="D774F8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0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A916CC7"/>
    <w:multiLevelType w:val="hybridMultilevel"/>
    <w:tmpl w:val="804A0D92"/>
    <w:lvl w:ilvl="0" w:tplc="39BC6A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0C040A"/>
    <w:rsid w:val="00153764"/>
    <w:rsid w:val="00214D3F"/>
    <w:rsid w:val="00250EBA"/>
    <w:rsid w:val="00332305"/>
    <w:rsid w:val="003F6CFB"/>
    <w:rsid w:val="004D6583"/>
    <w:rsid w:val="00533C6B"/>
    <w:rsid w:val="00556E80"/>
    <w:rsid w:val="006118C5"/>
    <w:rsid w:val="00754C33"/>
    <w:rsid w:val="00806188"/>
    <w:rsid w:val="00810CB0"/>
    <w:rsid w:val="00893CB5"/>
    <w:rsid w:val="008D6226"/>
    <w:rsid w:val="0092048F"/>
    <w:rsid w:val="00946ECF"/>
    <w:rsid w:val="00A26AB6"/>
    <w:rsid w:val="00A60635"/>
    <w:rsid w:val="00AD7BE7"/>
    <w:rsid w:val="00B0199B"/>
    <w:rsid w:val="00B87931"/>
    <w:rsid w:val="00BE36C3"/>
    <w:rsid w:val="00BF7C54"/>
    <w:rsid w:val="00C559BC"/>
    <w:rsid w:val="00D472C3"/>
    <w:rsid w:val="00DE7339"/>
    <w:rsid w:val="00EB687D"/>
    <w:rsid w:val="00F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4C09"/>
  <w15:chartTrackingRefBased/>
  <w15:docId w15:val="{3D7E403F-CFD1-49E2-BAFB-C61543D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F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F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BF7C5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F7C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C5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7C5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7C54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F7C5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F7C54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BF7C54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link w:val="OdsekzoznamuChar"/>
    <w:uiPriority w:val="34"/>
    <w:qFormat/>
    <w:rsid w:val="00BF7C5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F7C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7C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E36C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E36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68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687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24</cp:revision>
  <dcterms:created xsi:type="dcterms:W3CDTF">2024-01-08T08:21:00Z</dcterms:created>
  <dcterms:modified xsi:type="dcterms:W3CDTF">2024-06-10T10:31:00Z</dcterms:modified>
</cp:coreProperties>
</file>