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94B22" w:rsidRDefault="00030E5F" w:rsidP="00E94B22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6303C5">
        <w:rPr>
          <w:b/>
          <w:bCs/>
          <w:sz w:val="28"/>
          <w:szCs w:val="28"/>
          <w:lang w:eastAsia="sk-SK"/>
        </w:rPr>
        <w:t>.  volebné obdobie</w:t>
      </w:r>
      <w:r w:rsidR="006303C5">
        <w:rPr>
          <w:b/>
          <w:bCs/>
          <w:sz w:val="28"/>
          <w:szCs w:val="28"/>
          <w:lang w:eastAsia="sk-SK"/>
        </w:rPr>
        <w:br/>
      </w:r>
    </w:p>
    <w:p w:rsidR="006303C5" w:rsidRDefault="006303C5" w:rsidP="00E94B22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B95129">
        <w:rPr>
          <w:szCs w:val="24"/>
          <w:lang w:val="cs-CZ" w:eastAsia="sk-SK"/>
        </w:rPr>
        <w:t>1249/2024</w:t>
      </w:r>
    </w:p>
    <w:p w:rsidR="006303C5" w:rsidRDefault="00B95129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351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 w:rsidR="00B95129">
        <w:rPr>
          <w:szCs w:val="24"/>
          <w:lang w:eastAsia="sk-SK"/>
        </w:rPr>
        <w:t>n</w:t>
      </w:r>
      <w:r w:rsidR="00B95129" w:rsidRPr="00B95129">
        <w:rPr>
          <w:szCs w:val="24"/>
          <w:lang w:eastAsia="sk-SK"/>
        </w:rPr>
        <w:t>ávrh</w:t>
      </w:r>
      <w:r w:rsidR="00B95129">
        <w:rPr>
          <w:szCs w:val="24"/>
          <w:lang w:eastAsia="sk-SK"/>
        </w:rPr>
        <w:t>u</w:t>
      </w:r>
      <w:r w:rsidR="00B95129" w:rsidRPr="00B95129">
        <w:rPr>
          <w:szCs w:val="24"/>
          <w:lang w:eastAsia="sk-SK"/>
        </w:rPr>
        <w:t xml:space="preserve"> na vyslanie príslušníkov ozbrojených síl Slovenskej republiky do operačného veliteľstva vojenskej operácie Európskej únie EUNAVFOR ASPIDES</w:t>
      </w:r>
      <w:r w:rsidR="00B95129">
        <w:rPr>
          <w:szCs w:val="24"/>
          <w:lang w:eastAsia="sk-SK"/>
        </w:rPr>
        <w:t xml:space="preserve"> </w:t>
      </w:r>
      <w:r w:rsidR="00E94B22">
        <w:rPr>
          <w:rFonts w:cs="Arial"/>
        </w:rPr>
        <w:t>(</w:t>
      </w:r>
      <w:r w:rsidR="008F43E8">
        <w:rPr>
          <w:rFonts w:cs="Arial"/>
          <w:b/>
        </w:rPr>
        <w:t>tlač</w:t>
      </w:r>
      <w:r w:rsidR="00B95129">
        <w:rPr>
          <w:rFonts w:cs="Arial"/>
          <w:b/>
        </w:rPr>
        <w:t xml:space="preserve"> 351</w:t>
      </w:r>
      <w:r w:rsidR="00E94B22">
        <w:rPr>
          <w:rFonts w:cs="Arial"/>
        </w:rPr>
        <w:t xml:space="preserve">) 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="00114ADF">
        <w:rPr>
          <w:color w:val="000000"/>
        </w:rPr>
        <w:t> </w:t>
      </w:r>
      <w:r w:rsidR="00B95129">
        <w:rPr>
          <w:color w:val="000000"/>
        </w:rPr>
        <w:t>n</w:t>
      </w:r>
      <w:r w:rsidR="00B95129" w:rsidRPr="00B95129">
        <w:rPr>
          <w:color w:val="000000"/>
        </w:rPr>
        <w:t>ávrh</w:t>
      </w:r>
      <w:r w:rsidR="00B95129">
        <w:rPr>
          <w:color w:val="000000"/>
        </w:rPr>
        <w:t>u</w:t>
      </w:r>
      <w:r w:rsidR="00B95129" w:rsidRPr="00B95129">
        <w:rPr>
          <w:color w:val="000000"/>
        </w:rPr>
        <w:t xml:space="preserve"> na vyslanie príslušníkov ozbrojených síl Slovenskej republiky do operačného veliteľstva vojenskej operácie Európskej únie EUNAVFOR ASPIDES</w:t>
      </w:r>
      <w:r w:rsidR="00B95129">
        <w:rPr>
          <w:color w:val="000000"/>
        </w:rPr>
        <w:t xml:space="preserve"> </w:t>
      </w:r>
      <w:r w:rsidR="008F43E8" w:rsidRPr="008F43E8">
        <w:rPr>
          <w:color w:val="000000"/>
        </w:rPr>
        <w:t>(</w:t>
      </w:r>
      <w:r w:rsidR="00B95129">
        <w:rPr>
          <w:b/>
          <w:color w:val="000000"/>
        </w:rPr>
        <w:t>tlač 351</w:t>
      </w:r>
      <w:r w:rsidR="008F43E8" w:rsidRPr="008F43E8">
        <w:rPr>
          <w:color w:val="000000"/>
        </w:rPr>
        <w:t xml:space="preserve">)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303C5" w:rsidRDefault="006303C5" w:rsidP="006303C5">
      <w:pPr>
        <w:spacing w:after="0" w:line="240" w:lineRule="auto"/>
        <w:rPr>
          <w:b/>
          <w:bCs/>
          <w:szCs w:val="24"/>
          <w:lang w:eastAsia="sk-SK"/>
        </w:rPr>
      </w:pPr>
    </w:p>
    <w:p w:rsidR="00915BC0" w:rsidRDefault="006303C5" w:rsidP="00B95129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B95129">
        <w:rPr>
          <w:b/>
          <w:szCs w:val="24"/>
          <w:lang w:eastAsia="sk-SK"/>
        </w:rPr>
        <w:t>353</w:t>
      </w:r>
      <w:r>
        <w:rPr>
          <w:b/>
          <w:szCs w:val="24"/>
          <w:lang w:eastAsia="sk-SK"/>
        </w:rPr>
        <w:t xml:space="preserve"> </w:t>
      </w:r>
      <w:r w:rsidR="00B95129">
        <w:rPr>
          <w:szCs w:val="24"/>
          <w:lang w:eastAsia="sk-SK"/>
        </w:rPr>
        <w:t>z 6</w:t>
      </w:r>
      <w:r>
        <w:rPr>
          <w:szCs w:val="24"/>
          <w:lang w:eastAsia="sk-SK"/>
        </w:rPr>
        <w:t xml:space="preserve">. </w:t>
      </w:r>
      <w:r w:rsidR="00B95129">
        <w:rPr>
          <w:szCs w:val="24"/>
          <w:lang w:eastAsia="sk-SK"/>
        </w:rPr>
        <w:t>júna 2024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B95129">
        <w:rPr>
          <w:color w:val="000000"/>
        </w:rPr>
        <w:t>n</w:t>
      </w:r>
      <w:r w:rsidR="00B95129" w:rsidRPr="00B95129">
        <w:rPr>
          <w:color w:val="000000"/>
        </w:rPr>
        <w:t>ávrh na vyslanie príslušníkov ozbrojených síl Slovenskej republiky do operačného veliteľstva vojenskej operácie Európskej únie EUNAVFOR ASPIDES</w:t>
      </w:r>
      <w:r w:rsidR="00B95129">
        <w:rPr>
          <w:color w:val="000000"/>
        </w:rPr>
        <w:t xml:space="preserve"> (</w:t>
      </w:r>
      <w:r w:rsidR="00B95129" w:rsidRPr="00B95129">
        <w:rPr>
          <w:b/>
          <w:color w:val="000000"/>
        </w:rPr>
        <w:t>tlač 351</w:t>
      </w:r>
      <w:r w:rsidR="008F43E8" w:rsidRPr="008F43E8">
        <w:rPr>
          <w:color w:val="000000"/>
        </w:rPr>
        <w:t xml:space="preserve">) </w:t>
      </w:r>
      <w:r w:rsidR="00B95129">
        <w:rPr>
          <w:szCs w:val="24"/>
          <w:lang w:eastAsia="sk-SK"/>
        </w:rPr>
        <w:t xml:space="preserve">na prerokovanie </w:t>
      </w:r>
      <w:r>
        <w:rPr>
          <w:szCs w:val="24"/>
          <w:lang w:eastAsia="sk-SK"/>
        </w:rPr>
        <w:t>Výboru Národnej rady Slovenskej republiky pre obranu a</w:t>
      </w:r>
      <w:r w:rsidR="00B95129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  <w:r w:rsidR="00B95129">
        <w:rPr>
          <w:szCs w:val="24"/>
          <w:lang w:eastAsia="sk-SK"/>
        </w:rPr>
        <w:t xml:space="preserve"> aj ako gestorskému. </w:t>
      </w:r>
    </w:p>
    <w:p w:rsidR="006303C5" w:rsidRPr="00C72A3C" w:rsidRDefault="00B95129" w:rsidP="00B95129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predmetný</w:t>
      </w:r>
      <w:r w:rsidR="008B7A11">
        <w:rPr>
          <w:szCs w:val="24"/>
          <w:lang w:eastAsia="sk-SK"/>
        </w:rPr>
        <w:t xml:space="preserve"> návrh </w:t>
      </w:r>
      <w:r w:rsidR="00915BC0" w:rsidRPr="008F43E8">
        <w:rPr>
          <w:szCs w:val="24"/>
          <w:lang w:eastAsia="sk-SK"/>
        </w:rPr>
        <w:t>(</w:t>
      </w:r>
      <w:r w:rsidR="00915BC0" w:rsidRPr="008F43E8">
        <w:rPr>
          <w:b/>
          <w:szCs w:val="24"/>
          <w:lang w:eastAsia="sk-SK"/>
        </w:rPr>
        <w:t>tlač</w:t>
      </w:r>
      <w:r w:rsidR="00915BC0">
        <w:rPr>
          <w:b/>
          <w:szCs w:val="24"/>
          <w:lang w:eastAsia="sk-SK"/>
        </w:rPr>
        <w:t xml:space="preserve"> 351)</w:t>
      </w:r>
      <w:r>
        <w:rPr>
          <w:szCs w:val="24"/>
          <w:lang w:eastAsia="sk-SK"/>
        </w:rPr>
        <w:t xml:space="preserve"> p</w:t>
      </w:r>
      <w:r w:rsidR="00E94B22">
        <w:rPr>
          <w:szCs w:val="24"/>
          <w:lang w:eastAsia="sk-SK"/>
        </w:rPr>
        <w:t>rerokoval</w:t>
      </w:r>
      <w:r w:rsidR="008F43E8" w:rsidRPr="008F43E8">
        <w:rPr>
          <w:szCs w:val="24"/>
          <w:lang w:eastAsia="sk-SK"/>
        </w:rPr>
        <w:t xml:space="preserve"> </w:t>
      </w:r>
      <w:r w:rsidR="006303C5">
        <w:rPr>
          <w:color w:val="000000"/>
          <w:szCs w:val="24"/>
          <w:lang w:eastAsia="sk-SK"/>
        </w:rPr>
        <w:t xml:space="preserve">v určenej lehote a </w:t>
      </w:r>
      <w:r w:rsidR="00E94B22">
        <w:rPr>
          <w:b/>
          <w:szCs w:val="24"/>
          <w:lang w:eastAsia="sk-SK"/>
        </w:rPr>
        <w:t>odporučil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B95129" w:rsidRDefault="00B95129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</w:t>
      </w:r>
      <w:r w:rsidR="00E94B22">
        <w:t xml:space="preserve">    na základe článku 86 písm. l</w:t>
      </w:r>
      <w:r>
        <w:t>) Ústavy Slovenskej republiky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vysloviť súhlas</w:t>
      </w:r>
    </w:p>
    <w:p w:rsidR="006303C5" w:rsidRP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sz w:val="28"/>
          <w:szCs w:val="28"/>
        </w:rPr>
        <w:t xml:space="preserve">                </w:t>
      </w:r>
      <w:r>
        <w:t>s</w:t>
      </w:r>
      <w:r>
        <w:rPr>
          <w:rStyle w:val="spanr"/>
          <w:bCs/>
          <w:szCs w:val="24"/>
        </w:rPr>
        <w:t> </w:t>
      </w:r>
      <w:r w:rsidR="00B95129" w:rsidRPr="00B95129">
        <w:rPr>
          <w:bCs/>
          <w:szCs w:val="24"/>
        </w:rPr>
        <w:t>návrh</w:t>
      </w:r>
      <w:r w:rsidR="00B95129">
        <w:rPr>
          <w:bCs/>
          <w:szCs w:val="24"/>
        </w:rPr>
        <w:t>om</w:t>
      </w:r>
      <w:r w:rsidR="00B95129" w:rsidRPr="00B95129">
        <w:rPr>
          <w:bCs/>
          <w:szCs w:val="24"/>
        </w:rPr>
        <w:t xml:space="preserve"> na vyslanie príslušníkov ozbrojených síl Slovenskej republiky do operačného veliteľstva vojenskej operácie Európskej únie EUNAVFOR ASPIDES</w:t>
      </w:r>
      <w:r w:rsidR="00114ADF">
        <w:rPr>
          <w:color w:val="333333"/>
        </w:rPr>
        <w:t xml:space="preserve">. </w:t>
      </w: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B95129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10</w:t>
      </w:r>
      <w:r w:rsidR="00114ADF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júna  2024</w:t>
      </w:r>
    </w:p>
    <w:p w:rsidR="008837C7" w:rsidRDefault="008837C7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bookmarkStart w:id="0" w:name="_GoBack"/>
      <w:bookmarkEnd w:id="0"/>
    </w:p>
    <w:p w:rsidR="006303C5" w:rsidRDefault="00B95129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Tibor GAŠPAR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B95129" w:rsidRDefault="00B95129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31611D" w:rsidRDefault="0031611D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31611D" w:rsidRDefault="0031611D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B95129" w:rsidRDefault="00B95129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31611D" w:rsidRDefault="0031611D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31611D" w:rsidRDefault="0031611D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B95129" w:rsidRDefault="00B95129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B95129" w:rsidRDefault="00B95129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B95129" w:rsidRDefault="00B95129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B95129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 2024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5129" w:rsidRPr="00B95129" w:rsidRDefault="00B95129" w:rsidP="00B95129">
      <w:pPr>
        <w:spacing w:after="0" w:line="240" w:lineRule="auto"/>
        <w:jc w:val="center"/>
        <w:rPr>
          <w:color w:val="000000"/>
          <w:sz w:val="27"/>
          <w:szCs w:val="27"/>
          <w:lang w:eastAsia="sk-SK"/>
        </w:rPr>
      </w:pPr>
      <w:r w:rsidRPr="00B95129">
        <w:rPr>
          <w:bCs/>
          <w:color w:val="000000"/>
          <w:szCs w:val="24"/>
          <w:lang w:eastAsia="sk-SK"/>
        </w:rPr>
        <w:t>k návrhu na vyslanie príslušníkov ozbrojených síl Slovenskej republiky do operačného veliteľstva vojenskej operácie Európskej únie</w:t>
      </w:r>
    </w:p>
    <w:p w:rsidR="00B95129" w:rsidRPr="00B95129" w:rsidRDefault="00B95129" w:rsidP="00B95129">
      <w:pPr>
        <w:spacing w:after="0" w:line="240" w:lineRule="auto"/>
        <w:jc w:val="center"/>
        <w:rPr>
          <w:color w:val="000000"/>
          <w:sz w:val="27"/>
          <w:szCs w:val="27"/>
          <w:lang w:eastAsia="sk-SK"/>
        </w:rPr>
      </w:pPr>
      <w:r w:rsidRPr="00B95129">
        <w:rPr>
          <w:bCs/>
          <w:color w:val="000000"/>
          <w:szCs w:val="24"/>
          <w:lang w:eastAsia="sk-SK"/>
        </w:rPr>
        <w:t>EUNAVFOR ASPIDES</w:t>
      </w:r>
    </w:p>
    <w:p w:rsidR="00B95129" w:rsidRDefault="00B95129" w:rsidP="00B95129">
      <w:pPr>
        <w:spacing w:after="0" w:line="240" w:lineRule="auto"/>
        <w:rPr>
          <w:b/>
          <w:bCs/>
          <w:color w:val="000000"/>
          <w:sz w:val="28"/>
          <w:szCs w:val="28"/>
          <w:lang w:eastAsia="sk-SK"/>
        </w:rPr>
      </w:pPr>
    </w:p>
    <w:p w:rsidR="00B95129" w:rsidRDefault="00B95129" w:rsidP="00B95129">
      <w:pPr>
        <w:spacing w:after="0" w:line="240" w:lineRule="auto"/>
        <w:rPr>
          <w:b/>
          <w:bCs/>
          <w:color w:val="000000"/>
          <w:sz w:val="28"/>
          <w:szCs w:val="28"/>
          <w:lang w:eastAsia="sk-SK"/>
        </w:rPr>
      </w:pPr>
    </w:p>
    <w:p w:rsidR="00B95129" w:rsidRDefault="00B95129" w:rsidP="00B95129">
      <w:pPr>
        <w:spacing w:after="0" w:line="240" w:lineRule="auto"/>
        <w:rPr>
          <w:b/>
          <w:bCs/>
          <w:color w:val="000000"/>
          <w:sz w:val="28"/>
          <w:szCs w:val="28"/>
          <w:lang w:eastAsia="sk-SK"/>
        </w:rPr>
      </w:pPr>
    </w:p>
    <w:p w:rsidR="00B95129" w:rsidRPr="00B95129" w:rsidRDefault="00B95129" w:rsidP="00B95129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95129">
        <w:rPr>
          <w:b/>
          <w:bCs/>
          <w:color w:val="000000"/>
          <w:sz w:val="28"/>
          <w:szCs w:val="28"/>
          <w:lang w:eastAsia="sk-SK"/>
        </w:rPr>
        <w:t>Národná rada Slovenskej republiky</w:t>
      </w:r>
    </w:p>
    <w:p w:rsidR="00B95129" w:rsidRPr="00B95129" w:rsidRDefault="00B95129" w:rsidP="00B95129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95129">
        <w:rPr>
          <w:b/>
          <w:bCs/>
          <w:color w:val="000000"/>
          <w:sz w:val="32"/>
          <w:szCs w:val="32"/>
          <w:lang w:eastAsia="sk-SK"/>
        </w:rPr>
        <w:t xml:space="preserve"> </w:t>
      </w:r>
    </w:p>
    <w:p w:rsidR="00B95129" w:rsidRPr="00B95129" w:rsidRDefault="00B95129" w:rsidP="00B95129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95129">
        <w:rPr>
          <w:b/>
          <w:bCs/>
          <w:color w:val="000000"/>
          <w:szCs w:val="24"/>
          <w:lang w:eastAsia="sk-SK"/>
        </w:rPr>
        <w:t xml:space="preserve"> </w:t>
      </w:r>
    </w:p>
    <w:p w:rsidR="00B95129" w:rsidRPr="00B95129" w:rsidRDefault="00B95129" w:rsidP="00B95129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95129">
        <w:rPr>
          <w:color w:val="000000"/>
          <w:szCs w:val="24"/>
          <w:lang w:eastAsia="sk-SK"/>
        </w:rPr>
        <w:t xml:space="preserve">            na základe článku 86 písm. l) Ústavy Slovenskej republiky  </w:t>
      </w:r>
    </w:p>
    <w:p w:rsidR="00B95129" w:rsidRPr="00B95129" w:rsidRDefault="00B95129" w:rsidP="00B95129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95129">
        <w:rPr>
          <w:b/>
          <w:bCs/>
          <w:color w:val="000000"/>
          <w:szCs w:val="24"/>
          <w:lang w:eastAsia="sk-SK"/>
        </w:rPr>
        <w:t>vyslovuje súhlas</w:t>
      </w:r>
    </w:p>
    <w:p w:rsidR="00B95129" w:rsidRPr="00B95129" w:rsidRDefault="00B95129" w:rsidP="00B95129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95129">
        <w:rPr>
          <w:b/>
          <w:bCs/>
          <w:color w:val="000000"/>
          <w:sz w:val="28"/>
          <w:szCs w:val="28"/>
          <w:lang w:eastAsia="sk-SK"/>
        </w:rPr>
        <w:t xml:space="preserve"> </w:t>
      </w:r>
    </w:p>
    <w:p w:rsidR="00B95129" w:rsidRPr="00B95129" w:rsidRDefault="00B95129" w:rsidP="00B95129">
      <w:pPr>
        <w:spacing w:after="0" w:line="240" w:lineRule="auto"/>
        <w:rPr>
          <w:color w:val="000000"/>
          <w:sz w:val="27"/>
          <w:szCs w:val="27"/>
          <w:lang w:eastAsia="sk-SK"/>
        </w:rPr>
      </w:pPr>
      <w:r w:rsidRPr="00B95129">
        <w:rPr>
          <w:color w:val="000000"/>
          <w:szCs w:val="24"/>
          <w:lang w:eastAsia="sk-SK"/>
        </w:rPr>
        <w:t>s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vyslaním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príslušníkov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ozbrojených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síl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Slovenskej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republiky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do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operačného</w:t>
      </w:r>
      <w:r w:rsidRPr="00B95129">
        <w:rPr>
          <w:color w:val="000000"/>
          <w:spacing w:val="26"/>
          <w:szCs w:val="24"/>
          <w:lang w:eastAsia="sk-SK"/>
        </w:rPr>
        <w:t xml:space="preserve"> </w:t>
      </w:r>
      <w:r w:rsidRPr="00B95129">
        <w:rPr>
          <w:color w:val="000000"/>
          <w:szCs w:val="24"/>
          <w:lang w:eastAsia="sk-SK"/>
        </w:rPr>
        <w:t>veliteľstva vojenskej operácie Európskej únie EUNAVFOR ASPIDES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30E5F"/>
    <w:rsid w:val="000A709E"/>
    <w:rsid w:val="00114ADF"/>
    <w:rsid w:val="00287558"/>
    <w:rsid w:val="0031611D"/>
    <w:rsid w:val="00610ED7"/>
    <w:rsid w:val="006303C5"/>
    <w:rsid w:val="006A7CD4"/>
    <w:rsid w:val="006D5252"/>
    <w:rsid w:val="007F51A4"/>
    <w:rsid w:val="008837C7"/>
    <w:rsid w:val="008B7A11"/>
    <w:rsid w:val="008F43E8"/>
    <w:rsid w:val="00915BC0"/>
    <w:rsid w:val="00A418F6"/>
    <w:rsid w:val="00A652C0"/>
    <w:rsid w:val="00B95129"/>
    <w:rsid w:val="00DF2868"/>
    <w:rsid w:val="00E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E4FD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8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9</cp:revision>
  <cp:lastPrinted>2020-09-08T10:08:00Z</cp:lastPrinted>
  <dcterms:created xsi:type="dcterms:W3CDTF">2024-06-06T12:34:00Z</dcterms:created>
  <dcterms:modified xsi:type="dcterms:W3CDTF">2024-06-07T10:41:00Z</dcterms:modified>
</cp:coreProperties>
</file>