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D6" w:rsidRPr="00EB30C2" w:rsidRDefault="00B26DD6" w:rsidP="00B26DD6">
      <w:pPr>
        <w:pStyle w:val="Default"/>
        <w:jc w:val="center"/>
      </w:pPr>
      <w:r w:rsidRPr="00EB30C2">
        <w:rPr>
          <w:b/>
          <w:bCs/>
        </w:rPr>
        <w:t>DOLOŽKA ZLUČITEĽNOSTI</w:t>
      </w:r>
    </w:p>
    <w:p w:rsidR="00B26DD6" w:rsidRPr="00EB30C2" w:rsidRDefault="00B26DD6" w:rsidP="00B26DD6">
      <w:pPr>
        <w:pStyle w:val="Default"/>
        <w:jc w:val="center"/>
        <w:rPr>
          <w:b/>
          <w:bCs/>
        </w:rPr>
      </w:pPr>
      <w:r w:rsidRPr="00EB30C2">
        <w:rPr>
          <w:b/>
          <w:bCs/>
        </w:rPr>
        <w:t>návrhu právneho predpisu s právom Európskej únie</w:t>
      </w:r>
    </w:p>
    <w:p w:rsidR="00B26DD6" w:rsidRPr="00EB30C2" w:rsidRDefault="00B26DD6" w:rsidP="00B26DD6">
      <w:pPr>
        <w:pStyle w:val="Default"/>
        <w:jc w:val="center"/>
      </w:pPr>
    </w:p>
    <w:p w:rsidR="00B26DD6" w:rsidRPr="00EB30C2" w:rsidRDefault="00B26DD6" w:rsidP="00B26DD6">
      <w:pPr>
        <w:pStyle w:val="Default"/>
        <w:numPr>
          <w:ilvl w:val="0"/>
          <w:numId w:val="1"/>
        </w:numPr>
        <w:ind w:left="284" w:hanging="284"/>
        <w:jc w:val="both"/>
      </w:pPr>
      <w:r w:rsidRPr="00EB30C2">
        <w:rPr>
          <w:b/>
        </w:rPr>
        <w:t xml:space="preserve">Navrhovateľ </w:t>
      </w:r>
      <w:r w:rsidRPr="00EB30C2">
        <w:rPr>
          <w:b/>
          <w:bCs/>
        </w:rPr>
        <w:t>právneho predpisu</w:t>
      </w:r>
      <w:r w:rsidRPr="00EB30C2">
        <w:rPr>
          <w:b/>
        </w:rPr>
        <w:t>:</w:t>
      </w:r>
      <w:r w:rsidRPr="00EB30C2">
        <w:t xml:space="preserve"> </w:t>
      </w:r>
      <w:r w:rsidR="00563594" w:rsidRPr="00EB30C2">
        <w:t>Vláda</w:t>
      </w:r>
      <w:r w:rsidRPr="00EB30C2">
        <w:t xml:space="preserve"> Slovenskej republiky</w:t>
      </w:r>
      <w:r w:rsidR="00563594" w:rsidRPr="00EB30C2">
        <w:t>.</w:t>
      </w:r>
    </w:p>
    <w:p w:rsidR="00B26DD6" w:rsidRPr="00EB30C2" w:rsidRDefault="00B26DD6" w:rsidP="00B26DD6">
      <w:pPr>
        <w:pStyle w:val="Default"/>
        <w:ind w:left="360"/>
        <w:jc w:val="both"/>
      </w:pPr>
    </w:p>
    <w:p w:rsidR="00B26DD6" w:rsidRPr="00EB30C2" w:rsidRDefault="00B26DD6" w:rsidP="007571DA">
      <w:pPr>
        <w:pStyle w:val="Default"/>
        <w:numPr>
          <w:ilvl w:val="0"/>
          <w:numId w:val="1"/>
        </w:numPr>
        <w:spacing w:before="60" w:after="60"/>
        <w:ind w:left="284" w:hanging="284"/>
        <w:jc w:val="both"/>
        <w:rPr>
          <w:b/>
        </w:rPr>
      </w:pPr>
      <w:r w:rsidRPr="00EB30C2">
        <w:rPr>
          <w:b/>
        </w:rPr>
        <w:t xml:space="preserve">Názov návrhu </w:t>
      </w:r>
      <w:r w:rsidRPr="00EB30C2">
        <w:rPr>
          <w:b/>
          <w:bCs/>
        </w:rPr>
        <w:t>právneho predpisu</w:t>
      </w:r>
      <w:r w:rsidRPr="00EB30C2">
        <w:rPr>
          <w:b/>
        </w:rPr>
        <w:t xml:space="preserve">:  </w:t>
      </w:r>
      <w:r w:rsidR="00F34D71" w:rsidRPr="00EB30C2">
        <w:rPr>
          <w:rFonts w:eastAsia="Times New Roman"/>
          <w:color w:val="auto"/>
        </w:rPr>
        <w:t>Návrh</w:t>
      </w:r>
      <w:r w:rsidR="00F34D71" w:rsidRPr="00EB30C2">
        <w:rPr>
          <w:rFonts w:eastAsia="Times New Roman"/>
          <w:color w:val="auto"/>
          <w:spacing w:val="43"/>
        </w:rPr>
        <w:t xml:space="preserve"> </w:t>
      </w:r>
      <w:r w:rsidR="00F34D71" w:rsidRPr="00EB30C2">
        <w:rPr>
          <w:rFonts w:eastAsia="Times New Roman"/>
          <w:color w:val="auto"/>
        </w:rPr>
        <w:t>zákona, ktorým sa mení a dopĺňa zákon č. 323/2015 Z. z. o finančných nástrojoch financovaných z európskych štrukturálnych a investičných fondov a o zmene a doplnení niektorých zákonov v znení neskorších predpisov</w:t>
      </w:r>
      <w:r w:rsidR="00563594" w:rsidRPr="00EB30C2">
        <w:rPr>
          <w:rFonts w:eastAsia="Times New Roman"/>
          <w:color w:val="auto"/>
        </w:rPr>
        <w:t>.</w:t>
      </w:r>
    </w:p>
    <w:p w:rsidR="007571DA" w:rsidRPr="00EB30C2" w:rsidRDefault="007571DA" w:rsidP="007571DA">
      <w:pPr>
        <w:pStyle w:val="Default"/>
        <w:spacing w:before="60" w:after="60"/>
        <w:ind w:left="284"/>
        <w:jc w:val="both"/>
        <w:rPr>
          <w:b/>
        </w:rPr>
      </w:pPr>
    </w:p>
    <w:p w:rsidR="00B26DD6" w:rsidRPr="00EB30C2" w:rsidRDefault="00B26DD6" w:rsidP="00B26DD6">
      <w:pPr>
        <w:pStyle w:val="Default"/>
        <w:jc w:val="both"/>
      </w:pPr>
      <w:r w:rsidRPr="00EB30C2">
        <w:rPr>
          <w:b/>
        </w:rPr>
        <w:t>3.</w:t>
      </w:r>
      <w:r w:rsidRPr="00EB30C2">
        <w:t xml:space="preserve"> </w:t>
      </w:r>
      <w:r w:rsidRPr="00EB30C2">
        <w:rPr>
          <w:b/>
          <w:bCs/>
        </w:rPr>
        <w:t>Predmet návrhu právneho predpisu je upravený v práve Európskej únie</w:t>
      </w:r>
      <w:r w:rsidRPr="00EB30C2">
        <w:t xml:space="preserve">: </w:t>
      </w:r>
    </w:p>
    <w:p w:rsidR="00B26DD6" w:rsidRPr="00EB30C2" w:rsidRDefault="00B26DD6" w:rsidP="00B26DD6">
      <w:pPr>
        <w:pStyle w:val="Default"/>
        <w:ind w:left="567"/>
        <w:jc w:val="both"/>
      </w:pPr>
      <w:r w:rsidRPr="00EB30C2">
        <w:t xml:space="preserve">a) v primárnom práve </w:t>
      </w:r>
    </w:p>
    <w:p w:rsidR="00B26DD6" w:rsidRPr="00EB30C2" w:rsidRDefault="00563594" w:rsidP="00B26DD6">
      <w:pPr>
        <w:spacing w:before="60" w:after="6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B30C2">
        <w:rPr>
          <w:rFonts w:ascii="Times New Roman" w:hAnsi="Times New Roman" w:cs="Times New Roman"/>
          <w:sz w:val="24"/>
          <w:szCs w:val="24"/>
        </w:rPr>
        <w:t>- č</w:t>
      </w:r>
      <w:r w:rsidR="00B26DD6" w:rsidRPr="00EB30C2">
        <w:rPr>
          <w:rFonts w:ascii="Times New Roman" w:hAnsi="Times New Roman" w:cs="Times New Roman"/>
          <w:sz w:val="24"/>
          <w:szCs w:val="24"/>
        </w:rPr>
        <w:t>l. 38 až 44</w:t>
      </w:r>
      <w:r w:rsidR="00997C58" w:rsidRPr="00EB30C2">
        <w:rPr>
          <w:rFonts w:ascii="Times New Roman" w:hAnsi="Times New Roman" w:cs="Times New Roman"/>
          <w:sz w:val="24"/>
          <w:szCs w:val="24"/>
        </w:rPr>
        <w:t xml:space="preserve">, </w:t>
      </w:r>
      <w:r w:rsidR="00997C58" w:rsidRPr="00EB30C2">
        <w:rPr>
          <w:rFonts w:ascii="Times New Roman" w:hAnsi="Times New Roman" w:cs="Times New Roman"/>
          <w:color w:val="000000"/>
          <w:sz w:val="24"/>
          <w:szCs w:val="24"/>
        </w:rPr>
        <w:t>162 až 164, 174 až 178, 320 až 325 a 349</w:t>
      </w:r>
      <w:r w:rsidR="00997C58" w:rsidRPr="00EB30C2">
        <w:rPr>
          <w:color w:val="000000"/>
        </w:rPr>
        <w:t xml:space="preserve"> </w:t>
      </w:r>
      <w:r w:rsidR="00B26DD6" w:rsidRPr="00EB30C2">
        <w:rPr>
          <w:rFonts w:ascii="Times New Roman" w:hAnsi="Times New Roman" w:cs="Times New Roman"/>
          <w:sz w:val="24"/>
          <w:szCs w:val="24"/>
        </w:rPr>
        <w:t xml:space="preserve">Zmluvy o fungovaní Európskej únie </w:t>
      </w:r>
      <w:r w:rsidR="00997C58" w:rsidRPr="00EB30C2">
        <w:rPr>
          <w:rFonts w:ascii="Times New Roman" w:hAnsi="Times New Roman" w:cs="Times New Roman"/>
          <w:sz w:val="24"/>
          <w:szCs w:val="24"/>
        </w:rPr>
        <w:t xml:space="preserve">(Ú. v. EÚ C 202, 7.6.2016) </w:t>
      </w:r>
      <w:r w:rsidR="00B26DD6" w:rsidRPr="00EB30C2">
        <w:rPr>
          <w:rFonts w:ascii="Times New Roman" w:hAnsi="Times New Roman" w:cs="Times New Roman"/>
          <w:sz w:val="24"/>
          <w:szCs w:val="24"/>
        </w:rPr>
        <w:t>v platnom znení, </w:t>
      </w:r>
    </w:p>
    <w:p w:rsidR="00B26DD6" w:rsidRPr="00EB30C2" w:rsidRDefault="00B26DD6" w:rsidP="00B26DD6">
      <w:pPr>
        <w:pStyle w:val="Default"/>
        <w:ind w:left="567"/>
        <w:jc w:val="both"/>
      </w:pPr>
    </w:p>
    <w:p w:rsidR="00B26DD6" w:rsidRPr="00EB30C2" w:rsidRDefault="00B26DD6" w:rsidP="00B26DD6">
      <w:pPr>
        <w:pStyle w:val="Default"/>
        <w:ind w:left="851" w:hanging="284"/>
        <w:jc w:val="both"/>
      </w:pPr>
      <w:r w:rsidRPr="00EB30C2">
        <w:t xml:space="preserve">b) v sekundárnom práve </w:t>
      </w:r>
    </w:p>
    <w:p w:rsidR="007571DA" w:rsidRPr="00EB30C2" w:rsidRDefault="007571DA" w:rsidP="007571DA">
      <w:pPr>
        <w:spacing w:before="60" w:after="6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EB30C2">
        <w:rPr>
          <w:rFonts w:ascii="Times New Roman" w:hAnsi="Times New Roman" w:cs="Times New Roman"/>
          <w:sz w:val="24"/>
          <w:szCs w:val="24"/>
        </w:rPr>
        <w:t>- nariadenie Rady (ES, Euratom) č. 2988/95 z 18. decembra 1995 o ochrane finančných záujmov Európskych spoločenstiev (Ú. v. ES L 312, 23.12.1995; Mimoriadne vydanie Ú. v. EÚ, kap. 1/zv. 1),</w:t>
      </w:r>
      <w:r w:rsidR="00997C58" w:rsidRPr="00EB30C2">
        <w:rPr>
          <w:rFonts w:ascii="Times New Roman" w:hAnsi="Times New Roman" w:cs="Times New Roman"/>
          <w:sz w:val="24"/>
          <w:szCs w:val="24"/>
        </w:rPr>
        <w:t xml:space="preserve"> gestor: MF SR,</w:t>
      </w:r>
    </w:p>
    <w:p w:rsidR="00997C58" w:rsidRPr="00EB30C2" w:rsidRDefault="007571DA" w:rsidP="00997C58">
      <w:pPr>
        <w:spacing w:before="60" w:after="6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EB30C2">
        <w:rPr>
          <w:rFonts w:ascii="Times New Roman" w:hAnsi="Times New Roman" w:cs="Times New Roman"/>
          <w:sz w:val="24"/>
          <w:szCs w:val="24"/>
        </w:rPr>
        <w:t>- nariadenie Európskeho parlamentu a Rady (EÚ, Euratom) č. 883/2013 z 11. septembra 2013 o vyšetrovaniach vykonávaných Európskym úradom pre boj proti podvodom (OLAF), ktorým sa zrušuje nariadenie Európskeho parlamentu a Rady (ES) č. 1073/1999 a nariadenie Rady (Euratom) č. 1074/1999 (Ú. v. EÚ L 248, 18.9.2013) v platnom znení,</w:t>
      </w:r>
      <w:r w:rsidR="00997C58" w:rsidRPr="00EB30C2">
        <w:rPr>
          <w:rFonts w:ascii="Times New Roman" w:hAnsi="Times New Roman" w:cs="Times New Roman"/>
          <w:sz w:val="24"/>
          <w:szCs w:val="24"/>
        </w:rPr>
        <w:t xml:space="preserve"> gestor: MIRRI SR,</w:t>
      </w:r>
    </w:p>
    <w:p w:rsidR="00997C58" w:rsidRPr="00EB30C2" w:rsidRDefault="007571DA" w:rsidP="00997C58">
      <w:pPr>
        <w:spacing w:before="60" w:after="6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EB30C2">
        <w:rPr>
          <w:rFonts w:ascii="Times New Roman" w:hAnsi="Times New Roman" w:cs="Times New Roman"/>
          <w:sz w:val="24"/>
          <w:szCs w:val="24"/>
        </w:rPr>
        <w:t xml:space="preserve">- </w:t>
      </w:r>
      <w:r w:rsidR="00997C58" w:rsidRPr="00EB30C2">
        <w:rPr>
          <w:rFonts w:ascii="Times New Roman" w:hAnsi="Times New Roman" w:cs="Times New Roman"/>
          <w:sz w:val="24"/>
          <w:szCs w:val="24"/>
        </w:rPr>
        <w:t xml:space="preserve"> </w:t>
      </w:r>
      <w:r w:rsidRPr="00EB30C2">
        <w:rPr>
          <w:rFonts w:ascii="Times New Roman" w:hAnsi="Times New Roman" w:cs="Times New Roman"/>
          <w:sz w:val="24"/>
          <w:szCs w:val="24"/>
        </w:rPr>
        <w:t>nariadenie Európskeho parlamentu a Rady (EÚ, Euratom) 2018/1046 z 18. júla 2018 o rozpočtových pravidlách, ktoré sa vzťahujú na všeobecný rozpočet Únie, o zmene nariadení (EÚ) č. 1296/2013, (EÚ) č. 1301/2013, (EÚ) č. 1303/2013, (EÚ) č. 1304/2013, (EÚ) č. 1309/2013, (EÚ) č. 1316/2013, (EÚ) č. 223/2014, (EÚ) č. 283/2014 a rozhodnutia č. 541/2014/EÚ a o zrušení nariadenia (EÚ, Euratom) č. 966/2012 (Ú. v. EÚ L 193, 30.7.2018) v platnom znení,</w:t>
      </w:r>
      <w:r w:rsidR="00997C58" w:rsidRPr="00EB30C2">
        <w:rPr>
          <w:rFonts w:ascii="Times New Roman" w:hAnsi="Times New Roman" w:cs="Times New Roman"/>
          <w:sz w:val="24"/>
          <w:szCs w:val="24"/>
        </w:rPr>
        <w:t xml:space="preserve"> gestor: MF SR,</w:t>
      </w:r>
    </w:p>
    <w:p w:rsidR="00F5316B" w:rsidRPr="00EB30C2" w:rsidRDefault="007571DA" w:rsidP="00F5316B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EB30C2">
        <w:rPr>
          <w:rFonts w:ascii="Times New Roman" w:hAnsi="Times New Roman" w:cs="Times New Roman"/>
          <w:sz w:val="24"/>
          <w:szCs w:val="24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(Ú. v. EÚ L 347, 20.12.2013) v platnom znení, </w:t>
      </w:r>
      <w:r w:rsidR="00997C58" w:rsidRPr="00EB30C2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gestori:</w:t>
      </w:r>
      <w:r w:rsidR="00997C58" w:rsidRPr="00EB30C2">
        <w:rPr>
          <w:rStyle w:val="Zvrazn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C58" w:rsidRPr="00EB30C2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MIRRI </w:t>
      </w:r>
      <w:r w:rsidR="00997C58" w:rsidRPr="00EB30C2">
        <w:rPr>
          <w:rStyle w:val="Siln"/>
          <w:rFonts w:ascii="Times New Roman" w:hAnsi="Times New Roman" w:cs="Times New Roman"/>
          <w:b w:val="0"/>
          <w:sz w:val="24"/>
          <w:szCs w:val="24"/>
        </w:rPr>
        <w:t>SR, MD SR, MŠVVM SR, MZ SR, MV SR, MPSVR SR, MPRV SR, MH SR, MŽP SR, MF SR,</w:t>
      </w:r>
    </w:p>
    <w:p w:rsidR="00F5316B" w:rsidRPr="00EB30C2" w:rsidRDefault="00F5316B" w:rsidP="00F5316B">
      <w:pPr>
        <w:pStyle w:val="Odsekzoznamu"/>
        <w:spacing w:after="120" w:line="240" w:lineRule="auto"/>
        <w:ind w:left="1080"/>
        <w:jc w:val="both"/>
        <w:rPr>
          <w:rStyle w:val="Siln"/>
          <w:rFonts w:ascii="Times New Roman" w:hAnsi="Times New Roman" w:cs="Times New Roman"/>
          <w:b w:val="0"/>
          <w:bCs w:val="0"/>
          <w:i/>
          <w:sz w:val="24"/>
          <w:szCs w:val="24"/>
        </w:rPr>
      </w:pPr>
    </w:p>
    <w:p w:rsidR="00997C58" w:rsidRPr="00EB30C2" w:rsidRDefault="00F5316B" w:rsidP="00997C5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Style w:val="Siln"/>
          <w:rFonts w:ascii="Times New Roman" w:hAnsi="Times New Roman" w:cs="Times New Roman"/>
          <w:bCs w:val="0"/>
          <w:i/>
          <w:sz w:val="24"/>
          <w:szCs w:val="24"/>
        </w:rPr>
      </w:pPr>
      <w:r w:rsidRPr="00EB30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nariadenie Európskeho parlamentu a Rady (EÚ) č. 1304/2013 z  17. decembri 2013 o Európskom sociálnom fonde a o zrušení nariadenia Rady (ES) č. 1081/2006 </w:t>
      </w:r>
      <w:r w:rsidRPr="00EB30C2">
        <w:rPr>
          <w:rFonts w:ascii="Times New Roman" w:hAnsi="Times New Roman" w:cs="Times New Roman"/>
          <w:sz w:val="24"/>
          <w:szCs w:val="24"/>
        </w:rPr>
        <w:t xml:space="preserve">(Ú. v. EÚ L 347, 20.12.2013) v platnom znení, gestor: </w:t>
      </w:r>
      <w:r w:rsidRPr="00EB30C2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MIRRI </w:t>
      </w:r>
      <w:r w:rsidRPr="00EB30C2">
        <w:rPr>
          <w:rStyle w:val="Siln"/>
          <w:rFonts w:ascii="Times New Roman" w:hAnsi="Times New Roman" w:cs="Times New Roman"/>
          <w:b w:val="0"/>
          <w:sz w:val="24"/>
          <w:szCs w:val="24"/>
        </w:rPr>
        <w:t>SR, MPSVR</w:t>
      </w:r>
      <w:r w:rsidRPr="00EB30C2">
        <w:rPr>
          <w:rFonts w:ascii="Times New Roman" w:hAnsi="Times New Roman" w:cs="Times New Roman"/>
          <w:sz w:val="24"/>
          <w:szCs w:val="24"/>
        </w:rPr>
        <w:t xml:space="preserve"> SR,</w:t>
      </w:r>
      <w:r w:rsidRPr="00EB30C2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MŠVVM SR, MV SR, MF SR,</w:t>
      </w:r>
    </w:p>
    <w:p w:rsidR="007571DA" w:rsidRPr="00EB30C2" w:rsidRDefault="007571DA" w:rsidP="007571DA">
      <w:pPr>
        <w:spacing w:before="60" w:after="6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EB30C2">
        <w:rPr>
          <w:rFonts w:ascii="Times New Roman" w:hAnsi="Times New Roman" w:cs="Times New Roman"/>
          <w:sz w:val="24"/>
          <w:szCs w:val="24"/>
        </w:rPr>
        <w:t xml:space="preserve">- nariadenie Európskeho parlamentu a Rady (EÚ) č. 1305/2013 zo 17. decembra 2013 o podpore rozvoja vidieka prostredníctvom Európskeho poľnohospodárskeho fondu </w:t>
      </w:r>
      <w:r w:rsidRPr="00EB30C2">
        <w:rPr>
          <w:rFonts w:ascii="Times New Roman" w:hAnsi="Times New Roman" w:cs="Times New Roman"/>
          <w:sz w:val="24"/>
          <w:szCs w:val="24"/>
        </w:rPr>
        <w:lastRenderedPageBreak/>
        <w:t>pre rozvoj vidieka (EPFRV) a o zrušení nariadenia Rady (ES) č. 1698/2005 (Ú. v. EÚ L 347, 20.12.2013) v platnom znení,</w:t>
      </w:r>
      <w:r w:rsidR="00F5316B" w:rsidRPr="00EB30C2">
        <w:rPr>
          <w:rFonts w:ascii="Times New Roman" w:hAnsi="Times New Roman" w:cs="Times New Roman"/>
          <w:sz w:val="24"/>
          <w:szCs w:val="24"/>
        </w:rPr>
        <w:t xml:space="preserve"> gestor: </w:t>
      </w:r>
      <w:r w:rsidR="00F5316B" w:rsidRPr="00EB30C2">
        <w:rPr>
          <w:rStyle w:val="Siln"/>
          <w:rFonts w:ascii="Times New Roman" w:hAnsi="Times New Roman" w:cs="Times New Roman"/>
          <w:b w:val="0"/>
          <w:sz w:val="24"/>
          <w:szCs w:val="24"/>
        </w:rPr>
        <w:t>MPRV</w:t>
      </w:r>
      <w:r w:rsidR="00F5316B" w:rsidRPr="00EB30C2">
        <w:rPr>
          <w:rFonts w:ascii="Times New Roman" w:hAnsi="Times New Roman" w:cs="Times New Roman"/>
          <w:sz w:val="24"/>
          <w:szCs w:val="24"/>
        </w:rPr>
        <w:t xml:space="preserve"> SR,</w:t>
      </w:r>
    </w:p>
    <w:p w:rsidR="007571DA" w:rsidRPr="00EB30C2" w:rsidRDefault="007571DA" w:rsidP="007571DA">
      <w:pPr>
        <w:spacing w:before="60" w:after="6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EB30C2">
        <w:rPr>
          <w:rFonts w:ascii="Times New Roman" w:hAnsi="Times New Roman" w:cs="Times New Roman"/>
          <w:sz w:val="24"/>
          <w:szCs w:val="24"/>
        </w:rPr>
        <w:t>- nariadenie Európskeho parlamentu a Rady (EÚ) č. 1306/2013 zo 17. decembra 2013 o financovaní, riadení a monitorovaní spoločnej poľnohospodárskej politiky a ktorým sa zrušujú nariadenia Rady (EHS) č. 352/78, (ES) č. 165/94, (ES) č. 2799/98, (ES) č. 814/2000, (ES) č. 1290/2005 a (ES) č. 485/2008 (Ú. v. EÚ L 347</w:t>
      </w:r>
      <w:r w:rsidR="00F5316B" w:rsidRPr="00EB30C2">
        <w:rPr>
          <w:rFonts w:ascii="Times New Roman" w:hAnsi="Times New Roman" w:cs="Times New Roman"/>
          <w:sz w:val="24"/>
          <w:szCs w:val="24"/>
        </w:rPr>
        <w:t xml:space="preserve">, 20. 12. 2013) v platnom znení, gestor: </w:t>
      </w:r>
      <w:r w:rsidR="00F5316B" w:rsidRPr="00EB30C2">
        <w:rPr>
          <w:rStyle w:val="Siln"/>
          <w:rFonts w:ascii="Times New Roman" w:hAnsi="Times New Roman" w:cs="Times New Roman"/>
          <w:b w:val="0"/>
          <w:sz w:val="24"/>
          <w:szCs w:val="24"/>
        </w:rPr>
        <w:t>MPRV</w:t>
      </w:r>
      <w:r w:rsidR="00F5316B" w:rsidRPr="00EB30C2">
        <w:rPr>
          <w:rFonts w:ascii="Times New Roman" w:hAnsi="Times New Roman" w:cs="Times New Roman"/>
          <w:sz w:val="24"/>
          <w:szCs w:val="24"/>
        </w:rPr>
        <w:t xml:space="preserve"> SR,</w:t>
      </w:r>
    </w:p>
    <w:p w:rsidR="00997C58" w:rsidRPr="00EB30C2" w:rsidRDefault="00B26DD6" w:rsidP="00997C58">
      <w:pPr>
        <w:spacing w:before="60" w:after="6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EB30C2">
        <w:rPr>
          <w:rFonts w:ascii="Times New Roman" w:hAnsi="Times New Roman" w:cs="Times New Roman"/>
          <w:sz w:val="24"/>
          <w:szCs w:val="24"/>
        </w:rPr>
        <w:t xml:space="preserve">- </w:t>
      </w:r>
      <w:r w:rsidR="00C82F98" w:rsidRPr="00EB30C2">
        <w:rPr>
          <w:rFonts w:ascii="Times New Roman" w:hAnsi="Times New Roman" w:cs="Times New Roman"/>
          <w:sz w:val="24"/>
          <w:szCs w:val="24"/>
        </w:rPr>
        <w:t>vykonávacie nariadenie Komisie (EÚ) č. 908/2014 zo 6. augusta 2014, ktorým sa stanovujú pravidlá uplatňovania nariadenia Európskeho parlamentu a Rady (EÚ) č. 1306/2013 vzhľadom na platobné agentúry a ostatné orgány, finančné hospodárenie, schvaľovanie účtovných závierok, pravidlá kontroly, zábezpeky a transparentnosť (Ú. v. EÚ L 255, 28.8.2014) v platnom znení,</w:t>
      </w:r>
      <w:r w:rsidR="00997C58" w:rsidRPr="00EB30C2">
        <w:rPr>
          <w:rFonts w:ascii="Times New Roman" w:hAnsi="Times New Roman" w:cs="Times New Roman"/>
          <w:sz w:val="24"/>
          <w:szCs w:val="24"/>
        </w:rPr>
        <w:t xml:space="preserve"> gestor: </w:t>
      </w:r>
      <w:r w:rsidR="00997C58" w:rsidRPr="00EB30C2">
        <w:rPr>
          <w:rStyle w:val="Siln"/>
          <w:rFonts w:ascii="Times New Roman" w:hAnsi="Times New Roman" w:cs="Times New Roman"/>
          <w:b w:val="0"/>
          <w:sz w:val="24"/>
          <w:szCs w:val="24"/>
        </w:rPr>
        <w:t>MPRV</w:t>
      </w:r>
      <w:r w:rsidR="00997C58" w:rsidRPr="00EB30C2">
        <w:rPr>
          <w:rFonts w:ascii="Times New Roman" w:hAnsi="Times New Roman" w:cs="Times New Roman"/>
          <w:sz w:val="24"/>
          <w:szCs w:val="24"/>
        </w:rPr>
        <w:t xml:space="preserve"> SR,</w:t>
      </w:r>
    </w:p>
    <w:p w:rsidR="00997C58" w:rsidRPr="00EB30C2" w:rsidRDefault="00B26DD6" w:rsidP="00997C58">
      <w:pPr>
        <w:spacing w:before="60" w:after="6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EB30C2">
        <w:rPr>
          <w:rFonts w:ascii="Times New Roman" w:hAnsi="Times New Roman" w:cs="Times New Roman"/>
          <w:sz w:val="24"/>
          <w:szCs w:val="24"/>
        </w:rPr>
        <w:t xml:space="preserve">- </w:t>
      </w:r>
      <w:r w:rsidR="00C82F98" w:rsidRPr="00EB30C2">
        <w:rPr>
          <w:rFonts w:ascii="Times New Roman" w:hAnsi="Times New Roman" w:cs="Times New Roman"/>
          <w:sz w:val="24"/>
          <w:szCs w:val="24"/>
        </w:rPr>
        <w:t xml:space="preserve">delegované nariadenie Komisie (EÚ) č. 907/2014 z  11. marca 2014 , ktorým sa dopĺňa nariadenie Európskeho parlamentu a Rady (EÚ) č. 1306/2013, pokiaľ ide o platobné agentúry a ostatné orgány, finančné hospodárenie, schvaľovanie účtovných závierok, zábezpeky a používanie eura (Ú. v. EÚ L </w:t>
      </w:r>
      <w:r w:rsidR="00997C58" w:rsidRPr="00EB30C2">
        <w:rPr>
          <w:rFonts w:ascii="Times New Roman" w:hAnsi="Times New Roman" w:cs="Times New Roman"/>
          <w:sz w:val="24"/>
          <w:szCs w:val="24"/>
        </w:rPr>
        <w:t xml:space="preserve">255, 28.8.2014) v platnom znení, gestor: </w:t>
      </w:r>
      <w:r w:rsidR="00997C58" w:rsidRPr="00EB30C2">
        <w:rPr>
          <w:rStyle w:val="Siln"/>
          <w:rFonts w:ascii="Times New Roman" w:hAnsi="Times New Roman" w:cs="Times New Roman"/>
          <w:b w:val="0"/>
          <w:sz w:val="24"/>
          <w:szCs w:val="24"/>
        </w:rPr>
        <w:t>MPRV</w:t>
      </w:r>
      <w:r w:rsidR="00997C58" w:rsidRPr="00EB30C2">
        <w:rPr>
          <w:rFonts w:ascii="Times New Roman" w:hAnsi="Times New Roman" w:cs="Times New Roman"/>
          <w:sz w:val="24"/>
          <w:szCs w:val="24"/>
        </w:rPr>
        <w:t xml:space="preserve"> SR,</w:t>
      </w:r>
    </w:p>
    <w:p w:rsidR="00997C58" w:rsidRPr="00EB30C2" w:rsidRDefault="00997C58" w:rsidP="00997C58">
      <w:pPr>
        <w:spacing w:before="60" w:after="60"/>
        <w:ind w:left="993" w:hanging="142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EB30C2">
        <w:rPr>
          <w:rFonts w:ascii="Times New Roman" w:hAnsi="Times New Roman" w:cs="Times New Roman"/>
          <w:sz w:val="24"/>
          <w:szCs w:val="24"/>
        </w:rPr>
        <w:t xml:space="preserve">- </w:t>
      </w:r>
      <w:r w:rsidRPr="00EB30C2">
        <w:rPr>
          <w:rFonts w:ascii="Times New Roman" w:hAnsi="Times New Roman" w:cs="Times New Roman"/>
          <w:bCs/>
          <w:iCs/>
          <w:sz w:val="24"/>
          <w:szCs w:val="24"/>
        </w:rPr>
        <w:t xml:space="preserve">delegované nariadenie Komisie (EÚ) č. 480/2014 z  3. marca 2014, ktorým sa dopĺňa nariadenie Európskeho parlamentu a Rady (EÚ) č. 1303/2013, ktorým sa stanovujú spoločné ustanovenia o Európskom fonde regionálneho rozvoja, Európskom sociálnom fonde, Kohéznom fonde, Európskom poľnohospodárskom fonde pre rozvoj vidieka a Európskom národnom a rybárskom fonde a ktorým sa stanovujú všeobecné ustanovenia o Európskom fonde regionálneho rozvoja, Európskom sociálnom fonde, Kohéznom fonde a Európskom námornom a rybárskom fonde (Ú. v. EÚ L 138, 13.5.2014) ) v platnom znení, </w:t>
      </w:r>
      <w:r w:rsidRPr="00EB30C2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gestori:</w:t>
      </w:r>
      <w:r w:rsidRPr="00EB30C2">
        <w:rPr>
          <w:rStyle w:val="Zvrazneni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B30C2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MIRRI</w:t>
      </w:r>
      <w:r w:rsidRPr="00EB30C2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SR, MD SR, MŠVVM SR, MZ SR, MV SR, MPSVR SR, MPRV SR, MH SR, MŽP SR, MF SR.</w:t>
      </w:r>
    </w:p>
    <w:p w:rsidR="00997C58" w:rsidRPr="00EB30C2" w:rsidRDefault="00997C58" w:rsidP="00997C58">
      <w:pPr>
        <w:spacing w:before="60" w:after="60"/>
        <w:ind w:left="993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DD6" w:rsidRPr="00EB30C2" w:rsidRDefault="00B26DD6" w:rsidP="00C82F98">
      <w:pPr>
        <w:pStyle w:val="Default"/>
        <w:ind w:left="851" w:hanging="284"/>
        <w:jc w:val="both"/>
      </w:pPr>
      <w:r w:rsidRPr="00EB30C2">
        <w:t>c)</w:t>
      </w:r>
      <w:r w:rsidR="00C82F98" w:rsidRPr="00EB30C2">
        <w:t xml:space="preserve"> </w:t>
      </w:r>
      <w:r w:rsidRPr="00EB30C2">
        <w:t>v judikatú</w:t>
      </w:r>
      <w:r w:rsidR="00997C58" w:rsidRPr="00EB30C2">
        <w:t>re Súdneho dvora Európskej únie:</w:t>
      </w:r>
    </w:p>
    <w:p w:rsidR="00997C58" w:rsidRPr="00EB30C2" w:rsidRDefault="00997C58" w:rsidP="00C82F98">
      <w:pPr>
        <w:pStyle w:val="Default"/>
        <w:ind w:left="851" w:hanging="284"/>
        <w:jc w:val="both"/>
      </w:pPr>
    </w:p>
    <w:p w:rsidR="00997C58" w:rsidRPr="00EB30C2" w:rsidRDefault="00997C58" w:rsidP="00997C58">
      <w:pPr>
        <w:pStyle w:val="c02alineaalta"/>
        <w:spacing w:before="0" w:beforeAutospacing="0" w:after="240" w:afterAutospacing="0"/>
        <w:ind w:left="567"/>
        <w:jc w:val="both"/>
        <w:rPr>
          <w:color w:val="000000"/>
        </w:rPr>
      </w:pPr>
      <w:r w:rsidRPr="00EB30C2">
        <w:t>- rozsudok</w:t>
      </w:r>
      <w:r w:rsidRPr="00EB30C2">
        <w:rPr>
          <w:spacing w:val="15"/>
        </w:rPr>
        <w:t xml:space="preserve"> </w:t>
      </w:r>
      <w:r w:rsidRPr="00EB30C2">
        <w:t>Súdneho</w:t>
      </w:r>
      <w:r w:rsidRPr="00EB30C2">
        <w:rPr>
          <w:spacing w:val="15"/>
        </w:rPr>
        <w:t xml:space="preserve"> </w:t>
      </w:r>
      <w:r w:rsidRPr="00EB30C2">
        <w:t>dvora</w:t>
      </w:r>
      <w:r w:rsidRPr="00EB30C2">
        <w:rPr>
          <w:spacing w:val="15"/>
        </w:rPr>
        <w:t xml:space="preserve"> </w:t>
      </w:r>
      <w:r w:rsidRPr="00EB30C2">
        <w:t>v sp</w:t>
      </w:r>
      <w:r w:rsidRPr="00EB30C2">
        <w:rPr>
          <w:color w:val="000000"/>
        </w:rPr>
        <w:t>ojených veciach C</w:t>
      </w:r>
      <w:r w:rsidRPr="00EB30C2">
        <w:rPr>
          <w:color w:val="000000"/>
        </w:rPr>
        <w:noBreakHyphen/>
        <w:t>447/20 a C</w:t>
      </w:r>
      <w:r w:rsidRPr="00EB30C2">
        <w:rPr>
          <w:color w:val="000000"/>
        </w:rPr>
        <w:noBreakHyphen/>
        <w:t>448/20</w:t>
      </w:r>
      <w:r w:rsidRPr="00EB30C2">
        <w:t xml:space="preserve">, </w:t>
      </w:r>
      <w:proofErr w:type="spellStart"/>
      <w:r w:rsidRPr="00EB30C2">
        <w:t>I</w:t>
      </w:r>
      <w:r w:rsidRPr="00EB30C2">
        <w:rPr>
          <w:bCs/>
          <w:color w:val="000000"/>
        </w:rPr>
        <w:t>nstituto</w:t>
      </w:r>
      <w:proofErr w:type="spellEnd"/>
      <w:r w:rsidRPr="00EB30C2">
        <w:rPr>
          <w:bCs/>
          <w:color w:val="000000"/>
        </w:rPr>
        <w:t xml:space="preserve"> de </w:t>
      </w:r>
      <w:proofErr w:type="spellStart"/>
      <w:r w:rsidRPr="00EB30C2">
        <w:rPr>
          <w:bCs/>
          <w:color w:val="000000"/>
        </w:rPr>
        <w:t>Financiamento</w:t>
      </w:r>
      <w:proofErr w:type="spellEnd"/>
      <w:r w:rsidRPr="00EB30C2">
        <w:rPr>
          <w:bCs/>
          <w:color w:val="000000"/>
        </w:rPr>
        <w:t xml:space="preserve"> da </w:t>
      </w:r>
      <w:proofErr w:type="spellStart"/>
      <w:r w:rsidRPr="00EB30C2">
        <w:rPr>
          <w:bCs/>
          <w:color w:val="000000"/>
        </w:rPr>
        <w:t>Agricultura</w:t>
      </w:r>
      <w:proofErr w:type="spellEnd"/>
      <w:r w:rsidRPr="00EB30C2">
        <w:rPr>
          <w:bCs/>
          <w:color w:val="000000"/>
        </w:rPr>
        <w:t xml:space="preserve"> e </w:t>
      </w:r>
      <w:proofErr w:type="spellStart"/>
      <w:r w:rsidRPr="00EB30C2">
        <w:rPr>
          <w:bCs/>
          <w:color w:val="000000"/>
        </w:rPr>
        <w:t>Pescas</w:t>
      </w:r>
      <w:proofErr w:type="spellEnd"/>
      <w:r w:rsidRPr="00EB30C2">
        <w:rPr>
          <w:bCs/>
          <w:color w:val="000000"/>
        </w:rPr>
        <w:t xml:space="preserve"> IP (IFAP)</w:t>
      </w:r>
      <w:r w:rsidRPr="00EB30C2">
        <w:rPr>
          <w:bCs/>
        </w:rPr>
        <w:t xml:space="preserve"> proti LM, BD a </w:t>
      </w:r>
      <w:proofErr w:type="spellStart"/>
      <w:r w:rsidRPr="00EB30C2">
        <w:rPr>
          <w:bCs/>
          <w:color w:val="000000"/>
        </w:rPr>
        <w:t>Autoridade</w:t>
      </w:r>
      <w:proofErr w:type="spellEnd"/>
      <w:r w:rsidRPr="00EB30C2">
        <w:rPr>
          <w:bCs/>
          <w:color w:val="000000"/>
        </w:rPr>
        <w:t xml:space="preserve"> </w:t>
      </w:r>
      <w:proofErr w:type="spellStart"/>
      <w:r w:rsidRPr="00EB30C2">
        <w:rPr>
          <w:bCs/>
          <w:color w:val="000000"/>
        </w:rPr>
        <w:t>Tributária</w:t>
      </w:r>
      <w:proofErr w:type="spellEnd"/>
      <w:r w:rsidRPr="00EB30C2">
        <w:rPr>
          <w:bCs/>
          <w:color w:val="000000"/>
        </w:rPr>
        <w:t xml:space="preserve"> e </w:t>
      </w:r>
      <w:proofErr w:type="spellStart"/>
      <w:r w:rsidRPr="00EB30C2">
        <w:rPr>
          <w:bCs/>
          <w:color w:val="000000"/>
        </w:rPr>
        <w:t>Aduaneira</w:t>
      </w:r>
      <w:proofErr w:type="spellEnd"/>
      <w:r w:rsidRPr="00EB30C2">
        <w:rPr>
          <w:bCs/>
        </w:rPr>
        <w:t xml:space="preserve"> </w:t>
      </w:r>
      <w:r w:rsidRPr="00EB30C2">
        <w:t>[2022].</w:t>
      </w:r>
    </w:p>
    <w:p w:rsidR="00997C58" w:rsidRPr="00EB30C2" w:rsidRDefault="00997C58" w:rsidP="00997C5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30C2">
        <w:rPr>
          <w:rFonts w:ascii="Times New Roman" w:eastAsia="Times New Roman" w:hAnsi="Times New Roman" w:cs="Times New Roman"/>
          <w:sz w:val="24"/>
          <w:szCs w:val="24"/>
          <w:u w:val="single"/>
        </w:rPr>
        <w:t>Výrok rozhodnutia:</w:t>
      </w:r>
    </w:p>
    <w:p w:rsidR="00997C58" w:rsidRPr="00EB30C2" w:rsidRDefault="00997C58" w:rsidP="00997C58">
      <w:pPr>
        <w:pStyle w:val="c08dispositif"/>
        <w:spacing w:after="240" w:afterAutospacing="0"/>
        <w:ind w:left="1134" w:hanging="567"/>
        <w:jc w:val="both"/>
        <w:rPr>
          <w:bCs/>
        </w:rPr>
      </w:pPr>
      <w:r w:rsidRPr="00EB30C2">
        <w:rPr>
          <w:bCs/>
        </w:rPr>
        <w:t xml:space="preserve">1.      Článok 3 ods. 1 nariadenia Rady (ES, </w:t>
      </w:r>
      <w:proofErr w:type="spellStart"/>
      <w:r w:rsidRPr="00EB30C2">
        <w:rPr>
          <w:bCs/>
        </w:rPr>
        <w:t>Euratom</w:t>
      </w:r>
      <w:proofErr w:type="spellEnd"/>
      <w:r w:rsidRPr="00EB30C2">
        <w:rPr>
          <w:bCs/>
        </w:rPr>
        <w:t>) č. 2988/95 z 18. decembra 1995 o ochrane </w:t>
      </w:r>
      <w:bookmarkStart w:id="0" w:name="ctx74"/>
      <w:r w:rsidRPr="00EB30C2">
        <w:rPr>
          <w:bCs/>
        </w:rPr>
        <w:t>finančných</w:t>
      </w:r>
      <w:bookmarkEnd w:id="0"/>
      <w:r w:rsidRPr="00EB30C2">
        <w:rPr>
          <w:bCs/>
        </w:rPr>
        <w:t> záujmov [</w:t>
      </w:r>
      <w:bookmarkStart w:id="1" w:name="ctx75"/>
      <w:r w:rsidRPr="00EB30C2">
        <w:rPr>
          <w:bCs/>
        </w:rPr>
        <w:t>Európskej</w:t>
      </w:r>
      <w:bookmarkEnd w:id="1"/>
      <w:r w:rsidRPr="00EB30C2">
        <w:rPr>
          <w:bCs/>
        </w:rPr>
        <w:t> </w:t>
      </w:r>
      <w:bookmarkStart w:id="2" w:name="ctx76"/>
      <w:r w:rsidRPr="00EB30C2">
        <w:rPr>
          <w:bCs/>
        </w:rPr>
        <w:t>únie</w:t>
      </w:r>
      <w:bookmarkEnd w:id="2"/>
      <w:r w:rsidRPr="00EB30C2">
        <w:rPr>
          <w:bCs/>
        </w:rPr>
        <w:t>] sa má vykladať v tom zmysle, že s výhradou dodržania zásad ekvivalencie a efektivity nebráni vnútroštátnej právnej úprave, podľa ktorej na účely napadnutia rozhodnutia o vymáhaní neoprávnene vyplatených súm, ktoré bolo prijaté po uplynutí premlčacej lehoty na začatie konania podľa tohto ustanovenia, je jeho adresát povinný pod hrozbou preklúzie namietať nesprávnosť tohto rozhodnutia v určitej lehote na príslušnom správnom súde a nemôže sa už brániť výkonu tohto rozhodnutia odvolávaním sa na tú istú nesprávnosť v rámci súdneho exekučného konania, ktoré bolo proti nemu začaté.</w:t>
      </w:r>
    </w:p>
    <w:p w:rsidR="00997C58" w:rsidRPr="00EB30C2" w:rsidRDefault="00997C58" w:rsidP="00997C58">
      <w:pPr>
        <w:pStyle w:val="c08dispositif"/>
        <w:spacing w:after="240" w:afterAutospacing="0"/>
        <w:ind w:left="1134" w:hanging="567"/>
        <w:jc w:val="both"/>
        <w:rPr>
          <w:bCs/>
        </w:rPr>
      </w:pPr>
      <w:r w:rsidRPr="00EB30C2">
        <w:rPr>
          <w:bCs/>
        </w:rPr>
        <w:t xml:space="preserve">2.      Článok 3 ods. 2 prvý </w:t>
      </w:r>
      <w:proofErr w:type="spellStart"/>
      <w:r w:rsidRPr="00EB30C2">
        <w:rPr>
          <w:bCs/>
        </w:rPr>
        <w:t>pododsek</w:t>
      </w:r>
      <w:proofErr w:type="spellEnd"/>
      <w:r w:rsidRPr="00EB30C2">
        <w:rPr>
          <w:bCs/>
        </w:rPr>
        <w:t xml:space="preserve"> nariadenia č. 2988/95 sa má vykladať v tom zmysle, že má okamžitý účinok vo vnútroštátnych právnych poriadkoch bez toho, aby </w:t>
      </w:r>
      <w:r w:rsidRPr="00EB30C2">
        <w:rPr>
          <w:bCs/>
        </w:rPr>
        <w:lastRenderedPageBreak/>
        <w:t xml:space="preserve">vnútroštátne orgány museli prijať vykonávacie opatrenia. Z toho vyplýva, že adresát rozhodnutia o vymáhaní neoprávnene prijatých súm musí mať v každom prípade právo namietať uplynutie lehoty na vykonanie stanovenej v článku 3 ods. 2 prvom </w:t>
      </w:r>
      <w:proofErr w:type="spellStart"/>
      <w:r w:rsidRPr="00EB30C2">
        <w:rPr>
          <w:bCs/>
        </w:rPr>
        <w:t>pododseku</w:t>
      </w:r>
      <w:proofErr w:type="spellEnd"/>
      <w:r w:rsidRPr="00EB30C2">
        <w:rPr>
          <w:bCs/>
        </w:rPr>
        <w:t xml:space="preserve"> tohto nariadenia alebo prípadne predĺženej lehoty na vymáhanie podľa článku 3 ods. 3 tohto nariadenia, aby sa mohol brániť proti vymáhaniu týchto súm.</w:t>
      </w:r>
    </w:p>
    <w:p w:rsidR="00997C58" w:rsidRPr="00EB30C2" w:rsidRDefault="00997C58" w:rsidP="00997C58">
      <w:pPr>
        <w:pStyle w:val="c08dispositif"/>
        <w:spacing w:after="240" w:afterAutospacing="0"/>
        <w:ind w:left="1134" w:hanging="567"/>
        <w:jc w:val="both"/>
        <w:rPr>
          <w:bCs/>
        </w:rPr>
      </w:pPr>
      <w:r w:rsidRPr="00EB30C2">
        <w:rPr>
          <w:bCs/>
        </w:rPr>
        <w:t xml:space="preserve">3.      Článok 3 ods. 2 prvý </w:t>
      </w:r>
      <w:proofErr w:type="spellStart"/>
      <w:r w:rsidRPr="00EB30C2">
        <w:rPr>
          <w:bCs/>
        </w:rPr>
        <w:t>pododsek</w:t>
      </w:r>
      <w:proofErr w:type="spellEnd"/>
      <w:r w:rsidRPr="00EB30C2">
        <w:rPr>
          <w:bCs/>
        </w:rPr>
        <w:t xml:space="preserve"> nariadenia č. 2988/95 sa má vykladať v tom zmysle, že bráni vnútroštátnej právnej úprave, ktorá stanovuje, že lehota na vykonanie, ktorú zavádza, začína plynúť od prijatia rozhodnutia ukladajúceho </w:t>
      </w:r>
      <w:bookmarkStart w:id="3" w:name="ctx77"/>
      <w:r w:rsidRPr="00EB30C2">
        <w:rPr>
          <w:bCs/>
        </w:rPr>
        <w:t>vrátenie</w:t>
      </w:r>
      <w:bookmarkEnd w:id="3"/>
      <w:r w:rsidRPr="00EB30C2">
        <w:rPr>
          <w:bCs/>
        </w:rPr>
        <w:t> neoprávnene prijatých súm, pretože táto lehota musí začať plynúť odo dňa, keď sa toto rozhodnutie stáva konečným, to znamená po uplynutí lehôt na podanie opravného prostriedku alebo vyčerpaním opravných </w:t>
      </w:r>
      <w:bookmarkStart w:id="4" w:name="ctx78"/>
      <w:r w:rsidRPr="00EB30C2">
        <w:rPr>
          <w:bCs/>
        </w:rPr>
        <w:t>prostriedkov</w:t>
      </w:r>
      <w:bookmarkEnd w:id="4"/>
      <w:r w:rsidRPr="00EB30C2">
        <w:rPr>
          <w:bCs/>
        </w:rPr>
        <w:t>.</w:t>
      </w:r>
    </w:p>
    <w:p w:rsidR="00997C58" w:rsidRPr="00EB30C2" w:rsidRDefault="00997C58" w:rsidP="00997C58">
      <w:pPr>
        <w:pStyle w:val="c08dispositif"/>
        <w:spacing w:after="240" w:afterAutospacing="0"/>
        <w:ind w:left="1134" w:hanging="567"/>
        <w:jc w:val="both"/>
        <w:rPr>
          <w:bCs/>
        </w:rPr>
      </w:pPr>
      <w:r w:rsidRPr="00EB30C2">
        <w:rPr>
          <w:bCs/>
        </w:rPr>
        <w:t xml:space="preserve">4.      Článok 3 ods. 2 druhý </w:t>
      </w:r>
      <w:proofErr w:type="spellStart"/>
      <w:r w:rsidRPr="00EB30C2">
        <w:rPr>
          <w:bCs/>
        </w:rPr>
        <w:t>pododsek</w:t>
      </w:r>
      <w:proofErr w:type="spellEnd"/>
      <w:r w:rsidRPr="00EB30C2">
        <w:rPr>
          <w:bCs/>
        </w:rPr>
        <w:t xml:space="preserve"> nariadenia č. 2988/95 sa má vykladať v tom zmysle, že nebráni vnútroštátnej právnej úprave, podľa ktorej sa lehota na vymáhanie stanovená v prvom </w:t>
      </w:r>
      <w:proofErr w:type="spellStart"/>
      <w:r w:rsidRPr="00EB30C2">
        <w:rPr>
          <w:bCs/>
        </w:rPr>
        <w:t>pododseku</w:t>
      </w:r>
      <w:proofErr w:type="spellEnd"/>
      <w:r w:rsidRPr="00EB30C2">
        <w:rPr>
          <w:bCs/>
        </w:rPr>
        <w:t xml:space="preserve"> tohto odseku prerušuje oznámením o začatí konania na vymáhanie dlhu, ktorý je predmetom rozhodnutia o vymáhaní.</w:t>
      </w:r>
    </w:p>
    <w:p w:rsidR="00997C58" w:rsidRPr="00EB30C2" w:rsidRDefault="00997C58" w:rsidP="00997C58">
      <w:pPr>
        <w:pStyle w:val="c02alineaalta"/>
        <w:spacing w:before="0" w:beforeAutospacing="0" w:after="240" w:afterAutospacing="0"/>
        <w:ind w:left="567"/>
        <w:jc w:val="both"/>
      </w:pPr>
      <w:r w:rsidRPr="00EB30C2">
        <w:t xml:space="preserve"> - rozsudok</w:t>
      </w:r>
      <w:r w:rsidRPr="00EB30C2">
        <w:rPr>
          <w:spacing w:val="15"/>
        </w:rPr>
        <w:t xml:space="preserve"> </w:t>
      </w:r>
      <w:r w:rsidRPr="00EB30C2">
        <w:t>Súdneho</w:t>
      </w:r>
      <w:r w:rsidRPr="00EB30C2">
        <w:rPr>
          <w:spacing w:val="15"/>
        </w:rPr>
        <w:t xml:space="preserve"> </w:t>
      </w:r>
      <w:r w:rsidRPr="00EB30C2">
        <w:t>dvora</w:t>
      </w:r>
      <w:r w:rsidRPr="00EB30C2">
        <w:rPr>
          <w:spacing w:val="15"/>
        </w:rPr>
        <w:t xml:space="preserve"> </w:t>
      </w:r>
      <w:r w:rsidRPr="00EB30C2">
        <w:t>vo</w:t>
      </w:r>
      <w:r w:rsidRPr="00EB30C2">
        <w:rPr>
          <w:spacing w:val="15"/>
        </w:rPr>
        <w:t xml:space="preserve"> </w:t>
      </w:r>
      <w:r w:rsidRPr="00EB30C2">
        <w:t>veci C</w:t>
      </w:r>
      <w:r w:rsidRPr="00EB30C2">
        <w:noBreakHyphen/>
        <w:t xml:space="preserve">580/17, </w:t>
      </w:r>
      <w:proofErr w:type="spellStart"/>
      <w:r w:rsidRPr="00EB30C2">
        <w:rPr>
          <w:bCs/>
          <w:color w:val="000000"/>
        </w:rPr>
        <w:t>Mittetulundusühing</w:t>
      </w:r>
      <w:proofErr w:type="spellEnd"/>
      <w:r w:rsidRPr="00EB30C2">
        <w:rPr>
          <w:bCs/>
          <w:color w:val="000000"/>
        </w:rPr>
        <w:t xml:space="preserve"> </w:t>
      </w:r>
      <w:proofErr w:type="spellStart"/>
      <w:r w:rsidRPr="00EB30C2">
        <w:rPr>
          <w:bCs/>
          <w:color w:val="000000"/>
        </w:rPr>
        <w:t>Järvelaev</w:t>
      </w:r>
      <w:proofErr w:type="spellEnd"/>
      <w:r w:rsidRPr="00EB30C2">
        <w:rPr>
          <w:bCs/>
          <w:color w:val="000000"/>
        </w:rPr>
        <w:t xml:space="preserve"> </w:t>
      </w:r>
      <w:r w:rsidRPr="00EB30C2">
        <w:rPr>
          <w:bCs/>
        </w:rPr>
        <w:t xml:space="preserve">proti </w:t>
      </w:r>
      <w:proofErr w:type="spellStart"/>
      <w:r w:rsidRPr="00EB30C2">
        <w:rPr>
          <w:bCs/>
          <w:color w:val="000000"/>
        </w:rPr>
        <w:t>Põllumajanduse</w:t>
      </w:r>
      <w:proofErr w:type="spellEnd"/>
      <w:r w:rsidRPr="00EB30C2">
        <w:rPr>
          <w:bCs/>
          <w:color w:val="000000"/>
        </w:rPr>
        <w:t xml:space="preserve"> </w:t>
      </w:r>
      <w:proofErr w:type="spellStart"/>
      <w:r w:rsidRPr="00EB30C2">
        <w:rPr>
          <w:bCs/>
          <w:color w:val="000000"/>
        </w:rPr>
        <w:t>Registrite</w:t>
      </w:r>
      <w:proofErr w:type="spellEnd"/>
      <w:r w:rsidRPr="00EB30C2">
        <w:rPr>
          <w:bCs/>
          <w:color w:val="000000"/>
        </w:rPr>
        <w:t xml:space="preserve"> ja </w:t>
      </w:r>
      <w:proofErr w:type="spellStart"/>
      <w:r w:rsidRPr="00EB30C2">
        <w:rPr>
          <w:bCs/>
          <w:color w:val="000000"/>
        </w:rPr>
        <w:t>Informatsiooni</w:t>
      </w:r>
      <w:proofErr w:type="spellEnd"/>
      <w:r w:rsidRPr="00EB30C2">
        <w:rPr>
          <w:bCs/>
          <w:color w:val="000000"/>
        </w:rPr>
        <w:t xml:space="preserve"> </w:t>
      </w:r>
      <w:proofErr w:type="spellStart"/>
      <w:r w:rsidRPr="00EB30C2">
        <w:rPr>
          <w:bCs/>
          <w:color w:val="000000"/>
        </w:rPr>
        <w:t>Amet</w:t>
      </w:r>
      <w:proofErr w:type="spellEnd"/>
      <w:r w:rsidRPr="00EB30C2">
        <w:rPr>
          <w:bCs/>
          <w:color w:val="000000"/>
        </w:rPr>
        <w:t xml:space="preserve"> (PRIA)</w:t>
      </w:r>
      <w:r w:rsidRPr="00EB30C2">
        <w:t xml:space="preserve"> [2019].</w:t>
      </w:r>
    </w:p>
    <w:p w:rsidR="00997C58" w:rsidRPr="00EB30C2" w:rsidRDefault="00997C58" w:rsidP="00997C5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30C2">
        <w:rPr>
          <w:rFonts w:ascii="Times New Roman" w:eastAsia="Times New Roman" w:hAnsi="Times New Roman" w:cs="Times New Roman"/>
          <w:sz w:val="24"/>
          <w:szCs w:val="24"/>
          <w:u w:val="single"/>
        </w:rPr>
        <w:t>Výrok rozhodnutia:</w:t>
      </w:r>
    </w:p>
    <w:p w:rsidR="00997C58" w:rsidRPr="00EB30C2" w:rsidRDefault="00997C58" w:rsidP="00997C58">
      <w:pPr>
        <w:spacing w:before="100" w:beforeAutospacing="1" w:after="24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</w:pPr>
      <w:r w:rsidRPr="00EB30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>1.      Trvalosť investičnej operácie, ktorá bola rovnako ako vo veci samej schválená a spolufinancovaná z Európskeho poľnohospodárskeho fondu pre rozvoj vidieka (EPFRV) v programovom období 2007 – 2013, sa musí posudzovať s prihliadnutím na ustanovenia článku 72 nariadenia Rady (ES) č. 1698/2005 z 20. septembra 2005 o podpore rozvoja vidieka prostredníctvom Európskeho poľnohospodárskeho fondu pre rozvoj vidieka. Pokiaľ k vymáhaniu neoprávnene vyplatených platieb v rámci tejto operácie dochádza po skončení uvedeného programového obdobia, teda po 1. januári 2014, musí sa zakladať na článku 56 nariadenia Európskeho parlamentu a Rady (EÚ) č. 1306/2013 zo 17. decembra 2013 o financovaní, riadení a monitorovaní spoločnej poľnohospodárskej politiky a ktorým sa zrušujú nariadenia Rady (EHS) č. 352/78, (ES) č. 165/94, (ES) č. 2799/98, (ES) č. 814/2000, (ES) č. 1290/2005 a (ES) č. 485/2008.</w:t>
      </w:r>
    </w:p>
    <w:p w:rsidR="00997C58" w:rsidRPr="00EB30C2" w:rsidRDefault="00997C58" w:rsidP="00997C58">
      <w:pPr>
        <w:spacing w:before="100" w:beforeAutospacing="1" w:after="24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</w:pPr>
      <w:r w:rsidRPr="00EB30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2.      Skutočnosť, že príjemca podpory, ktorá bola rovnako ako vo veci samej vyplatená v rámci investičnej operácie spolufinancovanej z Európskeho poľnohospodárskeho fondu pre rozvoj vidieka (EPFRV) v rámci osi </w:t>
      </w:r>
      <w:proofErr w:type="spellStart"/>
      <w:r w:rsidRPr="00EB30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>Leader</w:t>
      </w:r>
      <w:proofErr w:type="spellEnd"/>
      <w:r w:rsidRPr="00EB30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 uvedenej v nariadení č. 1698/2005, prenajme objekt nadobudnutý prostredníctvom tejto podpory tretej osobe, ktorá ho používa na tú istú operáciu, akú mal vykonávať príjemca uvedenej podpory, môže predstavovať podstatnú zmenu tejto spolufinancovanej investičnej operácie v zmysle článku 72 ods. 1 tohto nariadenia, čo musí vnútroštátny súd overiť vzhľadom na všetky dotknuté skutkové a právne okolnosti z hľadiska alternatívnych podmienok uvedených pod písmenami a) a b) tohto ustanovenia. Na účely záveru o existencii neoprávnenej výhody poskytnutej niektorému podniku alebo verejnému subjektu v zmysle článku 72 ods. 1 písm. a) tohto nariadenia je potrebné, aby príslušný vnútroštátny orgán pod dohľadom príslušných vnútroštátnych súdov konštatoval, v čom konkrétne spočíva neoprávnená výhoda. </w:t>
      </w:r>
      <w:r w:rsidRPr="00EB30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lastRenderedPageBreak/>
        <w:t>Otázka, či by s prihliadnutím na právne a skutkové okolnosti mal skutočný užívateľ podpory nárok na podporu, ak by o ňu sám požiadal, je síce relevantná, avšak na účely uplatnenia uvedeného článku 72 ods. 1 písm. a) nie je rozhodujúca.</w:t>
      </w:r>
    </w:p>
    <w:p w:rsidR="00997C58" w:rsidRPr="00EB30C2" w:rsidRDefault="00997C58" w:rsidP="00997C58">
      <w:pPr>
        <w:spacing w:before="100" w:beforeAutospacing="1" w:after="24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</w:pPr>
      <w:r w:rsidRPr="00EB30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>3.      Článok 72 ods. 1 nariadenia č. 1698/2005 sa má vykladať v tom zmysle, že bráni takej vnútroštátnej právnej úprave, o akú ide vo veci samej, ktorá príjemcovi podpory vyplatenej v rámci investičnej operácie spolufinancovanej z Európskeho poľnohospodárskeho fondu pre rozvoj vidieka (EPFRV) ukladá povinnosť zachovať a osobne používať minimálne počas piatich rokov od vyplatenia poslednej splátky podpory objekt nadobudnutý v rámci tejto investičnej operácie.</w:t>
      </w:r>
    </w:p>
    <w:p w:rsidR="00997C58" w:rsidRPr="00EB30C2" w:rsidRDefault="00997C58" w:rsidP="00997C58">
      <w:pPr>
        <w:spacing w:before="100" w:beforeAutospacing="1" w:after="24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</w:pPr>
      <w:r w:rsidRPr="00EB30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4.      Článok 56 prvý odsek nariadenia č. 1306/2013 sa má vykladať v tom zmysle, že nezrovnalosť v zmysle tohto ustanovenia predstavuje skutočnosť, že príjemca podpory poskytnutej v rámci investičnej operácie spolufinancovanej z Európskeho poľnohospodárskeho fondu pre rozvoj vidieka (EPFRV) a spadajúcej pod os </w:t>
      </w:r>
      <w:proofErr w:type="spellStart"/>
      <w:r w:rsidRPr="00EB30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>Leader</w:t>
      </w:r>
      <w:proofErr w:type="spellEnd"/>
      <w:r w:rsidRPr="00EB30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 uvedenú v nariadení č. 1698/2005 nesplnil jednu z okolností operácie uvedených príjemcom v jeho žiadosti o podporu, ktorá predstavovala jedno z kritérií, na základe ktorých boli žiadosti o podporu posúdené na účely ich zoradenia podľa priorít, hoci príslušná vnútroštátna právna úprava toto kritérium nepožaduje, za predpokladu, že nesplnenie takej okolnosti má za následok podstatnú zmenu investičnej operácie v zmysle článku 72 ods. 1 nariadenia č. 1698/2005, čo prináleží posúdiť vnútroštátnemu súdu.</w:t>
      </w:r>
    </w:p>
    <w:p w:rsidR="00997C58" w:rsidRPr="00EB30C2" w:rsidRDefault="00997C58" w:rsidP="00997C58">
      <w:pPr>
        <w:spacing w:before="100" w:beforeAutospacing="1" w:after="24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</w:pPr>
      <w:r w:rsidRPr="00EB30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>5.      Článok 56 nariadenia č. 1306/2013 sa má vykladať v tom zmysle, že nebráni tomu, aby sa začal postup vymáhania neoprávnene vyplatenej podpory pred uplynutím lehoty piatich rokov od rozhodnutia riadiaceho orgánu o financovaní. Toto ustanovenie nebráni ani tomu, aby sa v takom postupe vymáhania pokračovalo v prípade, keď v priebehu konania príjemca podpory ukončí nesplnenie povinnosti, ktoré odôvodňovalo začatie uvedeného postupu.</w:t>
      </w:r>
    </w:p>
    <w:p w:rsidR="00B26DD6" w:rsidRPr="00EB30C2" w:rsidRDefault="00B26DD6" w:rsidP="00B26DD6">
      <w:pPr>
        <w:pStyle w:val="Default"/>
        <w:ind w:left="567"/>
        <w:jc w:val="both"/>
      </w:pPr>
    </w:p>
    <w:p w:rsidR="00B26DD6" w:rsidRPr="00EB30C2" w:rsidRDefault="00B26DD6" w:rsidP="00B26DD6">
      <w:pPr>
        <w:pStyle w:val="Default"/>
        <w:jc w:val="both"/>
      </w:pPr>
      <w:r w:rsidRPr="00EB30C2">
        <w:rPr>
          <w:b/>
        </w:rPr>
        <w:t>4</w:t>
      </w:r>
      <w:r w:rsidRPr="00EB30C2">
        <w:t xml:space="preserve">. </w:t>
      </w:r>
      <w:r w:rsidRPr="00EB30C2">
        <w:rPr>
          <w:b/>
          <w:bCs/>
        </w:rPr>
        <w:t>Záväzky Slovenskej republiky vo vzťahu k Európskej únii</w:t>
      </w:r>
      <w:r w:rsidRPr="00EB30C2">
        <w:t xml:space="preserve">: </w:t>
      </w:r>
    </w:p>
    <w:p w:rsidR="00C82F98" w:rsidRPr="00EB30C2" w:rsidRDefault="00C82F98" w:rsidP="00B26DD6">
      <w:pPr>
        <w:pStyle w:val="Default"/>
        <w:jc w:val="both"/>
      </w:pPr>
    </w:p>
    <w:p w:rsidR="00B26DD6" w:rsidRPr="00EB30C2" w:rsidRDefault="00B26DD6" w:rsidP="00C42873">
      <w:pPr>
        <w:pStyle w:val="Default"/>
        <w:numPr>
          <w:ilvl w:val="0"/>
          <w:numId w:val="3"/>
        </w:numPr>
        <w:jc w:val="both"/>
      </w:pPr>
      <w:r w:rsidRPr="00EB30C2">
        <w:t>lehot</w:t>
      </w:r>
      <w:r w:rsidR="00C82F98" w:rsidRPr="00EB30C2">
        <w:t>a</w:t>
      </w:r>
      <w:r w:rsidRPr="00EB30C2">
        <w:t xml:space="preserve"> na prebranie príslušného právneho aktu Európskej únie, príp. aj osobitn</w:t>
      </w:r>
      <w:r w:rsidR="00C82F98" w:rsidRPr="00EB30C2">
        <w:t>á</w:t>
      </w:r>
      <w:r w:rsidRPr="00EB30C2">
        <w:t xml:space="preserve"> lehot</w:t>
      </w:r>
      <w:r w:rsidR="00C82F98" w:rsidRPr="00EB30C2">
        <w:t>a</w:t>
      </w:r>
      <w:r w:rsidR="00C42873" w:rsidRPr="00EB30C2">
        <w:t xml:space="preserve"> účinnosti jeho ustanovení:</w:t>
      </w:r>
      <w:r w:rsidRPr="00EB30C2">
        <w:t xml:space="preserve"> </w:t>
      </w:r>
    </w:p>
    <w:p w:rsidR="00C42873" w:rsidRPr="00EB30C2" w:rsidRDefault="00C42873" w:rsidP="00C42873">
      <w:pPr>
        <w:pStyle w:val="Default"/>
        <w:ind w:left="927"/>
        <w:jc w:val="both"/>
      </w:pPr>
    </w:p>
    <w:p w:rsidR="00B26DD6" w:rsidRPr="00EB30C2" w:rsidRDefault="00997C58" w:rsidP="00C42873">
      <w:pPr>
        <w:pStyle w:val="Default"/>
        <w:ind w:left="927"/>
        <w:jc w:val="both"/>
      </w:pPr>
      <w:r w:rsidRPr="00EB30C2">
        <w:t>Bezpredmetné</w:t>
      </w:r>
      <w:r w:rsidR="00C42873" w:rsidRPr="00EB30C2">
        <w:t>.</w:t>
      </w:r>
    </w:p>
    <w:p w:rsidR="00B26DD6" w:rsidRPr="00EB30C2" w:rsidRDefault="00B26DD6" w:rsidP="00B26DD6">
      <w:pPr>
        <w:pStyle w:val="Default"/>
        <w:ind w:left="851" w:hanging="284"/>
        <w:jc w:val="both"/>
      </w:pPr>
    </w:p>
    <w:p w:rsidR="00B26DD6" w:rsidRPr="00EB30C2" w:rsidRDefault="00B26DD6" w:rsidP="006A5528">
      <w:pPr>
        <w:pStyle w:val="Default"/>
        <w:ind w:left="993" w:hanging="426"/>
        <w:jc w:val="both"/>
      </w:pPr>
      <w:r w:rsidRPr="00EB30C2">
        <w:t>b) informáci</w:t>
      </w:r>
      <w:r w:rsidR="00C42873" w:rsidRPr="00EB30C2">
        <w:t>a</w:t>
      </w:r>
      <w:r w:rsidRPr="00EB30C2">
        <w:t xml:space="preserve"> o začatí konania v rámci „EÚ Pilot“ alebo o začatí postupu               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</w:t>
      </w:r>
      <w:r w:rsidRPr="00EB30C2">
        <w:rPr>
          <w:bCs/>
        </w:rPr>
        <w:t>ariadenie Európskeho parlamentu a Rady (ES) č. 1049/2001 z 30. mája 2001 o prístupe verejnosti k dokumentom Európskeho parlamentu, Rady a</w:t>
      </w:r>
      <w:r w:rsidR="00C42873" w:rsidRPr="00EB30C2">
        <w:rPr>
          <w:bCs/>
        </w:rPr>
        <w:t> </w:t>
      </w:r>
      <w:r w:rsidRPr="00EB30C2">
        <w:rPr>
          <w:bCs/>
        </w:rPr>
        <w:t>Komisie</w:t>
      </w:r>
      <w:r w:rsidR="00C42873" w:rsidRPr="00EB30C2">
        <w:t>:</w:t>
      </w:r>
    </w:p>
    <w:p w:rsidR="00B26DD6" w:rsidRPr="00EB30C2" w:rsidRDefault="00B26DD6" w:rsidP="00B26DD6">
      <w:pPr>
        <w:pStyle w:val="Default"/>
        <w:ind w:left="851" w:hanging="284"/>
        <w:jc w:val="both"/>
      </w:pPr>
      <w:r w:rsidRPr="00EB30C2">
        <w:t xml:space="preserve">     </w:t>
      </w:r>
    </w:p>
    <w:p w:rsidR="00B26DD6" w:rsidRPr="00EB30C2" w:rsidRDefault="006A5528" w:rsidP="002D373A">
      <w:pPr>
        <w:pStyle w:val="Default"/>
        <w:ind w:left="993" w:hanging="284"/>
        <w:jc w:val="both"/>
      </w:pPr>
      <w:r w:rsidRPr="00EB30C2">
        <w:t xml:space="preserve">     P</w:t>
      </w:r>
      <w:r w:rsidR="00B26DD6" w:rsidRPr="00EB30C2">
        <w:t>roti Slovenskej republike nebolo začaté</w:t>
      </w:r>
      <w:r w:rsidRPr="00EB30C2">
        <w:t xml:space="preserve"> žiadne z uvedených konaní.</w:t>
      </w:r>
    </w:p>
    <w:p w:rsidR="00B26DD6" w:rsidRPr="00EB30C2" w:rsidRDefault="00B26DD6" w:rsidP="00B26DD6">
      <w:pPr>
        <w:pStyle w:val="Default"/>
        <w:ind w:left="851" w:hanging="284"/>
        <w:jc w:val="both"/>
      </w:pPr>
    </w:p>
    <w:p w:rsidR="00B26DD6" w:rsidRPr="00EB30C2" w:rsidRDefault="00B26DD6" w:rsidP="006A5528">
      <w:pPr>
        <w:pStyle w:val="Default"/>
        <w:ind w:left="993" w:hanging="426"/>
        <w:jc w:val="both"/>
      </w:pPr>
      <w:r w:rsidRPr="00EB30C2">
        <w:lastRenderedPageBreak/>
        <w:t xml:space="preserve">c) </w:t>
      </w:r>
      <w:r w:rsidR="006A5528" w:rsidRPr="00EB30C2">
        <w:tab/>
        <w:t>informácia</w:t>
      </w:r>
      <w:r w:rsidRPr="00EB30C2">
        <w:t xml:space="preserve"> o právnych predpisoch, v ktorých sú uvádzané právne akty               Európskej únie už prebrané, spolu s uvedením rozsahu ich prebrania, príp. </w:t>
      </w:r>
      <w:r w:rsidR="006A5528" w:rsidRPr="00EB30C2">
        <w:t>potreby prijatia ďalších úprav:</w:t>
      </w:r>
    </w:p>
    <w:p w:rsidR="00B26DD6" w:rsidRPr="00EB30C2" w:rsidRDefault="00B26DD6" w:rsidP="00B26DD6">
      <w:pPr>
        <w:pStyle w:val="Default"/>
        <w:ind w:left="851" w:hanging="284"/>
        <w:jc w:val="both"/>
      </w:pPr>
    </w:p>
    <w:p w:rsidR="006A5528" w:rsidRPr="00EB30C2" w:rsidRDefault="00997C58" w:rsidP="006A5528">
      <w:pPr>
        <w:pStyle w:val="Default"/>
        <w:ind w:left="927"/>
        <w:jc w:val="both"/>
      </w:pPr>
      <w:r w:rsidRPr="00EB30C2">
        <w:t>Bezpredmetné</w:t>
      </w:r>
      <w:r w:rsidR="006A5528" w:rsidRPr="00EB30C2">
        <w:t>.</w:t>
      </w:r>
    </w:p>
    <w:p w:rsidR="00B26DD6" w:rsidRPr="00EB30C2" w:rsidRDefault="00B26DD6" w:rsidP="00B26DD6">
      <w:pPr>
        <w:pStyle w:val="Default"/>
        <w:ind w:left="1227"/>
        <w:jc w:val="both"/>
      </w:pPr>
    </w:p>
    <w:p w:rsidR="00B26DD6" w:rsidRPr="00EB30C2" w:rsidRDefault="00B26DD6" w:rsidP="00B26DD6">
      <w:pPr>
        <w:pStyle w:val="Default"/>
        <w:jc w:val="both"/>
        <w:rPr>
          <w:b/>
        </w:rPr>
      </w:pPr>
      <w:r w:rsidRPr="00EB30C2">
        <w:rPr>
          <w:b/>
        </w:rPr>
        <w:t xml:space="preserve">5. Návrh </w:t>
      </w:r>
      <w:r w:rsidRPr="00EB30C2">
        <w:rPr>
          <w:b/>
          <w:bCs/>
        </w:rPr>
        <w:t xml:space="preserve">právneho predpisu </w:t>
      </w:r>
      <w:r w:rsidRPr="00EB30C2">
        <w:rPr>
          <w:b/>
        </w:rPr>
        <w:t xml:space="preserve">je zlučiteľný s právom Európskej únie: </w:t>
      </w:r>
    </w:p>
    <w:p w:rsidR="004237E2" w:rsidRDefault="00997C58" w:rsidP="008825FD">
      <w:pPr>
        <w:pStyle w:val="Default"/>
        <w:ind w:left="567"/>
        <w:jc w:val="both"/>
      </w:pPr>
      <w:r w:rsidRPr="00EB30C2">
        <w:t xml:space="preserve">a) </w:t>
      </w:r>
      <w:r w:rsidR="00135137" w:rsidRPr="00EB30C2">
        <w:t>Ú</w:t>
      </w:r>
      <w:r w:rsidR="00B26DD6" w:rsidRPr="00EB30C2">
        <w:t>plne</w:t>
      </w:r>
      <w:r w:rsidR="00135137" w:rsidRPr="00EB30C2">
        <w:t>.</w:t>
      </w:r>
      <w:bookmarkStart w:id="5" w:name="_GoBack"/>
      <w:bookmarkEnd w:id="5"/>
    </w:p>
    <w:sectPr w:rsidR="0042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9F9"/>
    <w:multiLevelType w:val="hybridMultilevel"/>
    <w:tmpl w:val="A4F4AE32"/>
    <w:lvl w:ilvl="0" w:tplc="53B6E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45B1"/>
    <w:multiLevelType w:val="hybridMultilevel"/>
    <w:tmpl w:val="9034AD0A"/>
    <w:lvl w:ilvl="0" w:tplc="D9AAC89C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7C6B73"/>
    <w:multiLevelType w:val="hybridMultilevel"/>
    <w:tmpl w:val="C0981752"/>
    <w:lvl w:ilvl="0" w:tplc="05F83AD8">
      <w:start w:val="3"/>
      <w:numFmt w:val="bullet"/>
      <w:lvlText w:val="-"/>
      <w:lvlJc w:val="left"/>
      <w:pPr>
        <w:ind w:left="12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3" w15:restartNumberingAfterBreak="0">
    <w:nsid w:val="57E83AC0"/>
    <w:multiLevelType w:val="hybridMultilevel"/>
    <w:tmpl w:val="ED66163A"/>
    <w:lvl w:ilvl="0" w:tplc="CC9C0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D6"/>
    <w:rsid w:val="00135137"/>
    <w:rsid w:val="002D373A"/>
    <w:rsid w:val="004201C2"/>
    <w:rsid w:val="00481031"/>
    <w:rsid w:val="0052269A"/>
    <w:rsid w:val="00563594"/>
    <w:rsid w:val="006940D9"/>
    <w:rsid w:val="006A5528"/>
    <w:rsid w:val="007571DA"/>
    <w:rsid w:val="008825FD"/>
    <w:rsid w:val="00997C58"/>
    <w:rsid w:val="00B26DD6"/>
    <w:rsid w:val="00C1192D"/>
    <w:rsid w:val="00C2717F"/>
    <w:rsid w:val="00C42873"/>
    <w:rsid w:val="00C82F98"/>
    <w:rsid w:val="00EB30C2"/>
    <w:rsid w:val="00F34D71"/>
    <w:rsid w:val="00F5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FF7CE-8FD4-44A9-8451-F2E8F84A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6DD6"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26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B26DD6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B26D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6D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6DD6"/>
    <w:rPr>
      <w:noProof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DD6"/>
    <w:rPr>
      <w:rFonts w:ascii="Segoe UI" w:hAnsi="Segoe UI" w:cs="Segoe UI"/>
      <w:noProof/>
      <w:sz w:val="18"/>
      <w:szCs w:val="18"/>
    </w:rPr>
  </w:style>
  <w:style w:type="paragraph" w:styleId="Odsekzoznamu">
    <w:name w:val="List Paragraph"/>
    <w:basedOn w:val="Normlny"/>
    <w:uiPriority w:val="34"/>
    <w:qFormat/>
    <w:rsid w:val="007571DA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997C58"/>
    <w:rPr>
      <w:i/>
      <w:iCs/>
    </w:rPr>
  </w:style>
  <w:style w:type="character" w:styleId="Siln">
    <w:name w:val="Strong"/>
    <w:basedOn w:val="Predvolenpsmoodseku"/>
    <w:qFormat/>
    <w:rsid w:val="00997C58"/>
    <w:rPr>
      <w:b/>
      <w:bCs/>
    </w:rPr>
  </w:style>
  <w:style w:type="paragraph" w:customStyle="1" w:styleId="c02alineaalta">
    <w:name w:val="c02alineaalta"/>
    <w:basedOn w:val="Normlny"/>
    <w:rsid w:val="0099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paragraph" w:customStyle="1" w:styleId="c08dispositif">
    <w:name w:val="c08dispositif"/>
    <w:basedOn w:val="Normlny"/>
    <w:rsid w:val="0099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Moravčíková Dagmar</dc:creator>
  <cp:keywords/>
  <dc:description/>
  <cp:lastModifiedBy>Spiritza Martin</cp:lastModifiedBy>
  <cp:revision>9</cp:revision>
  <dcterms:created xsi:type="dcterms:W3CDTF">2024-05-30T14:51:00Z</dcterms:created>
  <dcterms:modified xsi:type="dcterms:W3CDTF">2024-05-31T10:36:00Z</dcterms:modified>
</cp:coreProperties>
</file>