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644DE" w:rsidRPr="002644DE" w:rsidTr="000800FC">
        <w:trPr>
          <w:trHeight w:val="534"/>
          <w:jc w:val="center"/>
        </w:trPr>
        <w:tc>
          <w:tcPr>
            <w:tcW w:w="5000" w:type="pct"/>
            <w:gridSpan w:val="3"/>
            <w:tcBorders>
              <w:bottom w:val="single" w:sz="4" w:space="0" w:color="auto"/>
            </w:tcBorders>
            <w:shd w:val="clear" w:color="auto" w:fill="808080" w:themeFill="background1" w:themeFillShade="80"/>
          </w:tcPr>
          <w:p w:rsidR="002644DE" w:rsidRPr="002644DE" w:rsidRDefault="002644DE" w:rsidP="002644DE">
            <w:pPr>
              <w:spacing w:after="0" w:line="240" w:lineRule="auto"/>
              <w:ind w:left="-284" w:firstLine="284"/>
              <w:jc w:val="center"/>
              <w:rPr>
                <w:rFonts w:ascii="Times New Roman" w:eastAsia="Calibri" w:hAnsi="Times New Roman" w:cs="Times New Roman"/>
                <w:b/>
                <w:lang w:eastAsia="sk-SK"/>
              </w:rPr>
            </w:pPr>
            <w:bookmarkStart w:id="0" w:name="_GoBack"/>
            <w:bookmarkEnd w:id="0"/>
            <w:r w:rsidRPr="002644DE">
              <w:rPr>
                <w:rFonts w:ascii="Times New Roman" w:eastAsia="Calibri" w:hAnsi="Times New Roman" w:cs="Times New Roman"/>
                <w:b/>
                <w:sz w:val="28"/>
                <w:lang w:eastAsia="sk-SK"/>
              </w:rPr>
              <w:t>Analýza sociálnych vplyvov</w:t>
            </w:r>
          </w:p>
          <w:p w:rsidR="002644DE" w:rsidRPr="002644DE" w:rsidRDefault="002644DE" w:rsidP="002644DE">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rsidR="002644DE" w:rsidRPr="002644DE" w:rsidRDefault="002644DE" w:rsidP="002644DE">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2644DE" w:rsidTr="000800FC">
        <w:trPr>
          <w:jc w:val="center"/>
        </w:trPr>
        <w:tc>
          <w:tcPr>
            <w:tcW w:w="5000" w:type="pct"/>
            <w:gridSpan w:val="3"/>
            <w:tcBorders>
              <w:bottom w:val="single" w:sz="4" w:space="0" w:color="auto"/>
            </w:tcBorders>
            <w:shd w:val="clear" w:color="auto" w:fill="A6A6A6" w:themeFill="background1" w:themeFillShade="A6"/>
          </w:tcPr>
          <w:p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2644DE" w:rsidTr="000800FC">
        <w:trPr>
          <w:jc w:val="center"/>
        </w:trPr>
        <w:tc>
          <w:tcPr>
            <w:tcW w:w="5000" w:type="pct"/>
            <w:gridSpan w:val="3"/>
            <w:tcBorders>
              <w:bottom w:val="single"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644DE" w:rsidRPr="002644DE" w:rsidTr="000800FC">
        <w:trPr>
          <w:trHeight w:val="170"/>
          <w:jc w:val="center"/>
        </w:trPr>
        <w:tc>
          <w:tcPr>
            <w:tcW w:w="129" w:type="pct"/>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2644DE" w:rsidRPr="00341079" w:rsidRDefault="00341079" w:rsidP="00B85899">
            <w:pPr>
              <w:spacing w:after="0" w:line="240" w:lineRule="auto"/>
              <w:contextualSpacing/>
              <w:rPr>
                <w:rFonts w:ascii="Times New Roman" w:eastAsia="Calibri" w:hAnsi="Times New Roman" w:cs="Times New Roman"/>
                <w:sz w:val="20"/>
                <w:szCs w:val="20"/>
                <w:lang w:eastAsia="sk-SK"/>
              </w:rPr>
            </w:pPr>
            <w:r w:rsidRPr="003278FA">
              <w:rPr>
                <w:rFonts w:ascii="Times New Roman" w:hAnsi="Times New Roman" w:cs="Times New Roman"/>
                <w:sz w:val="20"/>
                <w:szCs w:val="20"/>
              </w:rPr>
              <w:t>Pozitívny vplyv spočíva v zamestnávaní ľudí. Návrh bude mať zároveň pozitívny vplyv aj na hospodárenie dotknutých domácností.</w:t>
            </w: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Default="0034107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Rodiny priamych zamestnancov resp. priamy zamestnanec bez rodiny.</w:t>
            </w:r>
          </w:p>
          <w:p w:rsidR="00341079" w:rsidRPr="002644DE" w:rsidRDefault="00341079">
            <w:pPr>
              <w:spacing w:after="0" w:line="240" w:lineRule="auto"/>
              <w:rPr>
                <w:rFonts w:ascii="Times New Roman" w:eastAsia="Calibri" w:hAnsi="Times New Roman" w:cs="Times New Roman"/>
                <w:i/>
                <w:sz w:val="20"/>
                <w:szCs w:val="20"/>
                <w:lang w:eastAsia="sk-SK"/>
              </w:rPr>
            </w:pPr>
            <w:r w:rsidRPr="00AA6A70">
              <w:rPr>
                <w:rFonts w:ascii="Times New Roman" w:eastAsia="Calibri" w:hAnsi="Times New Roman" w:cs="Times New Roman"/>
                <w:sz w:val="20"/>
                <w:szCs w:val="20"/>
                <w:lang w:eastAsia="sk-SK"/>
              </w:rPr>
              <w:t>Pozitívne ovplyvnené skupiny budú prevažne z</w:t>
            </w:r>
            <w:r>
              <w:rPr>
                <w:rFonts w:ascii="Times New Roman" w:eastAsia="Calibri" w:hAnsi="Times New Roman" w:cs="Times New Roman"/>
                <w:sz w:val="20"/>
                <w:szCs w:val="20"/>
                <w:lang w:eastAsia="sk-SK"/>
              </w:rPr>
              <w:t> </w:t>
            </w:r>
            <w:r w:rsidRPr="00AA6A70">
              <w:rPr>
                <w:rFonts w:ascii="Times New Roman" w:eastAsia="Calibri" w:hAnsi="Times New Roman" w:cs="Times New Roman"/>
                <w:sz w:val="20"/>
                <w:szCs w:val="20"/>
                <w:lang w:eastAsia="sk-SK"/>
              </w:rPr>
              <w:t>okresu</w:t>
            </w:r>
            <w:r>
              <w:rPr>
                <w:rFonts w:ascii="Times New Roman" w:eastAsia="Calibri" w:hAnsi="Times New Roman" w:cs="Times New Roman"/>
                <w:sz w:val="20"/>
                <w:szCs w:val="20"/>
                <w:lang w:eastAsia="sk-SK"/>
              </w:rPr>
              <w:t xml:space="preserve"> Bratislava (navýšenie počtu zamestnancov na MŽP SR) a Banská Bystrica (navýšenie počtu zamestnancov na SAŽP</w:t>
            </w:r>
            <w:r w:rsidR="00FF25DA">
              <w:rPr>
                <w:rFonts w:ascii="Times New Roman" w:eastAsia="Calibri" w:hAnsi="Times New Roman" w:cs="Times New Roman"/>
                <w:sz w:val="20"/>
                <w:szCs w:val="20"/>
                <w:lang w:eastAsia="sk-SK"/>
              </w:rPr>
              <w:t xml:space="preserve"> so sídlom v Banskej Bystrici</w:t>
            </w:r>
            <w:r>
              <w:rPr>
                <w:rFonts w:ascii="Times New Roman" w:eastAsia="Calibri" w:hAnsi="Times New Roman" w:cs="Times New Roman"/>
                <w:sz w:val="20"/>
                <w:szCs w:val="20"/>
                <w:lang w:eastAsia="sk-SK"/>
              </w:rPr>
              <w:t>). Nakoľko sa však počíta s vytvorením pracovných miest v každom okrese, pozitívny vplyv bude najmä v okresoch, ktoré sú zaradené do zoznamu najmenej rozvinutých okresov.</w:t>
            </w:r>
          </w:p>
        </w:tc>
      </w:tr>
      <w:tr w:rsidR="002644DE" w:rsidRPr="002644DE" w:rsidTr="000800FC">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34107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454"/>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FF25DA" w:rsidRDefault="00FF25DA" w:rsidP="00FF25DA">
            <w:pPr>
              <w:spacing w:after="0"/>
              <w:rPr>
                <w:rFonts w:ascii="Times New Roman" w:eastAsia="Calibri" w:hAnsi="Times New Roman" w:cs="Times New Roman"/>
                <w:sz w:val="20"/>
                <w:szCs w:val="18"/>
              </w:rPr>
            </w:pPr>
            <w:r>
              <w:rPr>
                <w:rFonts w:ascii="Times New Roman" w:eastAsia="Calibri" w:hAnsi="Times New Roman" w:cs="Times New Roman"/>
                <w:sz w:val="20"/>
                <w:szCs w:val="18"/>
              </w:rPr>
              <w:t xml:space="preserve">Dôjde k vzniku 84 pracovných štátnozamestnaneckých miest </w:t>
            </w:r>
            <w:r w:rsidR="003278FA">
              <w:rPr>
                <w:rFonts w:ascii="Times New Roman" w:eastAsia="Calibri" w:hAnsi="Times New Roman" w:cs="Times New Roman"/>
                <w:sz w:val="20"/>
                <w:szCs w:val="18"/>
              </w:rPr>
              <w:t xml:space="preserve">v súlade so </w:t>
            </w:r>
            <w:r>
              <w:rPr>
                <w:rFonts w:ascii="Times New Roman" w:eastAsia="Calibri" w:hAnsi="Times New Roman" w:cs="Times New Roman"/>
                <w:sz w:val="20"/>
                <w:szCs w:val="18"/>
              </w:rPr>
              <w:t xml:space="preserve"> </w:t>
            </w:r>
            <w:r w:rsidR="003278FA">
              <w:rPr>
                <w:rFonts w:ascii="Times New Roman" w:eastAsia="Calibri" w:hAnsi="Times New Roman" w:cs="Times New Roman"/>
                <w:sz w:val="20"/>
                <w:szCs w:val="18"/>
              </w:rPr>
              <w:t>zákonom</w:t>
            </w:r>
            <w:r w:rsidRPr="007B56FC">
              <w:rPr>
                <w:rFonts w:ascii="Times New Roman" w:eastAsia="Calibri" w:hAnsi="Times New Roman" w:cs="Times New Roman"/>
                <w:sz w:val="20"/>
                <w:szCs w:val="18"/>
              </w:rPr>
              <w:t xml:space="preserve"> </w:t>
            </w:r>
            <w:r>
              <w:rPr>
                <w:rFonts w:ascii="Times New Roman" w:eastAsia="Calibri" w:hAnsi="Times New Roman" w:cs="Times New Roman"/>
                <w:sz w:val="20"/>
                <w:szCs w:val="18"/>
              </w:rPr>
              <w:t>č. 55/2017 Z.</w:t>
            </w:r>
            <w:r w:rsidR="003278FA">
              <w:rPr>
                <w:rFonts w:ascii="Times New Roman" w:eastAsia="Calibri" w:hAnsi="Times New Roman" w:cs="Times New Roman"/>
                <w:sz w:val="20"/>
                <w:szCs w:val="18"/>
              </w:rPr>
              <w:t> </w:t>
            </w:r>
            <w:r>
              <w:rPr>
                <w:rFonts w:ascii="Times New Roman" w:eastAsia="Calibri" w:hAnsi="Times New Roman" w:cs="Times New Roman"/>
                <w:sz w:val="20"/>
                <w:szCs w:val="18"/>
              </w:rPr>
              <w:t xml:space="preserve">z. </w:t>
            </w:r>
            <w:r w:rsidRPr="007B56FC">
              <w:rPr>
                <w:rFonts w:ascii="Times New Roman" w:eastAsia="Calibri" w:hAnsi="Times New Roman" w:cs="Times New Roman"/>
                <w:sz w:val="20"/>
                <w:szCs w:val="18"/>
              </w:rPr>
              <w:t>o štátnej službe a o zmene a doplnení niektorých zákonov</w:t>
            </w:r>
            <w:r w:rsidR="003278FA">
              <w:rPr>
                <w:rFonts w:ascii="Times New Roman" w:eastAsia="Calibri" w:hAnsi="Times New Roman" w:cs="Times New Roman"/>
                <w:sz w:val="20"/>
                <w:szCs w:val="18"/>
              </w:rPr>
              <w:t xml:space="preserve"> v znení neskorších predpisov</w:t>
            </w:r>
            <w:r>
              <w:rPr>
                <w:rFonts w:ascii="Times New Roman" w:eastAsia="Calibri" w:hAnsi="Times New Roman" w:cs="Times New Roman"/>
                <w:sz w:val="20"/>
                <w:szCs w:val="18"/>
              </w:rPr>
              <w:t xml:space="preserve">. Priemerný mzdový výdavok v rámci pracovných pozícií na MŽP SR je 1 </w:t>
            </w:r>
            <w:r w:rsidR="004E1DF8">
              <w:rPr>
                <w:rFonts w:ascii="Times New Roman" w:eastAsia="Calibri" w:hAnsi="Times New Roman" w:cs="Times New Roman"/>
                <w:sz w:val="20"/>
                <w:szCs w:val="18"/>
              </w:rPr>
              <w:t>21</w:t>
            </w:r>
            <w:r>
              <w:rPr>
                <w:rFonts w:ascii="Times New Roman" w:eastAsia="Calibri" w:hAnsi="Times New Roman" w:cs="Times New Roman"/>
                <w:sz w:val="20"/>
                <w:szCs w:val="18"/>
              </w:rPr>
              <w:t>8,- € a na MV SR (na okresných úradoch)</w:t>
            </w:r>
            <w:r w:rsidR="00416C6E">
              <w:rPr>
                <w:rFonts w:ascii="Times New Roman" w:eastAsia="Calibri" w:hAnsi="Times New Roman" w:cs="Times New Roman"/>
                <w:sz w:val="20"/>
                <w:szCs w:val="18"/>
              </w:rPr>
              <w:t xml:space="preserve"> 1 113,- €.</w:t>
            </w:r>
          </w:p>
          <w:p w:rsidR="00416C6E" w:rsidRDefault="004E1DF8" w:rsidP="00FF25DA">
            <w:pPr>
              <w:spacing w:after="0"/>
              <w:rPr>
                <w:rFonts w:ascii="Times New Roman" w:eastAsia="Calibri" w:hAnsi="Times New Roman" w:cs="Times New Roman"/>
                <w:sz w:val="20"/>
                <w:szCs w:val="18"/>
              </w:rPr>
            </w:pPr>
            <w:r>
              <w:rPr>
                <w:rFonts w:ascii="Times New Roman" w:eastAsia="Calibri" w:hAnsi="Times New Roman" w:cs="Times New Roman"/>
                <w:sz w:val="20"/>
                <w:szCs w:val="18"/>
              </w:rPr>
              <w:t xml:space="preserve">Ďalej dôjde k vzniku </w:t>
            </w:r>
            <w:r w:rsidR="00416C6E">
              <w:rPr>
                <w:rFonts w:ascii="Times New Roman" w:eastAsia="Calibri" w:hAnsi="Times New Roman" w:cs="Times New Roman"/>
                <w:sz w:val="20"/>
                <w:szCs w:val="18"/>
              </w:rPr>
              <w:t xml:space="preserve">6 pracovných miest </w:t>
            </w:r>
            <w:r w:rsidR="003278FA">
              <w:rPr>
                <w:rFonts w:ascii="Times New Roman" w:eastAsia="Calibri" w:hAnsi="Times New Roman" w:cs="Times New Roman"/>
                <w:sz w:val="20"/>
                <w:szCs w:val="18"/>
              </w:rPr>
              <w:t>podľa</w:t>
            </w:r>
            <w:r>
              <w:rPr>
                <w:rFonts w:ascii="Times New Roman" w:eastAsia="Calibri" w:hAnsi="Times New Roman" w:cs="Times New Roman"/>
                <w:sz w:val="20"/>
                <w:szCs w:val="18"/>
              </w:rPr>
              <w:t xml:space="preserve"> </w:t>
            </w:r>
            <w:r w:rsidRPr="007B56FC">
              <w:rPr>
                <w:rFonts w:ascii="Times New Roman" w:eastAsia="Calibri" w:hAnsi="Times New Roman" w:cs="Times New Roman"/>
                <w:sz w:val="20"/>
                <w:szCs w:val="18"/>
              </w:rPr>
              <w:t>zákon</w:t>
            </w:r>
            <w:r>
              <w:rPr>
                <w:rFonts w:ascii="Times New Roman" w:eastAsia="Calibri" w:hAnsi="Times New Roman" w:cs="Times New Roman"/>
                <w:sz w:val="20"/>
                <w:szCs w:val="18"/>
              </w:rPr>
              <w:t>a</w:t>
            </w:r>
            <w:r w:rsidRPr="007B56FC">
              <w:rPr>
                <w:rFonts w:ascii="Times New Roman" w:eastAsia="Calibri" w:hAnsi="Times New Roman" w:cs="Times New Roman"/>
                <w:sz w:val="20"/>
                <w:szCs w:val="18"/>
              </w:rPr>
              <w:t xml:space="preserve"> č. 311/2001 Z. z. Zákonník pr</w:t>
            </w:r>
            <w:r>
              <w:rPr>
                <w:rFonts w:ascii="Times New Roman" w:eastAsia="Calibri" w:hAnsi="Times New Roman" w:cs="Times New Roman"/>
                <w:sz w:val="20"/>
                <w:szCs w:val="18"/>
              </w:rPr>
              <w:t>áce v znení neskorších predpisov ako dohody o vykonaní pracovnej činnosti</w:t>
            </w:r>
            <w:r w:rsidRPr="007B56FC">
              <w:rPr>
                <w:rFonts w:ascii="Times New Roman" w:eastAsia="Calibri" w:hAnsi="Times New Roman" w:cs="Times New Roman"/>
                <w:sz w:val="20"/>
                <w:szCs w:val="18"/>
              </w:rPr>
              <w:t>, resp. dohody o vykonaní práce</w:t>
            </w:r>
            <w:r>
              <w:rPr>
                <w:rFonts w:ascii="Times New Roman" w:eastAsia="Calibri" w:hAnsi="Times New Roman" w:cs="Times New Roman"/>
                <w:sz w:val="20"/>
                <w:szCs w:val="18"/>
              </w:rPr>
              <w:t>. Tu, pre danú činnosť (v rámci pozícií SAŽP) je priemerný mzdový výdavok 1 630,- €.</w:t>
            </w:r>
          </w:p>
          <w:p w:rsidR="00FF25DA" w:rsidRDefault="00FF25DA" w:rsidP="00FF25DA">
            <w:pPr>
              <w:spacing w:after="0" w:line="240" w:lineRule="auto"/>
              <w:jc w:val="both"/>
              <w:rPr>
                <w:rFonts w:ascii="Times New Roman" w:eastAsia="Calibri" w:hAnsi="Times New Roman" w:cs="Times New Roman"/>
                <w:sz w:val="20"/>
                <w:szCs w:val="20"/>
                <w:lang w:eastAsia="sk-SK"/>
              </w:rPr>
            </w:pPr>
          </w:p>
          <w:p w:rsidR="00FF25DA" w:rsidRDefault="00FF25DA" w:rsidP="00FF25DA">
            <w:pPr>
              <w:spacing w:after="0" w:line="240" w:lineRule="auto"/>
              <w:jc w:val="both"/>
              <w:rPr>
                <w:rFonts w:ascii="Times New Roman" w:eastAsia="Calibri" w:hAnsi="Times New Roman" w:cs="Times New Roman"/>
                <w:sz w:val="20"/>
                <w:szCs w:val="20"/>
                <w:lang w:eastAsia="sk-SK"/>
              </w:rPr>
            </w:pPr>
          </w:p>
          <w:p w:rsidR="00FF25DA" w:rsidRDefault="00FF25DA" w:rsidP="00FF25DA">
            <w:pPr>
              <w:spacing w:after="0" w:line="240" w:lineRule="auto"/>
              <w:jc w:val="both"/>
              <w:rPr>
                <w:rFonts w:ascii="Times New Roman" w:eastAsia="Calibri" w:hAnsi="Times New Roman" w:cs="Times New Roman"/>
                <w:sz w:val="20"/>
                <w:szCs w:val="20"/>
                <w:lang w:eastAsia="sk-SK"/>
              </w:rPr>
            </w:pPr>
            <w:r w:rsidRPr="00F53B5A">
              <w:rPr>
                <w:rFonts w:ascii="Times New Roman" w:eastAsia="Calibri" w:hAnsi="Times New Roman" w:cs="Times New Roman"/>
                <w:sz w:val="20"/>
                <w:szCs w:val="20"/>
                <w:lang w:eastAsia="sk-SK"/>
              </w:rPr>
              <w:t xml:space="preserve">Predpokladá sa, že pozitívne bude ovplyvnených </w:t>
            </w:r>
            <w:r>
              <w:rPr>
                <w:rFonts w:ascii="Times New Roman" w:eastAsia="Calibri" w:hAnsi="Times New Roman" w:cs="Times New Roman"/>
                <w:sz w:val="20"/>
                <w:szCs w:val="20"/>
                <w:lang w:eastAsia="sk-SK"/>
              </w:rPr>
              <w:t>90</w:t>
            </w:r>
            <w:r w:rsidRPr="00C7606D">
              <w:rPr>
                <w:rFonts w:ascii="Times New Roman" w:eastAsia="Calibri" w:hAnsi="Times New Roman" w:cs="Times New Roman"/>
                <w:color w:val="FF0000"/>
                <w:sz w:val="20"/>
                <w:szCs w:val="20"/>
                <w:lang w:eastAsia="sk-SK"/>
              </w:rPr>
              <w:t xml:space="preserve"> </w:t>
            </w:r>
            <w:r w:rsidRPr="00F53B5A">
              <w:rPr>
                <w:rFonts w:ascii="Times New Roman" w:eastAsia="Calibri" w:hAnsi="Times New Roman" w:cs="Times New Roman"/>
                <w:sz w:val="20"/>
                <w:szCs w:val="20"/>
                <w:lang w:eastAsia="sk-SK"/>
              </w:rPr>
              <w:t>domácností</w:t>
            </w:r>
            <w:r>
              <w:rPr>
                <w:rFonts w:ascii="Times New Roman" w:eastAsia="Calibri" w:hAnsi="Times New Roman" w:cs="Times New Roman"/>
                <w:sz w:val="20"/>
                <w:szCs w:val="20"/>
                <w:lang w:eastAsia="sk-SK"/>
              </w:rPr>
              <w:t>.</w:t>
            </w:r>
          </w:p>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397"/>
          <w:jc w:val="center"/>
        </w:trPr>
        <w:tc>
          <w:tcPr>
            <w:tcW w:w="129" w:type="pc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170"/>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2644DE" w:rsidRPr="002644DE" w:rsidRDefault="0048139E"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lang w:eastAsia="sk-SK"/>
              </w:rPr>
              <w:t>Bez vplyvu</w:t>
            </w: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2644DE" w:rsidRDefault="00636449">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r w:rsidR="00A25E45">
              <w:rPr>
                <w:rFonts w:ascii="Times New Roman" w:eastAsia="Calibri" w:hAnsi="Times New Roman" w:cs="Times New Roman"/>
                <w:sz w:val="20"/>
                <w:szCs w:val="20"/>
                <w:lang w:eastAsia="sk-SK"/>
              </w:rPr>
              <w:t xml:space="preserve"> </w:t>
            </w:r>
          </w:p>
        </w:tc>
      </w:tr>
      <w:tr w:rsidR="002644DE" w:rsidRPr="002644DE" w:rsidTr="000800FC">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r w:rsidR="00A25E45">
              <w:rPr>
                <w:rFonts w:ascii="Times New Roman" w:eastAsia="Calibri" w:hAnsi="Times New Roman" w:cs="Times New Roman"/>
                <w:sz w:val="20"/>
                <w:szCs w:val="20"/>
                <w:lang w:eastAsia="sk-SK"/>
              </w:rPr>
              <w:t xml:space="preserve"> </w:t>
            </w:r>
          </w:p>
        </w:tc>
      </w:tr>
      <w:tr w:rsidR="002644DE" w:rsidRPr="002644DE" w:rsidTr="000800FC">
        <w:trPr>
          <w:trHeight w:val="397"/>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lastRenderedPageBreak/>
              <w:t>veľkosť skupiny (počet obyvateľov):</w:t>
            </w:r>
          </w:p>
        </w:tc>
        <w:tc>
          <w:tcPr>
            <w:tcW w:w="3229" w:type="pct"/>
            <w:tcBorders>
              <w:top w:val="dotted" w:sz="4" w:space="0" w:color="auto"/>
            </w:tcBorders>
            <w:shd w:val="clear" w:color="auto" w:fill="auto"/>
          </w:tcPr>
          <w:p w:rsidR="002644DE" w:rsidRPr="002644DE" w:rsidRDefault="00636449">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lastRenderedPageBreak/>
              <w:t>Ovplyvnená skupina č. 1</w:t>
            </w:r>
            <w:r w:rsidR="00A25E45">
              <w:rPr>
                <w:rFonts w:ascii="Times New Roman" w:eastAsia="Calibri" w:hAnsi="Times New Roman" w:cs="Times New Roman"/>
                <w:sz w:val="20"/>
                <w:szCs w:val="20"/>
                <w:lang w:eastAsia="sk-SK"/>
              </w:rPr>
              <w:t xml:space="preserve"> </w:t>
            </w: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r w:rsidR="00A25E45">
              <w:rPr>
                <w:rFonts w:ascii="Times New Roman" w:eastAsia="Calibri" w:hAnsi="Times New Roman" w:cs="Times New Roman"/>
                <w:sz w:val="20"/>
                <w:szCs w:val="20"/>
                <w:lang w:eastAsia="sk-SK"/>
              </w:rPr>
              <w:t xml:space="preserve"> </w:t>
            </w:r>
          </w:p>
        </w:tc>
      </w:tr>
      <w:tr w:rsidR="002644DE" w:rsidRPr="002644DE" w:rsidTr="000800FC">
        <w:trPr>
          <w:trHeight w:val="350"/>
          <w:jc w:val="center"/>
        </w:trPr>
        <w:tc>
          <w:tcPr>
            <w:tcW w:w="129" w:type="pct"/>
            <w:tcBorders>
              <w:top w:val="dotted"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170"/>
          <w:jc w:val="center"/>
        </w:trPr>
        <w:tc>
          <w:tcPr>
            <w:tcW w:w="129" w:type="pct"/>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rsidR="002644DE" w:rsidRPr="002644DE" w:rsidRDefault="002644DE" w:rsidP="002644DE">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2644DE" w:rsidRPr="002644DE" w:rsidRDefault="00341079" w:rsidP="00B85899">
            <w:pPr>
              <w:spacing w:after="0" w:line="240" w:lineRule="auto"/>
              <w:contextualSpacing/>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Bez vplyvu</w:t>
            </w: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rsidR="002644DE" w:rsidRPr="002644DE" w:rsidRDefault="00636449">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r w:rsidR="00A25E45">
              <w:rPr>
                <w:rFonts w:ascii="Times New Roman" w:eastAsia="Calibri" w:hAnsi="Times New Roman" w:cs="Times New Roman"/>
                <w:sz w:val="20"/>
                <w:szCs w:val="20"/>
                <w:lang w:eastAsia="sk-SK"/>
              </w:rPr>
              <w:t xml:space="preserve"> </w:t>
            </w:r>
          </w:p>
        </w:tc>
      </w:tr>
      <w:tr w:rsidR="002644DE" w:rsidRPr="002644DE" w:rsidTr="000800FC">
        <w:trPr>
          <w:trHeight w:val="397"/>
          <w:jc w:val="center"/>
        </w:trPr>
        <w:tc>
          <w:tcPr>
            <w:tcW w:w="129" w:type="pct"/>
            <w:vMerge/>
            <w:tcBorders>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rsidR="002644DE" w:rsidRPr="002644DE" w:rsidRDefault="00636449">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r w:rsidR="00A25E45">
              <w:rPr>
                <w:rFonts w:ascii="Times New Roman" w:eastAsia="Calibri" w:hAnsi="Times New Roman" w:cs="Times New Roman"/>
                <w:sz w:val="20"/>
                <w:szCs w:val="20"/>
                <w:lang w:eastAsia="sk-SK"/>
              </w:rPr>
              <w:t xml:space="preserve"> </w:t>
            </w:r>
          </w:p>
        </w:tc>
      </w:tr>
      <w:tr w:rsidR="002644DE" w:rsidRPr="002644DE" w:rsidTr="000800FC">
        <w:trPr>
          <w:trHeight w:val="397"/>
          <w:jc w:val="center"/>
        </w:trPr>
        <w:tc>
          <w:tcPr>
            <w:tcW w:w="129" w:type="pct"/>
            <w:tcBorders>
              <w:top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636449">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r w:rsidR="00A25E45">
              <w:rPr>
                <w:rFonts w:ascii="Times New Roman" w:eastAsia="Calibri" w:hAnsi="Times New Roman" w:cs="Times New Roman"/>
                <w:sz w:val="20"/>
                <w:szCs w:val="20"/>
                <w:lang w:eastAsia="sk-SK"/>
              </w:rPr>
              <w:t xml:space="preserve"> </w:t>
            </w: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r w:rsidR="00A25E45">
              <w:rPr>
                <w:rFonts w:ascii="Times New Roman" w:eastAsia="Calibri" w:hAnsi="Times New Roman" w:cs="Times New Roman"/>
                <w:sz w:val="20"/>
                <w:szCs w:val="20"/>
                <w:lang w:eastAsia="sk-SK"/>
              </w:rPr>
              <w:t xml:space="preserve"> </w:t>
            </w:r>
          </w:p>
        </w:tc>
      </w:tr>
      <w:tr w:rsidR="002644DE" w:rsidRPr="002644DE" w:rsidTr="000800FC">
        <w:trPr>
          <w:trHeight w:val="397"/>
          <w:jc w:val="center"/>
        </w:trPr>
        <w:tc>
          <w:tcPr>
            <w:tcW w:w="129" w:type="pc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227"/>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2644DE" w:rsidRPr="002644DE" w:rsidRDefault="0034107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Bez vplyvu</w:t>
            </w: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2644DE" w:rsidRDefault="00636449">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r w:rsidR="00A25E45">
              <w:rPr>
                <w:rFonts w:ascii="Times New Roman" w:eastAsia="Calibri" w:hAnsi="Times New Roman" w:cs="Times New Roman"/>
                <w:sz w:val="20"/>
                <w:szCs w:val="20"/>
                <w:lang w:eastAsia="sk-SK"/>
              </w:rPr>
              <w:t xml:space="preserve"> </w:t>
            </w:r>
          </w:p>
        </w:tc>
      </w:tr>
      <w:tr w:rsidR="002644DE" w:rsidRPr="002644DE" w:rsidTr="000800FC">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r w:rsidR="00A25E45">
              <w:rPr>
                <w:rFonts w:ascii="Times New Roman" w:eastAsia="Calibri" w:hAnsi="Times New Roman" w:cs="Times New Roman"/>
                <w:sz w:val="20"/>
                <w:szCs w:val="20"/>
                <w:lang w:eastAsia="sk-SK"/>
              </w:rPr>
              <w:t xml:space="preserve"> </w:t>
            </w:r>
          </w:p>
        </w:tc>
      </w:tr>
      <w:tr w:rsidR="002644DE" w:rsidRPr="002644DE" w:rsidTr="000800FC">
        <w:trPr>
          <w:trHeight w:val="454"/>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636449">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r w:rsidR="00A25E45">
              <w:rPr>
                <w:rFonts w:ascii="Times New Roman" w:eastAsia="Calibri" w:hAnsi="Times New Roman" w:cs="Times New Roman"/>
                <w:sz w:val="20"/>
                <w:szCs w:val="20"/>
                <w:lang w:eastAsia="sk-SK"/>
              </w:rPr>
              <w:t xml:space="preserve"> </w:t>
            </w:r>
          </w:p>
        </w:tc>
      </w:tr>
      <w:tr w:rsidR="002644DE" w:rsidRPr="002644DE" w:rsidTr="000800FC">
        <w:trPr>
          <w:trHeight w:val="454"/>
          <w:jc w:val="center"/>
        </w:trPr>
        <w:tc>
          <w:tcPr>
            <w:tcW w:w="129" w:type="pct"/>
            <w:tcBorders>
              <w:top w:val="dotted"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bl>
    <w:p w:rsidR="002644DE" w:rsidRPr="002644DE" w:rsidRDefault="002644DE" w:rsidP="002644DE">
      <w:r w:rsidRPr="002644DE">
        <w:br w:type="page"/>
      </w:r>
    </w:p>
    <w:p w:rsidR="002644DE" w:rsidRPr="002644DE" w:rsidRDefault="002644DE" w:rsidP="002644DE">
      <w:pPr>
        <w:sectPr w:rsidR="002644DE" w:rsidRPr="002644DE" w:rsidSect="00670684">
          <w:headerReference w:type="default" r:id="rId9"/>
          <w:footerReference w:type="default" r:id="rId10"/>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644DE" w:rsidRPr="002644DE" w:rsidTr="000800FC">
        <w:trPr>
          <w:trHeight w:val="339"/>
          <w:jc w:val="center"/>
        </w:trPr>
        <w:tc>
          <w:tcPr>
            <w:tcW w:w="4998" w:type="pct"/>
            <w:gridSpan w:val="4"/>
            <w:tcBorders>
              <w:bottom w:val="single" w:sz="4" w:space="0" w:color="auto"/>
            </w:tcBorders>
            <w:shd w:val="clear" w:color="auto" w:fill="D9D9D9"/>
          </w:tcPr>
          <w:p w:rsidR="002644DE" w:rsidRPr="002644DE" w:rsidRDefault="002644DE" w:rsidP="002644DE">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2644DE" w:rsidRPr="002644DE" w:rsidTr="000800FC">
        <w:trPr>
          <w:trHeight w:val="290"/>
          <w:jc w:val="center"/>
        </w:trPr>
        <w:tc>
          <w:tcPr>
            <w:tcW w:w="4998" w:type="pct"/>
            <w:gridSpan w:val="4"/>
            <w:tcBorders>
              <w:bottom w:val="single" w:sz="4" w:space="0" w:color="auto"/>
            </w:tcBorders>
            <w:shd w:val="clear" w:color="auto" w:fill="F2F2F2"/>
            <w:vAlign w:val="center"/>
          </w:tcPr>
          <w:p w:rsidR="002644DE" w:rsidRPr="002644DE" w:rsidRDefault="002644DE" w:rsidP="002644DE">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rsidR="002644DE" w:rsidRPr="002644DE" w:rsidRDefault="002644DE" w:rsidP="002644DE">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644DE" w:rsidRPr="002644DE" w:rsidTr="000800FC">
        <w:tblPrEx>
          <w:tblBorders>
            <w:top w:val="none" w:sz="0" w:space="0" w:color="auto"/>
            <w:bottom w:val="none" w:sz="0" w:space="0" w:color="auto"/>
          </w:tblBorders>
        </w:tblPrEx>
        <w:trPr>
          <w:trHeight w:val="557"/>
          <w:jc w:val="center"/>
        </w:trPr>
        <w:tc>
          <w:tcPr>
            <w:tcW w:w="180" w:type="pct"/>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rsidR="002644DE" w:rsidRPr="002644DE"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p w:rsidR="0048139E" w:rsidRDefault="0048139E" w:rsidP="0048139E">
            <w:pPr>
              <w:spacing w:before="6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Bude vytvorených 90 nových pracovných miest.</w:t>
            </w:r>
          </w:p>
          <w:p w:rsidR="0048139E" w:rsidRDefault="0048139E" w:rsidP="0048139E">
            <w:pPr>
              <w:spacing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Uvedené prispeje k zvýšeniu ponuky pracovných miest na pracovnom trhu vo všetkých okresoch, vrátane tých ktoré sú  vedené v zozname najmenej rozvinutých okresov zverejnenom na webovom sídle Ústredia práce, sociálnych vecí a rodiny. Vylúčené nie je obsadenie vytvorených nových pracovných miest zamestnancami dochádzajúcimi zo susediacich okresov, ktoré sa nachádzajú v dochádzkovej vzdialenosti prevádzkarne prijímateľa a tiež patria medzi najmenej rozvinuté okresy.</w:t>
            </w:r>
          </w:p>
          <w:p w:rsidR="002644DE" w:rsidRDefault="0048139E" w:rsidP="003278FA">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Zvýšenie pracovných príležitostí v regiónoch môže mať pozitívny dopad na zníženie potreby cestovania za prácou, čo pozitívne ovplyvní zosúladenie rodinných a pracovných povinností.</w:t>
            </w:r>
          </w:p>
          <w:p w:rsidR="005C068D" w:rsidRDefault="005C068D" w:rsidP="003278FA">
            <w:pPr>
              <w:spacing w:after="0" w:line="240" w:lineRule="auto"/>
              <w:jc w:val="both"/>
              <w:rPr>
                <w:rFonts w:ascii="Times New Roman" w:eastAsia="Calibri" w:hAnsi="Times New Roman" w:cs="Times New Roman"/>
                <w:sz w:val="20"/>
                <w:szCs w:val="20"/>
                <w:lang w:eastAsia="sk-SK"/>
              </w:rPr>
            </w:pPr>
          </w:p>
          <w:p w:rsidR="005C068D" w:rsidRDefault="005C068D" w:rsidP="001B6323">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V prípade schválenia krajinných plánov najmä na miestnej úrovni – miestnych krajinných plánov – fyzické osoby, obyvateľstvo budú mať lepší prehľad o svojom území v oblasti </w:t>
            </w:r>
            <w:r w:rsidR="001B6323">
              <w:rPr>
                <w:rFonts w:ascii="Times New Roman" w:eastAsia="Calibri" w:hAnsi="Times New Roman" w:cs="Times New Roman"/>
                <w:sz w:val="20"/>
                <w:szCs w:val="20"/>
                <w:lang w:eastAsia="sk-SK"/>
              </w:rPr>
              <w:t>tvorby a ochrany krajiny. Napr. vymedzenie území, ktoré by boli ohrozené povodňami, zosuvmi. Týmto spôsobom napr. získajú vedomosť a vzdelanie k bezpečnejšiemu plánovaniu bývania.</w:t>
            </w:r>
          </w:p>
          <w:p w:rsidR="001B6323" w:rsidRDefault="001B6323" w:rsidP="001B6323">
            <w:pPr>
              <w:spacing w:after="0" w:line="240" w:lineRule="auto"/>
              <w:jc w:val="both"/>
              <w:rPr>
                <w:rFonts w:ascii="Times New Roman" w:eastAsia="Calibri" w:hAnsi="Times New Roman" w:cs="Times New Roman"/>
                <w:sz w:val="20"/>
                <w:szCs w:val="20"/>
                <w:lang w:eastAsia="sk-SK"/>
              </w:rPr>
            </w:pPr>
          </w:p>
          <w:p w:rsidR="001B6323" w:rsidRPr="002644DE" w:rsidRDefault="001B6323" w:rsidP="001B6323">
            <w:pPr>
              <w:spacing w:after="0" w:line="240" w:lineRule="auto"/>
              <w:jc w:val="both"/>
              <w:rPr>
                <w:rFonts w:ascii="Times New Roman" w:eastAsia="Calibri" w:hAnsi="Times New Roman" w:cs="Times New Roman"/>
                <w:sz w:val="20"/>
                <w:szCs w:val="20"/>
                <w:lang w:eastAsia="sk-SK"/>
              </w:rPr>
            </w:pPr>
            <w:r>
              <w:rPr>
                <w:rFonts w:ascii="Times New Roman" w:hAnsi="Times New Roman" w:cs="Times New Roman"/>
                <w:sz w:val="20"/>
                <w:szCs w:val="20"/>
              </w:rPr>
              <w:t>Iné vplyvy nie je možné odhadnúť a vyšpecifikovať.</w:t>
            </w:r>
          </w:p>
        </w:tc>
      </w:tr>
      <w:tr w:rsidR="002644DE" w:rsidRPr="002644DE" w:rsidTr="000800FC">
        <w:trPr>
          <w:jc w:val="center"/>
        </w:trPr>
        <w:tc>
          <w:tcPr>
            <w:tcW w:w="180"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rsidR="002644DE" w:rsidRPr="002644DE" w:rsidRDefault="002644DE" w:rsidP="002644DE">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 xml:space="preserve">Špecifikujte ovplyvnené skupiny v riziku chudoby a sociálneho vylúčenia a popíšte vplyv na </w:t>
            </w:r>
            <w:proofErr w:type="spellStart"/>
            <w:r w:rsidRPr="002644DE">
              <w:rPr>
                <w:rFonts w:ascii="Times New Roman" w:eastAsia="Calibri" w:hAnsi="Times New Roman" w:cs="Times New Roman"/>
                <w:i/>
                <w:sz w:val="20"/>
                <w:szCs w:val="20"/>
                <w:lang w:eastAsia="sk-SK"/>
              </w:rPr>
              <w:t>ne</w:t>
            </w:r>
            <w:proofErr w:type="spellEnd"/>
            <w:r w:rsidRPr="002644DE">
              <w:rPr>
                <w:rFonts w:ascii="Times New Roman" w:eastAsia="Calibri" w:hAnsi="Times New Roman" w:cs="Times New Roman"/>
                <w:i/>
                <w:sz w:val="20"/>
                <w:szCs w:val="20"/>
                <w:lang w:eastAsia="sk-SK"/>
              </w:rPr>
              <w:t>. Je tento vplyv väčší ako vplyv na iné skupiny či subjekty? Uveďte veľkosť jednotlivých ovplyvnených skupín.</w:t>
            </w:r>
            <w:r w:rsidR="00A25E45">
              <w:rPr>
                <w:rFonts w:ascii="Times New Roman" w:eastAsia="Calibri" w:hAnsi="Times New Roman" w:cs="Times New Roman"/>
                <w:sz w:val="20"/>
                <w:szCs w:val="20"/>
                <w:lang w:eastAsia="sk-SK"/>
              </w:rPr>
              <w:t xml:space="preserve"> n/a</w:t>
            </w:r>
          </w:p>
        </w:tc>
      </w:tr>
      <w:tr w:rsidR="002644DE" w:rsidRPr="002644DE" w:rsidTr="000800FC">
        <w:tblPrEx>
          <w:tblBorders>
            <w:top w:val="none" w:sz="0" w:space="0" w:color="auto"/>
          </w:tblBorders>
        </w:tblPrEx>
        <w:trPr>
          <w:trHeight w:val="677"/>
          <w:jc w:val="center"/>
        </w:trPr>
        <w:tc>
          <w:tcPr>
            <w:tcW w:w="179"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rsidR="0048139E" w:rsidRDefault="0048139E" w:rsidP="0048139E">
            <w:pPr>
              <w:pStyle w:val="Default"/>
              <w:spacing w:after="240"/>
              <w:jc w:val="both"/>
              <w:rPr>
                <w:sz w:val="20"/>
                <w:szCs w:val="20"/>
              </w:rPr>
            </w:pPr>
            <w:r>
              <w:rPr>
                <w:sz w:val="20"/>
                <w:szCs w:val="20"/>
              </w:rPr>
              <w:t>Návrhom dôjde k vytvoreniu nových pracovných príležitostí vhodných pre zamestnancov s vysokoškolským vzdelaním.</w:t>
            </w:r>
          </w:p>
          <w:p w:rsidR="0048139E" w:rsidRDefault="0048139E" w:rsidP="0048139E">
            <w:pPr>
              <w:pStyle w:val="Default"/>
              <w:jc w:val="both"/>
              <w:rPr>
                <w:sz w:val="20"/>
                <w:szCs w:val="20"/>
              </w:rPr>
            </w:pPr>
            <w:r>
              <w:rPr>
                <w:sz w:val="20"/>
                <w:szCs w:val="20"/>
              </w:rPr>
              <w:t>Vzhľadom na vytvárané pracovné pozície sa odhadujú pozitívne vplyvy nie len na skupinu mladých ľudí, ale aj na starších ľudí.</w:t>
            </w:r>
          </w:p>
          <w:p w:rsidR="0048139E" w:rsidRDefault="0048139E" w:rsidP="0048139E">
            <w:pPr>
              <w:spacing w:after="0" w:line="240" w:lineRule="auto"/>
              <w:jc w:val="both"/>
              <w:rPr>
                <w:rFonts w:ascii="Times New Roman" w:eastAsia="Calibri" w:hAnsi="Times New Roman" w:cs="Times New Roman"/>
                <w:sz w:val="20"/>
                <w:lang w:eastAsia="sk-SK"/>
              </w:rPr>
            </w:pPr>
          </w:p>
          <w:p w:rsidR="002644DE" w:rsidRPr="002644DE" w:rsidRDefault="0048139E">
            <w:pPr>
              <w:spacing w:after="0" w:line="240" w:lineRule="auto"/>
              <w:rPr>
                <w:rFonts w:ascii="Times New Roman" w:eastAsia="Calibri" w:hAnsi="Times New Roman" w:cs="Times New Roman"/>
                <w:sz w:val="20"/>
                <w:lang w:eastAsia="sk-SK"/>
              </w:rPr>
            </w:pPr>
            <w:r>
              <w:rPr>
                <w:rFonts w:ascii="Times New Roman" w:hAnsi="Times New Roman" w:cs="Times New Roman"/>
                <w:sz w:val="20"/>
                <w:szCs w:val="20"/>
              </w:rPr>
              <w:t>Iné vplyvy nie je možné odhadnúť.</w:t>
            </w:r>
          </w:p>
        </w:tc>
      </w:tr>
    </w:tbl>
    <w:p w:rsidR="002644DE" w:rsidRPr="002644DE" w:rsidRDefault="002644DE" w:rsidP="002644DE">
      <w:pPr>
        <w:sectPr w:rsidR="002644DE" w:rsidRPr="002644DE" w:rsidSect="00670684">
          <w:headerReference w:type="default" r:id="rId11"/>
          <w:footerReference w:type="default" r:id="rId12"/>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644DE" w:rsidRPr="002644DE" w:rsidTr="000800FC">
        <w:trPr>
          <w:jc w:val="center"/>
        </w:trPr>
        <w:tc>
          <w:tcPr>
            <w:tcW w:w="5000" w:type="pct"/>
            <w:gridSpan w:val="3"/>
            <w:shd w:val="clear" w:color="auto" w:fill="D9D9D9"/>
          </w:tcPr>
          <w:p w:rsidR="002644DE" w:rsidRPr="002644DE" w:rsidRDefault="002644DE" w:rsidP="002644DE">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rsidR="002644DE" w:rsidRPr="002644DE" w:rsidRDefault="002644DE" w:rsidP="002644DE">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644DE" w:rsidRPr="002644DE" w:rsidTr="000800FC">
        <w:trPr>
          <w:jc w:val="center"/>
        </w:trPr>
        <w:tc>
          <w:tcPr>
            <w:tcW w:w="132"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rsidR="002644DE" w:rsidRPr="002644DE" w:rsidRDefault="002644DE">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r w:rsidR="00A25E45">
              <w:rPr>
                <w:rFonts w:ascii="Times New Roman" w:eastAsia="Calibri" w:hAnsi="Times New Roman" w:cs="Times New Roman"/>
                <w:sz w:val="20"/>
                <w:szCs w:val="20"/>
                <w:lang w:eastAsia="sk-SK"/>
              </w:rPr>
              <w:t xml:space="preserve"> </w:t>
            </w:r>
          </w:p>
        </w:tc>
      </w:tr>
      <w:tr w:rsidR="002644DE" w:rsidRPr="002644DE" w:rsidTr="000800FC">
        <w:trPr>
          <w:trHeight w:val="928"/>
          <w:jc w:val="center"/>
        </w:trPr>
        <w:tc>
          <w:tcPr>
            <w:tcW w:w="132" w:type="pct"/>
            <w:tcBorders>
              <w:top w:val="nil"/>
              <w:bottom w:val="nil"/>
            </w:tcBorders>
            <w:shd w:val="clear" w:color="auto" w:fill="auto"/>
          </w:tcPr>
          <w:p w:rsidR="002644DE" w:rsidRPr="002644DE" w:rsidRDefault="002644DE" w:rsidP="002644DE">
            <w:pPr>
              <w:spacing w:after="0" w:line="240" w:lineRule="auto"/>
              <w:rPr>
                <w:rFonts w:ascii="Times New Roman" w:eastAsia="Calibri" w:hAnsi="Times New Roman" w:cs="Times New Roman"/>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rsidR="002644DE" w:rsidRPr="002644DE" w:rsidRDefault="002644DE" w:rsidP="002644DE">
            <w:pPr>
              <w:rPr>
                <w:rFonts w:ascii="Times New Roman" w:eastAsia="Calibri" w:hAnsi="Times New Roman" w:cs="Times New Roman"/>
                <w:i/>
                <w:sz w:val="20"/>
              </w:rPr>
            </w:pPr>
          </w:p>
          <w:p w:rsidR="0048139E" w:rsidRPr="003A0C77" w:rsidRDefault="0048139E" w:rsidP="0048139E">
            <w:pPr>
              <w:spacing w:after="0" w:line="240" w:lineRule="auto"/>
              <w:rPr>
                <w:rFonts w:ascii="Times New Roman" w:eastAsia="Calibri" w:hAnsi="Times New Roman" w:cs="Times New Roman"/>
                <w:sz w:val="20"/>
                <w:lang w:eastAsia="sk-SK"/>
              </w:rPr>
            </w:pPr>
            <w:r>
              <w:rPr>
                <w:rFonts w:ascii="Times New Roman" w:eastAsia="Calibri" w:hAnsi="Times New Roman" w:cs="Times New Roman"/>
                <w:sz w:val="20"/>
                <w:lang w:eastAsia="sk-SK"/>
              </w:rPr>
              <w:t>Návrh nevedie k diskriminácii určitých skupín obyvateľstva.</w:t>
            </w:r>
          </w:p>
          <w:p w:rsidR="002644DE" w:rsidRPr="002644DE" w:rsidRDefault="002644DE" w:rsidP="002644DE">
            <w:pPr>
              <w:spacing w:after="0" w:line="240" w:lineRule="auto"/>
              <w:rPr>
                <w:rFonts w:ascii="Times New Roman" w:eastAsia="Calibri" w:hAnsi="Times New Roman" w:cs="Times New Roman"/>
                <w:i/>
                <w:sz w:val="20"/>
              </w:rPr>
            </w:pPr>
          </w:p>
        </w:tc>
      </w:tr>
      <w:tr w:rsidR="002644DE" w:rsidRPr="002644DE" w:rsidTr="000800FC">
        <w:trPr>
          <w:trHeight w:val="345"/>
          <w:jc w:val="center"/>
        </w:trPr>
        <w:tc>
          <w:tcPr>
            <w:tcW w:w="132"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rsidR="002644DE" w:rsidRPr="002644DE" w:rsidRDefault="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2644DE" w:rsidRPr="002644DE" w:rsidTr="000800FC">
        <w:tblPrEx>
          <w:tblBorders>
            <w:top w:val="none" w:sz="0" w:space="0" w:color="auto"/>
            <w:bottom w:val="none" w:sz="0" w:space="0" w:color="auto"/>
          </w:tblBorders>
        </w:tblPrEx>
        <w:trPr>
          <w:trHeight w:val="372"/>
          <w:jc w:val="center"/>
        </w:trPr>
        <w:tc>
          <w:tcPr>
            <w:tcW w:w="132"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rsidR="002644DE" w:rsidRPr="002644DE" w:rsidRDefault="0048139E" w:rsidP="002644DE">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lang w:eastAsia="sk-SK"/>
              </w:rPr>
              <w:t>Bez vplyvu</w:t>
            </w:r>
          </w:p>
        </w:tc>
      </w:tr>
      <w:tr w:rsidR="002644DE" w:rsidRPr="002644DE" w:rsidTr="000800FC">
        <w:tblPrEx>
          <w:tblBorders>
            <w:top w:val="none" w:sz="0" w:space="0" w:color="auto"/>
            <w:bottom w:val="none" w:sz="0" w:space="0" w:color="auto"/>
          </w:tblBorders>
        </w:tblPrEx>
        <w:trPr>
          <w:trHeight w:val="371"/>
          <w:jc w:val="center"/>
        </w:trPr>
        <w:tc>
          <w:tcPr>
            <w:tcW w:w="132"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rsidR="002644DE" w:rsidRPr="002644DE" w:rsidRDefault="0048139E" w:rsidP="002644DE">
            <w:pPr>
              <w:spacing w:after="0" w:line="240" w:lineRule="auto"/>
              <w:jc w:val="both"/>
              <w:rPr>
                <w:rFonts w:ascii="Times New Roman" w:eastAsia="Calibri" w:hAnsi="Times New Roman" w:cs="Times New Roman"/>
                <w:i/>
                <w:sz w:val="18"/>
                <w:szCs w:val="18"/>
              </w:rPr>
            </w:pPr>
            <w:r>
              <w:rPr>
                <w:rFonts w:ascii="Times New Roman" w:eastAsia="Calibri" w:hAnsi="Times New Roman" w:cs="Times New Roman"/>
                <w:sz w:val="20"/>
                <w:lang w:eastAsia="sk-SK"/>
              </w:rPr>
              <w:t>Bez vplyvu</w:t>
            </w:r>
          </w:p>
        </w:tc>
      </w:tr>
      <w:tr w:rsidR="002644DE" w:rsidRPr="002644DE" w:rsidTr="000800FC">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rsidR="002644DE" w:rsidRPr="002644DE" w:rsidRDefault="0048139E" w:rsidP="002644DE">
            <w:pPr>
              <w:spacing w:after="0" w:line="240" w:lineRule="auto"/>
              <w:jc w:val="both"/>
              <w:rPr>
                <w:rFonts w:ascii="Times New Roman" w:eastAsia="Calibri" w:hAnsi="Times New Roman" w:cs="Times New Roman"/>
                <w:i/>
                <w:sz w:val="18"/>
                <w:szCs w:val="18"/>
              </w:rPr>
            </w:pPr>
            <w:r>
              <w:rPr>
                <w:rFonts w:ascii="Times New Roman" w:eastAsia="Calibri" w:hAnsi="Times New Roman" w:cs="Times New Roman"/>
                <w:sz w:val="20"/>
                <w:lang w:eastAsia="sk-SK"/>
              </w:rPr>
              <w:t>Bez vplyvu</w:t>
            </w:r>
          </w:p>
        </w:tc>
      </w:tr>
      <w:tr w:rsidR="002644DE" w:rsidRPr="002644DE" w:rsidTr="000800FC">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2644DE" w:rsidRPr="002644DE" w:rsidRDefault="002644DE" w:rsidP="002644DE">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rsidR="002644DE" w:rsidRPr="002644DE" w:rsidRDefault="0048139E" w:rsidP="002644DE">
            <w:pPr>
              <w:spacing w:after="0" w:line="240" w:lineRule="auto"/>
              <w:rPr>
                <w:rFonts w:ascii="Times New Roman" w:eastAsia="Calibri" w:hAnsi="Times New Roman" w:cs="Times New Roman"/>
                <w:sz w:val="20"/>
              </w:rPr>
            </w:pPr>
            <w:r>
              <w:rPr>
                <w:rFonts w:ascii="Times New Roman" w:eastAsia="Calibri" w:hAnsi="Times New Roman" w:cs="Times New Roman"/>
                <w:sz w:val="20"/>
                <w:lang w:eastAsia="sk-SK"/>
              </w:rPr>
              <w:t>Bez vplyvu</w:t>
            </w:r>
          </w:p>
        </w:tc>
      </w:tr>
    </w:tbl>
    <w:p w:rsidR="002644DE" w:rsidRPr="002644DE" w:rsidRDefault="002644DE" w:rsidP="002644DE">
      <w:pPr>
        <w:spacing w:after="0" w:line="240" w:lineRule="auto"/>
        <w:rPr>
          <w:rFonts w:ascii="Times New Roman" w:eastAsia="Calibri" w:hAnsi="Times New Roman" w:cs="Times New Roman"/>
          <w:b/>
          <w:sz w:val="24"/>
          <w:lang w:eastAsia="sk-SK"/>
        </w:rPr>
        <w:sectPr w:rsidR="002644DE" w:rsidRPr="002644DE" w:rsidSect="00670684">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2644DE" w:rsidRPr="002644DE" w:rsidTr="000800FC">
        <w:trPr>
          <w:jc w:val="center"/>
        </w:trPr>
        <w:tc>
          <w:tcPr>
            <w:tcW w:w="5000" w:type="pct"/>
            <w:gridSpan w:val="3"/>
            <w:shd w:val="clear" w:color="auto" w:fill="D9D9D9"/>
          </w:tcPr>
          <w:p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rsidR="002644DE" w:rsidRPr="002644DE" w:rsidRDefault="002644DE" w:rsidP="002644DE">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644DE" w:rsidRPr="002644DE" w:rsidTr="000800FC">
        <w:trPr>
          <w:trHeight w:val="287"/>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2644DE" w:rsidRPr="002644DE" w:rsidTr="003A7A5E">
        <w:trPr>
          <w:trHeight w:val="2663"/>
          <w:jc w:val="center"/>
        </w:trPr>
        <w:tc>
          <w:tcPr>
            <w:tcW w:w="129" w:type="pct"/>
            <w:tcBorders>
              <w:top w:val="nil"/>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3" w:type="pct"/>
            <w:tcBorders>
              <w:top w:val="nil"/>
              <w:bottom w:val="single" w:sz="4" w:space="0" w:color="auto"/>
            </w:tcBorders>
            <w:shd w:val="clear" w:color="auto" w:fill="FFFFFF"/>
          </w:tcPr>
          <w:p w:rsidR="002644DE" w:rsidRDefault="00576141" w:rsidP="008E436D">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 xml:space="preserve">Vznik 5 nových pracovných miest na MŽP SR </w:t>
            </w:r>
            <w:r w:rsidR="00A16AD1">
              <w:rPr>
                <w:rFonts w:ascii="Times New Roman" w:eastAsia="Calibri" w:hAnsi="Times New Roman" w:cs="Times New Roman"/>
                <w:sz w:val="20"/>
                <w:szCs w:val="18"/>
              </w:rPr>
              <w:t xml:space="preserve">a 3 nových pracovných miest na MD SR </w:t>
            </w:r>
            <w:r>
              <w:rPr>
                <w:rFonts w:ascii="Times New Roman" w:eastAsia="Calibri" w:hAnsi="Times New Roman" w:cs="Times New Roman"/>
                <w:sz w:val="20"/>
                <w:szCs w:val="18"/>
              </w:rPr>
              <w:t>od roku 202</w:t>
            </w:r>
            <w:r w:rsidR="00331B2F">
              <w:rPr>
                <w:rFonts w:ascii="Times New Roman" w:eastAsia="Calibri" w:hAnsi="Times New Roman" w:cs="Times New Roman"/>
                <w:sz w:val="20"/>
                <w:szCs w:val="18"/>
              </w:rPr>
              <w:t>5</w:t>
            </w:r>
            <w:r>
              <w:rPr>
                <w:rFonts w:ascii="Times New Roman" w:eastAsia="Calibri" w:hAnsi="Times New Roman" w:cs="Times New Roman"/>
                <w:sz w:val="20"/>
                <w:szCs w:val="18"/>
              </w:rPr>
              <w:t>, vznik 79 nových pracovných miest na okresných úradoch</w:t>
            </w:r>
            <w:r w:rsidR="008E436D">
              <w:rPr>
                <w:rFonts w:ascii="Times New Roman" w:eastAsia="Calibri" w:hAnsi="Times New Roman" w:cs="Times New Roman"/>
                <w:sz w:val="20"/>
                <w:szCs w:val="18"/>
              </w:rPr>
              <w:t xml:space="preserve"> </w:t>
            </w:r>
            <w:r w:rsidR="008E436D" w:rsidRPr="008E436D">
              <w:rPr>
                <w:rFonts w:ascii="Times New Roman" w:eastAsia="Calibri" w:hAnsi="Times New Roman" w:cs="Times New Roman"/>
                <w:sz w:val="20"/>
                <w:szCs w:val="18"/>
              </w:rPr>
              <w:t>na odbor</w:t>
            </w:r>
            <w:r w:rsidR="008E436D">
              <w:rPr>
                <w:rFonts w:ascii="Times New Roman" w:eastAsia="Calibri" w:hAnsi="Times New Roman" w:cs="Times New Roman"/>
                <w:sz w:val="20"/>
                <w:szCs w:val="18"/>
              </w:rPr>
              <w:t>och</w:t>
            </w:r>
            <w:r w:rsidR="008E436D" w:rsidRPr="008E436D">
              <w:rPr>
                <w:rFonts w:ascii="Times New Roman" w:eastAsia="Calibri" w:hAnsi="Times New Roman" w:cs="Times New Roman"/>
                <w:sz w:val="20"/>
                <w:szCs w:val="18"/>
              </w:rPr>
              <w:t xml:space="preserve"> starostlivosti o životné prostredi</w:t>
            </w:r>
            <w:r w:rsidR="001557B2">
              <w:rPr>
                <w:rFonts w:ascii="Times New Roman" w:eastAsia="Calibri" w:hAnsi="Times New Roman" w:cs="Times New Roman"/>
                <w:sz w:val="20"/>
                <w:szCs w:val="18"/>
              </w:rPr>
              <w:t>e</w:t>
            </w:r>
            <w:r w:rsidR="008E436D">
              <w:rPr>
                <w:rFonts w:ascii="Times New Roman" w:eastAsia="Calibri" w:hAnsi="Times New Roman" w:cs="Times New Roman"/>
                <w:sz w:val="20"/>
                <w:szCs w:val="18"/>
              </w:rPr>
              <w:t xml:space="preserve"> (pod MV SR) od roku 202</w:t>
            </w:r>
            <w:r w:rsidR="00A16AD1">
              <w:rPr>
                <w:rFonts w:ascii="Times New Roman" w:eastAsia="Calibri" w:hAnsi="Times New Roman" w:cs="Times New Roman"/>
                <w:sz w:val="20"/>
                <w:szCs w:val="18"/>
              </w:rPr>
              <w:t>5</w:t>
            </w:r>
            <w:r w:rsidR="008E436D">
              <w:rPr>
                <w:rFonts w:ascii="Times New Roman" w:eastAsia="Calibri" w:hAnsi="Times New Roman" w:cs="Times New Roman"/>
                <w:sz w:val="20"/>
                <w:szCs w:val="18"/>
              </w:rPr>
              <w:t>. N</w:t>
            </w:r>
            <w:r w:rsidR="007B56FC">
              <w:rPr>
                <w:rFonts w:ascii="Times New Roman" w:eastAsia="Calibri" w:hAnsi="Times New Roman" w:cs="Times New Roman"/>
                <w:sz w:val="20"/>
                <w:szCs w:val="18"/>
              </w:rPr>
              <w:t xml:space="preserve">ávrh zákona predpokladá </w:t>
            </w:r>
            <w:r w:rsidR="008E436D">
              <w:rPr>
                <w:rFonts w:ascii="Times New Roman" w:eastAsia="Calibri" w:hAnsi="Times New Roman" w:cs="Times New Roman"/>
                <w:sz w:val="20"/>
                <w:szCs w:val="18"/>
              </w:rPr>
              <w:t xml:space="preserve">vznik nových pracovných miest aj na SAŽP a to </w:t>
            </w:r>
            <w:r w:rsidR="00A16AD1">
              <w:rPr>
                <w:rFonts w:ascii="Times New Roman" w:eastAsia="Calibri" w:hAnsi="Times New Roman" w:cs="Times New Roman"/>
                <w:sz w:val="20"/>
                <w:szCs w:val="18"/>
              </w:rPr>
              <w:t xml:space="preserve">6 </w:t>
            </w:r>
            <w:r w:rsidR="008E436D">
              <w:rPr>
                <w:rFonts w:ascii="Times New Roman" w:eastAsia="Calibri" w:hAnsi="Times New Roman" w:cs="Times New Roman"/>
                <w:sz w:val="20"/>
                <w:szCs w:val="18"/>
              </w:rPr>
              <w:t xml:space="preserve">nové miesta v roku </w:t>
            </w:r>
            <w:r w:rsidR="00A16AD1">
              <w:rPr>
                <w:rFonts w:ascii="Times New Roman" w:eastAsia="Calibri" w:hAnsi="Times New Roman" w:cs="Times New Roman"/>
                <w:sz w:val="20"/>
                <w:szCs w:val="18"/>
              </w:rPr>
              <w:t xml:space="preserve">2025 </w:t>
            </w:r>
            <w:r w:rsidR="008E436D">
              <w:rPr>
                <w:rFonts w:ascii="Times New Roman" w:eastAsia="Calibri" w:hAnsi="Times New Roman" w:cs="Times New Roman"/>
                <w:sz w:val="20"/>
                <w:szCs w:val="18"/>
              </w:rPr>
              <w:t xml:space="preserve">a 2 nové miesta od roku </w:t>
            </w:r>
            <w:r w:rsidR="00A16AD1">
              <w:rPr>
                <w:rFonts w:ascii="Times New Roman" w:eastAsia="Calibri" w:hAnsi="Times New Roman" w:cs="Times New Roman"/>
                <w:sz w:val="20"/>
                <w:szCs w:val="18"/>
              </w:rPr>
              <w:t>2026</w:t>
            </w:r>
            <w:r w:rsidR="008E436D">
              <w:rPr>
                <w:rFonts w:ascii="Times New Roman" w:eastAsia="Calibri" w:hAnsi="Times New Roman" w:cs="Times New Roman"/>
                <w:sz w:val="20"/>
                <w:szCs w:val="18"/>
              </w:rPr>
              <w:t>.</w:t>
            </w:r>
          </w:p>
          <w:p w:rsidR="007B56FC" w:rsidRDefault="007B56FC" w:rsidP="007B56FC">
            <w:pPr>
              <w:spacing w:after="0"/>
              <w:rPr>
                <w:rFonts w:ascii="Times New Roman" w:eastAsia="Calibri" w:hAnsi="Times New Roman" w:cs="Times New Roman"/>
                <w:sz w:val="20"/>
                <w:szCs w:val="18"/>
              </w:rPr>
            </w:pPr>
            <w:r>
              <w:rPr>
                <w:rFonts w:ascii="Times New Roman" w:eastAsia="Calibri" w:hAnsi="Times New Roman" w:cs="Times New Roman"/>
                <w:sz w:val="20"/>
                <w:szCs w:val="18"/>
              </w:rPr>
              <w:t>V rámci vzniku pracovných miest MŽP SR</w:t>
            </w:r>
            <w:r w:rsidR="00A16AD1">
              <w:rPr>
                <w:rFonts w:ascii="Times New Roman" w:eastAsia="Calibri" w:hAnsi="Times New Roman" w:cs="Times New Roman"/>
                <w:sz w:val="20"/>
                <w:szCs w:val="18"/>
              </w:rPr>
              <w:t>, MD SR</w:t>
            </w:r>
            <w:r>
              <w:rPr>
                <w:rFonts w:ascii="Times New Roman" w:eastAsia="Calibri" w:hAnsi="Times New Roman" w:cs="Times New Roman"/>
                <w:sz w:val="20"/>
                <w:szCs w:val="18"/>
              </w:rPr>
              <w:t xml:space="preserve"> a MV SR pôjde výlučne o štátnozamestnanecké miesta </w:t>
            </w:r>
            <w:r w:rsidR="003278FA">
              <w:rPr>
                <w:rFonts w:ascii="Times New Roman" w:eastAsia="Calibri" w:hAnsi="Times New Roman" w:cs="Times New Roman"/>
                <w:sz w:val="20"/>
                <w:szCs w:val="18"/>
              </w:rPr>
              <w:t>v súlade so zákonom</w:t>
            </w:r>
            <w:r>
              <w:rPr>
                <w:rFonts w:ascii="Times New Roman" w:eastAsia="Calibri" w:hAnsi="Times New Roman" w:cs="Times New Roman"/>
                <w:sz w:val="20"/>
                <w:szCs w:val="18"/>
              </w:rPr>
              <w:t xml:space="preserve"> </w:t>
            </w:r>
            <w:r w:rsidR="003278FA">
              <w:rPr>
                <w:rFonts w:ascii="Times New Roman" w:eastAsia="Calibri" w:hAnsi="Times New Roman" w:cs="Times New Roman"/>
                <w:sz w:val="20"/>
                <w:szCs w:val="18"/>
              </w:rPr>
              <w:t>č. </w:t>
            </w:r>
            <w:r>
              <w:rPr>
                <w:rFonts w:ascii="Times New Roman" w:eastAsia="Calibri" w:hAnsi="Times New Roman" w:cs="Times New Roman"/>
                <w:sz w:val="20"/>
                <w:szCs w:val="18"/>
              </w:rPr>
              <w:t>55/2017 Z.</w:t>
            </w:r>
            <w:r w:rsidR="003278FA">
              <w:rPr>
                <w:rFonts w:ascii="Times New Roman" w:eastAsia="Calibri" w:hAnsi="Times New Roman" w:cs="Times New Roman"/>
                <w:sz w:val="20"/>
                <w:szCs w:val="18"/>
              </w:rPr>
              <w:t> </w:t>
            </w:r>
            <w:r>
              <w:rPr>
                <w:rFonts w:ascii="Times New Roman" w:eastAsia="Calibri" w:hAnsi="Times New Roman" w:cs="Times New Roman"/>
                <w:sz w:val="20"/>
                <w:szCs w:val="18"/>
              </w:rPr>
              <w:t xml:space="preserve">z. </w:t>
            </w:r>
            <w:r w:rsidRPr="007B56FC">
              <w:rPr>
                <w:rFonts w:ascii="Times New Roman" w:eastAsia="Calibri" w:hAnsi="Times New Roman" w:cs="Times New Roman"/>
                <w:sz w:val="20"/>
                <w:szCs w:val="18"/>
              </w:rPr>
              <w:t>o štátnej službe a o zmene a doplnení niektorých zákonov</w:t>
            </w:r>
            <w:r w:rsidR="003278FA">
              <w:rPr>
                <w:rFonts w:ascii="Times New Roman" w:eastAsia="Calibri" w:hAnsi="Times New Roman" w:cs="Times New Roman"/>
                <w:sz w:val="20"/>
                <w:szCs w:val="18"/>
              </w:rPr>
              <w:t xml:space="preserve"> v znení neskorších predpisov</w:t>
            </w:r>
            <w:r>
              <w:rPr>
                <w:rFonts w:ascii="Times New Roman" w:eastAsia="Calibri" w:hAnsi="Times New Roman" w:cs="Times New Roman"/>
                <w:sz w:val="20"/>
                <w:szCs w:val="18"/>
              </w:rPr>
              <w:t>.</w:t>
            </w:r>
          </w:p>
          <w:p w:rsidR="008E436D" w:rsidRPr="007B56FC" w:rsidRDefault="007B56FC" w:rsidP="003278FA">
            <w:pPr>
              <w:spacing w:after="0"/>
              <w:rPr>
                <w:rFonts w:ascii="Times New Roman" w:eastAsia="Calibri" w:hAnsi="Times New Roman" w:cs="Times New Roman"/>
                <w:sz w:val="20"/>
                <w:szCs w:val="18"/>
              </w:rPr>
            </w:pPr>
            <w:r>
              <w:rPr>
                <w:rFonts w:ascii="Times New Roman" w:eastAsia="Calibri" w:hAnsi="Times New Roman" w:cs="Times New Roman"/>
                <w:sz w:val="20"/>
                <w:szCs w:val="18"/>
              </w:rPr>
              <w:t>V rámci vzniku pracovných miest SAŽP pôjde o dohody o vykonaní pracovnej činnosti</w:t>
            </w:r>
            <w:r w:rsidRPr="007B56FC">
              <w:rPr>
                <w:rFonts w:ascii="Times New Roman" w:eastAsia="Calibri" w:hAnsi="Times New Roman" w:cs="Times New Roman"/>
                <w:sz w:val="20"/>
                <w:szCs w:val="18"/>
              </w:rPr>
              <w:t>, resp. dohody o vykonaní práce</w:t>
            </w:r>
            <w:r>
              <w:rPr>
                <w:rFonts w:ascii="Times New Roman" w:eastAsia="Calibri" w:hAnsi="Times New Roman" w:cs="Times New Roman"/>
                <w:sz w:val="20"/>
                <w:szCs w:val="18"/>
              </w:rPr>
              <w:t xml:space="preserve"> </w:t>
            </w:r>
            <w:r w:rsidR="003278FA">
              <w:rPr>
                <w:rFonts w:ascii="Times New Roman" w:eastAsia="Calibri" w:hAnsi="Times New Roman" w:cs="Times New Roman"/>
                <w:sz w:val="20"/>
                <w:szCs w:val="18"/>
              </w:rPr>
              <w:t>podľa</w:t>
            </w:r>
            <w:r>
              <w:rPr>
                <w:rFonts w:ascii="Times New Roman" w:eastAsia="Calibri" w:hAnsi="Times New Roman" w:cs="Times New Roman"/>
                <w:sz w:val="20"/>
                <w:szCs w:val="18"/>
              </w:rPr>
              <w:t xml:space="preserve"> </w:t>
            </w:r>
            <w:r w:rsidRPr="007B56FC">
              <w:rPr>
                <w:rFonts w:ascii="Times New Roman" w:eastAsia="Calibri" w:hAnsi="Times New Roman" w:cs="Times New Roman"/>
                <w:sz w:val="20"/>
                <w:szCs w:val="18"/>
              </w:rPr>
              <w:t>zákon</w:t>
            </w:r>
            <w:r>
              <w:rPr>
                <w:rFonts w:ascii="Times New Roman" w:eastAsia="Calibri" w:hAnsi="Times New Roman" w:cs="Times New Roman"/>
                <w:sz w:val="20"/>
                <w:szCs w:val="18"/>
              </w:rPr>
              <w:t>a</w:t>
            </w:r>
            <w:r w:rsidR="003278FA">
              <w:rPr>
                <w:rFonts w:ascii="Times New Roman" w:eastAsia="Calibri" w:hAnsi="Times New Roman" w:cs="Times New Roman"/>
                <w:sz w:val="20"/>
                <w:szCs w:val="18"/>
              </w:rPr>
              <w:t xml:space="preserve"> č.</w:t>
            </w:r>
            <w:r w:rsidR="003278FA">
              <w:t> </w:t>
            </w:r>
            <w:r w:rsidRPr="007B56FC">
              <w:rPr>
                <w:rFonts w:ascii="Times New Roman" w:eastAsia="Calibri" w:hAnsi="Times New Roman" w:cs="Times New Roman"/>
                <w:sz w:val="20"/>
                <w:szCs w:val="18"/>
              </w:rPr>
              <w:t>311/2001 Z. z. Zákonník pr</w:t>
            </w:r>
            <w:r>
              <w:rPr>
                <w:rFonts w:ascii="Times New Roman" w:eastAsia="Calibri" w:hAnsi="Times New Roman" w:cs="Times New Roman"/>
                <w:sz w:val="20"/>
                <w:szCs w:val="18"/>
              </w:rPr>
              <w:t>áce v znení neskorších predpisov.</w:t>
            </w:r>
          </w:p>
        </w:tc>
      </w:tr>
      <w:tr w:rsidR="002644DE" w:rsidRPr="002644DE" w:rsidTr="000800FC">
        <w:trPr>
          <w:trHeight w:val="270"/>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2644DE" w:rsidRPr="002644DE" w:rsidTr="003A7A5E">
        <w:trPr>
          <w:trHeight w:val="454"/>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3" w:type="pct"/>
            <w:tcBorders>
              <w:bottom w:val="single" w:sz="4" w:space="0" w:color="auto"/>
            </w:tcBorders>
            <w:shd w:val="clear" w:color="auto" w:fill="FFFFFF"/>
          </w:tcPr>
          <w:p w:rsidR="002644DE" w:rsidRPr="002644DE" w:rsidRDefault="003A7A5E" w:rsidP="003A7A5E">
            <w:pPr>
              <w:spacing w:after="0" w:line="240" w:lineRule="auto"/>
              <w:rPr>
                <w:rFonts w:ascii="Times New Roman" w:eastAsia="Calibri" w:hAnsi="Times New Roman" w:cs="Times New Roman"/>
                <w:sz w:val="20"/>
                <w:szCs w:val="18"/>
              </w:rPr>
            </w:pPr>
            <w:r w:rsidRPr="00F9300B">
              <w:rPr>
                <w:rFonts w:ascii="Times New Roman" w:eastAsia="Calibri" w:hAnsi="Times New Roman" w:cs="Times New Roman"/>
                <w:sz w:val="20"/>
                <w:szCs w:val="18"/>
              </w:rPr>
              <w:t xml:space="preserve">Návrh </w:t>
            </w:r>
            <w:r>
              <w:rPr>
                <w:rFonts w:ascii="Times New Roman" w:eastAsia="Calibri" w:hAnsi="Times New Roman" w:cs="Times New Roman"/>
                <w:sz w:val="20"/>
                <w:szCs w:val="18"/>
              </w:rPr>
              <w:t>nepredpokladá</w:t>
            </w:r>
            <w:r w:rsidRPr="00F9300B">
              <w:rPr>
                <w:rFonts w:ascii="Times New Roman" w:eastAsia="Calibri" w:hAnsi="Times New Roman" w:cs="Times New Roman"/>
                <w:sz w:val="20"/>
                <w:szCs w:val="18"/>
              </w:rPr>
              <w:t xml:space="preserve"> </w:t>
            </w:r>
            <w:r>
              <w:rPr>
                <w:rFonts w:ascii="Times New Roman" w:eastAsia="Calibri" w:hAnsi="Times New Roman" w:cs="Times New Roman"/>
                <w:sz w:val="20"/>
                <w:szCs w:val="18"/>
              </w:rPr>
              <w:t>vplyv v podobe zániku</w:t>
            </w:r>
            <w:r w:rsidRPr="00F9300B">
              <w:rPr>
                <w:rFonts w:ascii="Times New Roman" w:eastAsia="Calibri" w:hAnsi="Times New Roman" w:cs="Times New Roman"/>
                <w:sz w:val="20"/>
                <w:szCs w:val="18"/>
              </w:rPr>
              <w:t xml:space="preserve"> pracovných miest.</w:t>
            </w:r>
          </w:p>
        </w:tc>
      </w:tr>
      <w:tr w:rsidR="002644DE" w:rsidRPr="002644DE" w:rsidTr="000800FC">
        <w:trPr>
          <w:trHeight w:val="248"/>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2644DE" w:rsidRPr="002644DE" w:rsidTr="003A7A5E">
        <w:trPr>
          <w:trHeight w:val="209"/>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3" w:type="pct"/>
            <w:tcBorders>
              <w:bottom w:val="single" w:sz="4" w:space="0" w:color="auto"/>
            </w:tcBorders>
            <w:shd w:val="clear" w:color="auto" w:fill="FFFFFF"/>
          </w:tcPr>
          <w:p w:rsidR="002644DE" w:rsidRPr="005F1804" w:rsidRDefault="005F1804" w:rsidP="00576141">
            <w:pPr>
              <w:pStyle w:val="Default"/>
              <w:rPr>
                <w:sz w:val="20"/>
                <w:szCs w:val="20"/>
              </w:rPr>
            </w:pPr>
            <w:r w:rsidRPr="005F1804">
              <w:rPr>
                <w:sz w:val="20"/>
                <w:szCs w:val="20"/>
              </w:rPr>
              <w:t xml:space="preserve">Nové pracovné miesta budú ponúknuté na trh. </w:t>
            </w:r>
            <w:r>
              <w:rPr>
                <w:sz w:val="20"/>
                <w:szCs w:val="20"/>
              </w:rPr>
              <w:t xml:space="preserve">Budú </w:t>
            </w:r>
            <w:r w:rsidR="00576141">
              <w:rPr>
                <w:sz w:val="20"/>
                <w:szCs w:val="20"/>
              </w:rPr>
              <w:t>vyhláse</w:t>
            </w:r>
            <w:r>
              <w:rPr>
                <w:sz w:val="20"/>
                <w:szCs w:val="20"/>
              </w:rPr>
              <w:t>né výberové konania na obsadenie štátnozamestnaneckých miest.</w:t>
            </w:r>
          </w:p>
        </w:tc>
      </w:tr>
      <w:tr w:rsidR="002644DE" w:rsidRPr="002644DE" w:rsidTr="000800FC">
        <w:trPr>
          <w:trHeight w:val="208"/>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2644DE" w:rsidRPr="002644DE" w:rsidTr="003A7A5E">
        <w:trPr>
          <w:trHeight w:val="794"/>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3" w:type="pct"/>
            <w:tcBorders>
              <w:bottom w:val="single" w:sz="4" w:space="0" w:color="auto"/>
            </w:tcBorders>
            <w:shd w:val="clear" w:color="auto" w:fill="FFFFFF"/>
          </w:tcPr>
          <w:p w:rsidR="002644DE" w:rsidRPr="002644DE" w:rsidRDefault="0085038B" w:rsidP="003A7A5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N</w:t>
            </w:r>
            <w:r w:rsidR="003A7A5E" w:rsidRPr="006A361A">
              <w:rPr>
                <w:rFonts w:ascii="Times New Roman" w:eastAsia="Calibri" w:hAnsi="Times New Roman" w:cs="Times New Roman"/>
                <w:sz w:val="20"/>
                <w:szCs w:val="18"/>
              </w:rPr>
              <w:t>epredpokladáme zásadný vplyv na trh práce v podmienkach SR a EÚ.</w:t>
            </w:r>
          </w:p>
        </w:tc>
      </w:tr>
      <w:tr w:rsidR="002644DE" w:rsidRPr="002644DE" w:rsidTr="000800FC">
        <w:trPr>
          <w:trHeight w:val="324"/>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2644DE" w:rsidRPr="002644DE" w:rsidTr="003A7A5E">
        <w:trPr>
          <w:trHeight w:val="216"/>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3" w:type="pct"/>
            <w:tcBorders>
              <w:bottom w:val="single" w:sz="4" w:space="0" w:color="auto"/>
            </w:tcBorders>
            <w:shd w:val="clear" w:color="auto" w:fill="FFFFFF"/>
          </w:tcPr>
          <w:p w:rsidR="002644DE" w:rsidRPr="002644DE" w:rsidRDefault="00341079">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N</w:t>
            </w:r>
            <w:r w:rsidR="003A7A5E">
              <w:rPr>
                <w:rFonts w:ascii="Times New Roman" w:eastAsia="Calibri" w:hAnsi="Times New Roman" w:cs="Times New Roman"/>
                <w:sz w:val="20"/>
                <w:szCs w:val="18"/>
              </w:rPr>
              <w:t xml:space="preserve">ávrh </w:t>
            </w:r>
            <w:r w:rsidR="003A7A5E" w:rsidRPr="006A361A">
              <w:rPr>
                <w:rFonts w:ascii="Times New Roman" w:eastAsia="Calibri" w:hAnsi="Times New Roman" w:cs="Times New Roman"/>
                <w:sz w:val="20"/>
                <w:szCs w:val="18"/>
              </w:rPr>
              <w:t>nepredpokladá vplyv v podobe zániku pracovných miest.</w:t>
            </w:r>
          </w:p>
        </w:tc>
      </w:tr>
      <w:tr w:rsidR="002644DE" w:rsidRPr="002644DE" w:rsidTr="000800FC">
        <w:trPr>
          <w:trHeight w:val="219"/>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3A7A5E" w:rsidRPr="002644DE" w:rsidTr="003A7A5E">
        <w:trPr>
          <w:trHeight w:val="497"/>
          <w:jc w:val="center"/>
        </w:trPr>
        <w:tc>
          <w:tcPr>
            <w:tcW w:w="129" w:type="pct"/>
            <w:tcBorders>
              <w:bottom w:val="single" w:sz="4" w:space="0" w:color="auto"/>
            </w:tcBorders>
            <w:shd w:val="clear" w:color="auto" w:fill="FFFFFF"/>
            <w:vAlign w:val="center"/>
          </w:tcPr>
          <w:p w:rsidR="003A7A5E" w:rsidRPr="002644DE" w:rsidRDefault="003A7A5E" w:rsidP="003A7A5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rsidR="003A7A5E" w:rsidRPr="002644DE" w:rsidRDefault="003A7A5E" w:rsidP="003A7A5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3" w:type="pct"/>
            <w:tcBorders>
              <w:bottom w:val="single" w:sz="4" w:space="0" w:color="auto"/>
            </w:tcBorders>
            <w:shd w:val="clear" w:color="auto" w:fill="FFFFFF"/>
          </w:tcPr>
          <w:p w:rsidR="003A7A5E" w:rsidRPr="006A361A" w:rsidRDefault="003A7A5E" w:rsidP="003A7A5E">
            <w:pPr>
              <w:spacing w:after="0" w:line="240" w:lineRule="auto"/>
              <w:rPr>
                <w:rFonts w:ascii="Times New Roman" w:eastAsia="Calibri" w:hAnsi="Times New Roman" w:cs="Times New Roman"/>
                <w:sz w:val="20"/>
                <w:lang w:eastAsia="sk-SK"/>
              </w:rPr>
            </w:pPr>
            <w:r w:rsidRPr="006A361A">
              <w:rPr>
                <w:rFonts w:ascii="Times New Roman" w:eastAsia="Calibri" w:hAnsi="Times New Roman" w:cs="Times New Roman"/>
                <w:sz w:val="20"/>
                <w:lang w:eastAsia="sk-SK"/>
              </w:rPr>
              <w:t>Bez vplyvu</w:t>
            </w:r>
          </w:p>
          <w:p w:rsidR="003A7A5E" w:rsidRPr="006A361A" w:rsidRDefault="003A7A5E" w:rsidP="003A7A5E">
            <w:pPr>
              <w:spacing w:after="0" w:line="240" w:lineRule="auto"/>
              <w:rPr>
                <w:rFonts w:ascii="Times New Roman" w:eastAsia="Calibri" w:hAnsi="Times New Roman" w:cs="Times New Roman"/>
                <w:sz w:val="20"/>
                <w:szCs w:val="18"/>
              </w:rPr>
            </w:pPr>
          </w:p>
          <w:p w:rsidR="003A7A5E" w:rsidRPr="002644DE" w:rsidRDefault="003A7A5E" w:rsidP="003A7A5E">
            <w:pPr>
              <w:spacing w:after="0" w:line="240" w:lineRule="auto"/>
              <w:rPr>
                <w:rFonts w:ascii="Times New Roman" w:eastAsia="Calibri" w:hAnsi="Times New Roman" w:cs="Times New Roman"/>
                <w:sz w:val="20"/>
                <w:szCs w:val="18"/>
              </w:rPr>
            </w:pPr>
            <w:r w:rsidRPr="006A361A">
              <w:rPr>
                <w:rFonts w:ascii="Times New Roman" w:eastAsia="Calibri" w:hAnsi="Times New Roman" w:cs="Times New Roman"/>
                <w:sz w:val="20"/>
                <w:szCs w:val="18"/>
              </w:rPr>
              <w:tab/>
            </w:r>
          </w:p>
        </w:tc>
      </w:tr>
    </w:tbl>
    <w:p w:rsidR="00274130" w:rsidRDefault="00643592" w:rsidP="002644DE"/>
    <w:sectPr w:rsidR="002741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592" w:rsidRDefault="00643592" w:rsidP="002644DE">
      <w:pPr>
        <w:spacing w:after="0" w:line="240" w:lineRule="auto"/>
      </w:pPr>
      <w:r>
        <w:separator/>
      </w:r>
    </w:p>
  </w:endnote>
  <w:endnote w:type="continuationSeparator" w:id="0">
    <w:p w:rsidR="00643592" w:rsidRDefault="00643592"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628070"/>
      <w:docPartObj>
        <w:docPartGallery w:val="Page Numbers (Bottom of Page)"/>
        <w:docPartUnique/>
      </w:docPartObj>
    </w:sdtPr>
    <w:sdtEndPr>
      <w:rPr>
        <w:rFonts w:ascii="Times New Roman" w:hAnsi="Times New Roman" w:cs="Times New Roman"/>
      </w:rPr>
    </w:sdtEndPr>
    <w:sdtContent>
      <w:p w:rsidR="002644DE" w:rsidRPr="001D6749" w:rsidRDefault="002644DE">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1416E7">
          <w:rPr>
            <w:rFonts w:ascii="Times New Roman" w:hAnsi="Times New Roman" w:cs="Times New Roman"/>
            <w:noProof/>
          </w:rPr>
          <w:t>2</w:t>
        </w:r>
        <w:r w:rsidRPr="001D6749">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rPr>
        <w:rFonts w:ascii="Times New Roman" w:hAnsi="Times New Roman" w:cs="Times New Roman"/>
      </w:rPr>
    </w:sdtEndPr>
    <w:sdtContent>
      <w:p w:rsidR="002644DE" w:rsidRPr="001D6749" w:rsidRDefault="002644DE">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1416E7">
          <w:rPr>
            <w:rFonts w:ascii="Times New Roman" w:hAnsi="Times New Roman" w:cs="Times New Roman"/>
            <w:noProof/>
          </w:rPr>
          <w:t>4</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592" w:rsidRDefault="00643592" w:rsidP="002644DE">
      <w:pPr>
        <w:spacing w:after="0" w:line="240" w:lineRule="auto"/>
      </w:pPr>
      <w:r>
        <w:separator/>
      </w:r>
    </w:p>
  </w:footnote>
  <w:footnote w:type="continuationSeparator" w:id="0">
    <w:p w:rsidR="00643592" w:rsidRDefault="00643592" w:rsidP="0026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4DE" w:rsidRPr="00CD4982" w:rsidRDefault="0040256B" w:rsidP="00670684">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C47" w:rsidRPr="00CD4982" w:rsidRDefault="0040256B" w:rsidP="00433C47">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p w:rsidR="002644DE" w:rsidRPr="00433C47" w:rsidRDefault="002644DE"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11"/>
  </w:num>
  <w:num w:numId="5">
    <w:abstractNumId w:val="7"/>
  </w:num>
  <w:num w:numId="6">
    <w:abstractNumId w:val="8"/>
  </w:num>
  <w:num w:numId="7">
    <w:abstractNumId w:val="3"/>
  </w:num>
  <w:num w:numId="8">
    <w:abstractNumId w:val="6"/>
  </w:num>
  <w:num w:numId="9">
    <w:abstractNumId w:val="5"/>
  </w:num>
  <w:num w:numId="10">
    <w:abstractNumId w:val="0"/>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DE"/>
    <w:rsid w:val="00060EEC"/>
    <w:rsid w:val="001416E7"/>
    <w:rsid w:val="001557B2"/>
    <w:rsid w:val="001B6323"/>
    <w:rsid w:val="001F69B4"/>
    <w:rsid w:val="002644DE"/>
    <w:rsid w:val="002F66F4"/>
    <w:rsid w:val="003278FA"/>
    <w:rsid w:val="00331B2F"/>
    <w:rsid w:val="00341079"/>
    <w:rsid w:val="00382021"/>
    <w:rsid w:val="003A7A5E"/>
    <w:rsid w:val="0040256B"/>
    <w:rsid w:val="00416C6E"/>
    <w:rsid w:val="00433C47"/>
    <w:rsid w:val="0048139E"/>
    <w:rsid w:val="004E1DF8"/>
    <w:rsid w:val="00576141"/>
    <w:rsid w:val="005C068D"/>
    <w:rsid w:val="005F1804"/>
    <w:rsid w:val="006349FC"/>
    <w:rsid w:val="00636449"/>
    <w:rsid w:val="00643592"/>
    <w:rsid w:val="00786F67"/>
    <w:rsid w:val="007A7A22"/>
    <w:rsid w:val="007B56FC"/>
    <w:rsid w:val="007E57E7"/>
    <w:rsid w:val="007F6319"/>
    <w:rsid w:val="0085038B"/>
    <w:rsid w:val="008801B5"/>
    <w:rsid w:val="008E436D"/>
    <w:rsid w:val="0095188C"/>
    <w:rsid w:val="00965BF0"/>
    <w:rsid w:val="009E09F7"/>
    <w:rsid w:val="00A07857"/>
    <w:rsid w:val="00A16AD1"/>
    <w:rsid w:val="00A25E45"/>
    <w:rsid w:val="00B65D2C"/>
    <w:rsid w:val="00B85899"/>
    <w:rsid w:val="00BC13EA"/>
    <w:rsid w:val="00BD141A"/>
    <w:rsid w:val="00BD7575"/>
    <w:rsid w:val="00C24790"/>
    <w:rsid w:val="00D20F3B"/>
    <w:rsid w:val="00DD3CE8"/>
    <w:rsid w:val="00EF13CA"/>
    <w:rsid w:val="00FF25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38BF1-EDC8-4160-A2B9-73079E6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 w:type="paragraph" w:customStyle="1" w:styleId="Default">
    <w:name w:val="Default"/>
    <w:rsid w:val="005F1804"/>
    <w:pPr>
      <w:autoSpaceDE w:val="0"/>
      <w:autoSpaceDN w:val="0"/>
      <w:adjustRightInd w:val="0"/>
      <w:spacing w:after="0" w:line="240" w:lineRule="auto"/>
    </w:pPr>
    <w:rPr>
      <w:rFonts w:ascii="Times New Roman" w:hAnsi="Times New Roman" w:cs="Times New Roman"/>
      <w:color w:val="000000"/>
      <w:sz w:val="24"/>
      <w:szCs w:val="24"/>
    </w:rPr>
  </w:style>
  <w:style w:type="character" w:styleId="Zvraznenie">
    <w:name w:val="Emphasis"/>
    <w:basedOn w:val="Predvolenpsmoodseku"/>
    <w:uiPriority w:val="20"/>
    <w:qFormat/>
    <w:rsid w:val="007B56FC"/>
    <w:rPr>
      <w:i/>
      <w:iCs/>
    </w:rPr>
  </w:style>
  <w:style w:type="character" w:styleId="Hypertextovprepojenie">
    <w:name w:val="Hyperlink"/>
    <w:basedOn w:val="Predvolenpsmoodseku"/>
    <w:uiPriority w:val="99"/>
    <w:semiHidden/>
    <w:unhideWhenUsed/>
    <w:rsid w:val="007B56FC"/>
    <w:rPr>
      <w:color w:val="0000FF"/>
      <w:u w:val="single"/>
    </w:rPr>
  </w:style>
  <w:style w:type="paragraph" w:styleId="Textbubliny">
    <w:name w:val="Balloon Text"/>
    <w:basedOn w:val="Normlny"/>
    <w:link w:val="TextbublinyChar"/>
    <w:uiPriority w:val="99"/>
    <w:semiHidden/>
    <w:unhideWhenUsed/>
    <w:rsid w:val="003278F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278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181854">
      <w:bodyDiv w:val="1"/>
      <w:marLeft w:val="0"/>
      <w:marRight w:val="0"/>
      <w:marTop w:val="0"/>
      <w:marBottom w:val="0"/>
      <w:divBdr>
        <w:top w:val="none" w:sz="0" w:space="0" w:color="auto"/>
        <w:left w:val="none" w:sz="0" w:space="0" w:color="auto"/>
        <w:bottom w:val="none" w:sz="0" w:space="0" w:color="auto"/>
        <w:right w:val="none" w:sz="0" w:space="0" w:color="auto"/>
      </w:divBdr>
      <w:divsChild>
        <w:div w:id="1100033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4"/>
    <f:field ref="objsubject" par="" edit="true" text=""/>
    <f:field ref="objcreatedby" par="" text="Drieniková, Kristína"/>
    <f:field ref="objcreatedat" par="" text="3.11.2020 15:32:03"/>
    <f:field ref="objchangedby" par="" text="Matúšek, Miloš, JUDr."/>
    <f:field ref="objmodifiedat" par="" text="4.11.2020 13:20:0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757A7EE-2652-47F5-97DE-002566C64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2226</Words>
  <Characters>12693</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Smažáková Janette</cp:lastModifiedBy>
  <cp:revision>5</cp:revision>
  <cp:lastPrinted>2023-02-23T13:32:00Z</cp:lastPrinted>
  <dcterms:created xsi:type="dcterms:W3CDTF">2023-07-24T14:57:00Z</dcterms:created>
  <dcterms:modified xsi:type="dcterms:W3CDTF">2024-05-30T09:05:00Z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COO.2145.1000.3.4079702</vt:lpwstr>
  </property>
  <property fmtid="{D5CDD505-2E9C-101B-9397-08002B2CF9AE}" pid="152" name="FSC#FSCFOLIO@1.1001:docpropproject">
    <vt:lpwstr/>
  </property>
</Properties>
</file>