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DA1CB" w14:textId="77777777" w:rsidR="00054C41" w:rsidRPr="00895898" w:rsidRDefault="00054C41" w:rsidP="00054C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95898">
        <w:rPr>
          <w:rFonts w:ascii="Times New Roman" w:eastAsia="Calibri" w:hAnsi="Times New Roman" w:cs="Times New Roman"/>
          <w:b/>
          <w:sz w:val="28"/>
          <w:szCs w:val="28"/>
        </w:rPr>
        <w:t>Analýza vplyvov na podnikateľské prostredie</w:t>
      </w:r>
    </w:p>
    <w:p w14:paraId="1154C822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8E7C97" w14:textId="71087813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Názov materiálu:</w:t>
      </w:r>
      <w:r w:rsidR="005223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6CD6" w:rsidRPr="00416CD6">
        <w:rPr>
          <w:rFonts w:ascii="Times New Roman" w:eastAsia="Calibri" w:hAnsi="Times New Roman" w:cs="Times New Roman"/>
          <w:sz w:val="24"/>
          <w:szCs w:val="24"/>
        </w:rPr>
        <w:t>Vládny</w:t>
      </w:r>
      <w:r w:rsidR="00416C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6CD6">
        <w:rPr>
          <w:rFonts w:ascii="Times New Roman" w:eastAsia="Calibri" w:hAnsi="Times New Roman" w:cs="Times New Roman"/>
          <w:sz w:val="24"/>
          <w:szCs w:val="24"/>
        </w:rPr>
        <w:t>n</w:t>
      </w:r>
      <w:r w:rsidR="00416CD6" w:rsidRPr="0052236F">
        <w:rPr>
          <w:rFonts w:ascii="Times New Roman" w:eastAsia="Calibri" w:hAnsi="Times New Roman" w:cs="Times New Roman"/>
          <w:sz w:val="24"/>
          <w:szCs w:val="24"/>
        </w:rPr>
        <w:t xml:space="preserve">ávrh </w:t>
      </w:r>
      <w:r w:rsidR="0052236F" w:rsidRPr="0052236F">
        <w:rPr>
          <w:rFonts w:ascii="Times New Roman" w:eastAsia="Calibri" w:hAnsi="Times New Roman" w:cs="Times New Roman"/>
          <w:sz w:val="24"/>
          <w:szCs w:val="24"/>
        </w:rPr>
        <w:t>zákona</w:t>
      </w:r>
      <w:r w:rsidR="00882689">
        <w:rPr>
          <w:rFonts w:ascii="Times New Roman" w:eastAsia="Calibri" w:hAnsi="Times New Roman" w:cs="Times New Roman"/>
          <w:sz w:val="24"/>
          <w:szCs w:val="24"/>
        </w:rPr>
        <w:t>,</w:t>
      </w:r>
      <w:r w:rsidR="0052236F" w:rsidRPr="0052236F">
        <w:rPr>
          <w:rFonts w:ascii="Times New Roman" w:eastAsia="Calibri" w:hAnsi="Times New Roman" w:cs="Times New Roman"/>
          <w:sz w:val="24"/>
          <w:szCs w:val="24"/>
        </w:rPr>
        <w:t xml:space="preserve"> ktorým sa </w:t>
      </w:r>
      <w:r w:rsidR="00B3570B">
        <w:rPr>
          <w:rFonts w:ascii="Times New Roman" w:eastAsia="Calibri" w:hAnsi="Times New Roman" w:cs="Times New Roman"/>
          <w:sz w:val="24"/>
          <w:szCs w:val="24"/>
        </w:rPr>
        <w:t>dopĺňa</w:t>
      </w:r>
      <w:r w:rsidR="0052236F" w:rsidRPr="0052236F">
        <w:rPr>
          <w:rFonts w:ascii="Times New Roman" w:eastAsia="Calibri" w:hAnsi="Times New Roman" w:cs="Times New Roman"/>
          <w:sz w:val="24"/>
          <w:szCs w:val="24"/>
        </w:rPr>
        <w:t xml:space="preserve"> zákon č. 461/2003 Z. z. o sociálnom poistení</w:t>
      </w:r>
      <w:r w:rsidR="00857F65">
        <w:rPr>
          <w:rFonts w:ascii="Times New Roman" w:eastAsia="Calibri" w:hAnsi="Times New Roman" w:cs="Times New Roman"/>
          <w:sz w:val="24"/>
          <w:szCs w:val="24"/>
        </w:rPr>
        <w:t xml:space="preserve"> v znení neskorších predpisov.</w:t>
      </w:r>
    </w:p>
    <w:p w14:paraId="014EAE8F" w14:textId="6CF37500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Predkladateľ:</w:t>
      </w:r>
      <w:r w:rsidR="005223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6CD6">
        <w:rPr>
          <w:rFonts w:ascii="Times New Roman" w:eastAsia="Calibri" w:hAnsi="Times New Roman" w:cs="Times New Roman"/>
          <w:sz w:val="24"/>
          <w:szCs w:val="24"/>
        </w:rPr>
        <w:t>Vláda</w:t>
      </w:r>
      <w:r w:rsidR="0052236F" w:rsidRPr="0052236F">
        <w:rPr>
          <w:rFonts w:ascii="Times New Roman" w:eastAsia="Calibri" w:hAnsi="Times New Roman" w:cs="Times New Roman"/>
          <w:sz w:val="24"/>
          <w:szCs w:val="24"/>
        </w:rPr>
        <w:t xml:space="preserve"> SR</w:t>
      </w:r>
    </w:p>
    <w:p w14:paraId="428B679C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12A655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3.1 Náklady regulácie</w:t>
      </w:r>
    </w:p>
    <w:p w14:paraId="5B840E4D" w14:textId="77777777" w:rsidR="00054C41" w:rsidRPr="001F1B43" w:rsidRDefault="00054C41" w:rsidP="00C21399">
      <w:pPr>
        <w:tabs>
          <w:tab w:val="left" w:pos="8025"/>
        </w:tabs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3.1.1 Súhrnná tabuľka nákladov regulácie </w:t>
      </w:r>
      <w:r w:rsidR="00C2139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</w:p>
    <w:p w14:paraId="742590E3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1: Zmeny nákladov (ročne) v prepočte na podnikateľské prostredie (PP), vyhodnotenie mechanizmu znižovania byrokracie a náklado</w:t>
      </w:r>
      <w:r w:rsidR="000A6B7F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="00C929AE">
        <w:rPr>
          <w:rFonts w:ascii="Times New Roman" w:eastAsia="Calibri" w:hAnsi="Times New Roman" w:cs="Times New Roman"/>
          <w:i/>
          <w:sz w:val="24"/>
          <w:szCs w:val="24"/>
        </w:rPr>
        <w:t xml:space="preserve">, náklady </w:t>
      </w:r>
      <w:proofErr w:type="spellStart"/>
      <w:r w:rsidR="00C929AE" w:rsidRPr="00804BC8">
        <w:rPr>
          <w:rFonts w:ascii="Times New Roman" w:eastAsia="Calibri" w:hAnsi="Times New Roman" w:cs="Times New Roman"/>
          <w:i/>
          <w:sz w:val="24"/>
          <w:szCs w:val="24"/>
        </w:rPr>
        <w:t>goldplatingu</w:t>
      </w:r>
      <w:proofErr w:type="spellEnd"/>
      <w:r w:rsidR="00C929AE">
        <w:rPr>
          <w:rStyle w:val="Odkaznapoznmkupodiarou"/>
          <w:rFonts w:ascii="Times New Roman" w:eastAsia="Calibri" w:hAnsi="Times New Roman" w:cs="Times New Roman"/>
          <w:i/>
          <w:sz w:val="24"/>
          <w:szCs w:val="24"/>
        </w:rPr>
        <w:footnoteReference w:id="1"/>
      </w:r>
      <w:r w:rsidR="000A6B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929AE">
        <w:rPr>
          <w:rFonts w:ascii="Times New Roman" w:eastAsia="Calibri" w:hAnsi="Times New Roman" w:cs="Times New Roman"/>
          <w:i/>
          <w:sz w:val="24"/>
          <w:szCs w:val="24"/>
        </w:rPr>
        <w:t>na podnikateľské prostredie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60344A66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Nahraďte rovnakou tabuľkou po vyplnení Kalkulačky nákladov podnikateľského prostredia, ktorá je povinnou prílohou tejto analýzy a nájdete ju na </w:t>
      </w:r>
      <w:hyperlink r:id="rId9" w:history="1">
        <w:r w:rsidRPr="00D8247C">
          <w:rPr>
            <w:rFonts w:ascii="Times New Roman" w:eastAsia="Calibri" w:hAnsi="Times New Roman" w:cs="Times New Roman"/>
            <w:i/>
            <w:color w:val="0563C1"/>
            <w:sz w:val="24"/>
            <w:szCs w:val="24"/>
            <w:u w:val="single"/>
          </w:rPr>
          <w:t>webovom sídle MH SR</w:t>
        </w:r>
      </w:hyperlink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(ďalej len </w:t>
      </w:r>
      <w:r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Kalkulačka nákladov</w:t>
      </w:r>
      <w:r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):</w:t>
      </w:r>
    </w:p>
    <w:tbl>
      <w:tblPr>
        <w:tblW w:w="95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540"/>
        <w:gridCol w:w="2623"/>
        <w:gridCol w:w="169"/>
        <w:gridCol w:w="160"/>
        <w:gridCol w:w="2293"/>
        <w:gridCol w:w="423"/>
        <w:gridCol w:w="160"/>
      </w:tblGrid>
      <w:tr w:rsidR="00C929AE" w:rsidRPr="00C929AE" w14:paraId="1C714549" w14:textId="77777777" w:rsidTr="003A3124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27A9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5ADC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62F0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9A29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DA42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D4C5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C929AE" w:rsidRPr="00C929AE" w14:paraId="3F704BE6" w14:textId="77777777" w:rsidTr="00804BC8">
        <w:trPr>
          <w:gridAfter w:val="2"/>
          <w:wAfter w:w="583" w:type="dxa"/>
          <w:trHeight w:val="45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D271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197B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 NÁKLADOV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EF7B1F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0531C44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7B1F68" w:rsidRPr="00C929AE" w14:paraId="779F0405" w14:textId="77777777" w:rsidTr="00804BC8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7F4F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E1DA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Dane, odvody, clá a poplatky, ktorých cieľom je znižovať negatívne </w:t>
            </w:r>
            <w:proofErr w:type="spellStart"/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externality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2812E1A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0D28758" w14:textId="77777777" w:rsidR="007B1F68" w:rsidRPr="00C929AE" w:rsidRDefault="00356E53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18 415 488</w:t>
            </w:r>
          </w:p>
        </w:tc>
      </w:tr>
      <w:tr w:rsidR="007B1F68" w:rsidRPr="00C929AE" w14:paraId="4FBA5214" w14:textId="77777777" w:rsidTr="00804BC8">
        <w:trPr>
          <w:gridAfter w:val="2"/>
          <w:wAfter w:w="583" w:type="dxa"/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37D7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0F0B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B. Iné </w:t>
            </w:r>
            <w:r w:rsidRPr="0095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poplatky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C66EDF6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43C3F5D2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B1F68" w:rsidRPr="00C929AE" w14:paraId="6DBD7DDD" w14:textId="77777777" w:rsidTr="00804BC8">
        <w:trPr>
          <w:gridAfter w:val="2"/>
          <w:wAfter w:w="583" w:type="dxa"/>
          <w:trHeight w:val="4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AC79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6451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Sankcie a pokuty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C94068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EB8AC79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B1F68" w:rsidRPr="00C929AE" w14:paraId="3E0D287D" w14:textId="77777777" w:rsidTr="00804BC8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744F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B944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9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Nepriame finančné náklady 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8C432E1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9E0BF05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B1F68" w:rsidRPr="00C929AE" w14:paraId="2CCF00AD" w14:textId="77777777" w:rsidTr="00804BC8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71F0D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EED1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E. Administratívne náklady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59ACB180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14:paraId="512252CA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B1F68" w:rsidRPr="00C929AE" w14:paraId="4EF5887D" w14:textId="77777777" w:rsidTr="00804BC8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B8E7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3768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Spolu = A+B+C+D</w:t>
            </w:r>
            <w:r w:rsidRPr="00E9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+E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AB5612E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B5DF7BB" w14:textId="77777777" w:rsidR="007B1F68" w:rsidRPr="00C929AE" w:rsidRDefault="00356E53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18 415 488</w:t>
            </w:r>
          </w:p>
        </w:tc>
      </w:tr>
      <w:tr w:rsidR="007B1F68" w:rsidRPr="00C929AE" w14:paraId="1B2E924E" w14:textId="77777777" w:rsidTr="003A3124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0F28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5303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7FFD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00E4F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1E136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9BFC4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7B1F68" w:rsidRPr="00C929AE" w14:paraId="58A6855A" w14:textId="77777777" w:rsidTr="00804BC8">
        <w:trPr>
          <w:gridAfter w:val="2"/>
          <w:wAfter w:w="583" w:type="dxa"/>
          <w:trHeight w:val="4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747A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6ABA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Harmonizácia práva EÚ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C4F2575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435CC2B5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7B1F68" w:rsidRPr="00C929AE" w14:paraId="5C54898C" w14:textId="77777777" w:rsidTr="00804BC8">
        <w:trPr>
          <w:gridAfter w:val="2"/>
          <w:wAfter w:w="583" w:type="dxa"/>
          <w:trHeight w:val="84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A13F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8F4F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F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. Úplná harmonizácia práva EÚ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 xml:space="preserve">(okrem daní, odvodov, ciel a poplatkov, ktorých cieľom je znižovať negatívne </w:t>
            </w:r>
            <w:proofErr w:type="spellStart"/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externality</w:t>
            </w:r>
            <w:proofErr w:type="spellEnd"/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AA7DA1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AA2383F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B1F68" w:rsidRPr="00C929AE" w14:paraId="4D6B62A3" w14:textId="77777777" w:rsidTr="00804BC8">
        <w:trPr>
          <w:gridAfter w:val="2"/>
          <w:wAfter w:w="583" w:type="dxa"/>
          <w:trHeight w:val="486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B6B2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A7A7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G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Goldplating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1A751A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00B5292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B1F68" w:rsidRPr="00C929AE" w14:paraId="54FB61FA" w14:textId="77777777" w:rsidTr="003A3124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D884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0424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997CC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121DC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CC9F8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CE8C9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7B1F68" w:rsidRPr="00C929AE" w14:paraId="7FB01552" w14:textId="77777777" w:rsidTr="00804BC8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906E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B949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VÝPOČET PRAVIDLA 1in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2out: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0D7D985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3C09F68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OUT</w:t>
            </w:r>
          </w:p>
        </w:tc>
      </w:tr>
      <w:tr w:rsidR="007B1F68" w:rsidRPr="00C929AE" w14:paraId="2ED5B5FD" w14:textId="77777777" w:rsidTr="00804BC8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E201" w14:textId="77777777" w:rsidR="007B1F68" w:rsidRPr="00C929AE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F38B" w14:textId="77777777" w:rsidR="007B1F68" w:rsidRPr="00751DA9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51DA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sk-SK"/>
              </w:rPr>
              <w:t>H.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Náklady okrem výnimiek = B+D</w:t>
            </w:r>
            <w:r w:rsidRPr="00751DA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+E-F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FABD14C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D89141F" w14:textId="77777777" w:rsidR="007B1F68" w:rsidRPr="00C929AE" w:rsidRDefault="007B1F68" w:rsidP="007B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57B384C0" w14:textId="77777777" w:rsidR="00054C41" w:rsidRPr="00895898" w:rsidRDefault="00054C41" w:rsidP="00054C41">
      <w:pPr>
        <w:rPr>
          <w:rFonts w:ascii="Times New Roman" w:eastAsia="Calibri" w:hAnsi="Times New Roman" w:cs="Times New Roman"/>
          <w:b/>
          <w:sz w:val="24"/>
          <w:szCs w:val="24"/>
        </w:rPr>
        <w:sectPr w:rsidR="00054C41" w:rsidRPr="00895898" w:rsidSect="0014215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</w:p>
    <w:p w14:paraId="1CF88B6D" w14:textId="77777777" w:rsidR="00054C41" w:rsidRPr="001F1B43" w:rsidRDefault="00054C41" w:rsidP="00054C41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3.1.2 Výpočty vplyvov jednotlivých regulácií na zmeny v nákladoch podnikateľov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60987A1" w14:textId="77777777" w:rsidR="00054C41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2: Výpočet vplyvov jednotlivých regulácií (nahraďte rovnakou tabuľkou po vyplnení Kalkulačky nákladov):</w:t>
      </w:r>
    </w:p>
    <w:tbl>
      <w:tblPr>
        <w:tblW w:w="13951" w:type="dxa"/>
        <w:tblInd w:w="-5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740"/>
        <w:gridCol w:w="992"/>
        <w:gridCol w:w="1134"/>
        <w:gridCol w:w="1843"/>
        <w:gridCol w:w="992"/>
        <w:gridCol w:w="1201"/>
        <w:gridCol w:w="1067"/>
        <w:gridCol w:w="851"/>
        <w:gridCol w:w="843"/>
        <w:gridCol w:w="1000"/>
        <w:gridCol w:w="708"/>
        <w:gridCol w:w="1134"/>
      </w:tblGrid>
      <w:tr w:rsidR="00DE6ACB" w:rsidRPr="000A6B7F" w14:paraId="562A5781" w14:textId="77777777" w:rsidTr="0052236F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6A4D35A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4CEF72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Zrozumiteľný a stručný opis regulácie 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(dôvod zvýšenia/zníženia nákladov na PP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a dôvod ponechania nákladov na PP, ktoré sú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goldplatngom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E8ADAC1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Číslo normy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(zákona, vyhlášky a pod.)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FF6FF26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Lokalizácia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(§, ods.</w:t>
            </w:r>
            <w:r w:rsidR="00D11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 čl.,...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A710E6" w14:textId="77777777" w:rsidR="00DE6ACB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Pôvod regulácie: 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</w:t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/EÚ úplná </w:t>
            </w:r>
            <w:proofErr w:type="spellStart"/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harm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./</w:t>
            </w:r>
          </w:p>
          <w:p w14:paraId="514014F4" w14:textId="77777777" w:rsidR="00DE6ACB" w:rsidRPr="000A6B7F" w:rsidRDefault="006564C3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</w:t>
            </w:r>
            <w:r w:rsidR="00DE6ACB"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oldplating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70C6D5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Účinnosť regulácie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88AC53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Kategória </w:t>
            </w:r>
            <w:proofErr w:type="spellStart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subjektov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47C8EA" w14:textId="77777777" w:rsidR="00D114ED" w:rsidRDefault="00DE6ACB" w:rsidP="0004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Počet </w:t>
            </w:r>
          </w:p>
          <w:p w14:paraId="4DF38DE7" w14:textId="77777777" w:rsidR="00DE6ACB" w:rsidRPr="00895898" w:rsidRDefault="00D114ED" w:rsidP="0004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="00DE6ACB"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subjektov </w:t>
            </w:r>
            <w:r w:rsidR="00047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  <w:r w:rsidR="00DE6ACB"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397A90B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1 podnik. v 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3CC178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kateg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subjekt.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 €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D6F476" w14:textId="77777777" w:rsidR="00DE6ACB" w:rsidRPr="00895898" w:rsidRDefault="00DE6ACB" w:rsidP="00F5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vplyvu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In (zvyšuje náklady) / </w:t>
            </w:r>
          </w:p>
          <w:p w14:paraId="2E6CFA81" w14:textId="77777777" w:rsidR="00DE6ACB" w:rsidRPr="00895898" w:rsidRDefault="00DE6ACB" w:rsidP="00F5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(znižuje náklady</w:t>
            </w: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  <w:p w14:paraId="25D30414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/ Nemení 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503C3F" w14:textId="77777777"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1in</w:t>
            </w:r>
          </w:p>
          <w:p w14:paraId="40241394" w14:textId="77777777"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2out celkom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0FF4AD" w14:textId="77777777"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Goldplating</w:t>
            </w:r>
            <w:proofErr w:type="spellEnd"/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celkom</w:t>
            </w:r>
          </w:p>
        </w:tc>
      </w:tr>
      <w:tr w:rsidR="00B3570B" w:rsidRPr="00895898" w14:paraId="17316444" w14:textId="77777777" w:rsidTr="00514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D4B8" w14:textId="77777777"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5D0E" w14:textId="77777777" w:rsidR="00B3570B" w:rsidRPr="00895898" w:rsidRDefault="00B3570B" w:rsidP="00BD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Odvodová úľava pre poľnohospodárov a </w:t>
            </w:r>
            <w:proofErr w:type="spellStart"/>
            <w:r w:rsidR="00BD37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akvakultúru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9D22" w14:textId="77777777"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Zákon č. 461/2003 Z. 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D9ED" w14:textId="77777777" w:rsidR="00B3570B" w:rsidRPr="00895898" w:rsidRDefault="00485573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§ 293gi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11E5" w14:textId="77777777" w:rsidR="00B3570B" w:rsidRPr="00895898" w:rsidRDefault="00B3570B" w:rsidP="00B3570B">
            <w:pPr>
              <w:pStyle w:val="gmail-m-1648484718305530482msolistparagraph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</w:rPr>
              <w:t>1.SK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4BE5" w14:textId="77777777" w:rsidR="00B3570B" w:rsidRPr="00895898" w:rsidRDefault="00485573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01.07</w:t>
            </w:r>
            <w:r w:rsidR="00B3570B"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5187" w14:textId="77777777" w:rsidR="00B3570B" w:rsidRPr="00895898" w:rsidRDefault="00B3570B" w:rsidP="00BD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Poľnohospodári a </w:t>
            </w:r>
            <w:proofErr w:type="spellStart"/>
            <w:r w:rsidR="00BD3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akvakultúra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90DD" w14:textId="77777777" w:rsidR="00B3570B" w:rsidRPr="00895898" w:rsidRDefault="00485573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1 8</w:t>
            </w:r>
            <w:r w:rsidR="00B3570B"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072FB" w14:textId="77777777" w:rsidR="00B3570B" w:rsidRPr="00B3570B" w:rsidRDefault="00485573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10 231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FB65" w14:textId="77777777" w:rsidR="00B3570B" w:rsidRPr="00B3570B" w:rsidRDefault="00485573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18 415 488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4754" w14:textId="77777777"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Out</w:t>
            </w:r>
            <w:proofErr w:type="spellEnd"/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(znižuje náklady)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4240" w14:textId="77777777" w:rsidR="00B3570B" w:rsidRPr="00895898" w:rsidRDefault="00B3570B" w:rsidP="00B3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57D5" w14:textId="77777777" w:rsidR="00B3570B" w:rsidRPr="00895898" w:rsidRDefault="00B3570B" w:rsidP="00B3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B1F68" w:rsidRPr="00895898" w14:paraId="3E2C0237" w14:textId="77777777" w:rsidTr="0052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4F08" w14:textId="77777777"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C6F1" w14:textId="77777777"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Neplatenie príspevkov do II. piliera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C7A4" w14:textId="77777777"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Zákon č. 43/2004 Z. 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D258" w14:textId="77777777"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§ 123bia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45DE" w14:textId="77777777" w:rsidR="007B1F68" w:rsidDel="00801596" w:rsidRDefault="007B1F68" w:rsidP="0052236F">
            <w:pPr>
              <w:pStyle w:val="gmail-m-1648484718305530482msolistparagraph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</w:rPr>
              <w:t>1.SK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55EE" w14:textId="77777777" w:rsidR="007B1F68" w:rsidRPr="00895898" w:rsidRDefault="00485573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01.07</w:t>
            </w:r>
            <w:r w:rsidR="00B3570B"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33DBD" w14:textId="77777777"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Dôchodkové správcovské spoločnosti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50EF" w14:textId="77777777"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18910" w14:textId="77777777"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F30A" w14:textId="77777777"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CABB" w14:textId="77777777"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Nemení 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4AC3" w14:textId="77777777" w:rsidR="007B1F68" w:rsidRPr="00895898" w:rsidRDefault="007B1F68" w:rsidP="0052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0B15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671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B1F68" w:rsidRPr="00895898" w14:paraId="4EC71B09" w14:textId="77777777" w:rsidTr="0052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395DCCCD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E869FA0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6DA69E14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2C0B671E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7FBB7F" w14:textId="77777777" w:rsidR="007B1F68" w:rsidDel="00801596" w:rsidRDefault="007B1F68" w:rsidP="007B1F68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48C98E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1269454C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7" w:type="dxa"/>
          </w:tcPr>
          <w:p w14:paraId="6B943FFC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679C69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6EE83757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DA00495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EDCAB42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52A2E8BA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B1F68" w:rsidRPr="00895898" w14:paraId="57C650A0" w14:textId="77777777" w:rsidTr="0052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4764FE96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887A3ED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56A86FFF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6DD6C9F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9CC137" w14:textId="77777777" w:rsidR="007B1F68" w:rsidDel="00801596" w:rsidRDefault="007B1F68" w:rsidP="007B1F68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AD3052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0623B5B9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7" w:type="dxa"/>
          </w:tcPr>
          <w:p w14:paraId="22FF3E52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068789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568A7201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8446509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E4C77D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6DC5C93E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B1F68" w:rsidRPr="00895898" w14:paraId="40A08648" w14:textId="77777777" w:rsidTr="0052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6E0FE2C3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27B4E78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7F7E46B4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2A6B63FF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E80A2C" w14:textId="77777777" w:rsidR="007B1F68" w:rsidDel="00801596" w:rsidRDefault="007B1F68" w:rsidP="007B1F68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DB2057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657461E0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7" w:type="dxa"/>
          </w:tcPr>
          <w:p w14:paraId="3CDBB806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2F9C5D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418E81FD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31D9776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484775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CEA392E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B1F68" w:rsidRPr="00895898" w14:paraId="27C2B3B2" w14:textId="77777777" w:rsidTr="0052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694C59A3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117A81E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739961EF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5E4F0243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16A8AC" w14:textId="77777777" w:rsidR="007B1F68" w:rsidDel="00801596" w:rsidRDefault="007B1F68" w:rsidP="007B1F68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518A47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2B329DAF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7" w:type="dxa"/>
          </w:tcPr>
          <w:p w14:paraId="4FD81EE3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25BBEA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0FA6C47F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BCCF05E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2DEA6A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C86BB0E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B1F68" w:rsidRPr="00895898" w14:paraId="01F4EB29" w14:textId="77777777" w:rsidTr="0052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73748290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7C1B26A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3CE6801F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71CE0983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4FE825" w14:textId="77777777" w:rsidR="007B1F68" w:rsidDel="00801596" w:rsidRDefault="007B1F68" w:rsidP="007B1F68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898929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435FF32A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7" w:type="dxa"/>
          </w:tcPr>
          <w:p w14:paraId="5300631B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E6DC46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439D3EA0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27847C3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65A9D4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66310760" w14:textId="77777777" w:rsidR="007B1F68" w:rsidRPr="00895898" w:rsidRDefault="007B1F68" w:rsidP="007B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BEE2BFC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i/>
        </w:rPr>
      </w:pPr>
    </w:p>
    <w:p w14:paraId="6B1A1CD7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  <w:sectPr w:rsidR="00054C41" w:rsidRPr="00895898" w:rsidSect="001421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2EE238B" w14:textId="77777777" w:rsidR="00667B82" w:rsidRDefault="00511F8F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3.1.3 </w:t>
      </w:r>
      <w:r w:rsidR="00054C41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Doplňujúce informácie k spôsobu výpočtu vplyvov jednotlivých regulácií na zmenu nákladov </w:t>
      </w:r>
      <w:r w:rsidR="00667B82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728661EE" w14:textId="3009617F" w:rsidR="003E77E8" w:rsidRDefault="0052236F" w:rsidP="00054C41">
      <w:pPr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V súvislosti s</w:t>
      </w:r>
      <w:r w:rsidR="00B3570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 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predĺžením</w:t>
      </w:r>
      <w:r w:rsidR="00B3570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826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tzv. 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odvodovej úľavy pre </w:t>
      </w:r>
      <w:r w:rsidR="008826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vybrané sektory 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poľnohospodárov a </w:t>
      </w:r>
      <w:proofErr w:type="spellStart"/>
      <w:r w:rsidR="00BD37F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akvakultúry</w:t>
      </w:r>
      <w:proofErr w:type="spellEnd"/>
      <w:r w:rsidR="00BD37F7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očakávame zníženie mzdových nákladov vybraných </w:t>
      </w:r>
      <w:r w:rsidR="0054153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zamestnávateľov na úrovni </w:t>
      </w:r>
      <w:r w:rsidR="00356E5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viac ako 18</w:t>
      </w:r>
      <w:r w:rsidR="00B3570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miliónov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eur. </w:t>
      </w:r>
      <w:r w:rsidR="000F17D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Na základe údajov Sociálnej poisťovne v</w:t>
      </w:r>
      <w:r w:rsidR="00F12D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 súvislosti s predĺžením</w:t>
      </w:r>
      <w:r w:rsidR="00286E5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schémy</w:t>
      </w:r>
      <w:r w:rsidR="0088268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štátnej</w:t>
      </w:r>
      <w:r w:rsidR="000F17D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pomoci počítame s maximálne 1 800 oprávnenými žiadateľmi</w:t>
      </w:r>
      <w:r w:rsidR="00286E5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. </w:t>
      </w:r>
    </w:p>
    <w:p w14:paraId="2867D89B" w14:textId="77777777" w:rsidR="003E77E8" w:rsidRPr="003E77E8" w:rsidRDefault="003E77E8" w:rsidP="00054C41">
      <w:pPr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3E77E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Tabuľka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č. 3</w:t>
      </w:r>
      <w:r w:rsidRPr="003E77E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: Odhadovaná výška štátnej pomoci pre jednotlivé podporené odvetvia podľa hlavnej ekonomickej činnosti zamestnávateľa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v eurách</w:t>
      </w:r>
      <w:r w:rsidRPr="003E77E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6521"/>
        <w:gridCol w:w="1553"/>
      </w:tblGrid>
      <w:tr w:rsidR="003E77E8" w:rsidRPr="00667B82" w14:paraId="77ED5DB9" w14:textId="77777777" w:rsidTr="0014191A">
        <w:trPr>
          <w:trHeight w:val="290"/>
          <w:jc w:val="center"/>
        </w:trPr>
        <w:tc>
          <w:tcPr>
            <w:tcW w:w="988" w:type="dxa"/>
            <w:noWrap/>
            <w:vAlign w:val="center"/>
            <w:hideMark/>
          </w:tcPr>
          <w:p w14:paraId="32ED7093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SK NACE</w:t>
            </w:r>
          </w:p>
        </w:tc>
        <w:tc>
          <w:tcPr>
            <w:tcW w:w="6521" w:type="dxa"/>
            <w:noWrap/>
            <w:vAlign w:val="center"/>
            <w:hideMark/>
          </w:tcPr>
          <w:p w14:paraId="5A048F11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Charakteristika</w:t>
            </w:r>
          </w:p>
        </w:tc>
        <w:tc>
          <w:tcPr>
            <w:tcW w:w="1553" w:type="dxa"/>
            <w:vAlign w:val="center"/>
            <w:hideMark/>
          </w:tcPr>
          <w:p w14:paraId="7BF16CF1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Spolu</w:t>
            </w:r>
          </w:p>
        </w:tc>
      </w:tr>
      <w:tr w:rsidR="003E77E8" w:rsidRPr="00667B82" w14:paraId="066A3CB7" w14:textId="77777777" w:rsidTr="0014191A">
        <w:trPr>
          <w:trHeight w:val="290"/>
          <w:jc w:val="center"/>
        </w:trPr>
        <w:tc>
          <w:tcPr>
            <w:tcW w:w="988" w:type="dxa"/>
            <w:noWrap/>
            <w:vAlign w:val="center"/>
            <w:hideMark/>
          </w:tcPr>
          <w:p w14:paraId="68316BEE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01130</w:t>
            </w:r>
          </w:p>
        </w:tc>
        <w:tc>
          <w:tcPr>
            <w:tcW w:w="6521" w:type="dxa"/>
            <w:noWrap/>
            <w:vAlign w:val="center"/>
            <w:hideMark/>
          </w:tcPr>
          <w:p w14:paraId="4B066EB0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Pestovanie zeleniny a melónov, koreňovej a hľuzovej zeleniny</w:t>
            </w:r>
          </w:p>
        </w:tc>
        <w:tc>
          <w:tcPr>
            <w:tcW w:w="1553" w:type="dxa"/>
            <w:noWrap/>
            <w:vAlign w:val="center"/>
            <w:hideMark/>
          </w:tcPr>
          <w:p w14:paraId="50D13EFC" w14:textId="77777777" w:rsidR="003E77E8" w:rsidRPr="00667B82" w:rsidRDefault="00F12D6E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524 136</w:t>
            </w:r>
          </w:p>
        </w:tc>
      </w:tr>
      <w:tr w:rsidR="003E77E8" w:rsidRPr="00667B82" w14:paraId="3774623E" w14:textId="77777777" w:rsidTr="0014191A">
        <w:trPr>
          <w:trHeight w:val="290"/>
          <w:jc w:val="center"/>
        </w:trPr>
        <w:tc>
          <w:tcPr>
            <w:tcW w:w="988" w:type="dxa"/>
            <w:noWrap/>
            <w:vAlign w:val="center"/>
            <w:hideMark/>
          </w:tcPr>
          <w:p w14:paraId="34A7F2ED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01210</w:t>
            </w:r>
          </w:p>
        </w:tc>
        <w:tc>
          <w:tcPr>
            <w:tcW w:w="6521" w:type="dxa"/>
            <w:noWrap/>
            <w:vAlign w:val="center"/>
            <w:hideMark/>
          </w:tcPr>
          <w:p w14:paraId="2A1F3BA6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Pestovanie hrozna</w:t>
            </w:r>
          </w:p>
        </w:tc>
        <w:tc>
          <w:tcPr>
            <w:tcW w:w="1553" w:type="dxa"/>
            <w:noWrap/>
            <w:vAlign w:val="center"/>
            <w:hideMark/>
          </w:tcPr>
          <w:p w14:paraId="0B402913" w14:textId="77777777" w:rsidR="003E77E8" w:rsidRPr="00667B82" w:rsidRDefault="00F12D6E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318 514</w:t>
            </w:r>
          </w:p>
        </w:tc>
      </w:tr>
      <w:tr w:rsidR="003E77E8" w:rsidRPr="00667B82" w14:paraId="79B8F559" w14:textId="77777777" w:rsidTr="0014191A">
        <w:trPr>
          <w:trHeight w:val="290"/>
          <w:jc w:val="center"/>
        </w:trPr>
        <w:tc>
          <w:tcPr>
            <w:tcW w:w="988" w:type="dxa"/>
            <w:noWrap/>
            <w:vAlign w:val="center"/>
            <w:hideMark/>
          </w:tcPr>
          <w:p w14:paraId="06E9C20A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01240</w:t>
            </w:r>
          </w:p>
        </w:tc>
        <w:tc>
          <w:tcPr>
            <w:tcW w:w="6521" w:type="dxa"/>
            <w:noWrap/>
            <w:vAlign w:val="center"/>
            <w:hideMark/>
          </w:tcPr>
          <w:p w14:paraId="50C5A11F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Pestovanie jadrového a kôstkového ovocia</w:t>
            </w:r>
          </w:p>
        </w:tc>
        <w:tc>
          <w:tcPr>
            <w:tcW w:w="1553" w:type="dxa"/>
            <w:noWrap/>
            <w:vAlign w:val="center"/>
            <w:hideMark/>
          </w:tcPr>
          <w:p w14:paraId="48C2F189" w14:textId="77777777" w:rsidR="003E77E8" w:rsidRPr="00667B82" w:rsidRDefault="00F12D6E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276 738</w:t>
            </w:r>
          </w:p>
        </w:tc>
      </w:tr>
      <w:tr w:rsidR="003E77E8" w:rsidRPr="00667B82" w14:paraId="7E5B9743" w14:textId="77777777" w:rsidTr="0014191A">
        <w:trPr>
          <w:trHeight w:val="290"/>
          <w:jc w:val="center"/>
        </w:trPr>
        <w:tc>
          <w:tcPr>
            <w:tcW w:w="988" w:type="dxa"/>
            <w:noWrap/>
            <w:vAlign w:val="center"/>
            <w:hideMark/>
          </w:tcPr>
          <w:p w14:paraId="47A95CB4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01250</w:t>
            </w:r>
          </w:p>
        </w:tc>
        <w:tc>
          <w:tcPr>
            <w:tcW w:w="6521" w:type="dxa"/>
            <w:noWrap/>
            <w:vAlign w:val="center"/>
            <w:hideMark/>
          </w:tcPr>
          <w:p w14:paraId="47564B85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Pestovanie ostatného stromového a kríkového ovocia a orechov</w:t>
            </w:r>
          </w:p>
        </w:tc>
        <w:tc>
          <w:tcPr>
            <w:tcW w:w="1553" w:type="dxa"/>
            <w:noWrap/>
            <w:vAlign w:val="center"/>
            <w:hideMark/>
          </w:tcPr>
          <w:p w14:paraId="549BF6E5" w14:textId="77777777" w:rsidR="003E77E8" w:rsidRPr="00667B82" w:rsidRDefault="00F12D6E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34 903</w:t>
            </w:r>
          </w:p>
        </w:tc>
      </w:tr>
      <w:tr w:rsidR="003E77E8" w:rsidRPr="00667B82" w14:paraId="6D913E56" w14:textId="77777777" w:rsidTr="0014191A">
        <w:trPr>
          <w:trHeight w:val="290"/>
          <w:jc w:val="center"/>
        </w:trPr>
        <w:tc>
          <w:tcPr>
            <w:tcW w:w="988" w:type="dxa"/>
            <w:noWrap/>
            <w:vAlign w:val="center"/>
            <w:hideMark/>
          </w:tcPr>
          <w:p w14:paraId="1AC6F102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01410</w:t>
            </w:r>
          </w:p>
        </w:tc>
        <w:tc>
          <w:tcPr>
            <w:tcW w:w="6521" w:type="dxa"/>
            <w:noWrap/>
            <w:vAlign w:val="center"/>
            <w:hideMark/>
          </w:tcPr>
          <w:p w14:paraId="5D18A361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Chov dojníc</w:t>
            </w:r>
          </w:p>
        </w:tc>
        <w:tc>
          <w:tcPr>
            <w:tcW w:w="1553" w:type="dxa"/>
            <w:noWrap/>
            <w:vAlign w:val="center"/>
            <w:hideMark/>
          </w:tcPr>
          <w:p w14:paraId="1540AF49" w14:textId="77777777" w:rsidR="003E77E8" w:rsidRPr="00667B82" w:rsidRDefault="00F12D6E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6 983 581</w:t>
            </w:r>
          </w:p>
        </w:tc>
      </w:tr>
      <w:tr w:rsidR="003E77E8" w:rsidRPr="00667B82" w14:paraId="51F81FEA" w14:textId="77777777" w:rsidTr="0014191A">
        <w:trPr>
          <w:trHeight w:val="290"/>
          <w:jc w:val="center"/>
        </w:trPr>
        <w:tc>
          <w:tcPr>
            <w:tcW w:w="988" w:type="dxa"/>
            <w:noWrap/>
            <w:vAlign w:val="center"/>
            <w:hideMark/>
          </w:tcPr>
          <w:p w14:paraId="781159A2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01420</w:t>
            </w:r>
          </w:p>
        </w:tc>
        <w:tc>
          <w:tcPr>
            <w:tcW w:w="6521" w:type="dxa"/>
            <w:noWrap/>
            <w:vAlign w:val="center"/>
            <w:hideMark/>
          </w:tcPr>
          <w:p w14:paraId="4CA88760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Chov ostatného dobytka a byvolov</w:t>
            </w:r>
          </w:p>
        </w:tc>
        <w:tc>
          <w:tcPr>
            <w:tcW w:w="1553" w:type="dxa"/>
            <w:noWrap/>
            <w:vAlign w:val="center"/>
            <w:hideMark/>
          </w:tcPr>
          <w:p w14:paraId="785E3A86" w14:textId="77777777" w:rsidR="003E77E8" w:rsidRPr="00667B82" w:rsidRDefault="00F12D6E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1 180 099</w:t>
            </w:r>
          </w:p>
        </w:tc>
      </w:tr>
      <w:tr w:rsidR="003E77E8" w:rsidRPr="00667B82" w14:paraId="7EFB5E4B" w14:textId="77777777" w:rsidTr="0014191A">
        <w:trPr>
          <w:trHeight w:val="290"/>
          <w:jc w:val="center"/>
        </w:trPr>
        <w:tc>
          <w:tcPr>
            <w:tcW w:w="988" w:type="dxa"/>
            <w:noWrap/>
            <w:vAlign w:val="center"/>
            <w:hideMark/>
          </w:tcPr>
          <w:p w14:paraId="36ED29F4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01450</w:t>
            </w:r>
          </w:p>
        </w:tc>
        <w:tc>
          <w:tcPr>
            <w:tcW w:w="6521" w:type="dxa"/>
            <w:noWrap/>
            <w:vAlign w:val="center"/>
            <w:hideMark/>
          </w:tcPr>
          <w:p w14:paraId="436F363B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Chov oviec a kôz</w:t>
            </w:r>
          </w:p>
        </w:tc>
        <w:tc>
          <w:tcPr>
            <w:tcW w:w="1553" w:type="dxa"/>
            <w:noWrap/>
            <w:vAlign w:val="center"/>
            <w:hideMark/>
          </w:tcPr>
          <w:p w14:paraId="1C803EF1" w14:textId="77777777" w:rsidR="003E77E8" w:rsidRPr="00667B82" w:rsidRDefault="00F12D6E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540 027</w:t>
            </w:r>
          </w:p>
        </w:tc>
      </w:tr>
      <w:tr w:rsidR="003E77E8" w:rsidRPr="00667B82" w14:paraId="6922313E" w14:textId="77777777" w:rsidTr="0014191A">
        <w:trPr>
          <w:trHeight w:val="290"/>
          <w:jc w:val="center"/>
        </w:trPr>
        <w:tc>
          <w:tcPr>
            <w:tcW w:w="988" w:type="dxa"/>
            <w:noWrap/>
            <w:vAlign w:val="center"/>
            <w:hideMark/>
          </w:tcPr>
          <w:p w14:paraId="0C5D4CAC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01460</w:t>
            </w:r>
          </w:p>
        </w:tc>
        <w:tc>
          <w:tcPr>
            <w:tcW w:w="6521" w:type="dxa"/>
            <w:noWrap/>
            <w:vAlign w:val="center"/>
            <w:hideMark/>
          </w:tcPr>
          <w:p w14:paraId="72532BD6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Chov ošípaných</w:t>
            </w:r>
          </w:p>
        </w:tc>
        <w:tc>
          <w:tcPr>
            <w:tcW w:w="1553" w:type="dxa"/>
            <w:noWrap/>
            <w:vAlign w:val="center"/>
            <w:hideMark/>
          </w:tcPr>
          <w:p w14:paraId="7BC5AA46" w14:textId="77777777" w:rsidR="003E77E8" w:rsidRPr="00667B82" w:rsidRDefault="00F12D6E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672 995</w:t>
            </w:r>
          </w:p>
        </w:tc>
      </w:tr>
      <w:tr w:rsidR="003E77E8" w:rsidRPr="00667B82" w14:paraId="3CCF3950" w14:textId="77777777" w:rsidTr="0014191A">
        <w:trPr>
          <w:trHeight w:val="290"/>
          <w:jc w:val="center"/>
        </w:trPr>
        <w:tc>
          <w:tcPr>
            <w:tcW w:w="988" w:type="dxa"/>
            <w:noWrap/>
            <w:vAlign w:val="center"/>
            <w:hideMark/>
          </w:tcPr>
          <w:p w14:paraId="5FC8146D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01470</w:t>
            </w:r>
          </w:p>
        </w:tc>
        <w:tc>
          <w:tcPr>
            <w:tcW w:w="6521" w:type="dxa"/>
            <w:noWrap/>
            <w:vAlign w:val="center"/>
            <w:hideMark/>
          </w:tcPr>
          <w:p w14:paraId="19C491EF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Chov hydiny</w:t>
            </w:r>
          </w:p>
        </w:tc>
        <w:tc>
          <w:tcPr>
            <w:tcW w:w="1553" w:type="dxa"/>
            <w:noWrap/>
            <w:vAlign w:val="center"/>
            <w:hideMark/>
          </w:tcPr>
          <w:p w14:paraId="251F4CBA" w14:textId="77777777" w:rsidR="003E77E8" w:rsidRPr="00667B82" w:rsidRDefault="00F12D6E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1 364 219</w:t>
            </w:r>
          </w:p>
        </w:tc>
      </w:tr>
      <w:tr w:rsidR="003E77E8" w:rsidRPr="00667B82" w14:paraId="35008CCA" w14:textId="77777777" w:rsidTr="0014191A">
        <w:trPr>
          <w:trHeight w:val="290"/>
          <w:jc w:val="center"/>
        </w:trPr>
        <w:tc>
          <w:tcPr>
            <w:tcW w:w="988" w:type="dxa"/>
            <w:noWrap/>
            <w:vAlign w:val="center"/>
            <w:hideMark/>
          </w:tcPr>
          <w:p w14:paraId="74D67F50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01500</w:t>
            </w:r>
          </w:p>
        </w:tc>
        <w:tc>
          <w:tcPr>
            <w:tcW w:w="6521" w:type="dxa"/>
            <w:noWrap/>
            <w:vAlign w:val="center"/>
            <w:hideMark/>
          </w:tcPr>
          <w:p w14:paraId="63DF0451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Zmiešané hospodárstvo</w:t>
            </w:r>
          </w:p>
        </w:tc>
        <w:tc>
          <w:tcPr>
            <w:tcW w:w="1553" w:type="dxa"/>
            <w:noWrap/>
            <w:vAlign w:val="center"/>
            <w:hideMark/>
          </w:tcPr>
          <w:p w14:paraId="7DB572C3" w14:textId="77777777" w:rsidR="003E77E8" w:rsidRPr="00667B82" w:rsidRDefault="00F12D6E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6 497 593</w:t>
            </w:r>
          </w:p>
        </w:tc>
      </w:tr>
      <w:tr w:rsidR="003E77E8" w:rsidRPr="00667B82" w14:paraId="6C575B3B" w14:textId="77777777" w:rsidTr="0014191A">
        <w:trPr>
          <w:trHeight w:val="290"/>
          <w:jc w:val="center"/>
        </w:trPr>
        <w:tc>
          <w:tcPr>
            <w:tcW w:w="988" w:type="dxa"/>
            <w:noWrap/>
            <w:vAlign w:val="center"/>
            <w:hideMark/>
          </w:tcPr>
          <w:p w14:paraId="7125F53A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03220</w:t>
            </w:r>
          </w:p>
        </w:tc>
        <w:tc>
          <w:tcPr>
            <w:tcW w:w="6521" w:type="dxa"/>
            <w:noWrap/>
            <w:vAlign w:val="center"/>
            <w:hideMark/>
          </w:tcPr>
          <w:p w14:paraId="583D95B9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Riečna </w:t>
            </w:r>
            <w:proofErr w:type="spellStart"/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akvakultúra</w:t>
            </w:r>
            <w:proofErr w:type="spellEnd"/>
          </w:p>
        </w:tc>
        <w:tc>
          <w:tcPr>
            <w:tcW w:w="1553" w:type="dxa"/>
            <w:noWrap/>
            <w:vAlign w:val="center"/>
            <w:hideMark/>
          </w:tcPr>
          <w:p w14:paraId="4DA5CA86" w14:textId="77777777" w:rsidR="003E77E8" w:rsidRPr="00667B82" w:rsidRDefault="00F12D6E" w:rsidP="0014191A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22 683</w:t>
            </w:r>
          </w:p>
        </w:tc>
      </w:tr>
      <w:tr w:rsidR="003E77E8" w:rsidRPr="00667B82" w14:paraId="1C0C6324" w14:textId="77777777" w:rsidTr="0014191A">
        <w:trPr>
          <w:trHeight w:val="300"/>
          <w:jc w:val="center"/>
        </w:trPr>
        <w:tc>
          <w:tcPr>
            <w:tcW w:w="7509" w:type="dxa"/>
            <w:gridSpan w:val="2"/>
            <w:noWrap/>
            <w:vAlign w:val="center"/>
          </w:tcPr>
          <w:p w14:paraId="6E53DD7E" w14:textId="77777777" w:rsidR="003E77E8" w:rsidRPr="00667B82" w:rsidRDefault="003E77E8" w:rsidP="0014191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1553" w:type="dxa"/>
            <w:noWrap/>
            <w:vAlign w:val="center"/>
          </w:tcPr>
          <w:p w14:paraId="22651CBE" w14:textId="77777777" w:rsidR="003E77E8" w:rsidRPr="00667B82" w:rsidRDefault="00F12D6E" w:rsidP="0014191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18 415 488</w:t>
            </w:r>
          </w:p>
        </w:tc>
      </w:tr>
    </w:tbl>
    <w:p w14:paraId="224425CF" w14:textId="77777777" w:rsidR="003E77E8" w:rsidRPr="00667B82" w:rsidRDefault="00737408" w:rsidP="00054C4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0"/>
          <w:szCs w:val="20"/>
        </w:rPr>
      </w:pPr>
      <w:r w:rsidRPr="00667B82">
        <w:rPr>
          <w:rFonts w:ascii="Times New Roman" w:eastAsia="Calibri" w:hAnsi="Times New Roman" w:cs="Times New Roman"/>
          <w:bCs/>
          <w:i/>
          <w:iCs/>
          <w:color w:val="000000"/>
          <w:sz w:val="20"/>
          <w:szCs w:val="20"/>
        </w:rPr>
        <w:t>Zdroj: MPSVR</w:t>
      </w:r>
      <w:r w:rsidR="006D710D" w:rsidRPr="00667B82">
        <w:rPr>
          <w:rFonts w:ascii="Times New Roman" w:eastAsia="Calibri" w:hAnsi="Times New Roman" w:cs="Times New Roman"/>
          <w:bCs/>
          <w:i/>
          <w:iCs/>
          <w:color w:val="000000"/>
          <w:sz w:val="20"/>
          <w:szCs w:val="20"/>
        </w:rPr>
        <w:t xml:space="preserve"> SR</w:t>
      </w:r>
      <w:r w:rsidRPr="00667B82">
        <w:rPr>
          <w:rFonts w:ascii="Times New Roman" w:eastAsia="Calibri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</w:p>
    <w:p w14:paraId="2BCB42F9" w14:textId="77777777" w:rsidR="00B23293" w:rsidRDefault="0052236F" w:rsidP="00B23293">
      <w:pPr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Nakoľko počas obdobia podpory nie sú do sumy vymeriavacieho základu 750 eur odvádzané príspevky do II. piliera predpokladáme, že celková suma postúpených príspevkov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na starobné dôchodkové sporenie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p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oklesne o</w:t>
      </w:r>
      <w:r w:rsidR="00B2329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 cca 1,7 mil.</w:t>
      </w:r>
      <w:r w:rsidR="00F02D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eur.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Odhad vychádza z predpokladu, že uvedená zmena sa dotkne </w:t>
      </w:r>
      <w:r w:rsidR="000F17D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10</w:t>
      </w:r>
      <w:r w:rsidR="0014191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839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sporiteľov s priemerným vymeriavacím základom na staro</w:t>
      </w:r>
      <w:r w:rsidR="00F02D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bné poistenie vo výške cca 1 </w:t>
      </w:r>
      <w:r w:rsidR="000F17D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308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eur. Celkový negatívny vplyv na hospodárenie dôchodkových správcovských spoločností prostredníctvom zníženia výnosov odhaduje</w:t>
      </w:r>
      <w:r w:rsidR="000D144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me na úrovni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D144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cca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F17D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7 400</w:t>
      </w:r>
      <w:r w:rsidR="0057797D"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eur.</w:t>
      </w:r>
      <w:r w:rsidRPr="000035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2329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4D6372E4" w14:textId="4CAEB1BD" w:rsidR="0014191A" w:rsidRDefault="0014191A" w:rsidP="00B23293">
      <w:pPr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3E77E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Tabuľka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č. 4</w:t>
      </w:r>
      <w:r w:rsidRPr="003E77E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 w:rsidRPr="0014191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Vplyv opatrenia na dôchodkové správcovské spoločnosti (znížený objem postúpených príspevkov)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v</w:t>
      </w:r>
      <w:r w:rsidR="00B2329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eurách</w:t>
      </w:r>
      <w:r w:rsidR="00B2329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14191A" w:rsidRPr="00667B82" w14:paraId="58F4DAFC" w14:textId="77777777" w:rsidTr="00B23293">
        <w:trPr>
          <w:trHeight w:val="300"/>
        </w:trPr>
        <w:tc>
          <w:tcPr>
            <w:tcW w:w="3397" w:type="dxa"/>
            <w:noWrap/>
            <w:vAlign w:val="center"/>
            <w:hideMark/>
          </w:tcPr>
          <w:p w14:paraId="7B3B8598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Dôchodková správcovská spoločnosť</w:t>
            </w:r>
          </w:p>
        </w:tc>
        <w:tc>
          <w:tcPr>
            <w:tcW w:w="2644" w:type="dxa"/>
            <w:noWrap/>
            <w:vAlign w:val="center"/>
            <w:hideMark/>
          </w:tcPr>
          <w:p w14:paraId="35810038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Suma</w:t>
            </w:r>
          </w:p>
        </w:tc>
        <w:tc>
          <w:tcPr>
            <w:tcW w:w="3021" w:type="dxa"/>
            <w:noWrap/>
            <w:vAlign w:val="center"/>
            <w:hideMark/>
          </w:tcPr>
          <w:p w14:paraId="30F242AE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sporiteľov</w:t>
            </w:r>
          </w:p>
        </w:tc>
      </w:tr>
      <w:tr w:rsidR="0014191A" w:rsidRPr="00667B82" w14:paraId="3E33B8E7" w14:textId="77777777" w:rsidTr="00B23293">
        <w:trPr>
          <w:trHeight w:val="300"/>
        </w:trPr>
        <w:tc>
          <w:tcPr>
            <w:tcW w:w="3397" w:type="dxa"/>
            <w:noWrap/>
            <w:vAlign w:val="center"/>
            <w:hideMark/>
          </w:tcPr>
          <w:p w14:paraId="4481E437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Allianz - Slovenská dôchodková správcovská spoločnosť, </w:t>
            </w:r>
            <w:proofErr w:type="spellStart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a.s</w:t>
            </w:r>
            <w:proofErr w:type="spellEnd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44" w:type="dxa"/>
            <w:noWrap/>
            <w:vAlign w:val="center"/>
            <w:hideMark/>
          </w:tcPr>
          <w:p w14:paraId="461CF6AF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528 596</w:t>
            </w:r>
          </w:p>
        </w:tc>
        <w:tc>
          <w:tcPr>
            <w:tcW w:w="3021" w:type="dxa"/>
            <w:noWrap/>
            <w:vAlign w:val="center"/>
            <w:hideMark/>
          </w:tcPr>
          <w:p w14:paraId="60307635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3 230</w:t>
            </w:r>
          </w:p>
        </w:tc>
      </w:tr>
      <w:tr w:rsidR="0014191A" w:rsidRPr="00667B82" w14:paraId="171B8627" w14:textId="77777777" w:rsidTr="00B23293">
        <w:trPr>
          <w:trHeight w:val="300"/>
        </w:trPr>
        <w:tc>
          <w:tcPr>
            <w:tcW w:w="3397" w:type="dxa"/>
            <w:noWrap/>
            <w:vAlign w:val="center"/>
            <w:hideMark/>
          </w:tcPr>
          <w:p w14:paraId="6149541A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KOOPERATIVA dôchodková správcovská spoločnosť, </w:t>
            </w:r>
            <w:proofErr w:type="spellStart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a.s</w:t>
            </w:r>
            <w:proofErr w:type="spellEnd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., skrátene KOOPERATIVA, </w:t>
            </w:r>
            <w:proofErr w:type="spellStart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d.s.s</w:t>
            </w:r>
            <w:proofErr w:type="spellEnd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., </w:t>
            </w:r>
            <w:proofErr w:type="spellStart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a.s</w:t>
            </w:r>
            <w:proofErr w:type="spellEnd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44" w:type="dxa"/>
            <w:noWrap/>
            <w:vAlign w:val="center"/>
            <w:hideMark/>
          </w:tcPr>
          <w:p w14:paraId="552C4FA6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122 233</w:t>
            </w:r>
          </w:p>
        </w:tc>
        <w:tc>
          <w:tcPr>
            <w:tcW w:w="3021" w:type="dxa"/>
            <w:noWrap/>
            <w:vAlign w:val="center"/>
            <w:hideMark/>
          </w:tcPr>
          <w:p w14:paraId="1FF863DB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826</w:t>
            </w:r>
          </w:p>
        </w:tc>
      </w:tr>
      <w:tr w:rsidR="0014191A" w:rsidRPr="00667B82" w14:paraId="691DC3DC" w14:textId="77777777" w:rsidTr="00B23293">
        <w:trPr>
          <w:trHeight w:val="300"/>
        </w:trPr>
        <w:tc>
          <w:tcPr>
            <w:tcW w:w="3397" w:type="dxa"/>
            <w:noWrap/>
            <w:vAlign w:val="center"/>
            <w:hideMark/>
          </w:tcPr>
          <w:p w14:paraId="15F6457C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NN dôchodková správcovská spoločnosť, </w:t>
            </w:r>
            <w:proofErr w:type="spellStart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a.s</w:t>
            </w:r>
            <w:proofErr w:type="spellEnd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44" w:type="dxa"/>
            <w:noWrap/>
            <w:vAlign w:val="center"/>
            <w:hideMark/>
          </w:tcPr>
          <w:p w14:paraId="23D46C2F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400 389</w:t>
            </w:r>
          </w:p>
        </w:tc>
        <w:tc>
          <w:tcPr>
            <w:tcW w:w="3021" w:type="dxa"/>
            <w:noWrap/>
            <w:vAlign w:val="center"/>
            <w:hideMark/>
          </w:tcPr>
          <w:p w14:paraId="2746FB27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2 610</w:t>
            </w:r>
          </w:p>
        </w:tc>
      </w:tr>
      <w:tr w:rsidR="0014191A" w:rsidRPr="00667B82" w14:paraId="36198CCB" w14:textId="77777777" w:rsidTr="00B23293">
        <w:trPr>
          <w:trHeight w:val="300"/>
        </w:trPr>
        <w:tc>
          <w:tcPr>
            <w:tcW w:w="3397" w:type="dxa"/>
            <w:noWrap/>
            <w:vAlign w:val="center"/>
            <w:hideMark/>
          </w:tcPr>
          <w:p w14:paraId="35EFADB5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UNIQA </w:t>
            </w:r>
            <w:proofErr w:type="spellStart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d.s.s</w:t>
            </w:r>
            <w:proofErr w:type="spellEnd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., </w:t>
            </w:r>
            <w:proofErr w:type="spellStart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a.s</w:t>
            </w:r>
            <w:proofErr w:type="spellEnd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44" w:type="dxa"/>
            <w:noWrap/>
            <w:vAlign w:val="center"/>
            <w:hideMark/>
          </w:tcPr>
          <w:p w14:paraId="46E7C9FA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336 806</w:t>
            </w:r>
          </w:p>
        </w:tc>
        <w:tc>
          <w:tcPr>
            <w:tcW w:w="3021" w:type="dxa"/>
            <w:noWrap/>
            <w:vAlign w:val="center"/>
            <w:hideMark/>
          </w:tcPr>
          <w:p w14:paraId="453C51C3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2 099</w:t>
            </w:r>
          </w:p>
        </w:tc>
      </w:tr>
      <w:tr w:rsidR="0014191A" w:rsidRPr="00667B82" w14:paraId="3237C754" w14:textId="77777777" w:rsidTr="00B23293">
        <w:trPr>
          <w:trHeight w:val="315"/>
        </w:trPr>
        <w:tc>
          <w:tcPr>
            <w:tcW w:w="3397" w:type="dxa"/>
            <w:noWrap/>
            <w:vAlign w:val="center"/>
            <w:hideMark/>
          </w:tcPr>
          <w:p w14:paraId="0D3B1141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VÚB Generali dôchodková správcovská spoločnosť, </w:t>
            </w:r>
            <w:proofErr w:type="spellStart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a.s</w:t>
            </w:r>
            <w:proofErr w:type="spellEnd"/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44" w:type="dxa"/>
            <w:noWrap/>
            <w:vAlign w:val="center"/>
            <w:hideMark/>
          </w:tcPr>
          <w:p w14:paraId="2E11A55C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325 093</w:t>
            </w:r>
          </w:p>
        </w:tc>
        <w:tc>
          <w:tcPr>
            <w:tcW w:w="3021" w:type="dxa"/>
            <w:noWrap/>
            <w:vAlign w:val="center"/>
            <w:hideMark/>
          </w:tcPr>
          <w:p w14:paraId="76017D7B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2 074</w:t>
            </w:r>
          </w:p>
        </w:tc>
      </w:tr>
      <w:tr w:rsidR="0014191A" w:rsidRPr="00667B82" w14:paraId="1B6697E2" w14:textId="77777777" w:rsidTr="00B23293">
        <w:tc>
          <w:tcPr>
            <w:tcW w:w="3397" w:type="dxa"/>
            <w:vAlign w:val="center"/>
          </w:tcPr>
          <w:p w14:paraId="20E6ADDF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2644" w:type="dxa"/>
            <w:vAlign w:val="center"/>
          </w:tcPr>
          <w:p w14:paraId="4CA8FB02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1 713 116</w:t>
            </w:r>
          </w:p>
        </w:tc>
        <w:tc>
          <w:tcPr>
            <w:tcW w:w="3021" w:type="dxa"/>
            <w:vAlign w:val="center"/>
          </w:tcPr>
          <w:p w14:paraId="09B26202" w14:textId="77777777" w:rsidR="0014191A" w:rsidRPr="00667B82" w:rsidRDefault="0014191A" w:rsidP="00667B82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67B8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10 839</w:t>
            </w:r>
          </w:p>
        </w:tc>
      </w:tr>
    </w:tbl>
    <w:p w14:paraId="71A5CC85" w14:textId="03D7660A" w:rsidR="00667B82" w:rsidRPr="00667B82" w:rsidRDefault="00667B82" w:rsidP="00667B82">
      <w:pPr>
        <w:keepNext/>
        <w:keepLine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B82">
        <w:rPr>
          <w:rFonts w:ascii="Times New Roman" w:eastAsia="Calibri" w:hAnsi="Times New Roman" w:cs="Times New Roman"/>
          <w:bCs/>
          <w:i/>
          <w:iCs/>
          <w:color w:val="000000"/>
          <w:sz w:val="20"/>
          <w:szCs w:val="20"/>
        </w:rPr>
        <w:t>Zdroj: MPSVR SR</w:t>
      </w:r>
      <w:r w:rsidRPr="00667B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0CFC84D" w14:textId="77777777" w:rsidR="00667B82" w:rsidRDefault="00667B82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813117" w14:textId="36499B18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3.2 Vyhodnotenie konzultácií s podnikateľskými subjektmi pred predbežným pripomienkovým konaním</w:t>
      </w:r>
    </w:p>
    <w:p w14:paraId="2A452855" w14:textId="212911E6" w:rsidR="00054C41" w:rsidRPr="0000353F" w:rsidRDefault="0000353F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53F">
        <w:rPr>
          <w:rFonts w:ascii="Times New Roman" w:eastAsia="Calibri" w:hAnsi="Times New Roman" w:cs="Times New Roman"/>
          <w:sz w:val="24"/>
          <w:szCs w:val="24"/>
        </w:rPr>
        <w:t xml:space="preserve">Keďže </w:t>
      </w:r>
      <w:r w:rsidR="00416CD6">
        <w:rPr>
          <w:rFonts w:ascii="Times New Roman" w:eastAsia="Calibri" w:hAnsi="Times New Roman" w:cs="Times New Roman"/>
          <w:sz w:val="24"/>
          <w:szCs w:val="24"/>
        </w:rPr>
        <w:t xml:space="preserve">vládny </w:t>
      </w:r>
      <w:r w:rsidRPr="0000353F">
        <w:rPr>
          <w:rFonts w:ascii="Times New Roman" w:eastAsia="Calibri" w:hAnsi="Times New Roman" w:cs="Times New Roman"/>
          <w:sz w:val="24"/>
          <w:szCs w:val="24"/>
        </w:rPr>
        <w:t xml:space="preserve">návrh zákona je predmetom skráteného legislatívneho konania nepredchádzali mu konzultácie s podnikateľskými subjektmi. </w:t>
      </w:r>
    </w:p>
    <w:p w14:paraId="538CCD0B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BA31289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47698091"/>
      <w:r w:rsidRPr="001F1B43">
        <w:rPr>
          <w:rFonts w:ascii="Times New Roman" w:eastAsia="Calibri" w:hAnsi="Times New Roman" w:cs="Times New Roman"/>
          <w:b/>
          <w:sz w:val="24"/>
          <w:szCs w:val="24"/>
        </w:rPr>
        <w:t>3.3 Vplyvy na konkurencieschopnosť a produktivitu</w:t>
      </w:r>
    </w:p>
    <w:bookmarkEnd w:id="1"/>
    <w:p w14:paraId="39F18587" w14:textId="51E02B75" w:rsidR="006F7A31" w:rsidRDefault="006F7A31" w:rsidP="006F7A31">
      <w:pPr>
        <w:pStyle w:val="Normlnywebov"/>
        <w:shd w:val="clear" w:color="auto" w:fill="FFFFFF"/>
        <w:spacing w:after="180"/>
        <w:jc w:val="both"/>
      </w:pPr>
      <w:r w:rsidRPr="006F7A31">
        <w:t xml:space="preserve">Zníženie ceny práce najmä v sektore poľnohospodárstva a potravinárstva predstavuje signifikantnú pomoc pre zamestnávateľov, kde mzdové náklady tvoria významný podiel na celkových výrobných nákladoch, napr. v sektore pestovania hrozna je to 26 % a v sektore chovu oviec a kôz až 29 %. V potravinárstve napr. až </w:t>
      </w:r>
      <w:r w:rsidRPr="006F7A31">
        <w:rPr>
          <w:bCs/>
        </w:rPr>
        <w:t xml:space="preserve">80 % práce pekárov </w:t>
      </w:r>
      <w:r w:rsidRPr="006F7A31">
        <w:t>prebieha práve v noci, cez víkendy a sviatky prípravou čerstvého pečiva a chleba pre zákazníkov, čo výrazne ovplyvňuje výšku</w:t>
      </w:r>
      <w:r w:rsidRPr="006F7A31">
        <w:rPr>
          <w:bCs/>
        </w:rPr>
        <w:t xml:space="preserve"> mzdových nákladov, </w:t>
      </w:r>
      <w:r w:rsidRPr="006F7A31">
        <w:t xml:space="preserve">ktoré sa následne premietajú do cien produktov. </w:t>
      </w:r>
      <w:r w:rsidR="00CE4480">
        <w:t xml:space="preserve"> </w:t>
      </w:r>
      <w:r w:rsidRPr="006F7A31">
        <w:t xml:space="preserve">Vďaka zavedenej odvodovej úľave sa v roku 2024 oprávneným zamestnávateľom znížili mzdové náklady o 24,15 % z vymeriavacieho základu každého zamestnanca (najviac do vymeriavacieho základu vo výške 750 eur). Doteraz za obdobie </w:t>
      </w:r>
      <w:r>
        <w:t>august až december 2023</w:t>
      </w:r>
      <w:r w:rsidRPr="006F7A31">
        <w:t xml:space="preserve"> </w:t>
      </w:r>
      <w:r>
        <w:t>a január a marec 2024</w:t>
      </w:r>
      <w:r w:rsidRPr="006F7A31">
        <w:t xml:space="preserve"> ostalo v týchto podnikoch spolu</w:t>
      </w:r>
      <w:r w:rsidR="00FE5420">
        <w:t xml:space="preserve"> viac ako</w:t>
      </w:r>
      <w:r w:rsidRPr="006F7A31">
        <w:t xml:space="preserve"> 38,7 mil. €, ktoré mohli jednotliví zamestnávatelia využiť na prevádzkové náklady podľa vlastných potrieb. </w:t>
      </w:r>
    </w:p>
    <w:p w14:paraId="14ECBDF6" w14:textId="047D27CC" w:rsidR="006F7A31" w:rsidRPr="00667B82" w:rsidRDefault="006F7A31" w:rsidP="006F7A31">
      <w:pPr>
        <w:pStyle w:val="Normlnywebov"/>
        <w:shd w:val="clear" w:color="auto" w:fill="FFFFFF"/>
        <w:spacing w:after="180"/>
        <w:jc w:val="both"/>
        <w:rPr>
          <w:b/>
        </w:rPr>
      </w:pPr>
      <w:r w:rsidRPr="00667B82">
        <w:rPr>
          <w:b/>
        </w:rPr>
        <w:t>Tabuľka č. 5:</w:t>
      </w:r>
      <w:r w:rsidR="00667B82" w:rsidRPr="00667B82">
        <w:rPr>
          <w:b/>
        </w:rPr>
        <w:t xml:space="preserve"> Poskytnutá štátna pomoc vo forme odvodových úľav podľa odvetví v mil. eur </w:t>
      </w:r>
    </w:p>
    <w:tbl>
      <w:tblPr>
        <w:tblW w:w="9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725"/>
        <w:gridCol w:w="725"/>
        <w:gridCol w:w="724"/>
        <w:gridCol w:w="725"/>
        <w:gridCol w:w="725"/>
        <w:gridCol w:w="691"/>
        <w:gridCol w:w="580"/>
        <w:gridCol w:w="630"/>
      </w:tblGrid>
      <w:tr w:rsidR="00FE5420" w:rsidRPr="00667B82" w14:paraId="43333194" w14:textId="1BEAB560" w:rsidTr="00FE5420">
        <w:trPr>
          <w:trHeight w:val="30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3D800" w14:textId="54A3F2E9" w:rsidR="00FE5420" w:rsidRPr="00667B82" w:rsidRDefault="00FE5420" w:rsidP="00667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Obdobie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4D0B" w14:textId="6A79AABB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8/</w:t>
            </w: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7F0E" w14:textId="50C49515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9/</w:t>
            </w: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10AF" w14:textId="70998509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10/</w:t>
            </w: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BFD3" w14:textId="28382CEB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11/</w:t>
            </w: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C89D" w14:textId="2AC9D9A4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12/</w:t>
            </w: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AC5B" w14:textId="2425DBAE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1/24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01F7" w14:textId="2B3EE045" w:rsidR="00FE5420" w:rsidRPr="00B23293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2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3/24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CD1A9" w14:textId="5C786970" w:rsidR="00FE5420" w:rsidRPr="00B23293" w:rsidRDefault="00FE5420" w:rsidP="00FE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</w:tr>
      <w:tr w:rsidR="00FE5420" w:rsidRPr="00667B82" w14:paraId="51DD2DFB" w14:textId="3643F332" w:rsidTr="00FE5420">
        <w:trPr>
          <w:trHeight w:val="30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1D43B" w14:textId="77777777" w:rsidR="00FE5420" w:rsidRPr="00667B82" w:rsidRDefault="00FE5420" w:rsidP="0066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Poľnohospodárstvo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B0A0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1,57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D81F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1,57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E99D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1,61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0966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1,56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4DF7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1,45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1282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1,44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C4EB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2,49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5A4D8" w14:textId="3E75F179" w:rsidR="00FE5420" w:rsidRPr="00FE5420" w:rsidRDefault="00FE5420" w:rsidP="00FE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11,69</w:t>
            </w:r>
          </w:p>
        </w:tc>
      </w:tr>
      <w:tr w:rsidR="00FE5420" w:rsidRPr="00667B82" w14:paraId="32F92815" w14:textId="0A21F0F4" w:rsidTr="00FE5420">
        <w:trPr>
          <w:trHeight w:val="30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9E262" w14:textId="77777777" w:rsidR="00FE5420" w:rsidRPr="00667B82" w:rsidRDefault="00FE5420" w:rsidP="00667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Poľnohospodárstvo a </w:t>
            </w:r>
            <w:proofErr w:type="spellStart"/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akvakultúra</w:t>
            </w:r>
            <w:proofErr w:type="spellEnd"/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spolu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882B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1,57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A6CC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1,57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BD65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1,61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AB00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1,56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FAA3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1,45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960F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1,44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94AB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2,50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6521" w14:textId="63BB249F" w:rsidR="00FE5420" w:rsidRPr="00FE5420" w:rsidRDefault="00FE5420" w:rsidP="00FE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11,70</w:t>
            </w:r>
          </w:p>
        </w:tc>
      </w:tr>
      <w:tr w:rsidR="00FE5420" w:rsidRPr="00667B82" w14:paraId="482CB0F1" w14:textId="5CA58E6F" w:rsidTr="00FE5420">
        <w:trPr>
          <w:trHeight w:val="30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37DCE" w14:textId="77777777" w:rsidR="00FE5420" w:rsidRPr="00667B82" w:rsidRDefault="00FE5420" w:rsidP="0066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Výroba potravín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08F3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3,84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2632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3,69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36CA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3,65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A912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3,86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C82A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3,48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2F2B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3,80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6AFA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3,90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244B" w14:textId="68A4B95A" w:rsidR="00FE5420" w:rsidRPr="00FE5420" w:rsidRDefault="00FE5420" w:rsidP="00FE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26,22</w:t>
            </w:r>
          </w:p>
        </w:tc>
      </w:tr>
      <w:tr w:rsidR="00FE5420" w:rsidRPr="00667B82" w14:paraId="4FC22CAE" w14:textId="41BB47A2" w:rsidTr="00FE5420">
        <w:trPr>
          <w:trHeight w:val="30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CE943" w14:textId="77777777" w:rsidR="00FE5420" w:rsidRPr="00667B82" w:rsidRDefault="00FE5420" w:rsidP="00667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Výroba potravín a nápojov spolu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95C4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3,96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65BC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3,81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957E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3,76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E574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3,97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7585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3,60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947C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3,91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2B9F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4,04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EB64" w14:textId="0ADE9611" w:rsidR="00FE5420" w:rsidRPr="00FE5420" w:rsidRDefault="00FE5420" w:rsidP="00FE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27,05</w:t>
            </w:r>
          </w:p>
        </w:tc>
      </w:tr>
      <w:tr w:rsidR="00FE5420" w:rsidRPr="00667B82" w14:paraId="5808C762" w14:textId="52CE377D" w:rsidTr="00FE5420">
        <w:trPr>
          <w:trHeight w:val="30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8F8B5" w14:textId="77777777" w:rsidR="00FE5420" w:rsidRPr="00667B82" w:rsidRDefault="00FE5420" w:rsidP="00667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Spolu odvodová úľava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2E5E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5,53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943C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5,38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6B3C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5,37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A16F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5,53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E17D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5,05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7B67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5,35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E958" w14:textId="77777777" w:rsidR="00FE5420" w:rsidRPr="00667B82" w:rsidRDefault="00FE5420" w:rsidP="0066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6,54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3A049" w14:textId="1C6D1460" w:rsidR="00FE5420" w:rsidRPr="00FE5420" w:rsidRDefault="00FE5420" w:rsidP="00FE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38,75</w:t>
            </w:r>
          </w:p>
        </w:tc>
      </w:tr>
    </w:tbl>
    <w:p w14:paraId="506C81D1" w14:textId="745B6A59" w:rsidR="00667B82" w:rsidRPr="00B23293" w:rsidRDefault="00B23293" w:rsidP="006F7A31">
      <w:pPr>
        <w:pStyle w:val="Normlnywebov"/>
        <w:shd w:val="clear" w:color="auto" w:fill="FFFFFF"/>
        <w:spacing w:after="1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Zdroj: Sociálna poisťovňa</w:t>
      </w:r>
    </w:p>
    <w:p w14:paraId="6629B44B" w14:textId="79D50AE9" w:rsidR="00CE4480" w:rsidRDefault="006F7A31" w:rsidP="006F7A31">
      <w:pPr>
        <w:pStyle w:val="Normlnywebov"/>
        <w:shd w:val="clear" w:color="auto" w:fill="FFFFFF"/>
        <w:spacing w:after="180"/>
        <w:jc w:val="both"/>
      </w:pPr>
      <w:r w:rsidRPr="006F7A31">
        <w:t xml:space="preserve">Implementovaná schéma štátnej pomoci na zníženie odvodov zamestnávateľov v poľnohospodárstve a potravinárskom priemysle prispela </w:t>
      </w:r>
      <w:r>
        <w:t xml:space="preserve">aj </w:t>
      </w:r>
      <w:r w:rsidRPr="006F7A31">
        <w:t xml:space="preserve">k stabilizácii počtu pracovníkov a ich miernemu nárastu počas roka 2023. Zastabilizovaním pracovnej sily sa zamedzilo hroziacim obmedzeniam podnikateľskej činnosti v poľnohospodárstve, </w:t>
      </w:r>
      <w:proofErr w:type="spellStart"/>
      <w:r w:rsidRPr="006F7A31">
        <w:t>akvakultúre</w:t>
      </w:r>
      <w:proofErr w:type="spellEnd"/>
      <w:r w:rsidRPr="006F7A31">
        <w:t xml:space="preserve"> či výrobe potravín.</w:t>
      </w:r>
      <w:r w:rsidR="00CE4480">
        <w:t xml:space="preserve"> </w:t>
      </w:r>
    </w:p>
    <w:p w14:paraId="7D1098D5" w14:textId="27E2F258" w:rsidR="007D7861" w:rsidRDefault="007D7861" w:rsidP="006F7A31">
      <w:pPr>
        <w:pStyle w:val="Normlnywebov"/>
        <w:shd w:val="clear" w:color="auto" w:fill="FFFFFF"/>
        <w:spacing w:after="180"/>
        <w:jc w:val="both"/>
      </w:pPr>
    </w:p>
    <w:p w14:paraId="4877D53D" w14:textId="3D8875D6" w:rsidR="007D7861" w:rsidRDefault="007D7861" w:rsidP="006F7A31">
      <w:pPr>
        <w:pStyle w:val="Normlnywebov"/>
        <w:shd w:val="clear" w:color="auto" w:fill="FFFFFF"/>
        <w:spacing w:after="180"/>
        <w:jc w:val="both"/>
      </w:pPr>
    </w:p>
    <w:p w14:paraId="371D63F7" w14:textId="70931135" w:rsidR="007D7861" w:rsidRDefault="007D7861" w:rsidP="006F7A31">
      <w:pPr>
        <w:pStyle w:val="Normlnywebov"/>
        <w:shd w:val="clear" w:color="auto" w:fill="FFFFFF"/>
        <w:spacing w:after="180"/>
        <w:jc w:val="both"/>
      </w:pPr>
    </w:p>
    <w:p w14:paraId="55081131" w14:textId="6046314B" w:rsidR="007D7861" w:rsidRDefault="007D7861" w:rsidP="006F7A31">
      <w:pPr>
        <w:pStyle w:val="Normlnywebov"/>
        <w:shd w:val="clear" w:color="auto" w:fill="FFFFFF"/>
        <w:spacing w:after="180"/>
        <w:jc w:val="both"/>
      </w:pPr>
    </w:p>
    <w:p w14:paraId="7FDDF7F0" w14:textId="55C2DFC3" w:rsidR="007D7861" w:rsidRDefault="007D7861" w:rsidP="006F7A31">
      <w:pPr>
        <w:pStyle w:val="Normlnywebov"/>
        <w:shd w:val="clear" w:color="auto" w:fill="FFFFFF"/>
        <w:spacing w:after="180"/>
        <w:jc w:val="both"/>
      </w:pPr>
    </w:p>
    <w:p w14:paraId="300F1E4C" w14:textId="5FE854D6" w:rsidR="007D7861" w:rsidRDefault="007D7861" w:rsidP="006F7A31">
      <w:pPr>
        <w:pStyle w:val="Normlnywebov"/>
        <w:shd w:val="clear" w:color="auto" w:fill="FFFFFF"/>
        <w:spacing w:after="180"/>
        <w:jc w:val="both"/>
      </w:pPr>
    </w:p>
    <w:p w14:paraId="6F0B719A" w14:textId="57DCCF75" w:rsidR="007D7861" w:rsidRDefault="007D7861" w:rsidP="006F7A31">
      <w:pPr>
        <w:pStyle w:val="Normlnywebov"/>
        <w:shd w:val="clear" w:color="auto" w:fill="FFFFFF"/>
        <w:spacing w:after="180"/>
        <w:jc w:val="both"/>
      </w:pPr>
    </w:p>
    <w:p w14:paraId="4D0FA5D4" w14:textId="77777777" w:rsidR="007D7861" w:rsidRDefault="007D7861" w:rsidP="006F7A31">
      <w:pPr>
        <w:pStyle w:val="Normlnywebov"/>
        <w:shd w:val="clear" w:color="auto" w:fill="FFFFFF"/>
        <w:spacing w:after="180"/>
        <w:jc w:val="both"/>
      </w:pPr>
    </w:p>
    <w:p w14:paraId="31E3429B" w14:textId="47C6AF36" w:rsidR="00CE4480" w:rsidRDefault="00CE4480" w:rsidP="006F7A31">
      <w:pPr>
        <w:pStyle w:val="Normlnywebov"/>
        <w:shd w:val="clear" w:color="auto" w:fill="FFFFFF"/>
        <w:spacing w:after="180"/>
        <w:jc w:val="both"/>
        <w:rPr>
          <w:b/>
        </w:rPr>
      </w:pPr>
      <w:r>
        <w:rPr>
          <w:b/>
        </w:rPr>
        <w:lastRenderedPageBreak/>
        <w:t xml:space="preserve">Graf č. 1: Zamestnanosť </w:t>
      </w:r>
      <w:r w:rsidR="007D7861">
        <w:rPr>
          <w:b/>
        </w:rPr>
        <w:t>v podporených</w:t>
      </w:r>
      <w:r>
        <w:rPr>
          <w:b/>
        </w:rPr>
        <w:t xml:space="preserve"> odvetviach v období od roku 2021 až 2023 v tis. osôb </w:t>
      </w:r>
    </w:p>
    <w:p w14:paraId="22DE7E78" w14:textId="761874AB" w:rsidR="00CE4480" w:rsidRPr="00CE4480" w:rsidRDefault="00CE4480" w:rsidP="006F7A31">
      <w:pPr>
        <w:pStyle w:val="Normlnywebov"/>
        <w:shd w:val="clear" w:color="auto" w:fill="FFFFFF"/>
        <w:spacing w:after="180"/>
        <w:jc w:val="both"/>
        <w:rPr>
          <w:i/>
          <w:sz w:val="20"/>
          <w:szCs w:val="20"/>
        </w:rPr>
      </w:pPr>
      <w:r w:rsidRPr="00CE4480">
        <w:rPr>
          <w:i/>
          <w:sz w:val="20"/>
          <w:szCs w:val="20"/>
        </w:rPr>
        <w:t xml:space="preserve">Zdroj: </w:t>
      </w:r>
      <w:r w:rsidR="00752D09" w:rsidRPr="00CE4480">
        <w:rPr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17CF96A" wp14:editId="38C31021">
            <wp:simplePos x="0" y="0"/>
            <wp:positionH relativeFrom="margin">
              <wp:posOffset>-635</wp:posOffset>
            </wp:positionH>
            <wp:positionV relativeFrom="paragraph">
              <wp:posOffset>1270</wp:posOffset>
            </wp:positionV>
            <wp:extent cx="5829935" cy="2421255"/>
            <wp:effectExtent l="0" t="0" r="18415" b="17145"/>
            <wp:wrapTopAndBottom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D09">
        <w:rPr>
          <w:i/>
          <w:sz w:val="20"/>
          <w:szCs w:val="20"/>
        </w:rPr>
        <w:t>ŠÚ SR</w:t>
      </w:r>
      <w:r>
        <w:rPr>
          <w:i/>
          <w:sz w:val="20"/>
          <w:szCs w:val="20"/>
        </w:rPr>
        <w:t xml:space="preserve"> </w:t>
      </w:r>
    </w:p>
    <w:p w14:paraId="3081CB65" w14:textId="77777777" w:rsidR="0000353F" w:rsidRPr="00D8247C" w:rsidRDefault="0000353F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E64BD53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Konkurencieschopnosť:</w:t>
      </w:r>
    </w:p>
    <w:p w14:paraId="79C01EF9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uvedených odpovedí zaškrtnite a popíšte, či materiál konkurencieschopnosť:</w:t>
      </w:r>
    </w:p>
    <w:p w14:paraId="5A71202E" w14:textId="77777777" w:rsidR="00054C41" w:rsidRPr="00D8247C" w:rsidRDefault="009A2F95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798576880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1729873660"/>
            </w:sdtPr>
            <w:sdtEndPr/>
            <w:sdtContent>
              <w:r w:rsidR="0000353F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x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410579887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80300261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474604883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706551548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40EC69F0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8A9053D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Produktivita:</w:t>
      </w:r>
    </w:p>
    <w:p w14:paraId="173AC1F7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Aký má materiál vplyv na zmenu pomeru medzi produkciou podnikov a ich nákladmi? </w:t>
      </w:r>
    </w:p>
    <w:p w14:paraId="442FDB2D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AF81AE5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uvedenej odpovede zaškrtnite a popíšte, či materiál produktivitu:</w:t>
      </w:r>
    </w:p>
    <w:p w14:paraId="1B2CC352" w14:textId="77777777" w:rsidR="00054C41" w:rsidRPr="00D8247C" w:rsidRDefault="009A2F95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545903528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825715010"/>
            </w:sdtPr>
            <w:sdtEndPr/>
            <w:sdtContent>
              <w:r w:rsidR="0000353F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x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353966921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222205104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457723544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623767955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1F4DEBA5" w14:textId="77777777" w:rsidR="00E30D85" w:rsidRPr="00D8247C" w:rsidRDefault="00E30D85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B55DE07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 xml:space="preserve">3.4  Iné vplyvy na podnikateľské prostredie </w:t>
      </w:r>
    </w:p>
    <w:p w14:paraId="78337826" w14:textId="77777777" w:rsidR="00B21D1F" w:rsidRDefault="0000353F" w:rsidP="00A90ACB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00353F">
        <w:rPr>
          <w:rFonts w:ascii="Times New Roman" w:eastAsia="Calibri" w:hAnsi="Times New Roman" w:cs="Times New Roman"/>
          <w:sz w:val="24"/>
          <w:szCs w:val="24"/>
        </w:rPr>
        <w:t xml:space="preserve">Bez vplyvov. </w:t>
      </w:r>
      <w:r w:rsidR="00A90A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21D1F" w:rsidSect="00CE4480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867F7" w14:textId="77777777" w:rsidR="009A2F95" w:rsidRDefault="009A2F95" w:rsidP="00054C41">
      <w:pPr>
        <w:spacing w:after="0" w:line="240" w:lineRule="auto"/>
      </w:pPr>
      <w:r>
        <w:separator/>
      </w:r>
    </w:p>
  </w:endnote>
  <w:endnote w:type="continuationSeparator" w:id="0">
    <w:p w14:paraId="55A88EF5" w14:textId="77777777" w:rsidR="009A2F95" w:rsidRDefault="009A2F95" w:rsidP="000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F8B4E" w14:textId="77777777" w:rsidR="00BD754C" w:rsidRDefault="00BD75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035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191DD1" w14:textId="19FBA957" w:rsidR="0052236F" w:rsidRPr="006045CB" w:rsidRDefault="0052236F" w:rsidP="00054C41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3DE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9997B1" w14:textId="77777777" w:rsidR="0052236F" w:rsidRPr="00FF7125" w:rsidRDefault="0052236F" w:rsidP="00054C41">
    <w:pPr>
      <w:pStyle w:val="Pta"/>
      <w:rPr>
        <w:sz w:val="24"/>
        <w:szCs w:val="24"/>
      </w:rPr>
    </w:pPr>
  </w:p>
  <w:p w14:paraId="525D470D" w14:textId="77777777" w:rsidR="0052236F" w:rsidRDefault="005223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0F09" w14:textId="77777777" w:rsidR="00BD754C" w:rsidRDefault="00BD75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36B79" w14:textId="77777777" w:rsidR="009A2F95" w:rsidRDefault="009A2F95" w:rsidP="00054C41">
      <w:pPr>
        <w:spacing w:after="0" w:line="240" w:lineRule="auto"/>
      </w:pPr>
      <w:r>
        <w:separator/>
      </w:r>
    </w:p>
  </w:footnote>
  <w:footnote w:type="continuationSeparator" w:id="0">
    <w:p w14:paraId="03B60EF2" w14:textId="77777777" w:rsidR="009A2F95" w:rsidRDefault="009A2F95" w:rsidP="00054C41">
      <w:pPr>
        <w:spacing w:after="0" w:line="240" w:lineRule="auto"/>
      </w:pPr>
      <w:r>
        <w:continuationSeparator/>
      </w:r>
    </w:p>
  </w:footnote>
  <w:footnote w:id="1">
    <w:p w14:paraId="4345538B" w14:textId="77777777" w:rsidR="0052236F" w:rsidRPr="000A6B7F" w:rsidRDefault="0052236F" w:rsidP="00C929AE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0A6B7F">
        <w:rPr>
          <w:rFonts w:ascii="Times New Roman" w:hAnsi="Times New Roman" w:cs="Times New Roman"/>
        </w:rPr>
        <w:t xml:space="preserve">Definícia </w:t>
      </w:r>
      <w:proofErr w:type="spellStart"/>
      <w:r w:rsidRPr="000A6B7F">
        <w:rPr>
          <w:rFonts w:ascii="Times New Roman" w:hAnsi="Times New Roman" w:cs="Times New Roman"/>
        </w:rPr>
        <w:t>goldplatingu</w:t>
      </w:r>
      <w:proofErr w:type="spellEnd"/>
      <w:r w:rsidRPr="000A6B7F">
        <w:rPr>
          <w:rFonts w:ascii="Times New Roman" w:hAnsi="Times New Roman" w:cs="Times New Roman"/>
        </w:rPr>
        <w:t xml:space="preserve"> </w:t>
      </w:r>
      <w:r w:rsidRPr="00D114ED">
        <w:rPr>
          <w:rFonts w:ascii="Times New Roman" w:hAnsi="Times New Roman" w:cs="Times New Roman"/>
        </w:rPr>
        <w:t>je uvedená v bode 4 časti III. jednotnej metodiky.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81C30" w14:textId="77777777" w:rsidR="00BD754C" w:rsidRDefault="00BD75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9A03B" w14:textId="59286374" w:rsidR="0052236F" w:rsidRPr="006045CB" w:rsidRDefault="0052236F" w:rsidP="0014215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</w:p>
  <w:p w14:paraId="09E4ED4D" w14:textId="77777777" w:rsidR="0052236F" w:rsidRPr="006045CB" w:rsidRDefault="0052236F" w:rsidP="0014215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63BE0" w14:textId="77777777" w:rsidR="00BD754C" w:rsidRDefault="00BD75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26B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2F49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B4294"/>
    <w:multiLevelType w:val="hybridMultilevel"/>
    <w:tmpl w:val="DB90B4D4"/>
    <w:lvl w:ilvl="0" w:tplc="A80C46B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7276D"/>
    <w:multiLevelType w:val="hybridMultilevel"/>
    <w:tmpl w:val="50AE8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1570F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52805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D0C6E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1"/>
    <w:rsid w:val="0000353F"/>
    <w:rsid w:val="0002425A"/>
    <w:rsid w:val="00024EE4"/>
    <w:rsid w:val="00035E6D"/>
    <w:rsid w:val="00047C70"/>
    <w:rsid w:val="00050AAB"/>
    <w:rsid w:val="00054A53"/>
    <w:rsid w:val="00054C41"/>
    <w:rsid w:val="00060DA1"/>
    <w:rsid w:val="00061E85"/>
    <w:rsid w:val="000820E0"/>
    <w:rsid w:val="00091A43"/>
    <w:rsid w:val="00091C1F"/>
    <w:rsid w:val="0009490E"/>
    <w:rsid w:val="000A6B7F"/>
    <w:rsid w:val="000C5419"/>
    <w:rsid w:val="000C5E9A"/>
    <w:rsid w:val="000D1443"/>
    <w:rsid w:val="000D15F0"/>
    <w:rsid w:val="000F17D7"/>
    <w:rsid w:val="0011003B"/>
    <w:rsid w:val="001133DA"/>
    <w:rsid w:val="00116FD4"/>
    <w:rsid w:val="00126A2B"/>
    <w:rsid w:val="0014191A"/>
    <w:rsid w:val="00142154"/>
    <w:rsid w:val="001476A4"/>
    <w:rsid w:val="00162C6C"/>
    <w:rsid w:val="0016512E"/>
    <w:rsid w:val="0018715C"/>
    <w:rsid w:val="001A1561"/>
    <w:rsid w:val="001B4C03"/>
    <w:rsid w:val="001C7B91"/>
    <w:rsid w:val="001D1083"/>
    <w:rsid w:val="001D3FA0"/>
    <w:rsid w:val="001E24E8"/>
    <w:rsid w:val="001E53CB"/>
    <w:rsid w:val="001E549B"/>
    <w:rsid w:val="00207F43"/>
    <w:rsid w:val="002232D3"/>
    <w:rsid w:val="00225A83"/>
    <w:rsid w:val="00231B8F"/>
    <w:rsid w:val="00270EA5"/>
    <w:rsid w:val="002712B9"/>
    <w:rsid w:val="00284B8C"/>
    <w:rsid w:val="00286E5A"/>
    <w:rsid w:val="0029483F"/>
    <w:rsid w:val="002C2FC0"/>
    <w:rsid w:val="00302A17"/>
    <w:rsid w:val="00314D25"/>
    <w:rsid w:val="00315BE2"/>
    <w:rsid w:val="003322EE"/>
    <w:rsid w:val="00337630"/>
    <w:rsid w:val="00340CFD"/>
    <w:rsid w:val="003413D5"/>
    <w:rsid w:val="00342621"/>
    <w:rsid w:val="00356E53"/>
    <w:rsid w:val="00357F22"/>
    <w:rsid w:val="0036748D"/>
    <w:rsid w:val="00376039"/>
    <w:rsid w:val="0038255E"/>
    <w:rsid w:val="00391648"/>
    <w:rsid w:val="0039304E"/>
    <w:rsid w:val="0039334E"/>
    <w:rsid w:val="00394AD2"/>
    <w:rsid w:val="003A02AF"/>
    <w:rsid w:val="003A3124"/>
    <w:rsid w:val="003A686F"/>
    <w:rsid w:val="003E58B8"/>
    <w:rsid w:val="003E77E8"/>
    <w:rsid w:val="003F06D7"/>
    <w:rsid w:val="00400224"/>
    <w:rsid w:val="00400BA5"/>
    <w:rsid w:val="00410E62"/>
    <w:rsid w:val="00413DEE"/>
    <w:rsid w:val="00414FA7"/>
    <w:rsid w:val="00416CD6"/>
    <w:rsid w:val="00420090"/>
    <w:rsid w:val="004239D1"/>
    <w:rsid w:val="00445638"/>
    <w:rsid w:val="00446432"/>
    <w:rsid w:val="00446512"/>
    <w:rsid w:val="00461877"/>
    <w:rsid w:val="00466D7A"/>
    <w:rsid w:val="0048237B"/>
    <w:rsid w:val="00484D16"/>
    <w:rsid w:val="00485573"/>
    <w:rsid w:val="00491853"/>
    <w:rsid w:val="004A14CD"/>
    <w:rsid w:val="004A2C6B"/>
    <w:rsid w:val="004D20CB"/>
    <w:rsid w:val="004D65B2"/>
    <w:rsid w:val="004D681D"/>
    <w:rsid w:val="004D7F86"/>
    <w:rsid w:val="004E2324"/>
    <w:rsid w:val="004E2C81"/>
    <w:rsid w:val="004F63E6"/>
    <w:rsid w:val="005103DA"/>
    <w:rsid w:val="00511F8F"/>
    <w:rsid w:val="00512BA7"/>
    <w:rsid w:val="00515726"/>
    <w:rsid w:val="0052236F"/>
    <w:rsid w:val="00541539"/>
    <w:rsid w:val="00562527"/>
    <w:rsid w:val="00562A1E"/>
    <w:rsid w:val="00563427"/>
    <w:rsid w:val="005640E5"/>
    <w:rsid w:val="005647DB"/>
    <w:rsid w:val="0057797D"/>
    <w:rsid w:val="00581EB9"/>
    <w:rsid w:val="00584303"/>
    <w:rsid w:val="005B4E6E"/>
    <w:rsid w:val="005B56E4"/>
    <w:rsid w:val="005C795C"/>
    <w:rsid w:val="005D0E50"/>
    <w:rsid w:val="005D39D8"/>
    <w:rsid w:val="0061097B"/>
    <w:rsid w:val="0061612F"/>
    <w:rsid w:val="006177C8"/>
    <w:rsid w:val="0062600A"/>
    <w:rsid w:val="0063777D"/>
    <w:rsid w:val="00643358"/>
    <w:rsid w:val="00644520"/>
    <w:rsid w:val="00646084"/>
    <w:rsid w:val="0065613E"/>
    <w:rsid w:val="006564C3"/>
    <w:rsid w:val="006578CB"/>
    <w:rsid w:val="00667B82"/>
    <w:rsid w:val="0067426D"/>
    <w:rsid w:val="00680E31"/>
    <w:rsid w:val="006A4E85"/>
    <w:rsid w:val="006A60C0"/>
    <w:rsid w:val="006A712F"/>
    <w:rsid w:val="006B5D74"/>
    <w:rsid w:val="006C10C5"/>
    <w:rsid w:val="006C25BE"/>
    <w:rsid w:val="006D710D"/>
    <w:rsid w:val="006D7AD8"/>
    <w:rsid w:val="006F1D57"/>
    <w:rsid w:val="006F4A63"/>
    <w:rsid w:val="006F7A31"/>
    <w:rsid w:val="0070364C"/>
    <w:rsid w:val="00710EDF"/>
    <w:rsid w:val="0072221D"/>
    <w:rsid w:val="0072357C"/>
    <w:rsid w:val="007259CB"/>
    <w:rsid w:val="00726031"/>
    <w:rsid w:val="00737408"/>
    <w:rsid w:val="00747455"/>
    <w:rsid w:val="00751DA9"/>
    <w:rsid w:val="00752D09"/>
    <w:rsid w:val="00755E69"/>
    <w:rsid w:val="007648EE"/>
    <w:rsid w:val="0077106D"/>
    <w:rsid w:val="00780ACC"/>
    <w:rsid w:val="00787A11"/>
    <w:rsid w:val="00797B40"/>
    <w:rsid w:val="007A0C9D"/>
    <w:rsid w:val="007B1F68"/>
    <w:rsid w:val="007B40FB"/>
    <w:rsid w:val="007B62AF"/>
    <w:rsid w:val="007D7861"/>
    <w:rsid w:val="007E24B2"/>
    <w:rsid w:val="007E2DA4"/>
    <w:rsid w:val="007E6815"/>
    <w:rsid w:val="007E7632"/>
    <w:rsid w:val="007F1C84"/>
    <w:rsid w:val="007F4579"/>
    <w:rsid w:val="00801596"/>
    <w:rsid w:val="00802B21"/>
    <w:rsid w:val="00804BC8"/>
    <w:rsid w:val="00805114"/>
    <w:rsid w:val="00806E23"/>
    <w:rsid w:val="00807981"/>
    <w:rsid w:val="00823F5A"/>
    <w:rsid w:val="00845D3B"/>
    <w:rsid w:val="00846B66"/>
    <w:rsid w:val="00857F65"/>
    <w:rsid w:val="00860BF9"/>
    <w:rsid w:val="008634E9"/>
    <w:rsid w:val="008801B5"/>
    <w:rsid w:val="00880578"/>
    <w:rsid w:val="00882407"/>
    <w:rsid w:val="00882689"/>
    <w:rsid w:val="008920C3"/>
    <w:rsid w:val="00894052"/>
    <w:rsid w:val="008A7B87"/>
    <w:rsid w:val="008B4AA1"/>
    <w:rsid w:val="008C1C71"/>
    <w:rsid w:val="008C6A87"/>
    <w:rsid w:val="008E1AD0"/>
    <w:rsid w:val="008E315F"/>
    <w:rsid w:val="008E6B82"/>
    <w:rsid w:val="008F26C9"/>
    <w:rsid w:val="008F6ADE"/>
    <w:rsid w:val="0091269B"/>
    <w:rsid w:val="00923C0C"/>
    <w:rsid w:val="009373AD"/>
    <w:rsid w:val="0095170D"/>
    <w:rsid w:val="00952CF6"/>
    <w:rsid w:val="00960413"/>
    <w:rsid w:val="00981995"/>
    <w:rsid w:val="00981C7F"/>
    <w:rsid w:val="00985515"/>
    <w:rsid w:val="00990813"/>
    <w:rsid w:val="0099544D"/>
    <w:rsid w:val="00997513"/>
    <w:rsid w:val="009A0E2C"/>
    <w:rsid w:val="009A2F95"/>
    <w:rsid w:val="009A4D56"/>
    <w:rsid w:val="009B1F04"/>
    <w:rsid w:val="009E09F7"/>
    <w:rsid w:val="009E2D5C"/>
    <w:rsid w:val="009E3E44"/>
    <w:rsid w:val="009F4175"/>
    <w:rsid w:val="009F66A4"/>
    <w:rsid w:val="009F6C80"/>
    <w:rsid w:val="00A000DA"/>
    <w:rsid w:val="00A1736E"/>
    <w:rsid w:val="00A216DF"/>
    <w:rsid w:val="00A33F2C"/>
    <w:rsid w:val="00A50EE3"/>
    <w:rsid w:val="00A83E11"/>
    <w:rsid w:val="00A90ACB"/>
    <w:rsid w:val="00A94A0F"/>
    <w:rsid w:val="00AA3C6D"/>
    <w:rsid w:val="00AA5664"/>
    <w:rsid w:val="00AB57C4"/>
    <w:rsid w:val="00AD45AB"/>
    <w:rsid w:val="00AD4B40"/>
    <w:rsid w:val="00B11CF5"/>
    <w:rsid w:val="00B209FA"/>
    <w:rsid w:val="00B21D1F"/>
    <w:rsid w:val="00B22546"/>
    <w:rsid w:val="00B23293"/>
    <w:rsid w:val="00B3570B"/>
    <w:rsid w:val="00B410BA"/>
    <w:rsid w:val="00B43D68"/>
    <w:rsid w:val="00B44A3A"/>
    <w:rsid w:val="00B5600C"/>
    <w:rsid w:val="00B66E33"/>
    <w:rsid w:val="00B72FB1"/>
    <w:rsid w:val="00B953DA"/>
    <w:rsid w:val="00BA19B0"/>
    <w:rsid w:val="00BB3870"/>
    <w:rsid w:val="00BB45A7"/>
    <w:rsid w:val="00BD0EF7"/>
    <w:rsid w:val="00BD37F7"/>
    <w:rsid w:val="00BD6778"/>
    <w:rsid w:val="00BD754C"/>
    <w:rsid w:val="00C01599"/>
    <w:rsid w:val="00C048D1"/>
    <w:rsid w:val="00C05563"/>
    <w:rsid w:val="00C11132"/>
    <w:rsid w:val="00C115B9"/>
    <w:rsid w:val="00C12FDD"/>
    <w:rsid w:val="00C145AA"/>
    <w:rsid w:val="00C14655"/>
    <w:rsid w:val="00C21399"/>
    <w:rsid w:val="00C446E2"/>
    <w:rsid w:val="00C535F5"/>
    <w:rsid w:val="00C560C4"/>
    <w:rsid w:val="00C6748F"/>
    <w:rsid w:val="00C74134"/>
    <w:rsid w:val="00C74337"/>
    <w:rsid w:val="00C75DC8"/>
    <w:rsid w:val="00C929AE"/>
    <w:rsid w:val="00CA4344"/>
    <w:rsid w:val="00CA6348"/>
    <w:rsid w:val="00CA78D0"/>
    <w:rsid w:val="00CB1232"/>
    <w:rsid w:val="00CB17A0"/>
    <w:rsid w:val="00CC3B7D"/>
    <w:rsid w:val="00CD5AE4"/>
    <w:rsid w:val="00CD5E86"/>
    <w:rsid w:val="00CE3B21"/>
    <w:rsid w:val="00CE4480"/>
    <w:rsid w:val="00CF4D09"/>
    <w:rsid w:val="00D005F2"/>
    <w:rsid w:val="00D03A8E"/>
    <w:rsid w:val="00D114ED"/>
    <w:rsid w:val="00D26D06"/>
    <w:rsid w:val="00D3032C"/>
    <w:rsid w:val="00D31A3B"/>
    <w:rsid w:val="00D5309D"/>
    <w:rsid w:val="00D631FA"/>
    <w:rsid w:val="00D71064"/>
    <w:rsid w:val="00D811BB"/>
    <w:rsid w:val="00D82356"/>
    <w:rsid w:val="00D84EEE"/>
    <w:rsid w:val="00D90A61"/>
    <w:rsid w:val="00D946EF"/>
    <w:rsid w:val="00D95553"/>
    <w:rsid w:val="00DC355F"/>
    <w:rsid w:val="00DD1E4C"/>
    <w:rsid w:val="00DE331A"/>
    <w:rsid w:val="00DE6ACB"/>
    <w:rsid w:val="00DF02CE"/>
    <w:rsid w:val="00DF1462"/>
    <w:rsid w:val="00E030DA"/>
    <w:rsid w:val="00E07195"/>
    <w:rsid w:val="00E214C0"/>
    <w:rsid w:val="00E30D85"/>
    <w:rsid w:val="00E444EB"/>
    <w:rsid w:val="00E77A69"/>
    <w:rsid w:val="00E81A42"/>
    <w:rsid w:val="00E961E8"/>
    <w:rsid w:val="00E96244"/>
    <w:rsid w:val="00E96DE0"/>
    <w:rsid w:val="00EB2BEC"/>
    <w:rsid w:val="00EB74BF"/>
    <w:rsid w:val="00EC0704"/>
    <w:rsid w:val="00EC508B"/>
    <w:rsid w:val="00ED6B5D"/>
    <w:rsid w:val="00EE4C99"/>
    <w:rsid w:val="00F02D12"/>
    <w:rsid w:val="00F12D6E"/>
    <w:rsid w:val="00F153D7"/>
    <w:rsid w:val="00F1599C"/>
    <w:rsid w:val="00F2433F"/>
    <w:rsid w:val="00F244DC"/>
    <w:rsid w:val="00F378F4"/>
    <w:rsid w:val="00F47912"/>
    <w:rsid w:val="00F541B6"/>
    <w:rsid w:val="00F57702"/>
    <w:rsid w:val="00F60BFC"/>
    <w:rsid w:val="00F61361"/>
    <w:rsid w:val="00F613E8"/>
    <w:rsid w:val="00F74D3C"/>
    <w:rsid w:val="00F74FC9"/>
    <w:rsid w:val="00F91F47"/>
    <w:rsid w:val="00FA2F46"/>
    <w:rsid w:val="00FA4F36"/>
    <w:rsid w:val="00FA6F0C"/>
    <w:rsid w:val="00FA6FFE"/>
    <w:rsid w:val="00FB3EAB"/>
    <w:rsid w:val="00FC121B"/>
    <w:rsid w:val="00FD3DFB"/>
    <w:rsid w:val="00FE09C7"/>
    <w:rsid w:val="00FE5420"/>
    <w:rsid w:val="00FF0272"/>
    <w:rsid w:val="00FF414B"/>
    <w:rsid w:val="00FF4B7A"/>
    <w:rsid w:val="00FF6FF5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6752"/>
  <w15:docId w15:val="{4971B98A-309B-41B5-937D-82CDFE46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7B8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4C41"/>
  </w:style>
  <w:style w:type="paragraph" w:styleId="Normlnywebov">
    <w:name w:val="Normal (Web)"/>
    <w:aliases w:val="webb"/>
    <w:basedOn w:val="Normlny"/>
    <w:uiPriority w:val="99"/>
    <w:unhideWhenUsed/>
    <w:rsid w:val="00054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4C41"/>
  </w:style>
  <w:style w:type="paragraph" w:styleId="Textbubliny">
    <w:name w:val="Balloon Text"/>
    <w:basedOn w:val="Normlny"/>
    <w:link w:val="TextbublinyChar"/>
    <w:uiPriority w:val="99"/>
    <w:semiHidden/>
    <w:unhideWhenUsed/>
    <w:rsid w:val="001B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0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B4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C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C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C0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E4C99"/>
    <w:pPr>
      <w:ind w:left="720"/>
      <w:contextualSpacing/>
    </w:pPr>
  </w:style>
  <w:style w:type="paragraph" w:customStyle="1" w:styleId="gmail-m-1648484718305530482msolistparagraph">
    <w:name w:val="gmail-m_-1648484718305530482msolistparagraph"/>
    <w:basedOn w:val="Normlny"/>
    <w:rsid w:val="00A50EE3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29A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29A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29AE"/>
    <w:rPr>
      <w:vertAlign w:val="superscript"/>
    </w:rPr>
  </w:style>
  <w:style w:type="paragraph" w:styleId="Revzia">
    <w:name w:val="Revision"/>
    <w:hidden/>
    <w:uiPriority w:val="99"/>
    <w:semiHidden/>
    <w:rsid w:val="00DE6AC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6F7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hsr.sk/podnikatelske-prostredie/lepsia-regulacia/regulacne-zatazenie/kalkulacka-nakladov-regulacie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ata.izakovicova\Desktop\Izakovicova\01_analyzy\ceny_energii\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4804830430678"/>
          <c:y val="8.8396961429545035E-2"/>
          <c:w val="0.85403893478832404"/>
          <c:h val="0.60761507021567052"/>
        </c:manualLayout>
      </c:layout>
      <c:lineChart>
        <c:grouping val="standard"/>
        <c:varyColors val="0"/>
        <c:ser>
          <c:idx val="0"/>
          <c:order val="0"/>
          <c:tx>
            <c:strRef>
              <c:f>pracujúci!$B$11</c:f>
              <c:strCache>
                <c:ptCount val="1"/>
                <c:pt idx="0">
                  <c:v>Poľnohospodárstvo, lesníctvo a rybolov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pracujúci!$C$7:$N$7</c:f>
              <c:strCache>
                <c:ptCount val="12"/>
                <c:pt idx="0">
                  <c:v>1Q2021</c:v>
                </c:pt>
                <c:pt idx="1">
                  <c:v>2Q2021</c:v>
                </c:pt>
                <c:pt idx="2">
                  <c:v>3Q2021</c:v>
                </c:pt>
                <c:pt idx="3">
                  <c:v>4Q2021</c:v>
                </c:pt>
                <c:pt idx="4">
                  <c:v>1Q2022</c:v>
                </c:pt>
                <c:pt idx="5">
                  <c:v>2Q2022</c:v>
                </c:pt>
                <c:pt idx="6">
                  <c:v>3Q2022</c:v>
                </c:pt>
                <c:pt idx="7">
                  <c:v>4Q2022</c:v>
                </c:pt>
                <c:pt idx="8">
                  <c:v>1Q2023</c:v>
                </c:pt>
                <c:pt idx="9">
                  <c:v>2Q2023</c:v>
                </c:pt>
                <c:pt idx="10">
                  <c:v>3Q2023</c:v>
                </c:pt>
                <c:pt idx="11">
                  <c:v>4Q2023</c:v>
                </c:pt>
              </c:strCache>
            </c:strRef>
          </c:cat>
          <c:val>
            <c:numRef>
              <c:f>pracujúci!$C$11:$N$11</c:f>
              <c:numCache>
                <c:formatCode>0.00</c:formatCode>
                <c:ptCount val="12"/>
                <c:pt idx="0">
                  <c:v>57.2</c:v>
                </c:pt>
                <c:pt idx="1">
                  <c:v>64</c:v>
                </c:pt>
                <c:pt idx="2">
                  <c:v>64.599999999999994</c:v>
                </c:pt>
                <c:pt idx="3">
                  <c:v>67</c:v>
                </c:pt>
                <c:pt idx="4">
                  <c:v>68.3</c:v>
                </c:pt>
                <c:pt idx="5">
                  <c:v>69.599999999999994</c:v>
                </c:pt>
                <c:pt idx="6">
                  <c:v>64.099999999999994</c:v>
                </c:pt>
                <c:pt idx="7">
                  <c:v>62.4</c:v>
                </c:pt>
                <c:pt idx="8">
                  <c:v>59.7</c:v>
                </c:pt>
                <c:pt idx="9">
                  <c:v>62.6</c:v>
                </c:pt>
                <c:pt idx="10">
                  <c:v>63.6</c:v>
                </c:pt>
                <c:pt idx="11">
                  <c:v>61.5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E5-4F92-A7E2-C6AB88919488}"/>
            </c:ext>
          </c:extLst>
        </c:ser>
        <c:ser>
          <c:idx val="1"/>
          <c:order val="1"/>
          <c:tx>
            <c:strRef>
              <c:f>pracujúci!$D$56</c:f>
              <c:strCache>
                <c:ptCount val="1"/>
                <c:pt idx="0">
                  <c:v>Potravinárstvo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pracujúci!$C$7:$N$7</c:f>
              <c:strCache>
                <c:ptCount val="12"/>
                <c:pt idx="0">
                  <c:v>1Q2021</c:v>
                </c:pt>
                <c:pt idx="1">
                  <c:v>2Q2021</c:v>
                </c:pt>
                <c:pt idx="2">
                  <c:v>3Q2021</c:v>
                </c:pt>
                <c:pt idx="3">
                  <c:v>4Q2021</c:v>
                </c:pt>
                <c:pt idx="4">
                  <c:v>1Q2022</c:v>
                </c:pt>
                <c:pt idx="5">
                  <c:v>2Q2022</c:v>
                </c:pt>
                <c:pt idx="6">
                  <c:v>3Q2022</c:v>
                </c:pt>
                <c:pt idx="7">
                  <c:v>4Q2022</c:v>
                </c:pt>
                <c:pt idx="8">
                  <c:v>1Q2023</c:v>
                </c:pt>
                <c:pt idx="9">
                  <c:v>2Q2023</c:v>
                </c:pt>
                <c:pt idx="10">
                  <c:v>3Q2023</c:v>
                </c:pt>
                <c:pt idx="11">
                  <c:v>4Q2023</c:v>
                </c:pt>
              </c:strCache>
            </c:strRef>
          </c:cat>
          <c:val>
            <c:numRef>
              <c:f>pracujúci!$E$56:$P$56</c:f>
              <c:numCache>
                <c:formatCode>#\ ##0.0</c:formatCode>
                <c:ptCount val="12"/>
                <c:pt idx="0">
                  <c:v>47.3</c:v>
                </c:pt>
                <c:pt idx="1">
                  <c:v>51.7</c:v>
                </c:pt>
                <c:pt idx="2">
                  <c:v>55</c:v>
                </c:pt>
                <c:pt idx="3">
                  <c:v>57.6</c:v>
                </c:pt>
                <c:pt idx="4">
                  <c:v>61.7</c:v>
                </c:pt>
                <c:pt idx="5">
                  <c:v>55.4</c:v>
                </c:pt>
                <c:pt idx="6">
                  <c:v>53.8</c:v>
                </c:pt>
                <c:pt idx="7">
                  <c:v>50.1</c:v>
                </c:pt>
                <c:pt idx="8">
                  <c:v>50.4</c:v>
                </c:pt>
                <c:pt idx="9">
                  <c:v>52.3</c:v>
                </c:pt>
                <c:pt idx="10">
                  <c:v>54</c:v>
                </c:pt>
                <c:pt idx="11">
                  <c:v>54.4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E5-4F92-A7E2-C6AB889194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47504472"/>
        <c:axId val="547513984"/>
      </c:lineChart>
      <c:catAx>
        <c:axId val="547504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547513984"/>
        <c:crosses val="autoZero"/>
        <c:auto val="1"/>
        <c:lblAlgn val="ctr"/>
        <c:lblOffset val="100"/>
        <c:noMultiLvlLbl val="0"/>
      </c:catAx>
      <c:valAx>
        <c:axId val="547513984"/>
        <c:scaling>
          <c:orientation val="minMax"/>
          <c:max val="7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547504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solidFill>
            <a:srgbClr val="00B0F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-3a-AVnaPP-do-MPK"/>
    <f:field ref="objsubject" par="" edit="true" text=""/>
    <f:field ref="objcreatedby" par="" text="Pavlíková, Katarína, Mgr."/>
    <f:field ref="objcreatedat" par="" text="10.11.2022 9:46:51"/>
    <f:field ref="objchangedby" par="" text="Administrator, System"/>
    <f:field ref="objmodifiedat" par="" text="10.11.2022 9:46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D4813FB-3C9F-47BA-82A1-89BEA6E3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Pavlikova Katarina</dc:creator>
  <cp:lastModifiedBy>Kostková Daša</cp:lastModifiedBy>
  <cp:revision>11</cp:revision>
  <dcterms:created xsi:type="dcterms:W3CDTF">2024-05-20T10:48:00Z</dcterms:created>
  <dcterms:modified xsi:type="dcterms:W3CDTF">2024-06-05T11:51:00Z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COO.2145.1000.3.5328105</vt:lpwstr>
  </property>
  <property fmtid="{D5CDD505-2E9C-101B-9397-08002B2CF9AE}" pid="152" name="FSC#FSCFOLIO@1.1001:docpropproject">
    <vt:lpwstr/>
  </property>
</Properties>
</file>