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BC9C0" w14:textId="77777777" w:rsidR="009A37F4" w:rsidRPr="00E975CC" w:rsidRDefault="009A37F4" w:rsidP="00E975C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noProof w:val="0"/>
          <w:spacing w:val="30"/>
          <w:sz w:val="24"/>
          <w:szCs w:val="24"/>
        </w:rPr>
      </w:pPr>
      <w:bookmarkStart w:id="0" w:name="_GoBack"/>
      <w:bookmarkEnd w:id="0"/>
      <w:r w:rsidRPr="00E975CC">
        <w:rPr>
          <w:rFonts w:ascii="Times New Roman" w:eastAsia="Calibri" w:hAnsi="Times New Roman" w:cs="Times New Roman"/>
          <w:b/>
          <w:bCs/>
          <w:caps/>
          <w:noProof w:val="0"/>
          <w:spacing w:val="30"/>
          <w:sz w:val="24"/>
          <w:szCs w:val="24"/>
        </w:rPr>
        <w:t>Dôvodová správa</w:t>
      </w:r>
    </w:p>
    <w:p w14:paraId="52379EE5" w14:textId="77777777" w:rsidR="009A37F4" w:rsidRPr="00E975CC" w:rsidRDefault="009A37F4" w:rsidP="00E975CC">
      <w:pPr>
        <w:spacing w:after="0" w:line="240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AD7905B" w14:textId="77777777" w:rsidR="009A37F4" w:rsidRPr="00E975CC" w:rsidRDefault="009A37F4" w:rsidP="00E975CC">
      <w:pPr>
        <w:keepNext/>
        <w:numPr>
          <w:ilvl w:val="0"/>
          <w:numId w:val="1"/>
        </w:numPr>
        <w:spacing w:after="0" w:line="240" w:lineRule="auto"/>
        <w:ind w:left="0" w:firstLine="0"/>
        <w:outlineLvl w:val="0"/>
        <w:rPr>
          <w:rFonts w:ascii="Times New Roman" w:eastAsia="Symbol" w:hAnsi="Times New Roman" w:cs="Times New Roman"/>
          <w:b/>
          <w:bCs/>
          <w:noProof w:val="0"/>
          <w:kern w:val="2"/>
          <w:sz w:val="24"/>
          <w:szCs w:val="24"/>
          <w:lang w:eastAsia="sk-SK"/>
        </w:rPr>
      </w:pPr>
      <w:r w:rsidRPr="00E975CC">
        <w:rPr>
          <w:rFonts w:ascii="Times New Roman" w:eastAsia="Symbol" w:hAnsi="Times New Roman" w:cs="Times New Roman"/>
          <w:b/>
          <w:bCs/>
          <w:noProof w:val="0"/>
          <w:kern w:val="2"/>
          <w:sz w:val="24"/>
          <w:szCs w:val="24"/>
          <w:lang w:eastAsia="sk-SK"/>
        </w:rPr>
        <w:t>Všeobecná časť</w:t>
      </w:r>
    </w:p>
    <w:p w14:paraId="7AC9D2BD" w14:textId="77777777" w:rsidR="009A37F4" w:rsidRPr="00E975CC" w:rsidRDefault="009A37F4" w:rsidP="00E975CC">
      <w:pPr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2BA69B24" w14:textId="18AE9406" w:rsidR="009A37F4" w:rsidRPr="00E975CC" w:rsidRDefault="00F505C4" w:rsidP="00E975CC">
      <w:pPr>
        <w:pStyle w:val="Normlnywebov"/>
        <w:spacing w:before="0" w:beforeAutospacing="0" w:after="0" w:afterAutospacing="0"/>
        <w:ind w:firstLine="720"/>
        <w:jc w:val="both"/>
      </w:pPr>
      <w:r>
        <w:t>Vládny n</w:t>
      </w:r>
      <w:r w:rsidRPr="00E975CC">
        <w:t xml:space="preserve">ávrh </w:t>
      </w:r>
      <w:r w:rsidR="009A37F4" w:rsidRPr="00E975CC">
        <w:t xml:space="preserve">zákona, ktorým sa </w:t>
      </w:r>
      <w:r w:rsidR="003D4F45" w:rsidRPr="00E975CC">
        <w:t xml:space="preserve">dopĺňa </w:t>
      </w:r>
      <w:r w:rsidR="009A37F4" w:rsidRPr="00E975CC">
        <w:t xml:space="preserve">zákon č. 461/2003 Z. z. o sociálnom poistení v znení neskorších predpisov (ďalej len „návrh zákona“) sa predkladá z dôvodu zamedzenia vzniku značných hospodárskych škôd v poľnohospodárstve </w:t>
      </w:r>
      <w:r w:rsidR="003D4F45" w:rsidRPr="00E975CC">
        <w:t>a </w:t>
      </w:r>
      <w:proofErr w:type="spellStart"/>
      <w:r w:rsidR="003D4F45" w:rsidRPr="00E975CC">
        <w:t>akvakultúre</w:t>
      </w:r>
      <w:proofErr w:type="spellEnd"/>
      <w:r w:rsidR="003D4F45" w:rsidRPr="00E975CC">
        <w:t xml:space="preserve"> </w:t>
      </w:r>
      <w:r w:rsidR="009A37F4" w:rsidRPr="00E975CC">
        <w:t xml:space="preserve">(napr. vinohradníctvo, zeleninárstvo, ovocinárstvo, chov hospodárskych zvierat a riečna </w:t>
      </w:r>
      <w:proofErr w:type="spellStart"/>
      <w:r w:rsidR="009A37F4" w:rsidRPr="00E975CC">
        <w:t>akvakultúra</w:t>
      </w:r>
      <w:proofErr w:type="spellEnd"/>
      <w:r w:rsidR="009A37F4" w:rsidRPr="00E975CC">
        <w:t>), keďže situácia v</w:t>
      </w:r>
      <w:r w:rsidR="00E975CC">
        <w:t> </w:t>
      </w:r>
      <w:proofErr w:type="spellStart"/>
      <w:r w:rsidR="009A37F4" w:rsidRPr="00E975CC">
        <w:t>agrosektore</w:t>
      </w:r>
      <w:proofErr w:type="spellEnd"/>
      <w:r w:rsidR="009A37F4" w:rsidRPr="00E975CC">
        <w:t xml:space="preserve"> je zložitá a vyžaduje si prijatie výnimočných opatrení zmierňujúcich dosahy agresie Ruska proti Ukrajine na tento sektor. </w:t>
      </w:r>
      <w:r w:rsidR="009A37F4" w:rsidRPr="00E975CC">
        <w:rPr>
          <w:i/>
        </w:rPr>
        <w:t>Dočasný krízový a prechodný rámec pre opatrenia štátnej pomoci na podporu hospodárstva v dôsledku agresie Ruska proti Ukrajine</w:t>
      </w:r>
      <w:r w:rsidR="00841F6D" w:rsidRPr="00E975CC">
        <w:t xml:space="preserve"> (ďalej len „dočasný rámec“), prijatý 9. marca 2023 s</w:t>
      </w:r>
      <w:r w:rsidR="000D2E15" w:rsidRPr="00E975CC">
        <w:t> </w:t>
      </w:r>
      <w:r w:rsidR="00841F6D" w:rsidRPr="00E975CC">
        <w:t>účinnosťou</w:t>
      </w:r>
      <w:r w:rsidR="000D2E15" w:rsidRPr="00E975CC">
        <w:t xml:space="preserve"> opatrení</w:t>
      </w:r>
      <w:r w:rsidR="00841F6D" w:rsidRPr="00E975CC">
        <w:t xml:space="preserve"> do </w:t>
      </w:r>
      <w:r w:rsidR="003E3DAE" w:rsidRPr="00E975CC">
        <w:t>31. decembra</w:t>
      </w:r>
      <w:r w:rsidR="00DA1182" w:rsidRPr="00E975CC">
        <w:t xml:space="preserve"> 2023</w:t>
      </w:r>
      <w:r w:rsidR="000D2E15" w:rsidRPr="00E975CC">
        <w:t xml:space="preserve"> (okrem opatrení zameraných na podporu prechodu na klimaticky neutrálne hospodárstvo)</w:t>
      </w:r>
      <w:r w:rsidR="003E3DAE" w:rsidRPr="00E975CC">
        <w:t>, ktorá bola oznámením</w:t>
      </w:r>
      <w:r w:rsidR="000D2E15" w:rsidRPr="00E975CC">
        <w:t xml:space="preserve"> Európskej </w:t>
      </w:r>
      <w:r w:rsidR="003E3DAE" w:rsidRPr="00E975CC">
        <w:t>komisie</w:t>
      </w:r>
      <w:r w:rsidR="000D2E15" w:rsidRPr="00E975CC">
        <w:t xml:space="preserve"> (ďalej len „komisia“)</w:t>
      </w:r>
      <w:r w:rsidR="003E3DAE" w:rsidRPr="00E975CC">
        <w:t xml:space="preserve"> Z</w:t>
      </w:r>
      <w:r w:rsidR="003E3DAE" w:rsidRPr="00E975CC">
        <w:rPr>
          <w:i/>
        </w:rPr>
        <w:t>mena dočasného krízového a prechodného rámca pre opatrenia štátnej pomoci na podporu hospodárstva v dôsledku agresie Ruska proti Ukrajine (C/2023/1188)</w:t>
      </w:r>
      <w:r w:rsidR="003E3DAE" w:rsidRPr="00E975CC">
        <w:t xml:space="preserve"> z 21. novembra 2023 predĺžená do 30. júna 2024</w:t>
      </w:r>
      <w:r w:rsidR="00841F6D" w:rsidRPr="00E975CC">
        <w:t>,</w:t>
      </w:r>
      <w:r w:rsidR="004D7B4F" w:rsidRPr="00E975CC">
        <w:t xml:space="preserve"> </w:t>
      </w:r>
      <w:r w:rsidR="009A37F4" w:rsidRPr="00E975CC">
        <w:t xml:space="preserve">je významným nástrojom, ktorým Európska únia </w:t>
      </w:r>
      <w:r w:rsidR="00FD6563" w:rsidRPr="00E975CC">
        <w:t xml:space="preserve">umožnila </w:t>
      </w:r>
      <w:r w:rsidR="009A37F4" w:rsidRPr="00E975CC">
        <w:t>členským štátom reagovať na krízové situácie spôsobené agresiou Ruska proti Ukrajine a korigovať vážne narušenia trhu spôsobené priamymi a nepriamymi účinkami agresie.</w:t>
      </w:r>
      <w:r w:rsidR="006E406D" w:rsidRPr="00E975CC">
        <w:t xml:space="preserve"> </w:t>
      </w:r>
      <w:r w:rsidR="00841F6D" w:rsidRPr="00E975CC">
        <w:t>Na zasadnutí Európskej rady, ktoré sa uskutočnilo 21. a 22. marca 2024</w:t>
      </w:r>
      <w:r w:rsidR="0028209C">
        <w:t>,</w:t>
      </w:r>
      <w:r w:rsidR="00841F6D" w:rsidRPr="00E975CC">
        <w:t xml:space="preserve"> členské štáty poukázali na pokračujúci vplyv súčasnej krízy a</w:t>
      </w:r>
      <w:r w:rsidR="0028209C">
        <w:t xml:space="preserve"> na </w:t>
      </w:r>
      <w:r w:rsidR="00841F6D" w:rsidRPr="00E975CC">
        <w:t>výzv</w:t>
      </w:r>
      <w:r w:rsidR="0028209C">
        <w:t>y</w:t>
      </w:r>
      <w:r w:rsidR="00841F6D" w:rsidRPr="00E975CC">
        <w:t xml:space="preserve">, ktorým čelí odvetvie poľnohospodárstva. </w:t>
      </w:r>
      <w:r w:rsidR="000D2E15" w:rsidRPr="00E975CC">
        <w:t>K</w:t>
      </w:r>
      <w:r w:rsidR="00841F6D" w:rsidRPr="00E975CC">
        <w:t>omisia uskutočnila ďalšie konzultácie s členskými štátmi, konkrétne v</w:t>
      </w:r>
      <w:r w:rsidR="005F4C1B">
        <w:t> </w:t>
      </w:r>
      <w:r w:rsidR="00841F6D" w:rsidRPr="00E975CC">
        <w:t>podobe prieskumu. Komisia zohľadnila všetky odpovede, ktoré dostala, vo svojich úvahách</w:t>
      </w:r>
      <w:r w:rsidR="000D2E15" w:rsidRPr="00E975CC">
        <w:t xml:space="preserve"> a</w:t>
      </w:r>
      <w:r w:rsidR="005F4C1B">
        <w:t> </w:t>
      </w:r>
      <w:r w:rsidR="003D4F45" w:rsidRPr="00E975CC">
        <w:t xml:space="preserve">rozhodla predĺžiť obdobie </w:t>
      </w:r>
      <w:r w:rsidR="00841F6D" w:rsidRPr="00E975CC">
        <w:t xml:space="preserve">dočasného rámca </w:t>
      </w:r>
      <w:r w:rsidR="003D4F45" w:rsidRPr="00E975CC">
        <w:t xml:space="preserve">do 31. decembra 2024 v prípade pomoci poskytnutej podnikom pôsobiacim v odvetví poľnohospodárskej prvovýroby, ako aj v odvetví rybárstva a </w:t>
      </w:r>
      <w:proofErr w:type="spellStart"/>
      <w:r w:rsidR="003D4F45" w:rsidRPr="00E975CC">
        <w:t>akvakultúry</w:t>
      </w:r>
      <w:proofErr w:type="spellEnd"/>
      <w:r w:rsidR="003D4F45" w:rsidRPr="00E975CC">
        <w:t xml:space="preserve">. </w:t>
      </w:r>
      <w:r w:rsidR="00D33633" w:rsidRPr="00E975CC">
        <w:t xml:space="preserve">V oznámení komisie </w:t>
      </w:r>
      <w:r w:rsidR="00D33633" w:rsidRPr="00E975CC">
        <w:rPr>
          <w:i/>
        </w:rPr>
        <w:t>Druhá zmena dočasného krízového a prechodného rámca pre opatrenia štátnej pomoci na podporu hospodárstva v dôsledku agresie Ruska proti Ukrajine (C/2024/3113)</w:t>
      </w:r>
      <w:r w:rsidR="00D33633" w:rsidRPr="00E975CC">
        <w:t xml:space="preserve"> z 2. mája 2024 uviedla, že </w:t>
      </w:r>
      <w:r w:rsidR="00D33633" w:rsidRPr="00E975CC">
        <w:rPr>
          <w:i/>
        </w:rPr>
        <w:t>„</w:t>
      </w:r>
      <w:r w:rsidR="00D87270" w:rsidRPr="00E975CC">
        <w:rPr>
          <w:i/>
        </w:rPr>
        <w:t xml:space="preserve">V týchto špecifických odvetviach, ktoré sa vyznačujú mimoriadne vysokým podielom malých podnikov, si požadovaný proces prispôsobenia sa na účely účinného prekonania súčasnej krízy vyžaduje ďalší čas. Okrem toho, najmä v prípade poľnohospodárskej prvovýroby a do určitej miery aj v prípade </w:t>
      </w:r>
      <w:proofErr w:type="spellStart"/>
      <w:r w:rsidR="00D87270" w:rsidRPr="00E975CC">
        <w:rPr>
          <w:i/>
        </w:rPr>
        <w:t>akvakultúry</w:t>
      </w:r>
      <w:proofErr w:type="spellEnd"/>
      <w:r w:rsidR="00D87270" w:rsidRPr="00E975CC">
        <w:rPr>
          <w:i/>
        </w:rPr>
        <w:t xml:space="preserve"> je závislosť od ročných období rastu a</w:t>
      </w:r>
      <w:r w:rsidR="00E975CC">
        <w:rPr>
          <w:i/>
        </w:rPr>
        <w:t> </w:t>
      </w:r>
      <w:r w:rsidR="00D87270" w:rsidRPr="00E975CC">
        <w:rPr>
          <w:i/>
        </w:rPr>
        <w:t>cyklov zberu úrody relevantnou odvetvovou črtou, ktorú treba mať na pamäti, rovnako ako aj potrebu získať vstupy, ako napríklad hnojivá, v čase mimoriadne vysokých cien pri súčasnom predaji výsledných produktov za terajšie stlačené ceny. To opodstatňuje výnimočne dlhšie obdobie implementácie v týchto odvetviach.</w:t>
      </w:r>
      <w:r w:rsidR="00D33633" w:rsidRPr="00E975CC">
        <w:rPr>
          <w:i/>
        </w:rPr>
        <w:t>“</w:t>
      </w:r>
      <w:r w:rsidR="006A3599" w:rsidRPr="00E975CC">
        <w:rPr>
          <w:i/>
        </w:rPr>
        <w:t>.</w:t>
      </w:r>
    </w:p>
    <w:p w14:paraId="7338009C" w14:textId="77777777" w:rsidR="0014207C" w:rsidRPr="00E975CC" w:rsidRDefault="0014207C" w:rsidP="00E975CC">
      <w:pPr>
        <w:pStyle w:val="Normlnywebov"/>
        <w:spacing w:before="0" w:beforeAutospacing="0" w:after="0" w:afterAutospacing="0"/>
        <w:ind w:firstLine="720"/>
        <w:jc w:val="both"/>
      </w:pPr>
    </w:p>
    <w:p w14:paraId="262F7A30" w14:textId="47D99292" w:rsidR="000C1519" w:rsidRPr="00E975CC" w:rsidRDefault="006E406D" w:rsidP="00E975CC">
      <w:pPr>
        <w:pStyle w:val="Normlnywebov"/>
        <w:spacing w:before="0" w:beforeAutospacing="0" w:after="0" w:afterAutospacing="0"/>
        <w:ind w:firstLine="720"/>
        <w:jc w:val="both"/>
      </w:pPr>
      <w:r w:rsidRPr="00E975CC">
        <w:t xml:space="preserve">Na základe </w:t>
      </w:r>
      <w:r w:rsidRPr="00E975CC">
        <w:rPr>
          <w:i/>
        </w:rPr>
        <w:t>Schémy štátnej pomoci na zníženie odvodov zamestnávateľom v</w:t>
      </w:r>
      <w:r w:rsidR="00E975CC">
        <w:rPr>
          <w:i/>
        </w:rPr>
        <w:t> </w:t>
      </w:r>
      <w:r w:rsidRPr="00E975CC">
        <w:rPr>
          <w:i/>
        </w:rPr>
        <w:t>poľnohospodárstve a v potravinárskom priemysle v zmysle Dočasného krízového a prechodného rámca pre opatrenia štátnej pomoci na podporu hospodárstva v dôsledku agresie Ruska proti Ukrajine</w:t>
      </w:r>
      <w:r w:rsidRPr="00E975CC">
        <w:t xml:space="preserve"> v znení Dodatku č. 1 a 2, Sociálna poisťovňa uplatňuje § 293fzh a § 293ge </w:t>
      </w:r>
      <w:r w:rsidR="004D7B4F" w:rsidRPr="00E975CC">
        <w:t>zákona č.</w:t>
      </w:r>
      <w:r w:rsidR="00E975CC">
        <w:t> </w:t>
      </w:r>
      <w:r w:rsidRPr="00E975CC">
        <w:t xml:space="preserve">461/2003 Z. z. o sociálnom poistení v znení neskorších predpisov, t. j. poskytuje štátnu pomoc vo forme </w:t>
      </w:r>
      <w:r w:rsidR="00A178C0" w:rsidRPr="00E975CC">
        <w:t xml:space="preserve">tzv. </w:t>
      </w:r>
      <w:r w:rsidRPr="00E975CC">
        <w:t xml:space="preserve">odvodovej úľavy pre zamestnávateľov v poľnohospodárskom a potravinárskom </w:t>
      </w:r>
      <w:r w:rsidR="00A178C0" w:rsidRPr="00E975CC">
        <w:t xml:space="preserve">odvetví </w:t>
      </w:r>
      <w:r w:rsidRPr="00E975CC">
        <w:t>za obdobie do 30. júna 2024.</w:t>
      </w:r>
    </w:p>
    <w:p w14:paraId="20964292" w14:textId="77777777" w:rsidR="006E406D" w:rsidRPr="00E975CC" w:rsidRDefault="006E406D" w:rsidP="00E975CC">
      <w:pPr>
        <w:pStyle w:val="Normlnywebov"/>
        <w:spacing w:before="0" w:beforeAutospacing="0" w:after="0" w:afterAutospacing="0"/>
        <w:ind w:firstLine="720"/>
        <w:jc w:val="both"/>
      </w:pPr>
    </w:p>
    <w:p w14:paraId="0F045BE9" w14:textId="758F507F" w:rsidR="009A37F4" w:rsidRPr="00E975CC" w:rsidRDefault="009A37F4" w:rsidP="00E975CC">
      <w:pPr>
        <w:pStyle w:val="Normlnywebov"/>
        <w:spacing w:before="0" w:beforeAutospacing="0" w:after="0" w:afterAutospacing="0"/>
        <w:ind w:firstLine="720"/>
        <w:jc w:val="both"/>
      </w:pPr>
      <w:r w:rsidRPr="00E975CC">
        <w:t>Obsahom návrhu zákona je predĺženie obdobia uplatň</w:t>
      </w:r>
      <w:r w:rsidR="000C1519" w:rsidRPr="00E975CC">
        <w:t>ovania odvodovej úľavy pre </w:t>
      </w:r>
      <w:r w:rsidRPr="00E975CC">
        <w:t>zákonom stanovený okruh zamestnávateľov v </w:t>
      </w:r>
      <w:r w:rsidR="006E406D" w:rsidRPr="00E975CC">
        <w:t xml:space="preserve"> odvetví poľnohospodárskej prvovýroby, ako aj v odvetví </w:t>
      </w:r>
      <w:proofErr w:type="spellStart"/>
      <w:r w:rsidR="006E406D" w:rsidRPr="00E975CC">
        <w:t>akvakultúry</w:t>
      </w:r>
      <w:proofErr w:type="spellEnd"/>
      <w:r w:rsidR="009737B3" w:rsidRPr="00E975CC">
        <w:t>,</w:t>
      </w:r>
      <w:r w:rsidR="006E406D" w:rsidRPr="00E975CC">
        <w:t xml:space="preserve"> v súlade s rozhodnutím komisie o predĺžení </w:t>
      </w:r>
      <w:r w:rsidR="009737B3" w:rsidRPr="00E975CC">
        <w:t>obdobi</w:t>
      </w:r>
      <w:r w:rsidR="006A3599" w:rsidRPr="00E975CC">
        <w:t>a</w:t>
      </w:r>
      <w:r w:rsidR="009737B3" w:rsidRPr="00E975CC">
        <w:t xml:space="preserve"> dočasného rámca do</w:t>
      </w:r>
      <w:r w:rsidR="005F4C1B">
        <w:t> </w:t>
      </w:r>
      <w:r w:rsidR="009737B3" w:rsidRPr="00E975CC">
        <w:t>31.</w:t>
      </w:r>
      <w:r w:rsidR="00E975CC">
        <w:t> </w:t>
      </w:r>
      <w:r w:rsidR="009737B3" w:rsidRPr="00E975CC">
        <w:t>decembra 2024</w:t>
      </w:r>
      <w:r w:rsidRPr="00E975CC">
        <w:t xml:space="preserve">. Podľa súčasnej právnej úpravy zamestnávateľ vykonávajúci hlavnú činnosť </w:t>
      </w:r>
      <w:r w:rsidRPr="00E975CC">
        <w:lastRenderedPageBreak/>
        <w:t>vo vybraných triedach divízií SK NACE Rev.</w:t>
      </w:r>
      <w:r w:rsidR="0028209C">
        <w:t xml:space="preserve"> </w:t>
      </w:r>
      <w:r w:rsidRPr="00E975CC">
        <w:t>2 určen</w:t>
      </w:r>
      <w:r w:rsidR="00D36486" w:rsidRPr="00E975CC">
        <w:t>ých</w:t>
      </w:r>
      <w:r w:rsidRPr="00E975CC">
        <w:t xml:space="preserve"> zákonom č. 28/2024 Z. z., ktorým </w:t>
      </w:r>
      <w:r w:rsidR="00D36486" w:rsidRPr="00E975CC">
        <w:t>sa</w:t>
      </w:r>
      <w:r w:rsidR="00E975CC">
        <w:t> </w:t>
      </w:r>
      <w:r w:rsidR="00D36486" w:rsidRPr="00E975CC">
        <w:t>dopĺňa</w:t>
      </w:r>
      <w:r w:rsidRPr="00E975CC">
        <w:t xml:space="preserve"> zákon č. 461/2003 Z. z. o sociálnom poistení v znení neskorších predpisov, neplatí za</w:t>
      </w:r>
      <w:r w:rsidR="00E975CC">
        <w:t> </w:t>
      </w:r>
      <w:r w:rsidRPr="00E975CC">
        <w:t xml:space="preserve">obdobie do 30. júna 2024 poistné na nemocenské poistenie, poistné na starobné poistenie, poistné na invalidné poistenie, poistné na poistenie v nezamestnanosti, poistné na financovanie podpory v čase skrátenej práce a poistné do rezervného fondu solidarity z vymeriavacieho základu mesačne najviac v sume 750 eur za každého zamestnanca. Toto obdobie sa </w:t>
      </w:r>
      <w:r w:rsidR="009737B3" w:rsidRPr="00E975CC">
        <w:t>pre zamestnávateľov v</w:t>
      </w:r>
      <w:r w:rsidR="00E975CC">
        <w:t> </w:t>
      </w:r>
      <w:r w:rsidR="009737B3" w:rsidRPr="00E975CC">
        <w:t xml:space="preserve">odvetví poľnohospodárskej prvovýroby, ako aj v odvetví </w:t>
      </w:r>
      <w:proofErr w:type="spellStart"/>
      <w:r w:rsidR="009737B3" w:rsidRPr="00E975CC">
        <w:t>akvakultúry</w:t>
      </w:r>
      <w:proofErr w:type="spellEnd"/>
      <w:r w:rsidR="0028209C">
        <w:t>,</w:t>
      </w:r>
      <w:r w:rsidR="009737B3" w:rsidRPr="00E975CC">
        <w:t xml:space="preserve"> </w:t>
      </w:r>
      <w:r w:rsidRPr="00E975CC">
        <w:t>navrhuje predĺžiť do</w:t>
      </w:r>
      <w:r w:rsidR="00E975CC">
        <w:t> </w:t>
      </w:r>
      <w:r w:rsidRPr="00E975CC">
        <w:t>31.</w:t>
      </w:r>
      <w:r w:rsidR="00E975CC">
        <w:t> </w:t>
      </w:r>
      <w:r w:rsidRPr="00E975CC">
        <w:t>decembra 2024. Doterajšie zásady uplatňovania odvodovej úľavy pre týchto zamestnávateľov zostávajú naďalej zachované.</w:t>
      </w:r>
      <w:r w:rsidR="00D33633" w:rsidRPr="00E975CC">
        <w:t xml:space="preserve"> Za obdobie od 1. júla 2024 sa odvodová úľava </w:t>
      </w:r>
      <w:r w:rsidR="006A3599" w:rsidRPr="00E975CC">
        <w:t xml:space="preserve">nebude </w:t>
      </w:r>
      <w:r w:rsidR="00D33633" w:rsidRPr="00E975CC">
        <w:t>vzťah</w:t>
      </w:r>
      <w:r w:rsidR="006A3599" w:rsidRPr="00E975CC">
        <w:t>ovať</w:t>
      </w:r>
      <w:r w:rsidR="00D33633" w:rsidRPr="00E975CC">
        <w:t xml:space="preserve"> na zamestnávateľov vykonávajúci</w:t>
      </w:r>
      <w:r w:rsidR="003E3DAE" w:rsidRPr="00E975CC">
        <w:t>ch</w:t>
      </w:r>
      <w:r w:rsidR="00D33633" w:rsidRPr="00E975CC">
        <w:t xml:space="preserve"> hlavnú činnosť zaradenú v sekcii C</w:t>
      </w:r>
      <w:r w:rsidR="005F4C1B">
        <w:t> </w:t>
      </w:r>
      <w:r w:rsidR="00D33633" w:rsidRPr="00E975CC">
        <w:t>–</w:t>
      </w:r>
      <w:r w:rsidR="005F4C1B">
        <w:t> </w:t>
      </w:r>
      <w:r w:rsidR="00D33633" w:rsidRPr="00E975CC">
        <w:t>PRIEMYSELNÁ VÝROBA, divízii 10</w:t>
      </w:r>
      <w:r w:rsidR="00D631B2" w:rsidRPr="00E975CC">
        <w:t xml:space="preserve"> (výroba potravín)</w:t>
      </w:r>
      <w:r w:rsidR="00D33633" w:rsidRPr="00E975CC">
        <w:t xml:space="preserve"> a v divízii 11, triede 11.07 </w:t>
      </w:r>
      <w:r w:rsidR="00D631B2" w:rsidRPr="00E975CC">
        <w:t xml:space="preserve">(výroba nealkoholických nápojov; produkcia minerálnych vôd a iných fľaškových vôd) </w:t>
      </w:r>
      <w:r w:rsidR="00D33633" w:rsidRPr="00E975CC">
        <w:t>štatistickej klasifikácie ekonomických činností SK NACE Rev. 2</w:t>
      </w:r>
      <w:r w:rsidR="00D631B2" w:rsidRPr="00E975CC">
        <w:t>.</w:t>
      </w:r>
    </w:p>
    <w:p w14:paraId="3546BF41" w14:textId="77777777" w:rsidR="009A37F4" w:rsidRPr="00E975CC" w:rsidRDefault="009A37F4" w:rsidP="00E975CC">
      <w:pPr>
        <w:pStyle w:val="Normlnywebov"/>
        <w:spacing w:before="0" w:beforeAutospacing="0" w:after="0" w:afterAutospacing="0"/>
        <w:ind w:firstLine="708"/>
        <w:jc w:val="both"/>
      </w:pPr>
    </w:p>
    <w:p w14:paraId="5BD376C1" w14:textId="0AE08D30" w:rsidR="009A37F4" w:rsidRDefault="005A695B" w:rsidP="00E975CC">
      <w:pPr>
        <w:pStyle w:val="Normlnywebov"/>
        <w:spacing w:before="0" w:beforeAutospacing="0" w:after="0" w:afterAutospacing="0"/>
        <w:ind w:firstLine="708"/>
        <w:jc w:val="both"/>
      </w:pPr>
      <w:r w:rsidRPr="005A695B">
        <w:t>Návrh zákona má prevažne pozitívny vplyv na podnikateľské prostredie a negatívny vplyv na rozpočet verejnej správy. Návrh zákona nebude mať sociálny vplyv, vplyv na informatizáciu spoločnosti, vplyv na životné prostredie, nebude mať vplyvy na služby verejnej správy pre občana a ani vplyvy na manželstvo, rodičovstvo a rodinu. Sledované vybrané vplyvy návrhu zákona podľa Jednotnej metodiky na posudzovanie vybraných vplyvov sú zhodnotené v priloženej doložke vybraných vplyvov, ako aj v analýze vplyvov na rozpočet verejnej správy a v analýze vplyvov na podnikateľské prostredie.</w:t>
      </w:r>
    </w:p>
    <w:p w14:paraId="63951538" w14:textId="77777777" w:rsidR="005A695B" w:rsidRPr="00E975CC" w:rsidRDefault="005A695B" w:rsidP="00E975CC">
      <w:pPr>
        <w:pStyle w:val="Normlnywebov"/>
        <w:spacing w:before="0" w:beforeAutospacing="0" w:after="0" w:afterAutospacing="0"/>
        <w:ind w:firstLine="708"/>
        <w:jc w:val="both"/>
      </w:pPr>
    </w:p>
    <w:p w14:paraId="5A7FA659" w14:textId="77777777" w:rsidR="009A37F4" w:rsidRPr="00E975CC" w:rsidRDefault="009A37F4" w:rsidP="00E97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5CC">
        <w:rPr>
          <w:rFonts w:ascii="Times New Roman" w:hAnsi="Times New Roman" w:cs="Times New Roman"/>
          <w:sz w:val="24"/>
          <w:szCs w:val="24"/>
        </w:rPr>
        <w:t>Návrh zákona je v súlade s Ústavou Slovenskej republiky, ústavnými zákonmi a nálezmi Ústavného súdu Slovenskej republiky a zákonmi, ako aj s medzinárodnými zmluvami, ktorými je Slovenská republika viazaná a súčasne je v súlade s právom Európskej únie.</w:t>
      </w:r>
    </w:p>
    <w:p w14:paraId="6E1D952C" w14:textId="77777777" w:rsidR="009D5D8A" w:rsidRPr="00E975CC" w:rsidRDefault="00831D67" w:rsidP="00E97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D5D8A" w:rsidRPr="00E975CC" w:rsidSect="00532574">
      <w:footerReference w:type="default" r:id="rId7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95409" w14:textId="77777777" w:rsidR="00831D67" w:rsidRDefault="00831D67">
      <w:pPr>
        <w:spacing w:after="0" w:line="240" w:lineRule="auto"/>
      </w:pPr>
      <w:r>
        <w:separator/>
      </w:r>
    </w:p>
  </w:endnote>
  <w:endnote w:type="continuationSeparator" w:id="0">
    <w:p w14:paraId="15F9C447" w14:textId="77777777" w:rsidR="00831D67" w:rsidRDefault="0083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034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DC0EC38" w14:textId="645F2A3B" w:rsidR="003D7C1D" w:rsidRPr="00864D6F" w:rsidRDefault="003D7C1D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64D6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64D6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64D6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F2EA2">
          <w:rPr>
            <w:rFonts w:ascii="Times New Roman" w:hAnsi="Times New Roman" w:cs="Times New Roman"/>
            <w:sz w:val="20"/>
            <w:szCs w:val="20"/>
          </w:rPr>
          <w:t>2</w:t>
        </w:r>
        <w:r w:rsidRPr="00864D6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4F02B1F" w14:textId="77777777" w:rsidR="00DA20A2" w:rsidRDefault="00831D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0A8A3" w14:textId="77777777" w:rsidR="00831D67" w:rsidRDefault="00831D67">
      <w:pPr>
        <w:spacing w:after="0" w:line="240" w:lineRule="auto"/>
      </w:pPr>
      <w:r>
        <w:separator/>
      </w:r>
    </w:p>
  </w:footnote>
  <w:footnote w:type="continuationSeparator" w:id="0">
    <w:p w14:paraId="3BF75F92" w14:textId="77777777" w:rsidR="00831D67" w:rsidRDefault="00831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2146"/>
    <w:multiLevelType w:val="hybridMultilevel"/>
    <w:tmpl w:val="D83E4BCC"/>
    <w:lvl w:ilvl="0" w:tplc="2E2EE7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F4"/>
    <w:rsid w:val="00003663"/>
    <w:rsid w:val="000514EF"/>
    <w:rsid w:val="000755D8"/>
    <w:rsid w:val="000C1519"/>
    <w:rsid w:val="000D2E15"/>
    <w:rsid w:val="000E4043"/>
    <w:rsid w:val="000F32F7"/>
    <w:rsid w:val="001110E7"/>
    <w:rsid w:val="001245D5"/>
    <w:rsid w:val="0014207C"/>
    <w:rsid w:val="0019125F"/>
    <w:rsid w:val="001B2D5E"/>
    <w:rsid w:val="001C4B05"/>
    <w:rsid w:val="00212106"/>
    <w:rsid w:val="00221182"/>
    <w:rsid w:val="00260573"/>
    <w:rsid w:val="0028209C"/>
    <w:rsid w:val="0030582F"/>
    <w:rsid w:val="00305857"/>
    <w:rsid w:val="00342071"/>
    <w:rsid w:val="0039321E"/>
    <w:rsid w:val="003B318C"/>
    <w:rsid w:val="003D4F45"/>
    <w:rsid w:val="003D7C1D"/>
    <w:rsid w:val="003E3DAE"/>
    <w:rsid w:val="0040711A"/>
    <w:rsid w:val="0041050E"/>
    <w:rsid w:val="00414E9A"/>
    <w:rsid w:val="0045529F"/>
    <w:rsid w:val="00460DF6"/>
    <w:rsid w:val="004A5CD2"/>
    <w:rsid w:val="004B07C0"/>
    <w:rsid w:val="004B1322"/>
    <w:rsid w:val="004D7B4F"/>
    <w:rsid w:val="00556438"/>
    <w:rsid w:val="00564E42"/>
    <w:rsid w:val="00576807"/>
    <w:rsid w:val="005A695B"/>
    <w:rsid w:val="005D7ABD"/>
    <w:rsid w:val="005F4C1B"/>
    <w:rsid w:val="00617D5C"/>
    <w:rsid w:val="006A3599"/>
    <w:rsid w:val="006A407D"/>
    <w:rsid w:val="006B4FF4"/>
    <w:rsid w:val="006E406D"/>
    <w:rsid w:val="00724B27"/>
    <w:rsid w:val="007279E2"/>
    <w:rsid w:val="00733F56"/>
    <w:rsid w:val="00803785"/>
    <w:rsid w:val="00831D67"/>
    <w:rsid w:val="00833292"/>
    <w:rsid w:val="00841AAA"/>
    <w:rsid w:val="00841F6D"/>
    <w:rsid w:val="00864D6F"/>
    <w:rsid w:val="00877431"/>
    <w:rsid w:val="009075B1"/>
    <w:rsid w:val="0093352C"/>
    <w:rsid w:val="00940DC0"/>
    <w:rsid w:val="009737B3"/>
    <w:rsid w:val="009A37F4"/>
    <w:rsid w:val="009C6E2A"/>
    <w:rsid w:val="009D1843"/>
    <w:rsid w:val="009F2EA2"/>
    <w:rsid w:val="00A01DDE"/>
    <w:rsid w:val="00A178C0"/>
    <w:rsid w:val="00A3535A"/>
    <w:rsid w:val="00A53038"/>
    <w:rsid w:val="00A5414F"/>
    <w:rsid w:val="00A57609"/>
    <w:rsid w:val="00A65AE6"/>
    <w:rsid w:val="00A74627"/>
    <w:rsid w:val="00AB0035"/>
    <w:rsid w:val="00B00268"/>
    <w:rsid w:val="00BC2AF8"/>
    <w:rsid w:val="00D33633"/>
    <w:rsid w:val="00D36486"/>
    <w:rsid w:val="00D631B2"/>
    <w:rsid w:val="00D87270"/>
    <w:rsid w:val="00D95B84"/>
    <w:rsid w:val="00DA1182"/>
    <w:rsid w:val="00DD4EAA"/>
    <w:rsid w:val="00E123AA"/>
    <w:rsid w:val="00E20B2E"/>
    <w:rsid w:val="00E3472B"/>
    <w:rsid w:val="00E471F2"/>
    <w:rsid w:val="00E614DF"/>
    <w:rsid w:val="00E72F7B"/>
    <w:rsid w:val="00E955D1"/>
    <w:rsid w:val="00E9731A"/>
    <w:rsid w:val="00E975CC"/>
    <w:rsid w:val="00F0346B"/>
    <w:rsid w:val="00F12EC9"/>
    <w:rsid w:val="00F44317"/>
    <w:rsid w:val="00F505C4"/>
    <w:rsid w:val="00F55219"/>
    <w:rsid w:val="00F73F73"/>
    <w:rsid w:val="00FD6563"/>
    <w:rsid w:val="00FE7B16"/>
    <w:rsid w:val="00FF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15419"/>
  <w15:chartTrackingRefBased/>
  <w15:docId w15:val="{03D4F3AC-CA09-4398-80AF-DE10AEE5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37F4"/>
    <w:pPr>
      <w:spacing w:after="200" w:line="276" w:lineRule="auto"/>
    </w:pPr>
    <w:rPr>
      <w:rFonts w:eastAsiaTheme="minorEastAsia"/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3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37F4"/>
    <w:rPr>
      <w:rFonts w:eastAsiaTheme="minorEastAsia"/>
      <w:noProof/>
    </w:rPr>
  </w:style>
  <w:style w:type="paragraph" w:styleId="Pta">
    <w:name w:val="footer"/>
    <w:basedOn w:val="Normlny"/>
    <w:link w:val="PtaChar"/>
    <w:uiPriority w:val="99"/>
    <w:unhideWhenUsed/>
    <w:rsid w:val="009A3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37F4"/>
    <w:rPr>
      <w:rFonts w:eastAsiaTheme="minorEastAsia"/>
      <w:noProof/>
    </w:rPr>
  </w:style>
  <w:style w:type="paragraph" w:styleId="Normlnywebov">
    <w:name w:val="Normal (Web)"/>
    <w:aliases w:val="webb"/>
    <w:basedOn w:val="Normlny"/>
    <w:uiPriority w:val="99"/>
    <w:unhideWhenUsed/>
    <w:rsid w:val="009A3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A37F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A37F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A37F4"/>
    <w:rPr>
      <w:rFonts w:eastAsiaTheme="minorEastAsia"/>
      <w:noProof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3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37F4"/>
    <w:rPr>
      <w:rFonts w:ascii="Segoe UI" w:eastAsiaTheme="minorEastAsia" w:hAnsi="Segoe UI" w:cs="Segoe UI"/>
      <w:noProof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14E9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14E9A"/>
    <w:rPr>
      <w:rFonts w:eastAsiaTheme="minorEastAsia"/>
      <w:b/>
      <w:bCs/>
      <w:noProof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D872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Járošiová Adriana</dc:creator>
  <cp:keywords/>
  <dc:description/>
  <cp:lastModifiedBy>Kostková Daša</cp:lastModifiedBy>
  <cp:revision>17</cp:revision>
  <cp:lastPrinted>2024-05-09T11:52:00Z</cp:lastPrinted>
  <dcterms:created xsi:type="dcterms:W3CDTF">2024-05-10T11:52:00Z</dcterms:created>
  <dcterms:modified xsi:type="dcterms:W3CDTF">2024-06-05T11:59:00Z</dcterms:modified>
</cp:coreProperties>
</file>